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83BEA" w14:textId="77777777" w:rsidR="00A52197" w:rsidRPr="00A85BFE" w:rsidRDefault="00A52197" w:rsidP="00A5219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ACA3E0C" wp14:editId="0BBB01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646F7319" w14:textId="77777777" w:rsidR="00A52197" w:rsidRPr="00A406E5" w:rsidRDefault="00A52197" w:rsidP="00A5219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52197" w:rsidRPr="00A406E5" w14:paraId="572FB268" w14:textId="77777777" w:rsidTr="001225A4">
        <w:tc>
          <w:tcPr>
            <w:tcW w:w="9922" w:type="dxa"/>
            <w:shd w:val="clear" w:color="auto" w:fill="C0C0C0"/>
          </w:tcPr>
          <w:p w14:paraId="229F5FEC" w14:textId="77777777" w:rsidR="00A52197" w:rsidRPr="00A406E5" w:rsidRDefault="00A52197" w:rsidP="001225A4">
            <w:pPr>
              <w:pStyle w:val="Heading4"/>
              <w:rPr>
                <w:rFonts w:ascii="Arial" w:hAnsi="Arial" w:cs="Arial"/>
                <w:b/>
              </w:rPr>
            </w:pPr>
            <w:r w:rsidRPr="00A406E5">
              <w:rPr>
                <w:rFonts w:ascii="Arial" w:hAnsi="Arial" w:cs="Arial"/>
                <w:b/>
              </w:rPr>
              <w:t xml:space="preserve">LEVEL 6 ASSESSMENT SPECIFICATION </w:t>
            </w:r>
          </w:p>
        </w:tc>
      </w:tr>
    </w:tbl>
    <w:p w14:paraId="5BDC192B" w14:textId="77777777" w:rsidR="00A52197" w:rsidRPr="00A406E5" w:rsidRDefault="00A52197" w:rsidP="00A5219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52197" w:rsidRPr="00A406E5" w14:paraId="219CDFC4" w14:textId="77777777" w:rsidTr="001225A4">
        <w:tc>
          <w:tcPr>
            <w:tcW w:w="2093" w:type="dxa"/>
            <w:shd w:val="pct15" w:color="auto" w:fill="auto"/>
          </w:tcPr>
          <w:p w14:paraId="25BE7B36"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89925F" w14:textId="066ADA8A"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C34556">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Steve Tiramani</w:t>
            </w:r>
          </w:p>
        </w:tc>
        <w:tc>
          <w:tcPr>
            <w:tcW w:w="2268" w:type="dxa"/>
            <w:shd w:val="clear" w:color="auto" w:fill="D9D9D9"/>
          </w:tcPr>
          <w:p w14:paraId="13C1127E"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0EF264A" w14:textId="4D687A55"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1902138</w:t>
            </w:r>
          </w:p>
        </w:tc>
      </w:tr>
      <w:tr w:rsidR="00A52197" w:rsidRPr="00A406E5" w14:paraId="002EA6A3" w14:textId="77777777" w:rsidTr="001225A4">
        <w:tc>
          <w:tcPr>
            <w:tcW w:w="2093" w:type="dxa"/>
            <w:shd w:val="pct15" w:color="auto" w:fill="auto"/>
          </w:tcPr>
          <w:p w14:paraId="1A4137D9"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084AE9"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00A52197" w:rsidRPr="00A406E5" w14:paraId="57F40ACB" w14:textId="77777777" w:rsidTr="001225A4">
        <w:tc>
          <w:tcPr>
            <w:tcW w:w="2093" w:type="dxa"/>
            <w:shd w:val="pct15" w:color="auto" w:fill="auto"/>
          </w:tcPr>
          <w:p w14:paraId="18BB7476"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6FA404" w14:textId="77777777" w:rsidR="00A52197" w:rsidRPr="00371E1A" w:rsidRDefault="00A52197" w:rsidP="001225A4">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00A52197" w:rsidRPr="00A406E5" w14:paraId="39F0B728" w14:textId="77777777" w:rsidTr="001225A4">
        <w:tc>
          <w:tcPr>
            <w:tcW w:w="2093" w:type="dxa"/>
            <w:shd w:val="pct15" w:color="auto" w:fill="auto"/>
          </w:tcPr>
          <w:p w14:paraId="484EFBE4"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22341F" w14:textId="77777777" w:rsidR="00A52197" w:rsidRPr="00371E1A" w:rsidRDefault="00A52197" w:rsidP="001225A4">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cPr>
          <w:p w14:paraId="50363804" w14:textId="77777777" w:rsidR="00A52197" w:rsidRPr="004D5E9B" w:rsidRDefault="00A52197" w:rsidP="001225A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0FD87B"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50%</w:t>
            </w:r>
          </w:p>
        </w:tc>
      </w:tr>
      <w:tr w:rsidR="00A52197" w:rsidRPr="00A406E5" w14:paraId="55C8CDA0" w14:textId="77777777" w:rsidTr="001225A4">
        <w:tc>
          <w:tcPr>
            <w:tcW w:w="2093" w:type="dxa"/>
            <w:shd w:val="pct15" w:color="auto" w:fill="auto"/>
          </w:tcPr>
          <w:p w14:paraId="62AF5684"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B96EFC0"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687884DF"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8E3D0B"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Chris Cashin</w:t>
            </w:r>
          </w:p>
        </w:tc>
      </w:tr>
      <w:tr w:rsidR="00A52197" w:rsidRPr="00A406E5" w14:paraId="24F84CCB" w14:textId="77777777" w:rsidTr="001225A4">
        <w:tc>
          <w:tcPr>
            <w:tcW w:w="2093" w:type="dxa"/>
            <w:shd w:val="pct15" w:color="auto" w:fill="auto"/>
          </w:tcPr>
          <w:p w14:paraId="13854C11"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BC3F2F3" w14:textId="77777777" w:rsidR="00A52197" w:rsidRPr="00A406E5" w:rsidRDefault="00A52197" w:rsidP="001225A4">
            <w:pPr>
              <w:rPr>
                <w:rFonts w:ascii="Arial" w:hAnsi="Arial" w:cs="Arial"/>
                <w:b/>
                <w:sz w:val="22"/>
                <w:szCs w:val="22"/>
              </w:rPr>
            </w:pPr>
            <w:r w:rsidRPr="00CC439D">
              <w:rPr>
                <w:rFonts w:ascii="Arial" w:hAnsi="Arial" w:cs="Arial"/>
                <w:b/>
                <w:sz w:val="22"/>
                <w:szCs w:val="22"/>
              </w:rPr>
              <w:t>Essay:</w:t>
            </w:r>
            <w:r>
              <w:rPr>
                <w:rFonts w:ascii="Arial" w:hAnsi="Arial" w:cs="Arial"/>
                <w:sz w:val="22"/>
                <w:szCs w:val="22"/>
              </w:rPr>
              <w:t xml:space="preserve"> </w:t>
            </w:r>
            <w:r w:rsidRPr="008E2E88">
              <w:rPr>
                <w:rFonts w:ascii="Arial" w:hAnsi="Arial" w:cs="Arial"/>
                <w:sz w:val="22"/>
                <w:szCs w:val="22"/>
              </w:rPr>
              <w:t xml:space="preserve">Identify a current issue or topic within the areas of sport, health, nutrition and physical education for investigation and critical review. </w:t>
            </w:r>
          </w:p>
        </w:tc>
        <w:tc>
          <w:tcPr>
            <w:tcW w:w="2268" w:type="dxa"/>
            <w:shd w:val="pct15" w:color="auto" w:fill="auto"/>
          </w:tcPr>
          <w:p w14:paraId="274C5F1F"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E9F211"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3000</w:t>
            </w:r>
          </w:p>
        </w:tc>
      </w:tr>
      <w:tr w:rsidR="00A52197" w:rsidRPr="00A406E5" w14:paraId="2F8E9B9A" w14:textId="77777777" w:rsidTr="001225A4">
        <w:tc>
          <w:tcPr>
            <w:tcW w:w="2093" w:type="dxa"/>
            <w:shd w:val="pct15" w:color="auto" w:fill="auto"/>
          </w:tcPr>
          <w:p w14:paraId="64A6E0AF"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068AB7"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19</w:t>
            </w:r>
            <w:r w:rsidRPr="00623ED4">
              <w:rPr>
                <w:rFonts w:ascii="Arial" w:hAnsi="Arial" w:cs="Arial"/>
                <w:b/>
                <w:sz w:val="22"/>
                <w:szCs w:val="22"/>
                <w:vertAlign w:val="superscript"/>
              </w:rPr>
              <w:t>th</w:t>
            </w:r>
            <w:r>
              <w:rPr>
                <w:rFonts w:ascii="Arial" w:hAnsi="Arial" w:cs="Arial"/>
                <w:b/>
                <w:sz w:val="22"/>
                <w:szCs w:val="22"/>
              </w:rPr>
              <w:t xml:space="preserve"> of November, 2021</w:t>
            </w:r>
          </w:p>
        </w:tc>
        <w:tc>
          <w:tcPr>
            <w:tcW w:w="2268" w:type="dxa"/>
            <w:shd w:val="pct15" w:color="auto" w:fill="auto"/>
          </w:tcPr>
          <w:p w14:paraId="230472F6"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BB112B" w14:textId="77777777" w:rsidR="00A52197" w:rsidRPr="00A406E5" w:rsidRDefault="00A52197" w:rsidP="001225A4">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A52197" w:rsidRPr="00A406E5" w14:paraId="7E44B55D" w14:textId="77777777" w:rsidTr="001225A4">
        <w:tc>
          <w:tcPr>
            <w:tcW w:w="2093" w:type="dxa"/>
            <w:shd w:val="pct15" w:color="auto" w:fill="auto"/>
          </w:tcPr>
          <w:p w14:paraId="0CF43BE3"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AA3E3F" w14:textId="77777777" w:rsidR="00A52197" w:rsidRPr="00A406E5" w:rsidRDefault="00A52197" w:rsidP="001225A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22B500"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86B118" w14:textId="77777777" w:rsidR="00A52197" w:rsidRPr="00A406E5" w:rsidRDefault="00A52197" w:rsidP="001225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proofErr w:type="gramStart"/>
            <w:r w:rsidRPr="00A406E5">
              <w:rPr>
                <w:rFonts w:ascii="Arial" w:hAnsi="Arial" w:cs="Arial"/>
                <w:b/>
                <w:sz w:val="22"/>
                <w:szCs w:val="22"/>
              </w:rPr>
              <w:t xml:space="preserve">.  </w:t>
            </w:r>
            <w:proofErr w:type="gramEnd"/>
            <w:r w:rsidRPr="00A406E5">
              <w:rPr>
                <w:rFonts w:ascii="Arial" w:hAnsi="Arial" w:cs="Arial"/>
                <w:sz w:val="22"/>
                <w:szCs w:val="22"/>
              </w:rPr>
              <w:t>Penalties for late submission: Up to one week late, maximum mark o</w:t>
            </w:r>
            <w:r>
              <w:rPr>
                <w:rFonts w:ascii="Arial" w:hAnsi="Arial" w:cs="Arial"/>
                <w:sz w:val="22"/>
                <w:szCs w:val="22"/>
              </w:rPr>
              <w:t>f 40%</w:t>
            </w:r>
            <w:proofErr w:type="gramStart"/>
            <w:r>
              <w:rPr>
                <w:rFonts w:ascii="Arial" w:hAnsi="Arial" w:cs="Arial"/>
                <w:sz w:val="22"/>
                <w:szCs w:val="22"/>
              </w:rPr>
              <w:t xml:space="preserve">.  </w:t>
            </w:r>
            <w:proofErr w:type="gramEnd"/>
            <w:r>
              <w:rPr>
                <w:rFonts w:ascii="Arial" w:hAnsi="Arial" w:cs="Arial"/>
                <w:sz w:val="22"/>
                <w:szCs w:val="22"/>
              </w:rPr>
              <w:t>Over one week late, 0%</w:t>
            </w:r>
            <w:proofErr w:type="gramStart"/>
            <w:r w:rsidRPr="00A406E5">
              <w:rPr>
                <w:rFonts w:ascii="Arial" w:hAnsi="Arial" w:cs="Arial"/>
                <w:sz w:val="22"/>
                <w:szCs w:val="22"/>
              </w:rPr>
              <w:t xml:space="preserve">.  </w:t>
            </w:r>
            <w:proofErr w:type="gramEnd"/>
            <w:r w:rsidRPr="00A406E5">
              <w:rPr>
                <w:rFonts w:ascii="Arial" w:hAnsi="Arial" w:cs="Arial"/>
                <w:sz w:val="22"/>
                <w:szCs w:val="22"/>
              </w:rPr>
              <w:t>Only the Extenuating Circumstances Panel may approve a change to submission dates.</w:t>
            </w:r>
          </w:p>
        </w:tc>
      </w:tr>
      <w:tr w:rsidR="00A52197" w:rsidRPr="00A406E5" w14:paraId="5984D58F" w14:textId="77777777" w:rsidTr="001225A4">
        <w:tc>
          <w:tcPr>
            <w:tcW w:w="2093" w:type="dxa"/>
            <w:shd w:val="pct15" w:color="auto" w:fill="auto"/>
          </w:tcPr>
          <w:p w14:paraId="2CEEB436" w14:textId="77777777" w:rsidR="00A52197" w:rsidRPr="00A406E5" w:rsidRDefault="00A52197" w:rsidP="001225A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84462B" w14:textId="77777777" w:rsidR="00A52197" w:rsidRPr="00A406E5" w:rsidRDefault="00A52197" w:rsidP="001225A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891F009" w14:textId="6DC04522" w:rsidR="00A52197" w:rsidRDefault="00A52197" w:rsidP="00A52197">
      <w:pPr>
        <w:rPr>
          <w:rFonts w:ascii="Arial" w:hAnsi="Arial" w:cs="Arial"/>
          <w:sz w:val="32"/>
        </w:rPr>
      </w:pPr>
    </w:p>
    <w:p w14:paraId="31B2364D" w14:textId="77777777" w:rsidR="00A52197" w:rsidRPr="00A406E5" w:rsidRDefault="00A52197" w:rsidP="00A5219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52197" w:rsidRPr="00A406E5" w14:paraId="77E7B1E4" w14:textId="77777777" w:rsidTr="001225A4">
        <w:tc>
          <w:tcPr>
            <w:tcW w:w="9747" w:type="dxa"/>
            <w:shd w:val="pct10" w:color="auto" w:fill="auto"/>
          </w:tcPr>
          <w:p w14:paraId="1CDA082F" w14:textId="77777777" w:rsidR="00A52197" w:rsidRPr="00A406E5" w:rsidRDefault="00A52197" w:rsidP="001225A4">
            <w:pPr>
              <w:rPr>
                <w:rFonts w:ascii="Arial" w:hAnsi="Arial" w:cs="Arial"/>
                <w:b/>
                <w:sz w:val="22"/>
                <w:szCs w:val="22"/>
              </w:rPr>
            </w:pPr>
            <w:r w:rsidRPr="00A406E5">
              <w:rPr>
                <w:rFonts w:ascii="Arial" w:hAnsi="Arial" w:cs="Arial"/>
                <w:b/>
                <w:sz w:val="22"/>
                <w:szCs w:val="22"/>
              </w:rPr>
              <w:t xml:space="preserve">Module Learning Outcomes </w:t>
            </w:r>
          </w:p>
          <w:p w14:paraId="7378AF3D" w14:textId="77777777" w:rsidR="00A52197" w:rsidRPr="00A406E5" w:rsidRDefault="00A52197" w:rsidP="001225A4">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A52197" w:rsidRPr="00A406E5" w14:paraId="1C1F5EDE" w14:textId="77777777" w:rsidTr="001225A4">
        <w:tc>
          <w:tcPr>
            <w:tcW w:w="9747" w:type="dxa"/>
          </w:tcPr>
          <w:p w14:paraId="0EA0660D" w14:textId="77777777" w:rsidR="00A52197" w:rsidRPr="00A406E5" w:rsidRDefault="00A52197" w:rsidP="001225A4">
            <w:pPr>
              <w:rPr>
                <w:rFonts w:ascii="Arial" w:hAnsi="Arial" w:cs="Arial"/>
                <w:sz w:val="22"/>
                <w:szCs w:val="22"/>
              </w:rPr>
            </w:pPr>
          </w:p>
          <w:p w14:paraId="3A77BBB1" w14:textId="77777777" w:rsidR="00A52197" w:rsidRDefault="00A52197" w:rsidP="00A52197">
            <w:pPr>
              <w:pStyle w:val="bullet"/>
              <w:numPr>
                <w:ilvl w:val="0"/>
                <w:numId w:val="2"/>
              </w:numPr>
              <w:autoSpaceDN w:val="0"/>
              <w:spacing w:before="0" w:after="240"/>
              <w:ind w:left="851" w:hanging="567"/>
              <w:rPr>
                <w:rFonts w:ascii="Arial" w:hAnsi="Arial" w:cs="Arial"/>
                <w:sz w:val="22"/>
                <w:szCs w:val="22"/>
              </w:rPr>
            </w:pPr>
            <w:r>
              <w:rPr>
                <w:rFonts w:ascii="Arial" w:hAnsi="Arial" w:cs="Arial"/>
                <w:sz w:val="22"/>
                <w:szCs w:val="22"/>
              </w:rPr>
              <w:lastRenderedPageBreak/>
              <w:t xml:space="preserve">Critically evaluate relevant research and current issues of interest within sport, health, nutrition and physical </w:t>
            </w:r>
            <w:proofErr w:type="gramStart"/>
            <w:r>
              <w:rPr>
                <w:rFonts w:ascii="Arial" w:hAnsi="Arial" w:cs="Arial"/>
                <w:sz w:val="22"/>
                <w:szCs w:val="22"/>
              </w:rPr>
              <w:t>education;</w:t>
            </w:r>
            <w:proofErr w:type="gramEnd"/>
          </w:p>
          <w:p w14:paraId="1E684D45" w14:textId="77777777" w:rsidR="00A52197" w:rsidRDefault="00A52197" w:rsidP="00A52197">
            <w:pPr>
              <w:pStyle w:val="bullet"/>
              <w:numPr>
                <w:ilvl w:val="0"/>
                <w:numId w:val="2"/>
              </w:numPr>
              <w:autoSpaceDN w:val="0"/>
              <w:spacing w:before="0" w:after="240"/>
              <w:ind w:left="851" w:hanging="567"/>
              <w:rPr>
                <w:rFonts w:ascii="Arial" w:hAnsi="Arial" w:cs="Arial"/>
                <w:sz w:val="22"/>
                <w:szCs w:val="22"/>
              </w:rPr>
            </w:pPr>
            <w:r>
              <w:rPr>
                <w:rFonts w:ascii="Arial" w:hAnsi="Arial" w:cs="Arial"/>
                <w:sz w:val="22"/>
                <w:szCs w:val="22"/>
              </w:rPr>
              <w:t xml:space="preserve">Identify a current issue for investigation within the areas of sport, health, nutrition and physical </w:t>
            </w:r>
            <w:proofErr w:type="gramStart"/>
            <w:r>
              <w:rPr>
                <w:rFonts w:ascii="Arial" w:hAnsi="Arial" w:cs="Arial"/>
                <w:sz w:val="22"/>
                <w:szCs w:val="22"/>
              </w:rPr>
              <w:t>education;</w:t>
            </w:r>
            <w:proofErr w:type="gramEnd"/>
          </w:p>
          <w:p w14:paraId="22690CFC" w14:textId="77777777" w:rsidR="00A52197" w:rsidRDefault="00A52197" w:rsidP="00A52197">
            <w:pPr>
              <w:pStyle w:val="bullet"/>
              <w:numPr>
                <w:ilvl w:val="0"/>
                <w:numId w:val="2"/>
              </w:numPr>
              <w:autoSpaceDN w:val="0"/>
              <w:spacing w:before="0" w:after="240"/>
              <w:ind w:left="851" w:hanging="567"/>
              <w:rPr>
                <w:rFonts w:ascii="Arial" w:hAnsi="Arial" w:cs="Arial"/>
                <w:sz w:val="22"/>
                <w:szCs w:val="22"/>
              </w:rPr>
            </w:pPr>
            <w:r>
              <w:rPr>
                <w:rFonts w:ascii="Arial" w:hAnsi="Arial" w:cs="Arial"/>
                <w:sz w:val="22"/>
                <w:szCs w:val="22"/>
              </w:rPr>
              <w:t xml:space="preserve">Demonstrate competence in selecting and using appropriate peer reviewed resources to provide a comprehensive review of research based </w:t>
            </w:r>
            <w:proofErr w:type="gramStart"/>
            <w:r>
              <w:rPr>
                <w:rFonts w:ascii="Arial" w:hAnsi="Arial" w:cs="Arial"/>
                <w:sz w:val="22"/>
                <w:szCs w:val="22"/>
              </w:rPr>
              <w:t>evidence;</w:t>
            </w:r>
            <w:proofErr w:type="gramEnd"/>
          </w:p>
          <w:p w14:paraId="3323ECE0" w14:textId="77777777" w:rsidR="00A52197" w:rsidRPr="00371E1A" w:rsidRDefault="00A52197" w:rsidP="00A52197">
            <w:pPr>
              <w:pStyle w:val="bullet"/>
              <w:numPr>
                <w:ilvl w:val="0"/>
                <w:numId w:val="2"/>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14:paraId="0443123D" w14:textId="77777777" w:rsidR="00A52197" w:rsidRPr="00A406E5" w:rsidRDefault="00A52197" w:rsidP="001225A4">
            <w:pPr>
              <w:rPr>
                <w:rFonts w:ascii="Arial" w:hAnsi="Arial" w:cs="Arial"/>
                <w:sz w:val="22"/>
                <w:szCs w:val="22"/>
              </w:rPr>
            </w:pPr>
          </w:p>
        </w:tc>
      </w:tr>
    </w:tbl>
    <w:p w14:paraId="7A8720AB" w14:textId="77777777" w:rsidR="00A52197" w:rsidRPr="00A406E5" w:rsidRDefault="00A52197" w:rsidP="00A52197">
      <w:pPr>
        <w:rPr>
          <w:rFonts w:ascii="Arial" w:hAnsi="Arial" w:cs="Arial"/>
          <w:b/>
        </w:rPr>
      </w:pPr>
    </w:p>
    <w:p w14:paraId="2CFD3EE7" w14:textId="77777777" w:rsidR="00A52197" w:rsidRPr="00A406E5" w:rsidRDefault="00A52197" w:rsidP="00A52197">
      <w:pPr>
        <w:rPr>
          <w:rFonts w:ascii="Arial" w:hAnsi="Arial" w:cs="Arial"/>
          <w:b/>
        </w:rPr>
      </w:pPr>
    </w:p>
    <w:p w14:paraId="0A62E449" w14:textId="77777777" w:rsidR="00A52197" w:rsidRPr="00A406E5" w:rsidRDefault="00A52197" w:rsidP="00A5219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52197" w:rsidRPr="00A406E5" w14:paraId="3B1F615F" w14:textId="77777777" w:rsidTr="001225A4">
        <w:tc>
          <w:tcPr>
            <w:tcW w:w="9781" w:type="dxa"/>
            <w:shd w:val="clear" w:color="auto" w:fill="C0C0C0"/>
          </w:tcPr>
          <w:p w14:paraId="0EDC791F" w14:textId="77777777" w:rsidR="00A52197" w:rsidRPr="00A406E5" w:rsidRDefault="00A52197" w:rsidP="001225A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DE73B73" w14:textId="77777777" w:rsidR="00A52197" w:rsidRPr="00A406E5" w:rsidRDefault="00A52197" w:rsidP="00A52197">
      <w:pPr>
        <w:jc w:val="both"/>
        <w:rPr>
          <w:rFonts w:ascii="Arial" w:hAnsi="Arial" w:cs="Arial"/>
          <w:sz w:val="22"/>
          <w:szCs w:val="22"/>
        </w:rPr>
      </w:pPr>
    </w:p>
    <w:p w14:paraId="6AE07E9F" w14:textId="77777777" w:rsidR="00A52197" w:rsidRPr="00A406E5" w:rsidRDefault="00A52197" w:rsidP="00A52197">
      <w:pPr>
        <w:ind w:left="720"/>
        <w:rPr>
          <w:rFonts w:ascii="Arial" w:hAnsi="Arial" w:cs="Arial"/>
          <w:sz w:val="24"/>
          <w:szCs w:val="24"/>
        </w:rPr>
      </w:pPr>
    </w:p>
    <w:p w14:paraId="41667D6B" w14:textId="77777777" w:rsidR="00A52197" w:rsidRPr="00A406E5" w:rsidRDefault="00A52197" w:rsidP="00A52197">
      <w:pPr>
        <w:ind w:left="720"/>
        <w:rPr>
          <w:rFonts w:ascii="Arial" w:hAnsi="Arial" w:cs="Arial"/>
          <w:sz w:val="24"/>
          <w:szCs w:val="24"/>
        </w:rPr>
      </w:pPr>
    </w:p>
    <w:p w14:paraId="13E63BD4" w14:textId="77777777" w:rsidR="00A52197" w:rsidRPr="00A406E5" w:rsidRDefault="00A52197" w:rsidP="00A52197">
      <w:pPr>
        <w:ind w:left="720"/>
        <w:rPr>
          <w:rFonts w:ascii="Arial" w:hAnsi="Arial" w:cs="Arial"/>
          <w:sz w:val="24"/>
          <w:szCs w:val="24"/>
        </w:rPr>
      </w:pPr>
    </w:p>
    <w:p w14:paraId="0291F236" w14:textId="77777777" w:rsidR="00A52197" w:rsidRPr="00A406E5" w:rsidRDefault="00A52197" w:rsidP="00A52197">
      <w:pPr>
        <w:ind w:left="720"/>
        <w:rPr>
          <w:rFonts w:ascii="Arial" w:hAnsi="Arial" w:cs="Arial"/>
          <w:sz w:val="24"/>
          <w:szCs w:val="24"/>
        </w:rPr>
      </w:pPr>
    </w:p>
    <w:p w14:paraId="3405ABF4" w14:textId="77777777" w:rsidR="00A52197" w:rsidRPr="008E2E88" w:rsidRDefault="00A52197" w:rsidP="00A52197">
      <w:pPr>
        <w:rPr>
          <w:rFonts w:ascii="Arial" w:hAnsi="Arial" w:cs="Arial"/>
          <w:b/>
          <w:sz w:val="22"/>
          <w:szCs w:val="22"/>
        </w:rPr>
      </w:pPr>
      <w:r w:rsidRPr="008E2E88">
        <w:rPr>
          <w:rFonts w:ascii="Arial" w:hAnsi="Arial" w:cs="Arial"/>
          <w:b/>
          <w:sz w:val="22"/>
          <w:szCs w:val="22"/>
        </w:rPr>
        <w:t xml:space="preserve">TASK:  </w:t>
      </w:r>
      <w:r w:rsidRPr="008E2E88">
        <w:rPr>
          <w:rFonts w:ascii="Arial" w:hAnsi="Arial" w:cs="Arial"/>
          <w:sz w:val="22"/>
          <w:szCs w:val="22"/>
        </w:rPr>
        <w:t xml:space="preserve">Identify a current issue or topic within the areas of sport, health, nutrition and physical education for investigation and critical review. </w:t>
      </w:r>
    </w:p>
    <w:p w14:paraId="58A27B2B" w14:textId="77777777" w:rsidR="00A52197" w:rsidRPr="008E2E88" w:rsidRDefault="00A52197" w:rsidP="00A52197">
      <w:pPr>
        <w:spacing w:before="240"/>
        <w:rPr>
          <w:rFonts w:ascii="Arial" w:hAnsi="Arial" w:cs="Arial"/>
          <w:sz w:val="22"/>
          <w:szCs w:val="22"/>
        </w:rPr>
      </w:pPr>
    </w:p>
    <w:p w14:paraId="6C5C150F" w14:textId="77777777" w:rsidR="00A52197" w:rsidRPr="008E2E88" w:rsidRDefault="00A52197" w:rsidP="00A52197">
      <w:pPr>
        <w:widowControl w:val="0"/>
        <w:autoSpaceDE w:val="0"/>
        <w:autoSpaceDN w:val="0"/>
        <w:adjustRightInd w:val="0"/>
        <w:rPr>
          <w:rFonts w:ascii="Arial" w:hAnsi="Arial" w:cs="Arial"/>
          <w:sz w:val="22"/>
          <w:szCs w:val="22"/>
        </w:rPr>
      </w:pPr>
      <w:r w:rsidRPr="008E2E88">
        <w:rPr>
          <w:rFonts w:ascii="Arial" w:hAnsi="Arial" w:cs="Arial"/>
          <w:b/>
          <w:bCs/>
          <w:sz w:val="22"/>
          <w:szCs w:val="22"/>
        </w:rPr>
        <w:t xml:space="preserve">Reference to research: </w:t>
      </w:r>
    </w:p>
    <w:p w14:paraId="23A0C4A1" w14:textId="77777777" w:rsidR="00A52197" w:rsidRPr="008E2E88" w:rsidRDefault="00A52197" w:rsidP="00A52197">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w:t>
      </w:r>
      <w:proofErr w:type="gramStart"/>
      <w:r w:rsidRPr="008E2E88">
        <w:rPr>
          <w:rFonts w:ascii="Arial" w:hAnsi="Arial" w:cs="Arial"/>
          <w:sz w:val="22"/>
          <w:szCs w:val="22"/>
        </w:rPr>
        <w:t xml:space="preserve">.  </w:t>
      </w:r>
      <w:proofErr w:type="gramEnd"/>
    </w:p>
    <w:p w14:paraId="69A428C8" w14:textId="77777777" w:rsidR="00A52197" w:rsidRPr="008E2E88" w:rsidRDefault="00A52197" w:rsidP="00A52197">
      <w:pPr>
        <w:jc w:val="both"/>
        <w:rPr>
          <w:rFonts w:ascii="Arial" w:hAnsi="Arial" w:cs="Arial"/>
          <w:iCs/>
          <w:sz w:val="22"/>
          <w:szCs w:val="22"/>
        </w:rPr>
      </w:pPr>
    </w:p>
    <w:p w14:paraId="59BD67C2" w14:textId="77777777" w:rsidR="00A52197" w:rsidRPr="008E2E88" w:rsidRDefault="00A52197" w:rsidP="00A52197">
      <w:pPr>
        <w:jc w:val="both"/>
        <w:rPr>
          <w:rFonts w:ascii="Arial" w:hAnsi="Arial" w:cs="Arial"/>
          <w:iCs/>
          <w:sz w:val="22"/>
          <w:szCs w:val="22"/>
        </w:rPr>
      </w:pPr>
      <w:r w:rsidRPr="008E2E88">
        <w:rPr>
          <w:rFonts w:ascii="Arial" w:hAnsi="Arial" w:cs="Arial"/>
          <w:iCs/>
          <w:sz w:val="22"/>
          <w:szCs w:val="22"/>
        </w:rPr>
        <w:t xml:space="preserve">Further details regarding the structure required for the assignment will be provided during lead lectures and on Moodle. </w:t>
      </w:r>
    </w:p>
    <w:p w14:paraId="524254EB" w14:textId="77777777" w:rsidR="00A52197" w:rsidRPr="008E2E88" w:rsidRDefault="00A52197" w:rsidP="00A52197">
      <w:pPr>
        <w:ind w:left="720"/>
        <w:rPr>
          <w:rFonts w:ascii="Arial" w:hAnsi="Arial" w:cs="Arial"/>
          <w:sz w:val="22"/>
          <w:szCs w:val="22"/>
        </w:rPr>
      </w:pPr>
    </w:p>
    <w:p w14:paraId="55C0943C" w14:textId="77777777" w:rsidR="00A52197" w:rsidRPr="008E2E88" w:rsidRDefault="00A52197" w:rsidP="00A52197">
      <w:pPr>
        <w:ind w:left="720"/>
        <w:rPr>
          <w:rFonts w:ascii="Arial" w:hAnsi="Arial" w:cs="Arial"/>
          <w:sz w:val="22"/>
          <w:szCs w:val="22"/>
        </w:rPr>
      </w:pPr>
    </w:p>
    <w:p w14:paraId="5803ABF8" w14:textId="77777777" w:rsidR="00A52197" w:rsidRPr="008E2E88" w:rsidRDefault="00A52197" w:rsidP="00A52197">
      <w:pPr>
        <w:ind w:left="720"/>
        <w:rPr>
          <w:rFonts w:ascii="Arial" w:hAnsi="Arial" w:cs="Arial"/>
          <w:sz w:val="22"/>
          <w:szCs w:val="22"/>
        </w:rPr>
      </w:pPr>
    </w:p>
    <w:p w14:paraId="1FE931B2" w14:textId="77777777" w:rsidR="00A52197" w:rsidRPr="00A406E5" w:rsidRDefault="00A52197" w:rsidP="00A52197">
      <w:pPr>
        <w:ind w:left="720"/>
        <w:rPr>
          <w:rFonts w:ascii="Arial" w:hAnsi="Arial" w:cs="Arial"/>
          <w:sz w:val="24"/>
          <w:szCs w:val="24"/>
        </w:rPr>
      </w:pPr>
    </w:p>
    <w:p w14:paraId="50244305" w14:textId="77777777" w:rsidR="00A52197" w:rsidRPr="00A406E5" w:rsidRDefault="00A52197" w:rsidP="00A52197">
      <w:pPr>
        <w:ind w:left="720"/>
        <w:rPr>
          <w:rFonts w:ascii="Arial" w:hAnsi="Arial" w:cs="Arial"/>
          <w:sz w:val="24"/>
          <w:szCs w:val="24"/>
        </w:rPr>
      </w:pPr>
    </w:p>
    <w:p w14:paraId="1A2BE9FD" w14:textId="77777777" w:rsidR="00A52197" w:rsidRPr="00A406E5" w:rsidRDefault="00A52197" w:rsidP="00A52197">
      <w:pPr>
        <w:ind w:left="720"/>
        <w:rPr>
          <w:rFonts w:ascii="Arial" w:hAnsi="Arial" w:cs="Arial"/>
          <w:sz w:val="24"/>
          <w:szCs w:val="24"/>
        </w:rPr>
      </w:pPr>
    </w:p>
    <w:p w14:paraId="21BC5A37" w14:textId="77777777" w:rsidR="00A52197" w:rsidRPr="00A406E5" w:rsidRDefault="00A52197" w:rsidP="00A52197">
      <w:pPr>
        <w:ind w:left="720"/>
        <w:rPr>
          <w:rFonts w:ascii="Arial" w:hAnsi="Arial" w:cs="Arial"/>
          <w:sz w:val="24"/>
          <w:szCs w:val="24"/>
        </w:rPr>
      </w:pPr>
    </w:p>
    <w:p w14:paraId="51DDB883" w14:textId="77777777" w:rsidR="00A52197" w:rsidRPr="00A406E5" w:rsidRDefault="00A52197" w:rsidP="00A52197">
      <w:pPr>
        <w:ind w:left="720"/>
        <w:rPr>
          <w:rFonts w:ascii="Arial" w:hAnsi="Arial" w:cs="Arial"/>
          <w:sz w:val="24"/>
          <w:szCs w:val="24"/>
        </w:rPr>
      </w:pPr>
    </w:p>
    <w:p w14:paraId="41FC4CD6" w14:textId="77777777" w:rsidR="00A52197" w:rsidRPr="00A406E5" w:rsidRDefault="00A52197" w:rsidP="00A52197">
      <w:pPr>
        <w:ind w:left="720"/>
        <w:rPr>
          <w:rFonts w:ascii="Arial" w:hAnsi="Arial" w:cs="Arial"/>
          <w:sz w:val="24"/>
          <w:szCs w:val="24"/>
        </w:rPr>
      </w:pPr>
    </w:p>
    <w:p w14:paraId="071C8004" w14:textId="77777777" w:rsidR="00A52197" w:rsidRPr="00A406E5" w:rsidRDefault="00A52197" w:rsidP="00A52197">
      <w:pPr>
        <w:ind w:left="720"/>
        <w:rPr>
          <w:rFonts w:ascii="Arial" w:hAnsi="Arial" w:cs="Arial"/>
          <w:sz w:val="24"/>
          <w:szCs w:val="24"/>
        </w:rPr>
      </w:pPr>
    </w:p>
    <w:p w14:paraId="6B67DDDC" w14:textId="77777777" w:rsidR="00A52197" w:rsidRPr="00A406E5" w:rsidRDefault="00A52197" w:rsidP="00A52197">
      <w:pPr>
        <w:ind w:left="720"/>
        <w:rPr>
          <w:rFonts w:ascii="Arial" w:hAnsi="Arial" w:cs="Arial"/>
          <w:sz w:val="24"/>
          <w:szCs w:val="24"/>
        </w:rPr>
      </w:pPr>
    </w:p>
    <w:p w14:paraId="0AB73AE9" w14:textId="77777777" w:rsidR="00A52197" w:rsidRPr="00A406E5" w:rsidRDefault="00A52197" w:rsidP="00A52197">
      <w:pPr>
        <w:ind w:left="720"/>
        <w:rPr>
          <w:rFonts w:ascii="Arial" w:hAnsi="Arial" w:cs="Arial"/>
          <w:sz w:val="24"/>
          <w:szCs w:val="24"/>
        </w:rPr>
      </w:pPr>
    </w:p>
    <w:p w14:paraId="325BA508" w14:textId="77777777" w:rsidR="00A52197" w:rsidRPr="00A406E5" w:rsidRDefault="00A52197" w:rsidP="00A52197">
      <w:pPr>
        <w:ind w:left="720"/>
        <w:rPr>
          <w:rFonts w:ascii="Arial" w:hAnsi="Arial" w:cs="Arial"/>
          <w:sz w:val="24"/>
          <w:szCs w:val="24"/>
        </w:rPr>
      </w:pPr>
    </w:p>
    <w:p w14:paraId="00D6FA14" w14:textId="77777777" w:rsidR="00A52197" w:rsidRPr="00A406E5" w:rsidRDefault="00A52197" w:rsidP="00A52197">
      <w:pPr>
        <w:ind w:left="720"/>
        <w:rPr>
          <w:rFonts w:ascii="Arial" w:hAnsi="Arial" w:cs="Arial"/>
          <w:sz w:val="24"/>
          <w:szCs w:val="24"/>
        </w:rPr>
      </w:pPr>
    </w:p>
    <w:p w14:paraId="52448065" w14:textId="77777777" w:rsidR="00A52197" w:rsidRPr="00A406E5" w:rsidRDefault="00A52197" w:rsidP="00A52197">
      <w:pPr>
        <w:ind w:left="720"/>
        <w:rPr>
          <w:rFonts w:ascii="Arial" w:hAnsi="Arial" w:cs="Arial"/>
          <w:sz w:val="24"/>
          <w:szCs w:val="24"/>
        </w:rPr>
      </w:pPr>
    </w:p>
    <w:p w14:paraId="28FE8633" w14:textId="77777777" w:rsidR="00A52197" w:rsidRPr="00A406E5" w:rsidRDefault="00A52197" w:rsidP="00A52197">
      <w:pPr>
        <w:ind w:left="720"/>
        <w:rPr>
          <w:rFonts w:ascii="Arial" w:hAnsi="Arial" w:cs="Arial"/>
          <w:sz w:val="24"/>
          <w:szCs w:val="24"/>
        </w:rPr>
      </w:pPr>
    </w:p>
    <w:p w14:paraId="476F19DC" w14:textId="77777777" w:rsidR="00A52197" w:rsidRPr="00A406E5" w:rsidRDefault="00A52197" w:rsidP="00A52197">
      <w:pPr>
        <w:ind w:left="720"/>
        <w:rPr>
          <w:rFonts w:ascii="Arial" w:hAnsi="Arial" w:cs="Arial"/>
          <w:sz w:val="24"/>
          <w:szCs w:val="24"/>
        </w:rPr>
      </w:pPr>
    </w:p>
    <w:p w14:paraId="0C3FE3C4" w14:textId="77777777" w:rsidR="00A52197" w:rsidRPr="00A406E5" w:rsidRDefault="00A52197" w:rsidP="00A52197">
      <w:pPr>
        <w:ind w:left="720"/>
        <w:rPr>
          <w:rFonts w:ascii="Arial" w:hAnsi="Arial" w:cs="Arial"/>
          <w:sz w:val="24"/>
          <w:szCs w:val="24"/>
        </w:rPr>
      </w:pPr>
    </w:p>
    <w:p w14:paraId="0A119DB0" w14:textId="77777777" w:rsidR="00A52197" w:rsidRPr="00A406E5" w:rsidRDefault="00A52197" w:rsidP="00A52197">
      <w:pPr>
        <w:ind w:left="720"/>
        <w:rPr>
          <w:rFonts w:ascii="Arial" w:hAnsi="Arial" w:cs="Arial"/>
          <w:sz w:val="24"/>
          <w:szCs w:val="24"/>
        </w:rPr>
      </w:pPr>
    </w:p>
    <w:p w14:paraId="60DB275A" w14:textId="77777777" w:rsidR="00A52197" w:rsidRDefault="00A52197" w:rsidP="00A52197">
      <w:pPr>
        <w:jc w:val="both"/>
        <w:rPr>
          <w:rFonts w:ascii="Arial" w:hAnsi="Arial" w:cs="Arial"/>
          <w:sz w:val="22"/>
          <w:szCs w:val="22"/>
        </w:rPr>
      </w:pPr>
    </w:p>
    <w:p w14:paraId="52818D4C" w14:textId="77777777" w:rsidR="00A52197" w:rsidRPr="00A406E5" w:rsidRDefault="00A52197" w:rsidP="00A5219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A52197" w:rsidRPr="00A406E5" w14:paraId="2D8B5747" w14:textId="77777777" w:rsidTr="001225A4">
        <w:trPr>
          <w:trHeight w:val="414"/>
        </w:trPr>
        <w:tc>
          <w:tcPr>
            <w:tcW w:w="10670" w:type="dxa"/>
            <w:shd w:val="clear" w:color="auto" w:fill="D9D9D9"/>
          </w:tcPr>
          <w:p w14:paraId="4F168223" w14:textId="77777777" w:rsidR="00A52197" w:rsidRPr="00A406E5" w:rsidRDefault="00A52197" w:rsidP="001225A4">
            <w:pPr>
              <w:jc w:val="center"/>
              <w:rPr>
                <w:rFonts w:ascii="Arial" w:hAnsi="Arial" w:cs="Arial"/>
                <w:b/>
                <w:caps/>
                <w:sz w:val="40"/>
              </w:rPr>
            </w:pPr>
            <w:r w:rsidRPr="00A406E5">
              <w:rPr>
                <w:rFonts w:ascii="Arial" w:hAnsi="Arial" w:cs="Arial"/>
                <w:b/>
                <w:caps/>
                <w:sz w:val="40"/>
              </w:rPr>
              <w:t>GUIDANCE FOR Students IN THE COMPLETION OF TASKS</w:t>
            </w:r>
          </w:p>
        </w:tc>
      </w:tr>
    </w:tbl>
    <w:p w14:paraId="559FFB1C" w14:textId="77777777" w:rsidR="00A52197" w:rsidRPr="00A406E5" w:rsidRDefault="00A52197" w:rsidP="00A52197">
      <w:pPr>
        <w:jc w:val="both"/>
        <w:rPr>
          <w:rFonts w:ascii="Arial" w:hAnsi="Arial" w:cs="Arial"/>
          <w:sz w:val="22"/>
          <w:szCs w:val="22"/>
        </w:rPr>
      </w:pPr>
    </w:p>
    <w:p w14:paraId="7571437A" w14:textId="77777777" w:rsidR="00A52197" w:rsidRDefault="00A52197" w:rsidP="00A5219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5368527" w14:textId="77777777" w:rsidR="00A52197" w:rsidRDefault="00A52197" w:rsidP="00A52197">
      <w:pPr>
        <w:jc w:val="both"/>
        <w:rPr>
          <w:rFonts w:ascii="Arial" w:hAnsi="Arial" w:cs="Arial"/>
          <w:b/>
          <w:sz w:val="22"/>
          <w:szCs w:val="22"/>
        </w:rPr>
      </w:pPr>
    </w:p>
    <w:p w14:paraId="679ED6F2" w14:textId="77777777" w:rsidR="00A52197" w:rsidRPr="00A406E5" w:rsidRDefault="00A52197" w:rsidP="00A52197">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3A90171" w14:textId="77777777" w:rsidR="00A52197" w:rsidRPr="00A406E5" w:rsidRDefault="00A52197" w:rsidP="00A5219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 Any sources you use should be current and up-to-date, mostly published within the last five years or so, though seminal/important works in the field may be older</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A92BBD" w14:textId="77777777" w:rsidR="00A52197" w:rsidRPr="00A406E5" w:rsidRDefault="00A52197" w:rsidP="00A52197">
      <w:pPr>
        <w:jc w:val="both"/>
        <w:rPr>
          <w:rFonts w:ascii="Arial" w:hAnsi="Arial" w:cs="Arial"/>
          <w:sz w:val="22"/>
          <w:szCs w:val="22"/>
        </w:rPr>
      </w:pPr>
    </w:p>
    <w:p w14:paraId="15FFA36A" w14:textId="77777777" w:rsidR="00A52197" w:rsidRPr="00A406E5" w:rsidRDefault="00A52197" w:rsidP="00A5219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B2CE45D" w14:textId="77777777" w:rsidR="00A52197" w:rsidRPr="008E2E88" w:rsidRDefault="00A52197" w:rsidP="00A52197">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w:t>
      </w:r>
      <w:proofErr w:type="gramStart"/>
      <w:r w:rsidRPr="008E2E88">
        <w:rPr>
          <w:rFonts w:ascii="Arial" w:hAnsi="Arial" w:cs="Arial"/>
          <w:sz w:val="22"/>
          <w:szCs w:val="22"/>
        </w:rPr>
        <w:t xml:space="preserve">.  </w:t>
      </w:r>
      <w:proofErr w:type="gramEnd"/>
    </w:p>
    <w:p w14:paraId="544188DE" w14:textId="77777777" w:rsidR="00A52197" w:rsidRPr="00A406E5" w:rsidRDefault="00A52197" w:rsidP="00A52197">
      <w:pPr>
        <w:jc w:val="both"/>
        <w:rPr>
          <w:rFonts w:ascii="Arial" w:hAnsi="Arial" w:cs="Arial"/>
          <w:sz w:val="22"/>
          <w:szCs w:val="22"/>
        </w:rPr>
      </w:pPr>
    </w:p>
    <w:p w14:paraId="712C989E" w14:textId="77777777" w:rsidR="00A52197" w:rsidRPr="00A406E5" w:rsidRDefault="00A52197" w:rsidP="00A52197">
      <w:pPr>
        <w:jc w:val="both"/>
        <w:rPr>
          <w:rFonts w:ascii="Arial" w:hAnsi="Arial" w:cs="Arial"/>
          <w:sz w:val="22"/>
          <w:szCs w:val="22"/>
        </w:rPr>
      </w:pPr>
    </w:p>
    <w:p w14:paraId="56E7DBC9" w14:textId="77777777" w:rsidR="00A52197" w:rsidRPr="00A406E5" w:rsidRDefault="00A52197" w:rsidP="00A52197">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7E78790" w14:textId="77777777" w:rsidR="00A52197" w:rsidRPr="00A406E5" w:rsidRDefault="00A52197" w:rsidP="00A5219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w:t>
      </w:r>
      <w:proofErr w:type="gramStart"/>
      <w:r w:rsidRPr="00C073F1">
        <w:rPr>
          <w:rFonts w:ascii="Arial" w:hAnsi="Arial" w:cs="Arial"/>
          <w:sz w:val="22"/>
          <w:szCs w:val="22"/>
        </w:rPr>
        <w:t>ambiguity</w:t>
      </w:r>
      <w:proofErr w:type="gramEnd"/>
      <w:r w:rsidRPr="00C073F1">
        <w:rPr>
          <w:rFonts w:ascii="Arial" w:hAnsi="Arial" w:cs="Arial"/>
          <w:sz w:val="22"/>
          <w:szCs w:val="22"/>
        </w:rPr>
        <w:t xml:space="preserve">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understanding of concepts and underlying principles associated with the subject area</w:t>
      </w:r>
      <w:proofErr w:type="gramStart"/>
      <w:r w:rsidRPr="00A406E5">
        <w:rPr>
          <w:rFonts w:ascii="Arial" w:hAnsi="Arial" w:cs="Arial"/>
          <w:sz w:val="22"/>
          <w:szCs w:val="22"/>
        </w:rPr>
        <w:t xml:space="preserve">.  </w:t>
      </w:r>
      <w:proofErr w:type="gramEnd"/>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w:t>
      </w:r>
      <w:proofErr w:type="gramStart"/>
      <w:r w:rsidRPr="00A406E5">
        <w:rPr>
          <w:rFonts w:ascii="Arial" w:hAnsi="Arial" w:cs="Arial"/>
          <w:sz w:val="22"/>
          <w:szCs w:val="22"/>
        </w:rPr>
        <w:t xml:space="preserve">.  </w:t>
      </w:r>
      <w:proofErr w:type="gramEnd"/>
      <w:r w:rsidRPr="00A406E5">
        <w:rPr>
          <w:rFonts w:ascii="Arial" w:hAnsi="Arial" w:cs="Arial"/>
          <w:sz w:val="22"/>
          <w:szCs w:val="22"/>
        </w:rPr>
        <w:t>You should be able to explain the theories, concepts, etc. meaningfully to show your understanding</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848551D" w14:textId="77777777" w:rsidR="00A52197" w:rsidRPr="00A406E5" w:rsidRDefault="00A52197" w:rsidP="00A52197">
      <w:pPr>
        <w:jc w:val="both"/>
        <w:rPr>
          <w:rFonts w:ascii="Arial" w:hAnsi="Arial" w:cs="Arial"/>
          <w:b/>
          <w:i/>
          <w:sz w:val="22"/>
          <w:szCs w:val="22"/>
        </w:rPr>
      </w:pPr>
    </w:p>
    <w:p w14:paraId="79F5FD0B" w14:textId="77777777" w:rsidR="00A52197" w:rsidRPr="00A406E5" w:rsidRDefault="00A52197" w:rsidP="00A5219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CF98215" w14:textId="77777777" w:rsidR="00A52197" w:rsidRPr="00A406E5" w:rsidRDefault="00A52197" w:rsidP="00A52197">
      <w:pPr>
        <w:jc w:val="both"/>
        <w:rPr>
          <w:rFonts w:ascii="Arial" w:hAnsi="Arial" w:cs="Arial"/>
          <w:sz w:val="22"/>
          <w:szCs w:val="22"/>
        </w:rPr>
      </w:pPr>
    </w:p>
    <w:p w14:paraId="3B005FD5" w14:textId="77777777" w:rsidR="00A52197" w:rsidRPr="00A406E5" w:rsidRDefault="00A52197" w:rsidP="00A52197">
      <w:pPr>
        <w:jc w:val="both"/>
        <w:rPr>
          <w:rFonts w:ascii="Arial" w:hAnsi="Arial" w:cs="Arial"/>
          <w:b/>
          <w:sz w:val="22"/>
          <w:szCs w:val="22"/>
        </w:rPr>
      </w:pPr>
    </w:p>
    <w:p w14:paraId="18694021" w14:textId="77777777" w:rsidR="00A52197" w:rsidRPr="00A406E5" w:rsidRDefault="00A52197" w:rsidP="00A52197">
      <w:pPr>
        <w:numPr>
          <w:ilvl w:val="0"/>
          <w:numId w:val="1"/>
        </w:numPr>
        <w:jc w:val="both"/>
        <w:rPr>
          <w:rFonts w:ascii="Arial" w:hAnsi="Arial" w:cs="Arial"/>
          <w:b/>
          <w:sz w:val="22"/>
          <w:szCs w:val="22"/>
        </w:rPr>
      </w:pPr>
      <w:r>
        <w:rPr>
          <w:rFonts w:ascii="Arial" w:hAnsi="Arial" w:cs="Arial"/>
          <w:b/>
          <w:sz w:val="22"/>
          <w:szCs w:val="22"/>
        </w:rPr>
        <w:t>Cognitive and Intellectual Skills</w:t>
      </w:r>
    </w:p>
    <w:p w14:paraId="18CDEBFC" w14:textId="77777777" w:rsidR="00A52197" w:rsidRPr="00A406E5" w:rsidRDefault="00A52197" w:rsidP="00A5219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w:t>
      </w:r>
      <w:r w:rsidRPr="00A406E5">
        <w:rPr>
          <w:rFonts w:ascii="Arial" w:hAnsi="Arial" w:cs="Arial"/>
          <w:sz w:val="22"/>
          <w:szCs w:val="22"/>
        </w:rPr>
        <w:lastRenderedPageBreak/>
        <w:t xml:space="preserve">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 for your arguments and judgements</w:t>
      </w:r>
      <w:proofErr w:type="gramStart"/>
      <w:r w:rsidRPr="00A406E5">
        <w:rPr>
          <w:rFonts w:ascii="Arial" w:hAnsi="Arial" w:cs="Arial"/>
          <w:sz w:val="22"/>
          <w:szCs w:val="22"/>
        </w:rPr>
        <w:t xml:space="preserve">.  </w:t>
      </w:r>
      <w:proofErr w:type="gramEnd"/>
      <w:r w:rsidRPr="00A406E5">
        <w:rPr>
          <w:rFonts w:ascii="Arial" w:hAnsi="Arial" w:cs="Arial"/>
          <w:sz w:val="22"/>
          <w:szCs w:val="22"/>
        </w:rPr>
        <w:t>Evidence that you have reflected upon the ideas of others within the subject area is crucial to you providing a reasoned and informed debate within your work</w:t>
      </w:r>
      <w:proofErr w:type="gramStart"/>
      <w:r w:rsidRPr="00A406E5">
        <w:rPr>
          <w:rFonts w:ascii="Arial" w:hAnsi="Arial" w:cs="Arial"/>
          <w:sz w:val="22"/>
          <w:szCs w:val="22"/>
        </w:rPr>
        <w:t xml:space="preserve">.  </w:t>
      </w:r>
      <w:proofErr w:type="gramEnd"/>
      <w:r w:rsidRPr="00A406E5">
        <w:rPr>
          <w:rFonts w:ascii="Arial" w:hAnsi="Arial" w:cs="Arial"/>
          <w:sz w:val="22"/>
          <w:szCs w:val="22"/>
        </w:rPr>
        <w:t>Furthermore, you should provide evidence that you are able to make sound judgements and convincing arguments using data and concepts</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Sound, valid conclusions are necessary and must be derived </w:t>
      </w:r>
      <w:r>
        <w:rPr>
          <w:rFonts w:ascii="Arial" w:hAnsi="Arial" w:cs="Arial"/>
          <w:sz w:val="22"/>
          <w:szCs w:val="22"/>
        </w:rPr>
        <w:t>from the content of your work</w:t>
      </w:r>
      <w:proofErr w:type="gramStart"/>
      <w:r>
        <w:rPr>
          <w:rFonts w:ascii="Arial" w:hAnsi="Arial" w:cs="Arial"/>
          <w:sz w:val="22"/>
          <w:szCs w:val="22"/>
        </w:rPr>
        <w:t xml:space="preserve">. </w:t>
      </w:r>
      <w:r w:rsidRPr="00A406E5">
        <w:rPr>
          <w:rFonts w:ascii="Arial" w:hAnsi="Arial" w:cs="Arial"/>
          <w:sz w:val="22"/>
          <w:szCs w:val="22"/>
        </w:rPr>
        <w:t xml:space="preserve"> </w:t>
      </w:r>
      <w:proofErr w:type="gramEnd"/>
      <w:r w:rsidRPr="00A406E5">
        <w:rPr>
          <w:rFonts w:ascii="Arial" w:hAnsi="Arial" w:cs="Arial"/>
          <w:sz w:val="22"/>
          <w:szCs w:val="22"/>
        </w:rPr>
        <w:t xml:space="preserve"> Where relevant, alternative solutions and recommendations may be proposed.</w:t>
      </w:r>
    </w:p>
    <w:p w14:paraId="2EE2ECA7" w14:textId="77777777" w:rsidR="00A52197" w:rsidRPr="00A406E5" w:rsidRDefault="00A52197" w:rsidP="00A52197">
      <w:pPr>
        <w:jc w:val="both"/>
        <w:rPr>
          <w:rFonts w:ascii="Arial" w:hAnsi="Arial" w:cs="Arial"/>
          <w:sz w:val="22"/>
          <w:szCs w:val="22"/>
        </w:rPr>
      </w:pPr>
    </w:p>
    <w:p w14:paraId="529D8ECB" w14:textId="77777777" w:rsidR="00A52197" w:rsidRPr="00A406E5" w:rsidRDefault="00A52197" w:rsidP="00A5219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17BF092" w14:textId="77777777" w:rsidR="00A52197" w:rsidRPr="008E2E88" w:rsidRDefault="00A52197" w:rsidP="00A52197">
      <w:pPr>
        <w:jc w:val="both"/>
        <w:rPr>
          <w:rFonts w:ascii="Arial" w:hAnsi="Arial" w:cs="Arial"/>
          <w:sz w:val="22"/>
          <w:szCs w:val="22"/>
        </w:rPr>
      </w:pPr>
      <w:r w:rsidRPr="008E2E88">
        <w:rPr>
          <w:rFonts w:ascii="Arial" w:hAnsi="Arial" w:cs="Arial"/>
          <w:sz w:val="22"/>
          <w:szCs w:val="22"/>
        </w:rPr>
        <w:t xml:space="preserve">Demonstrate a logical development </w:t>
      </w:r>
      <w:r>
        <w:rPr>
          <w:rFonts w:ascii="Arial" w:hAnsi="Arial" w:cs="Arial"/>
          <w:sz w:val="22"/>
          <w:szCs w:val="22"/>
        </w:rPr>
        <w:t xml:space="preserve">of </w:t>
      </w:r>
      <w:r w:rsidRPr="008E2E88">
        <w:rPr>
          <w:rFonts w:ascii="Arial" w:hAnsi="Arial" w:cs="Arial"/>
          <w:sz w:val="22"/>
          <w:szCs w:val="22"/>
        </w:rPr>
        <w:t>your ideas and provide a clear critical evaluation of your chosen topic.</w:t>
      </w:r>
    </w:p>
    <w:p w14:paraId="0AC8B6F5" w14:textId="77777777" w:rsidR="00A52197" w:rsidRPr="008E2E88" w:rsidRDefault="00A52197" w:rsidP="00A52197">
      <w:pPr>
        <w:jc w:val="both"/>
        <w:rPr>
          <w:rFonts w:ascii="Arial" w:hAnsi="Arial" w:cs="Arial"/>
          <w:b/>
          <w:sz w:val="22"/>
          <w:szCs w:val="22"/>
        </w:rPr>
      </w:pPr>
    </w:p>
    <w:p w14:paraId="511F8509" w14:textId="77777777" w:rsidR="00A52197" w:rsidRPr="00A406E5" w:rsidRDefault="00A52197" w:rsidP="00A52197">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13F79CE" w14:textId="77777777" w:rsidR="00A52197" w:rsidRPr="00A406E5" w:rsidRDefault="00A52197" w:rsidP="00A5219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w:t>
      </w:r>
      <w:proofErr w:type="gramStart"/>
      <w:r w:rsidRPr="006D6B5E">
        <w:rPr>
          <w:rFonts w:ascii="Arial" w:hAnsi="Arial" w:cs="Arial"/>
          <w:sz w:val="22"/>
          <w:szCs w:val="22"/>
        </w:rPr>
        <w:t>extend</w:t>
      </w:r>
      <w:proofErr w:type="gramEnd"/>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w:t>
      </w:r>
      <w:proofErr w:type="gramStart"/>
      <w:r w:rsidRPr="00A406E5">
        <w:rPr>
          <w:rFonts w:ascii="Arial" w:hAnsi="Arial" w:cs="Arial"/>
          <w:sz w:val="22"/>
          <w:szCs w:val="22"/>
        </w:rPr>
        <w:t xml:space="preserve">.  </w:t>
      </w:r>
      <w:proofErr w:type="gramEnd"/>
      <w:r w:rsidRPr="00A406E5">
        <w:rPr>
          <w:rFonts w:ascii="Arial" w:hAnsi="Arial" w:cs="Arial"/>
          <w:sz w:val="22"/>
          <w:szCs w:val="22"/>
        </w:rPr>
        <w:t>How do they work in practice</w:t>
      </w:r>
      <w:proofErr w:type="gramStart"/>
      <w:r w:rsidRPr="00A406E5">
        <w:rPr>
          <w:rFonts w:ascii="Arial" w:hAnsi="Arial" w:cs="Arial"/>
          <w:sz w:val="22"/>
          <w:szCs w:val="22"/>
        </w:rPr>
        <w:t xml:space="preserve">?  </w:t>
      </w:r>
      <w:proofErr w:type="gramEnd"/>
      <w:r w:rsidRPr="00A406E5">
        <w:rPr>
          <w:rFonts w:ascii="Arial" w:hAnsi="Arial" w:cs="Arial"/>
          <w:sz w:val="22"/>
          <w:szCs w:val="22"/>
        </w:rPr>
        <w:t>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some of which may be innovative and creative</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B30B997" w14:textId="77777777" w:rsidR="00A52197" w:rsidRPr="00A406E5" w:rsidRDefault="00A52197" w:rsidP="00A52197">
      <w:pPr>
        <w:jc w:val="both"/>
        <w:rPr>
          <w:rFonts w:ascii="Arial" w:hAnsi="Arial" w:cs="Arial"/>
          <w:sz w:val="22"/>
          <w:szCs w:val="22"/>
        </w:rPr>
      </w:pPr>
    </w:p>
    <w:p w14:paraId="574CA2F5" w14:textId="77777777" w:rsidR="00A52197" w:rsidRPr="00A406E5" w:rsidRDefault="00A52197" w:rsidP="00A5219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2146753" w14:textId="77777777" w:rsidR="00A52197" w:rsidRPr="008E2E88" w:rsidRDefault="00A52197" w:rsidP="00A52197">
      <w:pPr>
        <w:jc w:val="both"/>
        <w:rPr>
          <w:rFonts w:ascii="Arial" w:hAnsi="Arial" w:cs="Arial"/>
          <w:sz w:val="22"/>
          <w:szCs w:val="22"/>
        </w:rPr>
      </w:pPr>
      <w:r w:rsidRPr="008E2E88">
        <w:rPr>
          <w:rFonts w:ascii="Arial" w:hAnsi="Arial" w:cs="Arial"/>
          <w:sz w:val="22"/>
          <w:szCs w:val="22"/>
        </w:rPr>
        <w:t xml:space="preserve">Provide relevant practical implications and suggestions based upon your critical review of the chosen topic. </w:t>
      </w:r>
    </w:p>
    <w:p w14:paraId="53CC9838" w14:textId="77777777" w:rsidR="00A52197" w:rsidRPr="008E2E88" w:rsidRDefault="00A52197" w:rsidP="00A52197">
      <w:pPr>
        <w:jc w:val="both"/>
        <w:rPr>
          <w:rFonts w:ascii="Arial" w:hAnsi="Arial" w:cs="Arial"/>
          <w:sz w:val="22"/>
          <w:szCs w:val="22"/>
        </w:rPr>
      </w:pPr>
    </w:p>
    <w:p w14:paraId="6AF8779B" w14:textId="77777777" w:rsidR="00A52197" w:rsidRPr="00A406E5" w:rsidRDefault="00A52197" w:rsidP="00A52197">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911584A" w14:textId="77777777" w:rsidR="00A52197" w:rsidRPr="00A406E5" w:rsidRDefault="00A52197" w:rsidP="00A5219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proofErr w:type="gramStart"/>
      <w:r w:rsidRPr="00A406E5">
        <w:rPr>
          <w:rFonts w:ascii="Arial" w:hAnsi="Arial" w:cs="Arial"/>
          <w:sz w:val="22"/>
          <w:szCs w:val="22"/>
        </w:rPr>
        <w:t xml:space="preserve">.  </w:t>
      </w:r>
      <w:proofErr w:type="gramEnd"/>
      <w:r w:rsidRPr="00A406E5">
        <w:rPr>
          <w:rFonts w:ascii="Arial" w:hAnsi="Arial" w:cs="Arial"/>
          <w:sz w:val="22"/>
          <w:szCs w:val="22"/>
        </w:rPr>
        <w:t>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974E6C7" w14:textId="77777777" w:rsidR="00A52197" w:rsidRDefault="00A52197" w:rsidP="00A52197">
      <w:pPr>
        <w:jc w:val="both"/>
        <w:rPr>
          <w:rFonts w:ascii="Arial" w:hAnsi="Arial" w:cs="Arial"/>
          <w:sz w:val="22"/>
          <w:szCs w:val="22"/>
        </w:rPr>
      </w:pPr>
    </w:p>
    <w:p w14:paraId="64C6163D" w14:textId="77777777" w:rsidR="00A52197" w:rsidRPr="00A406E5" w:rsidRDefault="00A52197" w:rsidP="00A52197">
      <w:pPr>
        <w:jc w:val="both"/>
        <w:rPr>
          <w:rFonts w:ascii="Arial" w:hAnsi="Arial" w:cs="Arial"/>
          <w:sz w:val="22"/>
          <w:szCs w:val="22"/>
        </w:rPr>
      </w:pPr>
    </w:p>
    <w:p w14:paraId="1E5019F9" w14:textId="77777777" w:rsidR="00A52197" w:rsidRPr="00A406E5" w:rsidRDefault="00A52197" w:rsidP="00A5219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20129F2" w14:textId="77777777" w:rsidR="00A52197" w:rsidRPr="00A406E5" w:rsidRDefault="00A52197" w:rsidP="00A52197">
      <w:pPr>
        <w:jc w:val="both"/>
        <w:rPr>
          <w:rFonts w:ascii="Arial" w:hAnsi="Arial" w:cs="Arial"/>
          <w:sz w:val="22"/>
          <w:szCs w:val="22"/>
        </w:rPr>
      </w:pPr>
      <w:r>
        <w:rPr>
          <w:rFonts w:ascii="Arial" w:hAnsi="Arial" w:cs="Arial"/>
          <w:sz w:val="22"/>
          <w:szCs w:val="22"/>
        </w:rPr>
        <w:t xml:space="preserve">Demonstrate the ability to present a well-constructed critical essay.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A52197" w:rsidRPr="00A406E5" w14:paraId="45644007" w14:textId="77777777" w:rsidTr="00C30625">
        <w:trPr>
          <w:jc w:val="center"/>
        </w:trPr>
        <w:tc>
          <w:tcPr>
            <w:tcW w:w="9016" w:type="dxa"/>
            <w:shd w:val="clear" w:color="auto" w:fill="BFBFBF"/>
          </w:tcPr>
          <w:p w14:paraId="125AEDDF" w14:textId="77777777" w:rsidR="00A52197" w:rsidRPr="00A406E5" w:rsidRDefault="00A52197" w:rsidP="001225A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F93957" w14:textId="77777777" w:rsidR="00A52197" w:rsidRPr="00A406E5" w:rsidRDefault="00A52197" w:rsidP="00A52197">
      <w:pPr>
        <w:rPr>
          <w:rFonts w:ascii="Arial" w:hAnsi="Arial" w:cs="Arial"/>
        </w:rPr>
      </w:pPr>
    </w:p>
    <w:p w14:paraId="41198E8E" w14:textId="77777777" w:rsidR="00A52197" w:rsidRPr="00A406E5" w:rsidRDefault="00A52197" w:rsidP="00A5219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w:t>
      </w:r>
      <w:r w:rsidRPr="00A406E5">
        <w:rPr>
          <w:rFonts w:ascii="Arial" w:hAnsi="Arial" w:cs="Arial"/>
          <w:sz w:val="20"/>
        </w:rPr>
        <w:lastRenderedPageBreak/>
        <w:t>space provided to comment on the achievement of the task(s), including those areas in which you have performed well and areas that would benefit from development/improvement.</w:t>
      </w:r>
    </w:p>
    <w:p w14:paraId="7338CED0" w14:textId="77777777" w:rsidR="00A52197" w:rsidRPr="00A406E5" w:rsidRDefault="00A52197" w:rsidP="00A52197">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A52197" w:rsidRPr="00A406E5" w14:paraId="5DFFB2E8" w14:textId="77777777" w:rsidTr="001225A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62EB0F" w14:textId="77777777" w:rsidR="00A52197" w:rsidRPr="00A406E5" w:rsidRDefault="00A52197" w:rsidP="001225A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E09510" w14:textId="77777777" w:rsidR="00A52197" w:rsidRPr="00A85BFE" w:rsidRDefault="00A52197" w:rsidP="001225A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C34EE5" w14:textId="77777777" w:rsidR="00A52197" w:rsidRPr="00A85BFE" w:rsidRDefault="00A52197" w:rsidP="001225A4">
            <w:pPr>
              <w:ind w:left="113" w:right="113"/>
              <w:jc w:val="center"/>
              <w:rPr>
                <w:rFonts w:ascii="Arial" w:hAnsi="Arial" w:cs="Arial"/>
                <w:b/>
                <w:sz w:val="18"/>
                <w:szCs w:val="18"/>
              </w:rPr>
            </w:pPr>
            <w:r w:rsidRPr="00A85BFE">
              <w:rPr>
                <w:rFonts w:ascii="Arial" w:hAnsi="Arial" w:cs="Arial"/>
                <w:b/>
                <w:sz w:val="18"/>
                <w:szCs w:val="18"/>
              </w:rPr>
              <w:t xml:space="preserve">Marks </w:t>
            </w:r>
          </w:p>
          <w:p w14:paraId="67B676FD" w14:textId="77777777" w:rsidR="00A52197" w:rsidRPr="00A85BFE" w:rsidRDefault="00A52197" w:rsidP="001225A4">
            <w:pPr>
              <w:ind w:left="113" w:right="113"/>
              <w:jc w:val="center"/>
              <w:rPr>
                <w:rFonts w:ascii="Arial" w:hAnsi="Arial" w:cs="Arial"/>
                <w:b/>
                <w:sz w:val="18"/>
                <w:szCs w:val="18"/>
              </w:rPr>
            </w:pPr>
            <w:r w:rsidRPr="00A85BFE">
              <w:rPr>
                <w:rFonts w:ascii="Arial" w:hAnsi="Arial" w:cs="Arial"/>
                <w:b/>
                <w:sz w:val="18"/>
                <w:szCs w:val="18"/>
              </w:rPr>
              <w:t>awarded</w:t>
            </w:r>
          </w:p>
        </w:tc>
      </w:tr>
      <w:tr w:rsidR="00A52197" w:rsidRPr="00A406E5" w14:paraId="11CA6D34" w14:textId="77777777" w:rsidTr="001225A4">
        <w:trPr>
          <w:trHeight w:val="450"/>
        </w:trPr>
        <w:tc>
          <w:tcPr>
            <w:tcW w:w="4169" w:type="pct"/>
            <w:tcBorders>
              <w:top w:val="single" w:sz="4" w:space="0" w:color="auto"/>
              <w:left w:val="single" w:sz="4" w:space="0" w:color="auto"/>
              <w:right w:val="single" w:sz="4" w:space="0" w:color="auto"/>
            </w:tcBorders>
            <w:shd w:val="clear" w:color="auto" w:fill="D9D9D9"/>
          </w:tcPr>
          <w:p w14:paraId="357F56CF" w14:textId="77777777" w:rsidR="00A52197" w:rsidRPr="00A406E5" w:rsidRDefault="00A52197" w:rsidP="001225A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1320595" w14:textId="77777777" w:rsidR="00A52197" w:rsidRPr="00A406E5" w:rsidRDefault="00A52197" w:rsidP="001225A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0D22C9" w14:textId="77777777" w:rsidR="00A52197" w:rsidRPr="00A406E5" w:rsidRDefault="00A52197" w:rsidP="001225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C4406" w14:textId="77777777" w:rsidR="00A52197" w:rsidRPr="00A406E5" w:rsidRDefault="00A52197" w:rsidP="001225A4">
            <w:pPr>
              <w:jc w:val="center"/>
              <w:rPr>
                <w:rFonts w:ascii="Arial" w:hAnsi="Arial" w:cs="Arial"/>
                <w:sz w:val="32"/>
              </w:rPr>
            </w:pPr>
          </w:p>
        </w:tc>
      </w:tr>
      <w:tr w:rsidR="00A52197" w:rsidRPr="00A406E5" w14:paraId="70B143DA" w14:textId="77777777" w:rsidTr="001225A4">
        <w:trPr>
          <w:trHeight w:val="450"/>
        </w:trPr>
        <w:tc>
          <w:tcPr>
            <w:tcW w:w="4169" w:type="pct"/>
            <w:vMerge w:val="restart"/>
            <w:tcBorders>
              <w:top w:val="single" w:sz="4" w:space="0" w:color="auto"/>
              <w:left w:val="single" w:sz="4" w:space="0" w:color="auto"/>
              <w:right w:val="single" w:sz="4" w:space="0" w:color="auto"/>
            </w:tcBorders>
          </w:tcPr>
          <w:p w14:paraId="1DCC2142" w14:textId="77777777" w:rsidR="00A52197" w:rsidRPr="00A406E5" w:rsidRDefault="00A52197" w:rsidP="001225A4">
            <w:pPr>
              <w:spacing w:after="120"/>
              <w:rPr>
                <w:rFonts w:ascii="Arial" w:hAnsi="Arial" w:cs="Arial"/>
                <w:sz w:val="14"/>
                <w:szCs w:val="14"/>
              </w:rPr>
            </w:pPr>
          </w:p>
          <w:p w14:paraId="3B24B1C0" w14:textId="77777777" w:rsidR="00A52197" w:rsidRPr="00A406E5" w:rsidRDefault="00A52197" w:rsidP="001225A4">
            <w:pPr>
              <w:spacing w:after="120"/>
              <w:rPr>
                <w:rFonts w:ascii="Arial" w:hAnsi="Arial" w:cs="Arial"/>
                <w:sz w:val="14"/>
                <w:szCs w:val="14"/>
              </w:rPr>
            </w:pPr>
          </w:p>
          <w:p w14:paraId="09C3E540" w14:textId="77777777" w:rsidR="00A52197" w:rsidRPr="00A406E5" w:rsidRDefault="00A52197" w:rsidP="001225A4">
            <w:pPr>
              <w:spacing w:after="120"/>
              <w:rPr>
                <w:rFonts w:ascii="Arial" w:hAnsi="Arial" w:cs="Arial"/>
                <w:sz w:val="14"/>
                <w:szCs w:val="14"/>
              </w:rPr>
            </w:pPr>
          </w:p>
          <w:p w14:paraId="3B3E7B34" w14:textId="77777777" w:rsidR="00A52197" w:rsidRPr="00A406E5" w:rsidRDefault="00A52197" w:rsidP="001225A4">
            <w:pPr>
              <w:spacing w:after="120"/>
              <w:rPr>
                <w:rFonts w:ascii="Arial" w:hAnsi="Arial" w:cs="Arial"/>
                <w:sz w:val="14"/>
                <w:szCs w:val="14"/>
              </w:rPr>
            </w:pPr>
          </w:p>
          <w:p w14:paraId="67094125" w14:textId="77777777" w:rsidR="00A52197" w:rsidRPr="00A406E5" w:rsidRDefault="00A52197" w:rsidP="001225A4">
            <w:pPr>
              <w:spacing w:after="120"/>
              <w:rPr>
                <w:rFonts w:ascii="Arial" w:hAnsi="Arial" w:cs="Arial"/>
                <w:sz w:val="14"/>
                <w:szCs w:val="14"/>
              </w:rPr>
            </w:pPr>
          </w:p>
          <w:p w14:paraId="69151EAD"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6C4D0" w14:textId="77777777" w:rsidR="00A52197" w:rsidRPr="00A406E5" w:rsidRDefault="00A52197" w:rsidP="001225A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7F943F8" w14:textId="77777777" w:rsidR="00A52197" w:rsidRPr="00A406E5" w:rsidRDefault="00A52197" w:rsidP="001225A4">
            <w:pPr>
              <w:jc w:val="center"/>
              <w:rPr>
                <w:rFonts w:ascii="Arial" w:hAnsi="Arial" w:cs="Arial"/>
                <w:sz w:val="32"/>
              </w:rPr>
            </w:pPr>
          </w:p>
        </w:tc>
      </w:tr>
      <w:tr w:rsidR="00A52197" w:rsidRPr="00A406E5" w14:paraId="1D1F6AF4" w14:textId="77777777" w:rsidTr="001225A4">
        <w:trPr>
          <w:trHeight w:val="451"/>
        </w:trPr>
        <w:tc>
          <w:tcPr>
            <w:tcW w:w="4169" w:type="pct"/>
            <w:vMerge/>
            <w:tcBorders>
              <w:left w:val="single" w:sz="4" w:space="0" w:color="auto"/>
              <w:bottom w:val="single" w:sz="4" w:space="0" w:color="auto"/>
              <w:right w:val="single" w:sz="4" w:space="0" w:color="auto"/>
            </w:tcBorders>
          </w:tcPr>
          <w:p w14:paraId="5B84FC54" w14:textId="77777777" w:rsidR="00A52197" w:rsidRPr="00A406E5" w:rsidRDefault="00A52197" w:rsidP="001225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0FF5B" w14:textId="77777777" w:rsidR="00A52197" w:rsidRPr="00A406E5" w:rsidRDefault="00A52197" w:rsidP="001225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E0FB8F" w14:textId="77777777" w:rsidR="00A52197" w:rsidRPr="00A406E5" w:rsidRDefault="00A52197" w:rsidP="001225A4">
            <w:pPr>
              <w:jc w:val="center"/>
              <w:rPr>
                <w:rFonts w:ascii="Arial" w:hAnsi="Arial" w:cs="Arial"/>
                <w:sz w:val="32"/>
              </w:rPr>
            </w:pPr>
          </w:p>
        </w:tc>
      </w:tr>
      <w:tr w:rsidR="00A52197" w:rsidRPr="00A406E5" w14:paraId="46EDBA89" w14:textId="77777777" w:rsidTr="001225A4">
        <w:trPr>
          <w:trHeight w:val="450"/>
        </w:trPr>
        <w:tc>
          <w:tcPr>
            <w:tcW w:w="4169" w:type="pct"/>
            <w:tcBorders>
              <w:top w:val="single" w:sz="4" w:space="0" w:color="auto"/>
              <w:left w:val="single" w:sz="4" w:space="0" w:color="auto"/>
              <w:right w:val="single" w:sz="4" w:space="0" w:color="auto"/>
            </w:tcBorders>
            <w:shd w:val="clear" w:color="auto" w:fill="D9D9D9"/>
          </w:tcPr>
          <w:p w14:paraId="5956C97D" w14:textId="77777777" w:rsidR="00A52197" w:rsidRPr="00A406E5" w:rsidRDefault="00A52197" w:rsidP="001225A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17C98BF"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FCDD82" w14:textId="77777777" w:rsidR="00A52197" w:rsidRPr="00A406E5" w:rsidRDefault="00A52197" w:rsidP="001225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CAA376" w14:textId="77777777" w:rsidR="00A52197" w:rsidRPr="00A406E5" w:rsidRDefault="00A52197" w:rsidP="001225A4">
            <w:pPr>
              <w:jc w:val="center"/>
              <w:rPr>
                <w:rFonts w:ascii="Arial" w:hAnsi="Arial" w:cs="Arial"/>
                <w:sz w:val="32"/>
              </w:rPr>
            </w:pPr>
          </w:p>
        </w:tc>
      </w:tr>
      <w:tr w:rsidR="00A52197" w:rsidRPr="00A406E5" w14:paraId="21542B20" w14:textId="77777777" w:rsidTr="001225A4">
        <w:trPr>
          <w:trHeight w:val="450"/>
        </w:trPr>
        <w:tc>
          <w:tcPr>
            <w:tcW w:w="4169" w:type="pct"/>
            <w:vMerge w:val="restart"/>
            <w:tcBorders>
              <w:top w:val="single" w:sz="4" w:space="0" w:color="auto"/>
              <w:left w:val="single" w:sz="4" w:space="0" w:color="auto"/>
              <w:right w:val="single" w:sz="4" w:space="0" w:color="auto"/>
            </w:tcBorders>
          </w:tcPr>
          <w:p w14:paraId="2919FD5A" w14:textId="77777777" w:rsidR="00A52197" w:rsidRPr="00A406E5" w:rsidRDefault="00A52197" w:rsidP="001225A4">
            <w:pPr>
              <w:spacing w:after="120"/>
              <w:rPr>
                <w:rFonts w:ascii="Arial" w:hAnsi="Arial" w:cs="Arial"/>
                <w:sz w:val="14"/>
                <w:szCs w:val="14"/>
              </w:rPr>
            </w:pPr>
          </w:p>
          <w:p w14:paraId="65192888" w14:textId="77777777" w:rsidR="00A52197" w:rsidRPr="00A406E5" w:rsidRDefault="00A52197" w:rsidP="001225A4">
            <w:pPr>
              <w:spacing w:after="120"/>
              <w:rPr>
                <w:rFonts w:ascii="Arial" w:hAnsi="Arial" w:cs="Arial"/>
                <w:sz w:val="14"/>
                <w:szCs w:val="14"/>
              </w:rPr>
            </w:pPr>
          </w:p>
          <w:p w14:paraId="1134C426" w14:textId="77777777" w:rsidR="00A52197" w:rsidRPr="00A406E5" w:rsidRDefault="00A52197" w:rsidP="001225A4">
            <w:pPr>
              <w:spacing w:after="120"/>
              <w:rPr>
                <w:rFonts w:ascii="Arial" w:hAnsi="Arial" w:cs="Arial"/>
                <w:sz w:val="14"/>
                <w:szCs w:val="14"/>
              </w:rPr>
            </w:pPr>
          </w:p>
          <w:p w14:paraId="30559802" w14:textId="77777777" w:rsidR="00A52197" w:rsidRPr="00A406E5" w:rsidRDefault="00A52197" w:rsidP="001225A4">
            <w:pPr>
              <w:spacing w:after="120"/>
              <w:rPr>
                <w:rFonts w:ascii="Arial" w:hAnsi="Arial" w:cs="Arial"/>
                <w:sz w:val="14"/>
                <w:szCs w:val="14"/>
              </w:rPr>
            </w:pPr>
          </w:p>
          <w:p w14:paraId="5EB55306" w14:textId="77777777" w:rsidR="00A52197" w:rsidRPr="00A406E5" w:rsidRDefault="00A52197" w:rsidP="001225A4">
            <w:pPr>
              <w:spacing w:after="120"/>
              <w:rPr>
                <w:rFonts w:ascii="Arial" w:hAnsi="Arial" w:cs="Arial"/>
                <w:sz w:val="14"/>
                <w:szCs w:val="14"/>
              </w:rPr>
            </w:pPr>
          </w:p>
          <w:p w14:paraId="6D3F0643"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02690" w14:textId="77777777" w:rsidR="00A52197" w:rsidRPr="00A406E5" w:rsidRDefault="00A52197" w:rsidP="001225A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3341D48" w14:textId="77777777" w:rsidR="00A52197" w:rsidRPr="00A406E5" w:rsidRDefault="00A52197" w:rsidP="001225A4">
            <w:pPr>
              <w:jc w:val="center"/>
              <w:rPr>
                <w:rFonts w:ascii="Arial" w:hAnsi="Arial" w:cs="Arial"/>
                <w:sz w:val="32"/>
              </w:rPr>
            </w:pPr>
          </w:p>
        </w:tc>
      </w:tr>
      <w:tr w:rsidR="00A52197" w:rsidRPr="00A406E5" w14:paraId="15D29BBC" w14:textId="77777777" w:rsidTr="001225A4">
        <w:trPr>
          <w:trHeight w:val="451"/>
        </w:trPr>
        <w:tc>
          <w:tcPr>
            <w:tcW w:w="4169" w:type="pct"/>
            <w:vMerge/>
            <w:tcBorders>
              <w:left w:val="single" w:sz="4" w:space="0" w:color="auto"/>
              <w:bottom w:val="single" w:sz="4" w:space="0" w:color="auto"/>
              <w:right w:val="single" w:sz="4" w:space="0" w:color="auto"/>
            </w:tcBorders>
          </w:tcPr>
          <w:p w14:paraId="3507278B" w14:textId="77777777" w:rsidR="00A52197" w:rsidRPr="00A406E5" w:rsidRDefault="00A52197" w:rsidP="001225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84CCD2" w14:textId="77777777" w:rsidR="00A52197" w:rsidRPr="00A406E5" w:rsidRDefault="00A52197" w:rsidP="001225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B27F82" w14:textId="77777777" w:rsidR="00A52197" w:rsidRPr="00A406E5" w:rsidRDefault="00A52197" w:rsidP="001225A4">
            <w:pPr>
              <w:jc w:val="center"/>
              <w:rPr>
                <w:rFonts w:ascii="Arial" w:hAnsi="Arial" w:cs="Arial"/>
                <w:sz w:val="32"/>
              </w:rPr>
            </w:pPr>
          </w:p>
        </w:tc>
      </w:tr>
      <w:tr w:rsidR="00A52197" w:rsidRPr="00A406E5" w14:paraId="32B4D795" w14:textId="77777777" w:rsidTr="001225A4">
        <w:trPr>
          <w:trHeight w:val="450"/>
        </w:trPr>
        <w:tc>
          <w:tcPr>
            <w:tcW w:w="4169" w:type="pct"/>
            <w:tcBorders>
              <w:top w:val="single" w:sz="4" w:space="0" w:color="auto"/>
              <w:left w:val="single" w:sz="4" w:space="0" w:color="auto"/>
              <w:right w:val="single" w:sz="4" w:space="0" w:color="auto"/>
            </w:tcBorders>
            <w:shd w:val="clear" w:color="auto" w:fill="D9D9D9"/>
          </w:tcPr>
          <w:p w14:paraId="4BAD385D" w14:textId="77777777" w:rsidR="00A52197" w:rsidRPr="00A406E5" w:rsidRDefault="00A52197" w:rsidP="001225A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58230C"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56658" w14:textId="77777777" w:rsidR="00A52197" w:rsidRPr="00A406E5" w:rsidRDefault="00A52197" w:rsidP="001225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3EF6D" w14:textId="77777777" w:rsidR="00A52197" w:rsidRPr="00A406E5" w:rsidRDefault="00A52197" w:rsidP="001225A4">
            <w:pPr>
              <w:jc w:val="center"/>
              <w:rPr>
                <w:rFonts w:ascii="Arial" w:hAnsi="Arial" w:cs="Arial"/>
                <w:sz w:val="32"/>
              </w:rPr>
            </w:pPr>
          </w:p>
        </w:tc>
      </w:tr>
      <w:tr w:rsidR="00A52197" w:rsidRPr="00A406E5" w14:paraId="647FD5A5" w14:textId="77777777" w:rsidTr="001225A4">
        <w:trPr>
          <w:trHeight w:val="450"/>
        </w:trPr>
        <w:tc>
          <w:tcPr>
            <w:tcW w:w="4169" w:type="pct"/>
            <w:vMerge w:val="restart"/>
            <w:tcBorders>
              <w:top w:val="single" w:sz="4" w:space="0" w:color="auto"/>
              <w:left w:val="single" w:sz="4" w:space="0" w:color="auto"/>
              <w:right w:val="single" w:sz="4" w:space="0" w:color="auto"/>
            </w:tcBorders>
          </w:tcPr>
          <w:p w14:paraId="5EBF3556" w14:textId="77777777" w:rsidR="00A52197" w:rsidRPr="00A406E5" w:rsidRDefault="00A52197" w:rsidP="001225A4">
            <w:pPr>
              <w:spacing w:after="120"/>
              <w:rPr>
                <w:rFonts w:ascii="Arial" w:hAnsi="Arial" w:cs="Arial"/>
                <w:sz w:val="14"/>
                <w:szCs w:val="14"/>
              </w:rPr>
            </w:pPr>
          </w:p>
          <w:p w14:paraId="686E05A6" w14:textId="77777777" w:rsidR="00A52197" w:rsidRPr="00A406E5" w:rsidRDefault="00A52197" w:rsidP="001225A4">
            <w:pPr>
              <w:spacing w:after="120"/>
              <w:rPr>
                <w:rFonts w:ascii="Arial" w:hAnsi="Arial" w:cs="Arial"/>
                <w:sz w:val="14"/>
                <w:szCs w:val="14"/>
              </w:rPr>
            </w:pPr>
          </w:p>
          <w:p w14:paraId="5FDB903D" w14:textId="77777777" w:rsidR="00A52197" w:rsidRPr="00A406E5" w:rsidRDefault="00A52197" w:rsidP="001225A4">
            <w:pPr>
              <w:spacing w:after="120"/>
              <w:rPr>
                <w:rFonts w:ascii="Arial" w:hAnsi="Arial" w:cs="Arial"/>
                <w:sz w:val="14"/>
                <w:szCs w:val="14"/>
              </w:rPr>
            </w:pPr>
          </w:p>
          <w:p w14:paraId="05395353" w14:textId="77777777" w:rsidR="00A52197" w:rsidRPr="00A406E5" w:rsidRDefault="00A52197" w:rsidP="001225A4">
            <w:pPr>
              <w:spacing w:after="120"/>
              <w:rPr>
                <w:rFonts w:ascii="Arial" w:hAnsi="Arial" w:cs="Arial"/>
                <w:sz w:val="14"/>
                <w:szCs w:val="14"/>
              </w:rPr>
            </w:pPr>
          </w:p>
          <w:p w14:paraId="033E3E7E" w14:textId="77777777" w:rsidR="00A52197" w:rsidRPr="00A406E5" w:rsidRDefault="00A52197" w:rsidP="001225A4">
            <w:pPr>
              <w:spacing w:after="120"/>
              <w:rPr>
                <w:rFonts w:ascii="Arial" w:hAnsi="Arial" w:cs="Arial"/>
                <w:sz w:val="14"/>
                <w:szCs w:val="14"/>
              </w:rPr>
            </w:pPr>
          </w:p>
          <w:p w14:paraId="05F0291D"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65FFFF" w14:textId="77777777" w:rsidR="00A52197" w:rsidRPr="00A406E5" w:rsidRDefault="00A52197" w:rsidP="001225A4">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1ACEE5" w14:textId="77777777" w:rsidR="00A52197" w:rsidRPr="00A406E5" w:rsidRDefault="00A52197" w:rsidP="001225A4">
            <w:pPr>
              <w:jc w:val="center"/>
              <w:rPr>
                <w:rFonts w:ascii="Arial" w:hAnsi="Arial" w:cs="Arial"/>
                <w:sz w:val="32"/>
              </w:rPr>
            </w:pPr>
          </w:p>
        </w:tc>
      </w:tr>
      <w:tr w:rsidR="00A52197" w:rsidRPr="00A406E5" w14:paraId="14784395" w14:textId="77777777" w:rsidTr="001225A4">
        <w:trPr>
          <w:trHeight w:val="451"/>
        </w:trPr>
        <w:tc>
          <w:tcPr>
            <w:tcW w:w="4169" w:type="pct"/>
            <w:vMerge/>
            <w:tcBorders>
              <w:left w:val="single" w:sz="4" w:space="0" w:color="auto"/>
              <w:bottom w:val="single" w:sz="4" w:space="0" w:color="auto"/>
              <w:right w:val="single" w:sz="4" w:space="0" w:color="auto"/>
            </w:tcBorders>
          </w:tcPr>
          <w:p w14:paraId="17340C76" w14:textId="77777777" w:rsidR="00A52197" w:rsidRPr="00A406E5" w:rsidRDefault="00A52197" w:rsidP="001225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EC576" w14:textId="77777777" w:rsidR="00A52197" w:rsidRPr="00A406E5" w:rsidRDefault="00A52197" w:rsidP="001225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7A1B5C" w14:textId="77777777" w:rsidR="00A52197" w:rsidRPr="00A406E5" w:rsidRDefault="00A52197" w:rsidP="001225A4">
            <w:pPr>
              <w:jc w:val="center"/>
              <w:rPr>
                <w:rFonts w:ascii="Arial" w:hAnsi="Arial" w:cs="Arial"/>
                <w:sz w:val="32"/>
              </w:rPr>
            </w:pPr>
          </w:p>
        </w:tc>
      </w:tr>
      <w:tr w:rsidR="00A52197" w:rsidRPr="00A406E5" w14:paraId="40741E52" w14:textId="77777777" w:rsidTr="001225A4">
        <w:trPr>
          <w:trHeight w:val="450"/>
        </w:trPr>
        <w:tc>
          <w:tcPr>
            <w:tcW w:w="4169" w:type="pct"/>
            <w:tcBorders>
              <w:top w:val="single" w:sz="4" w:space="0" w:color="auto"/>
              <w:left w:val="single" w:sz="4" w:space="0" w:color="auto"/>
              <w:right w:val="single" w:sz="4" w:space="0" w:color="auto"/>
            </w:tcBorders>
            <w:shd w:val="clear" w:color="auto" w:fill="D9D9D9"/>
          </w:tcPr>
          <w:p w14:paraId="64C57694" w14:textId="77777777" w:rsidR="00A52197" w:rsidRPr="00A406E5" w:rsidRDefault="00A52197" w:rsidP="001225A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663089A"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4DA096" w14:textId="77777777" w:rsidR="00A52197" w:rsidRPr="00A406E5" w:rsidRDefault="00A52197" w:rsidP="001225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166D83" w14:textId="77777777" w:rsidR="00A52197" w:rsidRPr="00A406E5" w:rsidRDefault="00A52197" w:rsidP="001225A4">
            <w:pPr>
              <w:jc w:val="center"/>
              <w:rPr>
                <w:rFonts w:ascii="Arial" w:hAnsi="Arial" w:cs="Arial"/>
                <w:sz w:val="32"/>
              </w:rPr>
            </w:pPr>
          </w:p>
        </w:tc>
      </w:tr>
      <w:tr w:rsidR="00A52197" w:rsidRPr="00A406E5" w14:paraId="39B09EC1" w14:textId="77777777" w:rsidTr="001225A4">
        <w:trPr>
          <w:trHeight w:val="451"/>
        </w:trPr>
        <w:tc>
          <w:tcPr>
            <w:tcW w:w="4169" w:type="pct"/>
            <w:vMerge w:val="restart"/>
            <w:tcBorders>
              <w:top w:val="single" w:sz="4" w:space="0" w:color="auto"/>
              <w:left w:val="single" w:sz="4" w:space="0" w:color="auto"/>
              <w:right w:val="single" w:sz="4" w:space="0" w:color="auto"/>
            </w:tcBorders>
          </w:tcPr>
          <w:p w14:paraId="41BC0090" w14:textId="77777777" w:rsidR="00A52197" w:rsidRPr="00A406E5" w:rsidRDefault="00A52197" w:rsidP="001225A4">
            <w:pPr>
              <w:spacing w:after="120"/>
              <w:rPr>
                <w:rFonts w:ascii="Arial" w:hAnsi="Arial" w:cs="Arial"/>
                <w:sz w:val="14"/>
                <w:szCs w:val="14"/>
              </w:rPr>
            </w:pPr>
          </w:p>
          <w:p w14:paraId="646E66CF" w14:textId="77777777" w:rsidR="00A52197" w:rsidRPr="00A406E5" w:rsidRDefault="00A52197" w:rsidP="001225A4">
            <w:pPr>
              <w:spacing w:after="120"/>
              <w:rPr>
                <w:rFonts w:ascii="Arial" w:hAnsi="Arial" w:cs="Arial"/>
                <w:sz w:val="14"/>
                <w:szCs w:val="14"/>
              </w:rPr>
            </w:pPr>
          </w:p>
          <w:p w14:paraId="7A6AEC83" w14:textId="77777777" w:rsidR="00A52197" w:rsidRPr="00A406E5" w:rsidRDefault="00A52197" w:rsidP="001225A4">
            <w:pPr>
              <w:spacing w:after="120"/>
              <w:rPr>
                <w:rFonts w:ascii="Arial" w:hAnsi="Arial" w:cs="Arial"/>
                <w:sz w:val="14"/>
                <w:szCs w:val="14"/>
              </w:rPr>
            </w:pPr>
          </w:p>
          <w:p w14:paraId="73004B35" w14:textId="77777777" w:rsidR="00A52197" w:rsidRPr="00A406E5" w:rsidRDefault="00A52197" w:rsidP="001225A4">
            <w:pPr>
              <w:spacing w:after="120"/>
              <w:rPr>
                <w:rFonts w:ascii="Arial" w:hAnsi="Arial" w:cs="Arial"/>
                <w:sz w:val="14"/>
                <w:szCs w:val="14"/>
              </w:rPr>
            </w:pPr>
          </w:p>
          <w:p w14:paraId="6D522690" w14:textId="77777777" w:rsidR="00A52197" w:rsidRPr="00A406E5" w:rsidRDefault="00A52197" w:rsidP="001225A4">
            <w:pPr>
              <w:spacing w:after="120"/>
              <w:rPr>
                <w:rFonts w:ascii="Arial" w:hAnsi="Arial" w:cs="Arial"/>
                <w:sz w:val="14"/>
                <w:szCs w:val="14"/>
              </w:rPr>
            </w:pPr>
          </w:p>
          <w:p w14:paraId="039E5B53"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22401D" w14:textId="77777777" w:rsidR="00A52197" w:rsidRPr="00A406E5" w:rsidRDefault="00A52197" w:rsidP="001225A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0284E1" w14:textId="77777777" w:rsidR="00A52197" w:rsidRPr="00A406E5" w:rsidRDefault="00A52197" w:rsidP="001225A4">
            <w:pPr>
              <w:jc w:val="center"/>
              <w:rPr>
                <w:rFonts w:ascii="Arial" w:hAnsi="Arial" w:cs="Arial"/>
                <w:sz w:val="32"/>
              </w:rPr>
            </w:pPr>
          </w:p>
        </w:tc>
      </w:tr>
      <w:tr w:rsidR="00A52197" w:rsidRPr="00A406E5" w14:paraId="4ECA9482" w14:textId="77777777" w:rsidTr="001225A4">
        <w:trPr>
          <w:trHeight w:val="450"/>
        </w:trPr>
        <w:tc>
          <w:tcPr>
            <w:tcW w:w="4169" w:type="pct"/>
            <w:vMerge/>
            <w:tcBorders>
              <w:left w:val="single" w:sz="4" w:space="0" w:color="auto"/>
              <w:bottom w:val="single" w:sz="4" w:space="0" w:color="auto"/>
              <w:right w:val="single" w:sz="4" w:space="0" w:color="auto"/>
            </w:tcBorders>
          </w:tcPr>
          <w:p w14:paraId="47C724FC" w14:textId="77777777" w:rsidR="00A52197" w:rsidRPr="00A406E5" w:rsidRDefault="00A52197" w:rsidP="001225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E2AD57" w14:textId="77777777" w:rsidR="00A52197" w:rsidRPr="00A406E5" w:rsidRDefault="00A52197" w:rsidP="001225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20BB9F" w14:textId="77777777" w:rsidR="00A52197" w:rsidRPr="00A406E5" w:rsidRDefault="00A52197" w:rsidP="001225A4">
            <w:pPr>
              <w:jc w:val="center"/>
              <w:rPr>
                <w:rFonts w:ascii="Arial" w:hAnsi="Arial" w:cs="Arial"/>
                <w:sz w:val="32"/>
              </w:rPr>
            </w:pPr>
          </w:p>
        </w:tc>
      </w:tr>
      <w:tr w:rsidR="00A52197" w:rsidRPr="00A406E5" w14:paraId="1977CDAF" w14:textId="77777777" w:rsidTr="001225A4">
        <w:trPr>
          <w:trHeight w:val="450"/>
        </w:trPr>
        <w:tc>
          <w:tcPr>
            <w:tcW w:w="4169" w:type="pct"/>
            <w:tcBorders>
              <w:top w:val="single" w:sz="4" w:space="0" w:color="auto"/>
              <w:left w:val="single" w:sz="4" w:space="0" w:color="auto"/>
              <w:right w:val="single" w:sz="4" w:space="0" w:color="auto"/>
            </w:tcBorders>
            <w:shd w:val="clear" w:color="auto" w:fill="D9D9D9"/>
          </w:tcPr>
          <w:p w14:paraId="4CB01F95" w14:textId="77777777" w:rsidR="00A52197" w:rsidRPr="00A406E5" w:rsidRDefault="00A52197" w:rsidP="001225A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BB88799"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36C4B6" w14:textId="77777777" w:rsidR="00A52197" w:rsidRPr="00A406E5" w:rsidRDefault="00A52197" w:rsidP="001225A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254292" w14:textId="77777777" w:rsidR="00A52197" w:rsidRPr="00A406E5" w:rsidRDefault="00A52197" w:rsidP="001225A4">
            <w:pPr>
              <w:jc w:val="center"/>
              <w:rPr>
                <w:rFonts w:ascii="Arial" w:hAnsi="Arial" w:cs="Arial"/>
                <w:sz w:val="32"/>
              </w:rPr>
            </w:pPr>
          </w:p>
        </w:tc>
      </w:tr>
      <w:tr w:rsidR="00A52197" w:rsidRPr="00A406E5" w14:paraId="5E8188B8" w14:textId="77777777" w:rsidTr="001225A4">
        <w:trPr>
          <w:trHeight w:val="451"/>
        </w:trPr>
        <w:tc>
          <w:tcPr>
            <w:tcW w:w="4169" w:type="pct"/>
            <w:vMerge w:val="restart"/>
            <w:tcBorders>
              <w:top w:val="single" w:sz="4" w:space="0" w:color="auto"/>
              <w:left w:val="single" w:sz="4" w:space="0" w:color="auto"/>
              <w:right w:val="single" w:sz="4" w:space="0" w:color="auto"/>
            </w:tcBorders>
          </w:tcPr>
          <w:p w14:paraId="241A62C1" w14:textId="77777777" w:rsidR="00A52197" w:rsidRPr="00A406E5" w:rsidRDefault="00A52197" w:rsidP="001225A4">
            <w:pPr>
              <w:spacing w:after="120"/>
              <w:rPr>
                <w:rFonts w:ascii="Arial" w:hAnsi="Arial" w:cs="Arial"/>
                <w:sz w:val="14"/>
                <w:szCs w:val="14"/>
              </w:rPr>
            </w:pPr>
          </w:p>
          <w:p w14:paraId="234B5816" w14:textId="77777777" w:rsidR="00A52197" w:rsidRPr="00A406E5" w:rsidRDefault="00A52197" w:rsidP="001225A4">
            <w:pPr>
              <w:spacing w:after="120"/>
              <w:rPr>
                <w:rFonts w:ascii="Arial" w:hAnsi="Arial" w:cs="Arial"/>
                <w:sz w:val="14"/>
                <w:szCs w:val="14"/>
              </w:rPr>
            </w:pPr>
          </w:p>
          <w:p w14:paraId="1C7F12E5" w14:textId="77777777" w:rsidR="00A52197" w:rsidRPr="00A406E5" w:rsidRDefault="00A52197" w:rsidP="001225A4">
            <w:pPr>
              <w:spacing w:after="120"/>
              <w:rPr>
                <w:rFonts w:ascii="Arial" w:hAnsi="Arial" w:cs="Arial"/>
                <w:sz w:val="14"/>
                <w:szCs w:val="14"/>
              </w:rPr>
            </w:pPr>
          </w:p>
          <w:p w14:paraId="520498EE" w14:textId="77777777" w:rsidR="00A52197" w:rsidRPr="00A406E5" w:rsidRDefault="00A52197" w:rsidP="001225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BD614" w14:textId="77777777" w:rsidR="00A52197" w:rsidRPr="00A406E5" w:rsidRDefault="00A52197" w:rsidP="001225A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5007B28" w14:textId="77777777" w:rsidR="00A52197" w:rsidRPr="00A406E5" w:rsidRDefault="00A52197" w:rsidP="001225A4">
            <w:pPr>
              <w:jc w:val="center"/>
              <w:rPr>
                <w:rFonts w:ascii="Arial" w:hAnsi="Arial" w:cs="Arial"/>
                <w:sz w:val="32"/>
              </w:rPr>
            </w:pPr>
          </w:p>
        </w:tc>
      </w:tr>
      <w:tr w:rsidR="00A52197" w:rsidRPr="00A406E5" w14:paraId="603A30E6" w14:textId="77777777" w:rsidTr="001225A4">
        <w:trPr>
          <w:trHeight w:val="450"/>
        </w:trPr>
        <w:tc>
          <w:tcPr>
            <w:tcW w:w="4169" w:type="pct"/>
            <w:vMerge/>
            <w:tcBorders>
              <w:left w:val="single" w:sz="4" w:space="0" w:color="auto"/>
              <w:bottom w:val="single" w:sz="4" w:space="0" w:color="auto"/>
              <w:right w:val="single" w:sz="4" w:space="0" w:color="auto"/>
            </w:tcBorders>
          </w:tcPr>
          <w:p w14:paraId="2A66D6DB" w14:textId="77777777" w:rsidR="00A52197" w:rsidRPr="00A406E5" w:rsidRDefault="00A52197" w:rsidP="001225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D6B7F" w14:textId="77777777" w:rsidR="00A52197" w:rsidRPr="00A406E5" w:rsidRDefault="00A52197" w:rsidP="001225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21BC1C" w14:textId="77777777" w:rsidR="00A52197" w:rsidRPr="00A406E5" w:rsidRDefault="00A52197" w:rsidP="001225A4">
            <w:pPr>
              <w:jc w:val="center"/>
              <w:rPr>
                <w:rFonts w:ascii="Arial" w:hAnsi="Arial" w:cs="Arial"/>
                <w:sz w:val="32"/>
              </w:rPr>
            </w:pPr>
          </w:p>
        </w:tc>
      </w:tr>
    </w:tbl>
    <w:p w14:paraId="3372C045" w14:textId="77777777" w:rsidR="00A52197" w:rsidRPr="00A406E5" w:rsidRDefault="00A52197" w:rsidP="00A5219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52197" w:rsidRPr="00A406E5" w14:paraId="4087369F" w14:textId="77777777" w:rsidTr="001225A4">
        <w:trPr>
          <w:cantSplit/>
        </w:trPr>
        <w:tc>
          <w:tcPr>
            <w:tcW w:w="6062" w:type="dxa"/>
            <w:vMerge w:val="restart"/>
            <w:shd w:val="pct15" w:color="auto" w:fill="auto"/>
            <w:vAlign w:val="center"/>
          </w:tcPr>
          <w:p w14:paraId="5446F34D" w14:textId="77777777" w:rsidR="00A52197" w:rsidRPr="00A406E5" w:rsidRDefault="00A52197" w:rsidP="001225A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w:t>
            </w:r>
            <w:proofErr w:type="gramStart"/>
            <w:r w:rsidRPr="00A406E5">
              <w:rPr>
                <w:rFonts w:ascii="Arial" w:hAnsi="Arial" w:cs="Arial"/>
                <w:sz w:val="16"/>
                <w:szCs w:val="16"/>
              </w:rPr>
              <w:t xml:space="preserve">.  </w:t>
            </w:r>
            <w:proofErr w:type="gramEnd"/>
            <w:r w:rsidRPr="00A406E5">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F0C1D1" w14:textId="77777777" w:rsidR="00A52197" w:rsidRPr="00A406E5" w:rsidRDefault="00A52197" w:rsidP="001225A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483787" w14:textId="77777777" w:rsidR="00A52197" w:rsidRPr="00A406E5" w:rsidRDefault="00A52197" w:rsidP="001225A4">
            <w:pPr>
              <w:jc w:val="right"/>
              <w:rPr>
                <w:rFonts w:ascii="Arial" w:hAnsi="Arial" w:cs="Arial"/>
                <w:b/>
                <w:bCs/>
              </w:rPr>
            </w:pPr>
            <w:r w:rsidRPr="00A406E5">
              <w:rPr>
                <w:rFonts w:ascii="Arial" w:hAnsi="Arial" w:cs="Arial"/>
                <w:b/>
                <w:bCs/>
              </w:rPr>
              <w:t>%</w:t>
            </w:r>
          </w:p>
        </w:tc>
      </w:tr>
      <w:tr w:rsidR="00A52197" w:rsidRPr="00A406E5" w14:paraId="2E30BFDD" w14:textId="77777777" w:rsidTr="001225A4">
        <w:trPr>
          <w:cantSplit/>
        </w:trPr>
        <w:tc>
          <w:tcPr>
            <w:tcW w:w="6062" w:type="dxa"/>
            <w:vMerge/>
            <w:vAlign w:val="bottom"/>
          </w:tcPr>
          <w:p w14:paraId="1E473FEA" w14:textId="77777777" w:rsidR="00A52197" w:rsidRPr="00A406E5" w:rsidRDefault="00A52197" w:rsidP="001225A4">
            <w:pPr>
              <w:rPr>
                <w:rFonts w:ascii="Arial" w:hAnsi="Arial" w:cs="Arial"/>
              </w:rPr>
            </w:pPr>
          </w:p>
        </w:tc>
        <w:tc>
          <w:tcPr>
            <w:tcW w:w="2903" w:type="dxa"/>
            <w:vAlign w:val="bottom"/>
          </w:tcPr>
          <w:p w14:paraId="2E6BB8CB" w14:textId="77777777" w:rsidR="00A52197" w:rsidRPr="00A406E5" w:rsidRDefault="00A52197" w:rsidP="001225A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59D13D7" w14:textId="77777777" w:rsidR="00A52197" w:rsidRPr="00A406E5" w:rsidRDefault="00A52197" w:rsidP="001225A4">
            <w:pPr>
              <w:jc w:val="center"/>
              <w:rPr>
                <w:rFonts w:ascii="Arial" w:hAnsi="Arial" w:cs="Arial"/>
                <w:sz w:val="12"/>
                <w:szCs w:val="12"/>
              </w:rPr>
            </w:pPr>
          </w:p>
        </w:tc>
        <w:tc>
          <w:tcPr>
            <w:tcW w:w="1060" w:type="dxa"/>
            <w:vMerge/>
            <w:vAlign w:val="bottom"/>
          </w:tcPr>
          <w:p w14:paraId="260F25FA" w14:textId="77777777" w:rsidR="00A52197" w:rsidRPr="00A406E5" w:rsidRDefault="00A52197" w:rsidP="001225A4">
            <w:pPr>
              <w:ind w:leftChars="71" w:left="142"/>
              <w:rPr>
                <w:rFonts w:ascii="Arial" w:hAnsi="Arial" w:cs="Arial"/>
              </w:rPr>
            </w:pPr>
          </w:p>
        </w:tc>
      </w:tr>
      <w:tr w:rsidR="00A52197" w:rsidRPr="00A406E5" w14:paraId="2EFF14B5" w14:textId="77777777" w:rsidTr="001225A4">
        <w:trPr>
          <w:cantSplit/>
        </w:trPr>
        <w:tc>
          <w:tcPr>
            <w:tcW w:w="6062" w:type="dxa"/>
            <w:vMerge/>
            <w:vAlign w:val="bottom"/>
          </w:tcPr>
          <w:p w14:paraId="1F3D452C" w14:textId="77777777" w:rsidR="00A52197" w:rsidRPr="00A406E5" w:rsidRDefault="00A52197" w:rsidP="001225A4">
            <w:pPr>
              <w:rPr>
                <w:rFonts w:ascii="Arial" w:hAnsi="Arial" w:cs="Arial"/>
              </w:rPr>
            </w:pPr>
          </w:p>
        </w:tc>
        <w:tc>
          <w:tcPr>
            <w:tcW w:w="2903" w:type="dxa"/>
            <w:vAlign w:val="bottom"/>
          </w:tcPr>
          <w:p w14:paraId="0C937231" w14:textId="77777777" w:rsidR="00A52197" w:rsidRPr="00A406E5" w:rsidRDefault="00A52197" w:rsidP="001225A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F90870A" w14:textId="77777777" w:rsidR="00A52197" w:rsidRPr="00A406E5" w:rsidRDefault="00A52197" w:rsidP="001225A4">
            <w:pPr>
              <w:jc w:val="center"/>
              <w:rPr>
                <w:rFonts w:ascii="Arial" w:hAnsi="Arial" w:cs="Arial"/>
                <w:sz w:val="12"/>
                <w:szCs w:val="12"/>
              </w:rPr>
            </w:pPr>
          </w:p>
        </w:tc>
        <w:tc>
          <w:tcPr>
            <w:tcW w:w="1060" w:type="dxa"/>
            <w:vMerge/>
            <w:vAlign w:val="bottom"/>
          </w:tcPr>
          <w:p w14:paraId="369937D1" w14:textId="77777777" w:rsidR="00A52197" w:rsidRPr="00A406E5" w:rsidRDefault="00A52197" w:rsidP="001225A4">
            <w:pPr>
              <w:ind w:firstLineChars="141" w:firstLine="282"/>
              <w:rPr>
                <w:rFonts w:ascii="Arial" w:hAnsi="Arial" w:cs="Arial"/>
              </w:rPr>
            </w:pPr>
          </w:p>
        </w:tc>
      </w:tr>
    </w:tbl>
    <w:p w14:paraId="63C80125" w14:textId="58EB49B4" w:rsidR="00C30625" w:rsidRDefault="00C30625"/>
    <w:p w14:paraId="55775827" w14:textId="77777777" w:rsidR="00C30625" w:rsidRDefault="00C30625">
      <w:pPr>
        <w:spacing w:after="160" w:line="259" w:lineRule="auto"/>
      </w:pPr>
      <w:r>
        <w:br w:type="page"/>
      </w:r>
    </w:p>
    <w:p w14:paraId="0A617C54" w14:textId="36A5B60A" w:rsidR="00A52197" w:rsidRDefault="00D03277" w:rsidP="00C30625">
      <w:pPr>
        <w:jc w:val="center"/>
        <w:rPr>
          <w:sz w:val="28"/>
          <w:szCs w:val="28"/>
          <w:u w:val="single"/>
        </w:rPr>
      </w:pPr>
      <w:r>
        <w:rPr>
          <w:sz w:val="28"/>
          <w:szCs w:val="28"/>
          <w:u w:val="single"/>
        </w:rPr>
        <w:lastRenderedPageBreak/>
        <w:t xml:space="preserve">The Influence of </w:t>
      </w:r>
      <w:r w:rsidR="00817B37">
        <w:rPr>
          <w:sz w:val="28"/>
          <w:szCs w:val="28"/>
          <w:u w:val="single"/>
        </w:rPr>
        <w:t>Gender</w:t>
      </w:r>
      <w:r w:rsidR="00A51FD9">
        <w:rPr>
          <w:sz w:val="28"/>
          <w:szCs w:val="28"/>
          <w:u w:val="single"/>
        </w:rPr>
        <w:t xml:space="preserve"> </w:t>
      </w:r>
      <w:r w:rsidR="00340A3F">
        <w:rPr>
          <w:sz w:val="28"/>
          <w:szCs w:val="28"/>
          <w:u w:val="single"/>
        </w:rPr>
        <w:t>Inequali</w:t>
      </w:r>
      <w:r w:rsidR="006F02DE">
        <w:rPr>
          <w:sz w:val="28"/>
          <w:szCs w:val="28"/>
          <w:u w:val="single"/>
        </w:rPr>
        <w:t>ty</w:t>
      </w:r>
      <w:r>
        <w:rPr>
          <w:sz w:val="28"/>
          <w:szCs w:val="28"/>
          <w:u w:val="single"/>
        </w:rPr>
        <w:t xml:space="preserve"> on the Ability </w:t>
      </w:r>
      <w:r w:rsidR="008267F7">
        <w:rPr>
          <w:sz w:val="28"/>
          <w:szCs w:val="28"/>
          <w:u w:val="single"/>
        </w:rPr>
        <w:t>for</w:t>
      </w:r>
      <w:r>
        <w:rPr>
          <w:sz w:val="28"/>
          <w:szCs w:val="28"/>
          <w:u w:val="single"/>
        </w:rPr>
        <w:t xml:space="preserve"> the Public to Lead a Healthy Lifestyle</w:t>
      </w:r>
    </w:p>
    <w:p w14:paraId="27B87453" w14:textId="77777777" w:rsidR="009C7F44" w:rsidRDefault="009C7F44" w:rsidP="00337E26">
      <w:pPr>
        <w:rPr>
          <w:sz w:val="28"/>
          <w:szCs w:val="28"/>
          <w:u w:val="single"/>
        </w:rPr>
      </w:pPr>
    </w:p>
    <w:p w14:paraId="70BD453F" w14:textId="77777777" w:rsidR="0040605B" w:rsidRDefault="0040605B" w:rsidP="00337E26">
      <w:pPr>
        <w:rPr>
          <w:sz w:val="24"/>
          <w:szCs w:val="24"/>
        </w:rPr>
      </w:pPr>
    </w:p>
    <w:p w14:paraId="65B478AA" w14:textId="55D9E8F5" w:rsidR="001451F2" w:rsidRDefault="00AC4E0D" w:rsidP="00337E26">
      <w:pPr>
        <w:rPr>
          <w:sz w:val="24"/>
          <w:szCs w:val="24"/>
        </w:rPr>
      </w:pPr>
      <w:r>
        <w:rPr>
          <w:sz w:val="24"/>
          <w:szCs w:val="24"/>
        </w:rPr>
        <w:t xml:space="preserve">Gender </w:t>
      </w:r>
      <w:r w:rsidR="006D5331">
        <w:rPr>
          <w:sz w:val="24"/>
          <w:szCs w:val="24"/>
        </w:rPr>
        <w:t xml:space="preserve">inequality has </w:t>
      </w:r>
      <w:r w:rsidR="00F26966">
        <w:rPr>
          <w:sz w:val="24"/>
          <w:szCs w:val="24"/>
        </w:rPr>
        <w:t xml:space="preserve">been </w:t>
      </w:r>
      <w:r w:rsidR="00595B9F">
        <w:rPr>
          <w:sz w:val="24"/>
          <w:szCs w:val="24"/>
        </w:rPr>
        <w:t xml:space="preserve">a </w:t>
      </w:r>
      <w:r w:rsidR="00703BDA">
        <w:rPr>
          <w:sz w:val="24"/>
          <w:szCs w:val="24"/>
        </w:rPr>
        <w:t xml:space="preserve">prevalent </w:t>
      </w:r>
      <w:r w:rsidR="00595B9F">
        <w:rPr>
          <w:sz w:val="24"/>
          <w:szCs w:val="24"/>
        </w:rPr>
        <w:t xml:space="preserve">issue for </w:t>
      </w:r>
      <w:r w:rsidR="00DA0B29">
        <w:rPr>
          <w:sz w:val="24"/>
          <w:szCs w:val="24"/>
        </w:rPr>
        <w:t xml:space="preserve">over </w:t>
      </w:r>
      <w:r w:rsidR="00C15264">
        <w:rPr>
          <w:sz w:val="24"/>
          <w:szCs w:val="24"/>
        </w:rPr>
        <w:t>one hundred</w:t>
      </w:r>
      <w:r w:rsidR="00DA0B29">
        <w:rPr>
          <w:sz w:val="24"/>
          <w:szCs w:val="24"/>
        </w:rPr>
        <w:t xml:space="preserve"> years</w:t>
      </w:r>
      <w:r w:rsidR="00FE7BF3">
        <w:rPr>
          <w:sz w:val="24"/>
          <w:szCs w:val="24"/>
        </w:rPr>
        <w:t xml:space="preserve">, causing </w:t>
      </w:r>
      <w:r w:rsidR="0072270D">
        <w:rPr>
          <w:sz w:val="24"/>
          <w:szCs w:val="24"/>
        </w:rPr>
        <w:t xml:space="preserve">various </w:t>
      </w:r>
      <w:r w:rsidR="00AD34C8">
        <w:rPr>
          <w:sz w:val="24"/>
          <w:szCs w:val="24"/>
        </w:rPr>
        <w:t>physical</w:t>
      </w:r>
      <w:r w:rsidR="00320FB2">
        <w:rPr>
          <w:sz w:val="24"/>
          <w:szCs w:val="24"/>
        </w:rPr>
        <w:t xml:space="preserve"> and</w:t>
      </w:r>
      <w:r w:rsidR="00EA41D1">
        <w:rPr>
          <w:sz w:val="24"/>
          <w:szCs w:val="24"/>
        </w:rPr>
        <w:t xml:space="preserve"> psychological</w:t>
      </w:r>
      <w:r w:rsidR="00320FB2">
        <w:rPr>
          <w:sz w:val="24"/>
          <w:szCs w:val="24"/>
        </w:rPr>
        <w:t xml:space="preserve"> </w:t>
      </w:r>
      <w:r w:rsidR="0072270D">
        <w:rPr>
          <w:sz w:val="24"/>
          <w:szCs w:val="24"/>
        </w:rPr>
        <w:t xml:space="preserve">issues </w:t>
      </w:r>
      <w:r w:rsidR="00E611F5">
        <w:rPr>
          <w:sz w:val="24"/>
          <w:szCs w:val="24"/>
        </w:rPr>
        <w:t xml:space="preserve">and appearing in </w:t>
      </w:r>
      <w:r w:rsidR="007668FA">
        <w:rPr>
          <w:sz w:val="24"/>
          <w:szCs w:val="24"/>
        </w:rPr>
        <w:t xml:space="preserve">many areas of life </w:t>
      </w:r>
      <w:r w:rsidR="00B56E6C">
        <w:rPr>
          <w:sz w:val="24"/>
          <w:szCs w:val="24"/>
        </w:rPr>
        <w:fldChar w:fldCharType="begin" w:fldLock="1"/>
      </w:r>
      <w:r w:rsidR="005B5293">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B56E6C">
        <w:rPr>
          <w:sz w:val="24"/>
          <w:szCs w:val="24"/>
        </w:rPr>
        <w:fldChar w:fldCharType="separate"/>
      </w:r>
      <w:r w:rsidR="00B56E6C" w:rsidRPr="00B56E6C">
        <w:rPr>
          <w:noProof/>
          <w:sz w:val="24"/>
          <w:szCs w:val="24"/>
        </w:rPr>
        <w:t>(Kenschaft, Clark and Ciambrone, 2015)</w:t>
      </w:r>
      <w:r w:rsidR="00B56E6C">
        <w:rPr>
          <w:sz w:val="24"/>
          <w:szCs w:val="24"/>
        </w:rPr>
        <w:fldChar w:fldCharType="end"/>
      </w:r>
      <w:r w:rsidR="00B56E6C">
        <w:rPr>
          <w:sz w:val="24"/>
          <w:szCs w:val="24"/>
        </w:rPr>
        <w:t>.</w:t>
      </w:r>
      <w:r w:rsidR="001C67C5">
        <w:rPr>
          <w:sz w:val="24"/>
          <w:szCs w:val="24"/>
        </w:rPr>
        <w:t xml:space="preserve"> </w:t>
      </w:r>
      <w:r w:rsidR="007E68BF">
        <w:rPr>
          <w:sz w:val="24"/>
          <w:szCs w:val="24"/>
        </w:rPr>
        <w:t xml:space="preserve">In </w:t>
      </w:r>
      <w:r w:rsidR="0076603D">
        <w:rPr>
          <w:sz w:val="24"/>
          <w:szCs w:val="24"/>
        </w:rPr>
        <w:t>the early 1900’s</w:t>
      </w:r>
      <w:r w:rsidR="00BD0BDF">
        <w:rPr>
          <w:sz w:val="24"/>
          <w:szCs w:val="24"/>
        </w:rPr>
        <w:t xml:space="preserve"> and even in places in the present day, </w:t>
      </w:r>
      <w:r w:rsidR="00027C1B">
        <w:rPr>
          <w:sz w:val="24"/>
          <w:szCs w:val="24"/>
        </w:rPr>
        <w:t xml:space="preserve">a person’s gender </w:t>
      </w:r>
      <w:r w:rsidR="005B5293">
        <w:rPr>
          <w:sz w:val="24"/>
          <w:szCs w:val="24"/>
        </w:rPr>
        <w:t xml:space="preserve">that they were assigned at birth dictated how they were to live their lives </w:t>
      </w:r>
      <w:r w:rsidR="005B5293">
        <w:rPr>
          <w:sz w:val="24"/>
          <w:szCs w:val="24"/>
        </w:rPr>
        <w:fldChar w:fldCharType="begin" w:fldLock="1"/>
      </w:r>
      <w:r w:rsidR="00BD0D14">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5B5293">
        <w:rPr>
          <w:sz w:val="24"/>
          <w:szCs w:val="24"/>
        </w:rPr>
        <w:fldChar w:fldCharType="separate"/>
      </w:r>
      <w:r w:rsidR="005B5293" w:rsidRPr="005B5293">
        <w:rPr>
          <w:noProof/>
          <w:sz w:val="24"/>
          <w:szCs w:val="24"/>
        </w:rPr>
        <w:t>(Kenschaft, Clark and Ciambrone, 2015)</w:t>
      </w:r>
      <w:r w:rsidR="005B5293">
        <w:rPr>
          <w:sz w:val="24"/>
          <w:szCs w:val="24"/>
        </w:rPr>
        <w:fldChar w:fldCharType="end"/>
      </w:r>
      <w:r w:rsidR="005B5293">
        <w:rPr>
          <w:sz w:val="24"/>
          <w:szCs w:val="24"/>
        </w:rPr>
        <w:t xml:space="preserve">. </w:t>
      </w:r>
      <w:r w:rsidR="009426B7">
        <w:rPr>
          <w:sz w:val="24"/>
          <w:szCs w:val="24"/>
        </w:rPr>
        <w:t xml:space="preserve">A woman was expected to work until she was married, she was then expected to have children and </w:t>
      </w:r>
      <w:r w:rsidR="00944F83">
        <w:rPr>
          <w:sz w:val="24"/>
          <w:szCs w:val="24"/>
        </w:rPr>
        <w:t xml:space="preserve">leave </w:t>
      </w:r>
      <w:r w:rsidR="00E45479">
        <w:rPr>
          <w:sz w:val="24"/>
          <w:szCs w:val="24"/>
        </w:rPr>
        <w:t>her</w:t>
      </w:r>
      <w:r w:rsidR="00944F83">
        <w:rPr>
          <w:sz w:val="24"/>
          <w:szCs w:val="24"/>
        </w:rPr>
        <w:t xml:space="preserve"> job to stay home and look after them, whereas a man’s dictated role </w:t>
      </w:r>
      <w:r w:rsidR="00057922">
        <w:rPr>
          <w:sz w:val="24"/>
          <w:szCs w:val="24"/>
        </w:rPr>
        <w:t xml:space="preserve">was to </w:t>
      </w:r>
      <w:r w:rsidR="00C025AF">
        <w:rPr>
          <w:sz w:val="24"/>
          <w:szCs w:val="24"/>
        </w:rPr>
        <w:t xml:space="preserve">work as much as possible </w:t>
      </w:r>
      <w:r w:rsidR="00A748A0">
        <w:rPr>
          <w:sz w:val="24"/>
          <w:szCs w:val="24"/>
        </w:rPr>
        <w:t>in order to support his family</w:t>
      </w:r>
      <w:r w:rsidR="00BD0D14">
        <w:rPr>
          <w:sz w:val="24"/>
          <w:szCs w:val="24"/>
        </w:rPr>
        <w:t xml:space="preserve"> </w:t>
      </w:r>
      <w:r w:rsidR="00BD0D14">
        <w:rPr>
          <w:sz w:val="24"/>
          <w:szCs w:val="24"/>
        </w:rPr>
        <w:fldChar w:fldCharType="begin" w:fldLock="1"/>
      </w:r>
      <w:r w:rsidR="00630775">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BD0D14">
        <w:rPr>
          <w:sz w:val="24"/>
          <w:szCs w:val="24"/>
        </w:rPr>
        <w:fldChar w:fldCharType="separate"/>
      </w:r>
      <w:r w:rsidR="00BD0D14" w:rsidRPr="00BD0D14">
        <w:rPr>
          <w:noProof/>
          <w:sz w:val="24"/>
          <w:szCs w:val="24"/>
        </w:rPr>
        <w:t>(Kenschaft, Clark and Ciambrone, 2015)</w:t>
      </w:r>
      <w:r w:rsidR="00BD0D14">
        <w:rPr>
          <w:sz w:val="24"/>
          <w:szCs w:val="24"/>
        </w:rPr>
        <w:fldChar w:fldCharType="end"/>
      </w:r>
      <w:r w:rsidR="00BD0D14">
        <w:rPr>
          <w:sz w:val="24"/>
          <w:szCs w:val="24"/>
        </w:rPr>
        <w:t>.</w:t>
      </w:r>
      <w:r w:rsidR="008D7CFB">
        <w:rPr>
          <w:sz w:val="24"/>
          <w:szCs w:val="24"/>
        </w:rPr>
        <w:t xml:space="preserve"> </w:t>
      </w:r>
      <w:r w:rsidR="00240D57">
        <w:rPr>
          <w:sz w:val="24"/>
          <w:szCs w:val="24"/>
        </w:rPr>
        <w:t xml:space="preserve">As time has gone on, these strict paths have </w:t>
      </w:r>
      <w:r w:rsidR="00527E28">
        <w:rPr>
          <w:sz w:val="24"/>
          <w:szCs w:val="24"/>
        </w:rPr>
        <w:t xml:space="preserve">faded in most parts of the world, seeing women working in </w:t>
      </w:r>
      <w:r w:rsidR="002E1A56">
        <w:rPr>
          <w:sz w:val="24"/>
          <w:szCs w:val="24"/>
        </w:rPr>
        <w:t xml:space="preserve">almost any position </w:t>
      </w:r>
      <w:r w:rsidR="00C74269">
        <w:rPr>
          <w:sz w:val="24"/>
          <w:szCs w:val="24"/>
        </w:rPr>
        <w:t xml:space="preserve">and many men </w:t>
      </w:r>
      <w:r w:rsidR="009B5BF6">
        <w:rPr>
          <w:sz w:val="24"/>
          <w:szCs w:val="24"/>
        </w:rPr>
        <w:t>deciding to stay home to look after the children</w:t>
      </w:r>
      <w:r w:rsidR="00BB1361">
        <w:rPr>
          <w:sz w:val="24"/>
          <w:szCs w:val="24"/>
        </w:rPr>
        <w:t xml:space="preserve"> </w:t>
      </w:r>
      <w:r w:rsidR="00BB1361">
        <w:rPr>
          <w:sz w:val="24"/>
          <w:szCs w:val="24"/>
        </w:rPr>
        <w:fldChar w:fldCharType="begin" w:fldLock="1"/>
      </w:r>
      <w:r w:rsidR="003C4AE9">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BB1361">
        <w:rPr>
          <w:sz w:val="24"/>
          <w:szCs w:val="24"/>
        </w:rPr>
        <w:fldChar w:fldCharType="separate"/>
      </w:r>
      <w:r w:rsidR="00BB1361" w:rsidRPr="00BB1361">
        <w:rPr>
          <w:noProof/>
          <w:sz w:val="24"/>
          <w:szCs w:val="24"/>
        </w:rPr>
        <w:t>(Kenschaft, Clark and Ciambrone, 2015)</w:t>
      </w:r>
      <w:r w:rsidR="00BB1361">
        <w:rPr>
          <w:sz w:val="24"/>
          <w:szCs w:val="24"/>
        </w:rPr>
        <w:fldChar w:fldCharType="end"/>
      </w:r>
      <w:r w:rsidR="00BB1361">
        <w:rPr>
          <w:sz w:val="24"/>
          <w:szCs w:val="24"/>
        </w:rPr>
        <w:t>.</w:t>
      </w:r>
      <w:r w:rsidR="00460FA8">
        <w:rPr>
          <w:sz w:val="24"/>
          <w:szCs w:val="24"/>
        </w:rPr>
        <w:t xml:space="preserve"> </w:t>
      </w:r>
      <w:r w:rsidR="00BB1361">
        <w:rPr>
          <w:sz w:val="24"/>
          <w:szCs w:val="24"/>
        </w:rPr>
        <w:t>T</w:t>
      </w:r>
      <w:r w:rsidR="00460FA8">
        <w:rPr>
          <w:sz w:val="24"/>
          <w:szCs w:val="24"/>
        </w:rPr>
        <w:t xml:space="preserve">here </w:t>
      </w:r>
      <w:r w:rsidR="00BB1361">
        <w:rPr>
          <w:sz w:val="24"/>
          <w:szCs w:val="24"/>
        </w:rPr>
        <w:t>has become</w:t>
      </w:r>
      <w:r w:rsidR="00460FA8">
        <w:rPr>
          <w:sz w:val="24"/>
          <w:szCs w:val="24"/>
        </w:rPr>
        <w:t xml:space="preserve"> more of a balance in the roles </w:t>
      </w:r>
      <w:r w:rsidR="00630775">
        <w:rPr>
          <w:sz w:val="24"/>
          <w:szCs w:val="24"/>
        </w:rPr>
        <w:t xml:space="preserve">and jobs </w:t>
      </w:r>
      <w:r w:rsidR="00460FA8">
        <w:rPr>
          <w:sz w:val="24"/>
          <w:szCs w:val="24"/>
        </w:rPr>
        <w:t xml:space="preserve">that men and women </w:t>
      </w:r>
      <w:r w:rsidR="00630775">
        <w:rPr>
          <w:sz w:val="24"/>
          <w:szCs w:val="24"/>
        </w:rPr>
        <w:t>choose</w:t>
      </w:r>
      <w:r w:rsidR="00BB1361">
        <w:rPr>
          <w:sz w:val="24"/>
          <w:szCs w:val="24"/>
        </w:rPr>
        <w:t xml:space="preserve"> </w:t>
      </w:r>
      <w:r w:rsidR="00630775">
        <w:rPr>
          <w:sz w:val="24"/>
          <w:szCs w:val="24"/>
        </w:rPr>
        <w:fldChar w:fldCharType="begin" w:fldLock="1"/>
      </w:r>
      <w:r w:rsidR="009C0E32">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630775">
        <w:rPr>
          <w:sz w:val="24"/>
          <w:szCs w:val="24"/>
        </w:rPr>
        <w:fldChar w:fldCharType="separate"/>
      </w:r>
      <w:r w:rsidR="00630775" w:rsidRPr="00630775">
        <w:rPr>
          <w:noProof/>
          <w:sz w:val="24"/>
          <w:szCs w:val="24"/>
        </w:rPr>
        <w:t>(Kenschaft, Clark and Ciambrone, 2015)</w:t>
      </w:r>
      <w:r w:rsidR="00630775">
        <w:rPr>
          <w:sz w:val="24"/>
          <w:szCs w:val="24"/>
        </w:rPr>
        <w:fldChar w:fldCharType="end"/>
      </w:r>
      <w:r w:rsidR="00630775">
        <w:rPr>
          <w:sz w:val="24"/>
          <w:szCs w:val="24"/>
        </w:rPr>
        <w:t>.</w:t>
      </w:r>
      <w:r w:rsidR="00D91C83">
        <w:rPr>
          <w:sz w:val="24"/>
          <w:szCs w:val="24"/>
        </w:rPr>
        <w:t xml:space="preserve"> </w:t>
      </w:r>
      <w:r w:rsidR="00520AF1">
        <w:rPr>
          <w:sz w:val="24"/>
          <w:szCs w:val="24"/>
        </w:rPr>
        <w:t>However, gender inequality is still a major factor in life</w:t>
      </w:r>
      <w:r w:rsidR="003C6189">
        <w:rPr>
          <w:sz w:val="24"/>
          <w:szCs w:val="24"/>
        </w:rPr>
        <w:t xml:space="preserve">, with men </w:t>
      </w:r>
      <w:r w:rsidR="00E22370">
        <w:rPr>
          <w:sz w:val="24"/>
          <w:szCs w:val="24"/>
        </w:rPr>
        <w:t>still having most of the high-income and powerful roles</w:t>
      </w:r>
      <w:r w:rsidR="00593C2B">
        <w:rPr>
          <w:sz w:val="24"/>
          <w:szCs w:val="24"/>
        </w:rPr>
        <w:t xml:space="preserve"> and women still being </w:t>
      </w:r>
      <w:r w:rsidR="00920086">
        <w:rPr>
          <w:sz w:val="24"/>
          <w:szCs w:val="24"/>
        </w:rPr>
        <w:t>primarily</w:t>
      </w:r>
      <w:r w:rsidR="00593C2B">
        <w:rPr>
          <w:sz w:val="24"/>
          <w:szCs w:val="24"/>
        </w:rPr>
        <w:t xml:space="preserve"> responsi</w:t>
      </w:r>
      <w:r w:rsidR="00920086">
        <w:rPr>
          <w:sz w:val="24"/>
          <w:szCs w:val="24"/>
        </w:rPr>
        <w:t>ble</w:t>
      </w:r>
      <w:r w:rsidR="00593C2B">
        <w:rPr>
          <w:sz w:val="24"/>
          <w:szCs w:val="24"/>
        </w:rPr>
        <w:t xml:space="preserve"> for </w:t>
      </w:r>
      <w:r w:rsidR="009C0E32">
        <w:rPr>
          <w:sz w:val="24"/>
          <w:szCs w:val="24"/>
        </w:rPr>
        <w:t>the children</w:t>
      </w:r>
      <w:r w:rsidR="00BC4EC4">
        <w:rPr>
          <w:sz w:val="24"/>
          <w:szCs w:val="24"/>
        </w:rPr>
        <w:t xml:space="preserve"> and the home</w:t>
      </w:r>
      <w:r w:rsidR="009C0E32">
        <w:rPr>
          <w:sz w:val="24"/>
          <w:szCs w:val="24"/>
        </w:rPr>
        <w:t xml:space="preserve"> </w:t>
      </w:r>
      <w:r w:rsidR="009C0E32">
        <w:rPr>
          <w:sz w:val="24"/>
          <w:szCs w:val="24"/>
        </w:rPr>
        <w:fldChar w:fldCharType="begin" w:fldLock="1"/>
      </w:r>
      <w:r w:rsidR="0041441C">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9C0E32">
        <w:rPr>
          <w:sz w:val="24"/>
          <w:szCs w:val="24"/>
        </w:rPr>
        <w:fldChar w:fldCharType="separate"/>
      </w:r>
      <w:r w:rsidR="009C0E32" w:rsidRPr="009C0E32">
        <w:rPr>
          <w:noProof/>
          <w:sz w:val="24"/>
          <w:szCs w:val="24"/>
        </w:rPr>
        <w:t>(Kenschaft, Clark and Ciambrone, 2015)</w:t>
      </w:r>
      <w:r w:rsidR="009C0E32">
        <w:rPr>
          <w:sz w:val="24"/>
          <w:szCs w:val="24"/>
        </w:rPr>
        <w:fldChar w:fldCharType="end"/>
      </w:r>
      <w:r w:rsidR="009C0E32">
        <w:rPr>
          <w:sz w:val="24"/>
          <w:szCs w:val="24"/>
        </w:rPr>
        <w:t>.</w:t>
      </w:r>
    </w:p>
    <w:p w14:paraId="12708DA5" w14:textId="77777777" w:rsidR="002935E6" w:rsidRDefault="002935E6" w:rsidP="00337E26">
      <w:pPr>
        <w:rPr>
          <w:sz w:val="24"/>
          <w:szCs w:val="24"/>
        </w:rPr>
      </w:pPr>
    </w:p>
    <w:p w14:paraId="1C12383F" w14:textId="4B855C76" w:rsidR="00B27C3F" w:rsidRDefault="00A2225D" w:rsidP="00337E26">
      <w:pPr>
        <w:rPr>
          <w:sz w:val="24"/>
          <w:szCs w:val="24"/>
        </w:rPr>
      </w:pPr>
      <w:r>
        <w:rPr>
          <w:sz w:val="24"/>
          <w:szCs w:val="24"/>
        </w:rPr>
        <w:t xml:space="preserve">The </w:t>
      </w:r>
      <w:r w:rsidR="00A3018E">
        <w:rPr>
          <w:sz w:val="24"/>
          <w:szCs w:val="24"/>
        </w:rPr>
        <w:t xml:space="preserve">gender patterns </w:t>
      </w:r>
      <w:r w:rsidR="00075DB9">
        <w:rPr>
          <w:sz w:val="24"/>
          <w:szCs w:val="24"/>
        </w:rPr>
        <w:t xml:space="preserve">of household and child responsibilities </w:t>
      </w:r>
      <w:r w:rsidR="008C36BA">
        <w:rPr>
          <w:sz w:val="24"/>
          <w:szCs w:val="24"/>
        </w:rPr>
        <w:t xml:space="preserve">mean that women </w:t>
      </w:r>
      <w:r w:rsidR="00DE0212">
        <w:rPr>
          <w:sz w:val="24"/>
          <w:szCs w:val="24"/>
        </w:rPr>
        <w:t>a</w:t>
      </w:r>
      <w:r w:rsidR="00FF3276">
        <w:rPr>
          <w:sz w:val="24"/>
          <w:szCs w:val="24"/>
        </w:rPr>
        <w:t>re</w:t>
      </w:r>
      <w:r w:rsidR="00661417">
        <w:rPr>
          <w:sz w:val="24"/>
          <w:szCs w:val="24"/>
        </w:rPr>
        <w:t xml:space="preserve"> still</w:t>
      </w:r>
      <w:r w:rsidR="00DE0212">
        <w:rPr>
          <w:sz w:val="24"/>
          <w:szCs w:val="24"/>
        </w:rPr>
        <w:t xml:space="preserve"> primarily responsible </w:t>
      </w:r>
      <w:r w:rsidR="00DD5A71">
        <w:rPr>
          <w:sz w:val="24"/>
          <w:szCs w:val="24"/>
        </w:rPr>
        <w:t xml:space="preserve">for the care </w:t>
      </w:r>
      <w:r w:rsidR="00EA012D">
        <w:rPr>
          <w:sz w:val="24"/>
          <w:szCs w:val="24"/>
        </w:rPr>
        <w:t>and maintenance of the home</w:t>
      </w:r>
      <w:r w:rsidR="00B706F6">
        <w:rPr>
          <w:sz w:val="24"/>
          <w:szCs w:val="24"/>
        </w:rPr>
        <w:t xml:space="preserve"> </w:t>
      </w:r>
      <w:r w:rsidR="0041441C">
        <w:rPr>
          <w:sz w:val="24"/>
          <w:szCs w:val="24"/>
        </w:rPr>
        <w:fldChar w:fldCharType="begin" w:fldLock="1"/>
      </w:r>
      <w:r w:rsidR="00A4064A">
        <w:rPr>
          <w:sz w:val="24"/>
          <w:szCs w:val="24"/>
        </w:rPr>
        <w:instrText>ADDIN CSL_CITATION {"citationItems":[{"id":"ITEM-1","itemData":{"ISSN":"16511905","PMID":"25504654","abstract":"Background: As more women have joined the work force, the difference in employment rate between men and women has decreased, in Sweden as well as many other countries. Despite this, traditional gender patterns regarding, for example, responsibility for household duties still remain. Women are on sick leave more often than men, and previous studies have indicated that an unequal split of household responsibilities and perceived gender inequality could be associated with negative health outcomes. Aims: The aim of the present study was to explore whether an unequal distribution of responsibilities in the home was related to various health related outcomes among women. Methods: A sample consisting of 837 women living in a relationship, and working at least 50% of full time, responded to a questionnaire including information about division of responsibilities at home as well as various psychological and physiological health related outcomes. Results: The results showed that women living in relationships with perceived more unequal distribution of responsibility for house hold duties showed significantly higher levels of perceived stress, fatigue, physical/psychosomatic symptoms, and work family conflict compared with women living in more equal relationships. They also had significantly increased odds for insufficient time for various forms of recovery, which may further contribute to an increased risk of poor health. Conclusions: Although an increasing employment rate among women is valuable for both society and individuals, it is important to work towards greater gender equality at home to maintain this development without it having a negative effect on women’s health and well-being. © 2014, the Nordic Societies of Public Health. All rights reserved.","author":[{"dropping-particle":"","family":"Eek","given":"Frida","non-dropping-particle":"","parse-names":false,"suffix":""},{"dropping-particle":"","family":"Axmon","given":"Anna","non-dropping-particle":"","parse-names":false,"suffix":""}],"container-title":"Scandinavian Journal of Public Health","id":"ITEM-1","issue":"2","issued":{"date-parts":[["2015","12","12"]]},"page":"176-182","publisher":"SAGE PublicationsSage UK: London, England","title":"Gender inequality at home is associated with poorer health for women","type":"article-journal","volume":"43"},"uris":["http://www.mendeley.com/documents/?uuid=72b6078b-c1e3-3d03-9e08-d125dc2b6dde"]}],"mendeley":{"formattedCitation":"(Eek and Axmon, 2015)","plainTextFormattedCitation":"(Eek and Axmon, 2015)","previouslyFormattedCitation":"(Eek and Axmon, 2015)"},"properties":{"noteIndex":0},"schema":"https://github.com/citation-style-language/schema/raw/master/csl-citation.json"}</w:instrText>
      </w:r>
      <w:r w:rsidR="0041441C">
        <w:rPr>
          <w:sz w:val="24"/>
          <w:szCs w:val="24"/>
        </w:rPr>
        <w:fldChar w:fldCharType="separate"/>
      </w:r>
      <w:r w:rsidR="0041441C" w:rsidRPr="0041441C">
        <w:rPr>
          <w:noProof/>
          <w:sz w:val="24"/>
          <w:szCs w:val="24"/>
        </w:rPr>
        <w:t>(Eek and Axmon, 2015)</w:t>
      </w:r>
      <w:r w:rsidR="0041441C">
        <w:rPr>
          <w:sz w:val="24"/>
          <w:szCs w:val="24"/>
        </w:rPr>
        <w:fldChar w:fldCharType="end"/>
      </w:r>
      <w:r w:rsidR="0041441C">
        <w:rPr>
          <w:sz w:val="24"/>
          <w:szCs w:val="24"/>
        </w:rPr>
        <w:t>.</w:t>
      </w:r>
      <w:r w:rsidR="009007B6">
        <w:rPr>
          <w:sz w:val="24"/>
          <w:szCs w:val="24"/>
        </w:rPr>
        <w:t xml:space="preserve"> </w:t>
      </w:r>
      <w:r w:rsidR="006259B9">
        <w:rPr>
          <w:sz w:val="24"/>
          <w:szCs w:val="24"/>
        </w:rPr>
        <w:t xml:space="preserve">This imbalance of responsibility in the home has been shown to </w:t>
      </w:r>
      <w:r w:rsidR="005F0068">
        <w:rPr>
          <w:sz w:val="24"/>
          <w:szCs w:val="24"/>
        </w:rPr>
        <w:t xml:space="preserve">increase </w:t>
      </w:r>
      <w:r w:rsidR="008F3B3A">
        <w:rPr>
          <w:sz w:val="24"/>
          <w:szCs w:val="24"/>
        </w:rPr>
        <w:t>women’s stress and fatigue</w:t>
      </w:r>
      <w:r w:rsidR="00AC7142">
        <w:rPr>
          <w:sz w:val="24"/>
          <w:szCs w:val="24"/>
        </w:rPr>
        <w:t xml:space="preserve">, leading to a </w:t>
      </w:r>
      <w:r w:rsidR="00B9486A">
        <w:rPr>
          <w:sz w:val="24"/>
          <w:szCs w:val="24"/>
        </w:rPr>
        <w:t xml:space="preserve">decrease in their mental well-being </w:t>
      </w:r>
      <w:r w:rsidR="00A4064A">
        <w:rPr>
          <w:sz w:val="24"/>
          <w:szCs w:val="24"/>
        </w:rPr>
        <w:fldChar w:fldCharType="begin" w:fldLock="1"/>
      </w:r>
      <w:r w:rsidR="005D29B0">
        <w:rPr>
          <w:sz w:val="24"/>
          <w:szCs w:val="24"/>
        </w:rPr>
        <w:instrText>ADDIN CSL_CITATION {"citationItems":[{"id":"ITEM-1","itemData":{"ISSN":"16511905","PMID":"25504654","abstract":"Background: As more women have joined the work force, the difference in employment rate between men and women has decreased, in Sweden as well as many other countries. Despite this, traditional gender patterns regarding, for example, responsibility for household duties still remain. Women are on sick leave more often than men, and previous studies have indicated that an unequal split of household responsibilities and perceived gender inequality could be associated with negative health outcomes. Aims: The aim of the present study was to explore whether an unequal distribution of responsibilities in the home was related to various health related outcomes among women. Methods: A sample consisting of 837 women living in a relationship, and working at least 50% of full time, responded to a questionnaire including information about division of responsibilities at home as well as various psychological and physiological health related outcomes. Results: The results showed that women living in relationships with perceived more unequal distribution of responsibility for house hold duties showed significantly higher levels of perceived stress, fatigue, physical/psychosomatic symptoms, and work family conflict compared with women living in more equal relationships. They also had significantly increased odds for insufficient time for various forms of recovery, which may further contribute to an increased risk of poor health. Conclusions: Although an increasing employment rate among women is valuable for both society and individuals, it is important to work towards greater gender equality at home to maintain this development without it having a negative effect on women’s health and well-being. © 2014, the Nordic Societies of Public Health. All rights reserved.","author":[{"dropping-particle":"","family":"Eek","given":"Frida","non-dropping-particle":"","parse-names":false,"suffix":""},{"dropping-particle":"","family":"Axmon","given":"Anna","non-dropping-particle":"","parse-names":false,"suffix":""}],"container-title":"Scandinavian Journal of Public Health","id":"ITEM-1","issue":"2","issued":{"date-parts":[["2015","12","12"]]},"page":"176-182","publisher":"SAGE PublicationsSage UK: London, England","title":"Gender inequality at home is associated with poorer health for women","type":"article-journal","volume":"43"},"uris":["http://www.mendeley.com/documents/?uuid=72b6078b-c1e3-3d03-9e08-d125dc2b6dde"]}],"mendeley":{"formattedCitation":"(Eek and Axmon, 2015)","plainTextFormattedCitation":"(Eek and Axmon, 2015)","previouslyFormattedCitation":"(Eek and Axmon, 2015)"},"properties":{"noteIndex":0},"schema":"https://github.com/citation-style-language/schema/raw/master/csl-citation.json"}</w:instrText>
      </w:r>
      <w:r w:rsidR="00A4064A">
        <w:rPr>
          <w:sz w:val="24"/>
          <w:szCs w:val="24"/>
        </w:rPr>
        <w:fldChar w:fldCharType="separate"/>
      </w:r>
      <w:r w:rsidR="00A4064A" w:rsidRPr="00A4064A">
        <w:rPr>
          <w:noProof/>
          <w:sz w:val="24"/>
          <w:szCs w:val="24"/>
        </w:rPr>
        <w:t>(Eek and Axmon, 2015)</w:t>
      </w:r>
      <w:r w:rsidR="00A4064A">
        <w:rPr>
          <w:sz w:val="24"/>
          <w:szCs w:val="24"/>
        </w:rPr>
        <w:fldChar w:fldCharType="end"/>
      </w:r>
      <w:r w:rsidR="00A4064A">
        <w:rPr>
          <w:sz w:val="24"/>
          <w:szCs w:val="24"/>
        </w:rPr>
        <w:t>.</w:t>
      </w:r>
      <w:r w:rsidR="000522E3">
        <w:rPr>
          <w:sz w:val="24"/>
          <w:szCs w:val="24"/>
        </w:rPr>
        <w:t xml:space="preserve"> </w:t>
      </w:r>
      <w:r w:rsidR="00AC735A">
        <w:rPr>
          <w:sz w:val="24"/>
          <w:szCs w:val="24"/>
        </w:rPr>
        <w:t xml:space="preserve">It was also found that </w:t>
      </w:r>
      <w:r w:rsidR="00B73479">
        <w:rPr>
          <w:sz w:val="24"/>
          <w:szCs w:val="24"/>
        </w:rPr>
        <w:t>due to the volume of responsibilities</w:t>
      </w:r>
      <w:r w:rsidR="00C25CDD">
        <w:rPr>
          <w:sz w:val="24"/>
          <w:szCs w:val="24"/>
        </w:rPr>
        <w:t xml:space="preserve">, there may be less time for </w:t>
      </w:r>
      <w:r w:rsidR="005D29B0">
        <w:rPr>
          <w:sz w:val="24"/>
          <w:szCs w:val="24"/>
        </w:rPr>
        <w:t xml:space="preserve">these women to relax and recover from these stresses </w:t>
      </w:r>
      <w:r w:rsidR="005D29B0">
        <w:rPr>
          <w:sz w:val="24"/>
          <w:szCs w:val="24"/>
        </w:rPr>
        <w:fldChar w:fldCharType="begin" w:fldLock="1"/>
      </w:r>
      <w:r w:rsidR="006B5505">
        <w:rPr>
          <w:sz w:val="24"/>
          <w:szCs w:val="24"/>
        </w:rPr>
        <w:instrText>ADDIN CSL_CITATION {"citationItems":[{"id":"ITEM-1","itemData":{"ISSN":"16511905","PMID":"25504654","abstract":"Background: As more women have joined the work force, the difference in employment rate between men and women has decreased, in Sweden as well as many other countries. Despite this, traditional gender patterns regarding, for example, responsibility for household duties still remain. Women are on sick leave more often than men, and previous studies have indicated that an unequal split of household responsibilities and perceived gender inequality could be associated with negative health outcomes. Aims: The aim of the present study was to explore whether an unequal distribution of responsibilities in the home was related to various health related outcomes among women. Methods: A sample consisting of 837 women living in a relationship, and working at least 50% of full time, responded to a questionnaire including information about division of responsibilities at home as well as various psychological and physiological health related outcomes. Results: The results showed that women living in relationships with perceived more unequal distribution of responsibility for house hold duties showed significantly higher levels of perceived stress, fatigue, physical/psychosomatic symptoms, and work family conflict compared with women living in more equal relationships. They also had significantly increased odds for insufficient time for various forms of recovery, which may further contribute to an increased risk of poor health. Conclusions: Although an increasing employment rate among women is valuable for both society and individuals, it is important to work towards greater gender equality at home to maintain this development without it having a negative effect on women’s health and well-being. © 2014, the Nordic Societies of Public Health. All rights reserved.","author":[{"dropping-particle":"","family":"Eek","given":"Frida","non-dropping-particle":"","parse-names":false,"suffix":""},{"dropping-particle":"","family":"Axmon","given":"Anna","non-dropping-particle":"","parse-names":false,"suffix":""}],"container-title":"Scandinavian Journal of Public Health","id":"ITEM-1","issue":"2","issued":{"date-parts":[["2015","12","12"]]},"page":"176-182","publisher":"SAGE PublicationsSage UK: London, England","title":"Gender inequality at home is associated with poorer health for women","type":"article-journal","volume":"43"},"uris":["http://www.mendeley.com/documents/?uuid=72b6078b-c1e3-3d03-9e08-d125dc2b6dde"]}],"mendeley":{"formattedCitation":"(Eek and Axmon, 2015)","plainTextFormattedCitation":"(Eek and Axmon, 2015)","previouslyFormattedCitation":"(Eek and Axmon, 2015)"},"properties":{"noteIndex":0},"schema":"https://github.com/citation-style-language/schema/raw/master/csl-citation.json"}</w:instrText>
      </w:r>
      <w:r w:rsidR="005D29B0">
        <w:rPr>
          <w:sz w:val="24"/>
          <w:szCs w:val="24"/>
        </w:rPr>
        <w:fldChar w:fldCharType="separate"/>
      </w:r>
      <w:r w:rsidR="005D29B0" w:rsidRPr="005D29B0">
        <w:rPr>
          <w:noProof/>
          <w:sz w:val="24"/>
          <w:szCs w:val="24"/>
        </w:rPr>
        <w:t>(Eek and Axmon, 2015)</w:t>
      </w:r>
      <w:r w:rsidR="005D29B0">
        <w:rPr>
          <w:sz w:val="24"/>
          <w:szCs w:val="24"/>
        </w:rPr>
        <w:fldChar w:fldCharType="end"/>
      </w:r>
      <w:r w:rsidR="005D29B0">
        <w:rPr>
          <w:sz w:val="24"/>
          <w:szCs w:val="24"/>
        </w:rPr>
        <w:t>.</w:t>
      </w:r>
      <w:r w:rsidR="00636435">
        <w:rPr>
          <w:sz w:val="24"/>
          <w:szCs w:val="24"/>
        </w:rPr>
        <w:t xml:space="preserve"> </w:t>
      </w:r>
      <w:r w:rsidR="002D68EF">
        <w:rPr>
          <w:sz w:val="24"/>
          <w:szCs w:val="24"/>
        </w:rPr>
        <w:t xml:space="preserve">Research by </w:t>
      </w:r>
      <w:r w:rsidR="006B5505" w:rsidRPr="006B5505">
        <w:rPr>
          <w:sz w:val="24"/>
          <w:szCs w:val="24"/>
        </w:rPr>
        <w:t xml:space="preserve">Cerrato and </w:t>
      </w:r>
      <w:proofErr w:type="spellStart"/>
      <w:r w:rsidR="006B5505" w:rsidRPr="006B5505">
        <w:rPr>
          <w:sz w:val="24"/>
          <w:szCs w:val="24"/>
        </w:rPr>
        <w:t>Cifre</w:t>
      </w:r>
      <w:proofErr w:type="spellEnd"/>
      <w:r w:rsidR="006B5505" w:rsidRPr="006B5505">
        <w:rPr>
          <w:sz w:val="24"/>
          <w:szCs w:val="24"/>
        </w:rPr>
        <w:t xml:space="preserve"> </w:t>
      </w:r>
      <w:r w:rsidR="006B5505">
        <w:rPr>
          <w:sz w:val="24"/>
          <w:szCs w:val="24"/>
        </w:rPr>
        <w:t xml:space="preserve">(2018) </w:t>
      </w:r>
      <w:r w:rsidR="00CD4256">
        <w:rPr>
          <w:sz w:val="24"/>
          <w:szCs w:val="24"/>
        </w:rPr>
        <w:t>also found that t</w:t>
      </w:r>
      <w:r w:rsidR="003A7075">
        <w:rPr>
          <w:sz w:val="24"/>
          <w:szCs w:val="24"/>
        </w:rPr>
        <w:t xml:space="preserve">he </w:t>
      </w:r>
      <w:r w:rsidR="00B26A6F">
        <w:rPr>
          <w:sz w:val="24"/>
          <w:szCs w:val="24"/>
        </w:rPr>
        <w:t xml:space="preserve">disproportion of tasks in the household </w:t>
      </w:r>
      <w:r w:rsidR="002227F2">
        <w:rPr>
          <w:sz w:val="24"/>
          <w:szCs w:val="24"/>
        </w:rPr>
        <w:t>show</w:t>
      </w:r>
      <w:r w:rsidR="00CD4256">
        <w:rPr>
          <w:sz w:val="24"/>
          <w:szCs w:val="24"/>
        </w:rPr>
        <w:t xml:space="preserve"> a significant </w:t>
      </w:r>
      <w:r w:rsidR="005D69A8">
        <w:rPr>
          <w:sz w:val="24"/>
          <w:szCs w:val="24"/>
        </w:rPr>
        <w:t>increase</w:t>
      </w:r>
      <w:r w:rsidR="00CD4256">
        <w:rPr>
          <w:sz w:val="24"/>
          <w:szCs w:val="24"/>
        </w:rPr>
        <w:t xml:space="preserve"> </w:t>
      </w:r>
      <w:r w:rsidR="004C4657">
        <w:rPr>
          <w:sz w:val="24"/>
          <w:szCs w:val="24"/>
        </w:rPr>
        <w:t>in</w:t>
      </w:r>
      <w:r w:rsidR="00001EA7">
        <w:rPr>
          <w:sz w:val="24"/>
          <w:szCs w:val="24"/>
        </w:rPr>
        <w:t xml:space="preserve"> family and marital conflicts</w:t>
      </w:r>
      <w:r w:rsidR="004C4657">
        <w:rPr>
          <w:sz w:val="24"/>
          <w:szCs w:val="24"/>
        </w:rPr>
        <w:t>, leading to a negative living environment.</w:t>
      </w:r>
      <w:r w:rsidR="00EC2921">
        <w:rPr>
          <w:sz w:val="24"/>
          <w:szCs w:val="24"/>
        </w:rPr>
        <w:t xml:space="preserve"> </w:t>
      </w:r>
      <w:r w:rsidR="007A5CB2">
        <w:rPr>
          <w:sz w:val="24"/>
          <w:szCs w:val="24"/>
        </w:rPr>
        <w:t xml:space="preserve">However, they did find that </w:t>
      </w:r>
      <w:r w:rsidR="00D244D6">
        <w:rPr>
          <w:sz w:val="24"/>
          <w:szCs w:val="24"/>
        </w:rPr>
        <w:t xml:space="preserve">the increase in work-family conflict is not </w:t>
      </w:r>
      <w:r w:rsidR="005A4CF5">
        <w:rPr>
          <w:sz w:val="24"/>
          <w:szCs w:val="24"/>
        </w:rPr>
        <w:t xml:space="preserve">fully affected by women but </w:t>
      </w:r>
      <w:r w:rsidR="006F7D60">
        <w:rPr>
          <w:sz w:val="24"/>
          <w:szCs w:val="24"/>
        </w:rPr>
        <w:t xml:space="preserve">can also </w:t>
      </w:r>
      <w:r w:rsidR="00BC4A30">
        <w:rPr>
          <w:sz w:val="24"/>
          <w:szCs w:val="24"/>
        </w:rPr>
        <w:t>be affected by the</w:t>
      </w:r>
      <w:r w:rsidR="006F7D60">
        <w:rPr>
          <w:sz w:val="24"/>
          <w:szCs w:val="24"/>
        </w:rPr>
        <w:t xml:space="preserve"> men</w:t>
      </w:r>
      <w:r w:rsidR="00BC4A30">
        <w:rPr>
          <w:sz w:val="24"/>
          <w:szCs w:val="24"/>
        </w:rPr>
        <w:t>’s situation</w:t>
      </w:r>
      <w:r w:rsidR="00DA113C">
        <w:rPr>
          <w:sz w:val="24"/>
          <w:szCs w:val="24"/>
        </w:rPr>
        <w:t xml:space="preserve"> </w:t>
      </w:r>
      <w:r w:rsidR="00DA113C">
        <w:rPr>
          <w:sz w:val="24"/>
          <w:szCs w:val="24"/>
        </w:rPr>
        <w:fldChar w:fldCharType="begin" w:fldLock="1"/>
      </w:r>
      <w:r w:rsidR="002D2B12">
        <w:rPr>
          <w:sz w:val="24"/>
          <w:szCs w:val="24"/>
        </w:rPr>
        <w:instrText>ADDIN CSL_CITATION {"citationItems":[{"id":"ITEM-1","itemData":{"ISSN":"16641078","abstract":"The fact that the permeability between family and work scopes produces work-family conflict (WFC) is well established. As such, this research aims to check whether the unequal involvement in household chores between men and women is associated with increased WFC in women and men, interpreting the results also from the knowledge that arise from gender studies. A correlational study was carried out by means a questionnaire applied to 515 subjects (63% men) of two independent samples of Spanish men and women without emotional relationship, who lived with their heterosexual partner. As expected, results firstly show unequal involvement in household chores by women and men as it is higher in women that in men, and the perception of partner involvement is lower in women that in men. Secondly, those unequal involvements relate differently to men and women on different ways of work-family interaction. They do not increase WFC in women comparing to men, although there are tangentially significant differences in work conflict (WC) and statistically significant in family conflict (FC). However, perception of partner involvement on household chores increases WFC both in men and in women but not WC nor FC. Nevertheless, increase on marital conflict (MC) by domestic tasks neither affect in a significant way WFC in women nor in men, but increase WC in both women and men and FC only in women. Results also confirm that subject involvement on household chores is not a significant predictor of WFC in women nor in men, and that MC by domestic tasks is a statistically significant predictor in women of WFC and FC, but not in men. Thus, results show that traditional gender roles still affect the way men and women manage the work and family interaction, although the increased WFC due to involvement in housework is not exclusive to women, but also occurs in men. Personal and institutional recommendations are made on the basis of these results to cope with these conflicts.","author":[{"dropping-particle":"","family":"Cerrato","given":"Javier","non-dropping-particle":"","parse-names":false,"suffix":""},{"dropping-particle":"","family":"Cifre","given":"Eva","non-dropping-particle":"","parse-names":false,"suffix":""}],"container-title":"Frontiers in Psychology","id":"ITEM-1","issue":"AUG","issued":{"date-parts":[["2018","8","3"]]},"page":"1330","publisher":"Frontiers Media S.A.","title":"Gender inequality in household chores and work-family conflict","type":"article-journal","volume":"9"},"uris":["http://www.mendeley.com/documents/?uuid=1eaf90e9-900d-35ec-a415-4f2633c6f0f0"]}],"mendeley":{"formattedCitation":"(Cerrato and Cifre, 2018)","plainTextFormattedCitation":"(Cerrato and Cifre, 2018)","previouslyFormattedCitation":"(Cerrato and Cifre, 2018)"},"properties":{"noteIndex":0},"schema":"https://github.com/citation-style-language/schema/raw/master/csl-citation.json"}</w:instrText>
      </w:r>
      <w:r w:rsidR="00DA113C">
        <w:rPr>
          <w:sz w:val="24"/>
          <w:szCs w:val="24"/>
        </w:rPr>
        <w:fldChar w:fldCharType="separate"/>
      </w:r>
      <w:r w:rsidR="00DA113C" w:rsidRPr="00DA113C">
        <w:rPr>
          <w:noProof/>
          <w:sz w:val="24"/>
          <w:szCs w:val="24"/>
        </w:rPr>
        <w:t>(Cerrato and Cifre, 2018)</w:t>
      </w:r>
      <w:r w:rsidR="00DA113C">
        <w:rPr>
          <w:sz w:val="24"/>
          <w:szCs w:val="24"/>
        </w:rPr>
        <w:fldChar w:fldCharType="end"/>
      </w:r>
      <w:r w:rsidR="00DA113C">
        <w:rPr>
          <w:sz w:val="24"/>
          <w:szCs w:val="24"/>
        </w:rPr>
        <w:t>.</w:t>
      </w:r>
      <w:r w:rsidR="006F7D60">
        <w:rPr>
          <w:sz w:val="24"/>
          <w:szCs w:val="24"/>
        </w:rPr>
        <w:t xml:space="preserve"> </w:t>
      </w:r>
      <w:r w:rsidR="00DA113C">
        <w:rPr>
          <w:sz w:val="24"/>
          <w:szCs w:val="24"/>
        </w:rPr>
        <w:t>M</w:t>
      </w:r>
      <w:r w:rsidR="006F7D60">
        <w:rPr>
          <w:sz w:val="24"/>
          <w:szCs w:val="24"/>
        </w:rPr>
        <w:t xml:space="preserve">eaning that both the women and the men of the </w:t>
      </w:r>
      <w:r w:rsidR="006602A3">
        <w:rPr>
          <w:sz w:val="24"/>
          <w:szCs w:val="24"/>
        </w:rPr>
        <w:t xml:space="preserve">household </w:t>
      </w:r>
      <w:r w:rsidR="002A6690">
        <w:rPr>
          <w:sz w:val="24"/>
          <w:szCs w:val="24"/>
        </w:rPr>
        <w:t xml:space="preserve">can be negatively affected by the unfair distribution of tasks and responsibilities </w:t>
      </w:r>
      <w:r w:rsidR="00DA113C">
        <w:rPr>
          <w:sz w:val="24"/>
          <w:szCs w:val="24"/>
        </w:rPr>
        <w:t xml:space="preserve">and lead to </w:t>
      </w:r>
      <w:r w:rsidR="00B96A1C">
        <w:rPr>
          <w:sz w:val="24"/>
          <w:szCs w:val="24"/>
        </w:rPr>
        <w:t xml:space="preserve">either or both of them </w:t>
      </w:r>
      <w:r w:rsidR="009B0ED8">
        <w:rPr>
          <w:sz w:val="24"/>
          <w:szCs w:val="24"/>
        </w:rPr>
        <w:t>suffering from</w:t>
      </w:r>
      <w:r w:rsidR="00B96A1C">
        <w:rPr>
          <w:sz w:val="24"/>
          <w:szCs w:val="24"/>
        </w:rPr>
        <w:t xml:space="preserve"> stress</w:t>
      </w:r>
      <w:r w:rsidR="009B0ED8">
        <w:rPr>
          <w:sz w:val="24"/>
          <w:szCs w:val="24"/>
        </w:rPr>
        <w:t xml:space="preserve"> </w:t>
      </w:r>
      <w:r w:rsidR="00B96A1C">
        <w:rPr>
          <w:sz w:val="24"/>
          <w:szCs w:val="24"/>
        </w:rPr>
        <w:t>and even depress</w:t>
      </w:r>
      <w:r w:rsidR="00657B06">
        <w:rPr>
          <w:sz w:val="24"/>
          <w:szCs w:val="24"/>
        </w:rPr>
        <w:t>ion</w:t>
      </w:r>
      <w:r w:rsidR="00B96A1C">
        <w:rPr>
          <w:sz w:val="24"/>
          <w:szCs w:val="24"/>
        </w:rPr>
        <w:t xml:space="preserve"> </w:t>
      </w:r>
      <w:r w:rsidR="002A6690">
        <w:rPr>
          <w:sz w:val="24"/>
          <w:szCs w:val="24"/>
        </w:rPr>
        <w:fldChar w:fldCharType="begin" w:fldLock="1"/>
      </w:r>
      <w:r w:rsidR="00DA113C">
        <w:rPr>
          <w:sz w:val="24"/>
          <w:szCs w:val="24"/>
        </w:rPr>
        <w:instrText>ADDIN CSL_CITATION {"citationItems":[{"id":"ITEM-1","itemData":{"ISSN":"16641078","abstract":"The fact that the permeability between family and work scopes produces work-family conflict (WFC) is well established. As such, this research aims to check whether the unequal involvement in household chores between men and women is associated with increased WFC in women and men, interpreting the results also from the knowledge that arise from gender studies. A correlational study was carried out by means a questionnaire applied to 515 subjects (63% men) of two independent samples of Spanish men and women without emotional relationship, who lived with their heterosexual partner. As expected, results firstly show unequal involvement in household chores by women and men as it is higher in women that in men, and the perception of partner involvement is lower in women that in men. Secondly, those unequal involvements relate differently to men and women on different ways of work-family interaction. They do not increase WFC in women comparing to men, although there are tangentially significant differences in work conflict (WC) and statistically significant in family conflict (FC). However, perception of partner involvement on household chores increases WFC both in men and in women but not WC nor FC. Nevertheless, increase on marital conflict (MC) by domestic tasks neither affect in a significant way WFC in women nor in men, but increase WC in both women and men and FC only in women. Results also confirm that subject involvement on household chores is not a significant predictor of WFC in women nor in men, and that MC by domestic tasks is a statistically significant predictor in women of WFC and FC, but not in men. Thus, results show that traditional gender roles still affect the way men and women manage the work and family interaction, although the increased WFC due to involvement in housework is not exclusive to women, but also occurs in men. Personal and institutional recommendations are made on the basis of these results to cope with these conflicts.","author":[{"dropping-particle":"","family":"Cerrato","given":"Javier","non-dropping-particle":"","parse-names":false,"suffix":""},{"dropping-particle":"","family":"Cifre","given":"Eva","non-dropping-particle":"","parse-names":false,"suffix":""}],"container-title":"Frontiers in Psychology","id":"ITEM-1","issue":"AUG","issued":{"date-parts":[["2018","8","3"]]},"page":"1330","publisher":"Frontiers Media S.A.","title":"Gender inequality in household chores and work-family conflict","type":"article-journal","volume":"9"},"uris":["http://www.mendeley.com/documents/?uuid=1eaf90e9-900d-35ec-a415-4f2633c6f0f0"]}],"mendeley":{"formattedCitation":"(Cerrato and Cifre, 2018)","plainTextFormattedCitation":"(Cerrato and Cifre, 2018)","previouslyFormattedCitation":"(Cerrato and Cifre, 2018)"},"properties":{"noteIndex":0},"schema":"https://github.com/citation-style-language/schema/raw/master/csl-citation.json"}</w:instrText>
      </w:r>
      <w:r w:rsidR="002A6690">
        <w:rPr>
          <w:sz w:val="24"/>
          <w:szCs w:val="24"/>
        </w:rPr>
        <w:fldChar w:fldCharType="separate"/>
      </w:r>
      <w:r w:rsidR="002A6690" w:rsidRPr="002A6690">
        <w:rPr>
          <w:noProof/>
          <w:sz w:val="24"/>
          <w:szCs w:val="24"/>
        </w:rPr>
        <w:t>(Cerrato and Cifre, 2018)</w:t>
      </w:r>
      <w:r w:rsidR="002A6690">
        <w:rPr>
          <w:sz w:val="24"/>
          <w:szCs w:val="24"/>
        </w:rPr>
        <w:fldChar w:fldCharType="end"/>
      </w:r>
      <w:r w:rsidR="002A6690">
        <w:rPr>
          <w:sz w:val="24"/>
          <w:szCs w:val="24"/>
        </w:rPr>
        <w:t>.</w:t>
      </w:r>
    </w:p>
    <w:p w14:paraId="22E840D5" w14:textId="77777777" w:rsidR="001451F2" w:rsidRDefault="001451F2" w:rsidP="00337E26">
      <w:pPr>
        <w:rPr>
          <w:sz w:val="24"/>
          <w:szCs w:val="24"/>
        </w:rPr>
      </w:pPr>
    </w:p>
    <w:p w14:paraId="397FA896" w14:textId="1F3E3E2B" w:rsidR="001451F2" w:rsidRDefault="001228B6" w:rsidP="00337E26">
      <w:pPr>
        <w:rPr>
          <w:sz w:val="24"/>
          <w:szCs w:val="24"/>
        </w:rPr>
      </w:pPr>
      <w:r>
        <w:rPr>
          <w:sz w:val="24"/>
          <w:szCs w:val="24"/>
        </w:rPr>
        <w:t xml:space="preserve">Stress can </w:t>
      </w:r>
      <w:r w:rsidR="00835DCB">
        <w:rPr>
          <w:sz w:val="24"/>
          <w:szCs w:val="24"/>
        </w:rPr>
        <w:t xml:space="preserve">cause a variety of health </w:t>
      </w:r>
      <w:r w:rsidR="00F319A6">
        <w:rPr>
          <w:sz w:val="24"/>
          <w:szCs w:val="24"/>
        </w:rPr>
        <w:t>problems</w:t>
      </w:r>
      <w:r w:rsidR="007C7C14">
        <w:rPr>
          <w:sz w:val="24"/>
          <w:szCs w:val="24"/>
        </w:rPr>
        <w:t>,</w:t>
      </w:r>
      <w:r w:rsidR="00835DCB">
        <w:rPr>
          <w:sz w:val="24"/>
          <w:szCs w:val="24"/>
        </w:rPr>
        <w:t xml:space="preserve"> </w:t>
      </w:r>
      <w:r w:rsidR="00B16391">
        <w:rPr>
          <w:sz w:val="24"/>
          <w:szCs w:val="24"/>
        </w:rPr>
        <w:t>with</w:t>
      </w:r>
      <w:r w:rsidR="00835DCB">
        <w:rPr>
          <w:sz w:val="24"/>
          <w:szCs w:val="24"/>
        </w:rPr>
        <w:t xml:space="preserve"> pe</w:t>
      </w:r>
      <w:r w:rsidR="00F319A6">
        <w:rPr>
          <w:sz w:val="24"/>
          <w:szCs w:val="24"/>
        </w:rPr>
        <w:t>ople</w:t>
      </w:r>
      <w:r w:rsidR="00A037EA">
        <w:rPr>
          <w:sz w:val="24"/>
          <w:szCs w:val="24"/>
        </w:rPr>
        <w:t xml:space="preserve"> </w:t>
      </w:r>
      <w:r w:rsidR="00B16391">
        <w:rPr>
          <w:sz w:val="24"/>
          <w:szCs w:val="24"/>
        </w:rPr>
        <w:t xml:space="preserve">living </w:t>
      </w:r>
      <w:r w:rsidR="00AB0574">
        <w:rPr>
          <w:sz w:val="24"/>
          <w:szCs w:val="24"/>
        </w:rPr>
        <w:t>with</w:t>
      </w:r>
      <w:r w:rsidR="00A037EA">
        <w:rPr>
          <w:sz w:val="24"/>
          <w:szCs w:val="24"/>
        </w:rPr>
        <w:t xml:space="preserve"> long</w:t>
      </w:r>
      <w:r w:rsidR="00B07BB0">
        <w:rPr>
          <w:sz w:val="24"/>
          <w:szCs w:val="24"/>
        </w:rPr>
        <w:t>-</w:t>
      </w:r>
      <w:r w:rsidR="00A037EA">
        <w:rPr>
          <w:sz w:val="24"/>
          <w:szCs w:val="24"/>
        </w:rPr>
        <w:t xml:space="preserve">term stress </w:t>
      </w:r>
      <w:r w:rsidR="00AB0574">
        <w:rPr>
          <w:sz w:val="24"/>
          <w:szCs w:val="24"/>
        </w:rPr>
        <w:t xml:space="preserve">causing </w:t>
      </w:r>
      <w:r w:rsidR="00C86382">
        <w:rPr>
          <w:sz w:val="24"/>
          <w:szCs w:val="24"/>
        </w:rPr>
        <w:t xml:space="preserve">physical and </w:t>
      </w:r>
      <w:r w:rsidR="00F91E66">
        <w:rPr>
          <w:sz w:val="24"/>
          <w:szCs w:val="24"/>
        </w:rPr>
        <w:t>psychological</w:t>
      </w:r>
      <w:r w:rsidR="00C86382">
        <w:rPr>
          <w:sz w:val="24"/>
          <w:szCs w:val="24"/>
        </w:rPr>
        <w:t xml:space="preserve"> harm </w:t>
      </w:r>
      <w:r w:rsidR="00B07BB0">
        <w:rPr>
          <w:sz w:val="24"/>
          <w:szCs w:val="24"/>
        </w:rPr>
        <w:fldChar w:fldCharType="begin" w:fldLock="1"/>
      </w:r>
      <w:r w:rsidR="00F552A3">
        <w:rPr>
          <w:sz w:val="24"/>
          <w:szCs w:val="24"/>
        </w:rPr>
        <w:instrText>ADDIN CSL_CITATION {"citationItems":[{"id":"ITEM-1","itemData":{"ISSN":"1559-0755","PMID":"24798553","abstract":"Although the concept of stress has earned a bad reputation, it is important to recognize that the adaptive purpose of a physiological stress response is to promote survival during fight or flight. While long-term stress is generally harmful, short-term stress can be protective as it prepares the organism to deal with challenges. This review discusses the immune effects of biological stress responses that can be induced by psychological, physiological, or physical (including exercise) stressors. We have proposed that short-term stress is one of the nature’s fundamental but under-appreciated survival mechanisms that could be clinically harnessed to enhance immunoprotection. Short-term (i.e., lasting for minutes to hours) stress experienced during immune activation enhances innate/primary and adaptive/secondary immune responses. Mechanisms of immuno-enhancement include changes in dendritic cell, neutrophil, macrophage, and lymphocyte trafficking, maturation, and function as well as local and systemic production of cytokines. In contrast, long-term stress suppresses or dysregulates innate and adaptive immune responses by altering the Type 1–Type 2 cytokine balance, inducing low-grade chronic inflammation, and suppressing numbers, trafficking, and function of immunoprotective cells. Chronic stress may also increase susceptibility to some types of cancer by suppressing Type 1 cytokines and protective T cells and increasing regulatory/suppressor T cell function. Here, we classify immune responses as being protective, pathological, or regulatory, and discuss “good” versus “bad” effects of stress on health. Thus, short-term stress can enhance the acquisition and/or expression of immunoprotective (wound healing, vaccination, anti-infectious agent, anti-tumor) or immuno-pathological (pro-inflammatory, autoimmune) responses. In contrast, chronic stress can suppress protective immune responses and/or exacerbate pathological immune responses. Studies such as the ones discussed here could provide mechanistic targets and conceptual frameworks for pharmacological and/or biobehavioral interventions designed to enhance the effects of “good” stress, minimize the effects of “bad” stress, and maximally promote health and healing.","author":[{"dropping-particle":"","family":"Dhabhar","given":"Firdaus S.","non-dropping-particle":"","parse-names":false,"suffix":""}],"container-title":"Immunologic Research 2014 58:2","id":"ITEM-1","issue":"2","issued":{"date-parts":[["2014","5","6"]]},"page":"193-210","publisher":"Springer","title":"Effects of stress on immune function: the good, the bad, and the beautiful","type":"article-journal","volume":"58"},"uris":["http://www.mendeley.com/documents/?uuid=caa4ab3a-cb07-34b6-8402-059109dc3964"]}],"mendeley":{"formattedCitation":"(Dhabhar, 2014)","plainTextFormattedCitation":"(Dhabhar, 2014)","previouslyFormattedCitation":"(Dhabhar, 2014)"},"properties":{"noteIndex":0},"schema":"https://github.com/citation-style-language/schema/raw/master/csl-citation.json"}</w:instrText>
      </w:r>
      <w:r w:rsidR="00B07BB0">
        <w:rPr>
          <w:sz w:val="24"/>
          <w:szCs w:val="24"/>
        </w:rPr>
        <w:fldChar w:fldCharType="separate"/>
      </w:r>
      <w:r w:rsidR="00B07BB0" w:rsidRPr="00B07BB0">
        <w:rPr>
          <w:noProof/>
          <w:sz w:val="24"/>
          <w:szCs w:val="24"/>
        </w:rPr>
        <w:t>(Dhabhar, 2014)</w:t>
      </w:r>
      <w:r w:rsidR="00B07BB0">
        <w:rPr>
          <w:sz w:val="24"/>
          <w:szCs w:val="24"/>
        </w:rPr>
        <w:fldChar w:fldCharType="end"/>
      </w:r>
      <w:r w:rsidR="00B07BB0">
        <w:rPr>
          <w:sz w:val="24"/>
          <w:szCs w:val="24"/>
        </w:rPr>
        <w:t xml:space="preserve">. </w:t>
      </w:r>
      <w:r w:rsidR="00D92D20">
        <w:rPr>
          <w:sz w:val="24"/>
          <w:szCs w:val="24"/>
        </w:rPr>
        <w:t xml:space="preserve">Research by </w:t>
      </w:r>
      <w:proofErr w:type="spellStart"/>
      <w:r w:rsidR="00D92D20">
        <w:rPr>
          <w:sz w:val="24"/>
          <w:szCs w:val="24"/>
        </w:rPr>
        <w:t>Dhabhar</w:t>
      </w:r>
      <w:proofErr w:type="spellEnd"/>
      <w:r w:rsidR="00D92D20">
        <w:rPr>
          <w:sz w:val="24"/>
          <w:szCs w:val="24"/>
        </w:rPr>
        <w:t xml:space="preserve"> (</w:t>
      </w:r>
      <w:r w:rsidR="00971BB0">
        <w:rPr>
          <w:sz w:val="24"/>
          <w:szCs w:val="24"/>
        </w:rPr>
        <w:t>2014) states that long-term, chronic stress</w:t>
      </w:r>
      <w:r w:rsidR="002B0C7B">
        <w:rPr>
          <w:sz w:val="24"/>
          <w:szCs w:val="24"/>
        </w:rPr>
        <w:t xml:space="preserve"> can suppress a person’s immune response</w:t>
      </w:r>
      <w:r w:rsidR="00CE1259">
        <w:rPr>
          <w:sz w:val="24"/>
          <w:szCs w:val="24"/>
        </w:rPr>
        <w:t xml:space="preserve">, meaning that their body </w:t>
      </w:r>
      <w:r w:rsidR="00EF2E9F">
        <w:rPr>
          <w:sz w:val="24"/>
          <w:szCs w:val="24"/>
        </w:rPr>
        <w:t xml:space="preserve">cannot properly protect them from </w:t>
      </w:r>
      <w:r w:rsidR="009B076A">
        <w:rPr>
          <w:sz w:val="24"/>
          <w:szCs w:val="24"/>
        </w:rPr>
        <w:t xml:space="preserve">pathogens and </w:t>
      </w:r>
      <w:r w:rsidR="005B310C">
        <w:rPr>
          <w:sz w:val="24"/>
          <w:szCs w:val="24"/>
        </w:rPr>
        <w:t>is</w:t>
      </w:r>
      <w:r w:rsidR="009B076A">
        <w:rPr>
          <w:sz w:val="24"/>
          <w:szCs w:val="24"/>
        </w:rPr>
        <w:t xml:space="preserve"> therefore more likely to become </w:t>
      </w:r>
      <w:r w:rsidR="00A73C77">
        <w:rPr>
          <w:sz w:val="24"/>
          <w:szCs w:val="24"/>
        </w:rPr>
        <w:t>ill</w:t>
      </w:r>
      <w:r w:rsidR="009B076A">
        <w:rPr>
          <w:sz w:val="24"/>
          <w:szCs w:val="24"/>
        </w:rPr>
        <w:t>.</w:t>
      </w:r>
      <w:r w:rsidR="00DD1658">
        <w:rPr>
          <w:sz w:val="24"/>
          <w:szCs w:val="24"/>
        </w:rPr>
        <w:t xml:space="preserve"> </w:t>
      </w:r>
      <w:r w:rsidR="009743A5">
        <w:rPr>
          <w:sz w:val="24"/>
          <w:szCs w:val="24"/>
        </w:rPr>
        <w:t xml:space="preserve">Additionally, stress has been shown to </w:t>
      </w:r>
      <w:r w:rsidR="0083299B">
        <w:rPr>
          <w:sz w:val="24"/>
          <w:szCs w:val="24"/>
        </w:rPr>
        <w:t xml:space="preserve">increase the cravings </w:t>
      </w:r>
      <w:r w:rsidR="00D05470">
        <w:rPr>
          <w:sz w:val="24"/>
          <w:szCs w:val="24"/>
        </w:rPr>
        <w:t xml:space="preserve">for an unhealthy lifestyle, such as an increased consumption of alcohol </w:t>
      </w:r>
      <w:r w:rsidR="002C638D">
        <w:rPr>
          <w:sz w:val="24"/>
          <w:szCs w:val="24"/>
        </w:rPr>
        <w:t xml:space="preserve">and junk food </w:t>
      </w:r>
      <w:r w:rsidR="00F552A3">
        <w:rPr>
          <w:sz w:val="24"/>
          <w:szCs w:val="24"/>
        </w:rPr>
        <w:fldChar w:fldCharType="begin" w:fldLock="1"/>
      </w:r>
      <w:r w:rsidR="00E04933">
        <w:rPr>
          <w:sz w:val="24"/>
          <w:szCs w:val="24"/>
        </w:rPr>
        <w:instrText>ADDIN CSL_CITATION {"citationItems":[{"id":"ITEM-1","itemData":{"ISSN":"1530-0277","PMID":"24890323","abstract":"Background: Psychological stress and alcohol cues are common antecedents of both ongoing drinking and relapse. One candidate mechanism of risk from these factors is acute increases in craving, but experimental support for this hypothesis is mixed. Furthermore, the combination of stress and cues has been largely unstudied. The current study employed a behavioral economic approach to investigate the combined roles of psychosocial stress and alcohol cues on motivation for alcohol. Methods: In a sample of 84 adult heavy drinkers, we examined the effects of an acute laboratory stress induction and an alcohol cue exposure on subjective craving and stress, arousal, and behavioral economic decision making. Primary dependent measures included an intertemporal cross-commodity multiple-choice procedure (ICCMCP), incorporating both price and delay elements, an alcohol purchase task (APT), measuring alcohol demand, and a monetary delay discounting task, measuring intertemporal choice. Results: The stress induction significantly increased stress, craving, and the incentive value of alcohol on the ICCMCP and APT. Stress-related increases in value on the ICCMCP were mediated by increased alcohol demand. Exposure to alcohol cues only significantly affected craving, APT breakpoint, and arousal. Delay discounting was not affected by either stress or cues. Conclusions: These results reveal unique behavioral economic dimensions of motivation for alcohol following acute stress and an alcohol cue exposure. More broadly, as the first application of this approach to understanding the role of stress in drug motivation, these findings support its utility and potential in future applications. © 2014 by the Research Society on Alcoholism.","author":[{"dropping-particle":"","family":"Amlung","given":"Michael","non-dropping-particle":"","parse-names":false,"suffix":""},{"dropping-particle":"","family":"Mackillop","given":"James","non-dropping-particle":"","parse-names":false,"suffix":""}],"container-title":"Alcoholism: Clinical and Experimental Research","id":"ITEM-1","issue":"6","issued":{"date-parts":[["2014","6","1"]]},"page":"1780-1789","publisher":"John Wiley &amp; Sons, Ltd","title":"Understanding the Effects of Stress and Alcohol Cues on Motivation for Alcohol via Behavioral Economics","type":"article-journal","volume":"38"},"uris":["http://www.mendeley.com/documents/?uuid=21ff55af-8f9d-3b58-9f86-6f4da4c093b8"]}],"mendeley":{"formattedCitation":"(Amlung and Mackillop, 2014)","plainTextFormattedCitation":"(Amlung and Mackillop, 2014)","previouslyFormattedCitation":"(Amlung and Mackillop, 2014)"},"properties":{"noteIndex":0},"schema":"https://github.com/citation-style-language/schema/raw/master/csl-citation.json"}</w:instrText>
      </w:r>
      <w:r w:rsidR="00F552A3">
        <w:rPr>
          <w:sz w:val="24"/>
          <w:szCs w:val="24"/>
        </w:rPr>
        <w:fldChar w:fldCharType="separate"/>
      </w:r>
      <w:r w:rsidR="00F552A3" w:rsidRPr="00F552A3">
        <w:rPr>
          <w:noProof/>
          <w:sz w:val="24"/>
          <w:szCs w:val="24"/>
        </w:rPr>
        <w:t>(Amlung and Mackillop, 2014)</w:t>
      </w:r>
      <w:r w:rsidR="00F552A3">
        <w:rPr>
          <w:sz w:val="24"/>
          <w:szCs w:val="24"/>
        </w:rPr>
        <w:fldChar w:fldCharType="end"/>
      </w:r>
      <w:r w:rsidR="00F552A3">
        <w:rPr>
          <w:sz w:val="24"/>
          <w:szCs w:val="24"/>
        </w:rPr>
        <w:t xml:space="preserve">. </w:t>
      </w:r>
      <w:r w:rsidR="00781229">
        <w:rPr>
          <w:sz w:val="24"/>
          <w:szCs w:val="24"/>
        </w:rPr>
        <w:t xml:space="preserve">This </w:t>
      </w:r>
      <w:r w:rsidR="00A05D8A">
        <w:rPr>
          <w:sz w:val="24"/>
          <w:szCs w:val="24"/>
        </w:rPr>
        <w:t>coin</w:t>
      </w:r>
      <w:r w:rsidR="00B15FB8">
        <w:rPr>
          <w:sz w:val="24"/>
          <w:szCs w:val="24"/>
        </w:rPr>
        <w:t>c</w:t>
      </w:r>
      <w:r w:rsidR="00A05D8A">
        <w:rPr>
          <w:sz w:val="24"/>
          <w:szCs w:val="24"/>
        </w:rPr>
        <w:t xml:space="preserve">ides </w:t>
      </w:r>
      <w:r w:rsidR="00E80530">
        <w:rPr>
          <w:sz w:val="24"/>
          <w:szCs w:val="24"/>
        </w:rPr>
        <w:t xml:space="preserve">with </w:t>
      </w:r>
      <w:r w:rsidR="00A05D8A">
        <w:rPr>
          <w:sz w:val="24"/>
          <w:szCs w:val="24"/>
        </w:rPr>
        <w:t xml:space="preserve">the research conducted by </w:t>
      </w:r>
      <w:proofErr w:type="spellStart"/>
      <w:r w:rsidR="00A05D8A">
        <w:rPr>
          <w:sz w:val="24"/>
          <w:szCs w:val="24"/>
        </w:rPr>
        <w:t>Dhabhar</w:t>
      </w:r>
      <w:proofErr w:type="spellEnd"/>
      <w:r w:rsidR="00A05D8A">
        <w:rPr>
          <w:sz w:val="24"/>
          <w:szCs w:val="24"/>
        </w:rPr>
        <w:t xml:space="preserve"> (2014) </w:t>
      </w:r>
      <w:r w:rsidR="00E80530">
        <w:rPr>
          <w:sz w:val="24"/>
          <w:szCs w:val="24"/>
        </w:rPr>
        <w:t xml:space="preserve">as there is a positive association between </w:t>
      </w:r>
      <w:r w:rsidR="008C6A77">
        <w:rPr>
          <w:sz w:val="24"/>
          <w:szCs w:val="24"/>
        </w:rPr>
        <w:t xml:space="preserve">heavy </w:t>
      </w:r>
      <w:r w:rsidR="00C0506F">
        <w:rPr>
          <w:sz w:val="24"/>
          <w:szCs w:val="24"/>
        </w:rPr>
        <w:t xml:space="preserve">drinking </w:t>
      </w:r>
      <w:r w:rsidR="00E80530">
        <w:rPr>
          <w:sz w:val="24"/>
          <w:szCs w:val="24"/>
        </w:rPr>
        <w:t xml:space="preserve">and </w:t>
      </w:r>
      <w:r w:rsidR="00B80084">
        <w:rPr>
          <w:sz w:val="24"/>
          <w:szCs w:val="24"/>
        </w:rPr>
        <w:t>the</w:t>
      </w:r>
      <w:r w:rsidR="00C0506F">
        <w:rPr>
          <w:sz w:val="24"/>
          <w:szCs w:val="24"/>
        </w:rPr>
        <w:t xml:space="preserve"> decrease in the body’s i</w:t>
      </w:r>
      <w:r w:rsidR="00851EFD">
        <w:rPr>
          <w:sz w:val="24"/>
          <w:szCs w:val="24"/>
        </w:rPr>
        <w:t xml:space="preserve">mmune response </w:t>
      </w:r>
      <w:r w:rsidR="00E04933">
        <w:rPr>
          <w:sz w:val="24"/>
          <w:szCs w:val="24"/>
        </w:rPr>
        <w:fldChar w:fldCharType="begin" w:fldLock="1"/>
      </w:r>
      <w:r w:rsidR="009A1467">
        <w:rPr>
          <w:sz w:val="24"/>
          <w:szCs w:val="24"/>
        </w:rPr>
        <w:instrText>ADDIN CSL_CITATION {"citationItems":[{"id":"ITEM-1","itemData":{"ISSN":"0278-5846","PMID":"26375241","abstract":"Several studies have described a dose-dependent effect of alcohol on human health with light to moderate drinkers having a lower risk of all-cause mortality than abstainers, while heavy drinkers are at the highest risk. In the case of the immune system, moderate alcohol consumption is associated with reduced inflammation and improved responses to vaccination, while chronic heavy drinking is associated with a decreased frequency of lymphocytes and increased risk of both bacterial and viral infections. However, the mechanisms by which alcohol exerts a dose-dependent effect on the immune system remain poorly understood due to a lack of systematic studies that examine the effect of multiple doses and different time courses. This review will summarize our current understanding of the impact of moderate versus excessive alcohol consumption on the innate and adaptive branches of the immune system derived from both in vitro as well as in vivo studies carried out in humans and animal model studies.","author":[{"dropping-particle":"","family":"Barr","given":"Tasha","non-dropping-particle":"","parse-names":false,"suffix":""},{"dropping-particle":"","family":"Helms","given":"Christa","non-dropping-particle":"","parse-names":false,"suffix":""},{"dropping-particle":"","family":"Grant","given":"Kathleen","non-dropping-particle":"","parse-names":false,"suffix":""},{"dropping-particle":"","family":"Messaoudi","given":"Ilhem","non-dropping-particle":"","parse-names":false,"suffix":""}],"container-title":"Progress in Neuro-Psychopharmacology and Biological Psychiatry","id":"ITEM-1","issued":{"date-parts":[["2016","2","4"]]},"page":"242-251","publisher":"Elsevier","title":"Opposing effects of alcohol on the immune system","type":"article-journal","volume":"65"},"uris":["http://www.mendeley.com/documents/?uuid=818b2f7f-f0c5-3293-981f-3d387ce3c346"]}],"mendeley":{"formattedCitation":"(Barr &lt;i&gt;et al.&lt;/i&gt;, 2016)","plainTextFormattedCitation":"(Barr et al., 2016)","previouslyFormattedCitation":"(Barr &lt;i&gt;et al.&lt;/i&gt;, 2016)"},"properties":{"noteIndex":0},"schema":"https://github.com/citation-style-language/schema/raw/master/csl-citation.json"}</w:instrText>
      </w:r>
      <w:r w:rsidR="00E04933">
        <w:rPr>
          <w:sz w:val="24"/>
          <w:szCs w:val="24"/>
        </w:rPr>
        <w:fldChar w:fldCharType="separate"/>
      </w:r>
      <w:r w:rsidR="00E04933" w:rsidRPr="00E04933">
        <w:rPr>
          <w:noProof/>
          <w:sz w:val="24"/>
          <w:szCs w:val="24"/>
        </w:rPr>
        <w:t xml:space="preserve">(Barr </w:t>
      </w:r>
      <w:r w:rsidR="00E04933" w:rsidRPr="00E04933">
        <w:rPr>
          <w:i/>
          <w:noProof/>
          <w:sz w:val="24"/>
          <w:szCs w:val="24"/>
        </w:rPr>
        <w:t>et al.</w:t>
      </w:r>
      <w:r w:rsidR="00E04933" w:rsidRPr="00E04933">
        <w:rPr>
          <w:noProof/>
          <w:sz w:val="24"/>
          <w:szCs w:val="24"/>
        </w:rPr>
        <w:t>, 2016)</w:t>
      </w:r>
      <w:r w:rsidR="00E04933">
        <w:rPr>
          <w:sz w:val="24"/>
          <w:szCs w:val="24"/>
        </w:rPr>
        <w:fldChar w:fldCharType="end"/>
      </w:r>
      <w:r w:rsidR="00E04933">
        <w:rPr>
          <w:sz w:val="24"/>
          <w:szCs w:val="24"/>
        </w:rPr>
        <w:t>.</w:t>
      </w:r>
      <w:r w:rsidR="008A618B">
        <w:rPr>
          <w:sz w:val="24"/>
          <w:szCs w:val="24"/>
        </w:rPr>
        <w:t xml:space="preserve"> </w:t>
      </w:r>
      <w:r w:rsidR="003F2444">
        <w:rPr>
          <w:sz w:val="24"/>
          <w:szCs w:val="24"/>
        </w:rPr>
        <w:t xml:space="preserve">Stress has also been found to </w:t>
      </w:r>
      <w:r w:rsidR="0025523A">
        <w:rPr>
          <w:sz w:val="24"/>
          <w:szCs w:val="24"/>
        </w:rPr>
        <w:t xml:space="preserve">limit and reduce a person’s </w:t>
      </w:r>
      <w:r w:rsidR="00983B20">
        <w:rPr>
          <w:sz w:val="24"/>
          <w:szCs w:val="24"/>
        </w:rPr>
        <w:t xml:space="preserve">desire and motivation to </w:t>
      </w:r>
      <w:r w:rsidR="00234D4E">
        <w:rPr>
          <w:sz w:val="24"/>
          <w:szCs w:val="24"/>
        </w:rPr>
        <w:t xml:space="preserve">be physically active, from exercising at home, going for a walk or going to the gym </w:t>
      </w:r>
      <w:r w:rsidR="009A1467">
        <w:rPr>
          <w:sz w:val="24"/>
          <w:szCs w:val="24"/>
        </w:rPr>
        <w:fldChar w:fldCharType="begin" w:fldLock="1"/>
      </w:r>
      <w:r w:rsidR="00405A1B">
        <w:rPr>
          <w:sz w:val="24"/>
          <w:szCs w:val="24"/>
        </w:rPr>
        <w:instrText>ADDIN CSL_CITATION {"citationItems":[{"id":"ITEM-1","itemData":{"ISSN":"01121642","PMID":"24030837","abstract":"Background: Psychological stress and physical activity (PA) are believed to be reciprocally related; however, most research examining the relationship between these constructs is devoted to the study of exercise and/or PA as an instrument to mitigate distress. Objective: The aim of this paper was to review the literature investigating the influence of stress on indicators of PA and exercise. Methods: A systematic search of Web of Science, PubMed, and SPORTDiscus was employed to find all relevant studies focusing on human participants. Search terms included \"stress\", \"exercise\", and \"physical activity\". A rating scale (0-9) modified for this study was utilized to assess the quality of all studies with multiple time points. Results: The literature search found 168 studies that examined the influence of stress on PA. Studies varied widely in their theoretical orientation and included perceived stress, distress, life events, job strain, role strain, and work-family conflict but not lifetime cumulative adversity. To more clearly address the question, prospective studies (n = 55) were considered for further review, the majority of which indicated that psychological stress predicts less PA (behavioral inhibition) and/or exercise or more sedentary behavior (76.4 %). Both objective (i.e., life events) and subjective (i.e., distress) measures of stress related to reduced PA. Prospective studies investigating the effects of objective markers of stress nearly all agreed (six of seven studies) that stress has a negative effect on PA. This was true for research examining (a) PA at periods of objectively varying levels of stress (i.e., final examinations vs. a control time point) and (b) chronically stressed populations (e.g., caregivers, parents of children with a cancer diagnosis) that were less likely to be active than controls over time. Studies examining older adults (&gt;50 years), cohorts with both men and women, and larger sample sizes (n &gt; 100) were more likely to show an inverse association. 85.7 % of higher-quality prospective research (≥7 on a 9-point scale) showed the same trend. Interestingly, some prospective studies (18.2 %) report evidence that PA was positively impacted by stress (behavioral activation). This should not be surprising as some individuals utilize exercise to cope with stress. Several other factors may moderate stress and PA relationships, such as stages of change for exercise. Habitually active individuals exercise more in the face of str…","author":[{"dropping-particle":"","family":"Stults-Kolehmainen","given":"Matthew A.","non-dropping-particle":"","parse-names":false,"suffix":""},{"dropping-particle":"","family":"Sinha","given":"Rajita","non-dropping-particle":"","parse-names":false,"suffix":""}],"container-title":"Sports Medicine","id":"ITEM-1","issue":"1","issued":{"date-parts":[["2014","1","13"]]},"page":"81-121","publisher":"Springer","title":"The effects of stress on physical activity and exercise","type":"article","volume":"44"},"uris":["http://www.mendeley.com/documents/?uuid=5c3e575c-bc4e-3611-b13e-4a84e9d2c806"]}],"mendeley":{"formattedCitation":"(Stults-Kolehmainen and Sinha, 2014)","plainTextFormattedCitation":"(Stults-Kolehmainen and Sinha, 2014)","previouslyFormattedCitation":"(Stults-Kolehmainen and Sinha, 2014)"},"properties":{"noteIndex":0},"schema":"https://github.com/citation-style-language/schema/raw/master/csl-citation.json"}</w:instrText>
      </w:r>
      <w:r w:rsidR="009A1467">
        <w:rPr>
          <w:sz w:val="24"/>
          <w:szCs w:val="24"/>
        </w:rPr>
        <w:fldChar w:fldCharType="separate"/>
      </w:r>
      <w:r w:rsidR="009A1467" w:rsidRPr="009A1467">
        <w:rPr>
          <w:noProof/>
          <w:sz w:val="24"/>
          <w:szCs w:val="24"/>
        </w:rPr>
        <w:t>(Stults-Kolehmainen and Sinha, 2014)</w:t>
      </w:r>
      <w:r w:rsidR="009A1467">
        <w:rPr>
          <w:sz w:val="24"/>
          <w:szCs w:val="24"/>
        </w:rPr>
        <w:fldChar w:fldCharType="end"/>
      </w:r>
      <w:r w:rsidR="009A1467">
        <w:rPr>
          <w:sz w:val="24"/>
          <w:szCs w:val="24"/>
        </w:rPr>
        <w:t>.</w:t>
      </w:r>
      <w:r w:rsidR="00983B20">
        <w:rPr>
          <w:sz w:val="24"/>
          <w:szCs w:val="24"/>
        </w:rPr>
        <w:t xml:space="preserve"> </w:t>
      </w:r>
    </w:p>
    <w:p w14:paraId="406A0A9C" w14:textId="77777777" w:rsidR="00C343B7" w:rsidRDefault="00C343B7" w:rsidP="00337E26">
      <w:pPr>
        <w:rPr>
          <w:sz w:val="24"/>
          <w:szCs w:val="24"/>
        </w:rPr>
      </w:pPr>
    </w:p>
    <w:p w14:paraId="70FAAC1E" w14:textId="77777777" w:rsidR="00470E0D" w:rsidRDefault="00470E0D">
      <w:pPr>
        <w:spacing w:after="160" w:line="259" w:lineRule="auto"/>
        <w:rPr>
          <w:sz w:val="24"/>
          <w:szCs w:val="24"/>
        </w:rPr>
      </w:pPr>
      <w:r>
        <w:rPr>
          <w:sz w:val="24"/>
          <w:szCs w:val="24"/>
        </w:rPr>
        <w:br w:type="page"/>
      </w:r>
    </w:p>
    <w:p w14:paraId="196CC0D0" w14:textId="2718D0EB" w:rsidR="00B31EB0" w:rsidRDefault="001F192F" w:rsidP="00337E26">
      <w:pPr>
        <w:rPr>
          <w:sz w:val="24"/>
          <w:szCs w:val="24"/>
        </w:rPr>
      </w:pPr>
      <w:r>
        <w:rPr>
          <w:sz w:val="24"/>
          <w:szCs w:val="24"/>
        </w:rPr>
        <w:lastRenderedPageBreak/>
        <w:t>Working out in a</w:t>
      </w:r>
      <w:r w:rsidR="00830D42">
        <w:rPr>
          <w:sz w:val="24"/>
          <w:szCs w:val="24"/>
        </w:rPr>
        <w:t xml:space="preserve"> gym </w:t>
      </w:r>
      <w:r>
        <w:rPr>
          <w:sz w:val="24"/>
          <w:szCs w:val="24"/>
        </w:rPr>
        <w:t xml:space="preserve">environment </w:t>
      </w:r>
      <w:r w:rsidR="007F5F4A">
        <w:rPr>
          <w:sz w:val="24"/>
          <w:szCs w:val="24"/>
        </w:rPr>
        <w:t xml:space="preserve">can be the best way for some people to exercise and become active because of the </w:t>
      </w:r>
      <w:r>
        <w:rPr>
          <w:sz w:val="24"/>
          <w:szCs w:val="24"/>
        </w:rPr>
        <w:t xml:space="preserve">availability of </w:t>
      </w:r>
      <w:r w:rsidR="00AE4C9E">
        <w:rPr>
          <w:sz w:val="24"/>
          <w:szCs w:val="24"/>
        </w:rPr>
        <w:t xml:space="preserve">equipment and, in most gyms, the availability to get help from a member of staff or personal trainer </w:t>
      </w:r>
      <w:r w:rsidR="00566CD1">
        <w:rPr>
          <w:sz w:val="24"/>
          <w:szCs w:val="24"/>
        </w:rPr>
        <w:fldChar w:fldCharType="begin" w:fldLock="1"/>
      </w:r>
      <w:r w:rsidR="00E21E8E">
        <w:rPr>
          <w:sz w:val="24"/>
          <w:szCs w:val="24"/>
        </w:rPr>
        <w:instrText>ADDIN CSL_CITATION {"citationItems":[{"id":"ITEM-1","itemData":{"ISSN":"2066-8732","abstract":"Today, fitness gyms and private health clubs are a huge global business. Fitness has turned into a folk movement, but not one comparable to the old 20th-century movements, often connected to national sentiments, but instead a highly individualized preoccupation. In this article the historical development of modern gym and fitness culture is described and an analytically developed approach to the understanding of the emergence of this multi-billion-dollar phenomenon is developed. The analysis suggest that the techniques, tools, and physical exercises used today in gyms all over the world are the results of a physical culture developed and refined during the 20th century. The body ideals, exercises, techniques, and the pedagogy of fitness have become an increasingly international enterprise. A tentative analysis of the globalization of gym and fitness culture is developed and presented. Three important and decisive phases in the globalization of gym and fitness culture are identified and analyzed. ABSTRACT FROM AUTHOR","author":[{"dropping-particle":"","family":"Andreasson","given":"Jesper","non-dropping-particle":"","parse-names":false,"suffix":""},{"dropping-particle":"","family":"Johansson","given":"Thomas","non-dropping-particle":"","parse-names":false,"suffix":""}],"container-title":"Sport Science Review","id":"ITEM-1","issue":"3-4","issued":{"date-parts":[["2014","9","25"]]},"publisher":"Walter de Gruyter GmbH","title":"The Fitness Revolution. Historical Transformations in the Global Gym and Fitness Culture","type":"article-journal","volume":"23"},"uris":["http://www.mendeley.com/documents/?uuid=8f8963cc-d810-3d8e-8f26-9e8f94fe2888"]}],"mendeley":{"formattedCitation":"(Andreasson and Johansson, 2014)","plainTextFormattedCitation":"(Andreasson and Johansson, 2014)","previouslyFormattedCitation":"(Andreasson and Johansson, 2014)"},"properties":{"noteIndex":0},"schema":"https://github.com/citation-style-language/schema/raw/master/csl-citation.json"}</w:instrText>
      </w:r>
      <w:r w:rsidR="00566CD1">
        <w:rPr>
          <w:sz w:val="24"/>
          <w:szCs w:val="24"/>
        </w:rPr>
        <w:fldChar w:fldCharType="separate"/>
      </w:r>
      <w:r w:rsidR="00566CD1" w:rsidRPr="00566CD1">
        <w:rPr>
          <w:noProof/>
          <w:sz w:val="24"/>
          <w:szCs w:val="24"/>
        </w:rPr>
        <w:t>(Andreasson and Johansson, 2014)</w:t>
      </w:r>
      <w:r w:rsidR="00566CD1">
        <w:rPr>
          <w:sz w:val="24"/>
          <w:szCs w:val="24"/>
        </w:rPr>
        <w:fldChar w:fldCharType="end"/>
      </w:r>
      <w:r w:rsidR="00566CD1">
        <w:rPr>
          <w:sz w:val="24"/>
          <w:szCs w:val="24"/>
        </w:rPr>
        <w:t>.</w:t>
      </w:r>
      <w:r w:rsidR="00A15A28">
        <w:rPr>
          <w:sz w:val="24"/>
          <w:szCs w:val="24"/>
        </w:rPr>
        <w:t xml:space="preserve"> </w:t>
      </w:r>
      <w:r w:rsidR="00917238">
        <w:rPr>
          <w:sz w:val="24"/>
          <w:szCs w:val="24"/>
        </w:rPr>
        <w:t xml:space="preserve">However, the gym environment can make some people feel uneasy </w:t>
      </w:r>
      <w:r w:rsidR="002B65F6">
        <w:rPr>
          <w:sz w:val="24"/>
          <w:szCs w:val="24"/>
        </w:rPr>
        <w:t xml:space="preserve">and even unsafe, with some people referring to this as </w:t>
      </w:r>
      <w:r w:rsidR="00A95022">
        <w:rPr>
          <w:sz w:val="24"/>
          <w:szCs w:val="24"/>
        </w:rPr>
        <w:t xml:space="preserve">a toxic gym culture </w:t>
      </w:r>
      <w:r w:rsidR="00E21E8E">
        <w:rPr>
          <w:sz w:val="24"/>
          <w:szCs w:val="24"/>
        </w:rPr>
        <w:fldChar w:fldCharType="begin" w:fldLock="1"/>
      </w:r>
      <w:r w:rsidR="002820F3">
        <w:rPr>
          <w:sz w:val="24"/>
          <w:szCs w:val="24"/>
        </w:rPr>
        <w:instrText>ADDIN CSL_CITATION {"citationItems":[{"id":"ITEM-1","itemData":{"URL":"https://www.theglobeandmail.com/life/health-and-fitness/article-toxic-gym-culture-is-all-around-you-and-ultimately-staff-should-set/","accessed":{"date-parts":[["2021","11","18"]]},"author":[{"dropping-particle":"","family":"Landini","given":"Paul","non-dropping-particle":"","parse-names":false,"suffix":""}],"id":"ITEM-1","issued":{"date-parts":[["2018"]]},"title":"Toxic gym culture is all around you, and ultimately staff should set the tone - The Globe and Mail","type":"webpage"},"uris":["http://www.mendeley.com/documents/?uuid=f3b04524-df1e-3b34-9ddc-58e94788d6bc"]}],"mendeley":{"formattedCitation":"(Landini, 2018)","plainTextFormattedCitation":"(Landini, 2018)","previouslyFormattedCitation":"(Landini, 2018)"},"properties":{"noteIndex":0},"schema":"https://github.com/citation-style-language/schema/raw/master/csl-citation.json"}</w:instrText>
      </w:r>
      <w:r w:rsidR="00E21E8E">
        <w:rPr>
          <w:sz w:val="24"/>
          <w:szCs w:val="24"/>
        </w:rPr>
        <w:fldChar w:fldCharType="separate"/>
      </w:r>
      <w:r w:rsidR="00E21E8E" w:rsidRPr="00E21E8E">
        <w:rPr>
          <w:noProof/>
          <w:sz w:val="24"/>
          <w:szCs w:val="24"/>
        </w:rPr>
        <w:t>(Landini, 2018)</w:t>
      </w:r>
      <w:r w:rsidR="00E21E8E">
        <w:rPr>
          <w:sz w:val="24"/>
          <w:szCs w:val="24"/>
        </w:rPr>
        <w:fldChar w:fldCharType="end"/>
      </w:r>
      <w:r w:rsidR="00E21E8E">
        <w:rPr>
          <w:sz w:val="24"/>
          <w:szCs w:val="24"/>
        </w:rPr>
        <w:t>.</w:t>
      </w:r>
      <w:r w:rsidR="00481275">
        <w:rPr>
          <w:sz w:val="24"/>
          <w:szCs w:val="24"/>
        </w:rPr>
        <w:t xml:space="preserve"> </w:t>
      </w:r>
      <w:r w:rsidR="008B233C">
        <w:rPr>
          <w:sz w:val="24"/>
          <w:szCs w:val="24"/>
        </w:rPr>
        <w:t>For men</w:t>
      </w:r>
      <w:r w:rsidR="008D5AF8">
        <w:rPr>
          <w:sz w:val="24"/>
          <w:szCs w:val="24"/>
        </w:rPr>
        <w:t xml:space="preserve">, </w:t>
      </w:r>
      <w:r w:rsidR="008B233C">
        <w:rPr>
          <w:sz w:val="24"/>
          <w:szCs w:val="24"/>
        </w:rPr>
        <w:t xml:space="preserve">it has been seen that they can feel uncomfortable when </w:t>
      </w:r>
      <w:r w:rsidR="002820F3">
        <w:rPr>
          <w:sz w:val="24"/>
          <w:szCs w:val="24"/>
        </w:rPr>
        <w:t xml:space="preserve">they see another </w:t>
      </w:r>
      <w:r w:rsidR="00E20406">
        <w:rPr>
          <w:sz w:val="24"/>
          <w:szCs w:val="24"/>
        </w:rPr>
        <w:t>person</w:t>
      </w:r>
      <w:r w:rsidR="002820F3">
        <w:rPr>
          <w:sz w:val="24"/>
          <w:szCs w:val="24"/>
        </w:rPr>
        <w:t xml:space="preserve"> watching them workout and judging the</w:t>
      </w:r>
      <w:r w:rsidR="00494C49">
        <w:rPr>
          <w:sz w:val="24"/>
          <w:szCs w:val="24"/>
        </w:rPr>
        <w:t>ir lifts and their physique</w:t>
      </w:r>
      <w:r w:rsidR="00DF498E">
        <w:rPr>
          <w:sz w:val="24"/>
          <w:szCs w:val="24"/>
        </w:rPr>
        <w:t>,</w:t>
      </w:r>
      <w:r w:rsidR="002820F3">
        <w:rPr>
          <w:sz w:val="24"/>
          <w:szCs w:val="24"/>
        </w:rPr>
        <w:t xml:space="preserve"> for women the situation is </w:t>
      </w:r>
      <w:r w:rsidR="00D456BD">
        <w:rPr>
          <w:sz w:val="24"/>
          <w:szCs w:val="24"/>
        </w:rPr>
        <w:t xml:space="preserve">often </w:t>
      </w:r>
      <w:r w:rsidR="002820F3">
        <w:rPr>
          <w:sz w:val="24"/>
          <w:szCs w:val="24"/>
        </w:rPr>
        <w:t xml:space="preserve">worse </w:t>
      </w:r>
      <w:r w:rsidR="002820F3">
        <w:rPr>
          <w:sz w:val="24"/>
          <w:szCs w:val="24"/>
        </w:rPr>
        <w:fldChar w:fldCharType="begin" w:fldLock="1"/>
      </w:r>
      <w:r w:rsidR="00D34AE9">
        <w:rPr>
          <w:sz w:val="24"/>
          <w:szCs w:val="24"/>
        </w:rPr>
        <w:instrText>ADDIN CSL_CITATION {"citationItems":[{"id":"ITEM-1","itemData":{"URL":"https://www.theglobeandmail.com/life/health-and-fitness/article-toxic-gym-culture-is-all-around-you-and-ultimately-staff-should-set/","accessed":{"date-parts":[["2021","11","18"]]},"author":[{"dropping-particle":"","family":"Landini","given":"Paul","non-dropping-particle":"","parse-names":false,"suffix":""}],"id":"ITEM-1","issued":{"date-parts":[["2018"]]},"title":"Toxic gym culture is all around you, and ultimately staff should set the tone - The Globe and Mail","type":"webpage"},"uris":["http://www.mendeley.com/documents/?uuid=f3b04524-df1e-3b34-9ddc-58e94788d6bc"]}],"mendeley":{"formattedCitation":"(Landini, 2018)","plainTextFormattedCitation":"(Landini, 2018)","previouslyFormattedCitation":"(Landini, 2018)"},"properties":{"noteIndex":0},"schema":"https://github.com/citation-style-language/schema/raw/master/csl-citation.json"}</w:instrText>
      </w:r>
      <w:r w:rsidR="002820F3">
        <w:rPr>
          <w:sz w:val="24"/>
          <w:szCs w:val="24"/>
        </w:rPr>
        <w:fldChar w:fldCharType="separate"/>
      </w:r>
      <w:r w:rsidR="002820F3" w:rsidRPr="002820F3">
        <w:rPr>
          <w:noProof/>
          <w:sz w:val="24"/>
          <w:szCs w:val="24"/>
        </w:rPr>
        <w:t>(Landini, 2018)</w:t>
      </w:r>
      <w:r w:rsidR="002820F3">
        <w:rPr>
          <w:sz w:val="24"/>
          <w:szCs w:val="24"/>
        </w:rPr>
        <w:fldChar w:fldCharType="end"/>
      </w:r>
      <w:r w:rsidR="002820F3">
        <w:rPr>
          <w:sz w:val="24"/>
          <w:szCs w:val="24"/>
        </w:rPr>
        <w:t>.</w:t>
      </w:r>
      <w:r w:rsidR="003D027A">
        <w:rPr>
          <w:sz w:val="24"/>
          <w:szCs w:val="24"/>
        </w:rPr>
        <w:t xml:space="preserve"> In the toxic gym culture, women </w:t>
      </w:r>
      <w:r w:rsidR="00200E62">
        <w:rPr>
          <w:sz w:val="24"/>
          <w:szCs w:val="24"/>
        </w:rPr>
        <w:t>frequently</w:t>
      </w:r>
      <w:r w:rsidR="003D027A">
        <w:rPr>
          <w:sz w:val="24"/>
          <w:szCs w:val="24"/>
        </w:rPr>
        <w:t xml:space="preserve"> have to </w:t>
      </w:r>
      <w:r w:rsidR="00E97CD0">
        <w:rPr>
          <w:sz w:val="24"/>
          <w:szCs w:val="24"/>
        </w:rPr>
        <w:t>deal with people leer</w:t>
      </w:r>
      <w:r w:rsidR="00682763">
        <w:rPr>
          <w:sz w:val="24"/>
          <w:szCs w:val="24"/>
        </w:rPr>
        <w:t>ing</w:t>
      </w:r>
      <w:r w:rsidR="00E97CD0">
        <w:rPr>
          <w:sz w:val="24"/>
          <w:szCs w:val="24"/>
        </w:rPr>
        <w:t xml:space="preserve"> at them whilst they are trying to exercise</w:t>
      </w:r>
      <w:r w:rsidR="001D2FBE">
        <w:rPr>
          <w:sz w:val="24"/>
          <w:szCs w:val="24"/>
        </w:rPr>
        <w:t xml:space="preserve">, have people approach them to offer to “help their form” </w:t>
      </w:r>
      <w:r w:rsidR="00DD2C18">
        <w:rPr>
          <w:sz w:val="24"/>
          <w:szCs w:val="24"/>
        </w:rPr>
        <w:t xml:space="preserve">in an effort to get close </w:t>
      </w:r>
      <w:r w:rsidR="001D2FBE">
        <w:rPr>
          <w:sz w:val="24"/>
          <w:szCs w:val="24"/>
        </w:rPr>
        <w:t xml:space="preserve">and </w:t>
      </w:r>
      <w:r w:rsidR="00DD2C18">
        <w:rPr>
          <w:sz w:val="24"/>
          <w:szCs w:val="24"/>
        </w:rPr>
        <w:t xml:space="preserve">sometimes </w:t>
      </w:r>
      <w:r w:rsidR="001D2FBE">
        <w:rPr>
          <w:sz w:val="24"/>
          <w:szCs w:val="24"/>
        </w:rPr>
        <w:t xml:space="preserve">even overhear people </w:t>
      </w:r>
      <w:r w:rsidR="00DD2C18">
        <w:rPr>
          <w:sz w:val="24"/>
          <w:szCs w:val="24"/>
        </w:rPr>
        <w:t xml:space="preserve">discussing sexual acts </w:t>
      </w:r>
      <w:r w:rsidR="00D34AE9">
        <w:rPr>
          <w:sz w:val="24"/>
          <w:szCs w:val="24"/>
        </w:rPr>
        <w:t xml:space="preserve">relating to them </w:t>
      </w:r>
      <w:r w:rsidR="00D34AE9">
        <w:rPr>
          <w:sz w:val="24"/>
          <w:szCs w:val="24"/>
        </w:rPr>
        <w:fldChar w:fldCharType="begin" w:fldLock="1"/>
      </w:r>
      <w:r w:rsidR="00CE5F81">
        <w:rPr>
          <w:sz w:val="24"/>
          <w:szCs w:val="24"/>
        </w:rPr>
        <w:instrText>ADDIN CSL_CITATION {"citationItems":[{"id":"ITEM-1","itemData":{"URL":"https://www.theglobeandmail.com/life/health-and-fitness/article-toxic-gym-culture-is-all-around-you-and-ultimately-staff-should-set/","accessed":{"date-parts":[["2021","11","18"]]},"author":[{"dropping-particle":"","family":"Landini","given":"Paul","non-dropping-particle":"","parse-names":false,"suffix":""}],"id":"ITEM-1","issued":{"date-parts":[["2018"]]},"title":"Toxic gym culture is all around you, and ultimately staff should set the tone - The Globe and Mail","type":"webpage"},"uris":["http://www.mendeley.com/documents/?uuid=f3b04524-df1e-3b34-9ddc-58e94788d6bc"]}],"mendeley":{"formattedCitation":"(Landini, 2018)","plainTextFormattedCitation":"(Landini, 2018)","previouslyFormattedCitation":"(Landini, 2018)"},"properties":{"noteIndex":0},"schema":"https://github.com/citation-style-language/schema/raw/master/csl-citation.json"}</w:instrText>
      </w:r>
      <w:r w:rsidR="00D34AE9">
        <w:rPr>
          <w:sz w:val="24"/>
          <w:szCs w:val="24"/>
        </w:rPr>
        <w:fldChar w:fldCharType="separate"/>
      </w:r>
      <w:r w:rsidR="00D34AE9" w:rsidRPr="00D34AE9">
        <w:rPr>
          <w:noProof/>
          <w:sz w:val="24"/>
          <w:szCs w:val="24"/>
        </w:rPr>
        <w:t>(Landini, 2018)</w:t>
      </w:r>
      <w:r w:rsidR="00D34AE9">
        <w:rPr>
          <w:sz w:val="24"/>
          <w:szCs w:val="24"/>
        </w:rPr>
        <w:fldChar w:fldCharType="end"/>
      </w:r>
      <w:r w:rsidR="00D34AE9">
        <w:rPr>
          <w:sz w:val="24"/>
          <w:szCs w:val="24"/>
        </w:rPr>
        <w:t>.</w:t>
      </w:r>
      <w:r w:rsidR="001C48E4">
        <w:rPr>
          <w:sz w:val="24"/>
          <w:szCs w:val="24"/>
        </w:rPr>
        <w:t xml:space="preserve"> </w:t>
      </w:r>
      <w:r w:rsidR="00C02CDE">
        <w:rPr>
          <w:sz w:val="24"/>
          <w:szCs w:val="24"/>
        </w:rPr>
        <w:t xml:space="preserve">Having to deal with these situations as well </w:t>
      </w:r>
      <w:r w:rsidR="005A5BE2">
        <w:rPr>
          <w:sz w:val="24"/>
          <w:szCs w:val="24"/>
        </w:rPr>
        <w:t xml:space="preserve">as the </w:t>
      </w:r>
      <w:r w:rsidR="005A0CD1">
        <w:rPr>
          <w:sz w:val="24"/>
          <w:szCs w:val="24"/>
        </w:rPr>
        <w:t xml:space="preserve">general population’s </w:t>
      </w:r>
      <w:r w:rsidR="00276D45">
        <w:rPr>
          <w:sz w:val="24"/>
          <w:szCs w:val="24"/>
        </w:rPr>
        <w:t>fear that women weight training will look “manly”</w:t>
      </w:r>
      <w:r w:rsidR="002F1151">
        <w:rPr>
          <w:sz w:val="24"/>
          <w:szCs w:val="24"/>
        </w:rPr>
        <w:t xml:space="preserve">, lead to psychological discomfort </w:t>
      </w:r>
      <w:r w:rsidR="0056499F">
        <w:rPr>
          <w:sz w:val="24"/>
          <w:szCs w:val="24"/>
        </w:rPr>
        <w:t>and insecurity for women</w:t>
      </w:r>
      <w:r w:rsidR="005A0CD1">
        <w:rPr>
          <w:sz w:val="24"/>
          <w:szCs w:val="24"/>
        </w:rPr>
        <w:t xml:space="preserve"> </w:t>
      </w:r>
      <w:r w:rsidR="002979FC">
        <w:rPr>
          <w:sz w:val="24"/>
          <w:szCs w:val="24"/>
        </w:rPr>
        <w:t xml:space="preserve">who simply wanted to go to the gym to train </w:t>
      </w:r>
      <w:r w:rsidR="00CE5F81">
        <w:rPr>
          <w:sz w:val="24"/>
          <w:szCs w:val="24"/>
        </w:rPr>
        <w:fldChar w:fldCharType="begin" w:fldLock="1"/>
      </w:r>
      <w:r w:rsidR="00511383">
        <w:rPr>
          <w:sz w:val="24"/>
          <w:szCs w:val="24"/>
        </w:rPr>
        <w:instrText>ADDIN CSL_CITATION {"citationItems":[{"id":"ITEM-1","itemData":{"ISSN":"1573-2762","abstract":"Four studies examined why women appear to be less likely than men to lift weights, despite the documented health benefits. An archival analysis (“Study 1”) pointed to a cultural dissociation between women and strength-related exercise goals. Furthermore, a study of women in a university in the mid-Atlantic United States who envisioned lifting weights in public expressed greater evaluation concerns than those who envisioned doing aerobic exercise (“Study 2”); moreover, greater evaluation concerns seemed to deter them from weight lifting. These findings helped to shed light upon gender-differentiated patterns of gym equipment use (“Study 3a”) and reports of psychological discomfort in gyms (“Study 3b”). This work begins to illuminate the sociocultural context of women’s avoidance of certain types of exercise.","author":[{"dropping-particle":"","family":"Salvatore","given":"Jessica","non-dropping-particle":"","parse-names":false,"suffix":""},{"dropping-particle":"","family":"Marecek","given":"Jeanne","non-dropping-particle":"","parse-names":false,"suffix":""}],"container-title":"Sex Roles 2010 63:7","id":"ITEM-1","issue":"7","issued":{"date-parts":[["2010","7","29"]]},"page":"556-567","publisher":"Springer","title":"Gender in the Gym: Evaluation Concerns as Barriers to Women’s Weight Lifting","type":"article-journal","volume":"63"},"uris":["http://www.mendeley.com/documents/?uuid=d36a8f8c-a993-314a-82fc-1c465d2c085d"]}],"mendeley":{"formattedCitation":"(Salvatore and Marecek, 2010)","plainTextFormattedCitation":"(Salvatore and Marecek, 2010)","previouslyFormattedCitation":"(Salvatore and Marecek, 2010)"},"properties":{"noteIndex":0},"schema":"https://github.com/citation-style-language/schema/raw/master/csl-citation.json"}</w:instrText>
      </w:r>
      <w:r w:rsidR="00CE5F81">
        <w:rPr>
          <w:sz w:val="24"/>
          <w:szCs w:val="24"/>
        </w:rPr>
        <w:fldChar w:fldCharType="separate"/>
      </w:r>
      <w:r w:rsidR="00CE5F81" w:rsidRPr="00CE5F81">
        <w:rPr>
          <w:noProof/>
          <w:sz w:val="24"/>
          <w:szCs w:val="24"/>
        </w:rPr>
        <w:t>(Salvatore and Marecek, 2010)</w:t>
      </w:r>
      <w:r w:rsidR="00CE5F81">
        <w:rPr>
          <w:sz w:val="24"/>
          <w:szCs w:val="24"/>
        </w:rPr>
        <w:fldChar w:fldCharType="end"/>
      </w:r>
      <w:r w:rsidR="00CE5F81">
        <w:rPr>
          <w:sz w:val="24"/>
          <w:szCs w:val="24"/>
        </w:rPr>
        <w:t>.</w:t>
      </w:r>
      <w:r w:rsidR="00EC31EE">
        <w:rPr>
          <w:sz w:val="24"/>
          <w:szCs w:val="24"/>
        </w:rPr>
        <w:t xml:space="preserve"> </w:t>
      </w:r>
      <w:r w:rsidR="00B45664">
        <w:rPr>
          <w:sz w:val="24"/>
          <w:szCs w:val="24"/>
        </w:rPr>
        <w:t xml:space="preserve">Exercise has been found to decrease </w:t>
      </w:r>
      <w:r w:rsidR="00B501C4">
        <w:rPr>
          <w:sz w:val="24"/>
          <w:szCs w:val="24"/>
        </w:rPr>
        <w:t xml:space="preserve">psychological distress and improve psychological </w:t>
      </w:r>
      <w:r w:rsidR="004F4D99">
        <w:rPr>
          <w:sz w:val="24"/>
          <w:szCs w:val="24"/>
        </w:rPr>
        <w:t>wellbeing</w:t>
      </w:r>
      <w:r w:rsidR="00AF1E07">
        <w:rPr>
          <w:sz w:val="24"/>
          <w:szCs w:val="24"/>
        </w:rPr>
        <w:t xml:space="preserve"> however, due to toxic gym culture, women who experienced gazing and leering</w:t>
      </w:r>
      <w:r w:rsidR="003D269F">
        <w:rPr>
          <w:sz w:val="24"/>
          <w:szCs w:val="24"/>
        </w:rPr>
        <w:t xml:space="preserve"> were found to not have gained these benefits </w:t>
      </w:r>
      <w:r w:rsidR="002B7881">
        <w:rPr>
          <w:sz w:val="24"/>
          <w:szCs w:val="24"/>
        </w:rPr>
        <w:t>and, in some instances,</w:t>
      </w:r>
      <w:r w:rsidR="003D269F">
        <w:rPr>
          <w:sz w:val="24"/>
          <w:szCs w:val="24"/>
        </w:rPr>
        <w:t xml:space="preserve"> </w:t>
      </w:r>
      <w:r w:rsidR="006E7C84">
        <w:rPr>
          <w:sz w:val="24"/>
          <w:szCs w:val="24"/>
        </w:rPr>
        <w:t xml:space="preserve">the psychological distress increased and psychological wellbeing </w:t>
      </w:r>
      <w:r w:rsidR="004F4D99">
        <w:rPr>
          <w:sz w:val="24"/>
          <w:szCs w:val="24"/>
        </w:rPr>
        <w:t xml:space="preserve">decreased </w:t>
      </w:r>
      <w:r w:rsidR="00AB34E4">
        <w:rPr>
          <w:sz w:val="24"/>
          <w:szCs w:val="24"/>
        </w:rPr>
        <w:fldChar w:fldCharType="begin" w:fldLock="1"/>
      </w:r>
      <w:r w:rsidR="007B6311">
        <w:rPr>
          <w:sz w:val="24"/>
          <w:szCs w:val="24"/>
        </w:rPr>
        <w:instrText>ADDIN CSL_CITATION {"citationItems":[{"id":"ITEM-1","itemData":{"ISSN":"1471-2857","PMID":"28771918","abstract":"Background: Despite rapid growth in the female prison population, there is little research on effectiveness of psychological interventions for them. Aims: To test the hypotheses that (1) each of two psychological interventions administered separately – cognitive behavioural therapy (CBT) or positive psychology intervention (PPI) – would be more effective than ‘treatment-as-usual’ alone in reducing psychological distress and enhancing psychological well-being; (2) outcomes would differ according to intervention; and (3) combining the interventions would be more effective than delivering either alone. Methods: We recruited 40 women in a special Hong Kong prison unit for female offenders with psychological distress. Half of them received eight sessions of CBT followed by eight sessions of PPI; the other half received the same interventions in the reverse order. We recruited another 35 women who received only ‘treatment as usual’ (TAU) in the same unit. We used various clinical scales to assess the women's psychological distress or well-being before and after the interventions or at similar time points for the comparison women. Results: All intervention group women showed a significant reduction in psychological distress and enhancement in psychological well-being after each intervention alone compared to the TAU women. There were no significant differences between CBT and PPI in this respect. Receiving both treatments, however, did yield significantly more improvement than either intervention alone in reducing depressive thoughts and enhancing global judgement of life satisfaction, self-perceived strengths and hopeful thinking style. Conclusions and implication for practice: Our findings provide preliminary empirical support for the effectiveness of psychological interventions with psychologically distressed women in prison. It would be important now to conduct a full, randomised trial to determine optimal length and combinations of treatment. Copyright © 2017 John Wiley &amp; Sons, Ltd.","author":[{"dropping-particle":"","family":"Mak","given":"Vivian W.M.","non-dropping-particle":"","parse-names":false,"suffix":""},{"dropping-particle":"","family":"Chan","given":"Calais K.Y.","non-dropping-particle":"","parse-names":false,"suffix":""}],"container-title":"Criminal Behaviour and Mental Health","id":"ITEM-1","issue":"2","issued":{"date-parts":[["2018","4","1"]]},"page":"158-173","publisher":"John Wiley &amp; Sons, Ltd","title":"Effects of cognitive-behavioural therapy (CBT) and positive psychological intervention (PPI) on female offenders with psychological distress in Hong Kong","type":"article-journal","volume":"28"},"uris":["http://www.mendeley.com/documents/?uuid=2abf41e4-1afc-3811-9d7e-bd486fc4b769"]},{"id":"ITEM-2","itemData":{"ISSN":"20754698","abstract":"Feminist and gaze researchers have conducted ongoing discussions surrounding issues relating to the gaze and its impact on female experience. Women have the ‘to-be-looked-atness’ characteristic, with the gaze being directed at the female body, commonly by a male. To date, the focus of feminist research surrounding men looking at women and the analysis how women make sense of looks between women remains limited and scattered. Drawing upon ethnographic data obtained from a PhD research project, this paper delves into the embodied experiences of female exercisers within a UK ‘working-class’ gym. By exploring the women’s own accounts of their living, breathing and sensing bodies as they exercise, I attempt to understand how they make sense of this physical culture, their embodied selves as well as broader constructions of the gendered body. Utilising a feminist phenomenological approach, I explore the social-structural position of women in a patriarchal system of gender relations, whilst simultaneously acknowledging and analysing the structural, cultural and historical forces and location, upon individual lived body experiences and gendered embodiment. Discussion is provided on how women make sense and interpret specific ‘gazes’ encountered within the gym culture from both men and women.","author":[{"dropping-particle":"","family":"Clark","given":"Amy","non-dropping-particle":"","parse-names":false,"suffix":""}],"container-title":"Societies 2018, Vol. 8, Page 2","id":"ITEM-2","issue":"1","issued":{"date-parts":[["2017","12","25"]]},"page":"2","publisher":"Multidisciplinary Digital Publishing Institute","title":"Exploring Women’s Embodied Experiences of ‘The Gaze’ in a Mix-Gendered UK Gym","type":"article-journal","volume":"8"},"uris":["http://www.mendeley.com/documents/?uuid=aef5e6b7-7996-3425-947c-dba8ad6257b9"]}],"mendeley":{"formattedCitation":"(Clark, 2017; Mak and Chan, 2018)","plainTextFormattedCitation":"(Clark, 2017; Mak and Chan, 2018)","previouslyFormattedCitation":"(Clark, 2017; Mak and Chan, 2018)"},"properties":{"noteIndex":0},"schema":"https://github.com/citation-style-language/schema/raw/master/csl-citation.json"}</w:instrText>
      </w:r>
      <w:r w:rsidR="00AB34E4">
        <w:rPr>
          <w:sz w:val="24"/>
          <w:szCs w:val="24"/>
        </w:rPr>
        <w:fldChar w:fldCharType="separate"/>
      </w:r>
      <w:r w:rsidR="00AB34E4" w:rsidRPr="00AB34E4">
        <w:rPr>
          <w:noProof/>
          <w:sz w:val="24"/>
          <w:szCs w:val="24"/>
        </w:rPr>
        <w:t>(Clark, 2017; Mak and Chan, 2018)</w:t>
      </w:r>
      <w:r w:rsidR="00AB34E4">
        <w:rPr>
          <w:sz w:val="24"/>
          <w:szCs w:val="24"/>
        </w:rPr>
        <w:fldChar w:fldCharType="end"/>
      </w:r>
      <w:r w:rsidR="00AB34E4">
        <w:rPr>
          <w:sz w:val="24"/>
          <w:szCs w:val="24"/>
        </w:rPr>
        <w:t>.</w:t>
      </w:r>
      <w:r w:rsidR="008721B6">
        <w:rPr>
          <w:sz w:val="24"/>
          <w:szCs w:val="24"/>
        </w:rPr>
        <w:t xml:space="preserve"> </w:t>
      </w:r>
      <w:r w:rsidR="00DF7D86">
        <w:rPr>
          <w:sz w:val="24"/>
          <w:szCs w:val="24"/>
        </w:rPr>
        <w:t>The effects of the toxic gym culture have therefore been shown to lo</w:t>
      </w:r>
      <w:r w:rsidR="0050452E">
        <w:rPr>
          <w:sz w:val="24"/>
          <w:szCs w:val="24"/>
        </w:rPr>
        <w:t>w</w:t>
      </w:r>
      <w:r w:rsidR="00DF7D86">
        <w:rPr>
          <w:sz w:val="24"/>
          <w:szCs w:val="24"/>
        </w:rPr>
        <w:t xml:space="preserve">er the </w:t>
      </w:r>
      <w:r w:rsidR="00182E07">
        <w:rPr>
          <w:sz w:val="24"/>
          <w:szCs w:val="24"/>
        </w:rPr>
        <w:t xml:space="preserve">adherence </w:t>
      </w:r>
      <w:r w:rsidR="0050452E">
        <w:rPr>
          <w:sz w:val="24"/>
          <w:szCs w:val="24"/>
        </w:rPr>
        <w:t>for</w:t>
      </w:r>
      <w:r w:rsidR="00182E07">
        <w:rPr>
          <w:sz w:val="24"/>
          <w:szCs w:val="24"/>
        </w:rPr>
        <w:t xml:space="preserve"> women who have experienced this for both the gym and sports</w:t>
      </w:r>
      <w:r w:rsidR="00384C3C">
        <w:rPr>
          <w:sz w:val="24"/>
          <w:szCs w:val="24"/>
        </w:rPr>
        <w:t xml:space="preserve"> in general</w:t>
      </w:r>
      <w:r w:rsidR="00182E07">
        <w:rPr>
          <w:sz w:val="24"/>
          <w:szCs w:val="24"/>
        </w:rPr>
        <w:t xml:space="preserve"> </w:t>
      </w:r>
      <w:r w:rsidR="007B6311">
        <w:rPr>
          <w:sz w:val="24"/>
          <w:szCs w:val="24"/>
        </w:rPr>
        <w:fldChar w:fldCharType="begin" w:fldLock="1"/>
      </w:r>
      <w:r w:rsidR="0058692E">
        <w:rPr>
          <w:sz w:val="24"/>
          <w:szCs w:val="24"/>
        </w:rPr>
        <w:instrText>ADDIN CSL_CITATION {"citationItems":[{"id":"ITEM-1","itemData":{"ISSN":"1939845X","abstract":"This study was designed to investigate experiences of maintaining and dropping out of a gym-based exercise programme. Interviews were carried out with 14 people, aged 19–32 years, comprising seven ...","author":[{"dropping-particle":"","family":"Pridgeon","given":"Lisa","non-dropping-particle":"","parse-names":false,"suffix":""},{"dropping-particle":"","family":"Grogan","given":"Sarah","non-dropping-particle":"","parse-names":false,"suffix":""}],"container-title":"http://dx.doi.org/10.1080/2159676X.2012.712984","id":"ITEM-1","issue":"3","issued":{"date-parts":[["2012"]]},"page":"382-399","publisher":"Routledge","title":"Understanding exercise adherence and dropout: an interpretative phenomenological analysis of men and women’s accounts of gym attendance and non-attendance","type":"article-journal","volume":"4"},"uris":["http://www.mendeley.com/documents/?uuid=86b78207-f694-34a6-a0d9-88e36ed4401c"]}],"mendeley":{"formattedCitation":"(Pridgeon and Grogan, 2012)","plainTextFormattedCitation":"(Pridgeon and Grogan, 2012)","previouslyFormattedCitation":"(Pridgeon and Grogan, 2012)"},"properties":{"noteIndex":0},"schema":"https://github.com/citation-style-language/schema/raw/master/csl-citation.json"}</w:instrText>
      </w:r>
      <w:r w:rsidR="007B6311">
        <w:rPr>
          <w:sz w:val="24"/>
          <w:szCs w:val="24"/>
        </w:rPr>
        <w:fldChar w:fldCharType="separate"/>
      </w:r>
      <w:r w:rsidR="007B6311" w:rsidRPr="007B6311">
        <w:rPr>
          <w:noProof/>
          <w:sz w:val="24"/>
          <w:szCs w:val="24"/>
        </w:rPr>
        <w:t>(Pridgeon and Grogan, 2012)</w:t>
      </w:r>
      <w:r w:rsidR="007B6311">
        <w:rPr>
          <w:sz w:val="24"/>
          <w:szCs w:val="24"/>
        </w:rPr>
        <w:fldChar w:fldCharType="end"/>
      </w:r>
      <w:r w:rsidR="007B6311">
        <w:rPr>
          <w:sz w:val="24"/>
          <w:szCs w:val="24"/>
        </w:rPr>
        <w:t>.</w:t>
      </w:r>
    </w:p>
    <w:p w14:paraId="3F1A3ECC" w14:textId="77777777" w:rsidR="006D64AD" w:rsidRDefault="006D64AD" w:rsidP="00337E26">
      <w:pPr>
        <w:rPr>
          <w:sz w:val="24"/>
          <w:szCs w:val="24"/>
        </w:rPr>
      </w:pPr>
    </w:p>
    <w:p w14:paraId="7C5C32DD" w14:textId="097A003B" w:rsidR="00F924A6" w:rsidRDefault="00BE6A99" w:rsidP="00337E26">
      <w:pPr>
        <w:rPr>
          <w:sz w:val="24"/>
          <w:szCs w:val="24"/>
        </w:rPr>
      </w:pPr>
      <w:r>
        <w:rPr>
          <w:sz w:val="24"/>
          <w:szCs w:val="24"/>
        </w:rPr>
        <w:t xml:space="preserve">Popularity of </w:t>
      </w:r>
      <w:r w:rsidR="00E33A09">
        <w:rPr>
          <w:sz w:val="24"/>
          <w:szCs w:val="24"/>
        </w:rPr>
        <w:t xml:space="preserve">professional </w:t>
      </w:r>
      <w:r>
        <w:rPr>
          <w:sz w:val="24"/>
          <w:szCs w:val="24"/>
        </w:rPr>
        <w:t xml:space="preserve">female sports </w:t>
      </w:r>
      <w:r w:rsidR="00E33A09">
        <w:rPr>
          <w:sz w:val="24"/>
          <w:szCs w:val="24"/>
        </w:rPr>
        <w:t xml:space="preserve">has </w:t>
      </w:r>
      <w:r w:rsidR="00AF7762">
        <w:rPr>
          <w:sz w:val="24"/>
          <w:szCs w:val="24"/>
        </w:rPr>
        <w:t xml:space="preserve">historically </w:t>
      </w:r>
      <w:r w:rsidR="00A719F5">
        <w:rPr>
          <w:sz w:val="24"/>
          <w:szCs w:val="24"/>
        </w:rPr>
        <w:t>been lower than that of male sports</w:t>
      </w:r>
      <w:r w:rsidR="00116B20">
        <w:rPr>
          <w:sz w:val="24"/>
          <w:szCs w:val="24"/>
        </w:rPr>
        <w:t xml:space="preserve">, leading to </w:t>
      </w:r>
      <w:r w:rsidR="00AF1773">
        <w:rPr>
          <w:sz w:val="24"/>
          <w:szCs w:val="24"/>
        </w:rPr>
        <w:t xml:space="preserve">less leagues and teams and therefore less opportunity for women to be able to get into </w:t>
      </w:r>
      <w:r w:rsidR="00761813">
        <w:rPr>
          <w:sz w:val="24"/>
          <w:szCs w:val="24"/>
        </w:rPr>
        <w:t>a</w:t>
      </w:r>
      <w:r w:rsidR="00AF1773">
        <w:rPr>
          <w:sz w:val="24"/>
          <w:szCs w:val="24"/>
        </w:rPr>
        <w:t xml:space="preserve"> sport and participate </w:t>
      </w:r>
      <w:r w:rsidR="0058692E">
        <w:rPr>
          <w:sz w:val="24"/>
          <w:szCs w:val="24"/>
        </w:rPr>
        <w:fldChar w:fldCharType="begin" w:fldLock="1"/>
      </w:r>
      <w:r w:rsidR="007D085B">
        <w:rPr>
          <w:sz w:val="24"/>
          <w:szCs w:val="24"/>
        </w:rPr>
        <w:instrText>ADDIN CSL_CITATION {"citationItems":[{"id":"ITEM-1","itemData":{"URL":"https://globalsportmatters.com/business/2018/11/13/womens-sports-popularity-is-growing-according-to-nielsen/","accessed":{"date-parts":[["2021","11","18"]]},"author":[{"dropping-particle":"","family":"Andrews","given":"Ross","non-dropping-particle":"","parse-names":false,"suffix":""}],"id":"ITEM-1","issued":{"date-parts":[["2018"]]},"title":"Women's sports popularity is growing, according to Nielsen study - Global Sport Matters","type":"webpage"},"uris":["http://www.mendeley.com/documents/?uuid=89980a5c-ff1e-3820-8b85-a9fdae41d5a0"]}],"mendeley":{"formattedCitation":"(Andrews, 2018)","plainTextFormattedCitation":"(Andrews, 2018)","previouslyFormattedCitation":"(Andrews, 2018)"},"properties":{"noteIndex":0},"schema":"https://github.com/citation-style-language/schema/raw/master/csl-citation.json"}</w:instrText>
      </w:r>
      <w:r w:rsidR="0058692E">
        <w:rPr>
          <w:sz w:val="24"/>
          <w:szCs w:val="24"/>
        </w:rPr>
        <w:fldChar w:fldCharType="separate"/>
      </w:r>
      <w:r w:rsidR="0058692E" w:rsidRPr="0058692E">
        <w:rPr>
          <w:noProof/>
          <w:sz w:val="24"/>
          <w:szCs w:val="24"/>
        </w:rPr>
        <w:t>(Andrews, 2018)</w:t>
      </w:r>
      <w:r w:rsidR="0058692E">
        <w:rPr>
          <w:sz w:val="24"/>
          <w:szCs w:val="24"/>
        </w:rPr>
        <w:fldChar w:fldCharType="end"/>
      </w:r>
      <w:r w:rsidR="0058692E">
        <w:rPr>
          <w:sz w:val="24"/>
          <w:szCs w:val="24"/>
        </w:rPr>
        <w:t>.</w:t>
      </w:r>
      <w:r w:rsidR="00DA40FD">
        <w:rPr>
          <w:sz w:val="24"/>
          <w:szCs w:val="24"/>
        </w:rPr>
        <w:t xml:space="preserve"> Recent research shows that this is changing however, with </w:t>
      </w:r>
      <w:r w:rsidR="00AE44AE">
        <w:rPr>
          <w:sz w:val="24"/>
          <w:szCs w:val="24"/>
        </w:rPr>
        <w:t xml:space="preserve">more fans worldwide </w:t>
      </w:r>
      <w:r w:rsidR="0083788A">
        <w:rPr>
          <w:sz w:val="24"/>
          <w:szCs w:val="24"/>
        </w:rPr>
        <w:t>requesting that women’s</w:t>
      </w:r>
      <w:r w:rsidR="00E529A1">
        <w:rPr>
          <w:sz w:val="24"/>
          <w:szCs w:val="24"/>
        </w:rPr>
        <w:t xml:space="preserve"> sport is televised to the same degree as men’s sport</w:t>
      </w:r>
      <w:r w:rsidR="003C4AE9">
        <w:rPr>
          <w:sz w:val="24"/>
          <w:szCs w:val="24"/>
        </w:rPr>
        <w:t xml:space="preserve"> </w:t>
      </w:r>
      <w:r w:rsidR="003C4AE9">
        <w:rPr>
          <w:sz w:val="24"/>
          <w:szCs w:val="24"/>
        </w:rPr>
        <w:fldChar w:fldCharType="begin" w:fldLock="1"/>
      </w:r>
      <w:r w:rsidR="0077061E">
        <w:rPr>
          <w:sz w:val="24"/>
          <w:szCs w:val="24"/>
        </w:rPr>
        <w:instrText>ADDIN CSL_CITATION {"citationItems":[{"id":"ITEM-1","itemData":{"URL":"https://www.womenssporttrust.com/closing-the-visibility-gap/","accessed":{"date-parts":[["2021","11","18"]]},"author":[{"dropping-particle":"","family":"Women's Sport Trust","given":"","non-dropping-particle":"","parse-names":false,"suffix":""}],"id":"ITEM-1","issued":{"date-parts":[["2021"]]},"title":"Closing the Visibility Gap Growing the Value of Women's Sports Through the Impact of Visibility","type":"webpage"},"uris":["http://www.mendeley.com/documents/?uuid=c4f5ba7d-8493-3fc6-bc28-0c8a2e613ce0"]}],"mendeley":{"formattedCitation":"(Women’s Sport Trust, 2021)","plainTextFormattedCitation":"(Women’s Sport Trust, 2021)","previouslyFormattedCitation":"(Women’s Sport Trust, 2021)"},"properties":{"noteIndex":0},"schema":"https://github.com/citation-style-language/schema/raw/master/csl-citation.json"}</w:instrText>
      </w:r>
      <w:r w:rsidR="003C4AE9">
        <w:rPr>
          <w:sz w:val="24"/>
          <w:szCs w:val="24"/>
        </w:rPr>
        <w:fldChar w:fldCharType="separate"/>
      </w:r>
      <w:r w:rsidR="003C4AE9" w:rsidRPr="003C4AE9">
        <w:rPr>
          <w:noProof/>
          <w:sz w:val="24"/>
          <w:szCs w:val="24"/>
        </w:rPr>
        <w:t>(Women’s Sport Trust, 2021)</w:t>
      </w:r>
      <w:r w:rsidR="003C4AE9">
        <w:rPr>
          <w:sz w:val="24"/>
          <w:szCs w:val="24"/>
        </w:rPr>
        <w:fldChar w:fldCharType="end"/>
      </w:r>
      <w:r w:rsidR="003C4AE9">
        <w:rPr>
          <w:sz w:val="24"/>
          <w:szCs w:val="24"/>
        </w:rPr>
        <w:t>.</w:t>
      </w:r>
      <w:r w:rsidR="00E529A1">
        <w:rPr>
          <w:sz w:val="24"/>
          <w:szCs w:val="24"/>
        </w:rPr>
        <w:t xml:space="preserve"> </w:t>
      </w:r>
      <w:r w:rsidR="00A26325">
        <w:rPr>
          <w:sz w:val="24"/>
          <w:szCs w:val="24"/>
        </w:rPr>
        <w:t>The fans that are speaking out also requested that</w:t>
      </w:r>
      <w:r w:rsidR="00AF73C7">
        <w:rPr>
          <w:sz w:val="24"/>
          <w:szCs w:val="24"/>
        </w:rPr>
        <w:t xml:space="preserve"> female athletes should be </w:t>
      </w:r>
      <w:r w:rsidR="00600FED">
        <w:rPr>
          <w:sz w:val="24"/>
          <w:szCs w:val="24"/>
        </w:rPr>
        <w:t>discussed as much as men on various sports talk shows, such as Sky</w:t>
      </w:r>
      <w:r w:rsidR="00BB7917">
        <w:rPr>
          <w:sz w:val="24"/>
          <w:szCs w:val="24"/>
        </w:rPr>
        <w:t xml:space="preserve"> </w:t>
      </w:r>
      <w:r w:rsidR="00600FED">
        <w:rPr>
          <w:sz w:val="24"/>
          <w:szCs w:val="24"/>
        </w:rPr>
        <w:t xml:space="preserve">Sports News </w:t>
      </w:r>
      <w:r w:rsidR="00171D3E">
        <w:rPr>
          <w:sz w:val="24"/>
          <w:szCs w:val="24"/>
        </w:rPr>
        <w:fldChar w:fldCharType="begin" w:fldLock="1"/>
      </w:r>
      <w:r w:rsidR="00996E75">
        <w:rPr>
          <w:sz w:val="24"/>
          <w:szCs w:val="24"/>
        </w:rPr>
        <w:instrText>ADDIN CSL_CITATION {"citationItems":[{"id":"ITEM-1","itemData":{"URL":"https://www.womenssporttrust.com/closing-the-visibility-gap/","accessed":{"date-parts":[["2021","11","18"]]},"author":[{"dropping-particle":"","family":"Women's Sport Trust","given":"","non-dropping-particle":"","parse-names":false,"suffix":""}],"id":"ITEM-1","issued":{"date-parts":[["2021"]]},"title":"Closing the Visibility Gap Growing the Value of Women's Sports Through the Impact of Visibility","type":"webpage"},"uris":["http://www.mendeley.com/documents/?uuid=c4f5ba7d-8493-3fc6-bc28-0c8a2e613ce0"]}],"mendeley":{"formattedCitation":"(Women’s Sport Trust, 2021)","plainTextFormattedCitation":"(Women’s Sport Trust, 2021)","previouslyFormattedCitation":"(Women’s Sport Trust, 2021)"},"properties":{"noteIndex":0},"schema":"https://github.com/citation-style-language/schema/raw/master/csl-citation.json"}</w:instrText>
      </w:r>
      <w:r w:rsidR="00171D3E">
        <w:rPr>
          <w:sz w:val="24"/>
          <w:szCs w:val="24"/>
        </w:rPr>
        <w:fldChar w:fldCharType="separate"/>
      </w:r>
      <w:r w:rsidR="00171D3E" w:rsidRPr="00171D3E">
        <w:rPr>
          <w:noProof/>
          <w:sz w:val="24"/>
          <w:szCs w:val="24"/>
        </w:rPr>
        <w:t>(Women’s Sport Trust, 2021)</w:t>
      </w:r>
      <w:r w:rsidR="00171D3E">
        <w:rPr>
          <w:sz w:val="24"/>
          <w:szCs w:val="24"/>
        </w:rPr>
        <w:fldChar w:fldCharType="end"/>
      </w:r>
      <w:r w:rsidR="00171D3E">
        <w:rPr>
          <w:sz w:val="24"/>
          <w:szCs w:val="24"/>
        </w:rPr>
        <w:t>.</w:t>
      </w:r>
      <w:r w:rsidR="00820D17">
        <w:rPr>
          <w:sz w:val="24"/>
          <w:szCs w:val="24"/>
        </w:rPr>
        <w:t xml:space="preserve"> This increase in popularity </w:t>
      </w:r>
      <w:r w:rsidR="00367250">
        <w:rPr>
          <w:sz w:val="24"/>
          <w:szCs w:val="24"/>
        </w:rPr>
        <w:t xml:space="preserve">and availability </w:t>
      </w:r>
      <w:r w:rsidR="00820D17">
        <w:rPr>
          <w:sz w:val="24"/>
          <w:szCs w:val="24"/>
        </w:rPr>
        <w:t xml:space="preserve">is projected to see an increase in female participation in sport, not just at professional level but at </w:t>
      </w:r>
      <w:r w:rsidR="00BE44B7">
        <w:rPr>
          <w:sz w:val="24"/>
          <w:szCs w:val="24"/>
        </w:rPr>
        <w:t xml:space="preserve">semi-professional, </w:t>
      </w:r>
      <w:r w:rsidR="00820D17">
        <w:rPr>
          <w:sz w:val="24"/>
          <w:szCs w:val="24"/>
        </w:rPr>
        <w:t xml:space="preserve">amateur </w:t>
      </w:r>
      <w:r w:rsidR="00BE44B7">
        <w:rPr>
          <w:sz w:val="24"/>
          <w:szCs w:val="24"/>
        </w:rPr>
        <w:t xml:space="preserve">and social levels </w:t>
      </w:r>
      <w:r w:rsidR="00C22190">
        <w:rPr>
          <w:sz w:val="24"/>
          <w:szCs w:val="24"/>
        </w:rPr>
        <w:t xml:space="preserve">as well </w:t>
      </w:r>
      <w:r w:rsidR="00BE44B7">
        <w:rPr>
          <w:sz w:val="24"/>
          <w:szCs w:val="24"/>
        </w:rPr>
        <w:fldChar w:fldCharType="begin" w:fldLock="1"/>
      </w:r>
      <w:r w:rsidR="00E833F1">
        <w:rPr>
          <w:sz w:val="24"/>
          <w:szCs w:val="24"/>
        </w:rPr>
        <w:instrText>ADDIN CSL_CITATION {"citationItems":[{"id":"ITEM-1","itemData":{"URL":"https://www.womenssporttrust.com/closing-the-visibility-gap/","accessed":{"date-parts":[["2021","11","18"]]},"author":[{"dropping-particle":"","family":"Women's Sport Trust","given":"","non-dropping-particle":"","parse-names":false,"suffix":""}],"id":"ITEM-1","issued":{"date-parts":[["2021"]]},"title":"Closing the Visibility Gap Growing the Value of Women's Sports Through the Impact of Visibility","type":"webpage"},"uris":["http://www.mendeley.com/documents/?uuid=c4f5ba7d-8493-3fc6-bc28-0c8a2e613ce0"]}],"mendeley":{"formattedCitation":"(Women’s Sport Trust, 2021)","plainTextFormattedCitation":"(Women’s Sport Trust, 2021)","previouslyFormattedCitation":"(Women’s Sport Trust, 2021)"},"properties":{"noteIndex":0},"schema":"https://github.com/citation-style-language/schema/raw/master/csl-citation.json"}</w:instrText>
      </w:r>
      <w:r w:rsidR="00BE44B7">
        <w:rPr>
          <w:sz w:val="24"/>
          <w:szCs w:val="24"/>
        </w:rPr>
        <w:fldChar w:fldCharType="separate"/>
      </w:r>
      <w:r w:rsidR="00BE44B7" w:rsidRPr="00BE44B7">
        <w:rPr>
          <w:noProof/>
          <w:sz w:val="24"/>
          <w:szCs w:val="24"/>
        </w:rPr>
        <w:t>(Women’s Sport Trust, 2021)</w:t>
      </w:r>
      <w:r w:rsidR="00BE44B7">
        <w:rPr>
          <w:sz w:val="24"/>
          <w:szCs w:val="24"/>
        </w:rPr>
        <w:fldChar w:fldCharType="end"/>
      </w:r>
      <w:r w:rsidR="00BE44B7">
        <w:rPr>
          <w:sz w:val="24"/>
          <w:szCs w:val="24"/>
        </w:rPr>
        <w:t>.</w:t>
      </w:r>
      <w:r w:rsidR="00E833F1">
        <w:rPr>
          <w:sz w:val="24"/>
          <w:szCs w:val="24"/>
        </w:rPr>
        <w:t xml:space="preserve"> </w:t>
      </w:r>
      <w:r w:rsidR="00446E96">
        <w:rPr>
          <w:sz w:val="24"/>
          <w:szCs w:val="24"/>
        </w:rPr>
        <w:t xml:space="preserve">This increase in participation will allow more women to be able to introduce </w:t>
      </w:r>
      <w:r w:rsidR="006D56B7">
        <w:rPr>
          <w:sz w:val="24"/>
          <w:szCs w:val="24"/>
        </w:rPr>
        <w:t xml:space="preserve">physical activity into their lives </w:t>
      </w:r>
      <w:r w:rsidR="00FC1BCB">
        <w:rPr>
          <w:sz w:val="24"/>
          <w:szCs w:val="24"/>
        </w:rPr>
        <w:t xml:space="preserve">and </w:t>
      </w:r>
      <w:r w:rsidR="002A5818">
        <w:rPr>
          <w:sz w:val="24"/>
          <w:szCs w:val="24"/>
        </w:rPr>
        <w:t>help gain the benefits</w:t>
      </w:r>
      <w:r w:rsidR="00FC1BCB">
        <w:rPr>
          <w:sz w:val="24"/>
          <w:szCs w:val="24"/>
        </w:rPr>
        <w:t xml:space="preserve"> </w:t>
      </w:r>
      <w:r w:rsidR="002A5818">
        <w:rPr>
          <w:sz w:val="24"/>
          <w:szCs w:val="24"/>
        </w:rPr>
        <w:t>associated with physical activ</w:t>
      </w:r>
      <w:r w:rsidR="00D243BF">
        <w:rPr>
          <w:sz w:val="24"/>
          <w:szCs w:val="24"/>
        </w:rPr>
        <w:t xml:space="preserve">ity, from an </w:t>
      </w:r>
      <w:r w:rsidR="00576DAA">
        <w:rPr>
          <w:sz w:val="24"/>
          <w:szCs w:val="24"/>
        </w:rPr>
        <w:t>improvement</w:t>
      </w:r>
      <w:r w:rsidR="00D243BF">
        <w:rPr>
          <w:sz w:val="24"/>
          <w:szCs w:val="24"/>
        </w:rPr>
        <w:t xml:space="preserve"> in mood state</w:t>
      </w:r>
      <w:r w:rsidR="00576DAA">
        <w:rPr>
          <w:sz w:val="24"/>
          <w:szCs w:val="24"/>
        </w:rPr>
        <w:t xml:space="preserve">, </w:t>
      </w:r>
      <w:r w:rsidR="00A61BFF">
        <w:rPr>
          <w:sz w:val="24"/>
          <w:szCs w:val="24"/>
        </w:rPr>
        <w:t>decreased levels of stress</w:t>
      </w:r>
      <w:r w:rsidR="00D243BF">
        <w:rPr>
          <w:sz w:val="24"/>
          <w:szCs w:val="24"/>
        </w:rPr>
        <w:t xml:space="preserve"> </w:t>
      </w:r>
      <w:r w:rsidR="00576DAA">
        <w:rPr>
          <w:sz w:val="24"/>
          <w:szCs w:val="24"/>
        </w:rPr>
        <w:t xml:space="preserve">and </w:t>
      </w:r>
      <w:r w:rsidR="00457E24">
        <w:rPr>
          <w:sz w:val="24"/>
          <w:szCs w:val="24"/>
        </w:rPr>
        <w:t xml:space="preserve">an increase in </w:t>
      </w:r>
      <w:r w:rsidR="00A61BFF">
        <w:rPr>
          <w:sz w:val="24"/>
          <w:szCs w:val="24"/>
        </w:rPr>
        <w:t xml:space="preserve">overall physical health </w:t>
      </w:r>
      <w:r w:rsidR="00B010F6">
        <w:rPr>
          <w:sz w:val="24"/>
          <w:szCs w:val="24"/>
        </w:rPr>
        <w:fldChar w:fldCharType="begin" w:fldLock="1"/>
      </w:r>
      <w:r w:rsidR="000F3625">
        <w:rPr>
          <w:sz w:val="24"/>
          <w:szCs w:val="24"/>
        </w:rPr>
        <w:instrText>ADDIN CSL_CITATION {"citationItems":[{"id":"ITEM-1","itemData":{"ISSN":"20770383","abstract":"Our special series on Cardiac Rehabilitation outlined the importance of routine physical activity and/or exercise participation in the primary and secondary prevention of cardiovascular disease and many other chronic medical conditions. The evidence is overwhelming, demonstrating that nearly everyone can benefit from becoming more physically active. This messaging has been widely disseminated at regional, national, and international levels. Often, this messaging highlights a physical inactivity crisis and the health perils of not engaging in sufficient amounts of physical activity. This deficits-based messaging often includes generic threshold-based recommendations stating that health benefits can only be accrued with specific volumes or intensities of physical activity. In this Editorial, we argue that the current generic and deficits-based messaging misses a great opportunity to focus on the positive and to facilitate hope and real change at the individual, community, and population levels. We advocate a strengths-based approach to health and wellness promotion that focuses on the innate strengths of individuals, families, and communities to enable self-empowerment and self-determination related to health and wellness. By taking a strengths-based approach, we can build hope, promoting the positive aspects of routine physical activity and exercise participation and providing a greater opportunity to enhance health and wellbeing for everyone.","author":[{"dropping-particle":"","family":"Warburton","given":"Darren E.R.","non-dropping-particle":"","parse-names":false,"suffix":""},{"dropping-particle":"","family":"Bredin","given":"Shannon S.D.","non-dropping-particle":"","parse-names":false,"suffix":""}],"container-title":"Journal of Clinical Medicine 2019, Vol. 8, Page 2044","id":"ITEM-1","issue":"12","issued":{"date-parts":[["2019","11","21"]]},"page":"2044","publisher":"Multidisciplinary Digital Publishing Institute","title":"Health Benefits of Physical Activity: A Strengths-Based Approach","type":"article-journal","volume":"8"},"uris":["http://www.mendeley.com/documents/?uuid=3a094f77-3e90-37d1-9f9c-037856b2eede"]}],"mendeley":{"formattedCitation":"(Warburton and Bredin, 2019)","plainTextFormattedCitation":"(Warburton and Bredin, 2019)","previouslyFormattedCitation":"(Warburton and Bredin, 2019)"},"properties":{"noteIndex":0},"schema":"https://github.com/citation-style-language/schema/raw/master/csl-citation.json"}</w:instrText>
      </w:r>
      <w:r w:rsidR="00B010F6">
        <w:rPr>
          <w:sz w:val="24"/>
          <w:szCs w:val="24"/>
        </w:rPr>
        <w:fldChar w:fldCharType="separate"/>
      </w:r>
      <w:r w:rsidR="00B010F6" w:rsidRPr="00B010F6">
        <w:rPr>
          <w:noProof/>
          <w:sz w:val="24"/>
          <w:szCs w:val="24"/>
        </w:rPr>
        <w:t>(Warburton and Bredin, 2019)</w:t>
      </w:r>
      <w:r w:rsidR="00B010F6">
        <w:rPr>
          <w:sz w:val="24"/>
          <w:szCs w:val="24"/>
        </w:rPr>
        <w:fldChar w:fldCharType="end"/>
      </w:r>
      <w:r w:rsidR="00B010F6">
        <w:rPr>
          <w:sz w:val="24"/>
          <w:szCs w:val="24"/>
        </w:rPr>
        <w:t>.</w:t>
      </w:r>
      <w:r w:rsidR="0095076A">
        <w:rPr>
          <w:sz w:val="24"/>
          <w:szCs w:val="24"/>
        </w:rPr>
        <w:t xml:space="preserve"> However, t</w:t>
      </w:r>
      <w:r w:rsidR="00F924A6">
        <w:rPr>
          <w:sz w:val="24"/>
          <w:szCs w:val="24"/>
        </w:rPr>
        <w:t xml:space="preserve">he increase in participation </w:t>
      </w:r>
      <w:r w:rsidR="000A7C16">
        <w:rPr>
          <w:sz w:val="24"/>
          <w:szCs w:val="24"/>
        </w:rPr>
        <w:t xml:space="preserve">of women in sport </w:t>
      </w:r>
      <w:r w:rsidR="00F67E5E">
        <w:rPr>
          <w:sz w:val="24"/>
          <w:szCs w:val="24"/>
        </w:rPr>
        <w:t xml:space="preserve">could be problematic </w:t>
      </w:r>
      <w:r w:rsidR="00ED2108">
        <w:rPr>
          <w:sz w:val="24"/>
          <w:szCs w:val="24"/>
        </w:rPr>
        <w:t>in regards to</w:t>
      </w:r>
      <w:r w:rsidR="001C388F">
        <w:rPr>
          <w:sz w:val="24"/>
          <w:szCs w:val="24"/>
        </w:rPr>
        <w:t xml:space="preserve"> injuries sustained from various sports</w:t>
      </w:r>
      <w:r w:rsidR="00B62205">
        <w:rPr>
          <w:sz w:val="24"/>
          <w:szCs w:val="24"/>
        </w:rPr>
        <w:t xml:space="preserve"> </w:t>
      </w:r>
      <w:r w:rsidR="000F3625">
        <w:rPr>
          <w:sz w:val="24"/>
          <w:szCs w:val="24"/>
        </w:rPr>
        <w:fldChar w:fldCharType="begin" w:fldLock="1"/>
      </w:r>
      <w:r w:rsidR="00E975DE">
        <w:rPr>
          <w:sz w:val="24"/>
          <w:szCs w:val="24"/>
        </w:rPr>
        <w:instrText>ADDIN CSL_CITATION {"citationItems":[{"id":"ITEM-1","itemData":{"ISSN":"0306-3674","PMID":"33692033","abstract":"Background The anterior cruciate ligament (ACL) injury rate for girls/women has not changed in over 20 years, and they remain 3–6 times more likely to experience injury compared with boys/men. To date, ACL injury prevention and management has been approached from a sex-based biological point of view which has furthered our understanding of injury risk factors, mechanisms, and prevention and rehabilitation programmes. However, the traditional sex-based approach does not take into account the growing recognition of how sex and gender (a social construct) are ‘entangled’ and influence each other. Objective This paper discusses the curious absence of gender as an influencer in the dialogue surrounding ACL injuries. We propose adding gender as a pervasive developmental environment as a new theoretical overlay to an established injury model to illustrate how gender can operate as an extrinsic determinant from the presport, training and competition environments through to ACL injury and the treatment environment. Approach We draw on social epidemiological theories of the embodiment of gender and health to provide plausible examples of how gender may influence ACL injury, and demonstrate the opportunity for new, interdisciplinary research in the field. Conclusion Over 20 years of research has failed to decrease the ACL injury rate disparity between girls/women and boys/men. Embedding gender in the study of ACL injury will heighten awareness of possible influences outside the traditional biological elements, challenge us to think about the inextricable ‘entanglement’ of sex and gender, and inform more effective approaches to ACL injury prevention and treatment.","author":[{"dropping-particle":"","family":"Parsons","given":"Joanne L.","non-dropping-particle":"","parse-names":false,"suffix":""},{"dropping-particle":"","family":"Coen","given":"Stephanie E.","non-dropping-particle":"","parse-names":false,"suffix":""},{"dropping-particle":"","family":"Bekker","given":"Sheree","non-dropping-particle":"","parse-names":false,"suffix":""}],"container-title":"British Journal of Sports Medicine","id":"ITEM-1","issue":"17","issued":{"date-parts":[["2021","9","1"]]},"page":"984-990","publisher":"BMJ Publishing Group Ltd and British Association of Sport and Exercise Medicine","title":"Anterior cruciate ligament injury: towards a gendered environmental approach","type":"article-journal","volume":"55"},"uris":["http://www.mendeley.com/documents/?uuid=9756245f-480d-3eaf-b1c8-6c69bf51d30e"]}],"mendeley":{"formattedCitation":"(Parsons, Coen and Bekker, 2021)","plainTextFormattedCitation":"(Parsons, Coen and Bekker, 2021)","previouslyFormattedCitation":"(Parsons, Coen and Bekker, 2021)"},"properties":{"noteIndex":0},"schema":"https://github.com/citation-style-language/schema/raw/master/csl-citation.json"}</w:instrText>
      </w:r>
      <w:r w:rsidR="000F3625">
        <w:rPr>
          <w:sz w:val="24"/>
          <w:szCs w:val="24"/>
        </w:rPr>
        <w:fldChar w:fldCharType="separate"/>
      </w:r>
      <w:r w:rsidR="000F3625" w:rsidRPr="000F3625">
        <w:rPr>
          <w:noProof/>
          <w:sz w:val="24"/>
          <w:szCs w:val="24"/>
        </w:rPr>
        <w:t>(Parsons, Coen and Bekker, 2021)</w:t>
      </w:r>
      <w:r w:rsidR="000F3625">
        <w:rPr>
          <w:sz w:val="24"/>
          <w:szCs w:val="24"/>
        </w:rPr>
        <w:fldChar w:fldCharType="end"/>
      </w:r>
      <w:r w:rsidR="000F3625">
        <w:rPr>
          <w:sz w:val="24"/>
          <w:szCs w:val="24"/>
        </w:rPr>
        <w:t>.</w:t>
      </w:r>
      <w:r w:rsidR="001C388F">
        <w:rPr>
          <w:sz w:val="24"/>
          <w:szCs w:val="24"/>
        </w:rPr>
        <w:t xml:space="preserve"> </w:t>
      </w:r>
      <w:r w:rsidR="000F3625">
        <w:rPr>
          <w:sz w:val="24"/>
          <w:szCs w:val="24"/>
        </w:rPr>
        <w:t>F</w:t>
      </w:r>
      <w:r w:rsidR="006249EA">
        <w:rPr>
          <w:sz w:val="24"/>
          <w:szCs w:val="24"/>
        </w:rPr>
        <w:t xml:space="preserve">urther research is needed in many instances </w:t>
      </w:r>
      <w:r w:rsidR="00DB6B5D">
        <w:rPr>
          <w:sz w:val="24"/>
          <w:szCs w:val="24"/>
        </w:rPr>
        <w:t>that focus</w:t>
      </w:r>
      <w:r w:rsidR="004F7E2C">
        <w:rPr>
          <w:sz w:val="24"/>
          <w:szCs w:val="24"/>
        </w:rPr>
        <w:t xml:space="preserve"> primarily</w:t>
      </w:r>
      <w:r w:rsidR="00DB6B5D">
        <w:rPr>
          <w:sz w:val="24"/>
          <w:szCs w:val="24"/>
        </w:rPr>
        <w:t xml:space="preserve"> on women and women’s anatomy </w:t>
      </w:r>
      <w:r w:rsidR="00A840D0">
        <w:rPr>
          <w:sz w:val="24"/>
          <w:szCs w:val="24"/>
        </w:rPr>
        <w:t xml:space="preserve">as most injury prevention and training measures are </w:t>
      </w:r>
      <w:r w:rsidR="000F3625">
        <w:rPr>
          <w:sz w:val="24"/>
          <w:szCs w:val="24"/>
        </w:rPr>
        <w:t xml:space="preserve">derived from </w:t>
      </w:r>
      <w:r w:rsidR="006522FF">
        <w:rPr>
          <w:sz w:val="24"/>
          <w:szCs w:val="24"/>
        </w:rPr>
        <w:t xml:space="preserve">androcentric data </w:t>
      </w:r>
      <w:r w:rsidR="00E975DE">
        <w:rPr>
          <w:sz w:val="24"/>
          <w:szCs w:val="24"/>
        </w:rPr>
        <w:fldChar w:fldCharType="begin" w:fldLock="1"/>
      </w:r>
      <w:r w:rsidR="00611B05">
        <w:rPr>
          <w:sz w:val="24"/>
          <w:szCs w:val="24"/>
        </w:rPr>
        <w:instrText>ADDIN CSL_CITATION {"citationItems":[{"id":"ITEM-1","itemData":{"ISSN":"1746-1391","abstract":"Globally, over three million women participate in rugby union, yet injury prevention and training strategies are predominantly based on androcentric data. These strategies may have limited generali...","author":[{"dropping-particle":"","family":"Williams","given":"Elisabeth M. P.","non-dropping-particle":"","parse-names":false,"suffix":""},{"dropping-particle":"","family":"Petrie","given":"Freja J.","non-dropping-particle":"","parse-names":false,"suffix":""},{"dropping-particle":"","family":"Pennington","given":"Thomas N.","non-dropping-particle":"","parse-names":false,"suffix":""},{"dropping-particle":"","family":"Powell","given":"David R. L.","non-dropping-particle":"","parse-names":false,"suffix":""},{"dropping-particle":"","family":"Arora","given":"Hari","non-dropping-particle":"","parse-names":false,"suffix":""},{"dropping-particle":"","family":"Mackintosh","given":"Kelly A.","non-dropping-particle":"","parse-names":false,"suffix":""},{"dropping-particle":"","family":"Greybe","given":"Desney G.","non-dropping-particle":"","parse-names":false,"suffix":""}],"container-title":"https://doi.org/10.1080/17461391.2021.1973573","id":"ITEM-1","issued":{"date-parts":[["2021","10","28"]]},"page":"1-10","publisher":"Routledge","title":"Sex differences in neck strength and head impact kinematics in university rugby union players","type":"article-journal"},"uris":["http://www.mendeley.com/documents/?uuid=0028a40a-99cd-3a0b-946a-9f1288cc6572"]}],"mendeley":{"formattedCitation":"(Williams &lt;i&gt;et al.&lt;/i&gt;, 2021)","plainTextFormattedCitation":"(Williams et al., 2021)","previouslyFormattedCitation":"(Williams &lt;i&gt;et al.&lt;/i&gt;, 2021)"},"properties":{"noteIndex":0},"schema":"https://github.com/citation-style-language/schema/raw/master/csl-citation.json"}</w:instrText>
      </w:r>
      <w:r w:rsidR="00E975DE">
        <w:rPr>
          <w:sz w:val="24"/>
          <w:szCs w:val="24"/>
        </w:rPr>
        <w:fldChar w:fldCharType="separate"/>
      </w:r>
      <w:r w:rsidR="00E975DE" w:rsidRPr="00E975DE">
        <w:rPr>
          <w:noProof/>
          <w:sz w:val="24"/>
          <w:szCs w:val="24"/>
        </w:rPr>
        <w:t xml:space="preserve">(Williams </w:t>
      </w:r>
      <w:r w:rsidR="00E975DE" w:rsidRPr="00E975DE">
        <w:rPr>
          <w:i/>
          <w:noProof/>
          <w:sz w:val="24"/>
          <w:szCs w:val="24"/>
        </w:rPr>
        <w:t>et al.</w:t>
      </w:r>
      <w:r w:rsidR="00E975DE" w:rsidRPr="00E975DE">
        <w:rPr>
          <w:noProof/>
          <w:sz w:val="24"/>
          <w:szCs w:val="24"/>
        </w:rPr>
        <w:t>, 2021)</w:t>
      </w:r>
      <w:r w:rsidR="00E975DE">
        <w:rPr>
          <w:sz w:val="24"/>
          <w:szCs w:val="24"/>
        </w:rPr>
        <w:fldChar w:fldCharType="end"/>
      </w:r>
      <w:r w:rsidR="00E975DE">
        <w:rPr>
          <w:sz w:val="24"/>
          <w:szCs w:val="24"/>
        </w:rPr>
        <w:t>.</w:t>
      </w:r>
    </w:p>
    <w:p w14:paraId="72FE91EB" w14:textId="77777777" w:rsidR="004F7E2C" w:rsidRDefault="004F7E2C" w:rsidP="00337E26">
      <w:pPr>
        <w:rPr>
          <w:sz w:val="24"/>
          <w:szCs w:val="24"/>
        </w:rPr>
      </w:pPr>
    </w:p>
    <w:p w14:paraId="01D7209E" w14:textId="45B796FB" w:rsidR="00003E46" w:rsidRDefault="00C1387B" w:rsidP="00470E0D">
      <w:pPr>
        <w:rPr>
          <w:sz w:val="24"/>
          <w:szCs w:val="24"/>
        </w:rPr>
      </w:pPr>
      <w:r>
        <w:rPr>
          <w:sz w:val="24"/>
          <w:szCs w:val="24"/>
        </w:rPr>
        <w:t xml:space="preserve">Research has </w:t>
      </w:r>
      <w:r w:rsidR="008E6B85">
        <w:rPr>
          <w:sz w:val="24"/>
          <w:szCs w:val="24"/>
        </w:rPr>
        <w:t>begun</w:t>
      </w:r>
      <w:r>
        <w:rPr>
          <w:sz w:val="24"/>
          <w:szCs w:val="24"/>
        </w:rPr>
        <w:t xml:space="preserve"> to be conducted to investigate </w:t>
      </w:r>
      <w:r w:rsidR="00276A3B">
        <w:rPr>
          <w:sz w:val="24"/>
          <w:szCs w:val="24"/>
        </w:rPr>
        <w:t>th</w:t>
      </w:r>
      <w:r w:rsidR="009D5AA9">
        <w:rPr>
          <w:sz w:val="24"/>
          <w:szCs w:val="24"/>
        </w:rPr>
        <w:t>is area</w:t>
      </w:r>
      <w:r w:rsidR="00A27D31">
        <w:rPr>
          <w:sz w:val="24"/>
          <w:szCs w:val="24"/>
        </w:rPr>
        <w:t xml:space="preserve">, one research project looked </w:t>
      </w:r>
      <w:r w:rsidR="00916A4A">
        <w:rPr>
          <w:sz w:val="24"/>
          <w:szCs w:val="24"/>
        </w:rPr>
        <w:t xml:space="preserve">specifically </w:t>
      </w:r>
      <w:r w:rsidR="00A27D31">
        <w:rPr>
          <w:sz w:val="24"/>
          <w:szCs w:val="24"/>
        </w:rPr>
        <w:t>at rugby players</w:t>
      </w:r>
      <w:r w:rsidR="005556AA">
        <w:rPr>
          <w:sz w:val="24"/>
          <w:szCs w:val="24"/>
        </w:rPr>
        <w:t xml:space="preserve">, highlighting the fact that a female’s cervical spine was more </w:t>
      </w:r>
      <w:r w:rsidR="00E610D1">
        <w:rPr>
          <w:sz w:val="24"/>
          <w:szCs w:val="24"/>
        </w:rPr>
        <w:t>prone to whiplash than</w:t>
      </w:r>
      <w:r w:rsidR="00611B05">
        <w:rPr>
          <w:sz w:val="24"/>
          <w:szCs w:val="24"/>
        </w:rPr>
        <w:t xml:space="preserve"> a man’s spine </w:t>
      </w:r>
      <w:r w:rsidR="00611B05">
        <w:rPr>
          <w:sz w:val="24"/>
          <w:szCs w:val="24"/>
        </w:rPr>
        <w:fldChar w:fldCharType="begin" w:fldLock="1"/>
      </w:r>
      <w:r w:rsidR="006532E0">
        <w:rPr>
          <w:sz w:val="24"/>
          <w:szCs w:val="24"/>
        </w:rPr>
        <w:instrText>ADDIN CSL_CITATION {"citationItems":[{"id":"ITEM-1","itemData":{"ISSN":"1746-1391","abstract":"Globally, over three million women participate in rugby union, yet injury prevention and training strategies are predominantly based on androcentric data. These strategies may have limited generali...","author":[{"dropping-particle":"","family":"Williams","given":"Elisabeth M. P.","non-dropping-particle":"","parse-names":false,"suffix":""},{"dropping-particle":"","family":"Petrie","given":"Freja J.","non-dropping-particle":"","parse-names":false,"suffix":""},{"dropping-particle":"","family":"Pennington","given":"Thomas N.","non-dropping-particle":"","parse-names":false,"suffix":""},{"dropping-particle":"","family":"Powell","given":"David R. L.","non-dropping-particle":"","parse-names":false,"suffix":""},{"dropping-particle":"","family":"Arora","given":"Hari","non-dropping-particle":"","parse-names":false,"suffix":""},{"dropping-particle":"","family":"Mackintosh","given":"Kelly A.","non-dropping-particle":"","parse-names":false,"suffix":""},{"dropping-particle":"","family":"Greybe","given":"Desney G.","non-dropping-particle":"","parse-names":false,"suffix":""}],"container-title":"https://doi.org/10.1080/17461391.2021.1973573","id":"ITEM-1","issued":{"date-parts":[["2021","10","28"]]},"page":"1-10","publisher":"Routledge","title":"Sex differences in neck strength and head impact kinematics in university rugby union players","type":"article-journal"},"uris":["http://www.mendeley.com/documents/?uuid=0028a40a-99cd-3a0b-946a-9f1288cc6572"]}],"mendeley":{"formattedCitation":"(Williams &lt;i&gt;et al.&lt;/i&gt;, 2021)","plainTextFormattedCitation":"(Williams et al., 2021)","previouslyFormattedCitation":"(Williams &lt;i&gt;et al.&lt;/i&gt;, 2021)"},"properties":{"noteIndex":0},"schema":"https://github.com/citation-style-language/schema/raw/master/csl-citation.json"}</w:instrText>
      </w:r>
      <w:r w:rsidR="00611B05">
        <w:rPr>
          <w:sz w:val="24"/>
          <w:szCs w:val="24"/>
        </w:rPr>
        <w:fldChar w:fldCharType="separate"/>
      </w:r>
      <w:r w:rsidR="00611B05" w:rsidRPr="00611B05">
        <w:rPr>
          <w:noProof/>
          <w:sz w:val="24"/>
          <w:szCs w:val="24"/>
        </w:rPr>
        <w:t xml:space="preserve">(Williams </w:t>
      </w:r>
      <w:r w:rsidR="00611B05" w:rsidRPr="00611B05">
        <w:rPr>
          <w:i/>
          <w:noProof/>
          <w:sz w:val="24"/>
          <w:szCs w:val="24"/>
        </w:rPr>
        <w:t>et al.</w:t>
      </w:r>
      <w:r w:rsidR="00611B05" w:rsidRPr="00611B05">
        <w:rPr>
          <w:noProof/>
          <w:sz w:val="24"/>
          <w:szCs w:val="24"/>
        </w:rPr>
        <w:t>, 2021)</w:t>
      </w:r>
      <w:r w:rsidR="00611B05">
        <w:rPr>
          <w:sz w:val="24"/>
          <w:szCs w:val="24"/>
        </w:rPr>
        <w:fldChar w:fldCharType="end"/>
      </w:r>
      <w:r w:rsidR="00611B05">
        <w:rPr>
          <w:sz w:val="24"/>
          <w:szCs w:val="24"/>
        </w:rPr>
        <w:t>.</w:t>
      </w:r>
      <w:r w:rsidR="003A51AC">
        <w:rPr>
          <w:sz w:val="24"/>
          <w:szCs w:val="24"/>
        </w:rPr>
        <w:t xml:space="preserve"> The results from this research </w:t>
      </w:r>
      <w:r w:rsidR="009E5748">
        <w:rPr>
          <w:sz w:val="24"/>
          <w:szCs w:val="24"/>
        </w:rPr>
        <w:t xml:space="preserve">found </w:t>
      </w:r>
      <w:r w:rsidR="00AA5BE7">
        <w:rPr>
          <w:sz w:val="24"/>
          <w:szCs w:val="24"/>
        </w:rPr>
        <w:t xml:space="preserve">the training and injury-prevention from androcentric data </w:t>
      </w:r>
      <w:r w:rsidR="00745831">
        <w:rPr>
          <w:sz w:val="24"/>
          <w:szCs w:val="24"/>
        </w:rPr>
        <w:t xml:space="preserve">was not sufficient for females </w:t>
      </w:r>
      <w:r w:rsidR="005934B3">
        <w:rPr>
          <w:sz w:val="24"/>
          <w:szCs w:val="24"/>
        </w:rPr>
        <w:t>and that more research</w:t>
      </w:r>
      <w:r w:rsidR="00496E23">
        <w:rPr>
          <w:sz w:val="24"/>
          <w:szCs w:val="24"/>
        </w:rPr>
        <w:t xml:space="preserve"> would</w:t>
      </w:r>
      <w:r w:rsidR="005934B3">
        <w:rPr>
          <w:sz w:val="24"/>
          <w:szCs w:val="24"/>
        </w:rPr>
        <w:t xml:space="preserve"> need to be done to find the </w:t>
      </w:r>
      <w:r w:rsidR="00925B17">
        <w:rPr>
          <w:sz w:val="24"/>
          <w:szCs w:val="24"/>
        </w:rPr>
        <w:t xml:space="preserve">female specific weaknesses of rugby players </w:t>
      </w:r>
      <w:r w:rsidR="006532E0">
        <w:rPr>
          <w:sz w:val="24"/>
          <w:szCs w:val="24"/>
        </w:rPr>
        <w:fldChar w:fldCharType="begin" w:fldLock="1"/>
      </w:r>
      <w:r w:rsidR="00A532F1">
        <w:rPr>
          <w:sz w:val="24"/>
          <w:szCs w:val="24"/>
        </w:rPr>
        <w:instrText>ADDIN CSL_CITATION {"citationItems":[{"id":"ITEM-1","itemData":{"ISSN":"1746-1391","abstract":"Globally, over three million women participate in rugby union, yet injury prevention and training strategies are predominantly based on androcentric data. These strategies may have limited generali...","author":[{"dropping-particle":"","family":"Williams","given":"Elisabeth M. P.","non-dropping-particle":"","parse-names":false,"suffix":""},{"dropping-particle":"","family":"Petrie","given":"Freja J.","non-dropping-particle":"","parse-names":false,"suffix":""},{"dropping-particle":"","family":"Pennington","given":"Thomas N.","non-dropping-particle":"","parse-names":false,"suffix":""},{"dropping-particle":"","family":"Powell","given":"David R. L.","non-dropping-particle":"","parse-names":false,"suffix":""},{"dropping-particle":"","family":"Arora","given":"Hari","non-dropping-particle":"","parse-names":false,"suffix":""},{"dropping-particle":"","family":"Mackintosh","given":"Kelly A.","non-dropping-particle":"","parse-names":false,"suffix":""},{"dropping-particle":"","family":"Greybe","given":"Desney G.","non-dropping-particle":"","parse-names":false,"suffix":""}],"container-title":"https://doi.org/10.1080/17461391.2021.1973573","id":"ITEM-1","issued":{"date-parts":[["2021","10","28"]]},"page":"1-10","publisher":"Routledge","title":"Sex differences in neck strength and head impact kinematics in university rugby union players","type":"article-journal"},"uris":["http://www.mendeley.com/documents/?uuid=0028a40a-99cd-3a0b-946a-9f1288cc6572"]}],"mendeley":{"formattedCitation":"(Williams &lt;i&gt;et al.&lt;/i&gt;, 2021)","plainTextFormattedCitation":"(Williams et al., 2021)","previouslyFormattedCitation":"(Williams &lt;i&gt;et al.&lt;/i&gt;, 2021)"},"properties":{"noteIndex":0},"schema":"https://github.com/citation-style-language/schema/raw/master/csl-citation.json"}</w:instrText>
      </w:r>
      <w:r w:rsidR="006532E0">
        <w:rPr>
          <w:sz w:val="24"/>
          <w:szCs w:val="24"/>
        </w:rPr>
        <w:fldChar w:fldCharType="separate"/>
      </w:r>
      <w:r w:rsidR="006532E0" w:rsidRPr="006532E0">
        <w:rPr>
          <w:noProof/>
          <w:sz w:val="24"/>
          <w:szCs w:val="24"/>
        </w:rPr>
        <w:t xml:space="preserve">(Williams </w:t>
      </w:r>
      <w:r w:rsidR="006532E0" w:rsidRPr="006532E0">
        <w:rPr>
          <w:i/>
          <w:noProof/>
          <w:sz w:val="24"/>
          <w:szCs w:val="24"/>
        </w:rPr>
        <w:t>et al.</w:t>
      </w:r>
      <w:r w:rsidR="006532E0" w:rsidRPr="006532E0">
        <w:rPr>
          <w:noProof/>
          <w:sz w:val="24"/>
          <w:szCs w:val="24"/>
        </w:rPr>
        <w:t>, 2021)</w:t>
      </w:r>
      <w:r w:rsidR="006532E0">
        <w:rPr>
          <w:sz w:val="24"/>
          <w:szCs w:val="24"/>
        </w:rPr>
        <w:fldChar w:fldCharType="end"/>
      </w:r>
      <w:r w:rsidR="006532E0">
        <w:rPr>
          <w:sz w:val="24"/>
          <w:szCs w:val="24"/>
        </w:rPr>
        <w:t xml:space="preserve">. </w:t>
      </w:r>
      <w:r w:rsidR="00826206">
        <w:rPr>
          <w:sz w:val="24"/>
          <w:szCs w:val="24"/>
        </w:rPr>
        <w:t xml:space="preserve">Training and injury prevention </w:t>
      </w:r>
      <w:r w:rsidR="005A0D94">
        <w:rPr>
          <w:sz w:val="24"/>
          <w:szCs w:val="24"/>
        </w:rPr>
        <w:t xml:space="preserve">from gynocentric data would </w:t>
      </w:r>
      <w:r w:rsidR="0025206B">
        <w:rPr>
          <w:sz w:val="24"/>
          <w:szCs w:val="24"/>
        </w:rPr>
        <w:t xml:space="preserve">then </w:t>
      </w:r>
      <w:r w:rsidR="005A0D94">
        <w:rPr>
          <w:sz w:val="24"/>
          <w:szCs w:val="24"/>
        </w:rPr>
        <w:t xml:space="preserve">need to be created </w:t>
      </w:r>
      <w:r w:rsidR="00DD3493">
        <w:rPr>
          <w:sz w:val="24"/>
          <w:szCs w:val="24"/>
        </w:rPr>
        <w:t xml:space="preserve">in order for women to </w:t>
      </w:r>
      <w:r w:rsidR="00AE3D28">
        <w:rPr>
          <w:sz w:val="24"/>
          <w:szCs w:val="24"/>
        </w:rPr>
        <w:t xml:space="preserve">be able to properly </w:t>
      </w:r>
      <w:r w:rsidR="00A532F1">
        <w:rPr>
          <w:sz w:val="24"/>
          <w:szCs w:val="24"/>
        </w:rPr>
        <w:t>protected</w:t>
      </w:r>
      <w:r w:rsidR="009D332E">
        <w:rPr>
          <w:sz w:val="24"/>
          <w:szCs w:val="24"/>
        </w:rPr>
        <w:t xml:space="preserve"> </w:t>
      </w:r>
      <w:proofErr w:type="spellStart"/>
      <w:r w:rsidR="009D332E">
        <w:rPr>
          <w:sz w:val="24"/>
          <w:szCs w:val="24"/>
        </w:rPr>
        <w:t>themsleves</w:t>
      </w:r>
      <w:proofErr w:type="spellEnd"/>
      <w:r w:rsidR="00A532F1">
        <w:rPr>
          <w:sz w:val="24"/>
          <w:szCs w:val="24"/>
        </w:rPr>
        <w:t xml:space="preserve"> from injury</w:t>
      </w:r>
      <w:r w:rsidR="00776BEE">
        <w:rPr>
          <w:sz w:val="24"/>
          <w:szCs w:val="24"/>
        </w:rPr>
        <w:t xml:space="preserve"> and have the best injury recovery possible</w:t>
      </w:r>
      <w:r w:rsidR="00A532F1">
        <w:rPr>
          <w:sz w:val="24"/>
          <w:szCs w:val="24"/>
        </w:rPr>
        <w:t xml:space="preserve"> </w:t>
      </w:r>
      <w:r w:rsidR="00A532F1">
        <w:rPr>
          <w:sz w:val="24"/>
          <w:szCs w:val="24"/>
        </w:rPr>
        <w:fldChar w:fldCharType="begin" w:fldLock="1"/>
      </w:r>
      <w:r w:rsidR="002F1CCC">
        <w:rPr>
          <w:sz w:val="24"/>
          <w:szCs w:val="24"/>
        </w:rPr>
        <w:instrText>ADDIN CSL_CITATION {"citationItems":[{"id":"ITEM-1","itemData":{"ISSN":"1746-1391","abstract":"Globally, over three million women participate in rugby union, yet injury prevention and training strategies are predominantly based on androcentric data. These strategies may have limited generali...","author":[{"dropping-particle":"","family":"Williams","given":"Elisabeth M. P.","non-dropping-particle":"","parse-names":false,"suffix":""},{"dropping-particle":"","family":"Petrie","given":"Freja J.","non-dropping-particle":"","parse-names":false,"suffix":""},{"dropping-particle":"","family":"Pennington","given":"Thomas N.","non-dropping-particle":"","parse-names":false,"suffix":""},{"dropping-particle":"","family":"Powell","given":"David R. L.","non-dropping-particle":"","parse-names":false,"suffix":""},{"dropping-particle":"","family":"Arora","given":"Hari","non-dropping-particle":"","parse-names":false,"suffix":""},{"dropping-particle":"","family":"Mackintosh","given":"Kelly A.","non-dropping-particle":"","parse-names":false,"suffix":""},{"dropping-particle":"","family":"Greybe","given":"Desney G.","non-dropping-particle":"","parse-names":false,"suffix":""}],"container-title":"https://doi.org/10.1080/17461391.2021.1973573","id":"ITEM-1","issued":{"date-parts":[["2021","10","28"]]},"page":"1-10","publisher":"Routledge","title":"Sex differences in neck strength and head impact kinematics in university rugby union players","type":"article-journal"},"uris":["http://www.mendeley.com/documents/?uuid=0028a40a-99cd-3a0b-946a-9f1288cc6572"]}],"mendeley":{"formattedCitation":"(Williams &lt;i&gt;et al.&lt;/i&gt;, 2021)","plainTextFormattedCitation":"(Williams et al., 2021)","previouslyFormattedCitation":"(Williams &lt;i&gt;et al.&lt;/i&gt;, 2021)"},"properties":{"noteIndex":0},"schema":"https://github.com/citation-style-language/schema/raw/master/csl-citation.json"}</w:instrText>
      </w:r>
      <w:r w:rsidR="00A532F1">
        <w:rPr>
          <w:sz w:val="24"/>
          <w:szCs w:val="24"/>
        </w:rPr>
        <w:fldChar w:fldCharType="separate"/>
      </w:r>
      <w:r w:rsidR="00A532F1" w:rsidRPr="00A532F1">
        <w:rPr>
          <w:noProof/>
          <w:sz w:val="24"/>
          <w:szCs w:val="24"/>
        </w:rPr>
        <w:t xml:space="preserve">(Williams </w:t>
      </w:r>
      <w:r w:rsidR="00A532F1" w:rsidRPr="00A532F1">
        <w:rPr>
          <w:i/>
          <w:noProof/>
          <w:sz w:val="24"/>
          <w:szCs w:val="24"/>
        </w:rPr>
        <w:t>et al.</w:t>
      </w:r>
      <w:r w:rsidR="00A532F1" w:rsidRPr="00A532F1">
        <w:rPr>
          <w:noProof/>
          <w:sz w:val="24"/>
          <w:szCs w:val="24"/>
        </w:rPr>
        <w:t>, 2021)</w:t>
      </w:r>
      <w:r w:rsidR="00A532F1">
        <w:rPr>
          <w:sz w:val="24"/>
          <w:szCs w:val="24"/>
        </w:rPr>
        <w:fldChar w:fldCharType="end"/>
      </w:r>
      <w:r w:rsidR="00A532F1">
        <w:rPr>
          <w:sz w:val="24"/>
          <w:szCs w:val="24"/>
        </w:rPr>
        <w:t>.</w:t>
      </w:r>
      <w:r w:rsidR="00633F0C">
        <w:rPr>
          <w:sz w:val="24"/>
          <w:szCs w:val="24"/>
        </w:rPr>
        <w:t xml:space="preserve"> Further supporting this, research conducted by </w:t>
      </w:r>
      <w:r w:rsidR="002D04E7">
        <w:rPr>
          <w:sz w:val="24"/>
          <w:szCs w:val="24"/>
        </w:rPr>
        <w:t xml:space="preserve">Parsons, Coen and </w:t>
      </w:r>
      <w:proofErr w:type="spellStart"/>
      <w:r w:rsidR="002D04E7">
        <w:rPr>
          <w:sz w:val="24"/>
          <w:szCs w:val="24"/>
        </w:rPr>
        <w:t>Bekker</w:t>
      </w:r>
      <w:proofErr w:type="spellEnd"/>
      <w:r w:rsidR="002D04E7">
        <w:rPr>
          <w:sz w:val="24"/>
          <w:szCs w:val="24"/>
        </w:rPr>
        <w:t xml:space="preserve"> (2021)</w:t>
      </w:r>
      <w:r w:rsidR="00482754">
        <w:rPr>
          <w:sz w:val="24"/>
          <w:szCs w:val="24"/>
        </w:rPr>
        <w:t xml:space="preserve"> state that </w:t>
      </w:r>
      <w:r w:rsidR="001714A9">
        <w:rPr>
          <w:sz w:val="24"/>
          <w:szCs w:val="24"/>
        </w:rPr>
        <w:t xml:space="preserve">females are </w:t>
      </w:r>
      <w:r w:rsidR="00600B1B">
        <w:rPr>
          <w:sz w:val="24"/>
          <w:szCs w:val="24"/>
        </w:rPr>
        <w:t xml:space="preserve">3 to 6 times more likely to suffer </w:t>
      </w:r>
      <w:r w:rsidR="001E28EA">
        <w:rPr>
          <w:sz w:val="24"/>
          <w:szCs w:val="24"/>
        </w:rPr>
        <w:t>an</w:t>
      </w:r>
      <w:r w:rsidR="00600B1B">
        <w:rPr>
          <w:sz w:val="24"/>
          <w:szCs w:val="24"/>
        </w:rPr>
        <w:t xml:space="preserve"> </w:t>
      </w:r>
      <w:r w:rsidR="001E28EA">
        <w:rPr>
          <w:sz w:val="24"/>
          <w:szCs w:val="24"/>
        </w:rPr>
        <w:t xml:space="preserve">anterior cruciate ligament (ACL) injury than Males. More </w:t>
      </w:r>
      <w:r w:rsidR="00482754">
        <w:rPr>
          <w:sz w:val="24"/>
          <w:szCs w:val="24"/>
        </w:rPr>
        <w:t xml:space="preserve">than 20 years of research into </w:t>
      </w:r>
      <w:r w:rsidR="001E28EA">
        <w:rPr>
          <w:sz w:val="24"/>
          <w:szCs w:val="24"/>
        </w:rPr>
        <w:t>ACL</w:t>
      </w:r>
      <w:r w:rsidR="00482754">
        <w:rPr>
          <w:sz w:val="24"/>
          <w:szCs w:val="24"/>
        </w:rPr>
        <w:t xml:space="preserve"> </w:t>
      </w:r>
      <w:r w:rsidR="001714A9">
        <w:rPr>
          <w:sz w:val="24"/>
          <w:szCs w:val="24"/>
        </w:rPr>
        <w:t xml:space="preserve">damage </w:t>
      </w:r>
      <w:r w:rsidR="00721321">
        <w:rPr>
          <w:sz w:val="24"/>
          <w:szCs w:val="24"/>
        </w:rPr>
        <w:t>has failed to remedy th</w:t>
      </w:r>
      <w:r w:rsidR="002F1CCC">
        <w:rPr>
          <w:sz w:val="24"/>
          <w:szCs w:val="24"/>
        </w:rPr>
        <w:t>is</w:t>
      </w:r>
      <w:r w:rsidR="00721321">
        <w:rPr>
          <w:sz w:val="24"/>
          <w:szCs w:val="24"/>
        </w:rPr>
        <w:t xml:space="preserve"> </w:t>
      </w:r>
      <w:r w:rsidR="00F67AEC">
        <w:rPr>
          <w:sz w:val="24"/>
          <w:szCs w:val="24"/>
        </w:rPr>
        <w:t>dissimilarity</w:t>
      </w:r>
      <w:r w:rsidR="00AC5FF6">
        <w:rPr>
          <w:sz w:val="24"/>
          <w:szCs w:val="24"/>
        </w:rPr>
        <w:t xml:space="preserve"> </w:t>
      </w:r>
      <w:r w:rsidR="00AC5FF6">
        <w:rPr>
          <w:sz w:val="24"/>
          <w:szCs w:val="24"/>
        </w:rPr>
        <w:lastRenderedPageBreak/>
        <w:t xml:space="preserve">between Males and Females </w:t>
      </w:r>
      <w:r w:rsidR="002F1CCC">
        <w:rPr>
          <w:sz w:val="24"/>
          <w:szCs w:val="24"/>
        </w:rPr>
        <w:fldChar w:fldCharType="begin" w:fldLock="1"/>
      </w:r>
      <w:r w:rsidR="0092466B">
        <w:rPr>
          <w:sz w:val="24"/>
          <w:szCs w:val="24"/>
        </w:rPr>
        <w:instrText>ADDIN CSL_CITATION {"citationItems":[{"id":"ITEM-1","itemData":{"ISSN":"0306-3674","PMID":"33692033","abstract":"Background The anterior cruciate ligament (ACL) injury rate for girls/women has not changed in over 20 years, and they remain 3–6 times more likely to experience injury compared with boys/men. To date, ACL injury prevention and management has been approached from a sex-based biological point of view which has furthered our understanding of injury risk factors, mechanisms, and prevention and rehabilitation programmes. However, the traditional sex-based approach does not take into account the growing recognition of how sex and gender (a social construct) are ‘entangled’ and influence each other. Objective This paper discusses the curious absence of gender as an influencer in the dialogue surrounding ACL injuries. We propose adding gender as a pervasive developmental environment as a new theoretical overlay to an established injury model to illustrate how gender can operate as an extrinsic determinant from the presport, training and competition environments through to ACL injury and the treatment environment. Approach We draw on social epidemiological theories of the embodiment of gender and health to provide plausible examples of how gender may influence ACL injury, and demonstrate the opportunity for new, interdisciplinary research in the field. Conclusion Over 20 years of research has failed to decrease the ACL injury rate disparity between girls/women and boys/men. Embedding gender in the study of ACL injury will heighten awareness of possible influences outside the traditional biological elements, challenge us to think about the inextricable ‘entanglement’ of sex and gender, and inform more effective approaches to ACL injury prevention and treatment.","author":[{"dropping-particle":"","family":"Parsons","given":"Joanne L.","non-dropping-particle":"","parse-names":false,"suffix":""},{"dropping-particle":"","family":"Coen","given":"Stephanie E.","non-dropping-particle":"","parse-names":false,"suffix":""},{"dropping-particle":"","family":"Bekker","given":"Sheree","non-dropping-particle":"","parse-names":false,"suffix":""}],"container-title":"British Journal of Sports Medicine","id":"ITEM-1","issue":"17","issued":{"date-parts":[["2021","9","1"]]},"page":"984-990","publisher":"BMJ Publishing Group Ltd and British Association of Sport and Exercise Medicine","title":"Anterior cruciate ligament injury: towards a gendered environmental approach","type":"article-journal","volume":"55"},"uris":["http://www.mendeley.com/documents/?uuid=9756245f-480d-3eaf-b1c8-6c69bf51d30e"]}],"mendeley":{"formattedCitation":"(Parsons, Coen and Bekker, 2021)","plainTextFormattedCitation":"(Parsons, Coen and Bekker, 2021)","previouslyFormattedCitation":"(Parsons, Coen and Bekker, 2021)"},"properties":{"noteIndex":0},"schema":"https://github.com/citation-style-language/schema/raw/master/csl-citation.json"}</w:instrText>
      </w:r>
      <w:r w:rsidR="002F1CCC">
        <w:rPr>
          <w:sz w:val="24"/>
          <w:szCs w:val="24"/>
        </w:rPr>
        <w:fldChar w:fldCharType="separate"/>
      </w:r>
      <w:r w:rsidR="002F1CCC" w:rsidRPr="002F1CCC">
        <w:rPr>
          <w:noProof/>
          <w:sz w:val="24"/>
          <w:szCs w:val="24"/>
        </w:rPr>
        <w:t>(Parsons, Coen and Bekker, 2021)</w:t>
      </w:r>
      <w:r w:rsidR="002F1CCC">
        <w:rPr>
          <w:sz w:val="24"/>
          <w:szCs w:val="24"/>
        </w:rPr>
        <w:fldChar w:fldCharType="end"/>
      </w:r>
      <w:r w:rsidR="002F1CCC">
        <w:rPr>
          <w:sz w:val="24"/>
          <w:szCs w:val="24"/>
        </w:rPr>
        <w:t>.</w:t>
      </w:r>
      <w:r w:rsidR="009A7AF9">
        <w:rPr>
          <w:sz w:val="24"/>
          <w:szCs w:val="24"/>
        </w:rPr>
        <w:t xml:space="preserve"> This highlights the fact that </w:t>
      </w:r>
      <w:r w:rsidR="003F1C00">
        <w:rPr>
          <w:sz w:val="24"/>
          <w:szCs w:val="24"/>
        </w:rPr>
        <w:t xml:space="preserve">gender inequality </w:t>
      </w:r>
      <w:r w:rsidR="00D10857">
        <w:rPr>
          <w:sz w:val="24"/>
          <w:szCs w:val="24"/>
        </w:rPr>
        <w:t xml:space="preserve">also </w:t>
      </w:r>
      <w:r w:rsidR="00924FBA">
        <w:rPr>
          <w:sz w:val="24"/>
          <w:szCs w:val="24"/>
        </w:rPr>
        <w:t>plays a crucial role within the sport and exercise area</w:t>
      </w:r>
      <w:r w:rsidR="0007551A">
        <w:rPr>
          <w:sz w:val="24"/>
          <w:szCs w:val="24"/>
        </w:rPr>
        <w:t xml:space="preserve"> and that this disparity </w:t>
      </w:r>
      <w:r w:rsidR="00C0306B">
        <w:rPr>
          <w:sz w:val="24"/>
          <w:szCs w:val="24"/>
        </w:rPr>
        <w:t>may cause more women to be less physically active due to a fear of injury</w:t>
      </w:r>
      <w:r w:rsidR="00924FBA">
        <w:rPr>
          <w:sz w:val="24"/>
          <w:szCs w:val="24"/>
        </w:rPr>
        <w:t>.</w:t>
      </w:r>
    </w:p>
    <w:p w14:paraId="67D4BB9A" w14:textId="77777777" w:rsidR="00470E0D" w:rsidRDefault="00470E0D" w:rsidP="00470E0D">
      <w:pPr>
        <w:rPr>
          <w:sz w:val="24"/>
          <w:szCs w:val="24"/>
        </w:rPr>
      </w:pPr>
    </w:p>
    <w:p w14:paraId="2036A498" w14:textId="44A4C8AB" w:rsidR="00343AD5" w:rsidRDefault="009E1C75" w:rsidP="009E1C75">
      <w:pPr>
        <w:rPr>
          <w:sz w:val="24"/>
          <w:szCs w:val="24"/>
        </w:rPr>
      </w:pPr>
      <w:r>
        <w:rPr>
          <w:sz w:val="24"/>
          <w:szCs w:val="24"/>
        </w:rPr>
        <w:t xml:space="preserve">Working life </w:t>
      </w:r>
      <w:r w:rsidR="00DF33FF">
        <w:rPr>
          <w:sz w:val="24"/>
          <w:szCs w:val="24"/>
        </w:rPr>
        <w:t xml:space="preserve">and gender inequality </w:t>
      </w:r>
      <w:r>
        <w:rPr>
          <w:sz w:val="24"/>
          <w:szCs w:val="24"/>
        </w:rPr>
        <w:t xml:space="preserve">is another </w:t>
      </w:r>
      <w:r w:rsidR="00DF33FF">
        <w:rPr>
          <w:sz w:val="24"/>
          <w:szCs w:val="24"/>
        </w:rPr>
        <w:t xml:space="preserve">area that has been researched </w:t>
      </w:r>
      <w:r w:rsidR="002F4A68">
        <w:rPr>
          <w:sz w:val="24"/>
          <w:szCs w:val="24"/>
        </w:rPr>
        <w:t xml:space="preserve">and is said to </w:t>
      </w:r>
      <w:r w:rsidR="000A4198">
        <w:rPr>
          <w:sz w:val="24"/>
          <w:szCs w:val="24"/>
        </w:rPr>
        <w:t>have improved</w:t>
      </w:r>
      <w:r w:rsidR="00A30E8B">
        <w:rPr>
          <w:sz w:val="24"/>
          <w:szCs w:val="24"/>
        </w:rPr>
        <w:t>,</w:t>
      </w:r>
      <w:r w:rsidR="002F4A68">
        <w:rPr>
          <w:sz w:val="24"/>
          <w:szCs w:val="24"/>
        </w:rPr>
        <w:t xml:space="preserve"> </w:t>
      </w:r>
      <w:r w:rsidR="00C30ACA">
        <w:rPr>
          <w:sz w:val="24"/>
          <w:szCs w:val="24"/>
        </w:rPr>
        <w:t xml:space="preserve">however, the problems still persist </w:t>
      </w:r>
      <w:r w:rsidR="00003E46">
        <w:rPr>
          <w:sz w:val="24"/>
          <w:szCs w:val="24"/>
        </w:rPr>
        <w:t xml:space="preserve">in most areas of work </w:t>
      </w:r>
      <w:r w:rsidR="0092466B">
        <w:rPr>
          <w:sz w:val="24"/>
          <w:szCs w:val="24"/>
        </w:rPr>
        <w:fldChar w:fldCharType="begin" w:fldLock="1"/>
      </w:r>
      <w:r w:rsidR="00B72D8F">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2021)","previouslyFormattedCitation":"(Froehlicher &lt;i&gt;et al.&lt;/i&gt;, 2021)"},"properties":{"noteIndex":0},"schema":"https://github.com/citation-style-language/schema/raw/master/csl-citation.json"}</w:instrText>
      </w:r>
      <w:r w:rsidR="0092466B">
        <w:rPr>
          <w:sz w:val="24"/>
          <w:szCs w:val="24"/>
        </w:rPr>
        <w:fldChar w:fldCharType="separate"/>
      </w:r>
      <w:r w:rsidR="0092466B" w:rsidRPr="0092466B">
        <w:rPr>
          <w:noProof/>
          <w:sz w:val="24"/>
          <w:szCs w:val="24"/>
        </w:rPr>
        <w:t xml:space="preserve">(Froehlicher </w:t>
      </w:r>
      <w:r w:rsidR="0092466B" w:rsidRPr="0092466B">
        <w:rPr>
          <w:i/>
          <w:noProof/>
          <w:sz w:val="24"/>
          <w:szCs w:val="24"/>
        </w:rPr>
        <w:t>et al.</w:t>
      </w:r>
      <w:r w:rsidR="0092466B" w:rsidRPr="0092466B">
        <w:rPr>
          <w:noProof/>
          <w:sz w:val="24"/>
          <w:szCs w:val="24"/>
        </w:rPr>
        <w:t>, 2021)</w:t>
      </w:r>
      <w:r w:rsidR="0092466B">
        <w:rPr>
          <w:sz w:val="24"/>
          <w:szCs w:val="24"/>
        </w:rPr>
        <w:fldChar w:fldCharType="end"/>
      </w:r>
      <w:r w:rsidR="0092466B">
        <w:rPr>
          <w:sz w:val="24"/>
          <w:szCs w:val="24"/>
        </w:rPr>
        <w:t xml:space="preserve">. </w:t>
      </w:r>
      <w:r w:rsidR="00B53B6D">
        <w:rPr>
          <w:sz w:val="24"/>
          <w:szCs w:val="24"/>
        </w:rPr>
        <w:t xml:space="preserve">Although more women are </w:t>
      </w:r>
      <w:r w:rsidR="00883EB1">
        <w:rPr>
          <w:sz w:val="24"/>
          <w:szCs w:val="24"/>
        </w:rPr>
        <w:t xml:space="preserve">being hired into </w:t>
      </w:r>
      <w:r w:rsidR="009A5164">
        <w:rPr>
          <w:sz w:val="24"/>
          <w:szCs w:val="24"/>
        </w:rPr>
        <w:t>powerful</w:t>
      </w:r>
      <w:r w:rsidR="00883EB1">
        <w:rPr>
          <w:sz w:val="24"/>
          <w:szCs w:val="24"/>
        </w:rPr>
        <w:t xml:space="preserve"> positions in companies</w:t>
      </w:r>
      <w:r w:rsidR="00C202CC">
        <w:rPr>
          <w:sz w:val="24"/>
          <w:szCs w:val="24"/>
        </w:rPr>
        <w:t xml:space="preserve">, </w:t>
      </w:r>
      <w:r w:rsidR="00A569EB">
        <w:rPr>
          <w:sz w:val="24"/>
          <w:szCs w:val="24"/>
        </w:rPr>
        <w:t xml:space="preserve">women accounted for </w:t>
      </w:r>
      <w:r w:rsidR="00CA68CF">
        <w:rPr>
          <w:sz w:val="24"/>
          <w:szCs w:val="24"/>
        </w:rPr>
        <w:t xml:space="preserve">54% of job </w:t>
      </w:r>
      <w:r w:rsidR="00633B94">
        <w:rPr>
          <w:sz w:val="24"/>
          <w:szCs w:val="24"/>
        </w:rPr>
        <w:t>losses</w:t>
      </w:r>
      <w:r w:rsidR="00CA68CF">
        <w:rPr>
          <w:sz w:val="24"/>
          <w:szCs w:val="24"/>
        </w:rPr>
        <w:t xml:space="preserve"> as of May 2020</w:t>
      </w:r>
      <w:r w:rsidR="00B72D8F">
        <w:rPr>
          <w:sz w:val="24"/>
          <w:szCs w:val="24"/>
        </w:rPr>
        <w:t xml:space="preserve">, even though women only made up 39% of the global workforce at that time </w:t>
      </w:r>
      <w:r w:rsidR="00B72D8F">
        <w:rPr>
          <w:sz w:val="24"/>
          <w:szCs w:val="24"/>
        </w:rPr>
        <w:fldChar w:fldCharType="begin" w:fldLock="1"/>
      </w:r>
      <w:r w:rsidR="009537D1">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2021)","previouslyFormattedCitation":"(Froehlicher &lt;i&gt;et al.&lt;/i&gt;, 2021)"},"properties":{"noteIndex":0},"schema":"https://github.com/citation-style-language/schema/raw/master/csl-citation.json"}</w:instrText>
      </w:r>
      <w:r w:rsidR="00B72D8F">
        <w:rPr>
          <w:sz w:val="24"/>
          <w:szCs w:val="24"/>
        </w:rPr>
        <w:fldChar w:fldCharType="separate"/>
      </w:r>
      <w:r w:rsidR="00B72D8F" w:rsidRPr="00B72D8F">
        <w:rPr>
          <w:noProof/>
          <w:sz w:val="24"/>
          <w:szCs w:val="24"/>
        </w:rPr>
        <w:t xml:space="preserve">(Froehlicher </w:t>
      </w:r>
      <w:r w:rsidR="00B72D8F" w:rsidRPr="00B72D8F">
        <w:rPr>
          <w:i/>
          <w:noProof/>
          <w:sz w:val="24"/>
          <w:szCs w:val="24"/>
        </w:rPr>
        <w:t>et al.</w:t>
      </w:r>
      <w:r w:rsidR="00B72D8F" w:rsidRPr="00B72D8F">
        <w:rPr>
          <w:noProof/>
          <w:sz w:val="24"/>
          <w:szCs w:val="24"/>
        </w:rPr>
        <w:t>, 2021)</w:t>
      </w:r>
      <w:r w:rsidR="00B72D8F">
        <w:rPr>
          <w:sz w:val="24"/>
          <w:szCs w:val="24"/>
        </w:rPr>
        <w:fldChar w:fldCharType="end"/>
      </w:r>
      <w:r w:rsidR="00B72D8F">
        <w:rPr>
          <w:sz w:val="24"/>
          <w:szCs w:val="24"/>
        </w:rPr>
        <w:t>.</w:t>
      </w:r>
      <w:r w:rsidR="004314A4">
        <w:rPr>
          <w:sz w:val="24"/>
          <w:szCs w:val="24"/>
        </w:rPr>
        <w:t xml:space="preserve"> </w:t>
      </w:r>
      <w:r w:rsidR="00614184">
        <w:rPr>
          <w:sz w:val="24"/>
          <w:szCs w:val="24"/>
        </w:rPr>
        <w:t xml:space="preserve">With less than half of the </w:t>
      </w:r>
      <w:r w:rsidR="00C2264C">
        <w:rPr>
          <w:sz w:val="24"/>
          <w:szCs w:val="24"/>
        </w:rPr>
        <w:t xml:space="preserve">global workforce being women but over half of the job loses </w:t>
      </w:r>
      <w:r w:rsidR="00E67214">
        <w:rPr>
          <w:sz w:val="24"/>
          <w:szCs w:val="24"/>
        </w:rPr>
        <w:t>being</w:t>
      </w:r>
      <w:r w:rsidR="00C2264C">
        <w:rPr>
          <w:sz w:val="24"/>
          <w:szCs w:val="24"/>
        </w:rPr>
        <w:t xml:space="preserve"> women, this </w:t>
      </w:r>
      <w:r w:rsidR="009B3420">
        <w:rPr>
          <w:sz w:val="24"/>
          <w:szCs w:val="24"/>
        </w:rPr>
        <w:t>suggests that women</w:t>
      </w:r>
      <w:r w:rsidR="000B6584">
        <w:rPr>
          <w:sz w:val="24"/>
          <w:szCs w:val="24"/>
        </w:rPr>
        <w:t xml:space="preserve">’s job security is worse than that of men </w:t>
      </w:r>
      <w:r w:rsidR="00E67214">
        <w:rPr>
          <w:sz w:val="24"/>
          <w:szCs w:val="24"/>
        </w:rPr>
        <w:t xml:space="preserve">and that </w:t>
      </w:r>
      <w:r w:rsidR="00412325">
        <w:rPr>
          <w:sz w:val="24"/>
          <w:szCs w:val="24"/>
        </w:rPr>
        <w:t xml:space="preserve">they can suffer </w:t>
      </w:r>
      <w:r w:rsidR="005439EE">
        <w:rPr>
          <w:sz w:val="24"/>
          <w:szCs w:val="24"/>
        </w:rPr>
        <w:t>from</w:t>
      </w:r>
      <w:r w:rsidR="00412325">
        <w:rPr>
          <w:sz w:val="24"/>
          <w:szCs w:val="24"/>
        </w:rPr>
        <w:t xml:space="preserve"> anxiety and stress over the</w:t>
      </w:r>
      <w:r w:rsidR="00854034">
        <w:rPr>
          <w:sz w:val="24"/>
          <w:szCs w:val="24"/>
        </w:rPr>
        <w:t>se</w:t>
      </w:r>
      <w:r w:rsidR="00412325">
        <w:rPr>
          <w:sz w:val="24"/>
          <w:szCs w:val="24"/>
        </w:rPr>
        <w:t xml:space="preserve"> </w:t>
      </w:r>
      <w:r w:rsidR="00854034">
        <w:rPr>
          <w:sz w:val="24"/>
          <w:szCs w:val="24"/>
        </w:rPr>
        <w:t>issues more than the average man</w:t>
      </w:r>
      <w:r w:rsidR="005439EE">
        <w:rPr>
          <w:sz w:val="24"/>
          <w:szCs w:val="24"/>
        </w:rPr>
        <w:t xml:space="preserve"> </w:t>
      </w:r>
      <w:r w:rsidR="009537D1">
        <w:rPr>
          <w:sz w:val="24"/>
          <w:szCs w:val="24"/>
        </w:rPr>
        <w:fldChar w:fldCharType="begin" w:fldLock="1"/>
      </w:r>
      <w:r w:rsidR="00F85163">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2021)","previouslyFormattedCitation":"(Froehlicher &lt;i&gt;et al.&lt;/i&gt;, 2021)"},"properties":{"noteIndex":0},"schema":"https://github.com/citation-style-language/schema/raw/master/csl-citation.json"}</w:instrText>
      </w:r>
      <w:r w:rsidR="009537D1">
        <w:rPr>
          <w:sz w:val="24"/>
          <w:szCs w:val="24"/>
        </w:rPr>
        <w:fldChar w:fldCharType="separate"/>
      </w:r>
      <w:r w:rsidR="009537D1" w:rsidRPr="009537D1">
        <w:rPr>
          <w:noProof/>
          <w:sz w:val="24"/>
          <w:szCs w:val="24"/>
        </w:rPr>
        <w:t xml:space="preserve">(Froehlicher </w:t>
      </w:r>
      <w:r w:rsidR="009537D1" w:rsidRPr="009537D1">
        <w:rPr>
          <w:i/>
          <w:noProof/>
          <w:sz w:val="24"/>
          <w:szCs w:val="24"/>
        </w:rPr>
        <w:t>et al.</w:t>
      </w:r>
      <w:r w:rsidR="009537D1" w:rsidRPr="009537D1">
        <w:rPr>
          <w:noProof/>
          <w:sz w:val="24"/>
          <w:szCs w:val="24"/>
        </w:rPr>
        <w:t>, 2021)</w:t>
      </w:r>
      <w:r w:rsidR="009537D1">
        <w:rPr>
          <w:sz w:val="24"/>
          <w:szCs w:val="24"/>
        </w:rPr>
        <w:fldChar w:fldCharType="end"/>
      </w:r>
      <w:r w:rsidR="009537D1">
        <w:rPr>
          <w:sz w:val="24"/>
          <w:szCs w:val="24"/>
        </w:rPr>
        <w:t>.</w:t>
      </w:r>
      <w:r w:rsidR="005C58C1">
        <w:rPr>
          <w:sz w:val="24"/>
          <w:szCs w:val="24"/>
        </w:rPr>
        <w:t xml:space="preserve"> </w:t>
      </w:r>
      <w:r w:rsidR="006F2DEB">
        <w:rPr>
          <w:sz w:val="24"/>
          <w:szCs w:val="24"/>
        </w:rPr>
        <w:t xml:space="preserve">Women also </w:t>
      </w:r>
      <w:r w:rsidR="00A2166C">
        <w:rPr>
          <w:sz w:val="24"/>
          <w:szCs w:val="24"/>
        </w:rPr>
        <w:t xml:space="preserve">face barriers making it harder or even preventing them from achieving </w:t>
      </w:r>
      <w:r w:rsidR="00F85163">
        <w:rPr>
          <w:sz w:val="24"/>
          <w:szCs w:val="24"/>
        </w:rPr>
        <w:t xml:space="preserve">their career goals or high up positions in companies, such as board members </w:t>
      </w:r>
      <w:r w:rsidR="00F85163">
        <w:rPr>
          <w:sz w:val="24"/>
          <w:szCs w:val="24"/>
        </w:rPr>
        <w:fldChar w:fldCharType="begin" w:fldLock="1"/>
      </w:r>
      <w:r w:rsidR="00F52B65">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2021)","previouslyFormattedCitation":"(Froehlicher &lt;i&gt;et al.&lt;/i&gt;, 2021)"},"properties":{"noteIndex":0},"schema":"https://github.com/citation-style-language/schema/raw/master/csl-citation.json"}</w:instrText>
      </w:r>
      <w:r w:rsidR="00F85163">
        <w:rPr>
          <w:sz w:val="24"/>
          <w:szCs w:val="24"/>
        </w:rPr>
        <w:fldChar w:fldCharType="separate"/>
      </w:r>
      <w:r w:rsidR="00F85163" w:rsidRPr="00F85163">
        <w:rPr>
          <w:noProof/>
          <w:sz w:val="24"/>
          <w:szCs w:val="24"/>
        </w:rPr>
        <w:t xml:space="preserve">(Froehlicher </w:t>
      </w:r>
      <w:r w:rsidR="00F85163" w:rsidRPr="00F85163">
        <w:rPr>
          <w:i/>
          <w:noProof/>
          <w:sz w:val="24"/>
          <w:szCs w:val="24"/>
        </w:rPr>
        <w:t>et al.</w:t>
      </w:r>
      <w:r w:rsidR="00F85163" w:rsidRPr="00F85163">
        <w:rPr>
          <w:noProof/>
          <w:sz w:val="24"/>
          <w:szCs w:val="24"/>
        </w:rPr>
        <w:t>, 2021)</w:t>
      </w:r>
      <w:r w:rsidR="00F85163">
        <w:rPr>
          <w:sz w:val="24"/>
          <w:szCs w:val="24"/>
        </w:rPr>
        <w:fldChar w:fldCharType="end"/>
      </w:r>
      <w:r w:rsidR="00F85163">
        <w:rPr>
          <w:sz w:val="24"/>
          <w:szCs w:val="24"/>
        </w:rPr>
        <w:t>.</w:t>
      </w:r>
      <w:r w:rsidR="0006388F">
        <w:rPr>
          <w:sz w:val="24"/>
          <w:szCs w:val="24"/>
        </w:rPr>
        <w:t xml:space="preserve"> However, there has been some </w:t>
      </w:r>
      <w:r w:rsidR="00A62E33">
        <w:rPr>
          <w:sz w:val="24"/>
          <w:szCs w:val="24"/>
        </w:rPr>
        <w:t>action taken to attempt to remedy this, in 20</w:t>
      </w:r>
      <w:r w:rsidR="008E09A2">
        <w:rPr>
          <w:sz w:val="24"/>
          <w:szCs w:val="24"/>
        </w:rPr>
        <w:t>20</w:t>
      </w:r>
      <w:r w:rsidR="00A62E33">
        <w:rPr>
          <w:sz w:val="24"/>
          <w:szCs w:val="24"/>
        </w:rPr>
        <w:t xml:space="preserve"> the State Street Global Advisors </w:t>
      </w:r>
      <w:r w:rsidR="00FF7256">
        <w:rPr>
          <w:sz w:val="24"/>
          <w:szCs w:val="24"/>
        </w:rPr>
        <w:t>said that they would actively vote against any all-male boards</w:t>
      </w:r>
      <w:r w:rsidR="008E09A2">
        <w:rPr>
          <w:sz w:val="24"/>
          <w:szCs w:val="24"/>
        </w:rPr>
        <w:t xml:space="preserve">, </w:t>
      </w:r>
      <w:r w:rsidR="00463709">
        <w:rPr>
          <w:sz w:val="24"/>
          <w:szCs w:val="24"/>
        </w:rPr>
        <w:t xml:space="preserve">any company that had less than 2 female board members </w:t>
      </w:r>
      <w:r w:rsidR="00F52B65">
        <w:rPr>
          <w:sz w:val="24"/>
          <w:szCs w:val="24"/>
        </w:rPr>
        <w:t xml:space="preserve">were urged to correct their diversity </w:t>
      </w:r>
      <w:r w:rsidR="00F52B65">
        <w:rPr>
          <w:sz w:val="24"/>
          <w:szCs w:val="24"/>
        </w:rPr>
        <w:fldChar w:fldCharType="begin" w:fldLock="1"/>
      </w:r>
      <w:r w:rsidR="000B523D">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2021)","previouslyFormattedCitation":"(Froehlicher &lt;i&gt;et al.&lt;/i&gt;, 2021)"},"properties":{"noteIndex":0},"schema":"https://github.com/citation-style-language/schema/raw/master/csl-citation.json"}</w:instrText>
      </w:r>
      <w:r w:rsidR="00F52B65">
        <w:rPr>
          <w:sz w:val="24"/>
          <w:szCs w:val="24"/>
        </w:rPr>
        <w:fldChar w:fldCharType="separate"/>
      </w:r>
      <w:r w:rsidR="00F52B65" w:rsidRPr="00F52B65">
        <w:rPr>
          <w:noProof/>
          <w:sz w:val="24"/>
          <w:szCs w:val="24"/>
        </w:rPr>
        <w:t xml:space="preserve">(Froehlicher </w:t>
      </w:r>
      <w:r w:rsidR="00F52B65" w:rsidRPr="00F52B65">
        <w:rPr>
          <w:i/>
          <w:noProof/>
          <w:sz w:val="24"/>
          <w:szCs w:val="24"/>
        </w:rPr>
        <w:t>et al.</w:t>
      </w:r>
      <w:r w:rsidR="00F52B65" w:rsidRPr="00F52B65">
        <w:rPr>
          <w:noProof/>
          <w:sz w:val="24"/>
          <w:szCs w:val="24"/>
        </w:rPr>
        <w:t>, 2021)</w:t>
      </w:r>
      <w:r w:rsidR="00F52B65">
        <w:rPr>
          <w:sz w:val="24"/>
          <w:szCs w:val="24"/>
        </w:rPr>
        <w:fldChar w:fldCharType="end"/>
      </w:r>
      <w:r w:rsidR="00F52B65">
        <w:rPr>
          <w:sz w:val="24"/>
          <w:szCs w:val="24"/>
        </w:rPr>
        <w:t>.</w:t>
      </w:r>
      <w:r w:rsidR="00EC1D9B">
        <w:rPr>
          <w:sz w:val="24"/>
          <w:szCs w:val="24"/>
        </w:rPr>
        <w:t xml:space="preserve"> This had the desired </w:t>
      </w:r>
      <w:r w:rsidR="00633B94">
        <w:rPr>
          <w:sz w:val="24"/>
          <w:szCs w:val="24"/>
        </w:rPr>
        <w:t>effect</w:t>
      </w:r>
      <w:r w:rsidR="00021321">
        <w:rPr>
          <w:sz w:val="24"/>
          <w:szCs w:val="24"/>
        </w:rPr>
        <w:t xml:space="preserve">, </w:t>
      </w:r>
      <w:r w:rsidR="00EC1D9B">
        <w:rPr>
          <w:sz w:val="24"/>
          <w:szCs w:val="24"/>
        </w:rPr>
        <w:t>as within 5 months of issuing this statement</w:t>
      </w:r>
      <w:r w:rsidR="007236B8">
        <w:rPr>
          <w:sz w:val="24"/>
          <w:szCs w:val="24"/>
        </w:rPr>
        <w:t xml:space="preserve">, companies with less than 2 female board members dropped by 14% </w:t>
      </w:r>
      <w:r w:rsidR="000B523D">
        <w:rPr>
          <w:sz w:val="24"/>
          <w:szCs w:val="24"/>
        </w:rPr>
        <w:t xml:space="preserve">and it is due to continue improving </w:t>
      </w:r>
      <w:r w:rsidR="000B523D">
        <w:rPr>
          <w:sz w:val="24"/>
          <w:szCs w:val="24"/>
        </w:rPr>
        <w:fldChar w:fldCharType="begin" w:fldLock="1"/>
      </w:r>
      <w:r w:rsidR="00AE2CD5">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2021)","previouslyFormattedCitation":"(Froehlicher &lt;i&gt;et al.&lt;/i&gt;, 2021)"},"properties":{"noteIndex":0},"schema":"https://github.com/citation-style-language/schema/raw/master/csl-citation.json"}</w:instrText>
      </w:r>
      <w:r w:rsidR="000B523D">
        <w:rPr>
          <w:sz w:val="24"/>
          <w:szCs w:val="24"/>
        </w:rPr>
        <w:fldChar w:fldCharType="separate"/>
      </w:r>
      <w:r w:rsidR="000B523D" w:rsidRPr="000B523D">
        <w:rPr>
          <w:noProof/>
          <w:sz w:val="24"/>
          <w:szCs w:val="24"/>
        </w:rPr>
        <w:t xml:space="preserve">(Froehlicher </w:t>
      </w:r>
      <w:r w:rsidR="000B523D" w:rsidRPr="000B523D">
        <w:rPr>
          <w:i/>
          <w:noProof/>
          <w:sz w:val="24"/>
          <w:szCs w:val="24"/>
        </w:rPr>
        <w:t>et al.</w:t>
      </w:r>
      <w:r w:rsidR="000B523D" w:rsidRPr="000B523D">
        <w:rPr>
          <w:noProof/>
          <w:sz w:val="24"/>
          <w:szCs w:val="24"/>
        </w:rPr>
        <w:t>, 2021)</w:t>
      </w:r>
      <w:r w:rsidR="000B523D">
        <w:rPr>
          <w:sz w:val="24"/>
          <w:szCs w:val="24"/>
        </w:rPr>
        <w:fldChar w:fldCharType="end"/>
      </w:r>
      <w:r w:rsidR="000B523D">
        <w:rPr>
          <w:sz w:val="24"/>
          <w:szCs w:val="24"/>
        </w:rPr>
        <w:t>.</w:t>
      </w:r>
      <w:r w:rsidR="00C958CA">
        <w:rPr>
          <w:sz w:val="24"/>
          <w:szCs w:val="24"/>
        </w:rPr>
        <w:t xml:space="preserve"> </w:t>
      </w:r>
      <w:r w:rsidR="00BB43AF">
        <w:rPr>
          <w:sz w:val="24"/>
          <w:szCs w:val="24"/>
        </w:rPr>
        <w:t>Removing the gender inequality in the workplace would lead to</w:t>
      </w:r>
      <w:r w:rsidR="009D3E44">
        <w:rPr>
          <w:sz w:val="24"/>
          <w:szCs w:val="24"/>
        </w:rPr>
        <w:t xml:space="preserve"> a more diverse board, creating different views and perspectives </w:t>
      </w:r>
      <w:r w:rsidR="006527A1">
        <w:rPr>
          <w:sz w:val="24"/>
          <w:szCs w:val="24"/>
        </w:rPr>
        <w:t xml:space="preserve">as well as decreasing </w:t>
      </w:r>
      <w:r w:rsidR="009E29E3">
        <w:rPr>
          <w:sz w:val="24"/>
          <w:szCs w:val="24"/>
        </w:rPr>
        <w:t xml:space="preserve">anxiety, anger, sadness and even insomnia </w:t>
      </w:r>
      <w:r w:rsidR="00B743BA">
        <w:rPr>
          <w:sz w:val="24"/>
          <w:szCs w:val="24"/>
        </w:rPr>
        <w:t xml:space="preserve">and allowing people to reach their full potential </w:t>
      </w:r>
      <w:r w:rsidR="00B120C1">
        <w:rPr>
          <w:sz w:val="24"/>
          <w:szCs w:val="24"/>
        </w:rPr>
        <w:fldChar w:fldCharType="begin" w:fldLock="1"/>
      </w:r>
      <w:r w:rsidR="00343AD5">
        <w:rPr>
          <w:sz w:val="24"/>
          <w:szCs w:val="24"/>
        </w:rPr>
        <w:instrText>ADDIN CSL_CITATION {"citationItems":[{"id":"ITEM-1","itemData":{"URL":"https://www.medicalnewstoday.com/articles/psychological-effects-of-gender-inequality#statistics","accessed":{"date-parts":[["2021","11","18"]]},"author":[{"dropping-particle":"","family":"Leonard","given":"Jayne","non-dropping-particle":"","parse-names":false,"suffix":""}],"id":"ITEM-1","issued":{"date-parts":[["2021"]]},"title":"What are the psychological effects of gender inequality?","type":"webpage"},"uris":["http://www.mendeley.com/documents/?uuid=1408b4cc-56f3-3b87-bcfd-e76bbf895068"]}],"mendeley":{"formattedCitation":"(Leonard, 2021)","plainTextFormattedCitation":"(Leonard, 2021)","previouslyFormattedCitation":"(Leonard, 2021)"},"properties":{"noteIndex":0},"schema":"https://github.com/citation-style-language/schema/raw/master/csl-citation.json"}</w:instrText>
      </w:r>
      <w:r w:rsidR="00B120C1">
        <w:rPr>
          <w:sz w:val="24"/>
          <w:szCs w:val="24"/>
        </w:rPr>
        <w:fldChar w:fldCharType="separate"/>
      </w:r>
      <w:r w:rsidR="00B120C1" w:rsidRPr="00B120C1">
        <w:rPr>
          <w:noProof/>
          <w:sz w:val="24"/>
          <w:szCs w:val="24"/>
        </w:rPr>
        <w:t>(Leonard, 2021)</w:t>
      </w:r>
      <w:r w:rsidR="00B120C1">
        <w:rPr>
          <w:sz w:val="24"/>
          <w:szCs w:val="24"/>
        </w:rPr>
        <w:fldChar w:fldCharType="end"/>
      </w:r>
      <w:r w:rsidR="00B120C1">
        <w:rPr>
          <w:sz w:val="24"/>
          <w:szCs w:val="24"/>
        </w:rPr>
        <w:t>.</w:t>
      </w:r>
      <w:r w:rsidR="002702ED">
        <w:rPr>
          <w:sz w:val="24"/>
          <w:szCs w:val="24"/>
        </w:rPr>
        <w:t xml:space="preserve"> </w:t>
      </w:r>
      <w:r w:rsidR="0081224C">
        <w:rPr>
          <w:sz w:val="24"/>
          <w:szCs w:val="24"/>
        </w:rPr>
        <w:t xml:space="preserve">However, </w:t>
      </w:r>
      <w:r w:rsidR="00DE0597">
        <w:rPr>
          <w:sz w:val="24"/>
          <w:szCs w:val="24"/>
        </w:rPr>
        <w:t>some instances have found that companies have forced promotion on some women in order to hit the quota that they need for the board and other roles</w:t>
      </w:r>
      <w:r w:rsidR="0077061E">
        <w:rPr>
          <w:sz w:val="24"/>
          <w:szCs w:val="24"/>
        </w:rPr>
        <w:t xml:space="preserve"> </w:t>
      </w:r>
      <w:r w:rsidR="0077061E">
        <w:rPr>
          <w:sz w:val="24"/>
          <w:szCs w:val="24"/>
        </w:rPr>
        <w:fldChar w:fldCharType="begin" w:fldLock="1"/>
      </w:r>
      <w:r w:rsidR="0077061E">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Global","type":"webpage"},"uris":["http://www.mendeley.com/documents/?uuid=4e02f5fc-9a76-3d5f-9087-38884dc9b72d"]}],"mendeley":{"formattedCitation":"(Froehlicher &lt;i&gt;et al.&lt;/i&gt;, 2021)","plainTextFormattedCitation":"(Froehlicher et al., 2021)"},"properties":{"noteIndex":0},"schema":"https://github.com/citation-style-language/schema/raw/master/csl-citation.json"}</w:instrText>
      </w:r>
      <w:r w:rsidR="0077061E">
        <w:rPr>
          <w:sz w:val="24"/>
          <w:szCs w:val="24"/>
        </w:rPr>
        <w:fldChar w:fldCharType="separate"/>
      </w:r>
      <w:r w:rsidR="0077061E" w:rsidRPr="0077061E">
        <w:rPr>
          <w:noProof/>
          <w:sz w:val="24"/>
          <w:szCs w:val="24"/>
        </w:rPr>
        <w:t xml:space="preserve">(Froehlicher </w:t>
      </w:r>
      <w:r w:rsidR="0077061E" w:rsidRPr="0077061E">
        <w:rPr>
          <w:i/>
          <w:noProof/>
          <w:sz w:val="24"/>
          <w:szCs w:val="24"/>
        </w:rPr>
        <w:t>et al.</w:t>
      </w:r>
      <w:r w:rsidR="0077061E" w:rsidRPr="0077061E">
        <w:rPr>
          <w:noProof/>
          <w:sz w:val="24"/>
          <w:szCs w:val="24"/>
        </w:rPr>
        <w:t>, 2021)</w:t>
      </w:r>
      <w:r w:rsidR="0077061E">
        <w:rPr>
          <w:sz w:val="24"/>
          <w:szCs w:val="24"/>
        </w:rPr>
        <w:fldChar w:fldCharType="end"/>
      </w:r>
      <w:r w:rsidR="0077061E">
        <w:rPr>
          <w:sz w:val="24"/>
          <w:szCs w:val="24"/>
        </w:rPr>
        <w:t>.</w:t>
      </w:r>
      <w:r w:rsidR="00DE0597">
        <w:rPr>
          <w:sz w:val="24"/>
          <w:szCs w:val="24"/>
        </w:rPr>
        <w:t xml:space="preserve"> </w:t>
      </w:r>
      <w:r w:rsidR="00DB16AC">
        <w:rPr>
          <w:sz w:val="24"/>
          <w:szCs w:val="24"/>
        </w:rPr>
        <w:t>T</w:t>
      </w:r>
      <w:r w:rsidR="00F574DD">
        <w:rPr>
          <w:sz w:val="24"/>
          <w:szCs w:val="24"/>
        </w:rPr>
        <w:t>his can cause problems</w:t>
      </w:r>
      <w:r w:rsidR="00B12445">
        <w:rPr>
          <w:sz w:val="24"/>
          <w:szCs w:val="24"/>
        </w:rPr>
        <w:t>,</w:t>
      </w:r>
      <w:r w:rsidR="00F574DD">
        <w:rPr>
          <w:sz w:val="24"/>
          <w:szCs w:val="24"/>
        </w:rPr>
        <w:t xml:space="preserve"> </w:t>
      </w:r>
      <w:r w:rsidR="00343AD5">
        <w:rPr>
          <w:sz w:val="24"/>
          <w:szCs w:val="24"/>
        </w:rPr>
        <w:t xml:space="preserve">as </w:t>
      </w:r>
      <w:r w:rsidR="00E80258">
        <w:rPr>
          <w:sz w:val="24"/>
          <w:szCs w:val="24"/>
        </w:rPr>
        <w:t>some</w:t>
      </w:r>
      <w:r w:rsidR="00343AD5">
        <w:rPr>
          <w:sz w:val="24"/>
          <w:szCs w:val="24"/>
        </w:rPr>
        <w:t xml:space="preserve"> women may not have wanted that role and </w:t>
      </w:r>
      <w:r w:rsidR="00B12445">
        <w:rPr>
          <w:sz w:val="24"/>
          <w:szCs w:val="24"/>
        </w:rPr>
        <w:t>are then unhappy with their work situation</w:t>
      </w:r>
      <w:r w:rsidR="00343AD5">
        <w:rPr>
          <w:sz w:val="24"/>
          <w:szCs w:val="24"/>
        </w:rPr>
        <w:t xml:space="preserve"> </w:t>
      </w:r>
      <w:r w:rsidR="00343AD5">
        <w:rPr>
          <w:sz w:val="24"/>
          <w:szCs w:val="24"/>
        </w:rPr>
        <w:fldChar w:fldCharType="begin" w:fldLock="1"/>
      </w:r>
      <w:r w:rsidR="001718C9">
        <w:rPr>
          <w:sz w:val="24"/>
          <w:szCs w:val="24"/>
        </w:rPr>
        <w:instrText>ADDIN CSL_CITATION {"citationItems":[{"id":"ITEM-1","itemData":{"URL":"https://www.spglobal.com/esg/csa/yearbook/articles/gender-equality-workplace-going-beyond-women-on-the-board","accessed":{"date-parts":[["2021","11","18"]]},"author":[{"dropping-particle":"","family":"Froehlicher","given":"Marie","non-dropping-particle":"","parse-names":false,"suffix":""},{"dropping-particle":"","family":"Griek","given":"Lotte","non-dropping-particle":"","parse-names":false,"suffix":""},{"dropping-particle":"","family":"Nematzadeh","given":"Azadeh","non-dropping-particle":"","parse-names":false,"suffix":""},{"dropping-particle":"","family":"Hall","given":"Lindsev","non-dropping-particle":"","parse-names":false,"suffix":""},{"dropping-particle":"","family":"Stovall","given":"Nathan","non-dropping-particle":"","parse-names":false,"suffix":""}],"id":"ITEM-1","issued":{"date-parts":[["2021"]]},"title":"Gender equality in the workplace: going beyond women on the board | S&amp;P Global","type":"webpage"},"uris":["http://www.mendeley.com/documents/?uuid=4e02f5fc-9a76-3d5f-9087-38884dc9b72d"]},{"id":"ITEM-2","itemData":{"URL":"https://www.medicalnewstoday.com/articles/psychological-effects-of-gender-inequality#statistics","accessed":{"date-parts":[["2021","11","18"]]},"author":[{"dropping-particle":"","family":"Leonard","given":"Jayne","non-dropping-particle":"","parse-names":false,"suffix":""}],"id":"ITEM-2","issued":{"date-parts":[["2021"]]},"title":"What are the psychological effects of gender inequality?","type":"webpage"},"uris":["http://www.mendeley.com/documents/?uuid=1408b4cc-56f3-3b87-bcfd-e76bbf895068"]}],"mendeley":{"formattedCitation":"(Froehlicher &lt;i&gt;et al.&lt;/i&gt;, 2021; Leonard, 2021)","plainTextFormattedCitation":"(Froehlicher et al., 2021; Leonard, 2021)","previouslyFormattedCitation":"(Froehlicher &lt;i&gt;et al.&lt;/i&gt;, 2021; Leonard, 2021)"},"properties":{"noteIndex":0},"schema":"https://github.com/citation-style-language/schema/raw/master/csl-citation.json"}</w:instrText>
      </w:r>
      <w:r w:rsidR="00343AD5">
        <w:rPr>
          <w:sz w:val="24"/>
          <w:szCs w:val="24"/>
        </w:rPr>
        <w:fldChar w:fldCharType="separate"/>
      </w:r>
      <w:r w:rsidR="00343AD5" w:rsidRPr="00343AD5">
        <w:rPr>
          <w:noProof/>
          <w:sz w:val="24"/>
          <w:szCs w:val="24"/>
        </w:rPr>
        <w:t xml:space="preserve">(Froehlicher </w:t>
      </w:r>
      <w:r w:rsidR="00343AD5" w:rsidRPr="00343AD5">
        <w:rPr>
          <w:i/>
          <w:noProof/>
          <w:sz w:val="24"/>
          <w:szCs w:val="24"/>
        </w:rPr>
        <w:t>et al.</w:t>
      </w:r>
      <w:r w:rsidR="00343AD5" w:rsidRPr="00343AD5">
        <w:rPr>
          <w:noProof/>
          <w:sz w:val="24"/>
          <w:szCs w:val="24"/>
        </w:rPr>
        <w:t>, 2021; Leonard, 2021)</w:t>
      </w:r>
      <w:r w:rsidR="00343AD5">
        <w:rPr>
          <w:sz w:val="24"/>
          <w:szCs w:val="24"/>
        </w:rPr>
        <w:fldChar w:fldCharType="end"/>
      </w:r>
      <w:r w:rsidR="00343AD5">
        <w:rPr>
          <w:sz w:val="24"/>
          <w:szCs w:val="24"/>
        </w:rPr>
        <w:t>.</w:t>
      </w:r>
    </w:p>
    <w:p w14:paraId="3B9CD7C1" w14:textId="77777777" w:rsidR="00343AD5" w:rsidRDefault="00343AD5" w:rsidP="009E1C75">
      <w:pPr>
        <w:rPr>
          <w:sz w:val="24"/>
          <w:szCs w:val="24"/>
        </w:rPr>
      </w:pPr>
    </w:p>
    <w:p w14:paraId="2996DED9" w14:textId="0618E105" w:rsidR="00BB43AF" w:rsidRDefault="006F0607" w:rsidP="009E1C75">
      <w:pPr>
        <w:rPr>
          <w:sz w:val="24"/>
          <w:szCs w:val="24"/>
        </w:rPr>
      </w:pPr>
      <w:r>
        <w:rPr>
          <w:sz w:val="24"/>
          <w:szCs w:val="24"/>
        </w:rPr>
        <w:t xml:space="preserve">Job satisfaction </w:t>
      </w:r>
      <w:r w:rsidR="000A7A02">
        <w:rPr>
          <w:sz w:val="24"/>
          <w:szCs w:val="24"/>
        </w:rPr>
        <w:t xml:space="preserve">plays a significant part on one’s health, as it </w:t>
      </w:r>
      <w:r w:rsidR="00081054">
        <w:rPr>
          <w:sz w:val="24"/>
          <w:szCs w:val="24"/>
        </w:rPr>
        <w:t>constitutes most of a person’s time awake, they have to constantly deal with pressures</w:t>
      </w:r>
      <w:r w:rsidR="00CB6E49">
        <w:rPr>
          <w:sz w:val="24"/>
          <w:szCs w:val="24"/>
        </w:rPr>
        <w:t xml:space="preserve"> and stresses connected to work </w:t>
      </w:r>
      <w:r w:rsidR="001718C9">
        <w:rPr>
          <w:sz w:val="24"/>
          <w:szCs w:val="24"/>
        </w:rPr>
        <w:fldChar w:fldCharType="begin" w:fldLock="1"/>
      </w:r>
      <w:r w:rsidR="007215F4">
        <w:rPr>
          <w:sz w:val="24"/>
          <w:szCs w:val="24"/>
        </w:rPr>
        <w:instrText>ADDIN CSL_CITATION {"citationItems":[{"id":"ITEM-1","itemData":{"abstract":"Epidemiologists have long been aware that social and environmental factors can contribute to the incidence of many human diseases. Predictably, as the single activity occupying most people’s waking time is work, pressures, strains, and stresses within the workplace have been identified as being a potentially important health factor. Numerous theories now exist, developed from a wide range of perspectives, postulating a direct link between organisational/workplace stress and wellbeing.1","author":[{"dropping-particle":"","family":"Faragher","given":"E. Brian","non-dropping-particle":"","parse-names":false,"suffix":""},{"dropping-particle":"","family":"Cass","given":"M.","non-dropping-particle":"","parse-names":false,"suffix":""},{"dropping-particle":"","family":"Cooper","given":"Cary L.","non-dropping-particle":"","parse-names":false,"suffix":""}],"container-title":"From Stress to Wellbeing Volume 1","id":"ITEM-1","issued":{"date-parts":[["2013"]]},"page":"254-271","publisher":"Palgrave Macmillan, London","title":"The Relationship between Job Satisfaction and Health: A Meta-Analysis","type":"article-journal"},"uris":["http://www.mendeley.com/documents/?uuid=96b8dee0-ac04-3a45-a4da-52921fccfd5e"]}],"mendeley":{"formattedCitation":"(Faragher, Cass and Cooper, 2013)","plainTextFormattedCitation":"(Faragher, Cass and Cooper, 2013)","previouslyFormattedCitation":"(Faragher, Cass and Cooper, 2013)"},"properties":{"noteIndex":0},"schema":"https://github.com/citation-style-language/schema/raw/master/csl-citation.json"}</w:instrText>
      </w:r>
      <w:r w:rsidR="001718C9">
        <w:rPr>
          <w:sz w:val="24"/>
          <w:szCs w:val="24"/>
        </w:rPr>
        <w:fldChar w:fldCharType="separate"/>
      </w:r>
      <w:r w:rsidR="001718C9" w:rsidRPr="001718C9">
        <w:rPr>
          <w:noProof/>
          <w:sz w:val="24"/>
          <w:szCs w:val="24"/>
        </w:rPr>
        <w:t>(Faragher, Cass and Cooper, 2013)</w:t>
      </w:r>
      <w:r w:rsidR="001718C9">
        <w:rPr>
          <w:sz w:val="24"/>
          <w:szCs w:val="24"/>
        </w:rPr>
        <w:fldChar w:fldCharType="end"/>
      </w:r>
      <w:r w:rsidR="00DE2767">
        <w:rPr>
          <w:sz w:val="24"/>
          <w:szCs w:val="24"/>
        </w:rPr>
        <w:t>.</w:t>
      </w:r>
      <w:r w:rsidR="007E6E90">
        <w:rPr>
          <w:sz w:val="24"/>
          <w:szCs w:val="24"/>
        </w:rPr>
        <w:t xml:space="preserve"> </w:t>
      </w:r>
      <w:r w:rsidR="00071715">
        <w:rPr>
          <w:sz w:val="24"/>
          <w:szCs w:val="24"/>
        </w:rPr>
        <w:t xml:space="preserve">Recent research by </w:t>
      </w:r>
      <w:proofErr w:type="spellStart"/>
      <w:r w:rsidR="00367358">
        <w:rPr>
          <w:sz w:val="24"/>
          <w:szCs w:val="24"/>
        </w:rPr>
        <w:t>Beham</w:t>
      </w:r>
      <w:proofErr w:type="spellEnd"/>
      <w:r w:rsidR="00367358">
        <w:rPr>
          <w:sz w:val="24"/>
          <w:szCs w:val="24"/>
        </w:rPr>
        <w:t xml:space="preserve"> et al (2017) </w:t>
      </w:r>
      <w:r w:rsidR="008E4BEC">
        <w:rPr>
          <w:sz w:val="24"/>
          <w:szCs w:val="24"/>
        </w:rPr>
        <w:t xml:space="preserve">investigated </w:t>
      </w:r>
      <w:r w:rsidR="007C02CF">
        <w:rPr>
          <w:sz w:val="24"/>
          <w:szCs w:val="24"/>
        </w:rPr>
        <w:t xml:space="preserve">the </w:t>
      </w:r>
      <w:r w:rsidR="008E4BEC">
        <w:rPr>
          <w:sz w:val="24"/>
          <w:szCs w:val="24"/>
        </w:rPr>
        <w:t xml:space="preserve">work-life balance for men and women </w:t>
      </w:r>
      <w:r w:rsidR="00667462">
        <w:rPr>
          <w:sz w:val="24"/>
          <w:szCs w:val="24"/>
        </w:rPr>
        <w:t xml:space="preserve">with both part-time and full-time </w:t>
      </w:r>
      <w:r w:rsidR="00C276D6">
        <w:rPr>
          <w:sz w:val="24"/>
          <w:szCs w:val="24"/>
        </w:rPr>
        <w:t xml:space="preserve">employment. </w:t>
      </w:r>
      <w:r w:rsidR="004F5E5A">
        <w:rPr>
          <w:sz w:val="24"/>
          <w:szCs w:val="24"/>
        </w:rPr>
        <w:t xml:space="preserve">From their research, they found </w:t>
      </w:r>
      <w:r w:rsidR="00966ADE">
        <w:rPr>
          <w:sz w:val="24"/>
          <w:szCs w:val="24"/>
        </w:rPr>
        <w:t xml:space="preserve">part-time work to be an increasingly </w:t>
      </w:r>
      <w:r w:rsidR="007C76F3">
        <w:rPr>
          <w:sz w:val="24"/>
          <w:szCs w:val="24"/>
        </w:rPr>
        <w:t>recurrent way for people to manage both work and family life</w:t>
      </w:r>
      <w:r w:rsidR="00F53C47">
        <w:rPr>
          <w:sz w:val="24"/>
          <w:szCs w:val="24"/>
        </w:rPr>
        <w:t xml:space="preserve"> </w:t>
      </w:r>
      <w:r w:rsidR="007215F4">
        <w:rPr>
          <w:sz w:val="24"/>
          <w:szCs w:val="24"/>
        </w:rPr>
        <w:fldChar w:fldCharType="begin" w:fldLock="1"/>
      </w:r>
      <w:r w:rsidR="00BC5197">
        <w:rPr>
          <w:sz w:val="24"/>
          <w:szCs w:val="24"/>
        </w:rPr>
        <w:instrText>ADDIN CSL_CITATION {"citationItems":[{"id":"ITEM-1","itemData":{"ISSN":"14698307","abstract":"Part-time work is an increasingly common strategy for handling work and family – but is it an effective strategy everywhere and for everyone? To answer this question, we examine satisfaction with w...","author":[{"dropping-particle":"","family":"Beham","given":"Barbara","non-dropping-particle":"","parse-names":false,"suffix":""},{"dropping-particle":"","family":"Drobnič","given":"Sonja","non-dropping-particle":"","parse-names":false,"suffix":""},{"dropping-particle":"","family":"Präg","given":"Patrick","non-dropping-particle":"","parse-names":false,"suffix":""},{"dropping-particle":"","family":"Baierl","given":"Andreas","non-dropping-particle":"","parse-names":false,"suffix":""},{"dropping-particle":"","family":"Eckner","given":"Janin","non-dropping-particle":"","parse-names":false,"suffix":""}],"container-title":"https://doi.org/10.1080/14616696.2018.1473627","id":"ITEM-1","issue":"3","issued":{"date-parts":[["2018","5","27"]]},"page":"378-402","publisher":"Routledge","title":"Part-time work and gender inequality in Europe: a comparative analysis of satisfaction with work–life balance","type":"article-journal","volume":"21"},"uris":["http://www.mendeley.com/documents/?uuid=4a42036f-96a3-33b0-9a93-8c055d5cfccf"]}],"mendeley":{"formattedCitation":"(Beham &lt;i&gt;et al.&lt;/i&gt;, 2018)","plainTextFormattedCitation":"(Beham et al., 2018)","previouslyFormattedCitation":"(Beham &lt;i&gt;et al.&lt;/i&gt;, 2018)"},"properties":{"noteIndex":0},"schema":"https://github.com/citation-style-language/schema/raw/master/csl-citation.json"}</w:instrText>
      </w:r>
      <w:r w:rsidR="007215F4">
        <w:rPr>
          <w:sz w:val="24"/>
          <w:szCs w:val="24"/>
        </w:rPr>
        <w:fldChar w:fldCharType="separate"/>
      </w:r>
      <w:r w:rsidR="007215F4" w:rsidRPr="007215F4">
        <w:rPr>
          <w:noProof/>
          <w:sz w:val="24"/>
          <w:szCs w:val="24"/>
        </w:rPr>
        <w:t xml:space="preserve">(Beham </w:t>
      </w:r>
      <w:r w:rsidR="007215F4" w:rsidRPr="007215F4">
        <w:rPr>
          <w:i/>
          <w:noProof/>
          <w:sz w:val="24"/>
          <w:szCs w:val="24"/>
        </w:rPr>
        <w:t>et al.</w:t>
      </w:r>
      <w:r w:rsidR="007215F4" w:rsidRPr="007215F4">
        <w:rPr>
          <w:noProof/>
          <w:sz w:val="24"/>
          <w:szCs w:val="24"/>
        </w:rPr>
        <w:t>, 2018)</w:t>
      </w:r>
      <w:r w:rsidR="007215F4">
        <w:rPr>
          <w:sz w:val="24"/>
          <w:szCs w:val="24"/>
        </w:rPr>
        <w:fldChar w:fldCharType="end"/>
      </w:r>
      <w:r w:rsidR="007215F4">
        <w:rPr>
          <w:sz w:val="24"/>
          <w:szCs w:val="24"/>
        </w:rPr>
        <w:t>.</w:t>
      </w:r>
      <w:r w:rsidR="004D1C88">
        <w:rPr>
          <w:sz w:val="24"/>
          <w:szCs w:val="24"/>
        </w:rPr>
        <w:t xml:space="preserve"> </w:t>
      </w:r>
      <w:r w:rsidR="00ED725A">
        <w:rPr>
          <w:sz w:val="24"/>
          <w:szCs w:val="24"/>
        </w:rPr>
        <w:t xml:space="preserve">It showed that part-time workers tend to have a better </w:t>
      </w:r>
      <w:r w:rsidR="003E1375">
        <w:rPr>
          <w:sz w:val="24"/>
          <w:szCs w:val="24"/>
        </w:rPr>
        <w:t>work life balance</w:t>
      </w:r>
      <w:r w:rsidR="00F54AAF">
        <w:rPr>
          <w:sz w:val="24"/>
          <w:szCs w:val="24"/>
        </w:rPr>
        <w:t xml:space="preserve">, however, they did find that </w:t>
      </w:r>
      <w:r w:rsidR="00DB55BB">
        <w:rPr>
          <w:sz w:val="24"/>
          <w:szCs w:val="24"/>
        </w:rPr>
        <w:t>women who were employed part-time were more satisfied th</w:t>
      </w:r>
      <w:r w:rsidR="0026311C">
        <w:rPr>
          <w:sz w:val="24"/>
          <w:szCs w:val="24"/>
        </w:rPr>
        <w:t>an</w:t>
      </w:r>
      <w:r w:rsidR="00DB55BB">
        <w:rPr>
          <w:sz w:val="24"/>
          <w:szCs w:val="24"/>
        </w:rPr>
        <w:t xml:space="preserve"> men but </w:t>
      </w:r>
      <w:r w:rsidR="00CF5222">
        <w:rPr>
          <w:sz w:val="24"/>
          <w:szCs w:val="24"/>
        </w:rPr>
        <w:t xml:space="preserve">conversely, </w:t>
      </w:r>
      <w:r w:rsidR="00DB55BB">
        <w:rPr>
          <w:sz w:val="24"/>
          <w:szCs w:val="24"/>
        </w:rPr>
        <w:t xml:space="preserve">women in full-time </w:t>
      </w:r>
      <w:r w:rsidR="00AD4561">
        <w:rPr>
          <w:sz w:val="24"/>
          <w:szCs w:val="24"/>
        </w:rPr>
        <w:t xml:space="preserve">employment </w:t>
      </w:r>
      <w:r w:rsidR="00CF5222">
        <w:rPr>
          <w:sz w:val="24"/>
          <w:szCs w:val="24"/>
        </w:rPr>
        <w:t xml:space="preserve">were less </w:t>
      </w:r>
      <w:r w:rsidR="0026311C">
        <w:rPr>
          <w:sz w:val="24"/>
          <w:szCs w:val="24"/>
        </w:rPr>
        <w:t xml:space="preserve">satisfied </w:t>
      </w:r>
      <w:r w:rsidR="00CF5222">
        <w:rPr>
          <w:sz w:val="24"/>
          <w:szCs w:val="24"/>
        </w:rPr>
        <w:t xml:space="preserve">than men </w:t>
      </w:r>
      <w:r w:rsidR="00BC5197">
        <w:rPr>
          <w:sz w:val="24"/>
          <w:szCs w:val="24"/>
        </w:rPr>
        <w:fldChar w:fldCharType="begin" w:fldLock="1"/>
      </w:r>
      <w:r w:rsidR="00781F86">
        <w:rPr>
          <w:sz w:val="24"/>
          <w:szCs w:val="24"/>
        </w:rPr>
        <w:instrText>ADDIN CSL_CITATION {"citationItems":[{"id":"ITEM-1","itemData":{"ISSN":"14698307","abstract":"Part-time work is an increasingly common strategy for handling work and family – but is it an effective strategy everywhere and for everyone? To answer this question, we examine satisfaction with w...","author":[{"dropping-particle":"","family":"Beham","given":"Barbara","non-dropping-particle":"","parse-names":false,"suffix":""},{"dropping-particle":"","family":"Drobnič","given":"Sonja","non-dropping-particle":"","parse-names":false,"suffix":""},{"dropping-particle":"","family":"Präg","given":"Patrick","non-dropping-particle":"","parse-names":false,"suffix":""},{"dropping-particle":"","family":"Baierl","given":"Andreas","non-dropping-particle":"","parse-names":false,"suffix":""},{"dropping-particle":"","family":"Eckner","given":"Janin","non-dropping-particle":"","parse-names":false,"suffix":""}],"container-title":"https://doi.org/10.1080/14616696.2018.1473627","id":"ITEM-1","issue":"3","issued":{"date-parts":[["2018","5","27"]]},"page":"378-402","publisher":"Routledge","title":"Part-time work and gender inequality in Europe: a comparative analysis of satisfaction with work–life balance","type":"article-journal","volume":"21"},"uris":["http://www.mendeley.com/documents/?uuid=4a42036f-96a3-33b0-9a93-8c055d5cfccf"]}],"mendeley":{"formattedCitation":"(Beham &lt;i&gt;et al.&lt;/i&gt;, 2018)","plainTextFormattedCitation":"(Beham et al., 2018)","previouslyFormattedCitation":"(Beham &lt;i&gt;et al.&lt;/i&gt;, 2018)"},"properties":{"noteIndex":0},"schema":"https://github.com/citation-style-language/schema/raw/master/csl-citation.json"}</w:instrText>
      </w:r>
      <w:r w:rsidR="00BC5197">
        <w:rPr>
          <w:sz w:val="24"/>
          <w:szCs w:val="24"/>
        </w:rPr>
        <w:fldChar w:fldCharType="separate"/>
      </w:r>
      <w:r w:rsidR="00BC5197" w:rsidRPr="00BC5197">
        <w:rPr>
          <w:noProof/>
          <w:sz w:val="24"/>
          <w:szCs w:val="24"/>
        </w:rPr>
        <w:t xml:space="preserve">(Beham </w:t>
      </w:r>
      <w:r w:rsidR="00BC5197" w:rsidRPr="00BC5197">
        <w:rPr>
          <w:i/>
          <w:noProof/>
          <w:sz w:val="24"/>
          <w:szCs w:val="24"/>
        </w:rPr>
        <w:t>et al.</w:t>
      </w:r>
      <w:r w:rsidR="00BC5197" w:rsidRPr="00BC5197">
        <w:rPr>
          <w:noProof/>
          <w:sz w:val="24"/>
          <w:szCs w:val="24"/>
        </w:rPr>
        <w:t>, 2018)</w:t>
      </w:r>
      <w:r w:rsidR="00BC5197">
        <w:rPr>
          <w:sz w:val="24"/>
          <w:szCs w:val="24"/>
        </w:rPr>
        <w:fldChar w:fldCharType="end"/>
      </w:r>
      <w:r w:rsidR="00BC5197">
        <w:rPr>
          <w:sz w:val="24"/>
          <w:szCs w:val="24"/>
        </w:rPr>
        <w:t>.</w:t>
      </w:r>
      <w:r w:rsidR="004F560F">
        <w:rPr>
          <w:sz w:val="24"/>
          <w:szCs w:val="24"/>
        </w:rPr>
        <w:t xml:space="preserve"> </w:t>
      </w:r>
      <w:r w:rsidR="00E04A0F">
        <w:rPr>
          <w:sz w:val="24"/>
          <w:szCs w:val="24"/>
        </w:rPr>
        <w:t xml:space="preserve">The information provided from this study suggests that it would be beneficial to </w:t>
      </w:r>
      <w:r w:rsidR="00864BDD">
        <w:rPr>
          <w:sz w:val="24"/>
          <w:szCs w:val="24"/>
        </w:rPr>
        <w:t xml:space="preserve">introduce </w:t>
      </w:r>
      <w:r w:rsidR="00CC2D2D">
        <w:rPr>
          <w:sz w:val="24"/>
          <w:szCs w:val="24"/>
        </w:rPr>
        <w:t xml:space="preserve">gender climate </w:t>
      </w:r>
      <w:r w:rsidR="00864BDD">
        <w:rPr>
          <w:sz w:val="24"/>
          <w:szCs w:val="24"/>
        </w:rPr>
        <w:t xml:space="preserve">support within the workplace </w:t>
      </w:r>
      <w:r w:rsidR="00570DC3">
        <w:rPr>
          <w:sz w:val="24"/>
          <w:szCs w:val="24"/>
        </w:rPr>
        <w:t xml:space="preserve">to resolve the issues that people may have with their work and increase their </w:t>
      </w:r>
      <w:r w:rsidR="00CC2D2D">
        <w:rPr>
          <w:sz w:val="24"/>
          <w:szCs w:val="24"/>
        </w:rPr>
        <w:t>work life balance</w:t>
      </w:r>
      <w:r w:rsidR="00786A5F">
        <w:rPr>
          <w:sz w:val="24"/>
          <w:szCs w:val="24"/>
        </w:rPr>
        <w:t xml:space="preserve"> </w:t>
      </w:r>
      <w:r w:rsidR="00781F86">
        <w:rPr>
          <w:sz w:val="24"/>
          <w:szCs w:val="24"/>
        </w:rPr>
        <w:fldChar w:fldCharType="begin" w:fldLock="1"/>
      </w:r>
      <w:r w:rsidR="00352D8A">
        <w:rPr>
          <w:sz w:val="24"/>
          <w:szCs w:val="24"/>
        </w:rPr>
        <w:instrText>ADDIN CSL_CITATION {"citationItems":[{"id":"ITEM-1","itemData":{"ISSN":"14698307","abstract":"Part-time work is an increasingly common strategy for handling work and family – but is it an effective strategy everywhere and for everyone? To answer this question, we examine satisfaction with w...","author":[{"dropping-particle":"","family":"Beham","given":"Barbara","non-dropping-particle":"","parse-names":false,"suffix":""},{"dropping-particle":"","family":"Drobnič","given":"Sonja","non-dropping-particle":"","parse-names":false,"suffix":""},{"dropping-particle":"","family":"Präg","given":"Patrick","non-dropping-particle":"","parse-names":false,"suffix":""},{"dropping-particle":"","family":"Baierl","given":"Andreas","non-dropping-particle":"","parse-names":false,"suffix":""},{"dropping-particle":"","family":"Eckner","given":"Janin","non-dropping-particle":"","parse-names":false,"suffix":""}],"container-title":"https://doi.org/10.1080/14616696.2018.1473627","id":"ITEM-1","issue":"3","issued":{"date-parts":[["2018","5","27"]]},"page":"378-402","publisher":"Routledge","title":"Part-time work and gender inequality in Europe: a comparative analysis of satisfaction with work–life balance","type":"article-journal","volume":"21"},"uris":["http://www.mendeley.com/documents/?uuid=4a42036f-96a3-33b0-9a93-8c055d5cfccf"]}],"mendeley":{"formattedCitation":"(Beham &lt;i&gt;et al.&lt;/i&gt;, 2018)","plainTextFormattedCitation":"(Beham et al., 2018)","previouslyFormattedCitation":"(Beham &lt;i&gt;et al.&lt;/i&gt;, 2018)"},"properties":{"noteIndex":0},"schema":"https://github.com/citation-style-language/schema/raw/master/csl-citation.json"}</w:instrText>
      </w:r>
      <w:r w:rsidR="00781F86">
        <w:rPr>
          <w:sz w:val="24"/>
          <w:szCs w:val="24"/>
        </w:rPr>
        <w:fldChar w:fldCharType="separate"/>
      </w:r>
      <w:r w:rsidR="00781F86" w:rsidRPr="00781F86">
        <w:rPr>
          <w:noProof/>
          <w:sz w:val="24"/>
          <w:szCs w:val="24"/>
        </w:rPr>
        <w:t xml:space="preserve">(Beham </w:t>
      </w:r>
      <w:r w:rsidR="00781F86" w:rsidRPr="00781F86">
        <w:rPr>
          <w:i/>
          <w:noProof/>
          <w:sz w:val="24"/>
          <w:szCs w:val="24"/>
        </w:rPr>
        <w:t>et al.</w:t>
      </w:r>
      <w:r w:rsidR="00781F86" w:rsidRPr="00781F86">
        <w:rPr>
          <w:noProof/>
          <w:sz w:val="24"/>
          <w:szCs w:val="24"/>
        </w:rPr>
        <w:t>, 2018)</w:t>
      </w:r>
      <w:r w:rsidR="00781F86">
        <w:rPr>
          <w:sz w:val="24"/>
          <w:szCs w:val="24"/>
        </w:rPr>
        <w:fldChar w:fldCharType="end"/>
      </w:r>
      <w:r w:rsidR="00781F86">
        <w:rPr>
          <w:sz w:val="24"/>
          <w:szCs w:val="24"/>
        </w:rPr>
        <w:t>.</w:t>
      </w:r>
      <w:r w:rsidR="001A2CA9">
        <w:rPr>
          <w:sz w:val="24"/>
          <w:szCs w:val="24"/>
        </w:rPr>
        <w:t xml:space="preserve"> </w:t>
      </w:r>
      <w:r w:rsidR="00B57E1D">
        <w:rPr>
          <w:sz w:val="24"/>
          <w:szCs w:val="24"/>
        </w:rPr>
        <w:t xml:space="preserve">Whether the job is part-time or full-time is not the only concern however, as </w:t>
      </w:r>
      <w:r w:rsidR="00B8668F">
        <w:rPr>
          <w:sz w:val="24"/>
          <w:szCs w:val="24"/>
        </w:rPr>
        <w:t xml:space="preserve">the Covid-19 pandemic affected companies and businesses all over the world </w:t>
      </w:r>
      <w:r w:rsidR="00352D8A">
        <w:rPr>
          <w:sz w:val="24"/>
          <w:szCs w:val="24"/>
        </w:rPr>
        <w:fldChar w:fldCharType="begin" w:fldLock="1"/>
      </w:r>
      <w:r w:rsidR="008F767C">
        <w:rPr>
          <w:sz w:val="24"/>
          <w:szCs w:val="24"/>
        </w:rPr>
        <w:instrText>ADDIN CSL_CITATION {"citationItems":[{"id":"ITEM-1","itemData":{"ISSN":"1556-5068","author":[{"dropping-particle":"","family":"Farre","given":"Lidia","non-dropping-particle":"","parse-names":false,"suffix":""},{"dropping-particle":"","family":"Fawaz","given":"Yarine","non-dropping-particle":"","parse-names":false,"suffix":""},{"dropping-particle":"","family":"Gonzalez","given":"Libertad","non-dropping-particle":"","parse-names":false,"suffix":""},{"dropping-particle":"","family":"Graves","given":"Jennifer","non-dropping-particle":"","parse-names":false,"suffix":""}],"container-title":"SSRN Electronic Journal","id":"ITEM-1","issued":{"date-parts":[["2020"]]},"title":"How the Covid-19 Lockdown Affected Gender Inequality in Paid and Unpaid Work in Spain","type":"article-journal"},"uris":["http://www.mendeley.com/documents/?uuid=a56e547f-0da3-3a56-b2e3-a10f6269fe11"]}],"mendeley":{"formattedCitation":"(Farre &lt;i&gt;et al.&lt;/i&gt;, 2020)","plainTextFormattedCitation":"(Farre et al., 2020)","previouslyFormattedCitation":"(Farre &lt;i&gt;et al.&lt;/i&gt;, 2020)"},"properties":{"noteIndex":0},"schema":"https://github.com/citation-style-language/schema/raw/master/csl-citation.json"}</w:instrText>
      </w:r>
      <w:r w:rsidR="00352D8A">
        <w:rPr>
          <w:sz w:val="24"/>
          <w:szCs w:val="24"/>
        </w:rPr>
        <w:fldChar w:fldCharType="separate"/>
      </w:r>
      <w:r w:rsidR="00352D8A" w:rsidRPr="00352D8A">
        <w:rPr>
          <w:noProof/>
          <w:sz w:val="24"/>
          <w:szCs w:val="24"/>
        </w:rPr>
        <w:t xml:space="preserve">(Farre </w:t>
      </w:r>
      <w:r w:rsidR="00352D8A" w:rsidRPr="00352D8A">
        <w:rPr>
          <w:i/>
          <w:noProof/>
          <w:sz w:val="24"/>
          <w:szCs w:val="24"/>
        </w:rPr>
        <w:t>et al.</w:t>
      </w:r>
      <w:r w:rsidR="00352D8A" w:rsidRPr="00352D8A">
        <w:rPr>
          <w:noProof/>
          <w:sz w:val="24"/>
          <w:szCs w:val="24"/>
        </w:rPr>
        <w:t>, 2020)</w:t>
      </w:r>
      <w:r w:rsidR="00352D8A">
        <w:rPr>
          <w:sz w:val="24"/>
          <w:szCs w:val="24"/>
        </w:rPr>
        <w:fldChar w:fldCharType="end"/>
      </w:r>
      <w:r w:rsidR="00352D8A">
        <w:rPr>
          <w:sz w:val="24"/>
          <w:szCs w:val="24"/>
        </w:rPr>
        <w:t>.</w:t>
      </w:r>
    </w:p>
    <w:p w14:paraId="695B15E9" w14:textId="77777777" w:rsidR="002E517E" w:rsidRDefault="002E517E" w:rsidP="009E1C75">
      <w:pPr>
        <w:rPr>
          <w:sz w:val="24"/>
          <w:szCs w:val="24"/>
        </w:rPr>
      </w:pPr>
    </w:p>
    <w:p w14:paraId="35CF69A0" w14:textId="5E8FD510" w:rsidR="002E517E" w:rsidRDefault="005753CA" w:rsidP="009E1C75">
      <w:pPr>
        <w:rPr>
          <w:sz w:val="24"/>
          <w:szCs w:val="24"/>
        </w:rPr>
      </w:pPr>
      <w:r>
        <w:rPr>
          <w:sz w:val="24"/>
          <w:szCs w:val="24"/>
        </w:rPr>
        <w:t>The Covid-19 pandemic made countries close schools,</w:t>
      </w:r>
      <w:r w:rsidR="008F767C">
        <w:rPr>
          <w:sz w:val="24"/>
          <w:szCs w:val="24"/>
        </w:rPr>
        <w:t xml:space="preserve"> non-essential shops, restaurants and takeaways </w:t>
      </w:r>
      <w:r w:rsidR="008F767C">
        <w:rPr>
          <w:sz w:val="24"/>
          <w:szCs w:val="24"/>
        </w:rPr>
        <w:fldChar w:fldCharType="begin" w:fldLock="1"/>
      </w:r>
      <w:r w:rsidR="004B00F7">
        <w:rPr>
          <w:sz w:val="24"/>
          <w:szCs w:val="24"/>
        </w:rPr>
        <w:instrText>ADDIN CSL_CITATION {"citationItems":[{"id":"ITEM-1","itemData":{"ISSN":"1556-5068","author":[{"dropping-particle":"","family":"Farre","given":"Lidia","non-dropping-particle":"","parse-names":false,"suffix":""},{"dropping-particle":"","family":"Fawaz","given":"Yarine","non-dropping-particle":"","parse-names":false,"suffix":""},{"dropping-particle":"","family":"Gonzalez","given":"Libertad","non-dropping-particle":"","parse-names":false,"suffix":""},{"dropping-particle":"","family":"Graves","given":"Jennifer","non-dropping-particle":"","parse-names":false,"suffix":""}],"container-title":"SSRN Electronic Journal","id":"ITEM-1","issued":{"date-parts":[["2020"]]},"title":"How the Covid-19 Lockdown Affected Gender Inequality in Paid and Unpaid Work in Spain","type":"article-journal"},"uris":["http://www.mendeley.com/documents/?uuid=a56e547f-0da3-3a56-b2e3-a10f6269fe11"]}],"mendeley":{"formattedCitation":"(Farre &lt;i&gt;et al.&lt;/i&gt;, 2020)","plainTextFormattedCitation":"(Farre et al., 2020)","previouslyFormattedCitation":"(Farre &lt;i&gt;et al.&lt;/i&gt;, 2020)"},"properties":{"noteIndex":0},"schema":"https://github.com/citation-style-language/schema/raw/master/csl-citation.json"}</w:instrText>
      </w:r>
      <w:r w:rsidR="008F767C">
        <w:rPr>
          <w:sz w:val="24"/>
          <w:szCs w:val="24"/>
        </w:rPr>
        <w:fldChar w:fldCharType="separate"/>
      </w:r>
      <w:r w:rsidR="008F767C" w:rsidRPr="008F767C">
        <w:rPr>
          <w:noProof/>
          <w:sz w:val="24"/>
          <w:szCs w:val="24"/>
        </w:rPr>
        <w:t xml:space="preserve">(Farre </w:t>
      </w:r>
      <w:r w:rsidR="008F767C" w:rsidRPr="008F767C">
        <w:rPr>
          <w:i/>
          <w:noProof/>
          <w:sz w:val="24"/>
          <w:szCs w:val="24"/>
        </w:rPr>
        <w:t>et al.</w:t>
      </w:r>
      <w:r w:rsidR="008F767C" w:rsidRPr="008F767C">
        <w:rPr>
          <w:noProof/>
          <w:sz w:val="24"/>
          <w:szCs w:val="24"/>
        </w:rPr>
        <w:t>, 2020)</w:t>
      </w:r>
      <w:r w:rsidR="008F767C">
        <w:rPr>
          <w:sz w:val="24"/>
          <w:szCs w:val="24"/>
        </w:rPr>
        <w:fldChar w:fldCharType="end"/>
      </w:r>
      <w:r w:rsidR="008F767C">
        <w:rPr>
          <w:sz w:val="24"/>
          <w:szCs w:val="24"/>
        </w:rPr>
        <w:t>.</w:t>
      </w:r>
      <w:r w:rsidR="00EE3217">
        <w:rPr>
          <w:sz w:val="24"/>
          <w:szCs w:val="24"/>
        </w:rPr>
        <w:t xml:space="preserve"> </w:t>
      </w:r>
      <w:r w:rsidR="00C844EA">
        <w:rPr>
          <w:sz w:val="24"/>
          <w:szCs w:val="24"/>
        </w:rPr>
        <w:t xml:space="preserve">During this time, many </w:t>
      </w:r>
      <w:r w:rsidR="00B64917">
        <w:rPr>
          <w:sz w:val="24"/>
          <w:szCs w:val="24"/>
        </w:rPr>
        <w:t>companies</w:t>
      </w:r>
      <w:r w:rsidR="00C844EA">
        <w:rPr>
          <w:sz w:val="24"/>
          <w:szCs w:val="24"/>
        </w:rPr>
        <w:t xml:space="preserve"> were unable to keep their </w:t>
      </w:r>
      <w:r w:rsidR="009A2D4A">
        <w:rPr>
          <w:sz w:val="24"/>
          <w:szCs w:val="24"/>
        </w:rPr>
        <w:t>employees on their payroll as the company was not making money</w:t>
      </w:r>
      <w:r w:rsidR="004B00F7">
        <w:rPr>
          <w:sz w:val="24"/>
          <w:szCs w:val="24"/>
        </w:rPr>
        <w:t xml:space="preserve"> so they had to let people go </w:t>
      </w:r>
      <w:r w:rsidR="004B00F7">
        <w:rPr>
          <w:sz w:val="24"/>
          <w:szCs w:val="24"/>
        </w:rPr>
        <w:fldChar w:fldCharType="begin" w:fldLock="1"/>
      </w:r>
      <w:r w:rsidR="00AC7F9B">
        <w:rPr>
          <w:sz w:val="24"/>
          <w:szCs w:val="24"/>
        </w:rPr>
        <w:instrText>ADDIN CSL_CITATION {"citationItems":[{"id":"ITEM-1","itemData":{"ISSN":"1556-5068","author":[{"dropping-particle":"","family":"Farre","given":"Lidia","non-dropping-particle":"","parse-names":false,"suffix":""},{"dropping-particle":"","family":"Fawaz","given":"Yarine","non-dropping-particle":"","parse-names":false,"suffix":""},{"dropping-particle":"","family":"Gonzalez","given":"Libertad","non-dropping-particle":"","parse-names":false,"suffix":""},{"dropping-particle":"","family":"Graves","given":"Jennifer","non-dropping-particle":"","parse-names":false,"suffix":""}],"container-title":"SSRN Electronic Journal","id":"ITEM-1","issued":{"date-parts":[["2020"]]},"title":"How the Covid-19 Lockdown Affected Gender Inequality in Paid and Unpaid Work in Spain","type":"article-journal"},"uris":["http://www.mendeley.com/documents/?uuid=a56e547f-0da3-3a56-b2e3-a10f6269fe11"]}],"mendeley":{"formattedCitation":"(Farre &lt;i&gt;et al.&lt;/i&gt;, 2020)","plainTextFormattedCitation":"(Farre et al., 2020)","previouslyFormattedCitation":"(Farre &lt;i&gt;et al.&lt;/i&gt;, 2020)"},"properties":{"noteIndex":0},"schema":"https://github.com/citation-style-language/schema/raw/master/csl-citation.json"}</w:instrText>
      </w:r>
      <w:r w:rsidR="004B00F7">
        <w:rPr>
          <w:sz w:val="24"/>
          <w:szCs w:val="24"/>
        </w:rPr>
        <w:fldChar w:fldCharType="separate"/>
      </w:r>
      <w:r w:rsidR="004B00F7" w:rsidRPr="004B00F7">
        <w:rPr>
          <w:noProof/>
          <w:sz w:val="24"/>
          <w:szCs w:val="24"/>
        </w:rPr>
        <w:t xml:space="preserve">(Farre </w:t>
      </w:r>
      <w:r w:rsidR="004B00F7" w:rsidRPr="004B00F7">
        <w:rPr>
          <w:i/>
          <w:noProof/>
          <w:sz w:val="24"/>
          <w:szCs w:val="24"/>
        </w:rPr>
        <w:t>et al.</w:t>
      </w:r>
      <w:r w:rsidR="004B00F7" w:rsidRPr="004B00F7">
        <w:rPr>
          <w:noProof/>
          <w:sz w:val="24"/>
          <w:szCs w:val="24"/>
        </w:rPr>
        <w:t>, 2020)</w:t>
      </w:r>
      <w:r w:rsidR="004B00F7">
        <w:rPr>
          <w:sz w:val="24"/>
          <w:szCs w:val="24"/>
        </w:rPr>
        <w:fldChar w:fldCharType="end"/>
      </w:r>
      <w:r w:rsidR="004B00F7">
        <w:rPr>
          <w:sz w:val="24"/>
          <w:szCs w:val="24"/>
        </w:rPr>
        <w:t>.</w:t>
      </w:r>
      <w:r w:rsidR="00073AE9">
        <w:rPr>
          <w:sz w:val="24"/>
          <w:szCs w:val="24"/>
        </w:rPr>
        <w:t xml:space="preserve"> </w:t>
      </w:r>
      <w:r w:rsidR="0047358B">
        <w:rPr>
          <w:sz w:val="24"/>
          <w:szCs w:val="24"/>
        </w:rPr>
        <w:t>Resent research shows that women were more likely than men to lose their jobs</w:t>
      </w:r>
      <w:r w:rsidR="008601EA">
        <w:rPr>
          <w:sz w:val="24"/>
          <w:szCs w:val="24"/>
        </w:rPr>
        <w:t xml:space="preserve"> during Covid-19</w:t>
      </w:r>
      <w:r w:rsidR="0077717B">
        <w:rPr>
          <w:sz w:val="24"/>
          <w:szCs w:val="24"/>
        </w:rPr>
        <w:t xml:space="preserve"> lockdowns</w:t>
      </w:r>
      <w:r w:rsidR="00844A4F">
        <w:rPr>
          <w:sz w:val="24"/>
          <w:szCs w:val="24"/>
        </w:rPr>
        <w:t>,</w:t>
      </w:r>
      <w:r w:rsidR="00C47567">
        <w:rPr>
          <w:sz w:val="24"/>
          <w:szCs w:val="24"/>
        </w:rPr>
        <w:t xml:space="preserve"> the reason for why women lost jobs more than men is unclear</w:t>
      </w:r>
      <w:r w:rsidR="00AC7F9B">
        <w:rPr>
          <w:sz w:val="24"/>
          <w:szCs w:val="24"/>
        </w:rPr>
        <w:t xml:space="preserve"> </w:t>
      </w:r>
      <w:r w:rsidR="00AC7F9B">
        <w:rPr>
          <w:sz w:val="24"/>
          <w:szCs w:val="24"/>
        </w:rPr>
        <w:fldChar w:fldCharType="begin" w:fldLock="1"/>
      </w:r>
      <w:r w:rsidR="007452C7">
        <w:rPr>
          <w:sz w:val="24"/>
          <w:szCs w:val="24"/>
        </w:rPr>
        <w:instrText>ADDIN CSL_CITATION {"citationItems":[{"id":"ITEM-1","itemData":{"ISSN":"1556-5068","author":[{"dropping-particle":"","family":"Farre","given":"Lidia","non-dropping-particle":"","parse-names":false,"suffix":""},{"dropping-particle":"","family":"Fawaz","given":"Yarine","non-dropping-particle":"","parse-names":false,"suffix":""},{"dropping-particle":"","family":"Gonzalez","given":"Libertad","non-dropping-particle":"","parse-names":false,"suffix":""},{"dropping-particle":"","family":"Graves","given":"Jennifer","non-dropping-particle":"","parse-names":false,"suffix":""}],"container-title":"SSRN Electronic Journal","id":"ITEM-1","issued":{"date-parts":[["2020"]]},"title":"How the Covid-19 Lockdown Affected Gender Inequality in Paid and Unpaid Work in Spain","type":"article-journal"},"uris":["http://www.mendeley.com/documents/?uuid=a56e547f-0da3-3a56-b2e3-a10f6269fe11"]}],"mendeley":{"formattedCitation":"(Farre &lt;i&gt;et al.&lt;/i&gt;, 2020)","plainTextFormattedCitation":"(Farre et al., 2020)","previouslyFormattedCitation":"(Farre &lt;i&gt;et al.&lt;/i&gt;, 2020)"},"properties":{"noteIndex":0},"schema":"https://github.com/citation-style-language/schema/raw/master/csl-citation.json"}</w:instrText>
      </w:r>
      <w:r w:rsidR="00AC7F9B">
        <w:rPr>
          <w:sz w:val="24"/>
          <w:szCs w:val="24"/>
        </w:rPr>
        <w:fldChar w:fldCharType="separate"/>
      </w:r>
      <w:r w:rsidR="00AC7F9B" w:rsidRPr="00AC7F9B">
        <w:rPr>
          <w:noProof/>
          <w:sz w:val="24"/>
          <w:szCs w:val="24"/>
        </w:rPr>
        <w:t xml:space="preserve">(Farre </w:t>
      </w:r>
      <w:r w:rsidR="00AC7F9B" w:rsidRPr="00AC7F9B">
        <w:rPr>
          <w:i/>
          <w:noProof/>
          <w:sz w:val="24"/>
          <w:szCs w:val="24"/>
        </w:rPr>
        <w:t>et al.</w:t>
      </w:r>
      <w:r w:rsidR="00AC7F9B" w:rsidRPr="00AC7F9B">
        <w:rPr>
          <w:noProof/>
          <w:sz w:val="24"/>
          <w:szCs w:val="24"/>
        </w:rPr>
        <w:t>, 2020)</w:t>
      </w:r>
      <w:r w:rsidR="00AC7F9B">
        <w:rPr>
          <w:sz w:val="24"/>
          <w:szCs w:val="24"/>
        </w:rPr>
        <w:fldChar w:fldCharType="end"/>
      </w:r>
      <w:r w:rsidR="00844A4F">
        <w:rPr>
          <w:sz w:val="24"/>
          <w:szCs w:val="24"/>
        </w:rPr>
        <w:t>.</w:t>
      </w:r>
      <w:r w:rsidR="00AC7F9B">
        <w:rPr>
          <w:sz w:val="24"/>
          <w:szCs w:val="24"/>
        </w:rPr>
        <w:t xml:space="preserve"> </w:t>
      </w:r>
      <w:r w:rsidR="0040418A">
        <w:rPr>
          <w:sz w:val="24"/>
          <w:szCs w:val="24"/>
        </w:rPr>
        <w:t>The loss of jobs was</w:t>
      </w:r>
      <w:r w:rsidR="007452C7">
        <w:rPr>
          <w:sz w:val="24"/>
          <w:szCs w:val="24"/>
        </w:rPr>
        <w:t xml:space="preserve"> found to have detrimental effects to both their physical and psychological health </w:t>
      </w:r>
      <w:r w:rsidR="00D75D94">
        <w:rPr>
          <w:sz w:val="24"/>
          <w:szCs w:val="24"/>
        </w:rPr>
        <w:fldChar w:fldCharType="begin" w:fldLock="1"/>
      </w:r>
      <w:r w:rsidR="00DD5676">
        <w:rPr>
          <w:sz w:val="24"/>
          <w:szCs w:val="24"/>
        </w:rPr>
        <w:instrText>ADDIN CSL_CITATION {"citationItems":[{"id":"ITEM-1","itemData":{"ISSN":"03600572","abstract":"Job loss is an involuntary disruptive life event with a far-reaching impact on workers' life trajectories. Its incidence among growing segments of the workforce, alongside the recent era of severe ...","author":[{"dropping-particle":"","family":"Brand","given":"Jennie E.","non-dropping-particle":"","parse-names":false,"suffix":""}],"container-title":"https://doi.org/10.1146/annurev-soc-071913-043237","id":"ITEM-1","issued":{"date-parts":[["2015","8","17"]]},"page":"359-375","publisher":"Annual Reviews","title":"The Far-Reaching Impact of Job Loss and Unemployment","type":"article-journal","volume":"41"},"uris":["http://www.mendeley.com/documents/?uuid=daf00c81-9ba3-35e3-bcd9-167e92d4b7e5"]}],"mendeley":{"formattedCitation":"(Brand, 2015)","plainTextFormattedCitation":"(Brand, 2015)","previouslyFormattedCitation":"(Brand, 2015)"},"properties":{"noteIndex":0},"schema":"https://github.com/citation-style-language/schema/raw/master/csl-citation.json"}</w:instrText>
      </w:r>
      <w:r w:rsidR="00D75D94">
        <w:rPr>
          <w:sz w:val="24"/>
          <w:szCs w:val="24"/>
        </w:rPr>
        <w:fldChar w:fldCharType="separate"/>
      </w:r>
      <w:r w:rsidR="00D75D94" w:rsidRPr="00D75D94">
        <w:rPr>
          <w:noProof/>
          <w:sz w:val="24"/>
          <w:szCs w:val="24"/>
        </w:rPr>
        <w:t>(Brand, 2015)</w:t>
      </w:r>
      <w:r w:rsidR="00D75D94">
        <w:rPr>
          <w:sz w:val="24"/>
          <w:szCs w:val="24"/>
        </w:rPr>
        <w:fldChar w:fldCharType="end"/>
      </w:r>
      <w:r w:rsidR="00D75D94">
        <w:rPr>
          <w:sz w:val="24"/>
          <w:szCs w:val="24"/>
        </w:rPr>
        <w:t>.</w:t>
      </w:r>
      <w:r w:rsidR="003B72F4">
        <w:rPr>
          <w:sz w:val="24"/>
          <w:szCs w:val="24"/>
        </w:rPr>
        <w:t xml:space="preserve"> </w:t>
      </w:r>
      <w:r w:rsidR="00CE61E4">
        <w:rPr>
          <w:sz w:val="24"/>
          <w:szCs w:val="24"/>
        </w:rPr>
        <w:t xml:space="preserve">In these instances </w:t>
      </w:r>
      <w:r w:rsidR="00CE0431">
        <w:rPr>
          <w:sz w:val="24"/>
          <w:szCs w:val="24"/>
        </w:rPr>
        <w:t>the people who lost their jobs</w:t>
      </w:r>
      <w:r w:rsidR="002762F9">
        <w:rPr>
          <w:sz w:val="24"/>
          <w:szCs w:val="24"/>
        </w:rPr>
        <w:t xml:space="preserve">, </w:t>
      </w:r>
      <w:r w:rsidR="00CE0431">
        <w:rPr>
          <w:sz w:val="24"/>
          <w:szCs w:val="24"/>
        </w:rPr>
        <w:t>would have experienced some level of anticipation</w:t>
      </w:r>
      <w:r w:rsidR="00593454">
        <w:rPr>
          <w:sz w:val="24"/>
          <w:szCs w:val="24"/>
        </w:rPr>
        <w:t xml:space="preserve">, </w:t>
      </w:r>
      <w:r w:rsidR="004500AB">
        <w:rPr>
          <w:sz w:val="24"/>
          <w:szCs w:val="24"/>
        </w:rPr>
        <w:t>injustice, displacement</w:t>
      </w:r>
      <w:r w:rsidR="00B56173">
        <w:rPr>
          <w:sz w:val="24"/>
          <w:szCs w:val="24"/>
        </w:rPr>
        <w:t xml:space="preserve">, </w:t>
      </w:r>
      <w:r w:rsidR="00B56173">
        <w:rPr>
          <w:sz w:val="24"/>
          <w:szCs w:val="24"/>
        </w:rPr>
        <w:lastRenderedPageBreak/>
        <w:t xml:space="preserve">social strain, </w:t>
      </w:r>
      <w:r w:rsidR="00336EF1">
        <w:rPr>
          <w:sz w:val="24"/>
          <w:szCs w:val="24"/>
        </w:rPr>
        <w:t xml:space="preserve">economic strain and </w:t>
      </w:r>
      <w:r w:rsidR="00DD5676">
        <w:rPr>
          <w:sz w:val="24"/>
          <w:szCs w:val="24"/>
        </w:rPr>
        <w:t xml:space="preserve">stress build up </w:t>
      </w:r>
      <w:r w:rsidR="00DD5676">
        <w:rPr>
          <w:sz w:val="24"/>
          <w:szCs w:val="24"/>
        </w:rPr>
        <w:fldChar w:fldCharType="begin" w:fldLock="1"/>
      </w:r>
      <w:r w:rsidR="00073FBB">
        <w:rPr>
          <w:sz w:val="24"/>
          <w:szCs w:val="24"/>
        </w:rPr>
        <w:instrText>ADDIN CSL_CITATION {"citationItems":[{"id":"ITEM-1","itemData":{"ISSN":"03600572","abstract":"Job loss is an involuntary disruptive life event with a far-reaching impact on workers' life trajectories. Its incidence among growing segments of the workforce, alongside the recent era of severe ...","author":[{"dropping-particle":"","family":"Brand","given":"Jennie E.","non-dropping-particle":"","parse-names":false,"suffix":""}],"container-title":"https://doi.org/10.1146/annurev-soc-071913-043237","id":"ITEM-1","issued":{"date-parts":[["2015","8","17"]]},"page":"359-375","publisher":"Annual Reviews","title":"The Far-Reaching Impact of Job Loss and Unemployment","type":"article-journal","volume":"41"},"uris":["http://www.mendeley.com/documents/?uuid=daf00c81-9ba3-35e3-bcd9-167e92d4b7e5"]}],"mendeley":{"formattedCitation":"(Brand, 2015)","plainTextFormattedCitation":"(Brand, 2015)","previouslyFormattedCitation":"(Brand, 2015)"},"properties":{"noteIndex":0},"schema":"https://github.com/citation-style-language/schema/raw/master/csl-citation.json"}</w:instrText>
      </w:r>
      <w:r w:rsidR="00DD5676">
        <w:rPr>
          <w:sz w:val="24"/>
          <w:szCs w:val="24"/>
        </w:rPr>
        <w:fldChar w:fldCharType="separate"/>
      </w:r>
      <w:r w:rsidR="00DD5676" w:rsidRPr="00DD5676">
        <w:rPr>
          <w:noProof/>
          <w:sz w:val="24"/>
          <w:szCs w:val="24"/>
        </w:rPr>
        <w:t>(Brand, 2015)</w:t>
      </w:r>
      <w:r w:rsidR="00DD5676">
        <w:rPr>
          <w:sz w:val="24"/>
          <w:szCs w:val="24"/>
        </w:rPr>
        <w:fldChar w:fldCharType="end"/>
      </w:r>
      <w:r w:rsidR="00DD5676">
        <w:rPr>
          <w:sz w:val="24"/>
          <w:szCs w:val="24"/>
        </w:rPr>
        <w:t>.</w:t>
      </w:r>
      <w:r w:rsidR="006F6048">
        <w:rPr>
          <w:sz w:val="24"/>
          <w:szCs w:val="24"/>
        </w:rPr>
        <w:t xml:space="preserve"> In relation to physical symptoms, it has been shown that job loss can lead to </w:t>
      </w:r>
      <w:r w:rsidR="00637541">
        <w:rPr>
          <w:sz w:val="24"/>
          <w:szCs w:val="24"/>
        </w:rPr>
        <w:t xml:space="preserve">self-destructive behaviours, </w:t>
      </w:r>
      <w:r w:rsidR="008871C8">
        <w:rPr>
          <w:sz w:val="24"/>
          <w:szCs w:val="24"/>
        </w:rPr>
        <w:t xml:space="preserve">lack of motivation to exercise and even suicide </w:t>
      </w:r>
      <w:r w:rsidR="00073FBB">
        <w:rPr>
          <w:sz w:val="24"/>
          <w:szCs w:val="24"/>
        </w:rPr>
        <w:fldChar w:fldCharType="begin" w:fldLock="1"/>
      </w:r>
      <w:r w:rsidR="002D4AED">
        <w:rPr>
          <w:sz w:val="24"/>
          <w:szCs w:val="24"/>
        </w:rPr>
        <w:instrText>ADDIN CSL_CITATION {"citationItems":[{"id":"ITEM-1","itemData":{"ISSN":"03600572","abstract":"Job loss is an involuntary disruptive life event with a far-reaching impact on workers' life trajectories. Its incidence among growing segments of the workforce, alongside the recent era of severe ...","author":[{"dropping-particle":"","family":"Brand","given":"Jennie E.","non-dropping-particle":"","parse-names":false,"suffix":""}],"container-title":"https://doi.org/10.1146/annurev-soc-071913-043237","id":"ITEM-1","issued":{"date-parts":[["2015","8","17"]]},"page":"359-375","publisher":"Annual Reviews","title":"The Far-Reaching Impact of Job Loss and Unemployment","type":"article-journal","volume":"41"},"uris":["http://www.mendeley.com/documents/?uuid=daf00c81-9ba3-35e3-bcd9-167e92d4b7e5"]}],"mendeley":{"formattedCitation":"(Brand, 2015)","plainTextFormattedCitation":"(Brand, 2015)","previouslyFormattedCitation":"(Brand, 2015)"},"properties":{"noteIndex":0},"schema":"https://github.com/citation-style-language/schema/raw/master/csl-citation.json"}</w:instrText>
      </w:r>
      <w:r w:rsidR="00073FBB">
        <w:rPr>
          <w:sz w:val="24"/>
          <w:szCs w:val="24"/>
        </w:rPr>
        <w:fldChar w:fldCharType="separate"/>
      </w:r>
      <w:r w:rsidR="00073FBB" w:rsidRPr="00073FBB">
        <w:rPr>
          <w:noProof/>
          <w:sz w:val="24"/>
          <w:szCs w:val="24"/>
        </w:rPr>
        <w:t>(Brand, 2015)</w:t>
      </w:r>
      <w:r w:rsidR="00073FBB">
        <w:rPr>
          <w:sz w:val="24"/>
          <w:szCs w:val="24"/>
        </w:rPr>
        <w:fldChar w:fldCharType="end"/>
      </w:r>
      <w:r w:rsidR="00502192">
        <w:rPr>
          <w:sz w:val="24"/>
          <w:szCs w:val="24"/>
        </w:rPr>
        <w:t>.</w:t>
      </w:r>
      <w:r w:rsidR="00073FBB">
        <w:rPr>
          <w:sz w:val="24"/>
          <w:szCs w:val="24"/>
        </w:rPr>
        <w:t xml:space="preserve"> </w:t>
      </w:r>
      <w:r w:rsidR="00502192">
        <w:rPr>
          <w:sz w:val="24"/>
          <w:szCs w:val="24"/>
        </w:rPr>
        <w:t xml:space="preserve">Additionally, </w:t>
      </w:r>
      <w:r w:rsidR="009B3A05">
        <w:rPr>
          <w:sz w:val="24"/>
          <w:szCs w:val="24"/>
        </w:rPr>
        <w:t xml:space="preserve">the risk of </w:t>
      </w:r>
      <w:r w:rsidR="002762F9">
        <w:rPr>
          <w:sz w:val="24"/>
          <w:szCs w:val="24"/>
        </w:rPr>
        <w:t xml:space="preserve">subsequent strokes </w:t>
      </w:r>
      <w:r w:rsidR="00502192">
        <w:rPr>
          <w:sz w:val="24"/>
          <w:szCs w:val="24"/>
        </w:rPr>
        <w:t>were found to be</w:t>
      </w:r>
      <w:r w:rsidR="00D94E65">
        <w:rPr>
          <w:sz w:val="24"/>
          <w:szCs w:val="24"/>
        </w:rPr>
        <w:t xml:space="preserve"> more than twice as common </w:t>
      </w:r>
      <w:r w:rsidR="002D4AED">
        <w:rPr>
          <w:sz w:val="24"/>
          <w:szCs w:val="24"/>
        </w:rPr>
        <w:fldChar w:fldCharType="begin" w:fldLock="1"/>
      </w:r>
      <w:r w:rsidR="00521FEB">
        <w:rPr>
          <w:sz w:val="24"/>
          <w:szCs w:val="24"/>
        </w:rPr>
        <w:instrText>ADDIN CSL_CITATION {"citationItems":[{"id":"ITEM-1","itemData":{"ISSN":"1097-0274","PMID":"15095423","abstract":"Background: The role of stress in the development of cardiovascular disease is well established. Previous research has demonstrated that involuntary job loss in the years immediately preceding retirement can be a stressful life event shown to produce adverse changes in physical and affective health. The objective of this study was to estimate the risk of myocardial infarction (MI) and stroke associated with involuntary job loss among workers nearing retirement in the United States. Methods: We used multivariable survival analysis to analyze data from the first four waves of the Health and Retirement Survey (HRS), a nationally representative sample of older individuals in the US. The analytic sample includes 457 workers who experienced job loss and a comparison group of 3,763 employed individuals. Results: The results indicate that involuntary job loss is not associated with subsequent risk of MI (adjusted HR=1.89; 95% CI=0.91, 3.93); the risk of subsequent stroke associated with involuntary job loss is more than double (adjusted HR = 2.64; 95% CI = 1.01, 6.94). Conclusions: Our findings present new data to suggest that involuntary job loss should be considered as a plausible risk factor for subsequent cardiovascular and cerebrovascular illness among older workers. © 2004 Wiley-Liss, Inc.","author":[{"dropping-particle":"","family":"Gallo","given":"William T.","non-dropping-particle":"","parse-names":false,"suffix":""},{"dropping-particle":"","family":"Bradley","given":"Elizabeth H.","non-dropping-particle":"","parse-names":false,"suffix":""},{"dropping-particle":"","family":"Falba","given":"Tracy A.","non-dropping-particle":"","parse-names":false,"suffix":""},{"dropping-particle":"","family":"Dubin","given":"Joel A.","non-dropping-particle":"","parse-names":false,"suffix":""},{"dropping-particle":"","family":"Cramer","given":"Laura D.","non-dropping-particle":"","parse-names":false,"suffix":""},{"dropping-particle":"","family":"Bogardus","given":"Sidney T.","non-dropping-particle":"","parse-names":false,"suffix":""},{"dropping-particle":"V.","family":"Kasl","given":"Stanislav","non-dropping-particle":"","parse-names":false,"suffix":""}],"container-title":"American Journal of Industrial Medicine","id":"ITEM-1","issue":"5","issued":{"date-parts":[["2004","5","1"]]},"page":"408-416","publisher":"John Wiley &amp; Sons, Ltd","title":"Involuntary job loss as a risk factor for subsequent myocardial infarction and stroke: Findings from The Health and Retirement Survey","type":"article-journal","volume":"45"},"uris":["http://www.mendeley.com/documents/?uuid=5ef87509-a75f-3fc9-9db3-3bac7c4c9bef"]}],"mendeley":{"formattedCitation":"(Gallo &lt;i&gt;et al.&lt;/i&gt;, 2004)","plainTextFormattedCitation":"(Gallo et al., 2004)","previouslyFormattedCitation":"(Gallo &lt;i&gt;et al.&lt;/i&gt;, 2004)"},"properties":{"noteIndex":0},"schema":"https://github.com/citation-style-language/schema/raw/master/csl-citation.json"}</w:instrText>
      </w:r>
      <w:r w:rsidR="002D4AED">
        <w:rPr>
          <w:sz w:val="24"/>
          <w:szCs w:val="24"/>
        </w:rPr>
        <w:fldChar w:fldCharType="separate"/>
      </w:r>
      <w:r w:rsidR="002D4AED" w:rsidRPr="002D4AED">
        <w:rPr>
          <w:noProof/>
          <w:sz w:val="24"/>
          <w:szCs w:val="24"/>
        </w:rPr>
        <w:t xml:space="preserve">(Gallo </w:t>
      </w:r>
      <w:r w:rsidR="002D4AED" w:rsidRPr="002D4AED">
        <w:rPr>
          <w:i/>
          <w:noProof/>
          <w:sz w:val="24"/>
          <w:szCs w:val="24"/>
        </w:rPr>
        <w:t>et al.</w:t>
      </w:r>
      <w:r w:rsidR="002D4AED" w:rsidRPr="002D4AED">
        <w:rPr>
          <w:noProof/>
          <w:sz w:val="24"/>
          <w:szCs w:val="24"/>
        </w:rPr>
        <w:t>, 2004)</w:t>
      </w:r>
      <w:r w:rsidR="002D4AED">
        <w:rPr>
          <w:sz w:val="24"/>
          <w:szCs w:val="24"/>
        </w:rPr>
        <w:fldChar w:fldCharType="end"/>
      </w:r>
      <w:r w:rsidR="002D4AED">
        <w:rPr>
          <w:sz w:val="24"/>
          <w:szCs w:val="24"/>
        </w:rPr>
        <w:t>.</w:t>
      </w:r>
      <w:r w:rsidR="00335B6F">
        <w:rPr>
          <w:sz w:val="24"/>
          <w:szCs w:val="24"/>
        </w:rPr>
        <w:t xml:space="preserve"> </w:t>
      </w:r>
      <w:r w:rsidR="00E97D26">
        <w:rPr>
          <w:sz w:val="24"/>
          <w:szCs w:val="24"/>
        </w:rPr>
        <w:t xml:space="preserve">Furthermore, </w:t>
      </w:r>
      <w:r w:rsidR="001F6F19">
        <w:rPr>
          <w:sz w:val="24"/>
          <w:szCs w:val="24"/>
        </w:rPr>
        <w:t xml:space="preserve">research found that </w:t>
      </w:r>
      <w:r w:rsidR="002F0D4E">
        <w:rPr>
          <w:sz w:val="24"/>
          <w:szCs w:val="24"/>
        </w:rPr>
        <w:t xml:space="preserve">people who </w:t>
      </w:r>
      <w:r w:rsidR="00287A93">
        <w:rPr>
          <w:sz w:val="24"/>
          <w:szCs w:val="24"/>
        </w:rPr>
        <w:t>have</w:t>
      </w:r>
      <w:r w:rsidR="002F0D4E">
        <w:rPr>
          <w:sz w:val="24"/>
          <w:szCs w:val="24"/>
        </w:rPr>
        <w:t xml:space="preserve"> </w:t>
      </w:r>
      <w:r w:rsidR="001744E5">
        <w:rPr>
          <w:sz w:val="24"/>
          <w:szCs w:val="24"/>
        </w:rPr>
        <w:t xml:space="preserve">any form of physical or psychological </w:t>
      </w:r>
      <w:r w:rsidR="002F0D4E">
        <w:rPr>
          <w:sz w:val="24"/>
          <w:szCs w:val="24"/>
        </w:rPr>
        <w:t xml:space="preserve">ill health prior to </w:t>
      </w:r>
      <w:r w:rsidR="00756E5C">
        <w:rPr>
          <w:sz w:val="24"/>
          <w:szCs w:val="24"/>
        </w:rPr>
        <w:t xml:space="preserve">being made redundant, </w:t>
      </w:r>
      <w:r w:rsidR="004C6189">
        <w:rPr>
          <w:sz w:val="24"/>
          <w:szCs w:val="24"/>
        </w:rPr>
        <w:t xml:space="preserve">seemed to </w:t>
      </w:r>
      <w:r w:rsidR="00B77CFC">
        <w:rPr>
          <w:sz w:val="24"/>
          <w:szCs w:val="24"/>
        </w:rPr>
        <w:t>make</w:t>
      </w:r>
      <w:r w:rsidR="004C6189">
        <w:rPr>
          <w:sz w:val="24"/>
          <w:szCs w:val="24"/>
        </w:rPr>
        <w:t xml:space="preserve"> them more likely to </w:t>
      </w:r>
      <w:r w:rsidR="00B77CFC">
        <w:rPr>
          <w:sz w:val="24"/>
          <w:szCs w:val="24"/>
        </w:rPr>
        <w:t xml:space="preserve">be the one selected for redundancy over someone who </w:t>
      </w:r>
      <w:r w:rsidR="00521FEB">
        <w:rPr>
          <w:sz w:val="24"/>
          <w:szCs w:val="24"/>
        </w:rPr>
        <w:t xml:space="preserve">does not </w:t>
      </w:r>
      <w:r w:rsidR="001E206F">
        <w:rPr>
          <w:sz w:val="24"/>
          <w:szCs w:val="24"/>
        </w:rPr>
        <w:t>have</w:t>
      </w:r>
      <w:r w:rsidR="00521FEB">
        <w:rPr>
          <w:sz w:val="24"/>
          <w:szCs w:val="24"/>
        </w:rPr>
        <w:t xml:space="preserve"> ill health </w:t>
      </w:r>
      <w:r w:rsidR="00521FEB">
        <w:rPr>
          <w:sz w:val="24"/>
          <w:szCs w:val="24"/>
        </w:rPr>
        <w:fldChar w:fldCharType="begin" w:fldLock="1"/>
      </w:r>
      <w:r w:rsidR="009277E9">
        <w:rPr>
          <w:sz w:val="24"/>
          <w:szCs w:val="24"/>
        </w:rPr>
        <w:instrText>ADDIN CSL_CITATION {"citationItems":[{"id":"ITEM-1","itemData":{"ISSN":"03600572","abstract":"Job loss is an involuntary disruptive life event with a far-reaching impact on workers' life trajectories. Its incidence among growing segments of the workforce, alongside the recent era of severe ...","author":[{"dropping-particle":"","family":"Brand","given":"Jennie E.","non-dropping-particle":"","parse-names":false,"suffix":""}],"container-title":"https://doi.org/10.1146/annurev-soc-071913-043237","id":"ITEM-1","issued":{"date-parts":[["2015","8","17"]]},"page":"359-375","publisher":"Annual Reviews","title":"The Far-Reaching Impact of Job Loss and Unemployment","type":"article-journal","volume":"41"},"uris":["http://www.mendeley.com/documents/?uuid=daf00c81-9ba3-35e3-bcd9-167e92d4b7e5"]}],"mendeley":{"formattedCitation":"(Brand, 2015)","plainTextFormattedCitation":"(Brand, 2015)","previouslyFormattedCitation":"(Brand, 2015)"},"properties":{"noteIndex":0},"schema":"https://github.com/citation-style-language/schema/raw/master/csl-citation.json"}</w:instrText>
      </w:r>
      <w:r w:rsidR="00521FEB">
        <w:rPr>
          <w:sz w:val="24"/>
          <w:szCs w:val="24"/>
        </w:rPr>
        <w:fldChar w:fldCharType="separate"/>
      </w:r>
      <w:r w:rsidR="00521FEB" w:rsidRPr="00521FEB">
        <w:rPr>
          <w:noProof/>
          <w:sz w:val="24"/>
          <w:szCs w:val="24"/>
        </w:rPr>
        <w:t>(Brand, 2015)</w:t>
      </w:r>
      <w:r w:rsidR="00521FEB">
        <w:rPr>
          <w:sz w:val="24"/>
          <w:szCs w:val="24"/>
        </w:rPr>
        <w:fldChar w:fldCharType="end"/>
      </w:r>
      <w:r w:rsidR="00521FEB">
        <w:rPr>
          <w:sz w:val="24"/>
          <w:szCs w:val="24"/>
        </w:rPr>
        <w:t>.</w:t>
      </w:r>
      <w:r w:rsidR="00CF5996">
        <w:rPr>
          <w:sz w:val="24"/>
          <w:szCs w:val="24"/>
        </w:rPr>
        <w:t xml:space="preserve"> </w:t>
      </w:r>
      <w:r w:rsidR="008853AE">
        <w:rPr>
          <w:sz w:val="24"/>
          <w:szCs w:val="24"/>
        </w:rPr>
        <w:t xml:space="preserve">Therefore, </w:t>
      </w:r>
      <w:r w:rsidR="00CD109F">
        <w:rPr>
          <w:sz w:val="24"/>
          <w:szCs w:val="24"/>
        </w:rPr>
        <w:t xml:space="preserve">considering this research, </w:t>
      </w:r>
      <w:r w:rsidR="008853AE">
        <w:rPr>
          <w:sz w:val="24"/>
          <w:szCs w:val="24"/>
        </w:rPr>
        <w:t xml:space="preserve">it </w:t>
      </w:r>
      <w:r w:rsidR="00FB72AA">
        <w:rPr>
          <w:sz w:val="24"/>
          <w:szCs w:val="24"/>
        </w:rPr>
        <w:t>is suggested</w:t>
      </w:r>
      <w:r w:rsidR="008853AE">
        <w:rPr>
          <w:sz w:val="24"/>
          <w:szCs w:val="24"/>
        </w:rPr>
        <w:t xml:space="preserve"> that </w:t>
      </w:r>
      <w:r w:rsidR="00B9579F">
        <w:rPr>
          <w:sz w:val="24"/>
          <w:szCs w:val="24"/>
        </w:rPr>
        <w:t xml:space="preserve">if a women has ill health prior to </w:t>
      </w:r>
      <w:r w:rsidR="00CD109F">
        <w:rPr>
          <w:sz w:val="24"/>
          <w:szCs w:val="24"/>
        </w:rPr>
        <w:t>a redundancy period</w:t>
      </w:r>
      <w:r w:rsidR="00374006">
        <w:rPr>
          <w:sz w:val="24"/>
          <w:szCs w:val="24"/>
        </w:rPr>
        <w:t>, they are the most likely to lose their job due to both the gender and ill health bias</w:t>
      </w:r>
      <w:r w:rsidR="00796E0D">
        <w:rPr>
          <w:sz w:val="24"/>
          <w:szCs w:val="24"/>
        </w:rPr>
        <w:t xml:space="preserve"> </w:t>
      </w:r>
      <w:r w:rsidR="00796E0D">
        <w:rPr>
          <w:sz w:val="24"/>
          <w:szCs w:val="24"/>
        </w:rPr>
        <w:fldChar w:fldCharType="begin" w:fldLock="1"/>
      </w:r>
      <w:r w:rsidR="00FB31F7">
        <w:rPr>
          <w:sz w:val="24"/>
          <w:szCs w:val="24"/>
        </w:rPr>
        <w:instrText>ADDIN CSL_CITATION {"citationItems":[{"id":"ITEM-1","itemData":{"ISSN":"1556-5068","author":[{"dropping-particle":"","family":"Farre","given":"Lidia","non-dropping-particle":"","parse-names":false,"suffix":""},{"dropping-particle":"","family":"Fawaz","given":"Yarine","non-dropping-particle":"","parse-names":false,"suffix":""},{"dropping-particle":"","family":"Gonzalez","given":"Libertad","non-dropping-particle":"","parse-names":false,"suffix":""},{"dropping-particle":"","family":"Graves","given":"Jennifer","non-dropping-particle":"","parse-names":false,"suffix":""}],"container-title":"SSRN Electronic Journal","id":"ITEM-1","issued":{"date-parts":[["2020"]]},"title":"How the Covid-19 Lockdown Affected Gender Inequality in Paid and Unpaid Work in Spain","type":"article-journal"},"uris":["http://www.mendeley.com/documents/?uuid=a56e547f-0da3-3a56-b2e3-a10f6269fe11"]},{"id":"ITEM-2","itemData":{"ISSN":"03600572","abstract":"Job loss is an involuntary disruptive life event with a far-reaching impact on workers' life trajectories. Its incidence among growing segments of the workforce, alongside the recent era of severe ...","author":[{"dropping-particle":"","family":"Brand","given":"Jennie E.","non-dropping-particle":"","parse-names":false,"suffix":""}],"container-title":"https://doi.org/10.1146/annurev-soc-071913-043237","id":"ITEM-2","issued":{"date-parts":[["2015","8","17"]]},"page":"359-375","publisher":"Annual Reviews","title":"The Far-Reaching Impact of Job Loss and Unemployment","type":"article-journal","volume":"41"},"uris":["http://www.mendeley.com/documents/?uuid=daf00c81-9ba3-35e3-bcd9-167e92d4b7e5"]},{"id":"ITEM-3","itemData":{"ISSN":"1097-0274","PMID":"15095423","abstract":"Background: The role of stress in the development of cardiovascular disease is well established. Previous research has demonstrated that involuntary job loss in the years immediately preceding retirement can be a stressful life event shown to produce adverse changes in physical and affective health. The objective of this study was to estimate the risk of myocardial infarction (MI) and stroke associated with involuntary job loss among workers nearing retirement in the United States. Methods: We used multivariable survival analysis to analyze data from the first four waves of the Health and Retirement Survey (HRS), a nationally representative sample of older individuals in the US. The analytic sample includes 457 workers who experienced job loss and a comparison group of 3,763 employed individuals. Results: The results indicate that involuntary job loss is not associated with subsequent risk of MI (adjusted HR=1.89; 95% CI=0.91, 3.93); the risk of subsequent stroke associated with involuntary job loss is more than double (adjusted HR = 2.64; 95% CI = 1.01, 6.94). Conclusions: Our findings present new data to suggest that involuntary job loss should be considered as a plausible risk factor for subsequent cardiovascular and cerebrovascular illness among older workers. © 2004 Wiley-Liss, Inc.","author":[{"dropping-particle":"","family":"Gallo","given":"William T.","non-dropping-particle":"","parse-names":false,"suffix":""},{"dropping-particle":"","family":"Bradley","given":"Elizabeth H.","non-dropping-particle":"","parse-names":false,"suffix":""},{"dropping-particle":"","family":"Falba","given":"Tracy A.","non-dropping-particle":"","parse-names":false,"suffix":""},{"dropping-particle":"","family":"Dubin","given":"Joel A.","non-dropping-particle":"","parse-names":false,"suffix":""},{"dropping-particle":"","family":"Cramer","given":"Laura D.","non-dropping-particle":"","parse-names":false,"suffix":""},{"dropping-particle":"","family":"Bogardus","given":"Sidney T.","non-dropping-particle":"","parse-names":false,"suffix":""},{"dropping-particle":"V.","family":"Kasl","given":"Stanislav","non-dropping-particle":"","parse-names":false,"suffix":""}],"container-title":"American Journal of Industrial Medicine","id":"ITEM-3","issue":"5","issued":{"date-parts":[["2004","5","1"]]},"page":"408-416","publisher":"John Wiley &amp; Sons, Ltd","title":"Involuntary job loss as a risk factor for subsequent myocardial infarction and stroke: Findings from The Health and Retirement Survey","type":"article-journal","volume":"45"},"uris":["http://www.mendeley.com/documents/?uuid=5ef87509-a75f-3fc9-9db3-3bac7c4c9bef"]}],"mendeley":{"formattedCitation":"(Gallo &lt;i&gt;et al.&lt;/i&gt;, 2004; Brand, 2015; Farre &lt;i&gt;et al.&lt;/i&gt;, 2020)","plainTextFormattedCitation":"(Gallo et al., 2004; Brand, 2015; Farre et al., 2020)","previouslyFormattedCitation":"(Gallo &lt;i&gt;et al.&lt;/i&gt;, 2004; Brand, 2015; Farre &lt;i&gt;et al.&lt;/i&gt;, 2020)"},"properties":{"noteIndex":0},"schema":"https://github.com/citation-style-language/schema/raw/master/csl-citation.json"}</w:instrText>
      </w:r>
      <w:r w:rsidR="00796E0D">
        <w:rPr>
          <w:sz w:val="24"/>
          <w:szCs w:val="24"/>
        </w:rPr>
        <w:fldChar w:fldCharType="separate"/>
      </w:r>
      <w:r w:rsidR="00796E0D" w:rsidRPr="00796E0D">
        <w:rPr>
          <w:noProof/>
          <w:sz w:val="24"/>
          <w:szCs w:val="24"/>
        </w:rPr>
        <w:t xml:space="preserve">(Gallo </w:t>
      </w:r>
      <w:r w:rsidR="00796E0D" w:rsidRPr="00796E0D">
        <w:rPr>
          <w:i/>
          <w:noProof/>
          <w:sz w:val="24"/>
          <w:szCs w:val="24"/>
        </w:rPr>
        <w:t>et al.</w:t>
      </w:r>
      <w:r w:rsidR="00796E0D" w:rsidRPr="00796E0D">
        <w:rPr>
          <w:noProof/>
          <w:sz w:val="24"/>
          <w:szCs w:val="24"/>
        </w:rPr>
        <w:t xml:space="preserve">, 2004; Brand, 2015; Farre </w:t>
      </w:r>
      <w:r w:rsidR="00796E0D" w:rsidRPr="00796E0D">
        <w:rPr>
          <w:i/>
          <w:noProof/>
          <w:sz w:val="24"/>
          <w:szCs w:val="24"/>
        </w:rPr>
        <w:t>et al.</w:t>
      </w:r>
      <w:r w:rsidR="00796E0D" w:rsidRPr="00796E0D">
        <w:rPr>
          <w:noProof/>
          <w:sz w:val="24"/>
          <w:szCs w:val="24"/>
        </w:rPr>
        <w:t>, 2020)</w:t>
      </w:r>
      <w:r w:rsidR="00796E0D">
        <w:rPr>
          <w:sz w:val="24"/>
          <w:szCs w:val="24"/>
        </w:rPr>
        <w:fldChar w:fldCharType="end"/>
      </w:r>
      <w:r w:rsidR="00796E0D">
        <w:rPr>
          <w:sz w:val="24"/>
          <w:szCs w:val="24"/>
        </w:rPr>
        <w:t xml:space="preserve">. </w:t>
      </w:r>
      <w:r w:rsidR="00CF5996">
        <w:rPr>
          <w:sz w:val="24"/>
          <w:szCs w:val="24"/>
        </w:rPr>
        <w:t xml:space="preserve">However, the </w:t>
      </w:r>
      <w:r w:rsidR="006228B1">
        <w:rPr>
          <w:sz w:val="24"/>
          <w:szCs w:val="24"/>
        </w:rPr>
        <w:t>connection between people with ill health</w:t>
      </w:r>
      <w:r w:rsidR="00287A93">
        <w:rPr>
          <w:sz w:val="24"/>
          <w:szCs w:val="24"/>
        </w:rPr>
        <w:t xml:space="preserve"> and redundancy is considered a casual relationship due to </w:t>
      </w:r>
      <w:r w:rsidR="00E7676E">
        <w:rPr>
          <w:sz w:val="24"/>
          <w:szCs w:val="24"/>
        </w:rPr>
        <w:t xml:space="preserve">worries over selection bias, despite </w:t>
      </w:r>
      <w:r w:rsidR="009277E9">
        <w:rPr>
          <w:sz w:val="24"/>
          <w:szCs w:val="24"/>
        </w:rPr>
        <w:t xml:space="preserve">there being large literature suggesting the relationship </w:t>
      </w:r>
      <w:r w:rsidR="009277E9">
        <w:rPr>
          <w:sz w:val="24"/>
          <w:szCs w:val="24"/>
        </w:rPr>
        <w:fldChar w:fldCharType="begin" w:fldLock="1"/>
      </w:r>
      <w:r w:rsidR="00796E0D">
        <w:rPr>
          <w:sz w:val="24"/>
          <w:szCs w:val="24"/>
        </w:rPr>
        <w:instrText>ADDIN CSL_CITATION {"citationItems":[{"id":"ITEM-1","itemData":{"ISSN":"03600572","abstract":"Job loss is an involuntary disruptive life event with a far-reaching impact on workers' life trajectories. Its incidence among growing segments of the workforce, alongside the recent era of severe ...","author":[{"dropping-particle":"","family":"Brand","given":"Jennie E.","non-dropping-particle":"","parse-names":false,"suffix":""}],"container-title":"https://doi.org/10.1146/annurev-soc-071913-043237","id":"ITEM-1","issued":{"date-parts":[["2015","8","17"]]},"page":"359-375","publisher":"Annual Reviews","title":"The Far-Reaching Impact of Job Loss and Unemployment","type":"article-journal","volume":"41"},"uris":["http://www.mendeley.com/documents/?uuid=daf00c81-9ba3-35e3-bcd9-167e92d4b7e5"]}],"mendeley":{"formattedCitation":"(Brand, 2015)","plainTextFormattedCitation":"(Brand, 2015)","previouslyFormattedCitation":"(Brand, 2015)"},"properties":{"noteIndex":0},"schema":"https://github.com/citation-style-language/schema/raw/master/csl-citation.json"}</w:instrText>
      </w:r>
      <w:r w:rsidR="009277E9">
        <w:rPr>
          <w:sz w:val="24"/>
          <w:szCs w:val="24"/>
        </w:rPr>
        <w:fldChar w:fldCharType="separate"/>
      </w:r>
      <w:r w:rsidR="009277E9" w:rsidRPr="009277E9">
        <w:rPr>
          <w:noProof/>
          <w:sz w:val="24"/>
          <w:szCs w:val="24"/>
        </w:rPr>
        <w:t>(Brand, 2015)</w:t>
      </w:r>
      <w:r w:rsidR="009277E9">
        <w:rPr>
          <w:sz w:val="24"/>
          <w:szCs w:val="24"/>
        </w:rPr>
        <w:fldChar w:fldCharType="end"/>
      </w:r>
      <w:r w:rsidR="009277E9">
        <w:rPr>
          <w:sz w:val="24"/>
          <w:szCs w:val="24"/>
        </w:rPr>
        <w:t>.</w:t>
      </w:r>
    </w:p>
    <w:p w14:paraId="57AE0BF3" w14:textId="77777777" w:rsidR="00E6100A" w:rsidRDefault="00E6100A" w:rsidP="009E1C75">
      <w:pPr>
        <w:rPr>
          <w:sz w:val="24"/>
          <w:szCs w:val="24"/>
        </w:rPr>
      </w:pPr>
    </w:p>
    <w:p w14:paraId="582D980D" w14:textId="0EE13A50" w:rsidR="00E6100A" w:rsidRDefault="007410B5" w:rsidP="009E1C75">
      <w:pPr>
        <w:rPr>
          <w:sz w:val="24"/>
          <w:szCs w:val="24"/>
        </w:rPr>
      </w:pPr>
      <w:r>
        <w:rPr>
          <w:sz w:val="24"/>
          <w:szCs w:val="24"/>
        </w:rPr>
        <w:t xml:space="preserve">Gender inequality </w:t>
      </w:r>
      <w:r w:rsidR="00910B31">
        <w:rPr>
          <w:sz w:val="24"/>
          <w:szCs w:val="24"/>
        </w:rPr>
        <w:t xml:space="preserve">has </w:t>
      </w:r>
      <w:r w:rsidR="0086009A">
        <w:rPr>
          <w:sz w:val="24"/>
          <w:szCs w:val="24"/>
        </w:rPr>
        <w:t xml:space="preserve">been found to be prevalent for not just adult women but </w:t>
      </w:r>
      <w:r w:rsidR="00D02BE2">
        <w:rPr>
          <w:sz w:val="24"/>
          <w:szCs w:val="24"/>
        </w:rPr>
        <w:t xml:space="preserve">a concern </w:t>
      </w:r>
      <w:r w:rsidR="0086009A">
        <w:rPr>
          <w:sz w:val="24"/>
          <w:szCs w:val="24"/>
        </w:rPr>
        <w:t>for women within the first 20 years of their life</w:t>
      </w:r>
      <w:r w:rsidR="00D02BE2">
        <w:rPr>
          <w:sz w:val="24"/>
          <w:szCs w:val="24"/>
        </w:rPr>
        <w:t xml:space="preserve"> in some countries</w:t>
      </w:r>
      <w:r w:rsidR="0086009A">
        <w:rPr>
          <w:sz w:val="24"/>
          <w:szCs w:val="24"/>
        </w:rPr>
        <w:t xml:space="preserve"> as well </w:t>
      </w:r>
      <w:r w:rsidR="00FB31F7">
        <w:rPr>
          <w:sz w:val="24"/>
          <w:szCs w:val="24"/>
        </w:rPr>
        <w:fldChar w:fldCharType="begin" w:fldLock="1"/>
      </w:r>
      <w:r w:rsidR="00D876AA">
        <w:rPr>
          <w:sz w:val="24"/>
          <w:szCs w:val="24"/>
        </w:rPr>
        <w:instrText>ADDIN CSL_CITATION {"citationItems":[{"id":"ITEM-1","itemData":{"ISSN":"2214109X","PMID":"33091371","abstract":"Background: By adulthood, gender inequalities in health and wellbeing are apparent. Yet, the timing and nature of gender inequalities during childhood and adolescence are less clear. We describe the emergence of gender inequalities in health and wellbeing across the first two decades of life. Methods: We focused on the 40 low-income and middle-income countries in Asia and the Pacific. A measurement framework was developed around four key domains of wellbeing across the first two decades: health, education and transition to employment, protection, and a safe environment. Specific measurement constructs were then defined by considering gender indicator frameworks, the Sustainable Development Goals, indicator frameworks for child and adolescent health and wellbeing, and key stakeholder input. Available data were then mapped to define 87 indicators, subsequently populated using databases (UN agencies and the Global Burden of Diseases, Injuries, and Risk Factors Study) and nationally representative surveys. Where possible, estimates in girls were compared with boys to report relative risks. Findings: Although son preference is evident in some settings—as shown by higher than expected male-to-female sex ratios at birth in India, Vietnam, and China (all &gt;1·10 compared with an expected ratio of 1·05) and excess mortality of girl children in some South Asian and Pacific nations—it is during early adolescence where marked gender inequalities consistently emerged. Adolescent girls face considerable disadvantage in relation to sexual and reproductive health (notably in South Asia and the Pacific), with high rates of child marriage (≥30% of women aged 20–24 years married before 18 years in Bangladesh, Nepal, and Afghanistan), fertility (≥65 livebirths per 1000 girls in Nauru, Laos, Afghanistan, Nepal, Marshall Islands, Bangladesh, Vanuatu, and Papua New Guinea), and intimate partner violence (&gt;20% in Timor Leste, Afghanistan, Pakistan, and Myanmar). Despite educational parity in many countries, females aged 15–24 years were less likely than males to be in education, employment, or training in 17 of 19 countries for which data were available. Compared with girls, adolescent boys experienced excess all-cause mortality and substantially higher mortality due to unintentional injury, interpersonal violence, alcohol and other drugs, and suicide, and higher prevalence of harmful drinking and tobacco smoking. Interpretation: These findings call for a focus on gender policy …","author":[{"dropping-particle":"","family":"Kennedy","given":"Elissa","non-dropping-particle":"","parse-names":false,"suffix":""},{"dropping-particle":"","family":"Binder","given":"Gerda","non-dropping-particle":"","parse-names":false,"suffix":""},{"dropping-particle":"","family":"Humphries-Waa","given":"Karen","non-dropping-particle":"","parse-names":false,"suffix":""},{"dropping-particle":"","family":"Tidhar","given":"Tom","non-dropping-particle":"","parse-names":false,"suffix":""},{"dropping-particle":"","family":"Cini","given":"Karly","non-dropping-particle":"","parse-names":false,"suffix":""},{"dropping-particle":"","family":"Comrie-Thomson","given":"Liz","non-dropping-particle":"","parse-names":false,"suffix":""},{"dropping-particle":"","family":"Vaughan","given":"Cathy","non-dropping-particle":"","parse-names":false,"suffix":""},{"dropping-particle":"","family":"Francis","given":"Kate","non-dropping-particle":"","parse-names":false,"suffix":""},{"dropping-particle":"","family":"Scott","given":"Nick","non-dropping-particle":"","parse-names":false,"suffix":""},{"dropping-particle":"","family":"Wulan","given":"Nisaa","non-dropping-particle":"","parse-names":false,"suffix":""},{"dropping-particle":"","family":"Patton","given":"George","non-dropping-particle":"","parse-names":false,"suffix":""},{"dropping-particle":"","family":"Azzopardi","given":"Peter","non-dropping-particle":"","parse-names":false,"suffix":""}],"container-title":"The Lancet Global Health","id":"ITEM-1","issue":"12","issued":{"date-parts":[["2020","12","1"]]},"page":"e1473-e1488","publisher":"Elsevier Ltd","title":"Gender inequalities in health and wellbeing across the first two decades of life: an analysis of 40 low-income and middle-income countries in the Asia-Pacific region","type":"article-journal","volume":"8"},"uris":["http://www.mendeley.com/documents/?uuid=dd20ba5c-f0ab-38ad-b6d8-0cf26cb56b37"]}],"mendeley":{"formattedCitation":"(Kennedy &lt;i&gt;et al.&lt;/i&gt;, 2020)","plainTextFormattedCitation":"(Kennedy et al., 2020)","previouslyFormattedCitation":"(Kennedy &lt;i&gt;et al.&lt;/i&gt;, 2020)"},"properties":{"noteIndex":0},"schema":"https://github.com/citation-style-language/schema/raw/master/csl-citation.json"}</w:instrText>
      </w:r>
      <w:r w:rsidR="00FB31F7">
        <w:rPr>
          <w:sz w:val="24"/>
          <w:szCs w:val="24"/>
        </w:rPr>
        <w:fldChar w:fldCharType="separate"/>
      </w:r>
      <w:r w:rsidR="00FB31F7" w:rsidRPr="00FB31F7">
        <w:rPr>
          <w:noProof/>
          <w:sz w:val="24"/>
          <w:szCs w:val="24"/>
        </w:rPr>
        <w:t xml:space="preserve">(Kennedy </w:t>
      </w:r>
      <w:r w:rsidR="00FB31F7" w:rsidRPr="00FB31F7">
        <w:rPr>
          <w:i/>
          <w:noProof/>
          <w:sz w:val="24"/>
          <w:szCs w:val="24"/>
        </w:rPr>
        <w:t>et al.</w:t>
      </w:r>
      <w:r w:rsidR="00FB31F7" w:rsidRPr="00FB31F7">
        <w:rPr>
          <w:noProof/>
          <w:sz w:val="24"/>
          <w:szCs w:val="24"/>
        </w:rPr>
        <w:t>, 2020)</w:t>
      </w:r>
      <w:r w:rsidR="00FB31F7">
        <w:rPr>
          <w:sz w:val="24"/>
          <w:szCs w:val="24"/>
        </w:rPr>
        <w:fldChar w:fldCharType="end"/>
      </w:r>
      <w:r w:rsidR="00FB31F7">
        <w:rPr>
          <w:sz w:val="24"/>
          <w:szCs w:val="24"/>
        </w:rPr>
        <w:t>.</w:t>
      </w:r>
      <w:r w:rsidR="00D02BE2">
        <w:rPr>
          <w:sz w:val="24"/>
          <w:szCs w:val="24"/>
        </w:rPr>
        <w:t xml:space="preserve"> </w:t>
      </w:r>
      <w:r w:rsidR="004D4AB0">
        <w:rPr>
          <w:sz w:val="24"/>
          <w:szCs w:val="24"/>
        </w:rPr>
        <w:t xml:space="preserve">Recent research </w:t>
      </w:r>
      <w:r w:rsidR="00636303">
        <w:rPr>
          <w:sz w:val="24"/>
          <w:szCs w:val="24"/>
        </w:rPr>
        <w:t>concentrated on 4 low and middle-income countries in Asia and the Pacific</w:t>
      </w:r>
      <w:r w:rsidR="0071467E">
        <w:rPr>
          <w:sz w:val="24"/>
          <w:szCs w:val="24"/>
        </w:rPr>
        <w:t xml:space="preserve">, they found the preference of having a son over a daughter </w:t>
      </w:r>
      <w:r w:rsidR="00616079">
        <w:rPr>
          <w:sz w:val="24"/>
          <w:szCs w:val="24"/>
        </w:rPr>
        <w:t xml:space="preserve">was seen in some </w:t>
      </w:r>
      <w:r w:rsidR="00E93453">
        <w:rPr>
          <w:sz w:val="24"/>
          <w:szCs w:val="24"/>
        </w:rPr>
        <w:t xml:space="preserve">areas with </w:t>
      </w:r>
      <w:r w:rsidR="00DE6766">
        <w:rPr>
          <w:sz w:val="24"/>
          <w:szCs w:val="24"/>
        </w:rPr>
        <w:t xml:space="preserve">the rates of </w:t>
      </w:r>
      <w:r w:rsidR="00AA63F7">
        <w:rPr>
          <w:sz w:val="24"/>
          <w:szCs w:val="24"/>
        </w:rPr>
        <w:t>males born</w:t>
      </w:r>
      <w:r w:rsidR="000755BD">
        <w:rPr>
          <w:sz w:val="24"/>
          <w:szCs w:val="24"/>
        </w:rPr>
        <w:t xml:space="preserve"> being </w:t>
      </w:r>
      <w:r w:rsidR="00302CA5" w:rsidRPr="00302CA5">
        <w:rPr>
          <w:sz w:val="24"/>
          <w:szCs w:val="24"/>
        </w:rPr>
        <w:t>&gt;1·10 with an expected ratio of 1·05</w:t>
      </w:r>
      <w:r w:rsidR="00CE488B">
        <w:rPr>
          <w:sz w:val="24"/>
          <w:szCs w:val="24"/>
        </w:rPr>
        <w:t xml:space="preserve"> </w:t>
      </w:r>
      <w:r w:rsidR="00CE488B">
        <w:rPr>
          <w:sz w:val="24"/>
          <w:szCs w:val="24"/>
        </w:rPr>
        <w:fldChar w:fldCharType="begin" w:fldLock="1"/>
      </w:r>
      <w:r w:rsidR="00BB1361">
        <w:rPr>
          <w:sz w:val="24"/>
          <w:szCs w:val="24"/>
        </w:rPr>
        <w:instrText>ADDIN CSL_CITATION {"citationItems":[{"id":"ITEM-1","itemData":{"ISSN":"2214109X","PMID":"33091371","abstract":"Background: By adulthood, gender inequalities in health and wellbeing are apparent. Yet, the timing and nature of gender inequalities during childhood and adolescence are less clear. We describe the emergence of gender inequalities in health and wellbeing across the first two decades of life. Methods: We focused on the 40 low-income and middle-income countries in Asia and the Pacific. A measurement framework was developed around four key domains of wellbeing across the first two decades: health, education and transition to employment, protection, and a safe environment. Specific measurement constructs were then defined by considering gender indicator frameworks, the Sustainable Development Goals, indicator frameworks for child and adolescent health and wellbeing, and key stakeholder input. Available data were then mapped to define 87 indicators, subsequently populated using databases (UN agencies and the Global Burden of Diseases, Injuries, and Risk Factors Study) and nationally representative surveys. Where possible, estimates in girls were compared with boys to report relative risks. Findings: Although son preference is evident in some settings—as shown by higher than expected male-to-female sex ratios at birth in India, Vietnam, and China (all &gt;1·10 compared with an expected ratio of 1·05) and excess mortality of girl children in some South Asian and Pacific nations—it is during early adolescence where marked gender inequalities consistently emerged. Adolescent girls face considerable disadvantage in relation to sexual and reproductive health (notably in South Asia and the Pacific), with high rates of child marriage (≥30% of women aged 20–24 years married before 18 years in Bangladesh, Nepal, and Afghanistan), fertility (≥65 livebirths per 1000 girls in Nauru, Laos, Afghanistan, Nepal, Marshall Islands, Bangladesh, Vanuatu, and Papua New Guinea), and intimate partner violence (&gt;20% in Timor Leste, Afghanistan, Pakistan, and Myanmar). Despite educational parity in many countries, females aged 15–24 years were less likely than males to be in education, employment, or training in 17 of 19 countries for which data were available. Compared with girls, adolescent boys experienced excess all-cause mortality and substantially higher mortality due to unintentional injury, interpersonal violence, alcohol and other drugs, and suicide, and higher prevalence of harmful drinking and tobacco smoking. Interpretation: These findings call for a focus on gender policy …","author":[{"dropping-particle":"","family":"Kennedy","given":"Elissa","non-dropping-particle":"","parse-names":false,"suffix":""},{"dropping-particle":"","family":"Binder","given":"Gerda","non-dropping-particle":"","parse-names":false,"suffix":""},{"dropping-particle":"","family":"Humphries-Waa","given":"Karen","non-dropping-particle":"","parse-names":false,"suffix":""},{"dropping-particle":"","family":"Tidhar","given":"Tom","non-dropping-particle":"","parse-names":false,"suffix":""},{"dropping-particle":"","family":"Cini","given":"Karly","non-dropping-particle":"","parse-names":false,"suffix":""},{"dropping-particle":"","family":"Comrie-Thomson","given":"Liz","non-dropping-particle":"","parse-names":false,"suffix":""},{"dropping-particle":"","family":"Vaughan","given":"Cathy","non-dropping-particle":"","parse-names":false,"suffix":""},{"dropping-particle":"","family":"Francis","given":"Kate","non-dropping-particle":"","parse-names":false,"suffix":""},{"dropping-particle":"","family":"Scott","given":"Nick","non-dropping-particle":"","parse-names":false,"suffix":""},{"dropping-particle":"","family":"Wulan","given":"Nisaa","non-dropping-particle":"","parse-names":false,"suffix":""},{"dropping-particle":"","family":"Patton","given":"George","non-dropping-particle":"","parse-names":false,"suffix":""},{"dropping-particle":"","family":"Azzopardi","given":"Peter","non-dropping-particle":"","parse-names":false,"suffix":""}],"container-title":"The Lancet Global Health","id":"ITEM-1","issue":"12","issued":{"date-parts":[["2020","12","1"]]},"page":"e1473-e1488","publisher":"Elsevier Ltd","title":"Gender inequalities in health and wellbeing across the first two decades of life: an analysis of 40 low-income and middle-income countries in the Asia-Pacific region","type":"article-journal","volume":"8"},"uris":["http://www.mendeley.com/documents/?uuid=dd20ba5c-f0ab-38ad-b6d8-0cf26cb56b37"]}],"mendeley":{"formattedCitation":"(Kennedy &lt;i&gt;et al.&lt;/i&gt;, 2020)","plainTextFormattedCitation":"(Kennedy et al., 2020)","previouslyFormattedCitation":"(Kennedy &lt;i&gt;et al.&lt;/i&gt;, 2020)"},"properties":{"noteIndex":0},"schema":"https://github.com/citation-style-language/schema/raw/master/csl-citation.json"}</w:instrText>
      </w:r>
      <w:r w:rsidR="00CE488B">
        <w:rPr>
          <w:sz w:val="24"/>
          <w:szCs w:val="24"/>
        </w:rPr>
        <w:fldChar w:fldCharType="separate"/>
      </w:r>
      <w:r w:rsidR="00CE488B" w:rsidRPr="00CE488B">
        <w:rPr>
          <w:noProof/>
          <w:sz w:val="24"/>
          <w:szCs w:val="24"/>
        </w:rPr>
        <w:t xml:space="preserve">(Kennedy </w:t>
      </w:r>
      <w:r w:rsidR="00CE488B" w:rsidRPr="00CE488B">
        <w:rPr>
          <w:i/>
          <w:noProof/>
          <w:sz w:val="24"/>
          <w:szCs w:val="24"/>
        </w:rPr>
        <w:t>et al.</w:t>
      </w:r>
      <w:r w:rsidR="00CE488B" w:rsidRPr="00CE488B">
        <w:rPr>
          <w:noProof/>
          <w:sz w:val="24"/>
          <w:szCs w:val="24"/>
        </w:rPr>
        <w:t>, 2020)</w:t>
      </w:r>
      <w:r w:rsidR="00CE488B">
        <w:rPr>
          <w:sz w:val="24"/>
          <w:szCs w:val="24"/>
        </w:rPr>
        <w:fldChar w:fldCharType="end"/>
      </w:r>
      <w:r w:rsidR="00CE488B">
        <w:rPr>
          <w:sz w:val="24"/>
          <w:szCs w:val="24"/>
        </w:rPr>
        <w:t xml:space="preserve">. </w:t>
      </w:r>
      <w:r w:rsidR="000979A1">
        <w:rPr>
          <w:sz w:val="24"/>
          <w:szCs w:val="24"/>
        </w:rPr>
        <w:t xml:space="preserve">Findings also show that, in some areas, if a </w:t>
      </w:r>
      <w:r w:rsidR="003639D5">
        <w:rPr>
          <w:sz w:val="24"/>
          <w:szCs w:val="24"/>
        </w:rPr>
        <w:t xml:space="preserve">female was </w:t>
      </w:r>
      <w:r w:rsidR="00D27A35">
        <w:rPr>
          <w:sz w:val="24"/>
          <w:szCs w:val="24"/>
        </w:rPr>
        <w:t xml:space="preserve">born or due to be born </w:t>
      </w:r>
      <w:r w:rsidR="003639D5">
        <w:rPr>
          <w:sz w:val="24"/>
          <w:szCs w:val="24"/>
        </w:rPr>
        <w:t>instead of a male, then they were</w:t>
      </w:r>
      <w:r w:rsidR="00D27A35">
        <w:rPr>
          <w:sz w:val="24"/>
          <w:szCs w:val="24"/>
        </w:rPr>
        <w:t xml:space="preserve"> likely aborted </w:t>
      </w:r>
      <w:r w:rsidR="008D6457">
        <w:rPr>
          <w:sz w:val="24"/>
          <w:szCs w:val="24"/>
        </w:rPr>
        <w:t>creating</w:t>
      </w:r>
      <w:r w:rsidR="00D876AA">
        <w:rPr>
          <w:sz w:val="24"/>
          <w:szCs w:val="24"/>
        </w:rPr>
        <w:t xml:space="preserve"> a high</w:t>
      </w:r>
      <w:r w:rsidR="008D6457">
        <w:rPr>
          <w:sz w:val="24"/>
          <w:szCs w:val="24"/>
        </w:rPr>
        <w:t>er</w:t>
      </w:r>
      <w:r w:rsidR="00D876AA">
        <w:rPr>
          <w:sz w:val="24"/>
          <w:szCs w:val="24"/>
        </w:rPr>
        <w:t xml:space="preserve"> mortality rate of female children in South Asia and the Pacific</w:t>
      </w:r>
      <w:r w:rsidR="008D6457">
        <w:rPr>
          <w:sz w:val="24"/>
          <w:szCs w:val="24"/>
        </w:rPr>
        <w:t xml:space="preserve"> compared to their male counterparts</w:t>
      </w:r>
      <w:r w:rsidR="00D876AA">
        <w:rPr>
          <w:sz w:val="24"/>
          <w:szCs w:val="24"/>
        </w:rPr>
        <w:t xml:space="preserve"> </w:t>
      </w:r>
      <w:r w:rsidR="00D876AA">
        <w:rPr>
          <w:sz w:val="24"/>
          <w:szCs w:val="24"/>
        </w:rPr>
        <w:fldChar w:fldCharType="begin" w:fldLock="1"/>
      </w:r>
      <w:r w:rsidR="00753B22">
        <w:rPr>
          <w:sz w:val="24"/>
          <w:szCs w:val="24"/>
        </w:rPr>
        <w:instrText>ADDIN CSL_CITATION {"citationItems":[{"id":"ITEM-1","itemData":{"ISSN":"2214109X","PMID":"33091371","abstract":"Background: By adulthood, gender inequalities in health and wellbeing are apparent. Yet, the timing and nature of gender inequalities during childhood and adolescence are less clear. We describe the emergence of gender inequalities in health and wellbeing across the first two decades of life. Methods: We focused on the 40 low-income and middle-income countries in Asia and the Pacific. A measurement framework was developed around four key domains of wellbeing across the first two decades: health, education and transition to employment, protection, and a safe environment. Specific measurement constructs were then defined by considering gender indicator frameworks, the Sustainable Development Goals, indicator frameworks for child and adolescent health and wellbeing, and key stakeholder input. Available data were then mapped to define 87 indicators, subsequently populated using databases (UN agencies and the Global Burden of Diseases, Injuries, and Risk Factors Study) and nationally representative surveys. Where possible, estimates in girls were compared with boys to report relative risks. Findings: Although son preference is evident in some settings—as shown by higher than expected male-to-female sex ratios at birth in India, Vietnam, and China (all &gt;1·10 compared with an expected ratio of 1·05) and excess mortality of girl children in some South Asian and Pacific nations—it is during early adolescence where marked gender inequalities consistently emerged. Adolescent girls face considerable disadvantage in relation to sexual and reproductive health (notably in South Asia and the Pacific), with high rates of child marriage (≥30% of women aged 20–24 years married before 18 years in Bangladesh, Nepal, and Afghanistan), fertility (≥65 livebirths per 1000 girls in Nauru, Laos, Afghanistan, Nepal, Marshall Islands, Bangladesh, Vanuatu, and Papua New Guinea), and intimate partner violence (&gt;20% in Timor Leste, Afghanistan, Pakistan, and Myanmar). Despite educational parity in many countries, females aged 15–24 years were less likely than males to be in education, employment, or training in 17 of 19 countries for which data were available. Compared with girls, adolescent boys experienced excess all-cause mortality and substantially higher mortality due to unintentional injury, interpersonal violence, alcohol and other drugs, and suicide, and higher prevalence of harmful drinking and tobacco smoking. Interpretation: These findings call for a focus on gender policy …","author":[{"dropping-particle":"","family":"Kennedy","given":"Elissa","non-dropping-particle":"","parse-names":false,"suffix":""},{"dropping-particle":"","family":"Binder","given":"Gerda","non-dropping-particle":"","parse-names":false,"suffix":""},{"dropping-particle":"","family":"Humphries-Waa","given":"Karen","non-dropping-particle":"","parse-names":false,"suffix":""},{"dropping-particle":"","family":"Tidhar","given":"Tom","non-dropping-particle":"","parse-names":false,"suffix":""},{"dropping-particle":"","family":"Cini","given":"Karly","non-dropping-particle":"","parse-names":false,"suffix":""},{"dropping-particle":"","family":"Comrie-Thomson","given":"Liz","non-dropping-particle":"","parse-names":false,"suffix":""},{"dropping-particle":"","family":"Vaughan","given":"Cathy","non-dropping-particle":"","parse-names":false,"suffix":""},{"dropping-particle":"","family":"Francis","given":"Kate","non-dropping-particle":"","parse-names":false,"suffix":""},{"dropping-particle":"","family":"Scott","given":"Nick","non-dropping-particle":"","parse-names":false,"suffix":""},{"dropping-particle":"","family":"Wulan","given":"Nisaa","non-dropping-particle":"","parse-names":false,"suffix":""},{"dropping-particle":"","family":"Patton","given":"George","non-dropping-particle":"","parse-names":false,"suffix":""},{"dropping-particle":"","family":"Azzopardi","given":"Peter","non-dropping-particle":"","parse-names":false,"suffix":""}],"container-title":"The Lancet Global Health","id":"ITEM-1","issue":"12","issued":{"date-parts":[["2020","12","1"]]},"page":"e1473-e1488","publisher":"Elsevier Ltd","title":"Gender inequalities in health and wellbeing across the first two decades of life: an analysis of 40 low-income and middle-income countries in the Asia-Pacific region","type":"article-journal","volume":"8"},"uris":["http://www.mendeley.com/documents/?uuid=dd20ba5c-f0ab-38ad-b6d8-0cf26cb56b37"]}],"mendeley":{"formattedCitation":"(Kennedy &lt;i&gt;et al.&lt;/i&gt;, 2020)","plainTextFormattedCitation":"(Kennedy et al., 2020)","previouslyFormattedCitation":"(Kennedy &lt;i&gt;et al.&lt;/i&gt;, 2020)"},"properties":{"noteIndex":0},"schema":"https://github.com/citation-style-language/schema/raw/master/csl-citation.json"}</w:instrText>
      </w:r>
      <w:r w:rsidR="00D876AA">
        <w:rPr>
          <w:sz w:val="24"/>
          <w:szCs w:val="24"/>
        </w:rPr>
        <w:fldChar w:fldCharType="separate"/>
      </w:r>
      <w:r w:rsidR="00D876AA" w:rsidRPr="00D876AA">
        <w:rPr>
          <w:noProof/>
          <w:sz w:val="24"/>
          <w:szCs w:val="24"/>
        </w:rPr>
        <w:t xml:space="preserve">(Kennedy </w:t>
      </w:r>
      <w:r w:rsidR="00D876AA" w:rsidRPr="00D876AA">
        <w:rPr>
          <w:i/>
          <w:noProof/>
          <w:sz w:val="24"/>
          <w:szCs w:val="24"/>
        </w:rPr>
        <w:t>et al.</w:t>
      </w:r>
      <w:r w:rsidR="00D876AA" w:rsidRPr="00D876AA">
        <w:rPr>
          <w:noProof/>
          <w:sz w:val="24"/>
          <w:szCs w:val="24"/>
        </w:rPr>
        <w:t>, 2020)</w:t>
      </w:r>
      <w:r w:rsidR="00D876AA">
        <w:rPr>
          <w:sz w:val="24"/>
          <w:szCs w:val="24"/>
        </w:rPr>
        <w:fldChar w:fldCharType="end"/>
      </w:r>
      <w:r w:rsidR="00D876AA">
        <w:rPr>
          <w:sz w:val="24"/>
          <w:szCs w:val="24"/>
        </w:rPr>
        <w:t>.</w:t>
      </w:r>
      <w:r w:rsidR="006063AE">
        <w:rPr>
          <w:sz w:val="24"/>
          <w:szCs w:val="24"/>
        </w:rPr>
        <w:t xml:space="preserve"> It was also found that </w:t>
      </w:r>
      <w:r w:rsidR="00BF6ACD" w:rsidRPr="00BF6ACD">
        <w:rPr>
          <w:sz w:val="24"/>
          <w:szCs w:val="24"/>
        </w:rPr>
        <w:t>≥30%</w:t>
      </w:r>
      <w:r w:rsidR="00BF6ACD">
        <w:rPr>
          <w:sz w:val="24"/>
          <w:szCs w:val="24"/>
        </w:rPr>
        <w:t xml:space="preserve"> of women aged between 20 and 24 years old </w:t>
      </w:r>
      <w:r w:rsidR="00193187">
        <w:rPr>
          <w:sz w:val="24"/>
          <w:szCs w:val="24"/>
        </w:rPr>
        <w:t>were subject to child marri</w:t>
      </w:r>
      <w:r w:rsidR="00FF707A">
        <w:rPr>
          <w:sz w:val="24"/>
          <w:szCs w:val="24"/>
        </w:rPr>
        <w:t>age</w:t>
      </w:r>
      <w:r w:rsidR="00193187">
        <w:rPr>
          <w:sz w:val="24"/>
          <w:szCs w:val="24"/>
        </w:rPr>
        <w:t xml:space="preserve"> before they were 18 years old</w:t>
      </w:r>
      <w:r w:rsidR="00F36C78">
        <w:rPr>
          <w:sz w:val="24"/>
          <w:szCs w:val="24"/>
        </w:rPr>
        <w:t xml:space="preserve"> and that they </w:t>
      </w:r>
      <w:r w:rsidR="00753B22">
        <w:rPr>
          <w:sz w:val="24"/>
          <w:szCs w:val="24"/>
        </w:rPr>
        <w:t xml:space="preserve">were forced to do as they were told </w:t>
      </w:r>
      <w:r w:rsidR="0009091C">
        <w:rPr>
          <w:sz w:val="24"/>
          <w:szCs w:val="24"/>
        </w:rPr>
        <w:t xml:space="preserve">instead of making their own decisions </w:t>
      </w:r>
      <w:r w:rsidR="00753B22">
        <w:rPr>
          <w:sz w:val="24"/>
          <w:szCs w:val="24"/>
        </w:rPr>
        <w:fldChar w:fldCharType="begin" w:fldLock="1"/>
      </w:r>
      <w:r w:rsidR="00215CA2">
        <w:rPr>
          <w:sz w:val="24"/>
          <w:szCs w:val="24"/>
        </w:rPr>
        <w:instrText>ADDIN CSL_CITATION {"citationItems":[{"id":"ITEM-1","itemData":{"ISSN":"2214109X","PMID":"33091371","abstract":"Background: By adulthood, gender inequalities in health and wellbeing are apparent. Yet, the timing and nature of gender inequalities during childhood and adolescence are less clear. We describe the emergence of gender inequalities in health and wellbeing across the first two decades of life. Methods: We focused on the 40 low-income and middle-income countries in Asia and the Pacific. A measurement framework was developed around four key domains of wellbeing across the first two decades: health, education and transition to employment, protection, and a safe environment. Specific measurement constructs were then defined by considering gender indicator frameworks, the Sustainable Development Goals, indicator frameworks for child and adolescent health and wellbeing, and key stakeholder input. Available data were then mapped to define 87 indicators, subsequently populated using databases (UN agencies and the Global Burden of Diseases, Injuries, and Risk Factors Study) and nationally representative surveys. Where possible, estimates in girls were compared with boys to report relative risks. Findings: Although son preference is evident in some settings—as shown by higher than expected male-to-female sex ratios at birth in India, Vietnam, and China (all &gt;1·10 compared with an expected ratio of 1·05) and excess mortality of girl children in some South Asian and Pacific nations—it is during early adolescence where marked gender inequalities consistently emerged. Adolescent girls face considerable disadvantage in relation to sexual and reproductive health (notably in South Asia and the Pacific), with high rates of child marriage (≥30% of women aged 20–24 years married before 18 years in Bangladesh, Nepal, and Afghanistan), fertility (≥65 livebirths per 1000 girls in Nauru, Laos, Afghanistan, Nepal, Marshall Islands, Bangladesh, Vanuatu, and Papua New Guinea), and intimate partner violence (&gt;20% in Timor Leste, Afghanistan, Pakistan, and Myanmar). Despite educational parity in many countries, females aged 15–24 years were less likely than males to be in education, employment, or training in 17 of 19 countries for which data were available. Compared with girls, adolescent boys experienced excess all-cause mortality and substantially higher mortality due to unintentional injury, interpersonal violence, alcohol and other drugs, and suicide, and higher prevalence of harmful drinking and tobacco smoking. Interpretation: These findings call for a focus on gender policy …","author":[{"dropping-particle":"","family":"Kennedy","given":"Elissa","non-dropping-particle":"","parse-names":false,"suffix":""},{"dropping-particle":"","family":"Binder","given":"Gerda","non-dropping-particle":"","parse-names":false,"suffix":""},{"dropping-particle":"","family":"Humphries-Waa","given":"Karen","non-dropping-particle":"","parse-names":false,"suffix":""},{"dropping-particle":"","family":"Tidhar","given":"Tom","non-dropping-particle":"","parse-names":false,"suffix":""},{"dropping-particle":"","family":"Cini","given":"Karly","non-dropping-particle":"","parse-names":false,"suffix":""},{"dropping-particle":"","family":"Comrie-Thomson","given":"Liz","non-dropping-particle":"","parse-names":false,"suffix":""},{"dropping-particle":"","family":"Vaughan","given":"Cathy","non-dropping-particle":"","parse-names":false,"suffix":""},{"dropping-particle":"","family":"Francis","given":"Kate","non-dropping-particle":"","parse-names":false,"suffix":""},{"dropping-particle":"","family":"Scott","given":"Nick","non-dropping-particle":"","parse-names":false,"suffix":""},{"dropping-particle":"","family":"Wulan","given":"Nisaa","non-dropping-particle":"","parse-names":false,"suffix":""},{"dropping-particle":"","family":"Patton","given":"George","non-dropping-particle":"","parse-names":false,"suffix":""},{"dropping-particle":"","family":"Azzopardi","given":"Peter","non-dropping-particle":"","parse-names":false,"suffix":""}],"container-title":"The Lancet Global Health","id":"ITEM-1","issue":"12","issued":{"date-parts":[["2020","12","1"]]},"page":"e1473-e1488","publisher":"Elsevier Ltd","title":"Gender inequalities in health and wellbeing across the first two decades of life: an analysis of 40 low-income and middle-income countries in the Asia-Pacific region","type":"article-journal","volume":"8"},"uris":["http://www.mendeley.com/documents/?uuid=dd20ba5c-f0ab-38ad-b6d8-0cf26cb56b37"]}],"mendeley":{"formattedCitation":"(Kennedy &lt;i&gt;et al.&lt;/i&gt;, 2020)","plainTextFormattedCitation":"(Kennedy et al., 2020)","previouslyFormattedCitation":"(Kennedy &lt;i&gt;et al.&lt;/i&gt;, 2020)"},"properties":{"noteIndex":0},"schema":"https://github.com/citation-style-language/schema/raw/master/csl-citation.json"}</w:instrText>
      </w:r>
      <w:r w:rsidR="00753B22">
        <w:rPr>
          <w:sz w:val="24"/>
          <w:szCs w:val="24"/>
        </w:rPr>
        <w:fldChar w:fldCharType="separate"/>
      </w:r>
      <w:r w:rsidR="00753B22" w:rsidRPr="00753B22">
        <w:rPr>
          <w:noProof/>
          <w:sz w:val="24"/>
          <w:szCs w:val="24"/>
        </w:rPr>
        <w:t xml:space="preserve">(Kennedy </w:t>
      </w:r>
      <w:r w:rsidR="00753B22" w:rsidRPr="00753B22">
        <w:rPr>
          <w:i/>
          <w:noProof/>
          <w:sz w:val="24"/>
          <w:szCs w:val="24"/>
        </w:rPr>
        <w:t>et al.</w:t>
      </w:r>
      <w:r w:rsidR="00753B22" w:rsidRPr="00753B22">
        <w:rPr>
          <w:noProof/>
          <w:sz w:val="24"/>
          <w:szCs w:val="24"/>
        </w:rPr>
        <w:t>, 2020)</w:t>
      </w:r>
      <w:r w:rsidR="00753B22">
        <w:rPr>
          <w:sz w:val="24"/>
          <w:szCs w:val="24"/>
        </w:rPr>
        <w:fldChar w:fldCharType="end"/>
      </w:r>
      <w:r w:rsidR="00753B22">
        <w:rPr>
          <w:sz w:val="24"/>
          <w:szCs w:val="24"/>
        </w:rPr>
        <w:t>.</w:t>
      </w:r>
      <w:r w:rsidR="00086334">
        <w:rPr>
          <w:sz w:val="24"/>
          <w:szCs w:val="24"/>
        </w:rPr>
        <w:t xml:space="preserve"> </w:t>
      </w:r>
      <w:r w:rsidR="00CA37C1">
        <w:rPr>
          <w:sz w:val="24"/>
          <w:szCs w:val="24"/>
        </w:rPr>
        <w:t xml:space="preserve">Kennedy et al (2020) also found </w:t>
      </w:r>
      <w:r w:rsidR="00C8622E">
        <w:rPr>
          <w:sz w:val="24"/>
          <w:szCs w:val="24"/>
        </w:rPr>
        <w:t xml:space="preserve">intimate partner violence was present in </w:t>
      </w:r>
      <w:r w:rsidR="00C8622E" w:rsidRPr="00BF6ACD">
        <w:rPr>
          <w:sz w:val="24"/>
          <w:szCs w:val="24"/>
        </w:rPr>
        <w:t>≥</w:t>
      </w:r>
      <w:r w:rsidR="00C8622E">
        <w:rPr>
          <w:sz w:val="24"/>
          <w:szCs w:val="24"/>
        </w:rPr>
        <w:t>20</w:t>
      </w:r>
      <w:r w:rsidR="00C8622E" w:rsidRPr="00BF6ACD">
        <w:rPr>
          <w:sz w:val="24"/>
          <w:szCs w:val="24"/>
        </w:rPr>
        <w:t>%</w:t>
      </w:r>
      <w:r w:rsidR="00C8622E">
        <w:rPr>
          <w:sz w:val="24"/>
          <w:szCs w:val="24"/>
        </w:rPr>
        <w:t xml:space="preserve"> </w:t>
      </w:r>
      <w:r w:rsidR="00546252">
        <w:rPr>
          <w:sz w:val="24"/>
          <w:szCs w:val="24"/>
        </w:rPr>
        <w:t xml:space="preserve">of these marriages </w:t>
      </w:r>
      <w:r w:rsidR="00DF62F1">
        <w:rPr>
          <w:sz w:val="24"/>
          <w:szCs w:val="24"/>
        </w:rPr>
        <w:t xml:space="preserve">and that </w:t>
      </w:r>
      <w:r w:rsidR="00615134">
        <w:rPr>
          <w:sz w:val="24"/>
          <w:szCs w:val="24"/>
        </w:rPr>
        <w:t xml:space="preserve">adolescent </w:t>
      </w:r>
      <w:r w:rsidR="003C5618">
        <w:rPr>
          <w:sz w:val="24"/>
          <w:szCs w:val="24"/>
        </w:rPr>
        <w:t xml:space="preserve">women had higher </w:t>
      </w:r>
      <w:r w:rsidR="00615134">
        <w:rPr>
          <w:sz w:val="24"/>
          <w:szCs w:val="24"/>
        </w:rPr>
        <w:t>mortality due to intentional injury</w:t>
      </w:r>
      <w:r w:rsidR="00D4007F">
        <w:rPr>
          <w:sz w:val="24"/>
          <w:szCs w:val="24"/>
        </w:rPr>
        <w:t xml:space="preserve"> when compared to adolescent men.</w:t>
      </w:r>
      <w:r w:rsidR="00D63FB7">
        <w:rPr>
          <w:sz w:val="24"/>
          <w:szCs w:val="24"/>
        </w:rPr>
        <w:t xml:space="preserve"> The other main finding that they had was </w:t>
      </w:r>
      <w:r w:rsidR="00FD533D">
        <w:rPr>
          <w:sz w:val="24"/>
          <w:szCs w:val="24"/>
        </w:rPr>
        <w:t xml:space="preserve">that women aged between 15 and 24 years old were not as likely to be </w:t>
      </w:r>
      <w:r w:rsidR="00215CA2">
        <w:rPr>
          <w:sz w:val="24"/>
          <w:szCs w:val="24"/>
        </w:rPr>
        <w:t>educated</w:t>
      </w:r>
      <w:r w:rsidR="0016534C">
        <w:rPr>
          <w:sz w:val="24"/>
          <w:szCs w:val="24"/>
        </w:rPr>
        <w:t>, employed or have any form of professional training</w:t>
      </w:r>
      <w:r w:rsidR="00215CA2">
        <w:rPr>
          <w:sz w:val="24"/>
          <w:szCs w:val="24"/>
        </w:rPr>
        <w:t xml:space="preserve"> as their male counterparts </w:t>
      </w:r>
      <w:r w:rsidR="00215CA2">
        <w:rPr>
          <w:sz w:val="24"/>
          <w:szCs w:val="24"/>
        </w:rPr>
        <w:fldChar w:fldCharType="begin" w:fldLock="1"/>
      </w:r>
      <w:r w:rsidR="00C142D9">
        <w:rPr>
          <w:sz w:val="24"/>
          <w:szCs w:val="24"/>
        </w:rPr>
        <w:instrText>ADDIN CSL_CITATION {"citationItems":[{"id":"ITEM-1","itemData":{"ISSN":"2214109X","PMID":"33091371","abstract":"Background: By adulthood, gender inequalities in health and wellbeing are apparent. Yet, the timing and nature of gender inequalities during childhood and adolescence are less clear. We describe the emergence of gender inequalities in health and wellbeing across the first two decades of life. Methods: We focused on the 40 low-income and middle-income countries in Asia and the Pacific. A measurement framework was developed around four key domains of wellbeing across the first two decades: health, education and transition to employment, protection, and a safe environment. Specific measurement constructs were then defined by considering gender indicator frameworks, the Sustainable Development Goals, indicator frameworks for child and adolescent health and wellbeing, and key stakeholder input. Available data were then mapped to define 87 indicators, subsequently populated using databases (UN agencies and the Global Burden of Diseases, Injuries, and Risk Factors Study) and nationally representative surveys. Where possible, estimates in girls were compared with boys to report relative risks. Findings: Although son preference is evident in some settings—as shown by higher than expected male-to-female sex ratios at birth in India, Vietnam, and China (all &gt;1·10 compared with an expected ratio of 1·05) and excess mortality of girl children in some South Asian and Pacific nations—it is during early adolescence where marked gender inequalities consistently emerged. Adolescent girls face considerable disadvantage in relation to sexual and reproductive health (notably in South Asia and the Pacific), with high rates of child marriage (≥30% of women aged 20–24 years married before 18 years in Bangladesh, Nepal, and Afghanistan), fertility (≥65 livebirths per 1000 girls in Nauru, Laos, Afghanistan, Nepal, Marshall Islands, Bangladesh, Vanuatu, and Papua New Guinea), and intimate partner violence (&gt;20% in Timor Leste, Afghanistan, Pakistan, and Myanmar). Despite educational parity in many countries, females aged 15–24 years were less likely than males to be in education, employment, or training in 17 of 19 countries for which data were available. Compared with girls, adolescent boys experienced excess all-cause mortality and substantially higher mortality due to unintentional injury, interpersonal violence, alcohol and other drugs, and suicide, and higher prevalence of harmful drinking and tobacco smoking. Interpretation: These findings call for a focus on gender policy …","author":[{"dropping-particle":"","family":"Kennedy","given":"Elissa","non-dropping-particle":"","parse-names":false,"suffix":""},{"dropping-particle":"","family":"Binder","given":"Gerda","non-dropping-particle":"","parse-names":false,"suffix":""},{"dropping-particle":"","family":"Humphries-Waa","given":"Karen","non-dropping-particle":"","parse-names":false,"suffix":""},{"dropping-particle":"","family":"Tidhar","given":"Tom","non-dropping-particle":"","parse-names":false,"suffix":""},{"dropping-particle":"","family":"Cini","given":"Karly","non-dropping-particle":"","parse-names":false,"suffix":""},{"dropping-particle":"","family":"Comrie-Thomson","given":"Liz","non-dropping-particle":"","parse-names":false,"suffix":""},{"dropping-particle":"","family":"Vaughan","given":"Cathy","non-dropping-particle":"","parse-names":false,"suffix":""},{"dropping-particle":"","family":"Francis","given":"Kate","non-dropping-particle":"","parse-names":false,"suffix":""},{"dropping-particle":"","family":"Scott","given":"Nick","non-dropping-particle":"","parse-names":false,"suffix":""},{"dropping-particle":"","family":"Wulan","given":"Nisaa","non-dropping-particle":"","parse-names":false,"suffix":""},{"dropping-particle":"","family":"Patton","given":"George","non-dropping-particle":"","parse-names":false,"suffix":""},{"dropping-particle":"","family":"Azzopardi","given":"Peter","non-dropping-particle":"","parse-names":false,"suffix":""}],"container-title":"The Lancet Global Health","id":"ITEM-1","issue":"12","issued":{"date-parts":[["2020","12","1"]]},"page":"e1473-e1488","publisher":"Elsevier Ltd","title":"Gender inequalities in health and wellbeing across the first two decades of life: an analysis of 40 low-income and middle-income countries in the Asia-Pacific region","type":"article-journal","volume":"8"},"uris":["http://www.mendeley.com/documents/?uuid=dd20ba5c-f0ab-38ad-b6d8-0cf26cb56b37"]}],"mendeley":{"formattedCitation":"(Kennedy &lt;i&gt;et al.&lt;/i&gt;, 2020)","plainTextFormattedCitation":"(Kennedy et al., 2020)","previouslyFormattedCitation":"(Kennedy &lt;i&gt;et al.&lt;/i&gt;, 2020)"},"properties":{"noteIndex":0},"schema":"https://github.com/citation-style-language/schema/raw/master/csl-citation.json"}</w:instrText>
      </w:r>
      <w:r w:rsidR="00215CA2">
        <w:rPr>
          <w:sz w:val="24"/>
          <w:szCs w:val="24"/>
        </w:rPr>
        <w:fldChar w:fldCharType="separate"/>
      </w:r>
      <w:r w:rsidR="00215CA2" w:rsidRPr="00215CA2">
        <w:rPr>
          <w:noProof/>
          <w:sz w:val="24"/>
          <w:szCs w:val="24"/>
        </w:rPr>
        <w:t xml:space="preserve">(Kennedy </w:t>
      </w:r>
      <w:r w:rsidR="00215CA2" w:rsidRPr="00215CA2">
        <w:rPr>
          <w:i/>
          <w:noProof/>
          <w:sz w:val="24"/>
          <w:szCs w:val="24"/>
        </w:rPr>
        <w:t>et al.</w:t>
      </w:r>
      <w:r w:rsidR="00215CA2" w:rsidRPr="00215CA2">
        <w:rPr>
          <w:noProof/>
          <w:sz w:val="24"/>
          <w:szCs w:val="24"/>
        </w:rPr>
        <w:t>, 2020)</w:t>
      </w:r>
      <w:r w:rsidR="00215CA2">
        <w:rPr>
          <w:sz w:val="24"/>
          <w:szCs w:val="24"/>
        </w:rPr>
        <w:fldChar w:fldCharType="end"/>
      </w:r>
      <w:r w:rsidR="00215CA2">
        <w:rPr>
          <w:sz w:val="24"/>
          <w:szCs w:val="24"/>
        </w:rPr>
        <w:t>.</w:t>
      </w:r>
    </w:p>
    <w:p w14:paraId="5C54A91A" w14:textId="77777777" w:rsidR="00C35BF4" w:rsidRDefault="00C35BF4" w:rsidP="009E1C75">
      <w:pPr>
        <w:rPr>
          <w:sz w:val="24"/>
          <w:szCs w:val="24"/>
        </w:rPr>
      </w:pPr>
    </w:p>
    <w:p w14:paraId="15BC1A8B" w14:textId="0E6A37F7" w:rsidR="00F75BCC" w:rsidRDefault="002B61A4" w:rsidP="009E1C75">
      <w:pPr>
        <w:rPr>
          <w:sz w:val="24"/>
          <w:szCs w:val="24"/>
        </w:rPr>
      </w:pPr>
      <w:r>
        <w:rPr>
          <w:sz w:val="24"/>
          <w:szCs w:val="24"/>
        </w:rPr>
        <w:t xml:space="preserve">Education for </w:t>
      </w:r>
      <w:r w:rsidR="00F649A8">
        <w:rPr>
          <w:sz w:val="24"/>
          <w:szCs w:val="24"/>
        </w:rPr>
        <w:t>adolescent women remains a</w:t>
      </w:r>
      <w:r w:rsidR="002946DA">
        <w:rPr>
          <w:sz w:val="24"/>
          <w:szCs w:val="24"/>
        </w:rPr>
        <w:t xml:space="preserve"> prevalent </w:t>
      </w:r>
      <w:r w:rsidR="000169EA">
        <w:rPr>
          <w:sz w:val="24"/>
          <w:szCs w:val="24"/>
        </w:rPr>
        <w:t xml:space="preserve">issue in </w:t>
      </w:r>
      <w:r w:rsidR="004E6DDA">
        <w:rPr>
          <w:sz w:val="24"/>
          <w:szCs w:val="24"/>
        </w:rPr>
        <w:t>certain</w:t>
      </w:r>
      <w:r w:rsidR="000169EA">
        <w:rPr>
          <w:sz w:val="24"/>
          <w:szCs w:val="24"/>
        </w:rPr>
        <w:t xml:space="preserve"> parts of the world</w:t>
      </w:r>
      <w:r w:rsidR="00143912">
        <w:rPr>
          <w:sz w:val="24"/>
          <w:szCs w:val="24"/>
        </w:rPr>
        <w:t xml:space="preserve"> with </w:t>
      </w:r>
      <w:r w:rsidR="00B17BA5">
        <w:rPr>
          <w:sz w:val="24"/>
          <w:szCs w:val="24"/>
        </w:rPr>
        <w:t>many</w:t>
      </w:r>
      <w:r w:rsidR="00143912">
        <w:rPr>
          <w:sz w:val="24"/>
          <w:szCs w:val="24"/>
        </w:rPr>
        <w:t xml:space="preserve"> girls </w:t>
      </w:r>
      <w:r w:rsidR="00B17BA5">
        <w:rPr>
          <w:sz w:val="24"/>
          <w:szCs w:val="24"/>
        </w:rPr>
        <w:t xml:space="preserve">in these areas </w:t>
      </w:r>
      <w:r w:rsidR="00143912">
        <w:rPr>
          <w:sz w:val="24"/>
          <w:szCs w:val="24"/>
        </w:rPr>
        <w:t>still being forced to learn how to look after a home rather than receiving primary</w:t>
      </w:r>
      <w:r w:rsidR="00A33423">
        <w:rPr>
          <w:sz w:val="24"/>
          <w:szCs w:val="24"/>
        </w:rPr>
        <w:t xml:space="preserve"> education </w:t>
      </w:r>
      <w:r w:rsidR="00C142D9">
        <w:rPr>
          <w:sz w:val="24"/>
          <w:szCs w:val="24"/>
        </w:rPr>
        <w:fldChar w:fldCharType="begin" w:fldLock="1"/>
      </w:r>
      <w:r w:rsidR="00E9300F">
        <w:rPr>
          <w:sz w:val="24"/>
          <w:szCs w:val="24"/>
        </w:rPr>
        <w:instrText>ADDIN CSL_CITATION {"citationItems":[{"id":"ITEM-1","itemData":{"ISBN":"9781315708379","abstract":"This chapter discusses that one take stock of impressive successes and set out continuing challenges, what one call the &amp;quot;second generation&amp;quot; of girl's education issues. girl's education has been recognized as a global priority and incorporated into development targets, which has rallied governments, NGOs, foundations, and international organizations. Global policy priorities in girl's education largely focus on equal access to primary education, which has indeed become a success story. Although girl's education has been prioritized as a universal concern, there are major differences in progress among regions and populations. One have laid out a framework of second-generation challenges facing girls today: hotspot regions where girls still cannot access primary education; extremely disadvantaged poor and rural girls who lag behind; unsafe environments that threaten millions of schoolgirls; low-quality learning opportunities; and compromised opportunities to transition to higher education and secure jobs.","author":[{"dropping-particle":"","family":"Winthrop","given":"Rebecca","non-dropping-particle":"","parse-names":false,"suffix":""},{"dropping-particle":"","family":"McGivney","given":"Eileen","non-dropping-particle":"","parse-names":false,"suffix":""}],"container-title":"Women and Girls Rising","edition":"1st","id":"ITEM-1","issued":{"date-parts":[["2015","6","19"]]},"number-of-pages":"287-296","publisher":"Routledge","title":"Raising the global ambition for girls’ education","type":"book"},"uris":["http://www.mendeley.com/documents/?uuid=30acd9ad-5518-325c-83fe-d25407dd5ec2"]}],"mendeley":{"formattedCitation":"(Winthrop and McGivney, 2015)","plainTextFormattedCitation":"(Winthrop and McGivney, 2015)","previouslyFormattedCitation":"(Winthrop and McGivney, 2015)"},"properties":{"noteIndex":0},"schema":"https://github.com/citation-style-language/schema/raw/master/csl-citation.json"}</w:instrText>
      </w:r>
      <w:r w:rsidR="00C142D9">
        <w:rPr>
          <w:sz w:val="24"/>
          <w:szCs w:val="24"/>
        </w:rPr>
        <w:fldChar w:fldCharType="separate"/>
      </w:r>
      <w:r w:rsidR="00C142D9" w:rsidRPr="00C142D9">
        <w:rPr>
          <w:noProof/>
          <w:sz w:val="24"/>
          <w:szCs w:val="24"/>
        </w:rPr>
        <w:t>(Winthrop and McGivney, 2015)</w:t>
      </w:r>
      <w:r w:rsidR="00C142D9">
        <w:rPr>
          <w:sz w:val="24"/>
          <w:szCs w:val="24"/>
        </w:rPr>
        <w:fldChar w:fldCharType="end"/>
      </w:r>
      <w:r w:rsidR="00C142D9">
        <w:rPr>
          <w:sz w:val="24"/>
          <w:szCs w:val="24"/>
        </w:rPr>
        <w:t>.</w:t>
      </w:r>
      <w:r w:rsidR="00E40D11">
        <w:rPr>
          <w:sz w:val="24"/>
          <w:szCs w:val="24"/>
        </w:rPr>
        <w:t xml:space="preserve"> </w:t>
      </w:r>
      <w:r w:rsidR="0074677F">
        <w:rPr>
          <w:sz w:val="24"/>
          <w:szCs w:val="24"/>
        </w:rPr>
        <w:t xml:space="preserve">Women’s education </w:t>
      </w:r>
      <w:r w:rsidR="000E5DF8">
        <w:rPr>
          <w:sz w:val="24"/>
          <w:szCs w:val="24"/>
        </w:rPr>
        <w:t xml:space="preserve">has been highlighted as a universal concern with </w:t>
      </w:r>
      <w:r w:rsidR="00AF2056">
        <w:rPr>
          <w:sz w:val="24"/>
          <w:szCs w:val="24"/>
        </w:rPr>
        <w:t xml:space="preserve">many countries acting on it and trying to </w:t>
      </w:r>
      <w:r w:rsidR="00E37F7D">
        <w:rPr>
          <w:sz w:val="24"/>
          <w:szCs w:val="24"/>
        </w:rPr>
        <w:t xml:space="preserve">improve the </w:t>
      </w:r>
      <w:r w:rsidR="004F0CFA">
        <w:rPr>
          <w:sz w:val="24"/>
          <w:szCs w:val="24"/>
        </w:rPr>
        <w:t xml:space="preserve">inequality, however, there have been </w:t>
      </w:r>
      <w:r w:rsidR="00826DE7">
        <w:rPr>
          <w:sz w:val="24"/>
          <w:szCs w:val="24"/>
        </w:rPr>
        <w:t xml:space="preserve">differences in stratergy and success across different regions of </w:t>
      </w:r>
      <w:r w:rsidR="00E9300F">
        <w:rPr>
          <w:sz w:val="24"/>
          <w:szCs w:val="24"/>
        </w:rPr>
        <w:t xml:space="preserve">the world </w:t>
      </w:r>
      <w:r w:rsidR="00E9300F">
        <w:rPr>
          <w:sz w:val="24"/>
          <w:szCs w:val="24"/>
        </w:rPr>
        <w:fldChar w:fldCharType="begin" w:fldLock="1"/>
      </w:r>
      <w:r w:rsidR="000E6C88">
        <w:rPr>
          <w:sz w:val="24"/>
          <w:szCs w:val="24"/>
        </w:rPr>
        <w:instrText>ADDIN CSL_CITATION {"citationItems":[{"id":"ITEM-1","itemData":{"ISBN":"9781315708379","abstract":"This chapter discusses that one take stock of impressive successes and set out continuing challenges, what one call the &amp;quot;second generation&amp;quot; of girl's education issues. girl's education has been recognized as a global priority and incorporated into development targets, which has rallied governments, NGOs, foundations, and international organizations. Global policy priorities in girl's education largely focus on equal access to primary education, which has indeed become a success story. Although girl's education has been prioritized as a universal concern, there are major differences in progress among regions and populations. One have laid out a framework of second-generation challenges facing girls today: hotspot regions where girls still cannot access primary education; extremely disadvantaged poor and rural girls who lag behind; unsafe environments that threaten millions of schoolgirls; low-quality learning opportunities; and compromised opportunities to transition to higher education and secure jobs.","author":[{"dropping-particle":"","family":"Winthrop","given":"Rebecca","non-dropping-particle":"","parse-names":false,"suffix":""},{"dropping-particle":"","family":"McGivney","given":"Eileen","non-dropping-particle":"","parse-names":false,"suffix":""}],"container-title":"Women and Girls Rising","edition":"1st","id":"ITEM-1","issued":{"date-parts":[["2015","6","19"]]},"number-of-pages":"287-296","publisher":"Routledge","title":"Raising the global ambition for girls’ education","type":"book"},"uris":["http://www.mendeley.com/documents/?uuid=30acd9ad-5518-325c-83fe-d25407dd5ec2"]}],"mendeley":{"formattedCitation":"(Winthrop and McGivney, 2015)","plainTextFormattedCitation":"(Winthrop and McGivney, 2015)","previouslyFormattedCitation":"(Winthrop and McGivney, 2015)"},"properties":{"noteIndex":0},"schema":"https://github.com/citation-style-language/schema/raw/master/csl-citation.json"}</w:instrText>
      </w:r>
      <w:r w:rsidR="00E9300F">
        <w:rPr>
          <w:sz w:val="24"/>
          <w:szCs w:val="24"/>
        </w:rPr>
        <w:fldChar w:fldCharType="separate"/>
      </w:r>
      <w:r w:rsidR="00E9300F" w:rsidRPr="00E9300F">
        <w:rPr>
          <w:noProof/>
          <w:sz w:val="24"/>
          <w:szCs w:val="24"/>
        </w:rPr>
        <w:t>(Winthrop and McGivney, 2015)</w:t>
      </w:r>
      <w:r w:rsidR="00E9300F">
        <w:rPr>
          <w:sz w:val="24"/>
          <w:szCs w:val="24"/>
        </w:rPr>
        <w:fldChar w:fldCharType="end"/>
      </w:r>
      <w:r w:rsidR="00E9300F">
        <w:rPr>
          <w:sz w:val="24"/>
          <w:szCs w:val="24"/>
        </w:rPr>
        <w:t>.</w:t>
      </w:r>
      <w:r w:rsidR="00FF1C23">
        <w:rPr>
          <w:sz w:val="24"/>
          <w:szCs w:val="24"/>
        </w:rPr>
        <w:t xml:space="preserve"> </w:t>
      </w:r>
      <w:r w:rsidR="000206B6">
        <w:rPr>
          <w:sz w:val="24"/>
          <w:szCs w:val="24"/>
        </w:rPr>
        <w:t xml:space="preserve">Education is a major part of </w:t>
      </w:r>
      <w:r w:rsidR="00B35090">
        <w:rPr>
          <w:sz w:val="24"/>
          <w:szCs w:val="24"/>
        </w:rPr>
        <w:t xml:space="preserve">a person’s </w:t>
      </w:r>
      <w:r w:rsidR="003665E3">
        <w:rPr>
          <w:sz w:val="24"/>
          <w:szCs w:val="24"/>
        </w:rPr>
        <w:t>short- and long-term</w:t>
      </w:r>
      <w:r w:rsidR="00B35090">
        <w:rPr>
          <w:sz w:val="24"/>
          <w:szCs w:val="24"/>
        </w:rPr>
        <w:t xml:space="preserve"> health, with findings suggesting that </w:t>
      </w:r>
      <w:r w:rsidR="00402B51">
        <w:rPr>
          <w:sz w:val="24"/>
          <w:szCs w:val="24"/>
        </w:rPr>
        <w:t>well educated people report low morbidity</w:t>
      </w:r>
      <w:r w:rsidR="001005C1">
        <w:rPr>
          <w:sz w:val="24"/>
          <w:szCs w:val="24"/>
        </w:rPr>
        <w:t xml:space="preserve">, mortality and disability levels when compared to low educated people who </w:t>
      </w:r>
      <w:r w:rsidR="001064AC">
        <w:rPr>
          <w:sz w:val="24"/>
          <w:szCs w:val="24"/>
        </w:rPr>
        <w:t xml:space="preserve">are more prone to infectious diseases, shorter life expectancy, </w:t>
      </w:r>
      <w:r w:rsidR="004D0E63">
        <w:rPr>
          <w:sz w:val="24"/>
          <w:szCs w:val="24"/>
        </w:rPr>
        <w:t xml:space="preserve">poorer recovery when sick and poorer lifestyle habits </w:t>
      </w:r>
      <w:r w:rsidR="000E6C88">
        <w:rPr>
          <w:sz w:val="24"/>
          <w:szCs w:val="24"/>
        </w:rPr>
        <w:fldChar w:fldCharType="begin" w:fldLock="1"/>
      </w:r>
      <w:r w:rsidR="0093473C">
        <w:rPr>
          <w:sz w:val="24"/>
          <w:szCs w:val="24"/>
        </w:rPr>
        <w:instrText>ADDIN CSL_CITATION {"citationItems":[{"id":"ITEM-1","itemData":{"DOI":"10.3386/W24225","abstract":"Education is strongly associated with better health and longer lives. However, the extent to which education causes health and longevity is widely debated. We develop a human capital framework to structure the interpretation of the empirical evidence. We then review evidence on the causal effects of education on mortality and its two most common preventable causes: smoking and obesity. We focus attention on evidence from Randomized Controlled Trials, twin studies, and quasi-experiments. There is no convincing evidence of an effect of education on obesity, and the effects on smoking are only apparent when schooling reforms affect individuals' track or their peer group, but not when they simply increase the duration of schooling. An effect of education on mortality exists in some contexts but not in others, and seems to depend on (i) gender; (ii) the labor market returns to education; (iii) the quality of education; and (iv) whether education affects the quality of individuals' peers.","author":[{"dropping-particle":"","family":"Galama","given":"Titus J.","non-dropping-particle":"","parse-names":false,"suffix":""},{"dropping-particle":"","family":"Lleras-Muney","given":"Adriana","non-dropping-particle":"","parse-names":false,"suffix":""},{"dropping-particle":"van","family":"Kippersluis","given":"Hans","non-dropping-particle":"","parse-names":false,"suffix":""}],"id":"ITEM-1","issued":{"date-parts":[["2018","1","22"]]},"publisher-place":"Cambridge, MA","title":"The Effect of Education on Health and Mortality: A Review of Experimental and Quasi-Experimental Evidence.","type":"article-journal"},"uris":["http://www.mendeley.com/documents/?uuid=1e17d24f-f45b-3688-a3e2-3182e5c6d8bc"]}],"mendeley":{"formattedCitation":"(Galama, Lleras-Muney and Kippersluis, 2018)","plainTextFormattedCitation":"(Galama, Lleras-Muney and Kippersluis, 2018)","previouslyFormattedCitation":"(Galama, Lleras-Muney and Kippersluis, 2018)"},"properties":{"noteIndex":0},"schema":"https://github.com/citation-style-language/schema/raw/master/csl-citation.json"}</w:instrText>
      </w:r>
      <w:r w:rsidR="000E6C88">
        <w:rPr>
          <w:sz w:val="24"/>
          <w:szCs w:val="24"/>
        </w:rPr>
        <w:fldChar w:fldCharType="separate"/>
      </w:r>
      <w:r w:rsidR="000E6C88" w:rsidRPr="000E6C88">
        <w:rPr>
          <w:noProof/>
          <w:sz w:val="24"/>
          <w:szCs w:val="24"/>
        </w:rPr>
        <w:t>(Galama, Lleras-Muney and Kippersluis, 2018)</w:t>
      </w:r>
      <w:r w:rsidR="000E6C88">
        <w:rPr>
          <w:sz w:val="24"/>
          <w:szCs w:val="24"/>
        </w:rPr>
        <w:fldChar w:fldCharType="end"/>
      </w:r>
      <w:r w:rsidR="000E6C88">
        <w:rPr>
          <w:sz w:val="24"/>
          <w:szCs w:val="24"/>
        </w:rPr>
        <w:t>.</w:t>
      </w:r>
      <w:r w:rsidR="00BE2F0A">
        <w:rPr>
          <w:sz w:val="24"/>
          <w:szCs w:val="24"/>
        </w:rPr>
        <w:t xml:space="preserve"> </w:t>
      </w:r>
      <w:r w:rsidR="00EE0FA3">
        <w:rPr>
          <w:sz w:val="24"/>
          <w:szCs w:val="24"/>
        </w:rPr>
        <w:t xml:space="preserve">However, </w:t>
      </w:r>
      <w:r w:rsidR="00F5388E">
        <w:rPr>
          <w:sz w:val="24"/>
          <w:szCs w:val="24"/>
        </w:rPr>
        <w:t xml:space="preserve">it does not suggest that </w:t>
      </w:r>
      <w:r w:rsidR="00E4333C">
        <w:rPr>
          <w:sz w:val="24"/>
          <w:szCs w:val="24"/>
        </w:rPr>
        <w:t xml:space="preserve">it is linked to obesity </w:t>
      </w:r>
      <w:r w:rsidR="0093473C">
        <w:rPr>
          <w:sz w:val="24"/>
          <w:szCs w:val="24"/>
        </w:rPr>
        <w:t>or</w:t>
      </w:r>
      <w:r w:rsidR="00E4333C">
        <w:rPr>
          <w:sz w:val="24"/>
          <w:szCs w:val="24"/>
        </w:rPr>
        <w:t xml:space="preserve"> smoking uptake </w:t>
      </w:r>
      <w:r w:rsidR="0093473C">
        <w:rPr>
          <w:sz w:val="24"/>
          <w:szCs w:val="24"/>
        </w:rPr>
        <w:t xml:space="preserve">and that these were the result of individual’s choices </w:t>
      </w:r>
      <w:r w:rsidR="0093473C">
        <w:rPr>
          <w:sz w:val="24"/>
          <w:szCs w:val="24"/>
        </w:rPr>
        <w:fldChar w:fldCharType="begin" w:fldLock="1"/>
      </w:r>
      <w:r w:rsidR="00120614">
        <w:rPr>
          <w:sz w:val="24"/>
          <w:szCs w:val="24"/>
        </w:rPr>
        <w:instrText>ADDIN CSL_CITATION {"citationItems":[{"id":"ITEM-1","itemData":{"DOI":"10.3386/W24225","abstract":"Education is strongly associated with better health and longer lives. However, the extent to which education causes health and longevity is widely debated. We develop a human capital framework to structure the interpretation of the empirical evidence. We then review evidence on the causal effects of education on mortality and its two most common preventable causes: smoking and obesity. We focus attention on evidence from Randomized Controlled Trials, twin studies, and quasi-experiments. There is no convincing evidence of an effect of education on obesity, and the effects on smoking are only apparent when schooling reforms affect individuals' track or their peer group, but not when they simply increase the duration of schooling. An effect of education on mortality exists in some contexts but not in others, and seems to depend on (i) gender; (ii) the labor market returns to education; (iii) the quality of education; and (iv) whether education affects the quality of individuals' peers.","author":[{"dropping-particle":"","family":"Galama","given":"Titus J.","non-dropping-particle":"","parse-names":false,"suffix":""},{"dropping-particle":"","family":"Lleras-Muney","given":"Adriana","non-dropping-particle":"","parse-names":false,"suffix":""},{"dropping-particle":"van","family":"Kippersluis","given":"Hans","non-dropping-particle":"","parse-names":false,"suffix":""}],"id":"ITEM-1","issued":{"date-parts":[["2018","1","22"]]},"publisher-place":"Cambridge, MA","title":"The Effect of Education on Health and Mortality: A Review of Experimental and Quasi-Experimental Evidence.","type":"article-journal"},"uris":["http://www.mendeley.com/documents/?uuid=1e17d24f-f45b-3688-a3e2-3182e5c6d8bc"]}],"mendeley":{"formattedCitation":"(Galama, Lleras-Muney and Kippersluis, 2018)","plainTextFormattedCitation":"(Galama, Lleras-Muney and Kippersluis, 2018)","previouslyFormattedCitation":"(Galama, Lleras-Muney and Kippersluis, 2018)"},"properties":{"noteIndex":0},"schema":"https://github.com/citation-style-language/schema/raw/master/csl-citation.json"}</w:instrText>
      </w:r>
      <w:r w:rsidR="0093473C">
        <w:rPr>
          <w:sz w:val="24"/>
          <w:szCs w:val="24"/>
        </w:rPr>
        <w:fldChar w:fldCharType="separate"/>
      </w:r>
      <w:r w:rsidR="0093473C" w:rsidRPr="0093473C">
        <w:rPr>
          <w:noProof/>
          <w:sz w:val="24"/>
          <w:szCs w:val="24"/>
        </w:rPr>
        <w:t>(Galama, Lleras-Muney and Kippersluis, 2018)</w:t>
      </w:r>
      <w:r w:rsidR="0093473C">
        <w:rPr>
          <w:sz w:val="24"/>
          <w:szCs w:val="24"/>
        </w:rPr>
        <w:fldChar w:fldCharType="end"/>
      </w:r>
      <w:r w:rsidR="0093473C">
        <w:rPr>
          <w:sz w:val="24"/>
          <w:szCs w:val="24"/>
        </w:rPr>
        <w:t>.</w:t>
      </w:r>
    </w:p>
    <w:p w14:paraId="7BDF69C7" w14:textId="77777777" w:rsidR="00807410" w:rsidRDefault="00807410" w:rsidP="009E1C75">
      <w:pPr>
        <w:rPr>
          <w:sz w:val="24"/>
          <w:szCs w:val="24"/>
        </w:rPr>
      </w:pPr>
    </w:p>
    <w:p w14:paraId="2353C820" w14:textId="49BC0C58" w:rsidR="007B793B" w:rsidRDefault="00807410" w:rsidP="009E1C75">
      <w:pPr>
        <w:rPr>
          <w:sz w:val="24"/>
          <w:szCs w:val="24"/>
        </w:rPr>
      </w:pPr>
      <w:r>
        <w:rPr>
          <w:sz w:val="24"/>
          <w:szCs w:val="24"/>
        </w:rPr>
        <w:t xml:space="preserve">Gender inequality </w:t>
      </w:r>
      <w:r w:rsidR="004B5600">
        <w:rPr>
          <w:sz w:val="24"/>
          <w:szCs w:val="24"/>
        </w:rPr>
        <w:t xml:space="preserve">is therefore </w:t>
      </w:r>
      <w:r w:rsidR="00344488">
        <w:rPr>
          <w:sz w:val="24"/>
          <w:szCs w:val="24"/>
        </w:rPr>
        <w:t xml:space="preserve">still a </w:t>
      </w:r>
      <w:r w:rsidR="00451486">
        <w:rPr>
          <w:sz w:val="24"/>
          <w:szCs w:val="24"/>
        </w:rPr>
        <w:t xml:space="preserve">widespread issue that affects many different aspects of life and can </w:t>
      </w:r>
      <w:r w:rsidR="00120614">
        <w:rPr>
          <w:sz w:val="24"/>
          <w:szCs w:val="24"/>
        </w:rPr>
        <w:t xml:space="preserve">hinder and create barriers for women trying to lead a healthy lifestyle </w:t>
      </w:r>
      <w:r w:rsidR="00120614">
        <w:rPr>
          <w:sz w:val="24"/>
          <w:szCs w:val="24"/>
        </w:rPr>
        <w:fldChar w:fldCharType="begin" w:fldLock="1"/>
      </w:r>
      <w:r w:rsidR="005C02C7">
        <w:rPr>
          <w:sz w:val="24"/>
          <w:szCs w:val="24"/>
        </w:rPr>
        <w:instrText>ADDIN CSL_CITATION {"citationItems":[{"id":"ITEM-1","itemData":{"ISBN":"9781317907497","abstract":"Gender Inequality in Our Changing World: A Comparative Approach focuses on the contemporary United States but places it in historical and global context. Written for sociology of gender courses, this textbook identifies conditions that encourage greater or lesser gender inequality, explains how gender and gender inequality change over time, and explores how gender intersects with other hierarchies, especially those related to race, social class, and sexual identity. The authors integrate historical and international materials as they help students think both theoretically and empirically about the causes and consequences of gender inequality, both in their own lives and in the lives of others worldwide.","author":[{"dropping-particle":"","family":"Kenschaft","given":"Lori","non-dropping-particle":"","parse-names":false,"suffix":""},{"dropping-particle":"","family":"Clark","given":"Roger","non-dropping-particle":"","parse-names":false,"suffix":""},{"dropping-particle":"","family":"Ciambrone","given":"Desirée","non-dropping-particle":"","parse-names":false,"suffix":""}],"container-title":"Gender Inequality in Our Changing World: A Comparative Approach","id":"ITEM-1","issued":{"date-parts":[["2015","1","1"]]},"page":"1-450","publisher":"Taylor and Francis","title":"Gender inequality in our changing world: A comparative approach","type":"article-journal"},"uris":["http://www.mendeley.com/documents/?uuid=6c4e9626-2e78-3fa4-9fd1-a90146574567"]}],"mendeley":{"formattedCitation":"(Kenschaft, Clark and Ciambrone, 2015)","plainTextFormattedCitation":"(Kenschaft, Clark and Ciambrone, 2015)","previouslyFormattedCitation":"(Kenschaft, Clark and Ciambrone, 2015)"},"properties":{"noteIndex":0},"schema":"https://github.com/citation-style-language/schema/raw/master/csl-citation.json"}</w:instrText>
      </w:r>
      <w:r w:rsidR="00120614">
        <w:rPr>
          <w:sz w:val="24"/>
          <w:szCs w:val="24"/>
        </w:rPr>
        <w:fldChar w:fldCharType="separate"/>
      </w:r>
      <w:r w:rsidR="00120614" w:rsidRPr="00120614">
        <w:rPr>
          <w:noProof/>
          <w:sz w:val="24"/>
          <w:szCs w:val="24"/>
        </w:rPr>
        <w:t>(Kenschaft, Clark and Ciambrone, 2015)</w:t>
      </w:r>
      <w:r w:rsidR="00120614">
        <w:rPr>
          <w:sz w:val="24"/>
          <w:szCs w:val="24"/>
        </w:rPr>
        <w:fldChar w:fldCharType="end"/>
      </w:r>
      <w:r w:rsidR="00120614">
        <w:rPr>
          <w:sz w:val="24"/>
          <w:szCs w:val="24"/>
        </w:rPr>
        <w:t>.</w:t>
      </w:r>
      <w:r w:rsidR="00EB3C90">
        <w:rPr>
          <w:sz w:val="24"/>
          <w:szCs w:val="24"/>
        </w:rPr>
        <w:t xml:space="preserve"> </w:t>
      </w:r>
      <w:r w:rsidR="001D270C">
        <w:rPr>
          <w:sz w:val="24"/>
          <w:szCs w:val="24"/>
        </w:rPr>
        <w:t xml:space="preserve">It can cause anxiety, depression, feeling of loss, </w:t>
      </w:r>
      <w:r w:rsidR="00F94250">
        <w:rPr>
          <w:sz w:val="24"/>
          <w:szCs w:val="24"/>
        </w:rPr>
        <w:t>family and marital conflicts</w:t>
      </w:r>
      <w:r w:rsidR="00EE7A40">
        <w:rPr>
          <w:sz w:val="24"/>
          <w:szCs w:val="24"/>
        </w:rPr>
        <w:t>,</w:t>
      </w:r>
      <w:r w:rsidR="00F94250">
        <w:rPr>
          <w:sz w:val="24"/>
          <w:szCs w:val="24"/>
        </w:rPr>
        <w:t xml:space="preserve"> stop women from being </w:t>
      </w:r>
      <w:r w:rsidR="00847352">
        <w:rPr>
          <w:sz w:val="24"/>
          <w:szCs w:val="24"/>
        </w:rPr>
        <w:t xml:space="preserve">comfortable or </w:t>
      </w:r>
      <w:r w:rsidR="00F94250">
        <w:rPr>
          <w:sz w:val="24"/>
          <w:szCs w:val="24"/>
        </w:rPr>
        <w:t xml:space="preserve">able to participate </w:t>
      </w:r>
      <w:r w:rsidR="004743B7">
        <w:rPr>
          <w:sz w:val="24"/>
          <w:szCs w:val="24"/>
        </w:rPr>
        <w:t xml:space="preserve">in activities that they would want to or achieve life and career goals </w:t>
      </w:r>
      <w:r w:rsidR="005C02C7">
        <w:rPr>
          <w:sz w:val="24"/>
          <w:szCs w:val="24"/>
        </w:rPr>
        <w:fldChar w:fldCharType="begin" w:fldLock="1"/>
      </w:r>
      <w:r w:rsidR="008D2191">
        <w:rPr>
          <w:sz w:val="24"/>
          <w:szCs w:val="24"/>
        </w:rPr>
        <w:instrText>ADDIN CSL_CITATION {"citationItems":[{"id":"ITEM-1","itemData":{"ISSN":"16641078","abstract":"The fact that the permeability between family and work scopes produces work-family conflict (WFC) is well established. As such, this research aims to check whether the unequal involvement in household chores between men and women is associated with increased WFC in women and men, interpreting the results also from the knowledge that arise from gender studies. A correlational study was carried out by means a questionnaire applied to 515 subjects (63% men) of two independent samples of Spanish men and women without emotional relationship, who lived with their heterosexual partner. As expected, results firstly show unequal involvement in household chores by women and men as it is higher in women that in men, and the perception of partner involvement is lower in women that in men. Secondly, those unequal involvements relate differently to men and women on different ways of work-family interaction. They do not increase WFC in women comparing to men, although there are tangentially significant differences in work conflict (WC) and statistically significant in family conflict (FC). However, perception of partner involvement on household chores increases WFC both in men and in women but not WC nor FC. Nevertheless, increase on marital conflict (MC) by domestic tasks neither affect in a significant way WFC in women nor in men, but increase WC in both women and men and FC only in women. Results also confirm that subject involvement on household chores is not a significant predictor of WFC in women nor in men, and that MC by domestic tasks is a statistically significant predictor in women of WFC and FC, but not in men. Thus, results show that traditional gender roles still affect the way men and women manage the work and family interaction, although the increased WFC due to involvement in housework is not exclusive to women, but also occurs in men. Personal and institutional recommendations are made on the basis of these results to cope with these conflicts.","author":[{"dropping-particle":"","family":"Cerrato","given":"Javier","non-dropping-particle":"","parse-names":false,"suffix":""},{"dropping-particle":"","family":"Cifre","given":"Eva","non-dropping-particle":"","parse-names":false,"suffix":""}],"container-title":"Frontiers in Psychology","id":"ITEM-1","issue":"AUG","issued":{"date-parts":[["2018","8","3"]]},"page":"1330","publisher":"Frontiers Media S.A.","title":"Gender inequality in household chores and work-family conflict","type":"article-journal","volume":"9"},"uris":["http://www.mendeley.com/documents/?uuid=1eaf90e9-900d-35ec-a415-4f2633c6f0f0"]},{"id":"ITEM-2","itemData":{"ISSN":"1939845X","abstract":"This study was designed to investigate experiences of maintaining and dropping out of a gym-based exercise programme. Interviews were carried out with 14 people, aged 19–32 years, comprising seven ...","author":[{"dropping-particle":"","family":"Pridgeon","given":"Lisa","non-dropping-particle":"","parse-names":false,"suffix":""},{"dropping-particle":"","family":"Grogan","given":"Sarah","non-dropping-particle":"","parse-names":false,"suffix":""}],"container-title":"http://dx.doi.org/10.1080/2159676X.2012.712984","id":"ITEM-2","issue":"3","issued":{"date-parts":[["2012"]]},"page":"382-399","publisher":"Routledge","title":"Understanding exercise adherence and dropout: an interpretative phenomenological analysis of men and women’s accounts of gym attendance and non-attendance","type":"article-journal","volume":"4"},"uris":["http://www.mendeley.com/documents/?uuid=86b78207-f694-34a6-a0d9-88e36ed4401c"]},{"id":"ITEM-3","itemData":{"URL":"https://www.medicalnewstoday.com/articles/psychological-effects-of-gender-inequality#statistics","accessed":{"date-parts":[["2021","11","18"]]},"author":[{"dropping-particle":"","family":"Leonard","given":"Jayne","non-dropping-particle":"","parse-names":false,"suffix":""}],"id":"ITEM-3","issued":{"date-parts":[["2021"]]},"title":"What are the psychological effects of gender inequality?","type":"webpage"},"uris":["http://www.mendeley.com/documents/?uuid=1408b4cc-56f3-3b87-bcfd-e76bbf895068"]}],"mendeley":{"formattedCitation":"(Pridgeon and Grogan, 2012; Cerrato and Cifre, 2018; Leonard, 2021)","plainTextFormattedCitation":"(Pridgeon and Grogan, 2012; Cerrato and Cifre, 2018; Leonard, 2021)","previouslyFormattedCitation":"(Pridgeon and Grogan, 2012; Cerrato and Cifre, 2018; Leonard, 2021)"},"properties":{"noteIndex":0},"schema":"https://github.com/citation-style-language/schema/raw/master/csl-citation.json"}</w:instrText>
      </w:r>
      <w:r w:rsidR="005C02C7">
        <w:rPr>
          <w:sz w:val="24"/>
          <w:szCs w:val="24"/>
        </w:rPr>
        <w:fldChar w:fldCharType="separate"/>
      </w:r>
      <w:r w:rsidR="005C02C7" w:rsidRPr="005C02C7">
        <w:rPr>
          <w:noProof/>
          <w:sz w:val="24"/>
          <w:szCs w:val="24"/>
        </w:rPr>
        <w:t>(Pridgeon and Grogan, 2012; Cerrato and Cifre, 2018; Leonard, 2021)</w:t>
      </w:r>
      <w:r w:rsidR="005C02C7">
        <w:rPr>
          <w:sz w:val="24"/>
          <w:szCs w:val="24"/>
        </w:rPr>
        <w:fldChar w:fldCharType="end"/>
      </w:r>
      <w:r w:rsidR="005C02C7">
        <w:rPr>
          <w:sz w:val="24"/>
          <w:szCs w:val="24"/>
        </w:rPr>
        <w:t>.</w:t>
      </w:r>
      <w:r w:rsidR="00A33221">
        <w:rPr>
          <w:sz w:val="24"/>
          <w:szCs w:val="24"/>
        </w:rPr>
        <w:t xml:space="preserve"> </w:t>
      </w:r>
      <w:r w:rsidR="00CC02BE">
        <w:rPr>
          <w:sz w:val="24"/>
          <w:szCs w:val="24"/>
        </w:rPr>
        <w:t xml:space="preserve">The inequality of </w:t>
      </w:r>
      <w:r w:rsidR="00A0249E">
        <w:rPr>
          <w:sz w:val="24"/>
          <w:szCs w:val="24"/>
        </w:rPr>
        <w:t xml:space="preserve">adolescent </w:t>
      </w:r>
      <w:r w:rsidR="00CC02BE">
        <w:rPr>
          <w:sz w:val="24"/>
          <w:szCs w:val="24"/>
        </w:rPr>
        <w:t xml:space="preserve">women’s lives </w:t>
      </w:r>
      <w:r w:rsidR="00A0249E">
        <w:rPr>
          <w:sz w:val="24"/>
          <w:szCs w:val="24"/>
        </w:rPr>
        <w:t xml:space="preserve">around the world is starting to be addressed however, </w:t>
      </w:r>
      <w:r w:rsidR="009A270D">
        <w:rPr>
          <w:sz w:val="24"/>
          <w:szCs w:val="24"/>
        </w:rPr>
        <w:t>it is still a prevalent issue that effects man</w:t>
      </w:r>
      <w:r w:rsidR="00420D2E">
        <w:rPr>
          <w:sz w:val="24"/>
          <w:szCs w:val="24"/>
        </w:rPr>
        <w:t>y</w:t>
      </w:r>
      <w:r w:rsidR="009A270D">
        <w:rPr>
          <w:sz w:val="24"/>
          <w:szCs w:val="24"/>
        </w:rPr>
        <w:t xml:space="preserve"> women </w:t>
      </w:r>
      <w:r w:rsidR="009A270D">
        <w:rPr>
          <w:sz w:val="24"/>
          <w:szCs w:val="24"/>
        </w:rPr>
        <w:lastRenderedPageBreak/>
        <w:t>in multiple countries</w:t>
      </w:r>
      <w:r w:rsidR="00420D2E">
        <w:rPr>
          <w:sz w:val="24"/>
          <w:szCs w:val="24"/>
        </w:rPr>
        <w:t xml:space="preserve">, from little to no education to </w:t>
      </w:r>
      <w:r w:rsidR="009265C0">
        <w:rPr>
          <w:sz w:val="24"/>
          <w:szCs w:val="24"/>
        </w:rPr>
        <w:t xml:space="preserve">child marriages and </w:t>
      </w:r>
      <w:r w:rsidR="00155993">
        <w:rPr>
          <w:sz w:val="24"/>
          <w:szCs w:val="24"/>
        </w:rPr>
        <w:t xml:space="preserve">physical abuse </w:t>
      </w:r>
      <w:r w:rsidR="008D2191">
        <w:rPr>
          <w:sz w:val="24"/>
          <w:szCs w:val="24"/>
        </w:rPr>
        <w:fldChar w:fldCharType="begin" w:fldLock="1"/>
      </w:r>
      <w:r w:rsidR="00CE488B">
        <w:rPr>
          <w:sz w:val="24"/>
          <w:szCs w:val="24"/>
        </w:rPr>
        <w:instrText>ADDIN CSL_CITATION {"citationItems":[{"id":"ITEM-1","itemData":{"ISSN":"2214109X","PMID":"33091371","abstract":"Background: By adulthood, gender inequalities in health and wellbeing are apparent. Yet, the timing and nature of gender inequalities during childhood and adolescence are less clear. We describe the emergence of gender inequalities in health and wellbeing across the first two decades of life. Methods: We focused on the 40 low-income and middle-income countries in Asia and the Pacific. A measurement framework was developed around four key domains of wellbeing across the first two decades: health, education and transition to employment, protection, and a safe environment. Specific measurement constructs were then defined by considering gender indicator frameworks, the Sustainable Development Goals, indicator frameworks for child and adolescent health and wellbeing, and key stakeholder input. Available data were then mapped to define 87 indicators, subsequently populated using databases (UN agencies and the Global Burden of Diseases, Injuries, and Risk Factors Study) and nationally representative surveys. Where possible, estimates in girls were compared with boys to report relative risks. Findings: Although son preference is evident in some settings—as shown by higher than expected male-to-female sex ratios at birth in India, Vietnam, and China (all &gt;1·10 compared with an expected ratio of 1·05) and excess mortality of girl children in some South Asian and Pacific nations—it is during early adolescence where marked gender inequalities consistently emerged. Adolescent girls face considerable disadvantage in relation to sexual and reproductive health (notably in South Asia and the Pacific), with high rates of child marriage (≥30% of women aged 20–24 years married before 18 years in Bangladesh, Nepal, and Afghanistan), fertility (≥65 livebirths per 1000 girls in Nauru, Laos, Afghanistan, Nepal, Marshall Islands, Bangladesh, Vanuatu, and Papua New Guinea), and intimate partner violence (&gt;20% in Timor Leste, Afghanistan, Pakistan, and Myanmar). Despite educational parity in many countries, females aged 15–24 years were less likely than males to be in education, employment, or training in 17 of 19 countries for which data were available. Compared with girls, adolescent boys experienced excess all-cause mortality and substantially higher mortality due to unintentional injury, interpersonal violence, alcohol and other drugs, and suicide, and higher prevalence of harmful drinking and tobacco smoking. Interpretation: These findings call for a focus on gender policy …","author":[{"dropping-particle":"","family":"Kennedy","given":"Elissa","non-dropping-particle":"","parse-names":false,"suffix":""},{"dropping-particle":"","family":"Binder","given":"Gerda","non-dropping-particle":"","parse-names":false,"suffix":""},{"dropping-particle":"","family":"Humphries-Waa","given":"Karen","non-dropping-particle":"","parse-names":false,"suffix":""},{"dropping-particle":"","family":"Tidhar","given":"Tom","non-dropping-particle":"","parse-names":false,"suffix":""},{"dropping-particle":"","family":"Cini","given":"Karly","non-dropping-particle":"","parse-names":false,"suffix":""},{"dropping-particle":"","family":"Comrie-Thomson","given":"Liz","non-dropping-particle":"","parse-names":false,"suffix":""},{"dropping-particle":"","family":"Vaughan","given":"Cathy","non-dropping-particle":"","parse-names":false,"suffix":""},{"dropping-particle":"","family":"Francis","given":"Kate","non-dropping-particle":"","parse-names":false,"suffix":""},{"dropping-particle":"","family":"Scott","given":"Nick","non-dropping-particle":"","parse-names":false,"suffix":""},{"dropping-particle":"","family":"Wulan","given":"Nisaa","non-dropping-particle":"","parse-names":false,"suffix":""},{"dropping-particle":"","family":"Patton","given":"George","non-dropping-particle":"","parse-names":false,"suffix":""},{"dropping-particle":"","family":"Azzopardi","given":"Peter","non-dropping-particle":"","parse-names":false,"suffix":""}],"container-title":"The Lancet Global Health","id":"ITEM-1","issue":"12","issued":{"date-parts":[["2020","12","1"]]},"page":"e1473-e1488","publisher":"Elsevier Ltd","title":"Gender inequalities in health and wellbeing across the first two decades of life: an analysis of 40 low-income and middle-income countries in the Asia-Pacific region","type":"article-journal","volume":"8"},"uris":["http://www.mendeley.com/documents/?uuid=dd20ba5c-f0ab-38ad-b6d8-0cf26cb56b37"]},{"id":"ITEM-2","itemData":{"ISBN":"9781315708379","abstract":"This chapter discusses that one take stock of impressive successes and set out continuing challenges, what one call the &amp;quot;second generation&amp;quot; of girl's education issues. girl's education has been recognized as a global priority and incorporated into development targets, which has rallied governments, NGOs, foundations, and international organizations. Global policy priorities in girl's education largely focus on equal access to primary education, which has indeed become a success story. Although girl's education has been prioritized as a universal concern, there are major differences in progress among regions and populations. One have laid out a framework of second-generation challenges facing girls today: hotspot regions where girls still cannot access primary education; extremely disadvantaged poor and rural girls who lag behind; unsafe environments that threaten millions of schoolgirls; low-quality learning opportunities; and compromised opportunities to transition to higher education and secure jobs.","author":[{"dropping-particle":"","family":"Winthrop","given":"Rebecca","non-dropping-particle":"","parse-names":false,"suffix":""},{"dropping-particle":"","family":"McGivney","given":"Eileen","non-dropping-particle":"","parse-names":false,"suffix":""}],"container-title":"Women and Girls Rising","edition":"1st","id":"ITEM-2","issued":{"date-parts":[["2015","6","19"]]},"number-of-pages":"287-296","publisher":"Routledge","title":"Raising the global ambition for girls’ education","type":"book"},"uris":["http://www.mendeley.com/documents/?uuid=30acd9ad-5518-325c-83fe-d25407dd5ec2"]}],"mendeley":{"formattedCitation":"(Winthrop and McGivney, 2015; Kennedy &lt;i&gt;et al.&lt;/i&gt;, 2020)","plainTextFormattedCitation":"(Winthrop and McGivney, 2015; Kennedy et al., 2020)","previouslyFormattedCitation":"(Winthrop and McGivney, 2015; Kennedy &lt;i&gt;et al.&lt;/i&gt;, 2020)"},"properties":{"noteIndex":0},"schema":"https://github.com/citation-style-language/schema/raw/master/csl-citation.json"}</w:instrText>
      </w:r>
      <w:r w:rsidR="008D2191">
        <w:rPr>
          <w:sz w:val="24"/>
          <w:szCs w:val="24"/>
        </w:rPr>
        <w:fldChar w:fldCharType="separate"/>
      </w:r>
      <w:r w:rsidR="008D2191" w:rsidRPr="008D2191">
        <w:rPr>
          <w:noProof/>
          <w:sz w:val="24"/>
          <w:szCs w:val="24"/>
        </w:rPr>
        <w:t xml:space="preserve">(Winthrop and McGivney, 2015; Kennedy </w:t>
      </w:r>
      <w:r w:rsidR="008D2191" w:rsidRPr="008D2191">
        <w:rPr>
          <w:i/>
          <w:noProof/>
          <w:sz w:val="24"/>
          <w:szCs w:val="24"/>
        </w:rPr>
        <w:t>et al.</w:t>
      </w:r>
      <w:r w:rsidR="008D2191" w:rsidRPr="008D2191">
        <w:rPr>
          <w:noProof/>
          <w:sz w:val="24"/>
          <w:szCs w:val="24"/>
        </w:rPr>
        <w:t>, 2020)</w:t>
      </w:r>
      <w:r w:rsidR="008D2191">
        <w:rPr>
          <w:sz w:val="24"/>
          <w:szCs w:val="24"/>
        </w:rPr>
        <w:fldChar w:fldCharType="end"/>
      </w:r>
      <w:r w:rsidR="008D2191">
        <w:rPr>
          <w:sz w:val="24"/>
          <w:szCs w:val="24"/>
        </w:rPr>
        <w:t>.</w:t>
      </w:r>
      <w:r w:rsidR="00B378E2">
        <w:rPr>
          <w:sz w:val="24"/>
          <w:szCs w:val="24"/>
        </w:rPr>
        <w:t xml:space="preserve"> Although this review discussed many areas of gender inequality issues, </w:t>
      </w:r>
      <w:r w:rsidR="00E31B45">
        <w:rPr>
          <w:sz w:val="24"/>
          <w:szCs w:val="24"/>
        </w:rPr>
        <w:t>there are a wide variety of issues that were not able to be covered within this paper</w:t>
      </w:r>
      <w:r w:rsidR="0065480A">
        <w:rPr>
          <w:sz w:val="24"/>
          <w:szCs w:val="24"/>
        </w:rPr>
        <w:t xml:space="preserve"> due to time restraints</w:t>
      </w:r>
      <w:r w:rsidR="00C810A0">
        <w:rPr>
          <w:sz w:val="24"/>
          <w:szCs w:val="24"/>
        </w:rPr>
        <w:t xml:space="preserve">. The issues that were discussed still require </w:t>
      </w:r>
      <w:r w:rsidR="00C176F3">
        <w:rPr>
          <w:sz w:val="24"/>
          <w:szCs w:val="24"/>
        </w:rPr>
        <w:t xml:space="preserve">more action worldwide </w:t>
      </w:r>
      <w:proofErr w:type="gramStart"/>
      <w:r w:rsidR="00C176F3">
        <w:rPr>
          <w:sz w:val="24"/>
          <w:szCs w:val="24"/>
        </w:rPr>
        <w:t>in order to</w:t>
      </w:r>
      <w:proofErr w:type="gramEnd"/>
      <w:r w:rsidR="00C176F3">
        <w:rPr>
          <w:sz w:val="24"/>
          <w:szCs w:val="24"/>
        </w:rPr>
        <w:t xml:space="preserve"> see an improvement</w:t>
      </w:r>
      <w:r w:rsidR="00EC7F45">
        <w:rPr>
          <w:sz w:val="24"/>
          <w:szCs w:val="24"/>
        </w:rPr>
        <w:t>.</w:t>
      </w:r>
      <w:r w:rsidR="00C176F3">
        <w:rPr>
          <w:sz w:val="24"/>
          <w:szCs w:val="24"/>
        </w:rPr>
        <w:t xml:space="preserve"> </w:t>
      </w:r>
      <w:r w:rsidR="00EC7F45">
        <w:rPr>
          <w:sz w:val="24"/>
          <w:szCs w:val="24"/>
        </w:rPr>
        <w:t>It is</w:t>
      </w:r>
      <w:r w:rsidR="00CA0A11">
        <w:rPr>
          <w:sz w:val="24"/>
          <w:szCs w:val="24"/>
        </w:rPr>
        <w:t xml:space="preserve"> therefore suggested that</w:t>
      </w:r>
      <w:r w:rsidR="00C176F3">
        <w:rPr>
          <w:sz w:val="24"/>
          <w:szCs w:val="24"/>
        </w:rPr>
        <w:t xml:space="preserve"> further research is needed in all </w:t>
      </w:r>
      <w:r w:rsidR="00212D10">
        <w:rPr>
          <w:sz w:val="24"/>
          <w:szCs w:val="24"/>
        </w:rPr>
        <w:t>gender inequality areas</w:t>
      </w:r>
      <w:r w:rsidR="00C176F3">
        <w:rPr>
          <w:sz w:val="24"/>
          <w:szCs w:val="24"/>
        </w:rPr>
        <w:t xml:space="preserve"> to force a change</w:t>
      </w:r>
      <w:r w:rsidR="00474E1D">
        <w:rPr>
          <w:sz w:val="24"/>
          <w:szCs w:val="24"/>
        </w:rPr>
        <w:t xml:space="preserve"> and lessen</w:t>
      </w:r>
      <w:r w:rsidR="005B239B">
        <w:rPr>
          <w:sz w:val="24"/>
          <w:szCs w:val="24"/>
        </w:rPr>
        <w:t>,</w:t>
      </w:r>
      <w:r w:rsidR="00474E1D">
        <w:rPr>
          <w:sz w:val="24"/>
          <w:szCs w:val="24"/>
        </w:rPr>
        <w:t xml:space="preserve"> and hopefully eventually remove</w:t>
      </w:r>
      <w:r w:rsidR="005B239B">
        <w:rPr>
          <w:sz w:val="24"/>
          <w:szCs w:val="24"/>
        </w:rPr>
        <w:t xml:space="preserve">, </w:t>
      </w:r>
      <w:r w:rsidR="00474E1D">
        <w:rPr>
          <w:sz w:val="24"/>
          <w:szCs w:val="24"/>
        </w:rPr>
        <w:t xml:space="preserve">the </w:t>
      </w:r>
      <w:r w:rsidR="008448A0">
        <w:rPr>
          <w:sz w:val="24"/>
          <w:szCs w:val="24"/>
        </w:rPr>
        <w:t xml:space="preserve">negative </w:t>
      </w:r>
      <w:r w:rsidR="00474E1D">
        <w:rPr>
          <w:sz w:val="24"/>
          <w:szCs w:val="24"/>
        </w:rPr>
        <w:t>impact of gender inequality</w:t>
      </w:r>
      <w:r w:rsidR="00824063">
        <w:rPr>
          <w:sz w:val="24"/>
          <w:szCs w:val="24"/>
        </w:rPr>
        <w:t>.</w:t>
      </w:r>
      <w:r w:rsidR="007B793B">
        <w:rPr>
          <w:sz w:val="24"/>
          <w:szCs w:val="24"/>
        </w:rPr>
        <w:br w:type="page"/>
      </w:r>
    </w:p>
    <w:p w14:paraId="59231D34" w14:textId="70B02025" w:rsidR="007B793B" w:rsidRDefault="007B793B" w:rsidP="00337E26">
      <w:pPr>
        <w:rPr>
          <w:sz w:val="28"/>
          <w:szCs w:val="28"/>
        </w:rPr>
      </w:pPr>
      <w:r>
        <w:rPr>
          <w:sz w:val="28"/>
          <w:szCs w:val="28"/>
        </w:rPr>
        <w:lastRenderedPageBreak/>
        <w:t>References:</w:t>
      </w:r>
    </w:p>
    <w:p w14:paraId="11E07C8A" w14:textId="77777777" w:rsidR="007B793B" w:rsidRPr="00B56E6C" w:rsidRDefault="007B793B" w:rsidP="00337E26">
      <w:pPr>
        <w:rPr>
          <w:sz w:val="24"/>
          <w:szCs w:val="24"/>
        </w:rPr>
      </w:pPr>
    </w:p>
    <w:p w14:paraId="15F0C95C" w14:textId="69DB2A48" w:rsidR="0077061E" w:rsidRDefault="00B56E6C" w:rsidP="0077061E">
      <w:pPr>
        <w:widowControl w:val="0"/>
        <w:autoSpaceDE w:val="0"/>
        <w:autoSpaceDN w:val="0"/>
        <w:adjustRightInd w:val="0"/>
        <w:rPr>
          <w:noProof/>
          <w:sz w:val="24"/>
          <w:szCs w:val="24"/>
        </w:rPr>
      </w:pPr>
      <w:r w:rsidRPr="00B56E6C">
        <w:rPr>
          <w:sz w:val="24"/>
          <w:szCs w:val="24"/>
        </w:rPr>
        <w:fldChar w:fldCharType="begin" w:fldLock="1"/>
      </w:r>
      <w:r w:rsidRPr="00B56E6C">
        <w:rPr>
          <w:sz w:val="24"/>
          <w:szCs w:val="24"/>
        </w:rPr>
        <w:instrText xml:space="preserve">ADDIN Mendeley Bibliography CSL_BIBLIOGRAPHY </w:instrText>
      </w:r>
      <w:r w:rsidRPr="00B56E6C">
        <w:rPr>
          <w:sz w:val="24"/>
          <w:szCs w:val="24"/>
        </w:rPr>
        <w:fldChar w:fldCharType="separate"/>
      </w:r>
      <w:r w:rsidR="0077061E" w:rsidRPr="0077061E">
        <w:rPr>
          <w:noProof/>
          <w:sz w:val="24"/>
          <w:szCs w:val="24"/>
        </w:rPr>
        <w:t xml:space="preserve">Amlung, M. and Mackillop, J. (2014) ‘Understanding the Effects of Stress and Alcohol Cues on Motivation for Alcohol via Behavioral Economics’, </w:t>
      </w:r>
      <w:r w:rsidR="0077061E" w:rsidRPr="0077061E">
        <w:rPr>
          <w:i/>
          <w:iCs/>
          <w:noProof/>
          <w:sz w:val="24"/>
          <w:szCs w:val="24"/>
        </w:rPr>
        <w:t>Alcoholism: Clinical and Experimental Research</w:t>
      </w:r>
      <w:r w:rsidR="0077061E" w:rsidRPr="0077061E">
        <w:rPr>
          <w:noProof/>
          <w:sz w:val="24"/>
          <w:szCs w:val="24"/>
        </w:rPr>
        <w:t>, 38(6), pp. 1780–1789.</w:t>
      </w:r>
    </w:p>
    <w:p w14:paraId="79C2D5EF" w14:textId="77777777" w:rsidR="007B56E2" w:rsidRPr="0077061E" w:rsidRDefault="007B56E2" w:rsidP="0077061E">
      <w:pPr>
        <w:widowControl w:val="0"/>
        <w:autoSpaceDE w:val="0"/>
        <w:autoSpaceDN w:val="0"/>
        <w:adjustRightInd w:val="0"/>
        <w:rPr>
          <w:noProof/>
          <w:sz w:val="24"/>
          <w:szCs w:val="24"/>
        </w:rPr>
      </w:pPr>
    </w:p>
    <w:p w14:paraId="516999A6"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Andreasson, J. and Johansson, T. (2014) ‘The Fitness Revolution. Historical Transformations in the Global Gym and Fitness Culture’, </w:t>
      </w:r>
      <w:r w:rsidRPr="0077061E">
        <w:rPr>
          <w:i/>
          <w:iCs/>
          <w:noProof/>
          <w:sz w:val="24"/>
          <w:szCs w:val="24"/>
        </w:rPr>
        <w:t>Sport Science Review</w:t>
      </w:r>
      <w:r w:rsidRPr="0077061E">
        <w:rPr>
          <w:noProof/>
          <w:sz w:val="24"/>
          <w:szCs w:val="24"/>
        </w:rPr>
        <w:t>, 23(3–4).</w:t>
      </w:r>
    </w:p>
    <w:p w14:paraId="2A7CFBCD" w14:textId="77777777" w:rsidR="007B56E2" w:rsidRPr="0077061E" w:rsidRDefault="007B56E2" w:rsidP="0077061E">
      <w:pPr>
        <w:widowControl w:val="0"/>
        <w:autoSpaceDE w:val="0"/>
        <w:autoSpaceDN w:val="0"/>
        <w:adjustRightInd w:val="0"/>
        <w:rPr>
          <w:noProof/>
          <w:sz w:val="24"/>
          <w:szCs w:val="24"/>
        </w:rPr>
      </w:pPr>
    </w:p>
    <w:p w14:paraId="5B385D3B"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Andrews, R. (2018) </w:t>
      </w:r>
      <w:r w:rsidRPr="0077061E">
        <w:rPr>
          <w:i/>
          <w:iCs/>
          <w:noProof/>
          <w:sz w:val="24"/>
          <w:szCs w:val="24"/>
        </w:rPr>
        <w:t>Women’s sports popularity is growing, according to Nielsen study - Global Sport Matters</w:t>
      </w:r>
      <w:r w:rsidRPr="0077061E">
        <w:rPr>
          <w:noProof/>
          <w:sz w:val="24"/>
          <w:szCs w:val="24"/>
        </w:rPr>
        <w:t>. Available at: https://globalsportmatters.com/business/2018/11/13/womens-sports-popularity-is-growing-according-to-nielsen/ (Accessed: 18 November 2021).</w:t>
      </w:r>
    </w:p>
    <w:p w14:paraId="55A4A748" w14:textId="77777777" w:rsidR="007B56E2" w:rsidRPr="0077061E" w:rsidRDefault="007B56E2" w:rsidP="0077061E">
      <w:pPr>
        <w:widowControl w:val="0"/>
        <w:autoSpaceDE w:val="0"/>
        <w:autoSpaceDN w:val="0"/>
        <w:adjustRightInd w:val="0"/>
        <w:rPr>
          <w:noProof/>
          <w:sz w:val="24"/>
          <w:szCs w:val="24"/>
        </w:rPr>
      </w:pPr>
    </w:p>
    <w:p w14:paraId="1C5D77CD"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Barr, T., Helms, C., Grant, K. and Messaoudi, I. (2016) ‘Opposing effects of alcohol on the immune system’, </w:t>
      </w:r>
      <w:r w:rsidRPr="0077061E">
        <w:rPr>
          <w:i/>
          <w:iCs/>
          <w:noProof/>
          <w:sz w:val="24"/>
          <w:szCs w:val="24"/>
        </w:rPr>
        <w:t>Progress in Neuro-Psychopharmacology and Biological Psychiatry</w:t>
      </w:r>
      <w:r w:rsidRPr="0077061E">
        <w:rPr>
          <w:noProof/>
          <w:sz w:val="24"/>
          <w:szCs w:val="24"/>
        </w:rPr>
        <w:t>, 65, pp. 242–251.</w:t>
      </w:r>
    </w:p>
    <w:p w14:paraId="5ACCC6F9" w14:textId="77777777" w:rsidR="007B56E2" w:rsidRPr="0077061E" w:rsidRDefault="007B56E2" w:rsidP="0077061E">
      <w:pPr>
        <w:widowControl w:val="0"/>
        <w:autoSpaceDE w:val="0"/>
        <w:autoSpaceDN w:val="0"/>
        <w:adjustRightInd w:val="0"/>
        <w:rPr>
          <w:noProof/>
          <w:sz w:val="24"/>
          <w:szCs w:val="24"/>
        </w:rPr>
      </w:pPr>
    </w:p>
    <w:p w14:paraId="48C9C55E"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Beham, B., Drobnič, S., Präg, P., Baierl, A. and Eckner, J. (2018) ‘Part-time work and gender inequality in Europe: a comparative analysis of satisfaction with work–life balance’, </w:t>
      </w:r>
      <w:r w:rsidRPr="0077061E">
        <w:rPr>
          <w:i/>
          <w:iCs/>
          <w:noProof/>
          <w:sz w:val="24"/>
          <w:szCs w:val="24"/>
        </w:rPr>
        <w:t>https://doi.org/10.1080/14616696.2018.1473627</w:t>
      </w:r>
      <w:r w:rsidRPr="0077061E">
        <w:rPr>
          <w:noProof/>
          <w:sz w:val="24"/>
          <w:szCs w:val="24"/>
        </w:rPr>
        <w:t>, 21(3), pp. 378–402.</w:t>
      </w:r>
    </w:p>
    <w:p w14:paraId="229400FF" w14:textId="77777777" w:rsidR="007B56E2" w:rsidRPr="0077061E" w:rsidRDefault="007B56E2" w:rsidP="0077061E">
      <w:pPr>
        <w:widowControl w:val="0"/>
        <w:autoSpaceDE w:val="0"/>
        <w:autoSpaceDN w:val="0"/>
        <w:adjustRightInd w:val="0"/>
        <w:rPr>
          <w:noProof/>
          <w:sz w:val="24"/>
          <w:szCs w:val="24"/>
        </w:rPr>
      </w:pPr>
    </w:p>
    <w:p w14:paraId="7FA59570"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Brand, J. E. (2015) ‘The Far-Reaching Impact of Job Loss and Unemployment’, </w:t>
      </w:r>
      <w:r w:rsidRPr="0077061E">
        <w:rPr>
          <w:i/>
          <w:iCs/>
          <w:noProof/>
          <w:sz w:val="24"/>
          <w:szCs w:val="24"/>
        </w:rPr>
        <w:t>https://doi.org/10.1146/annurev-soc-071913-043237</w:t>
      </w:r>
      <w:r w:rsidRPr="0077061E">
        <w:rPr>
          <w:noProof/>
          <w:sz w:val="24"/>
          <w:szCs w:val="24"/>
        </w:rPr>
        <w:t>, 41, pp. 359–375.</w:t>
      </w:r>
    </w:p>
    <w:p w14:paraId="7A03B837" w14:textId="77777777" w:rsidR="007B56E2" w:rsidRPr="0077061E" w:rsidRDefault="007B56E2" w:rsidP="0077061E">
      <w:pPr>
        <w:widowControl w:val="0"/>
        <w:autoSpaceDE w:val="0"/>
        <w:autoSpaceDN w:val="0"/>
        <w:adjustRightInd w:val="0"/>
        <w:rPr>
          <w:noProof/>
          <w:sz w:val="24"/>
          <w:szCs w:val="24"/>
        </w:rPr>
      </w:pPr>
    </w:p>
    <w:p w14:paraId="0E62F848"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Cerrato, J. and Cifre, E. (2018) ‘Gender inequality in household chores and work-family conflict’, </w:t>
      </w:r>
      <w:r w:rsidRPr="0077061E">
        <w:rPr>
          <w:i/>
          <w:iCs/>
          <w:noProof/>
          <w:sz w:val="24"/>
          <w:szCs w:val="24"/>
        </w:rPr>
        <w:t>Frontiers in Psychology</w:t>
      </w:r>
      <w:r w:rsidRPr="0077061E">
        <w:rPr>
          <w:noProof/>
          <w:sz w:val="24"/>
          <w:szCs w:val="24"/>
        </w:rPr>
        <w:t>, 9(AUG), p. 1330.</w:t>
      </w:r>
    </w:p>
    <w:p w14:paraId="6BA367C0" w14:textId="77777777" w:rsidR="007B56E2" w:rsidRPr="0077061E" w:rsidRDefault="007B56E2" w:rsidP="0077061E">
      <w:pPr>
        <w:widowControl w:val="0"/>
        <w:autoSpaceDE w:val="0"/>
        <w:autoSpaceDN w:val="0"/>
        <w:adjustRightInd w:val="0"/>
        <w:rPr>
          <w:noProof/>
          <w:sz w:val="24"/>
          <w:szCs w:val="24"/>
        </w:rPr>
      </w:pPr>
    </w:p>
    <w:p w14:paraId="05DB88C0"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Clark, A. (2017) ‘Exploring Women’s Embodied Experiences of “The Gaze” in a Mix-Gendered UK Gym’, </w:t>
      </w:r>
      <w:r w:rsidRPr="0077061E">
        <w:rPr>
          <w:i/>
          <w:iCs/>
          <w:noProof/>
          <w:sz w:val="24"/>
          <w:szCs w:val="24"/>
        </w:rPr>
        <w:t>Societies 2018, Vol. 8, Page 2</w:t>
      </w:r>
      <w:r w:rsidRPr="0077061E">
        <w:rPr>
          <w:noProof/>
          <w:sz w:val="24"/>
          <w:szCs w:val="24"/>
        </w:rPr>
        <w:t>, 8(1), p. 2.</w:t>
      </w:r>
    </w:p>
    <w:p w14:paraId="2B745814" w14:textId="77777777" w:rsidR="007B56E2" w:rsidRPr="0077061E" w:rsidRDefault="007B56E2" w:rsidP="0077061E">
      <w:pPr>
        <w:widowControl w:val="0"/>
        <w:autoSpaceDE w:val="0"/>
        <w:autoSpaceDN w:val="0"/>
        <w:adjustRightInd w:val="0"/>
        <w:rPr>
          <w:noProof/>
          <w:sz w:val="24"/>
          <w:szCs w:val="24"/>
        </w:rPr>
      </w:pPr>
    </w:p>
    <w:p w14:paraId="5219CFC4"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Dhabhar, F. S. (2014) ‘Effects of stress on immune function: the good, the bad, and the beautiful’, </w:t>
      </w:r>
      <w:r w:rsidRPr="0077061E">
        <w:rPr>
          <w:i/>
          <w:iCs/>
          <w:noProof/>
          <w:sz w:val="24"/>
          <w:szCs w:val="24"/>
        </w:rPr>
        <w:t>Immunologic Research 2014 58:2</w:t>
      </w:r>
      <w:r w:rsidRPr="0077061E">
        <w:rPr>
          <w:noProof/>
          <w:sz w:val="24"/>
          <w:szCs w:val="24"/>
        </w:rPr>
        <w:t>, 58(2), pp. 193–210.</w:t>
      </w:r>
    </w:p>
    <w:p w14:paraId="74C45134" w14:textId="77777777" w:rsidR="007B56E2" w:rsidRPr="0077061E" w:rsidRDefault="007B56E2" w:rsidP="0077061E">
      <w:pPr>
        <w:widowControl w:val="0"/>
        <w:autoSpaceDE w:val="0"/>
        <w:autoSpaceDN w:val="0"/>
        <w:adjustRightInd w:val="0"/>
        <w:rPr>
          <w:noProof/>
          <w:sz w:val="24"/>
          <w:szCs w:val="24"/>
        </w:rPr>
      </w:pPr>
    </w:p>
    <w:p w14:paraId="43447DE0"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Eek, F. and Axmon, A. (2015) ‘Gender inequality at home is associated with poorer health for women’, </w:t>
      </w:r>
      <w:r w:rsidRPr="0077061E">
        <w:rPr>
          <w:i/>
          <w:iCs/>
          <w:noProof/>
          <w:sz w:val="24"/>
          <w:szCs w:val="24"/>
        </w:rPr>
        <w:t>Scandinavian Journal of Public Health</w:t>
      </w:r>
      <w:r w:rsidRPr="0077061E">
        <w:rPr>
          <w:noProof/>
          <w:sz w:val="24"/>
          <w:szCs w:val="24"/>
        </w:rPr>
        <w:t>, 43(2), pp. 176–182.</w:t>
      </w:r>
    </w:p>
    <w:p w14:paraId="123E1EA9" w14:textId="77777777" w:rsidR="007B56E2" w:rsidRPr="0077061E" w:rsidRDefault="007B56E2" w:rsidP="0077061E">
      <w:pPr>
        <w:widowControl w:val="0"/>
        <w:autoSpaceDE w:val="0"/>
        <w:autoSpaceDN w:val="0"/>
        <w:adjustRightInd w:val="0"/>
        <w:rPr>
          <w:noProof/>
          <w:sz w:val="24"/>
          <w:szCs w:val="24"/>
        </w:rPr>
      </w:pPr>
    </w:p>
    <w:p w14:paraId="359DD4E4"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Faragher, E. B., Cass, M. and Cooper, C. L. (2013) ‘The Relationship between Job Satisfaction and Health: A Meta-Analysis’, </w:t>
      </w:r>
      <w:r w:rsidRPr="0077061E">
        <w:rPr>
          <w:i/>
          <w:iCs/>
          <w:noProof/>
          <w:sz w:val="24"/>
          <w:szCs w:val="24"/>
        </w:rPr>
        <w:t>From Stress to Wellbeing Volume 1</w:t>
      </w:r>
      <w:r w:rsidRPr="0077061E">
        <w:rPr>
          <w:noProof/>
          <w:sz w:val="24"/>
          <w:szCs w:val="24"/>
        </w:rPr>
        <w:t>, pp. 254–271.</w:t>
      </w:r>
    </w:p>
    <w:p w14:paraId="349C40DC" w14:textId="77777777" w:rsidR="007B56E2" w:rsidRPr="0077061E" w:rsidRDefault="007B56E2" w:rsidP="0077061E">
      <w:pPr>
        <w:widowControl w:val="0"/>
        <w:autoSpaceDE w:val="0"/>
        <w:autoSpaceDN w:val="0"/>
        <w:adjustRightInd w:val="0"/>
        <w:rPr>
          <w:noProof/>
          <w:sz w:val="24"/>
          <w:szCs w:val="24"/>
        </w:rPr>
      </w:pPr>
    </w:p>
    <w:p w14:paraId="02FCF27E"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Farre, L., Fawaz, Y., Gonzalez, L. and Graves, J. (2020) ‘How the Covid-19 Lockdown Affected Gender Inequality in Paid and Unpaid Work in Spain’, </w:t>
      </w:r>
      <w:r w:rsidRPr="0077061E">
        <w:rPr>
          <w:i/>
          <w:iCs/>
          <w:noProof/>
          <w:sz w:val="24"/>
          <w:szCs w:val="24"/>
        </w:rPr>
        <w:t>SSRN Electronic Journal</w:t>
      </w:r>
      <w:r w:rsidRPr="0077061E">
        <w:rPr>
          <w:noProof/>
          <w:sz w:val="24"/>
          <w:szCs w:val="24"/>
        </w:rPr>
        <w:t>.</w:t>
      </w:r>
    </w:p>
    <w:p w14:paraId="312F31C2" w14:textId="77777777" w:rsidR="007B56E2" w:rsidRPr="0077061E" w:rsidRDefault="007B56E2" w:rsidP="0077061E">
      <w:pPr>
        <w:widowControl w:val="0"/>
        <w:autoSpaceDE w:val="0"/>
        <w:autoSpaceDN w:val="0"/>
        <w:adjustRightInd w:val="0"/>
        <w:rPr>
          <w:noProof/>
          <w:sz w:val="24"/>
          <w:szCs w:val="24"/>
        </w:rPr>
      </w:pPr>
    </w:p>
    <w:p w14:paraId="3CEF8013"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Froehlicher, M., Griek, L., Nematzadeh, A., Hall, L. and Stovall, N. (2021) </w:t>
      </w:r>
      <w:r w:rsidRPr="0077061E">
        <w:rPr>
          <w:i/>
          <w:iCs/>
          <w:noProof/>
          <w:sz w:val="24"/>
          <w:szCs w:val="24"/>
        </w:rPr>
        <w:t>Gender equality in the workplace: going beyond women on the board | S&amp;P Global</w:t>
      </w:r>
      <w:r w:rsidRPr="0077061E">
        <w:rPr>
          <w:noProof/>
          <w:sz w:val="24"/>
          <w:szCs w:val="24"/>
        </w:rPr>
        <w:t>. Available at: https://www.spglobal.com/esg/csa/yearbook/articles/gender-equality-workplace-going-beyond-women-on-the-board (Accessed: 18 November 2021).</w:t>
      </w:r>
    </w:p>
    <w:p w14:paraId="312DBE3D" w14:textId="77777777" w:rsidR="007B56E2" w:rsidRPr="0077061E" w:rsidRDefault="007B56E2" w:rsidP="0077061E">
      <w:pPr>
        <w:widowControl w:val="0"/>
        <w:autoSpaceDE w:val="0"/>
        <w:autoSpaceDN w:val="0"/>
        <w:adjustRightInd w:val="0"/>
        <w:rPr>
          <w:noProof/>
          <w:sz w:val="24"/>
          <w:szCs w:val="24"/>
        </w:rPr>
      </w:pPr>
    </w:p>
    <w:p w14:paraId="4B112A80" w14:textId="77777777" w:rsidR="0077061E" w:rsidRDefault="0077061E" w:rsidP="0077061E">
      <w:pPr>
        <w:widowControl w:val="0"/>
        <w:autoSpaceDE w:val="0"/>
        <w:autoSpaceDN w:val="0"/>
        <w:adjustRightInd w:val="0"/>
        <w:rPr>
          <w:noProof/>
          <w:sz w:val="24"/>
          <w:szCs w:val="24"/>
        </w:rPr>
      </w:pPr>
      <w:r w:rsidRPr="0077061E">
        <w:rPr>
          <w:noProof/>
          <w:sz w:val="24"/>
          <w:szCs w:val="24"/>
        </w:rPr>
        <w:t>Galama, T. J., Lleras-Muney, A. and Kippersluis, H. van (2018) ‘The Effect of Education on Health and Mortality: A Review of Experimental and Quasi-Experimental Evidence.’ doi: 10.3386/W24225.</w:t>
      </w:r>
    </w:p>
    <w:p w14:paraId="577BA1DD" w14:textId="77777777" w:rsidR="007B56E2" w:rsidRPr="0077061E" w:rsidRDefault="007B56E2" w:rsidP="0077061E">
      <w:pPr>
        <w:widowControl w:val="0"/>
        <w:autoSpaceDE w:val="0"/>
        <w:autoSpaceDN w:val="0"/>
        <w:adjustRightInd w:val="0"/>
        <w:rPr>
          <w:noProof/>
          <w:sz w:val="24"/>
          <w:szCs w:val="24"/>
        </w:rPr>
      </w:pPr>
    </w:p>
    <w:p w14:paraId="6C9859EC"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Gallo, W. T., Bradley, E. H., Falba, T. A., Dubin, J. A., Cramer, L. D., Bogardus, S. T. and Kasl, S. V. (2004) ‘Involuntary job loss as a risk factor for subsequent myocardial infarction and stroke: Findings from The Health and Retirement Survey’, </w:t>
      </w:r>
      <w:r w:rsidRPr="0077061E">
        <w:rPr>
          <w:i/>
          <w:iCs/>
          <w:noProof/>
          <w:sz w:val="24"/>
          <w:szCs w:val="24"/>
        </w:rPr>
        <w:t>American Journal of Industrial Medicine</w:t>
      </w:r>
      <w:r w:rsidRPr="0077061E">
        <w:rPr>
          <w:noProof/>
          <w:sz w:val="24"/>
          <w:szCs w:val="24"/>
        </w:rPr>
        <w:t>, 45(5), pp. 408–416.</w:t>
      </w:r>
    </w:p>
    <w:p w14:paraId="64D90365" w14:textId="77777777" w:rsidR="007B56E2" w:rsidRPr="0077061E" w:rsidRDefault="007B56E2" w:rsidP="0077061E">
      <w:pPr>
        <w:widowControl w:val="0"/>
        <w:autoSpaceDE w:val="0"/>
        <w:autoSpaceDN w:val="0"/>
        <w:adjustRightInd w:val="0"/>
        <w:rPr>
          <w:noProof/>
          <w:sz w:val="24"/>
          <w:szCs w:val="24"/>
        </w:rPr>
      </w:pPr>
    </w:p>
    <w:p w14:paraId="2BBEA261"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Kennedy, E., Binder, G., Humphries-Waa, K., Tidhar, T., Cini, K., Comrie-Thomson, L., Vaughan, C., Francis, K., Scott, N., Wulan, N., Patton, G. and Azzopardi, P. (2020) ‘Gender inequalities in health and wellbeing across the first two decades of life: an analysis of 40 low-income and middle-income countries in the Asia-Pacific region’, </w:t>
      </w:r>
      <w:r w:rsidRPr="0077061E">
        <w:rPr>
          <w:i/>
          <w:iCs/>
          <w:noProof/>
          <w:sz w:val="24"/>
          <w:szCs w:val="24"/>
        </w:rPr>
        <w:t>The Lancet Global Health</w:t>
      </w:r>
      <w:r w:rsidRPr="0077061E">
        <w:rPr>
          <w:noProof/>
          <w:sz w:val="24"/>
          <w:szCs w:val="24"/>
        </w:rPr>
        <w:t>, 8(12), pp. e1473–e1488.</w:t>
      </w:r>
    </w:p>
    <w:p w14:paraId="4202AF67" w14:textId="77777777" w:rsidR="007B56E2" w:rsidRPr="0077061E" w:rsidRDefault="007B56E2" w:rsidP="0077061E">
      <w:pPr>
        <w:widowControl w:val="0"/>
        <w:autoSpaceDE w:val="0"/>
        <w:autoSpaceDN w:val="0"/>
        <w:adjustRightInd w:val="0"/>
        <w:rPr>
          <w:noProof/>
          <w:sz w:val="24"/>
          <w:szCs w:val="24"/>
        </w:rPr>
      </w:pPr>
    </w:p>
    <w:p w14:paraId="4B682F97"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Kenschaft, L., Clark, R. and Ciambrone, D. (2015) ‘Gender inequality in our changing world: A comparative approach’, </w:t>
      </w:r>
      <w:r w:rsidRPr="0077061E">
        <w:rPr>
          <w:i/>
          <w:iCs/>
          <w:noProof/>
          <w:sz w:val="24"/>
          <w:szCs w:val="24"/>
        </w:rPr>
        <w:t>Gender Inequality in Our Changing World: A Comparative Approach</w:t>
      </w:r>
      <w:r w:rsidRPr="0077061E">
        <w:rPr>
          <w:noProof/>
          <w:sz w:val="24"/>
          <w:szCs w:val="24"/>
        </w:rPr>
        <w:t>, pp. 1–450.</w:t>
      </w:r>
    </w:p>
    <w:p w14:paraId="04DB402C" w14:textId="77777777" w:rsidR="007B56E2" w:rsidRPr="0077061E" w:rsidRDefault="007B56E2" w:rsidP="0077061E">
      <w:pPr>
        <w:widowControl w:val="0"/>
        <w:autoSpaceDE w:val="0"/>
        <w:autoSpaceDN w:val="0"/>
        <w:adjustRightInd w:val="0"/>
        <w:rPr>
          <w:noProof/>
          <w:sz w:val="24"/>
          <w:szCs w:val="24"/>
        </w:rPr>
      </w:pPr>
    </w:p>
    <w:p w14:paraId="76F69137" w14:textId="77777777" w:rsidR="0077061E" w:rsidRDefault="0077061E" w:rsidP="0077061E">
      <w:pPr>
        <w:widowControl w:val="0"/>
        <w:autoSpaceDE w:val="0"/>
        <w:autoSpaceDN w:val="0"/>
        <w:adjustRightInd w:val="0"/>
        <w:rPr>
          <w:noProof/>
          <w:sz w:val="24"/>
          <w:szCs w:val="24"/>
        </w:rPr>
      </w:pPr>
      <w:r w:rsidRPr="0077061E">
        <w:rPr>
          <w:noProof/>
          <w:sz w:val="24"/>
          <w:szCs w:val="24"/>
        </w:rPr>
        <w:lastRenderedPageBreak/>
        <w:t xml:space="preserve">Landini, P. (2018) </w:t>
      </w:r>
      <w:r w:rsidRPr="0077061E">
        <w:rPr>
          <w:i/>
          <w:iCs/>
          <w:noProof/>
          <w:sz w:val="24"/>
          <w:szCs w:val="24"/>
        </w:rPr>
        <w:t>Toxic gym culture is all around you, and ultimately staff should set the tone - The Globe and Mail</w:t>
      </w:r>
      <w:r w:rsidRPr="0077061E">
        <w:rPr>
          <w:noProof/>
          <w:sz w:val="24"/>
          <w:szCs w:val="24"/>
        </w:rPr>
        <w:t>. Available at: https://www.theglobeandmail.com/life/health-and-fitness/article-toxic-gym-culture-is-all-around-you-and-ultimately-staff-should-set/ (Accessed: 18 November 2021).</w:t>
      </w:r>
    </w:p>
    <w:p w14:paraId="3EA1E8C7" w14:textId="77777777" w:rsidR="007B56E2" w:rsidRPr="0077061E" w:rsidRDefault="007B56E2" w:rsidP="0077061E">
      <w:pPr>
        <w:widowControl w:val="0"/>
        <w:autoSpaceDE w:val="0"/>
        <w:autoSpaceDN w:val="0"/>
        <w:adjustRightInd w:val="0"/>
        <w:rPr>
          <w:noProof/>
          <w:sz w:val="24"/>
          <w:szCs w:val="24"/>
        </w:rPr>
      </w:pPr>
    </w:p>
    <w:p w14:paraId="6C2DD141"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Leonard, J. (2021) </w:t>
      </w:r>
      <w:r w:rsidRPr="0077061E">
        <w:rPr>
          <w:i/>
          <w:iCs/>
          <w:noProof/>
          <w:sz w:val="24"/>
          <w:szCs w:val="24"/>
        </w:rPr>
        <w:t>What are the psychological effects of gender inequality?</w:t>
      </w:r>
      <w:r w:rsidRPr="0077061E">
        <w:rPr>
          <w:noProof/>
          <w:sz w:val="24"/>
          <w:szCs w:val="24"/>
        </w:rPr>
        <w:t xml:space="preserve"> Available at: https://www.medicalnewstoday.com/articles/psychological-effects-of-gender-inequality#statistics (Accessed: 18 November 2021).</w:t>
      </w:r>
    </w:p>
    <w:p w14:paraId="1CFA4898" w14:textId="77777777" w:rsidR="007B56E2" w:rsidRPr="0077061E" w:rsidRDefault="007B56E2" w:rsidP="0077061E">
      <w:pPr>
        <w:widowControl w:val="0"/>
        <w:autoSpaceDE w:val="0"/>
        <w:autoSpaceDN w:val="0"/>
        <w:adjustRightInd w:val="0"/>
        <w:rPr>
          <w:noProof/>
          <w:sz w:val="24"/>
          <w:szCs w:val="24"/>
        </w:rPr>
      </w:pPr>
    </w:p>
    <w:p w14:paraId="34C1A892"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Mak, V. W. M. and Chan, C. K. Y. (2018) ‘Effects of cognitive-behavioural therapy (CBT) and positive psychological intervention (PPI) on female offenders with psychological distress in Hong Kong’, </w:t>
      </w:r>
      <w:r w:rsidRPr="0077061E">
        <w:rPr>
          <w:i/>
          <w:iCs/>
          <w:noProof/>
          <w:sz w:val="24"/>
          <w:szCs w:val="24"/>
        </w:rPr>
        <w:t>Criminal Behaviour and Mental Health</w:t>
      </w:r>
      <w:r w:rsidRPr="0077061E">
        <w:rPr>
          <w:noProof/>
          <w:sz w:val="24"/>
          <w:szCs w:val="24"/>
        </w:rPr>
        <w:t>, 28(2), pp. 158–173.</w:t>
      </w:r>
    </w:p>
    <w:p w14:paraId="7D8EB8C7" w14:textId="77777777" w:rsidR="007B56E2" w:rsidRPr="0077061E" w:rsidRDefault="007B56E2" w:rsidP="0077061E">
      <w:pPr>
        <w:widowControl w:val="0"/>
        <w:autoSpaceDE w:val="0"/>
        <w:autoSpaceDN w:val="0"/>
        <w:adjustRightInd w:val="0"/>
        <w:rPr>
          <w:noProof/>
          <w:sz w:val="24"/>
          <w:szCs w:val="24"/>
        </w:rPr>
      </w:pPr>
    </w:p>
    <w:p w14:paraId="046CA98E"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Parsons, J. L., Coen, S. E. and Bekker, S. (2021) ‘Anterior cruciate ligament injury: towards a gendered environmental approach’, </w:t>
      </w:r>
      <w:r w:rsidRPr="0077061E">
        <w:rPr>
          <w:i/>
          <w:iCs/>
          <w:noProof/>
          <w:sz w:val="24"/>
          <w:szCs w:val="24"/>
        </w:rPr>
        <w:t>British Journal of Sports Medicine</w:t>
      </w:r>
      <w:r w:rsidRPr="0077061E">
        <w:rPr>
          <w:noProof/>
          <w:sz w:val="24"/>
          <w:szCs w:val="24"/>
        </w:rPr>
        <w:t>, 55(17), pp. 984–990.</w:t>
      </w:r>
    </w:p>
    <w:p w14:paraId="0E78EAA1" w14:textId="77777777" w:rsidR="007B56E2" w:rsidRPr="0077061E" w:rsidRDefault="007B56E2" w:rsidP="0077061E">
      <w:pPr>
        <w:widowControl w:val="0"/>
        <w:autoSpaceDE w:val="0"/>
        <w:autoSpaceDN w:val="0"/>
        <w:adjustRightInd w:val="0"/>
        <w:rPr>
          <w:noProof/>
          <w:sz w:val="24"/>
          <w:szCs w:val="24"/>
        </w:rPr>
      </w:pPr>
    </w:p>
    <w:p w14:paraId="57B16F1F"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Pridgeon, L. and Grogan, S. (2012) ‘Understanding exercise adherence and dropout: an interpretative phenomenological analysis of men and women’s accounts of gym attendance and non-attendance’, </w:t>
      </w:r>
      <w:r w:rsidRPr="0077061E">
        <w:rPr>
          <w:i/>
          <w:iCs/>
          <w:noProof/>
          <w:sz w:val="24"/>
          <w:szCs w:val="24"/>
        </w:rPr>
        <w:t>http://dx.doi.org/10.1080/2159676X.2012.712984</w:t>
      </w:r>
      <w:r w:rsidRPr="0077061E">
        <w:rPr>
          <w:noProof/>
          <w:sz w:val="24"/>
          <w:szCs w:val="24"/>
        </w:rPr>
        <w:t>, 4(3), pp. 382–399.</w:t>
      </w:r>
    </w:p>
    <w:p w14:paraId="28FA7ADC" w14:textId="77777777" w:rsidR="007B56E2" w:rsidRPr="0077061E" w:rsidRDefault="007B56E2" w:rsidP="0077061E">
      <w:pPr>
        <w:widowControl w:val="0"/>
        <w:autoSpaceDE w:val="0"/>
        <w:autoSpaceDN w:val="0"/>
        <w:adjustRightInd w:val="0"/>
        <w:rPr>
          <w:noProof/>
          <w:sz w:val="24"/>
          <w:szCs w:val="24"/>
        </w:rPr>
      </w:pPr>
    </w:p>
    <w:p w14:paraId="4D00DD7D"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Salvatore, J. and Marecek, J. (2010) ‘Gender in the Gym: Evaluation Concerns as Barriers to Women’s Weight Lifting’, </w:t>
      </w:r>
      <w:r w:rsidRPr="0077061E">
        <w:rPr>
          <w:i/>
          <w:iCs/>
          <w:noProof/>
          <w:sz w:val="24"/>
          <w:szCs w:val="24"/>
        </w:rPr>
        <w:t>Sex Roles 2010 63:7</w:t>
      </w:r>
      <w:r w:rsidRPr="0077061E">
        <w:rPr>
          <w:noProof/>
          <w:sz w:val="24"/>
          <w:szCs w:val="24"/>
        </w:rPr>
        <w:t>, 63(7), pp. 556–567.</w:t>
      </w:r>
    </w:p>
    <w:p w14:paraId="616F1C9D" w14:textId="77777777" w:rsidR="007B56E2" w:rsidRPr="0077061E" w:rsidRDefault="007B56E2" w:rsidP="0077061E">
      <w:pPr>
        <w:widowControl w:val="0"/>
        <w:autoSpaceDE w:val="0"/>
        <w:autoSpaceDN w:val="0"/>
        <w:adjustRightInd w:val="0"/>
        <w:rPr>
          <w:noProof/>
          <w:sz w:val="24"/>
          <w:szCs w:val="24"/>
        </w:rPr>
      </w:pPr>
    </w:p>
    <w:p w14:paraId="353DED76"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Stults-Kolehmainen, M. A. and Sinha, R. (2014) ‘The effects of stress on physical activity and exercise’, </w:t>
      </w:r>
      <w:r w:rsidRPr="0077061E">
        <w:rPr>
          <w:i/>
          <w:iCs/>
          <w:noProof/>
          <w:sz w:val="24"/>
          <w:szCs w:val="24"/>
        </w:rPr>
        <w:t>Sports Medicine</w:t>
      </w:r>
      <w:r w:rsidRPr="0077061E">
        <w:rPr>
          <w:noProof/>
          <w:sz w:val="24"/>
          <w:szCs w:val="24"/>
        </w:rPr>
        <w:t>. Springer, pp. 81–121.</w:t>
      </w:r>
    </w:p>
    <w:p w14:paraId="4A0419BF" w14:textId="77777777" w:rsidR="007B56E2" w:rsidRPr="0077061E" w:rsidRDefault="007B56E2" w:rsidP="0077061E">
      <w:pPr>
        <w:widowControl w:val="0"/>
        <w:autoSpaceDE w:val="0"/>
        <w:autoSpaceDN w:val="0"/>
        <w:adjustRightInd w:val="0"/>
        <w:rPr>
          <w:noProof/>
          <w:sz w:val="24"/>
          <w:szCs w:val="24"/>
        </w:rPr>
      </w:pPr>
    </w:p>
    <w:p w14:paraId="23CB94AC"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Warburton, D. E. R. and Bredin, S. S. D. (2019) ‘Health Benefits of Physical Activity: A Strengths-Based Approach’, </w:t>
      </w:r>
      <w:r w:rsidRPr="0077061E">
        <w:rPr>
          <w:i/>
          <w:iCs/>
          <w:noProof/>
          <w:sz w:val="24"/>
          <w:szCs w:val="24"/>
        </w:rPr>
        <w:t>Journal of Clinical Medicine 2019, Vol. 8, Page 2044</w:t>
      </w:r>
      <w:r w:rsidRPr="0077061E">
        <w:rPr>
          <w:noProof/>
          <w:sz w:val="24"/>
          <w:szCs w:val="24"/>
        </w:rPr>
        <w:t>, 8(12), p. 2044.</w:t>
      </w:r>
    </w:p>
    <w:p w14:paraId="6967B428" w14:textId="77777777" w:rsidR="007B56E2" w:rsidRPr="0077061E" w:rsidRDefault="007B56E2" w:rsidP="0077061E">
      <w:pPr>
        <w:widowControl w:val="0"/>
        <w:autoSpaceDE w:val="0"/>
        <w:autoSpaceDN w:val="0"/>
        <w:adjustRightInd w:val="0"/>
        <w:rPr>
          <w:noProof/>
          <w:sz w:val="24"/>
          <w:szCs w:val="24"/>
        </w:rPr>
      </w:pPr>
    </w:p>
    <w:p w14:paraId="541344ED" w14:textId="77777777" w:rsidR="0077061E" w:rsidRPr="0077061E" w:rsidRDefault="0077061E" w:rsidP="0077061E">
      <w:pPr>
        <w:widowControl w:val="0"/>
        <w:autoSpaceDE w:val="0"/>
        <w:autoSpaceDN w:val="0"/>
        <w:adjustRightInd w:val="0"/>
        <w:rPr>
          <w:noProof/>
          <w:sz w:val="24"/>
          <w:szCs w:val="24"/>
        </w:rPr>
      </w:pPr>
      <w:r w:rsidRPr="0077061E">
        <w:rPr>
          <w:noProof/>
          <w:sz w:val="24"/>
          <w:szCs w:val="24"/>
        </w:rPr>
        <w:t xml:space="preserve">Williams, E. M. P., Petrie, F. J., Pennington, T. N., Powell, D. R. L., Arora, H., Mackintosh, K. A. and Greybe, D. G. (2021) ‘Sex differences in neck strength and head impact kinematics in university rugby union players’, </w:t>
      </w:r>
      <w:r w:rsidRPr="0077061E">
        <w:rPr>
          <w:i/>
          <w:iCs/>
          <w:noProof/>
          <w:sz w:val="24"/>
          <w:szCs w:val="24"/>
        </w:rPr>
        <w:t>https://doi.org/10.1080/17461391.2021.1973573</w:t>
      </w:r>
      <w:r w:rsidRPr="0077061E">
        <w:rPr>
          <w:noProof/>
          <w:sz w:val="24"/>
          <w:szCs w:val="24"/>
        </w:rPr>
        <w:t>, pp. 1–10.</w:t>
      </w:r>
    </w:p>
    <w:p w14:paraId="02482C04" w14:textId="77777777" w:rsidR="0077061E" w:rsidRDefault="0077061E" w:rsidP="0077061E">
      <w:pPr>
        <w:widowControl w:val="0"/>
        <w:autoSpaceDE w:val="0"/>
        <w:autoSpaceDN w:val="0"/>
        <w:adjustRightInd w:val="0"/>
        <w:rPr>
          <w:noProof/>
          <w:sz w:val="24"/>
          <w:szCs w:val="24"/>
        </w:rPr>
      </w:pPr>
      <w:r w:rsidRPr="0077061E">
        <w:rPr>
          <w:noProof/>
          <w:sz w:val="24"/>
          <w:szCs w:val="24"/>
        </w:rPr>
        <w:t xml:space="preserve">Winthrop, R. and McGivney, E. (2015) </w:t>
      </w:r>
      <w:r w:rsidRPr="0077061E">
        <w:rPr>
          <w:i/>
          <w:iCs/>
          <w:noProof/>
          <w:sz w:val="24"/>
          <w:szCs w:val="24"/>
        </w:rPr>
        <w:t>Raising the global ambition for girls’ education</w:t>
      </w:r>
      <w:r w:rsidRPr="0077061E">
        <w:rPr>
          <w:noProof/>
          <w:sz w:val="24"/>
          <w:szCs w:val="24"/>
        </w:rPr>
        <w:t xml:space="preserve">. 1st edn, </w:t>
      </w:r>
      <w:r w:rsidRPr="0077061E">
        <w:rPr>
          <w:i/>
          <w:iCs/>
          <w:noProof/>
          <w:sz w:val="24"/>
          <w:szCs w:val="24"/>
        </w:rPr>
        <w:t>Women and Girls Rising</w:t>
      </w:r>
      <w:r w:rsidRPr="0077061E">
        <w:rPr>
          <w:noProof/>
          <w:sz w:val="24"/>
          <w:szCs w:val="24"/>
        </w:rPr>
        <w:t>. 1st edn. Routledge.</w:t>
      </w:r>
    </w:p>
    <w:p w14:paraId="5FB4E7BF" w14:textId="77777777" w:rsidR="007B56E2" w:rsidRPr="0077061E" w:rsidRDefault="007B56E2" w:rsidP="0077061E">
      <w:pPr>
        <w:widowControl w:val="0"/>
        <w:autoSpaceDE w:val="0"/>
        <w:autoSpaceDN w:val="0"/>
        <w:adjustRightInd w:val="0"/>
        <w:rPr>
          <w:noProof/>
          <w:sz w:val="24"/>
          <w:szCs w:val="24"/>
        </w:rPr>
      </w:pPr>
    </w:p>
    <w:p w14:paraId="25CD48DB" w14:textId="77777777" w:rsidR="0077061E" w:rsidRPr="0077061E" w:rsidRDefault="0077061E" w:rsidP="0077061E">
      <w:pPr>
        <w:widowControl w:val="0"/>
        <w:autoSpaceDE w:val="0"/>
        <w:autoSpaceDN w:val="0"/>
        <w:adjustRightInd w:val="0"/>
        <w:rPr>
          <w:noProof/>
          <w:sz w:val="24"/>
        </w:rPr>
      </w:pPr>
      <w:r w:rsidRPr="0077061E">
        <w:rPr>
          <w:noProof/>
          <w:sz w:val="24"/>
          <w:szCs w:val="24"/>
        </w:rPr>
        <w:t xml:space="preserve">Women’s Sport Trust (2021) </w:t>
      </w:r>
      <w:r w:rsidRPr="0077061E">
        <w:rPr>
          <w:i/>
          <w:iCs/>
          <w:noProof/>
          <w:sz w:val="24"/>
          <w:szCs w:val="24"/>
        </w:rPr>
        <w:t>Closing the Visibility Gap Growing the Value of Women’s Sports Through the Impact of Visibility</w:t>
      </w:r>
      <w:r w:rsidRPr="0077061E">
        <w:rPr>
          <w:noProof/>
          <w:sz w:val="24"/>
          <w:szCs w:val="24"/>
        </w:rPr>
        <w:t>. Available at: https://www.womenssporttrust.com/closing-the-visibility-gap/ (Accessed: 18 November 2021).</w:t>
      </w:r>
    </w:p>
    <w:p w14:paraId="5ADF4EF2" w14:textId="5683C102" w:rsidR="00B56E6C" w:rsidRDefault="00B56E6C" w:rsidP="00337E26">
      <w:pPr>
        <w:rPr>
          <w:sz w:val="24"/>
          <w:szCs w:val="24"/>
        </w:rPr>
      </w:pPr>
      <w:r w:rsidRPr="00B56E6C">
        <w:rPr>
          <w:sz w:val="24"/>
          <w:szCs w:val="24"/>
        </w:rPr>
        <w:fldChar w:fldCharType="end"/>
      </w:r>
    </w:p>
    <w:p w14:paraId="59DEE8A5" w14:textId="3390DBD9" w:rsidR="00B665F1" w:rsidRPr="006B5505" w:rsidRDefault="00B665F1" w:rsidP="00337E26">
      <w:pPr>
        <w:rPr>
          <w:color w:val="FFFFFF" w:themeColor="background1"/>
          <w:sz w:val="28"/>
          <w:szCs w:val="28"/>
        </w:rPr>
      </w:pPr>
    </w:p>
    <w:sectPr w:rsidR="00B665F1" w:rsidRPr="006B550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D95D0" w14:textId="77777777" w:rsidR="004B65DB" w:rsidRDefault="004B65DB">
      <w:r>
        <w:separator/>
      </w:r>
    </w:p>
  </w:endnote>
  <w:endnote w:type="continuationSeparator" w:id="0">
    <w:p w14:paraId="5175E48F" w14:textId="77777777" w:rsidR="004B65DB" w:rsidRDefault="004B6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9C90" w14:textId="77777777" w:rsidR="00152E9D" w:rsidRDefault="008523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45110CA" w14:textId="77777777" w:rsidR="00152E9D" w:rsidRDefault="007B56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76910" w14:textId="77777777" w:rsidR="004B65DB" w:rsidRDefault="004B65DB">
      <w:r>
        <w:separator/>
      </w:r>
    </w:p>
  </w:footnote>
  <w:footnote w:type="continuationSeparator" w:id="0">
    <w:p w14:paraId="101B655C" w14:textId="77777777" w:rsidR="004B65DB" w:rsidRDefault="004B65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57E7E"/>
    <w:multiLevelType w:val="multilevel"/>
    <w:tmpl w:val="1C3A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755613"/>
    <w:multiLevelType w:val="hybridMultilevel"/>
    <w:tmpl w:val="95F2E152"/>
    <w:lvl w:ilvl="0" w:tplc="5C56B9F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97"/>
    <w:rsid w:val="00001EA7"/>
    <w:rsid w:val="00003E46"/>
    <w:rsid w:val="0000512D"/>
    <w:rsid w:val="000169EA"/>
    <w:rsid w:val="0002012B"/>
    <w:rsid w:val="000206B6"/>
    <w:rsid w:val="00021187"/>
    <w:rsid w:val="00021321"/>
    <w:rsid w:val="00027C1B"/>
    <w:rsid w:val="0003295F"/>
    <w:rsid w:val="00043EA5"/>
    <w:rsid w:val="000522E3"/>
    <w:rsid w:val="00057922"/>
    <w:rsid w:val="000624C4"/>
    <w:rsid w:val="00063350"/>
    <w:rsid w:val="0006388F"/>
    <w:rsid w:val="000665A0"/>
    <w:rsid w:val="00071715"/>
    <w:rsid w:val="00073AE9"/>
    <w:rsid w:val="00073FBB"/>
    <w:rsid w:val="0007551A"/>
    <w:rsid w:val="000755BD"/>
    <w:rsid w:val="00075DB9"/>
    <w:rsid w:val="00081054"/>
    <w:rsid w:val="00086334"/>
    <w:rsid w:val="0008659C"/>
    <w:rsid w:val="0009091C"/>
    <w:rsid w:val="000979A1"/>
    <w:rsid w:val="000A4198"/>
    <w:rsid w:val="000A7A02"/>
    <w:rsid w:val="000A7C16"/>
    <w:rsid w:val="000B2531"/>
    <w:rsid w:val="000B523D"/>
    <w:rsid w:val="000B6584"/>
    <w:rsid w:val="000C6662"/>
    <w:rsid w:val="000C7C3B"/>
    <w:rsid w:val="000E1991"/>
    <w:rsid w:val="000E5DF8"/>
    <w:rsid w:val="000E6C88"/>
    <w:rsid w:val="000F3625"/>
    <w:rsid w:val="001005C1"/>
    <w:rsid w:val="00100CFD"/>
    <w:rsid w:val="001064AC"/>
    <w:rsid w:val="00116B20"/>
    <w:rsid w:val="00120614"/>
    <w:rsid w:val="001228B6"/>
    <w:rsid w:val="00143912"/>
    <w:rsid w:val="001451F2"/>
    <w:rsid w:val="00155993"/>
    <w:rsid w:val="00164E96"/>
    <w:rsid w:val="0016534C"/>
    <w:rsid w:val="00165761"/>
    <w:rsid w:val="001714A9"/>
    <w:rsid w:val="001718C9"/>
    <w:rsid w:val="00171D3E"/>
    <w:rsid w:val="001744E5"/>
    <w:rsid w:val="00182E07"/>
    <w:rsid w:val="001919AB"/>
    <w:rsid w:val="00193187"/>
    <w:rsid w:val="001A158A"/>
    <w:rsid w:val="001A2CA9"/>
    <w:rsid w:val="001B0393"/>
    <w:rsid w:val="001C388F"/>
    <w:rsid w:val="001C48E4"/>
    <w:rsid w:val="001C67C5"/>
    <w:rsid w:val="001D270C"/>
    <w:rsid w:val="001D2FBE"/>
    <w:rsid w:val="001D35C0"/>
    <w:rsid w:val="001E198D"/>
    <w:rsid w:val="001E206F"/>
    <w:rsid w:val="001E28EA"/>
    <w:rsid w:val="001F192F"/>
    <w:rsid w:val="001F6F19"/>
    <w:rsid w:val="00200E62"/>
    <w:rsid w:val="00212D10"/>
    <w:rsid w:val="00214EA7"/>
    <w:rsid w:val="00215CA2"/>
    <w:rsid w:val="002227F2"/>
    <w:rsid w:val="002268E1"/>
    <w:rsid w:val="00234D4E"/>
    <w:rsid w:val="00235B88"/>
    <w:rsid w:val="00240D57"/>
    <w:rsid w:val="00240FE6"/>
    <w:rsid w:val="00242DDE"/>
    <w:rsid w:val="0025206B"/>
    <w:rsid w:val="0025523A"/>
    <w:rsid w:val="0026311C"/>
    <w:rsid w:val="002702ED"/>
    <w:rsid w:val="002762F9"/>
    <w:rsid w:val="00276A3B"/>
    <w:rsid w:val="00276D45"/>
    <w:rsid w:val="002820F3"/>
    <w:rsid w:val="00287A93"/>
    <w:rsid w:val="002908F7"/>
    <w:rsid w:val="002935E6"/>
    <w:rsid w:val="002946DA"/>
    <w:rsid w:val="002979FC"/>
    <w:rsid w:val="002A5818"/>
    <w:rsid w:val="002A6690"/>
    <w:rsid w:val="002B0C7B"/>
    <w:rsid w:val="002B28D2"/>
    <w:rsid w:val="002B61A4"/>
    <w:rsid w:val="002B65F6"/>
    <w:rsid w:val="002B6B51"/>
    <w:rsid w:val="002B7881"/>
    <w:rsid w:val="002C42DD"/>
    <w:rsid w:val="002C638D"/>
    <w:rsid w:val="002D04E7"/>
    <w:rsid w:val="002D2B12"/>
    <w:rsid w:val="002D4AED"/>
    <w:rsid w:val="002D68EF"/>
    <w:rsid w:val="002E1A56"/>
    <w:rsid w:val="002E517E"/>
    <w:rsid w:val="002E5FE3"/>
    <w:rsid w:val="002F0D4E"/>
    <w:rsid w:val="002F1151"/>
    <w:rsid w:val="002F1CCC"/>
    <w:rsid w:val="002F4A68"/>
    <w:rsid w:val="00302CA5"/>
    <w:rsid w:val="00320FB2"/>
    <w:rsid w:val="00335B6F"/>
    <w:rsid w:val="00336EF1"/>
    <w:rsid w:val="003379A1"/>
    <w:rsid w:val="00337E26"/>
    <w:rsid w:val="00340A3F"/>
    <w:rsid w:val="00341C14"/>
    <w:rsid w:val="00343AD5"/>
    <w:rsid w:val="00344488"/>
    <w:rsid w:val="00344525"/>
    <w:rsid w:val="00352D8A"/>
    <w:rsid w:val="003639D5"/>
    <w:rsid w:val="003665E3"/>
    <w:rsid w:val="00367250"/>
    <w:rsid w:val="00367358"/>
    <w:rsid w:val="00374006"/>
    <w:rsid w:val="00384C3C"/>
    <w:rsid w:val="003939F4"/>
    <w:rsid w:val="003A51AC"/>
    <w:rsid w:val="003A7075"/>
    <w:rsid w:val="003B72F4"/>
    <w:rsid w:val="003C4AE9"/>
    <w:rsid w:val="003C5618"/>
    <w:rsid w:val="003C6189"/>
    <w:rsid w:val="003D027A"/>
    <w:rsid w:val="003D269F"/>
    <w:rsid w:val="003E1375"/>
    <w:rsid w:val="003F1C00"/>
    <w:rsid w:val="003F2444"/>
    <w:rsid w:val="003F63A7"/>
    <w:rsid w:val="0040115D"/>
    <w:rsid w:val="004020D1"/>
    <w:rsid w:val="00402B51"/>
    <w:rsid w:val="004035B4"/>
    <w:rsid w:val="0040418A"/>
    <w:rsid w:val="00405A1B"/>
    <w:rsid w:val="0040605B"/>
    <w:rsid w:val="00412325"/>
    <w:rsid w:val="00412490"/>
    <w:rsid w:val="0041441C"/>
    <w:rsid w:val="00420D2E"/>
    <w:rsid w:val="0042272B"/>
    <w:rsid w:val="004314A4"/>
    <w:rsid w:val="00433F58"/>
    <w:rsid w:val="00446E96"/>
    <w:rsid w:val="004500AB"/>
    <w:rsid w:val="00451486"/>
    <w:rsid w:val="00457E24"/>
    <w:rsid w:val="00460FA8"/>
    <w:rsid w:val="00463709"/>
    <w:rsid w:val="00465184"/>
    <w:rsid w:val="00470E0D"/>
    <w:rsid w:val="0047358B"/>
    <w:rsid w:val="004743B7"/>
    <w:rsid w:val="00474E1D"/>
    <w:rsid w:val="0048053B"/>
    <w:rsid w:val="00481275"/>
    <w:rsid w:val="00482754"/>
    <w:rsid w:val="00494C49"/>
    <w:rsid w:val="00496E23"/>
    <w:rsid w:val="004B00F7"/>
    <w:rsid w:val="004B5600"/>
    <w:rsid w:val="004B65DB"/>
    <w:rsid w:val="004C4657"/>
    <w:rsid w:val="004C6189"/>
    <w:rsid w:val="004D0E63"/>
    <w:rsid w:val="004D1C88"/>
    <w:rsid w:val="004D4AB0"/>
    <w:rsid w:val="004E6DDA"/>
    <w:rsid w:val="004F0CFA"/>
    <w:rsid w:val="004F4D99"/>
    <w:rsid w:val="004F560F"/>
    <w:rsid w:val="004F5E5A"/>
    <w:rsid w:val="004F7E2C"/>
    <w:rsid w:val="00500B7E"/>
    <w:rsid w:val="00502192"/>
    <w:rsid w:val="0050452E"/>
    <w:rsid w:val="00511383"/>
    <w:rsid w:val="00520AF1"/>
    <w:rsid w:val="00521FEB"/>
    <w:rsid w:val="005245F5"/>
    <w:rsid w:val="00527E28"/>
    <w:rsid w:val="005439EE"/>
    <w:rsid w:val="00546252"/>
    <w:rsid w:val="005556AA"/>
    <w:rsid w:val="0056499F"/>
    <w:rsid w:val="00566CD1"/>
    <w:rsid w:val="00570DC3"/>
    <w:rsid w:val="005753CA"/>
    <w:rsid w:val="00576DAA"/>
    <w:rsid w:val="0058692E"/>
    <w:rsid w:val="00592E12"/>
    <w:rsid w:val="00593454"/>
    <w:rsid w:val="005934B3"/>
    <w:rsid w:val="00593C2B"/>
    <w:rsid w:val="00595B9F"/>
    <w:rsid w:val="005962CB"/>
    <w:rsid w:val="005A0CD1"/>
    <w:rsid w:val="005A0D94"/>
    <w:rsid w:val="005A4CF5"/>
    <w:rsid w:val="005A5BE2"/>
    <w:rsid w:val="005A7D7A"/>
    <w:rsid w:val="005B239B"/>
    <w:rsid w:val="005B310C"/>
    <w:rsid w:val="005B5206"/>
    <w:rsid w:val="005B5293"/>
    <w:rsid w:val="005C02C7"/>
    <w:rsid w:val="005C58C1"/>
    <w:rsid w:val="005D29B0"/>
    <w:rsid w:val="005D69A8"/>
    <w:rsid w:val="005F0068"/>
    <w:rsid w:val="00600B1B"/>
    <w:rsid w:val="00600FED"/>
    <w:rsid w:val="006063AE"/>
    <w:rsid w:val="00611B05"/>
    <w:rsid w:val="0061366C"/>
    <w:rsid w:val="00614184"/>
    <w:rsid w:val="00615134"/>
    <w:rsid w:val="00616079"/>
    <w:rsid w:val="00621FEA"/>
    <w:rsid w:val="006228B1"/>
    <w:rsid w:val="006249EA"/>
    <w:rsid w:val="006259B9"/>
    <w:rsid w:val="00630775"/>
    <w:rsid w:val="00633B94"/>
    <w:rsid w:val="00633F0C"/>
    <w:rsid w:val="00636303"/>
    <w:rsid w:val="00636435"/>
    <w:rsid w:val="00637541"/>
    <w:rsid w:val="006522FF"/>
    <w:rsid w:val="006527A1"/>
    <w:rsid w:val="006532E0"/>
    <w:rsid w:val="0065480A"/>
    <w:rsid w:val="00657B06"/>
    <w:rsid w:val="006602A3"/>
    <w:rsid w:val="00661417"/>
    <w:rsid w:val="006671CB"/>
    <w:rsid w:val="00667462"/>
    <w:rsid w:val="00682763"/>
    <w:rsid w:val="00687641"/>
    <w:rsid w:val="006B3299"/>
    <w:rsid w:val="006B5505"/>
    <w:rsid w:val="006D5331"/>
    <w:rsid w:val="006D56B7"/>
    <w:rsid w:val="006D64AD"/>
    <w:rsid w:val="006D72B9"/>
    <w:rsid w:val="006D7CB8"/>
    <w:rsid w:val="006E7C84"/>
    <w:rsid w:val="006F02DE"/>
    <w:rsid w:val="006F0607"/>
    <w:rsid w:val="006F2DEB"/>
    <w:rsid w:val="006F5FD1"/>
    <w:rsid w:val="006F6048"/>
    <w:rsid w:val="006F7488"/>
    <w:rsid w:val="006F7D60"/>
    <w:rsid w:val="0070054C"/>
    <w:rsid w:val="00703BDA"/>
    <w:rsid w:val="0071044F"/>
    <w:rsid w:val="0071113D"/>
    <w:rsid w:val="0071467E"/>
    <w:rsid w:val="00721321"/>
    <w:rsid w:val="007215F4"/>
    <w:rsid w:val="007216EC"/>
    <w:rsid w:val="0072270D"/>
    <w:rsid w:val="007236B8"/>
    <w:rsid w:val="007410B5"/>
    <w:rsid w:val="007452C7"/>
    <w:rsid w:val="00745831"/>
    <w:rsid w:val="0074677F"/>
    <w:rsid w:val="00753B22"/>
    <w:rsid w:val="0075655E"/>
    <w:rsid w:val="00756E5C"/>
    <w:rsid w:val="00761813"/>
    <w:rsid w:val="00761D99"/>
    <w:rsid w:val="0076603D"/>
    <w:rsid w:val="007668FA"/>
    <w:rsid w:val="0077061E"/>
    <w:rsid w:val="00776BEE"/>
    <w:rsid w:val="0077717B"/>
    <w:rsid w:val="00781229"/>
    <w:rsid w:val="00781F86"/>
    <w:rsid w:val="00786A5F"/>
    <w:rsid w:val="00796E0D"/>
    <w:rsid w:val="007A5CB2"/>
    <w:rsid w:val="007B56E2"/>
    <w:rsid w:val="007B6311"/>
    <w:rsid w:val="007B793B"/>
    <w:rsid w:val="007C02CF"/>
    <w:rsid w:val="007C76F3"/>
    <w:rsid w:val="007C7C14"/>
    <w:rsid w:val="007D085B"/>
    <w:rsid w:val="007D774B"/>
    <w:rsid w:val="007E68BF"/>
    <w:rsid w:val="007E6E90"/>
    <w:rsid w:val="007F5F4A"/>
    <w:rsid w:val="00801CEF"/>
    <w:rsid w:val="00805777"/>
    <w:rsid w:val="00807410"/>
    <w:rsid w:val="0081224C"/>
    <w:rsid w:val="00817B37"/>
    <w:rsid w:val="00820D17"/>
    <w:rsid w:val="00824063"/>
    <w:rsid w:val="00826206"/>
    <w:rsid w:val="008267F7"/>
    <w:rsid w:val="00826DE7"/>
    <w:rsid w:val="00830D42"/>
    <w:rsid w:val="0083299B"/>
    <w:rsid w:val="0083335B"/>
    <w:rsid w:val="00835DCB"/>
    <w:rsid w:val="0083788A"/>
    <w:rsid w:val="008448A0"/>
    <w:rsid w:val="00844A4F"/>
    <w:rsid w:val="00844C83"/>
    <w:rsid w:val="00847352"/>
    <w:rsid w:val="00851EFD"/>
    <w:rsid w:val="00852345"/>
    <w:rsid w:val="00854034"/>
    <w:rsid w:val="0086009A"/>
    <w:rsid w:val="008601EA"/>
    <w:rsid w:val="00864BDD"/>
    <w:rsid w:val="008721B6"/>
    <w:rsid w:val="00883EB1"/>
    <w:rsid w:val="008853AE"/>
    <w:rsid w:val="008871C8"/>
    <w:rsid w:val="00892BD2"/>
    <w:rsid w:val="00893395"/>
    <w:rsid w:val="00893712"/>
    <w:rsid w:val="008A618B"/>
    <w:rsid w:val="008B233C"/>
    <w:rsid w:val="008C36BA"/>
    <w:rsid w:val="008C6A77"/>
    <w:rsid w:val="008D2191"/>
    <w:rsid w:val="008D5AF8"/>
    <w:rsid w:val="008D6457"/>
    <w:rsid w:val="008D7CFB"/>
    <w:rsid w:val="008E09A2"/>
    <w:rsid w:val="008E4BEC"/>
    <w:rsid w:val="008E6B85"/>
    <w:rsid w:val="008F3B3A"/>
    <w:rsid w:val="008F767C"/>
    <w:rsid w:val="009007B6"/>
    <w:rsid w:val="00910B31"/>
    <w:rsid w:val="00916A4A"/>
    <w:rsid w:val="00917238"/>
    <w:rsid w:val="00920086"/>
    <w:rsid w:val="0092466B"/>
    <w:rsid w:val="00924FBA"/>
    <w:rsid w:val="00925B17"/>
    <w:rsid w:val="009265C0"/>
    <w:rsid w:val="009277E9"/>
    <w:rsid w:val="0093473C"/>
    <w:rsid w:val="009426B7"/>
    <w:rsid w:val="00944F83"/>
    <w:rsid w:val="0095076A"/>
    <w:rsid w:val="009537D1"/>
    <w:rsid w:val="00954CA2"/>
    <w:rsid w:val="00966ADE"/>
    <w:rsid w:val="0097078C"/>
    <w:rsid w:val="00971BB0"/>
    <w:rsid w:val="009743A5"/>
    <w:rsid w:val="00983B20"/>
    <w:rsid w:val="00985318"/>
    <w:rsid w:val="00996E75"/>
    <w:rsid w:val="009A025B"/>
    <w:rsid w:val="009A1467"/>
    <w:rsid w:val="009A270D"/>
    <w:rsid w:val="009A2D4A"/>
    <w:rsid w:val="009A5164"/>
    <w:rsid w:val="009A7AF9"/>
    <w:rsid w:val="009B076A"/>
    <w:rsid w:val="009B0ED8"/>
    <w:rsid w:val="009B2D63"/>
    <w:rsid w:val="009B3420"/>
    <w:rsid w:val="009B3A05"/>
    <w:rsid w:val="009B5BF6"/>
    <w:rsid w:val="009C0E32"/>
    <w:rsid w:val="009C1A6A"/>
    <w:rsid w:val="009C7F44"/>
    <w:rsid w:val="009D332E"/>
    <w:rsid w:val="009D3E44"/>
    <w:rsid w:val="009D5AA9"/>
    <w:rsid w:val="009E1C75"/>
    <w:rsid w:val="009E29E3"/>
    <w:rsid w:val="009E5748"/>
    <w:rsid w:val="009E741A"/>
    <w:rsid w:val="009E7758"/>
    <w:rsid w:val="009F6EE1"/>
    <w:rsid w:val="00A0249E"/>
    <w:rsid w:val="00A037EA"/>
    <w:rsid w:val="00A05D8A"/>
    <w:rsid w:val="00A15A28"/>
    <w:rsid w:val="00A16DF1"/>
    <w:rsid w:val="00A2166C"/>
    <w:rsid w:val="00A2225D"/>
    <w:rsid w:val="00A26325"/>
    <w:rsid w:val="00A27D31"/>
    <w:rsid w:val="00A3018E"/>
    <w:rsid w:val="00A30E8B"/>
    <w:rsid w:val="00A33221"/>
    <w:rsid w:val="00A33423"/>
    <w:rsid w:val="00A4064A"/>
    <w:rsid w:val="00A51FD9"/>
    <w:rsid w:val="00A52197"/>
    <w:rsid w:val="00A532F1"/>
    <w:rsid w:val="00A569EB"/>
    <w:rsid w:val="00A61BFF"/>
    <w:rsid w:val="00A62E33"/>
    <w:rsid w:val="00A719F5"/>
    <w:rsid w:val="00A73C77"/>
    <w:rsid w:val="00A748A0"/>
    <w:rsid w:val="00A81AFA"/>
    <w:rsid w:val="00A840D0"/>
    <w:rsid w:val="00A91126"/>
    <w:rsid w:val="00A94695"/>
    <w:rsid w:val="00A95022"/>
    <w:rsid w:val="00A96495"/>
    <w:rsid w:val="00AA2AD8"/>
    <w:rsid w:val="00AA5BE7"/>
    <w:rsid w:val="00AA63F7"/>
    <w:rsid w:val="00AB0574"/>
    <w:rsid w:val="00AB34E4"/>
    <w:rsid w:val="00AC20DA"/>
    <w:rsid w:val="00AC4BCB"/>
    <w:rsid w:val="00AC4E0D"/>
    <w:rsid w:val="00AC5FF6"/>
    <w:rsid w:val="00AC7142"/>
    <w:rsid w:val="00AC735A"/>
    <w:rsid w:val="00AC7851"/>
    <w:rsid w:val="00AC7F9B"/>
    <w:rsid w:val="00AD34C8"/>
    <w:rsid w:val="00AD4561"/>
    <w:rsid w:val="00AE2CD5"/>
    <w:rsid w:val="00AE3D28"/>
    <w:rsid w:val="00AE44AE"/>
    <w:rsid w:val="00AE4C9E"/>
    <w:rsid w:val="00AE78A2"/>
    <w:rsid w:val="00AF1773"/>
    <w:rsid w:val="00AF1E07"/>
    <w:rsid w:val="00AF2056"/>
    <w:rsid w:val="00AF2890"/>
    <w:rsid w:val="00AF2D3F"/>
    <w:rsid w:val="00AF73C7"/>
    <w:rsid w:val="00AF7762"/>
    <w:rsid w:val="00B010F6"/>
    <w:rsid w:val="00B05740"/>
    <w:rsid w:val="00B07BB0"/>
    <w:rsid w:val="00B120C1"/>
    <w:rsid w:val="00B12445"/>
    <w:rsid w:val="00B15FB8"/>
    <w:rsid w:val="00B16391"/>
    <w:rsid w:val="00B16FD6"/>
    <w:rsid w:val="00B17BA5"/>
    <w:rsid w:val="00B25B33"/>
    <w:rsid w:val="00B26A6F"/>
    <w:rsid w:val="00B27C3F"/>
    <w:rsid w:val="00B31EB0"/>
    <w:rsid w:val="00B35090"/>
    <w:rsid w:val="00B378E2"/>
    <w:rsid w:val="00B4076A"/>
    <w:rsid w:val="00B45664"/>
    <w:rsid w:val="00B501C4"/>
    <w:rsid w:val="00B53B6D"/>
    <w:rsid w:val="00B56173"/>
    <w:rsid w:val="00B56E6C"/>
    <w:rsid w:val="00B57E1D"/>
    <w:rsid w:val="00B62205"/>
    <w:rsid w:val="00B64917"/>
    <w:rsid w:val="00B665F1"/>
    <w:rsid w:val="00B706F6"/>
    <w:rsid w:val="00B72D8F"/>
    <w:rsid w:val="00B73479"/>
    <w:rsid w:val="00B743BA"/>
    <w:rsid w:val="00B777AD"/>
    <w:rsid w:val="00B77A28"/>
    <w:rsid w:val="00B77CFC"/>
    <w:rsid w:val="00B80084"/>
    <w:rsid w:val="00B8668F"/>
    <w:rsid w:val="00B9486A"/>
    <w:rsid w:val="00B9579F"/>
    <w:rsid w:val="00B96A1C"/>
    <w:rsid w:val="00BB1361"/>
    <w:rsid w:val="00BB43AF"/>
    <w:rsid w:val="00BB7917"/>
    <w:rsid w:val="00BC4A30"/>
    <w:rsid w:val="00BC4EC4"/>
    <w:rsid w:val="00BC5197"/>
    <w:rsid w:val="00BD0BDF"/>
    <w:rsid w:val="00BD0D14"/>
    <w:rsid w:val="00BE2F0A"/>
    <w:rsid w:val="00BE44B7"/>
    <w:rsid w:val="00BE6A99"/>
    <w:rsid w:val="00BF6ACD"/>
    <w:rsid w:val="00C025AF"/>
    <w:rsid w:val="00C02CDE"/>
    <w:rsid w:val="00C0306B"/>
    <w:rsid w:val="00C0506F"/>
    <w:rsid w:val="00C1387B"/>
    <w:rsid w:val="00C142D9"/>
    <w:rsid w:val="00C15264"/>
    <w:rsid w:val="00C16F8A"/>
    <w:rsid w:val="00C176F3"/>
    <w:rsid w:val="00C202CC"/>
    <w:rsid w:val="00C22190"/>
    <w:rsid w:val="00C2264C"/>
    <w:rsid w:val="00C25CDD"/>
    <w:rsid w:val="00C276D6"/>
    <w:rsid w:val="00C30625"/>
    <w:rsid w:val="00C30ACA"/>
    <w:rsid w:val="00C343B7"/>
    <w:rsid w:val="00C35496"/>
    <w:rsid w:val="00C355BC"/>
    <w:rsid w:val="00C35BF4"/>
    <w:rsid w:val="00C47567"/>
    <w:rsid w:val="00C51E37"/>
    <w:rsid w:val="00C74269"/>
    <w:rsid w:val="00C810A0"/>
    <w:rsid w:val="00C844EA"/>
    <w:rsid w:val="00C8622E"/>
    <w:rsid w:val="00C86382"/>
    <w:rsid w:val="00C869E8"/>
    <w:rsid w:val="00C8777B"/>
    <w:rsid w:val="00C958CA"/>
    <w:rsid w:val="00CA0A11"/>
    <w:rsid w:val="00CA30FC"/>
    <w:rsid w:val="00CA37C1"/>
    <w:rsid w:val="00CA68CF"/>
    <w:rsid w:val="00CB6E49"/>
    <w:rsid w:val="00CC02BE"/>
    <w:rsid w:val="00CC2D2D"/>
    <w:rsid w:val="00CC407F"/>
    <w:rsid w:val="00CC539F"/>
    <w:rsid w:val="00CD109F"/>
    <w:rsid w:val="00CD4256"/>
    <w:rsid w:val="00CE0431"/>
    <w:rsid w:val="00CE1259"/>
    <w:rsid w:val="00CE488B"/>
    <w:rsid w:val="00CE5F81"/>
    <w:rsid w:val="00CE61E4"/>
    <w:rsid w:val="00CF5222"/>
    <w:rsid w:val="00CF5996"/>
    <w:rsid w:val="00D02BE2"/>
    <w:rsid w:val="00D03277"/>
    <w:rsid w:val="00D05470"/>
    <w:rsid w:val="00D10857"/>
    <w:rsid w:val="00D243BF"/>
    <w:rsid w:val="00D244D6"/>
    <w:rsid w:val="00D27A35"/>
    <w:rsid w:val="00D34AE9"/>
    <w:rsid w:val="00D4007F"/>
    <w:rsid w:val="00D456BD"/>
    <w:rsid w:val="00D629AD"/>
    <w:rsid w:val="00D63FB7"/>
    <w:rsid w:val="00D66E48"/>
    <w:rsid w:val="00D75D94"/>
    <w:rsid w:val="00D876AA"/>
    <w:rsid w:val="00D91C83"/>
    <w:rsid w:val="00D92D20"/>
    <w:rsid w:val="00D94E65"/>
    <w:rsid w:val="00D97D6B"/>
    <w:rsid w:val="00DA0B29"/>
    <w:rsid w:val="00DA113C"/>
    <w:rsid w:val="00DA40FD"/>
    <w:rsid w:val="00DB16AC"/>
    <w:rsid w:val="00DB4784"/>
    <w:rsid w:val="00DB55BB"/>
    <w:rsid w:val="00DB5B27"/>
    <w:rsid w:val="00DB6B5D"/>
    <w:rsid w:val="00DC3C5A"/>
    <w:rsid w:val="00DC6F1D"/>
    <w:rsid w:val="00DD1658"/>
    <w:rsid w:val="00DD2C18"/>
    <w:rsid w:val="00DD3493"/>
    <w:rsid w:val="00DD5676"/>
    <w:rsid w:val="00DD5A71"/>
    <w:rsid w:val="00DE0212"/>
    <w:rsid w:val="00DE0597"/>
    <w:rsid w:val="00DE2767"/>
    <w:rsid w:val="00DE6766"/>
    <w:rsid w:val="00DF33FF"/>
    <w:rsid w:val="00DF498E"/>
    <w:rsid w:val="00DF62F1"/>
    <w:rsid w:val="00DF7D86"/>
    <w:rsid w:val="00E04933"/>
    <w:rsid w:val="00E04A0F"/>
    <w:rsid w:val="00E119B7"/>
    <w:rsid w:val="00E20406"/>
    <w:rsid w:val="00E21E8E"/>
    <w:rsid w:val="00E22370"/>
    <w:rsid w:val="00E31B45"/>
    <w:rsid w:val="00E33A09"/>
    <w:rsid w:val="00E356AB"/>
    <w:rsid w:val="00E37F7D"/>
    <w:rsid w:val="00E40D11"/>
    <w:rsid w:val="00E4333C"/>
    <w:rsid w:val="00E45479"/>
    <w:rsid w:val="00E47805"/>
    <w:rsid w:val="00E529A1"/>
    <w:rsid w:val="00E6100A"/>
    <w:rsid w:val="00E61089"/>
    <w:rsid w:val="00E610D1"/>
    <w:rsid w:val="00E611F5"/>
    <w:rsid w:val="00E67214"/>
    <w:rsid w:val="00E76095"/>
    <w:rsid w:val="00E7676E"/>
    <w:rsid w:val="00E7756B"/>
    <w:rsid w:val="00E80258"/>
    <w:rsid w:val="00E80530"/>
    <w:rsid w:val="00E833F1"/>
    <w:rsid w:val="00E92AAB"/>
    <w:rsid w:val="00E9300F"/>
    <w:rsid w:val="00E93453"/>
    <w:rsid w:val="00E975DE"/>
    <w:rsid w:val="00E97CD0"/>
    <w:rsid w:val="00E97D26"/>
    <w:rsid w:val="00EA012D"/>
    <w:rsid w:val="00EA41D1"/>
    <w:rsid w:val="00EB3C90"/>
    <w:rsid w:val="00EC1D9B"/>
    <w:rsid w:val="00EC2921"/>
    <w:rsid w:val="00EC31EE"/>
    <w:rsid w:val="00EC7F45"/>
    <w:rsid w:val="00ED2108"/>
    <w:rsid w:val="00ED725A"/>
    <w:rsid w:val="00EE0FA3"/>
    <w:rsid w:val="00EE3217"/>
    <w:rsid w:val="00EE7A40"/>
    <w:rsid w:val="00EF2E9F"/>
    <w:rsid w:val="00F07F58"/>
    <w:rsid w:val="00F23CAB"/>
    <w:rsid w:val="00F26966"/>
    <w:rsid w:val="00F319A6"/>
    <w:rsid w:val="00F36C78"/>
    <w:rsid w:val="00F41004"/>
    <w:rsid w:val="00F52B65"/>
    <w:rsid w:val="00F5388E"/>
    <w:rsid w:val="00F53C47"/>
    <w:rsid w:val="00F54AAF"/>
    <w:rsid w:val="00F552A3"/>
    <w:rsid w:val="00F574DD"/>
    <w:rsid w:val="00F6193C"/>
    <w:rsid w:val="00F649A8"/>
    <w:rsid w:val="00F64A0A"/>
    <w:rsid w:val="00F67AEC"/>
    <w:rsid w:val="00F67E5E"/>
    <w:rsid w:val="00F70EE3"/>
    <w:rsid w:val="00F75BCC"/>
    <w:rsid w:val="00F80DC0"/>
    <w:rsid w:val="00F81E75"/>
    <w:rsid w:val="00F84A1E"/>
    <w:rsid w:val="00F85163"/>
    <w:rsid w:val="00F91E66"/>
    <w:rsid w:val="00F924A6"/>
    <w:rsid w:val="00F94250"/>
    <w:rsid w:val="00FB31F7"/>
    <w:rsid w:val="00FB72AA"/>
    <w:rsid w:val="00FB7B20"/>
    <w:rsid w:val="00FC1BCB"/>
    <w:rsid w:val="00FD4623"/>
    <w:rsid w:val="00FD533D"/>
    <w:rsid w:val="00FE565E"/>
    <w:rsid w:val="00FE7BF3"/>
    <w:rsid w:val="00FF1C23"/>
    <w:rsid w:val="00FF3276"/>
    <w:rsid w:val="00FF707A"/>
    <w:rsid w:val="00FF7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A5624"/>
  <w15:chartTrackingRefBased/>
  <w15:docId w15:val="{9166DAE3-36DC-4A45-8AE2-319073BF3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197"/>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A52197"/>
    <w:pPr>
      <w:keepNext/>
      <w:jc w:val="both"/>
      <w:outlineLvl w:val="1"/>
    </w:pPr>
    <w:rPr>
      <w:b/>
      <w:sz w:val="24"/>
    </w:rPr>
  </w:style>
  <w:style w:type="paragraph" w:styleId="Heading4">
    <w:name w:val="heading 4"/>
    <w:basedOn w:val="Normal"/>
    <w:next w:val="Normal"/>
    <w:link w:val="Heading4Char"/>
    <w:qFormat/>
    <w:rsid w:val="00A52197"/>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5219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52197"/>
    <w:rPr>
      <w:rFonts w:ascii="Times New Roman" w:eastAsia="Times New Roman" w:hAnsi="Times New Roman" w:cs="Times New Roman"/>
      <w:sz w:val="40"/>
      <w:szCs w:val="20"/>
      <w:lang w:eastAsia="en-GB"/>
    </w:rPr>
  </w:style>
  <w:style w:type="paragraph" w:styleId="Header">
    <w:name w:val="header"/>
    <w:basedOn w:val="Normal"/>
    <w:link w:val="HeaderChar"/>
    <w:rsid w:val="00A52197"/>
    <w:pPr>
      <w:tabs>
        <w:tab w:val="center" w:pos="4153"/>
        <w:tab w:val="right" w:pos="8306"/>
      </w:tabs>
    </w:pPr>
  </w:style>
  <w:style w:type="character" w:customStyle="1" w:styleId="HeaderChar">
    <w:name w:val="Header Char"/>
    <w:basedOn w:val="DefaultParagraphFont"/>
    <w:link w:val="Header"/>
    <w:rsid w:val="00A5219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A52197"/>
    <w:pPr>
      <w:tabs>
        <w:tab w:val="center" w:pos="4153"/>
        <w:tab w:val="right" w:pos="8306"/>
      </w:tabs>
    </w:pPr>
  </w:style>
  <w:style w:type="character" w:customStyle="1" w:styleId="FooterChar">
    <w:name w:val="Footer Char"/>
    <w:basedOn w:val="DefaultParagraphFont"/>
    <w:link w:val="Footer"/>
    <w:uiPriority w:val="99"/>
    <w:rsid w:val="00A52197"/>
    <w:rPr>
      <w:rFonts w:ascii="Times New Roman" w:eastAsia="Times New Roman" w:hAnsi="Times New Roman" w:cs="Times New Roman"/>
      <w:sz w:val="20"/>
      <w:szCs w:val="20"/>
      <w:lang w:eastAsia="en-GB"/>
    </w:rPr>
  </w:style>
  <w:style w:type="paragraph" w:customStyle="1" w:styleId="BodyText1">
    <w:name w:val="Body Text1"/>
    <w:basedOn w:val="Normal"/>
    <w:rsid w:val="00A52197"/>
    <w:pPr>
      <w:tabs>
        <w:tab w:val="left" w:pos="720"/>
        <w:tab w:val="left" w:pos="1440"/>
      </w:tabs>
    </w:pPr>
    <w:rPr>
      <w:rFonts w:ascii="CG Times (WN)" w:hAnsi="CG Times (WN)"/>
      <w:sz w:val="24"/>
      <w:lang w:eastAsia="en-US"/>
    </w:rPr>
  </w:style>
  <w:style w:type="paragraph" w:customStyle="1" w:styleId="bullet">
    <w:name w:val="bullet"/>
    <w:link w:val="bulletChar"/>
    <w:rsid w:val="00A52197"/>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link w:val="bullet"/>
    <w:rsid w:val="00A52197"/>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C35496"/>
    <w:pPr>
      <w:ind w:left="720"/>
      <w:contextualSpacing/>
    </w:pPr>
  </w:style>
  <w:style w:type="character" w:styleId="Hyperlink">
    <w:name w:val="Hyperlink"/>
    <w:basedOn w:val="DefaultParagraphFont"/>
    <w:uiPriority w:val="99"/>
    <w:unhideWhenUsed/>
    <w:rsid w:val="005962CB"/>
    <w:rPr>
      <w:color w:val="0563C1" w:themeColor="hyperlink"/>
      <w:u w:val="single"/>
    </w:rPr>
  </w:style>
  <w:style w:type="character" w:styleId="UnresolvedMention">
    <w:name w:val="Unresolved Mention"/>
    <w:basedOn w:val="DefaultParagraphFont"/>
    <w:uiPriority w:val="99"/>
    <w:semiHidden/>
    <w:unhideWhenUsed/>
    <w:rsid w:val="00596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000701">
      <w:bodyDiv w:val="1"/>
      <w:marLeft w:val="0"/>
      <w:marRight w:val="0"/>
      <w:marTop w:val="0"/>
      <w:marBottom w:val="0"/>
      <w:divBdr>
        <w:top w:val="none" w:sz="0" w:space="0" w:color="auto"/>
        <w:left w:val="none" w:sz="0" w:space="0" w:color="auto"/>
        <w:bottom w:val="none" w:sz="0" w:space="0" w:color="auto"/>
        <w:right w:val="none" w:sz="0" w:space="0" w:color="auto"/>
      </w:divBdr>
    </w:div>
    <w:div w:id="1608850502">
      <w:bodyDiv w:val="1"/>
      <w:marLeft w:val="0"/>
      <w:marRight w:val="0"/>
      <w:marTop w:val="0"/>
      <w:marBottom w:val="0"/>
      <w:divBdr>
        <w:top w:val="none" w:sz="0" w:space="0" w:color="auto"/>
        <w:left w:val="none" w:sz="0" w:space="0" w:color="auto"/>
        <w:bottom w:val="none" w:sz="0" w:space="0" w:color="auto"/>
        <w:right w:val="none" w:sz="0" w:space="0" w:color="auto"/>
      </w:divBdr>
    </w:div>
    <w:div w:id="185067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531D5-C50A-46F9-8A6F-FA7374E6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13</Pages>
  <Words>27735</Words>
  <Characters>158093</Characters>
  <Application>Microsoft Office Word</Application>
  <DocSecurity>0</DocSecurity>
  <Lines>1317</Lines>
  <Paragraphs>370</Paragraphs>
  <ScaleCrop>false</ScaleCrop>
  <Company/>
  <LinksUpToDate>false</LinksUpToDate>
  <CharactersWithSpaces>185458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Tiramani</dc:creator>
  <cp:keywords/>
  <dc:description/>
  <cp:lastModifiedBy>Steve Tiramani</cp:lastModifiedBy>
  <cp:revision>755</cp:revision>
  <dcterms:created xsi:type="dcterms:W3CDTF">2021-11-10T09:31:00Z</dcterms:created>
  <dcterms:modified xsi:type="dcterms:W3CDTF">2021-11-19T12:55:00Z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https://csl.mendeley.com/styles/609716521/harvard-cite-them-right</vt:lpwstr>
  </property>
  <property fmtid="{D5CDD505-2E9C-101B-9397-08002B2CF9AE}" pid="15" name="Mendeley Recent Style Name 6_1">
    <vt:lpwstr>Cite Them Right 10th edition - Harvard - Steve Tiramani</vt:lpwstr>
  </property>
  <property fmtid="{D5CDD505-2E9C-101B-9397-08002B2CF9AE}" pid="16" name="Mendeley Recent Style Id 7_1">
    <vt:lpwstr>http://csl.mendeley.com/styles/609716521/harvard-cite-them-right-2</vt:lpwstr>
  </property>
  <property fmtid="{D5CDD505-2E9C-101B-9397-08002B2CF9AE}" pid="17" name="Mendeley Recent Style Name 7_1">
    <vt:lpwstr>Cite Them Right 10th edition - Harvard - Steve Tiramani</vt:lpwstr>
  </property>
  <property fmtid="{D5CDD505-2E9C-101B-9397-08002B2CF9AE}" pid="18" name="Mendeley Recent Style Id 8_1">
    <vt:lpwstr>https://csl.mendeley.com/styles/609716521/harvard-cite-them-right-2</vt:lpwstr>
  </property>
  <property fmtid="{D5CDD505-2E9C-101B-9397-08002B2CF9AE}" pid="19" name="Mendeley Recent Style Name 8_1">
    <vt:lpwstr>Cite Them Right 10th edition - Harvard - Steve Tiramani</vt:lpwstr>
  </property>
  <property fmtid="{D5CDD505-2E9C-101B-9397-08002B2CF9AE}" pid="20" name="Mendeley Recent Style Id 9_1">
    <vt:lpwstr>http://www.zotero.org/styles/harvard1</vt:lpwstr>
  </property>
  <property fmtid="{D5CDD505-2E9C-101B-9397-08002B2CF9AE}" pid="21" name="Mendeley Recent Style Name 9_1">
    <vt:lpwstr>Harvard reference format 1 (deprecated)</vt:lpwstr>
  </property>
  <property fmtid="{D5CDD505-2E9C-101B-9397-08002B2CF9AE}" pid="22" name="Mendeley Document_1">
    <vt:lpwstr>True</vt:lpwstr>
  </property>
  <property fmtid="{D5CDD505-2E9C-101B-9397-08002B2CF9AE}" pid="23" name="Mendeley Unique User Id_1">
    <vt:lpwstr>721c4ed5-cbad-3f84-a2a0-6849406ddaea</vt:lpwstr>
  </property>
  <property fmtid="{D5CDD505-2E9C-101B-9397-08002B2CF9AE}" pid="24" name="Mendeley Citation Style_1">
    <vt:lpwstr>https://csl.mendeley.com/styles/609716521/harvard-cite-them-right-2</vt:lpwstr>
  </property>
</Properties>
</file>