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5349195"/>
        <w:docPartObj>
          <w:docPartGallery w:val="Cover Pages"/>
          <w:docPartUnique/>
        </w:docPartObj>
      </w:sdtPr>
      <w:sdtEndPr>
        <w:rPr>
          <w:rFonts w:ascii="Arial" w:hAnsi="Arial" w:cs="Arial"/>
          <w:b/>
          <w:bCs/>
          <w:sz w:val="28"/>
          <w:szCs w:val="28"/>
        </w:rPr>
      </w:sdtEndPr>
      <w:sdtContent>
        <w:p w14:paraId="1E61E2A3" w14:textId="7F10B75F" w:rsidR="0078441A" w:rsidRDefault="00000000">
          <w:r>
            <w:rPr>
              <w:noProof/>
            </w:rPr>
            <w:pict w14:anchorId="47E37D42">
              <v:rect id="Rectangle 16" o:spid="_x0000_s2051" style="position:absolute;margin-left:0;margin-top:0;width:422.3pt;height:760.1pt;z-index:251685888;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F285376" w14:textId="4C81ED7C" w:rsidR="0078441A" w:rsidRDefault="00452C68">
                          <w:pPr>
                            <w:pStyle w:val="Title"/>
                            <w:jc w:val="right"/>
                            <w:rPr>
                              <w:caps/>
                              <w:color w:val="FFFFFF" w:themeColor="background1"/>
                              <w:sz w:val="80"/>
                              <w:szCs w:val="80"/>
                            </w:rPr>
                          </w:pPr>
                          <w:r>
                            <w:rPr>
                              <w:caps/>
                              <w:color w:val="FFFFFF" w:themeColor="background1"/>
                              <w:sz w:val="80"/>
                              <w:szCs w:val="80"/>
                            </w:rPr>
                            <w:t>Principles of Marketing</w:t>
                          </w:r>
                        </w:p>
                      </w:sdtContent>
                    </w:sdt>
                    <w:p w14:paraId="0916B4F4" w14:textId="77777777" w:rsidR="0078441A" w:rsidRDefault="0078441A">
                      <w:pPr>
                        <w:spacing w:before="240"/>
                        <w:ind w:left="720"/>
                        <w:jc w:val="right"/>
                        <w:rPr>
                          <w:color w:val="FFFFFF" w:themeColor="background1"/>
                        </w:rPr>
                      </w:pPr>
                    </w:p>
                    <w:sdt>
                      <w:sdtPr>
                        <w:rPr>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14:paraId="4728BB5F" w14:textId="3321BBF6" w:rsidR="0078441A" w:rsidRDefault="00716D65">
                          <w:pPr>
                            <w:spacing w:before="240"/>
                            <w:ind w:left="1008"/>
                            <w:jc w:val="right"/>
                            <w:rPr>
                              <w:color w:val="FFFFFF" w:themeColor="background1"/>
                            </w:rPr>
                          </w:pPr>
                          <w:r w:rsidRPr="00716D65">
                            <w:rPr>
                              <w:color w:val="FFFFFF" w:themeColor="background1"/>
                              <w:sz w:val="28"/>
                              <w:szCs w:val="28"/>
                            </w:rPr>
                            <w:t>Component 1: Coursework: Individual Report</w:t>
                          </w:r>
                        </w:p>
                      </w:sdtContent>
                    </w:sdt>
                  </w:txbxContent>
                </v:textbox>
                <w10:wrap anchorx="page" anchory="page"/>
              </v:rect>
            </w:pict>
          </w:r>
          <w:r>
            <w:rPr>
              <w:noProof/>
            </w:rPr>
            <w:pict w14:anchorId="393017C8">
              <v:rect id="Rectangle 268" o:spid="_x0000_s2050" style="position:absolute;margin-left:0;margin-top:0;width:148.1pt;height:760.3pt;z-index:25168691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1F10054" w14:textId="6300A43F" w:rsidR="0078441A" w:rsidRDefault="00716D65">
                          <w:pPr>
                            <w:pStyle w:val="Subtitle"/>
                            <w:rPr>
                              <w:rFonts w:cstheme="minorBidi"/>
                              <w:color w:val="FFFFFF" w:themeColor="background1"/>
                            </w:rPr>
                          </w:pPr>
                          <w:r>
                            <w:rPr>
                              <w:rFonts w:cstheme="minorBidi"/>
                              <w:color w:val="FFFFFF" w:themeColor="background1"/>
                            </w:rPr>
                            <w:t>Adrian Mihai Neacsu    2312529</w:t>
                          </w:r>
                        </w:p>
                      </w:sdtContent>
                    </w:sdt>
                  </w:txbxContent>
                </v:textbox>
                <w10:wrap anchorx="page" anchory="page"/>
              </v:rect>
            </w:pict>
          </w:r>
        </w:p>
        <w:p w14:paraId="2C4057B0" w14:textId="77777777" w:rsidR="0078441A" w:rsidRDefault="0078441A"/>
        <w:p w14:paraId="0645A544" w14:textId="646D9D5F" w:rsidR="0078441A" w:rsidRDefault="0078441A">
          <w:pPr>
            <w:rPr>
              <w:rFonts w:ascii="Arial" w:hAnsi="Arial" w:cs="Arial"/>
              <w:b/>
              <w:bCs/>
              <w:sz w:val="28"/>
              <w:szCs w:val="28"/>
            </w:rPr>
          </w:pPr>
          <w:r>
            <w:rPr>
              <w:rFonts w:ascii="Arial" w:hAnsi="Arial" w:cs="Arial"/>
              <w:b/>
              <w:bCs/>
              <w:sz w:val="28"/>
              <w:szCs w:val="28"/>
            </w:rPr>
            <w:br w:type="page"/>
          </w:r>
        </w:p>
      </w:sdtContent>
    </w:sdt>
    <w:p w14:paraId="4E5C1F44" w14:textId="77777777" w:rsidR="0078441A" w:rsidRDefault="0078441A">
      <w:pPr>
        <w:pStyle w:val="TOCHeading"/>
        <w:rPr>
          <w:rFonts w:asciiTheme="minorHAnsi" w:eastAsiaTheme="minorHAnsi" w:hAnsiTheme="minorHAnsi" w:cstheme="minorBidi"/>
          <w:color w:val="auto"/>
          <w:kern w:val="2"/>
          <w:sz w:val="22"/>
          <w:szCs w:val="22"/>
          <w:lang w:eastAsia="en-US"/>
        </w:rPr>
      </w:pPr>
    </w:p>
    <w:p w14:paraId="18BE4D0E" w14:textId="77777777" w:rsidR="0078441A" w:rsidRPr="00701583" w:rsidRDefault="0078441A" w:rsidP="0078441A">
      <w:pPr>
        <w:rPr>
          <w:rFonts w:ascii="Arial" w:hAnsi="Arial" w:cs="Arial"/>
          <w:b/>
          <w:bCs/>
          <w:sz w:val="28"/>
          <w:szCs w:val="28"/>
        </w:rPr>
      </w:pPr>
      <w:r w:rsidRPr="00701583">
        <w:rPr>
          <w:rFonts w:ascii="Arial" w:hAnsi="Arial" w:cs="Arial"/>
          <w:b/>
          <w:bCs/>
          <w:sz w:val="28"/>
          <w:szCs w:val="28"/>
        </w:rPr>
        <w:t>Name: Adrian Mihai Neacsu</w:t>
      </w:r>
    </w:p>
    <w:p w14:paraId="579ED78B" w14:textId="77777777" w:rsidR="0078441A" w:rsidRPr="00701583" w:rsidRDefault="0078441A" w:rsidP="0078441A">
      <w:pPr>
        <w:rPr>
          <w:rFonts w:ascii="Arial" w:hAnsi="Arial" w:cs="Arial"/>
          <w:b/>
          <w:bCs/>
          <w:sz w:val="28"/>
          <w:szCs w:val="28"/>
        </w:rPr>
      </w:pPr>
      <w:r w:rsidRPr="00701583">
        <w:rPr>
          <w:rFonts w:ascii="Arial" w:hAnsi="Arial" w:cs="Arial"/>
          <w:b/>
          <w:bCs/>
          <w:sz w:val="28"/>
          <w:szCs w:val="28"/>
        </w:rPr>
        <w:t>Student number: 2312529</w:t>
      </w:r>
    </w:p>
    <w:p w14:paraId="759DF44E" w14:textId="6E639851" w:rsidR="0078441A" w:rsidRDefault="0078441A" w:rsidP="0078441A">
      <w:pPr>
        <w:rPr>
          <w:rFonts w:ascii="Arial" w:hAnsi="Arial" w:cs="Arial"/>
          <w:b/>
          <w:bCs/>
          <w:sz w:val="28"/>
          <w:szCs w:val="28"/>
        </w:rPr>
      </w:pPr>
      <w:r w:rsidRPr="00701583">
        <w:rPr>
          <w:rFonts w:ascii="Arial" w:hAnsi="Arial" w:cs="Arial"/>
          <w:b/>
          <w:bCs/>
          <w:sz w:val="28"/>
          <w:szCs w:val="28"/>
        </w:rPr>
        <w:t xml:space="preserve">Module Code: </w:t>
      </w:r>
      <w:r w:rsidRPr="0078441A">
        <w:rPr>
          <w:rFonts w:ascii="Arial" w:hAnsi="Arial" w:cs="Arial"/>
          <w:b/>
          <w:bCs/>
          <w:sz w:val="28"/>
          <w:szCs w:val="28"/>
        </w:rPr>
        <w:t>LCBB5015</w:t>
      </w:r>
    </w:p>
    <w:p w14:paraId="185C94D3" w14:textId="57877FD9" w:rsidR="0078441A" w:rsidRDefault="0078441A" w:rsidP="0078441A">
      <w:pPr>
        <w:rPr>
          <w:rFonts w:ascii="Arial" w:hAnsi="Arial" w:cs="Arial"/>
          <w:b/>
          <w:bCs/>
          <w:sz w:val="28"/>
          <w:szCs w:val="28"/>
        </w:rPr>
      </w:pPr>
      <w:r w:rsidRPr="00701583">
        <w:rPr>
          <w:rFonts w:ascii="Arial" w:hAnsi="Arial" w:cs="Arial"/>
          <w:b/>
          <w:bCs/>
          <w:sz w:val="28"/>
          <w:szCs w:val="28"/>
        </w:rPr>
        <w:t xml:space="preserve">Module Title: </w:t>
      </w:r>
      <w:r w:rsidRPr="0078441A">
        <w:rPr>
          <w:rFonts w:ascii="Arial" w:hAnsi="Arial" w:cs="Arial"/>
          <w:b/>
          <w:bCs/>
          <w:sz w:val="28"/>
          <w:szCs w:val="28"/>
        </w:rPr>
        <w:t xml:space="preserve">Principles of Marketing  </w:t>
      </w:r>
    </w:p>
    <w:p w14:paraId="4EAB1937" w14:textId="34AEF69C" w:rsidR="0078441A" w:rsidRDefault="0078441A" w:rsidP="0078441A">
      <w:pPr>
        <w:rPr>
          <w:rFonts w:ascii="Arial" w:hAnsi="Arial" w:cs="Arial"/>
          <w:b/>
          <w:bCs/>
          <w:sz w:val="28"/>
          <w:szCs w:val="28"/>
          <w:lang w:val="en-US"/>
        </w:rPr>
      </w:pPr>
      <w:r w:rsidRPr="00701583">
        <w:rPr>
          <w:rFonts w:ascii="Arial" w:hAnsi="Arial" w:cs="Arial"/>
          <w:b/>
          <w:bCs/>
          <w:sz w:val="28"/>
          <w:szCs w:val="28"/>
        </w:rPr>
        <w:t xml:space="preserve">Assignment Title: </w:t>
      </w:r>
      <w:r w:rsidRPr="0078441A">
        <w:rPr>
          <w:rFonts w:ascii="Arial" w:hAnsi="Arial" w:cs="Arial"/>
          <w:b/>
          <w:bCs/>
          <w:sz w:val="28"/>
          <w:szCs w:val="28"/>
        </w:rPr>
        <w:t>Component 1: Coursework: Individual Report</w:t>
      </w:r>
    </w:p>
    <w:p w14:paraId="3F9FEFC3" w14:textId="14F3210F" w:rsidR="0078441A" w:rsidRDefault="0078441A" w:rsidP="0078441A">
      <w:pPr>
        <w:rPr>
          <w:rFonts w:ascii="Arial" w:hAnsi="Arial" w:cs="Arial"/>
          <w:b/>
          <w:bCs/>
          <w:sz w:val="28"/>
          <w:szCs w:val="28"/>
        </w:rPr>
      </w:pPr>
      <w:r>
        <w:rPr>
          <w:rFonts w:ascii="Arial" w:hAnsi="Arial" w:cs="Arial"/>
          <w:b/>
          <w:bCs/>
          <w:sz w:val="28"/>
          <w:szCs w:val="28"/>
        </w:rPr>
        <w:t>UWTSD Birmingham</w:t>
      </w:r>
    </w:p>
    <w:p w14:paraId="4D2EBB30" w14:textId="77777777" w:rsidR="0078441A" w:rsidRDefault="0078441A">
      <w:r>
        <w:br w:type="page"/>
      </w:r>
    </w:p>
    <w:sdt>
      <w:sdtPr>
        <w:rPr>
          <w:rFonts w:asciiTheme="minorHAnsi" w:eastAsiaTheme="minorHAnsi" w:hAnsiTheme="minorHAnsi" w:cstheme="minorBidi"/>
          <w:color w:val="auto"/>
          <w:kern w:val="2"/>
          <w:sz w:val="22"/>
          <w:szCs w:val="22"/>
          <w:lang w:eastAsia="en-US"/>
        </w:rPr>
        <w:id w:val="-2023996586"/>
        <w:docPartObj>
          <w:docPartGallery w:val="Table of Contents"/>
          <w:docPartUnique/>
        </w:docPartObj>
      </w:sdtPr>
      <w:sdtEndPr>
        <w:rPr>
          <w:b/>
          <w:bCs/>
        </w:rPr>
      </w:sdtEndPr>
      <w:sdtContent>
        <w:p w14:paraId="27C1200C" w14:textId="38E1E584" w:rsidR="006B3528" w:rsidRDefault="006B3528">
          <w:pPr>
            <w:pStyle w:val="TOCHeading"/>
          </w:pPr>
          <w:r>
            <w:t>Table of Contents</w:t>
          </w:r>
        </w:p>
        <w:p w14:paraId="3CCF9EB4" w14:textId="4C1DC068" w:rsidR="002C6B9B" w:rsidRPr="00452C68" w:rsidRDefault="006B3528">
          <w:pPr>
            <w:pStyle w:val="TOC1"/>
            <w:tabs>
              <w:tab w:val="right" w:leader="dot" w:pos="9016"/>
            </w:tabs>
            <w:rPr>
              <w:rFonts w:eastAsiaTheme="minorEastAsia"/>
              <w:b/>
              <w:bCs/>
              <w:noProof/>
              <w:sz w:val="24"/>
              <w:szCs w:val="24"/>
              <w:lang w:eastAsia="en-GB"/>
            </w:rPr>
          </w:pPr>
          <w:r>
            <w:fldChar w:fldCharType="begin"/>
          </w:r>
          <w:r>
            <w:instrText xml:space="preserve"> TOC \o "1-3" \h \z \u </w:instrText>
          </w:r>
          <w:r>
            <w:fldChar w:fldCharType="separate"/>
          </w:r>
          <w:hyperlink w:anchor="_Toc222130517" w:history="1">
            <w:r w:rsidR="002C6B9B" w:rsidRPr="00452C68">
              <w:rPr>
                <w:rStyle w:val="Hyperlink"/>
                <w:b/>
                <w:bCs/>
                <w:noProof/>
              </w:rPr>
              <w:t>Introduction</w:t>
            </w:r>
            <w:r w:rsidR="002C6B9B" w:rsidRPr="00452C68">
              <w:rPr>
                <w:b/>
                <w:bCs/>
                <w:noProof/>
                <w:webHidden/>
              </w:rPr>
              <w:tab/>
            </w:r>
            <w:r w:rsidR="002C6B9B" w:rsidRPr="00452C68">
              <w:rPr>
                <w:b/>
                <w:bCs/>
                <w:noProof/>
                <w:webHidden/>
              </w:rPr>
              <w:fldChar w:fldCharType="begin"/>
            </w:r>
            <w:r w:rsidR="002C6B9B" w:rsidRPr="00452C68">
              <w:rPr>
                <w:b/>
                <w:bCs/>
                <w:noProof/>
                <w:webHidden/>
              </w:rPr>
              <w:instrText xml:space="preserve"> PAGEREF _Toc222130517 \h </w:instrText>
            </w:r>
            <w:r w:rsidR="002C6B9B" w:rsidRPr="00452C68">
              <w:rPr>
                <w:b/>
                <w:bCs/>
                <w:noProof/>
                <w:webHidden/>
              </w:rPr>
            </w:r>
            <w:r w:rsidR="002C6B9B" w:rsidRPr="00452C68">
              <w:rPr>
                <w:b/>
                <w:bCs/>
                <w:noProof/>
                <w:webHidden/>
              </w:rPr>
              <w:fldChar w:fldCharType="separate"/>
            </w:r>
            <w:r w:rsidR="00452C68" w:rsidRPr="00452C68">
              <w:rPr>
                <w:b/>
                <w:bCs/>
                <w:noProof/>
                <w:webHidden/>
              </w:rPr>
              <w:t>3</w:t>
            </w:r>
            <w:r w:rsidR="002C6B9B" w:rsidRPr="00452C68">
              <w:rPr>
                <w:b/>
                <w:bCs/>
                <w:noProof/>
                <w:webHidden/>
              </w:rPr>
              <w:fldChar w:fldCharType="end"/>
            </w:r>
          </w:hyperlink>
        </w:p>
        <w:p w14:paraId="040845AC" w14:textId="53B2C48B" w:rsidR="002C6B9B" w:rsidRPr="00452C68" w:rsidRDefault="002C6B9B">
          <w:pPr>
            <w:pStyle w:val="TOC1"/>
            <w:tabs>
              <w:tab w:val="right" w:leader="dot" w:pos="9016"/>
            </w:tabs>
            <w:rPr>
              <w:rFonts w:eastAsiaTheme="minorEastAsia"/>
              <w:b/>
              <w:bCs/>
              <w:noProof/>
              <w:sz w:val="24"/>
              <w:szCs w:val="24"/>
              <w:lang w:eastAsia="en-GB"/>
            </w:rPr>
          </w:pPr>
          <w:hyperlink w:anchor="_Toc222130518" w:history="1">
            <w:r w:rsidRPr="00452C68">
              <w:rPr>
                <w:rStyle w:val="Hyperlink"/>
                <w:b/>
                <w:bCs/>
                <w:noProof/>
              </w:rPr>
              <w:t>SWOT Analysis</w:t>
            </w:r>
            <w:r w:rsidRPr="00452C68">
              <w:rPr>
                <w:b/>
                <w:bCs/>
                <w:noProof/>
                <w:webHidden/>
              </w:rPr>
              <w:tab/>
            </w:r>
            <w:r w:rsidRPr="00452C68">
              <w:rPr>
                <w:b/>
                <w:bCs/>
                <w:noProof/>
                <w:webHidden/>
              </w:rPr>
              <w:fldChar w:fldCharType="begin"/>
            </w:r>
            <w:r w:rsidRPr="00452C68">
              <w:rPr>
                <w:b/>
                <w:bCs/>
                <w:noProof/>
                <w:webHidden/>
              </w:rPr>
              <w:instrText xml:space="preserve"> PAGEREF _Toc222130518 \h </w:instrText>
            </w:r>
            <w:r w:rsidRPr="00452C68">
              <w:rPr>
                <w:b/>
                <w:bCs/>
                <w:noProof/>
                <w:webHidden/>
              </w:rPr>
            </w:r>
            <w:r w:rsidRPr="00452C68">
              <w:rPr>
                <w:b/>
                <w:bCs/>
                <w:noProof/>
                <w:webHidden/>
              </w:rPr>
              <w:fldChar w:fldCharType="separate"/>
            </w:r>
            <w:r w:rsidR="00452C68" w:rsidRPr="00452C68">
              <w:rPr>
                <w:b/>
                <w:bCs/>
                <w:noProof/>
                <w:webHidden/>
              </w:rPr>
              <w:t>3</w:t>
            </w:r>
            <w:r w:rsidRPr="00452C68">
              <w:rPr>
                <w:b/>
                <w:bCs/>
                <w:noProof/>
                <w:webHidden/>
              </w:rPr>
              <w:fldChar w:fldCharType="end"/>
            </w:r>
          </w:hyperlink>
        </w:p>
        <w:p w14:paraId="4C6588A3" w14:textId="323997CF" w:rsidR="002C6B9B" w:rsidRPr="00452C68" w:rsidRDefault="002C6B9B">
          <w:pPr>
            <w:pStyle w:val="TOC2"/>
            <w:tabs>
              <w:tab w:val="right" w:leader="dot" w:pos="9016"/>
            </w:tabs>
            <w:rPr>
              <w:rFonts w:eastAsiaTheme="minorEastAsia"/>
              <w:b/>
              <w:bCs/>
              <w:noProof/>
              <w:sz w:val="24"/>
              <w:szCs w:val="24"/>
              <w:lang w:eastAsia="en-GB"/>
            </w:rPr>
          </w:pPr>
          <w:hyperlink w:anchor="_Toc222130519" w:history="1">
            <w:r w:rsidRPr="00452C68">
              <w:rPr>
                <w:rStyle w:val="Hyperlink"/>
                <w:b/>
                <w:bCs/>
                <w:noProof/>
              </w:rPr>
              <w:t>Strengths</w:t>
            </w:r>
            <w:r w:rsidRPr="00452C68">
              <w:rPr>
                <w:b/>
                <w:bCs/>
                <w:noProof/>
                <w:webHidden/>
              </w:rPr>
              <w:tab/>
            </w:r>
            <w:r w:rsidRPr="00452C68">
              <w:rPr>
                <w:b/>
                <w:bCs/>
                <w:noProof/>
                <w:webHidden/>
              </w:rPr>
              <w:fldChar w:fldCharType="begin"/>
            </w:r>
            <w:r w:rsidRPr="00452C68">
              <w:rPr>
                <w:b/>
                <w:bCs/>
                <w:noProof/>
                <w:webHidden/>
              </w:rPr>
              <w:instrText xml:space="preserve"> PAGEREF _Toc222130519 \h </w:instrText>
            </w:r>
            <w:r w:rsidRPr="00452C68">
              <w:rPr>
                <w:b/>
                <w:bCs/>
                <w:noProof/>
                <w:webHidden/>
              </w:rPr>
            </w:r>
            <w:r w:rsidRPr="00452C68">
              <w:rPr>
                <w:b/>
                <w:bCs/>
                <w:noProof/>
                <w:webHidden/>
              </w:rPr>
              <w:fldChar w:fldCharType="separate"/>
            </w:r>
            <w:r w:rsidR="00452C68" w:rsidRPr="00452C68">
              <w:rPr>
                <w:b/>
                <w:bCs/>
                <w:noProof/>
                <w:webHidden/>
              </w:rPr>
              <w:t>4</w:t>
            </w:r>
            <w:r w:rsidRPr="00452C68">
              <w:rPr>
                <w:b/>
                <w:bCs/>
                <w:noProof/>
                <w:webHidden/>
              </w:rPr>
              <w:fldChar w:fldCharType="end"/>
            </w:r>
          </w:hyperlink>
        </w:p>
        <w:p w14:paraId="6E37B50C" w14:textId="5115F431" w:rsidR="002C6B9B" w:rsidRPr="00452C68" w:rsidRDefault="002C6B9B">
          <w:pPr>
            <w:pStyle w:val="TOC2"/>
            <w:tabs>
              <w:tab w:val="right" w:leader="dot" w:pos="9016"/>
            </w:tabs>
            <w:rPr>
              <w:rFonts w:eastAsiaTheme="minorEastAsia"/>
              <w:b/>
              <w:bCs/>
              <w:noProof/>
              <w:sz w:val="24"/>
              <w:szCs w:val="24"/>
              <w:lang w:eastAsia="en-GB"/>
            </w:rPr>
          </w:pPr>
          <w:hyperlink w:anchor="_Toc222130520" w:history="1">
            <w:r w:rsidRPr="00452C68">
              <w:rPr>
                <w:rStyle w:val="Hyperlink"/>
                <w:b/>
                <w:bCs/>
                <w:noProof/>
              </w:rPr>
              <w:t>Weaknesses</w:t>
            </w:r>
            <w:r w:rsidRPr="00452C68">
              <w:rPr>
                <w:b/>
                <w:bCs/>
                <w:noProof/>
                <w:webHidden/>
              </w:rPr>
              <w:tab/>
            </w:r>
            <w:r w:rsidRPr="00452C68">
              <w:rPr>
                <w:b/>
                <w:bCs/>
                <w:noProof/>
                <w:webHidden/>
              </w:rPr>
              <w:fldChar w:fldCharType="begin"/>
            </w:r>
            <w:r w:rsidRPr="00452C68">
              <w:rPr>
                <w:b/>
                <w:bCs/>
                <w:noProof/>
                <w:webHidden/>
              </w:rPr>
              <w:instrText xml:space="preserve"> PAGEREF _Toc222130520 \h </w:instrText>
            </w:r>
            <w:r w:rsidRPr="00452C68">
              <w:rPr>
                <w:b/>
                <w:bCs/>
                <w:noProof/>
                <w:webHidden/>
              </w:rPr>
            </w:r>
            <w:r w:rsidRPr="00452C68">
              <w:rPr>
                <w:b/>
                <w:bCs/>
                <w:noProof/>
                <w:webHidden/>
              </w:rPr>
              <w:fldChar w:fldCharType="separate"/>
            </w:r>
            <w:r w:rsidR="00452C68" w:rsidRPr="00452C68">
              <w:rPr>
                <w:b/>
                <w:bCs/>
                <w:noProof/>
                <w:webHidden/>
              </w:rPr>
              <w:t>4</w:t>
            </w:r>
            <w:r w:rsidRPr="00452C68">
              <w:rPr>
                <w:b/>
                <w:bCs/>
                <w:noProof/>
                <w:webHidden/>
              </w:rPr>
              <w:fldChar w:fldCharType="end"/>
            </w:r>
          </w:hyperlink>
        </w:p>
        <w:p w14:paraId="6A297369" w14:textId="7AC35323" w:rsidR="002C6B9B" w:rsidRPr="00452C68" w:rsidRDefault="002C6B9B">
          <w:pPr>
            <w:pStyle w:val="TOC2"/>
            <w:tabs>
              <w:tab w:val="right" w:leader="dot" w:pos="9016"/>
            </w:tabs>
            <w:rPr>
              <w:rFonts w:eastAsiaTheme="minorEastAsia"/>
              <w:b/>
              <w:bCs/>
              <w:noProof/>
              <w:sz w:val="24"/>
              <w:szCs w:val="24"/>
              <w:lang w:eastAsia="en-GB"/>
            </w:rPr>
          </w:pPr>
          <w:hyperlink w:anchor="_Toc222130521" w:history="1">
            <w:r w:rsidRPr="00452C68">
              <w:rPr>
                <w:rStyle w:val="Hyperlink"/>
                <w:b/>
                <w:bCs/>
                <w:noProof/>
              </w:rPr>
              <w:t>Opportunities</w:t>
            </w:r>
            <w:r w:rsidRPr="00452C68">
              <w:rPr>
                <w:b/>
                <w:bCs/>
                <w:noProof/>
                <w:webHidden/>
              </w:rPr>
              <w:tab/>
            </w:r>
            <w:r w:rsidRPr="00452C68">
              <w:rPr>
                <w:b/>
                <w:bCs/>
                <w:noProof/>
                <w:webHidden/>
              </w:rPr>
              <w:fldChar w:fldCharType="begin"/>
            </w:r>
            <w:r w:rsidRPr="00452C68">
              <w:rPr>
                <w:b/>
                <w:bCs/>
                <w:noProof/>
                <w:webHidden/>
              </w:rPr>
              <w:instrText xml:space="preserve"> PAGEREF _Toc222130521 \h </w:instrText>
            </w:r>
            <w:r w:rsidRPr="00452C68">
              <w:rPr>
                <w:b/>
                <w:bCs/>
                <w:noProof/>
                <w:webHidden/>
              </w:rPr>
            </w:r>
            <w:r w:rsidRPr="00452C68">
              <w:rPr>
                <w:b/>
                <w:bCs/>
                <w:noProof/>
                <w:webHidden/>
              </w:rPr>
              <w:fldChar w:fldCharType="separate"/>
            </w:r>
            <w:r w:rsidR="00452C68" w:rsidRPr="00452C68">
              <w:rPr>
                <w:b/>
                <w:bCs/>
                <w:noProof/>
                <w:webHidden/>
              </w:rPr>
              <w:t>5</w:t>
            </w:r>
            <w:r w:rsidRPr="00452C68">
              <w:rPr>
                <w:b/>
                <w:bCs/>
                <w:noProof/>
                <w:webHidden/>
              </w:rPr>
              <w:fldChar w:fldCharType="end"/>
            </w:r>
          </w:hyperlink>
        </w:p>
        <w:p w14:paraId="533D6C45" w14:textId="7E2FC6A0" w:rsidR="002C6B9B" w:rsidRPr="00452C68" w:rsidRDefault="002C6B9B">
          <w:pPr>
            <w:pStyle w:val="TOC2"/>
            <w:tabs>
              <w:tab w:val="right" w:leader="dot" w:pos="9016"/>
            </w:tabs>
            <w:rPr>
              <w:rFonts w:eastAsiaTheme="minorEastAsia"/>
              <w:b/>
              <w:bCs/>
              <w:noProof/>
              <w:sz w:val="24"/>
              <w:szCs w:val="24"/>
              <w:lang w:eastAsia="en-GB"/>
            </w:rPr>
          </w:pPr>
          <w:hyperlink w:anchor="_Toc222130522" w:history="1">
            <w:r w:rsidRPr="00452C68">
              <w:rPr>
                <w:rStyle w:val="Hyperlink"/>
                <w:b/>
                <w:bCs/>
                <w:noProof/>
              </w:rPr>
              <w:t>Threats</w:t>
            </w:r>
            <w:r w:rsidRPr="00452C68">
              <w:rPr>
                <w:b/>
                <w:bCs/>
                <w:noProof/>
                <w:webHidden/>
              </w:rPr>
              <w:tab/>
            </w:r>
            <w:r w:rsidRPr="00452C68">
              <w:rPr>
                <w:b/>
                <w:bCs/>
                <w:noProof/>
                <w:webHidden/>
              </w:rPr>
              <w:fldChar w:fldCharType="begin"/>
            </w:r>
            <w:r w:rsidRPr="00452C68">
              <w:rPr>
                <w:b/>
                <w:bCs/>
                <w:noProof/>
                <w:webHidden/>
              </w:rPr>
              <w:instrText xml:space="preserve"> PAGEREF _Toc222130522 \h </w:instrText>
            </w:r>
            <w:r w:rsidRPr="00452C68">
              <w:rPr>
                <w:b/>
                <w:bCs/>
                <w:noProof/>
                <w:webHidden/>
              </w:rPr>
            </w:r>
            <w:r w:rsidRPr="00452C68">
              <w:rPr>
                <w:b/>
                <w:bCs/>
                <w:noProof/>
                <w:webHidden/>
              </w:rPr>
              <w:fldChar w:fldCharType="separate"/>
            </w:r>
            <w:r w:rsidR="00452C68" w:rsidRPr="00452C68">
              <w:rPr>
                <w:b/>
                <w:bCs/>
                <w:noProof/>
                <w:webHidden/>
              </w:rPr>
              <w:t>5</w:t>
            </w:r>
            <w:r w:rsidRPr="00452C68">
              <w:rPr>
                <w:b/>
                <w:bCs/>
                <w:noProof/>
                <w:webHidden/>
              </w:rPr>
              <w:fldChar w:fldCharType="end"/>
            </w:r>
          </w:hyperlink>
        </w:p>
        <w:p w14:paraId="766F66D5" w14:textId="413391C2" w:rsidR="002C6B9B" w:rsidRPr="00452C68" w:rsidRDefault="002C6B9B">
          <w:pPr>
            <w:pStyle w:val="TOC1"/>
            <w:tabs>
              <w:tab w:val="right" w:leader="dot" w:pos="9016"/>
            </w:tabs>
            <w:rPr>
              <w:rFonts w:eastAsiaTheme="minorEastAsia"/>
              <w:b/>
              <w:bCs/>
              <w:noProof/>
              <w:sz w:val="24"/>
              <w:szCs w:val="24"/>
              <w:lang w:eastAsia="en-GB"/>
            </w:rPr>
          </w:pPr>
          <w:hyperlink w:anchor="_Toc222130523" w:history="1">
            <w:r w:rsidRPr="00452C68">
              <w:rPr>
                <w:rStyle w:val="Hyperlink"/>
                <w:b/>
                <w:bCs/>
                <w:noProof/>
              </w:rPr>
              <w:t>Critical Analysis and Evaluation</w:t>
            </w:r>
            <w:r w:rsidRPr="00452C68">
              <w:rPr>
                <w:b/>
                <w:bCs/>
                <w:noProof/>
                <w:webHidden/>
              </w:rPr>
              <w:tab/>
            </w:r>
            <w:r w:rsidRPr="00452C68">
              <w:rPr>
                <w:b/>
                <w:bCs/>
                <w:noProof/>
                <w:webHidden/>
              </w:rPr>
              <w:fldChar w:fldCharType="begin"/>
            </w:r>
            <w:r w:rsidRPr="00452C68">
              <w:rPr>
                <w:b/>
                <w:bCs/>
                <w:noProof/>
                <w:webHidden/>
              </w:rPr>
              <w:instrText xml:space="preserve"> PAGEREF _Toc222130523 \h </w:instrText>
            </w:r>
            <w:r w:rsidRPr="00452C68">
              <w:rPr>
                <w:b/>
                <w:bCs/>
                <w:noProof/>
                <w:webHidden/>
              </w:rPr>
            </w:r>
            <w:r w:rsidRPr="00452C68">
              <w:rPr>
                <w:b/>
                <w:bCs/>
                <w:noProof/>
                <w:webHidden/>
              </w:rPr>
              <w:fldChar w:fldCharType="separate"/>
            </w:r>
            <w:r w:rsidR="00452C68" w:rsidRPr="00452C68">
              <w:rPr>
                <w:b/>
                <w:bCs/>
                <w:noProof/>
                <w:webHidden/>
              </w:rPr>
              <w:t>6</w:t>
            </w:r>
            <w:r w:rsidRPr="00452C68">
              <w:rPr>
                <w:b/>
                <w:bCs/>
                <w:noProof/>
                <w:webHidden/>
              </w:rPr>
              <w:fldChar w:fldCharType="end"/>
            </w:r>
          </w:hyperlink>
        </w:p>
        <w:p w14:paraId="2AC8FC6E" w14:textId="4FE942F5" w:rsidR="002C6B9B" w:rsidRPr="00452C68" w:rsidRDefault="002C6B9B">
          <w:pPr>
            <w:pStyle w:val="TOC1"/>
            <w:tabs>
              <w:tab w:val="right" w:leader="dot" w:pos="9016"/>
            </w:tabs>
            <w:rPr>
              <w:rFonts w:eastAsiaTheme="minorEastAsia"/>
              <w:b/>
              <w:bCs/>
              <w:noProof/>
              <w:sz w:val="24"/>
              <w:szCs w:val="24"/>
              <w:lang w:eastAsia="en-GB"/>
            </w:rPr>
          </w:pPr>
          <w:hyperlink w:anchor="_Toc222130524" w:history="1">
            <w:r w:rsidRPr="00452C68">
              <w:rPr>
                <w:rStyle w:val="Hyperlink"/>
                <w:b/>
                <w:bCs/>
                <w:noProof/>
              </w:rPr>
              <w:t>Conclusion</w:t>
            </w:r>
            <w:r w:rsidRPr="00452C68">
              <w:rPr>
                <w:b/>
                <w:bCs/>
                <w:noProof/>
                <w:webHidden/>
              </w:rPr>
              <w:tab/>
            </w:r>
            <w:r w:rsidRPr="00452C68">
              <w:rPr>
                <w:b/>
                <w:bCs/>
                <w:noProof/>
                <w:webHidden/>
              </w:rPr>
              <w:fldChar w:fldCharType="begin"/>
            </w:r>
            <w:r w:rsidRPr="00452C68">
              <w:rPr>
                <w:b/>
                <w:bCs/>
                <w:noProof/>
                <w:webHidden/>
              </w:rPr>
              <w:instrText xml:space="preserve"> PAGEREF _Toc222130524 \h </w:instrText>
            </w:r>
            <w:r w:rsidRPr="00452C68">
              <w:rPr>
                <w:b/>
                <w:bCs/>
                <w:noProof/>
                <w:webHidden/>
              </w:rPr>
            </w:r>
            <w:r w:rsidRPr="00452C68">
              <w:rPr>
                <w:b/>
                <w:bCs/>
                <w:noProof/>
                <w:webHidden/>
              </w:rPr>
              <w:fldChar w:fldCharType="separate"/>
            </w:r>
            <w:r w:rsidR="00452C68" w:rsidRPr="00452C68">
              <w:rPr>
                <w:b/>
                <w:bCs/>
                <w:noProof/>
                <w:webHidden/>
              </w:rPr>
              <w:t>8</w:t>
            </w:r>
            <w:r w:rsidRPr="00452C68">
              <w:rPr>
                <w:b/>
                <w:bCs/>
                <w:noProof/>
                <w:webHidden/>
              </w:rPr>
              <w:fldChar w:fldCharType="end"/>
            </w:r>
          </w:hyperlink>
        </w:p>
        <w:p w14:paraId="7B88D5F5" w14:textId="6B25B9E4" w:rsidR="002C6B9B" w:rsidRPr="00452C68" w:rsidRDefault="002C6B9B">
          <w:pPr>
            <w:pStyle w:val="TOC1"/>
            <w:tabs>
              <w:tab w:val="right" w:leader="dot" w:pos="9016"/>
            </w:tabs>
            <w:rPr>
              <w:rFonts w:eastAsiaTheme="minorEastAsia"/>
              <w:b/>
              <w:bCs/>
              <w:noProof/>
              <w:sz w:val="24"/>
              <w:szCs w:val="24"/>
              <w:lang w:eastAsia="en-GB"/>
            </w:rPr>
          </w:pPr>
          <w:hyperlink w:anchor="_Toc222130525" w:history="1">
            <w:r w:rsidRPr="00452C68">
              <w:rPr>
                <w:rStyle w:val="Hyperlink"/>
                <w:b/>
                <w:bCs/>
                <w:noProof/>
              </w:rPr>
              <w:t>References:</w:t>
            </w:r>
            <w:r w:rsidRPr="00452C68">
              <w:rPr>
                <w:b/>
                <w:bCs/>
                <w:noProof/>
                <w:webHidden/>
              </w:rPr>
              <w:tab/>
            </w:r>
            <w:r w:rsidRPr="00452C68">
              <w:rPr>
                <w:b/>
                <w:bCs/>
                <w:noProof/>
                <w:webHidden/>
              </w:rPr>
              <w:fldChar w:fldCharType="begin"/>
            </w:r>
            <w:r w:rsidRPr="00452C68">
              <w:rPr>
                <w:b/>
                <w:bCs/>
                <w:noProof/>
                <w:webHidden/>
              </w:rPr>
              <w:instrText xml:space="preserve"> PAGEREF _Toc222130525 \h </w:instrText>
            </w:r>
            <w:r w:rsidRPr="00452C68">
              <w:rPr>
                <w:b/>
                <w:bCs/>
                <w:noProof/>
                <w:webHidden/>
              </w:rPr>
            </w:r>
            <w:r w:rsidRPr="00452C68">
              <w:rPr>
                <w:b/>
                <w:bCs/>
                <w:noProof/>
                <w:webHidden/>
              </w:rPr>
              <w:fldChar w:fldCharType="separate"/>
            </w:r>
            <w:r w:rsidR="00452C68" w:rsidRPr="00452C68">
              <w:rPr>
                <w:b/>
                <w:bCs/>
                <w:noProof/>
                <w:webHidden/>
              </w:rPr>
              <w:t>8</w:t>
            </w:r>
            <w:r w:rsidRPr="00452C68">
              <w:rPr>
                <w:b/>
                <w:bCs/>
                <w:noProof/>
                <w:webHidden/>
              </w:rPr>
              <w:fldChar w:fldCharType="end"/>
            </w:r>
          </w:hyperlink>
        </w:p>
        <w:p w14:paraId="36F7247B" w14:textId="4B851B94" w:rsidR="006B3528" w:rsidRDefault="006B3528">
          <w:r>
            <w:rPr>
              <w:b/>
              <w:bCs/>
            </w:rPr>
            <w:fldChar w:fldCharType="end"/>
          </w:r>
        </w:p>
      </w:sdtContent>
    </w:sdt>
    <w:p w14:paraId="479D1216" w14:textId="77777777" w:rsidR="006B3528" w:rsidRDefault="006B3528" w:rsidP="00391C7D">
      <w:pPr>
        <w:pStyle w:val="Heading1"/>
        <w:spacing w:line="360" w:lineRule="auto"/>
        <w:jc w:val="both"/>
        <w:rPr>
          <w:color w:val="000000" w:themeColor="text1"/>
        </w:rPr>
      </w:pPr>
    </w:p>
    <w:p w14:paraId="74F166DE" w14:textId="77777777" w:rsidR="006B3528" w:rsidRDefault="006B3528">
      <w:pPr>
        <w:rPr>
          <w:rFonts w:asciiTheme="majorHAnsi" w:eastAsiaTheme="majorEastAsia" w:hAnsiTheme="majorHAnsi" w:cstheme="majorBidi"/>
          <w:color w:val="000000" w:themeColor="text1"/>
          <w:sz w:val="40"/>
          <w:szCs w:val="40"/>
        </w:rPr>
      </w:pPr>
      <w:r>
        <w:rPr>
          <w:color w:val="000000" w:themeColor="text1"/>
        </w:rPr>
        <w:br w:type="page"/>
      </w:r>
    </w:p>
    <w:p w14:paraId="37506EE9" w14:textId="6FCBB526" w:rsidR="007D5C26" w:rsidRPr="00391C7D" w:rsidRDefault="007D5C26" w:rsidP="00391C7D">
      <w:pPr>
        <w:pStyle w:val="Heading1"/>
        <w:spacing w:line="360" w:lineRule="auto"/>
        <w:jc w:val="both"/>
        <w:rPr>
          <w:color w:val="000000" w:themeColor="text1"/>
        </w:rPr>
      </w:pPr>
      <w:bookmarkStart w:id="0" w:name="_Toc222130517"/>
      <w:r w:rsidRPr="00391C7D">
        <w:rPr>
          <w:color w:val="000000" w:themeColor="text1"/>
        </w:rPr>
        <w:lastRenderedPageBreak/>
        <w:t>Introduction</w:t>
      </w:r>
      <w:bookmarkEnd w:id="0"/>
      <w:r w:rsidRPr="00391C7D">
        <w:rPr>
          <w:color w:val="000000" w:themeColor="text1"/>
        </w:rPr>
        <w:t xml:space="preserve"> </w:t>
      </w:r>
    </w:p>
    <w:p w14:paraId="0881831F" w14:textId="7DF36391" w:rsidR="007A630F" w:rsidRPr="00391C7D" w:rsidRDefault="00F60563" w:rsidP="00391C7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2096" behindDoc="0" locked="0" layoutInCell="1" allowOverlap="1" wp14:anchorId="5F73B8EC" wp14:editId="58AEA253">
            <wp:simplePos x="0" y="0"/>
            <wp:positionH relativeFrom="column">
              <wp:posOffset>-63500</wp:posOffset>
            </wp:positionH>
            <wp:positionV relativeFrom="paragraph">
              <wp:posOffset>68580</wp:posOffset>
            </wp:positionV>
            <wp:extent cx="3512820" cy="2343150"/>
            <wp:effectExtent l="0" t="0" r="0" b="0"/>
            <wp:wrapSquare wrapText="bothSides"/>
            <wp:docPr id="1539486775" name="Picture 1" descr="A building with a 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86775" name="Picture 1" descr="A building with a sign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2820" cy="2343150"/>
                    </a:xfrm>
                    <a:prstGeom prst="rect">
                      <a:avLst/>
                    </a:prstGeom>
                  </pic:spPr>
                </pic:pic>
              </a:graphicData>
            </a:graphic>
            <wp14:sizeRelH relativeFrom="margin">
              <wp14:pctWidth>0</wp14:pctWidth>
            </wp14:sizeRelH>
            <wp14:sizeRelV relativeFrom="margin">
              <wp14:pctHeight>0</wp14:pctHeight>
            </wp14:sizeRelV>
          </wp:anchor>
        </w:drawing>
      </w:r>
      <w:r w:rsidR="007D5C26" w:rsidRPr="00391C7D">
        <w:rPr>
          <w:rFonts w:ascii="Arial" w:hAnsi="Arial" w:cs="Arial"/>
          <w:sz w:val="24"/>
          <w:szCs w:val="24"/>
        </w:rPr>
        <w:t xml:space="preserve">Decision-making in the UK financial services industry takes place in a competitive and highly regulated environment, where organisations must respond to market pressures and changing customer needs (Johnson, Scholes and Whittington, 2021; Grant, 2022). In this context, Aviva is a major provider of insurance and long-term savings products in the UK. The company offers life and general insurance alongside retirement </w:t>
      </w:r>
      <w:proofErr w:type="gramStart"/>
      <w:r w:rsidR="007D5C26" w:rsidRPr="00391C7D">
        <w:rPr>
          <w:rFonts w:ascii="Arial" w:hAnsi="Arial" w:cs="Arial"/>
          <w:sz w:val="24"/>
          <w:szCs w:val="24"/>
        </w:rPr>
        <w:t>solutions, and</w:t>
      </w:r>
      <w:proofErr w:type="gramEnd"/>
      <w:r w:rsidR="007D5C26" w:rsidRPr="00391C7D">
        <w:rPr>
          <w:rFonts w:ascii="Arial" w:hAnsi="Arial" w:cs="Arial"/>
          <w:sz w:val="24"/>
          <w:szCs w:val="24"/>
        </w:rPr>
        <w:t xml:space="preserve"> holds a strong position in the domestic market supported by its scale and established customer base (Hooley et al., 2020). A SWOT analysis is used to examine internal strengths and weaknesses and external opportunities and threats, as this approach is widely applied in marketing planning and strategic analysis (Kotler and Armstrong, 2020; Vaněk, 2022).</w:t>
      </w:r>
    </w:p>
    <w:p w14:paraId="0061A6BB" w14:textId="3997C09C" w:rsidR="007D5C26" w:rsidRPr="00391C7D" w:rsidRDefault="00F60563" w:rsidP="00391C7D">
      <w:pPr>
        <w:spacing w:line="360" w:lineRule="auto"/>
        <w:jc w:val="both"/>
        <w:rPr>
          <w:rFonts w:ascii="Arial" w:hAnsi="Arial" w:cs="Arial"/>
          <w:sz w:val="24"/>
          <w:szCs w:val="24"/>
        </w:rPr>
      </w:pPr>
      <w:r>
        <w:rPr>
          <w:noProof/>
          <w:color w:val="000000" w:themeColor="text1"/>
        </w:rPr>
        <w:drawing>
          <wp:anchor distT="0" distB="0" distL="114300" distR="114300" simplePos="0" relativeHeight="251654144" behindDoc="0" locked="0" layoutInCell="1" allowOverlap="1" wp14:anchorId="796303B7" wp14:editId="10942FF8">
            <wp:simplePos x="0" y="0"/>
            <wp:positionH relativeFrom="column">
              <wp:posOffset>0</wp:posOffset>
            </wp:positionH>
            <wp:positionV relativeFrom="paragraph">
              <wp:posOffset>304800</wp:posOffset>
            </wp:positionV>
            <wp:extent cx="1924050" cy="1924050"/>
            <wp:effectExtent l="0" t="0" r="0" b="0"/>
            <wp:wrapSquare wrapText="bothSides"/>
            <wp:docPr id="412431404" name="Picture 2"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31404" name="Picture 2" descr="A diagram of swot analysi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4050" cy="1924050"/>
                    </a:xfrm>
                    <a:prstGeom prst="rect">
                      <a:avLst/>
                    </a:prstGeom>
                  </pic:spPr>
                </pic:pic>
              </a:graphicData>
            </a:graphic>
            <wp14:sizeRelH relativeFrom="margin">
              <wp14:pctWidth>0</wp14:pctWidth>
            </wp14:sizeRelH>
            <wp14:sizeRelV relativeFrom="margin">
              <wp14:pctHeight>0</wp14:pctHeight>
            </wp14:sizeRelV>
          </wp:anchor>
        </w:drawing>
      </w:r>
    </w:p>
    <w:p w14:paraId="732447D7" w14:textId="15C9AFF5" w:rsidR="007D5C26" w:rsidRPr="00391C7D" w:rsidRDefault="007D5C26" w:rsidP="00391C7D">
      <w:pPr>
        <w:pStyle w:val="Heading1"/>
        <w:spacing w:line="360" w:lineRule="auto"/>
        <w:jc w:val="both"/>
        <w:rPr>
          <w:color w:val="000000" w:themeColor="text1"/>
        </w:rPr>
      </w:pPr>
      <w:bookmarkStart w:id="1" w:name="_Toc222130518"/>
      <w:r w:rsidRPr="00391C7D">
        <w:rPr>
          <w:color w:val="000000" w:themeColor="text1"/>
        </w:rPr>
        <w:t>SWOT Analysis</w:t>
      </w:r>
      <w:bookmarkEnd w:id="1"/>
    </w:p>
    <w:p w14:paraId="1D6FF706" w14:textId="554F16E7" w:rsidR="007D5C26" w:rsidRPr="00391C7D" w:rsidRDefault="00871990" w:rsidP="00391C7D">
      <w:pPr>
        <w:spacing w:line="360" w:lineRule="auto"/>
        <w:jc w:val="both"/>
        <w:rPr>
          <w:rFonts w:ascii="Arial" w:hAnsi="Arial" w:cs="Arial"/>
          <w:sz w:val="24"/>
          <w:szCs w:val="24"/>
        </w:rPr>
      </w:pPr>
      <w:r w:rsidRPr="00871990">
        <w:rPr>
          <w:rFonts w:ascii="Arial" w:hAnsi="Arial" w:cs="Arial"/>
          <w:sz w:val="24"/>
          <w:szCs w:val="24"/>
        </w:rPr>
        <w:t>This SWOT analysis examines the internal and external factors influencing Aviva’s competitive position in the UK financial services market, with a focus on their implications for marketing decision-making (Vaněk, 2022).</w:t>
      </w:r>
    </w:p>
    <w:p w14:paraId="39AE8536" w14:textId="128AEB25" w:rsidR="00145FC4" w:rsidRDefault="00145FC4" w:rsidP="00391C7D">
      <w:pPr>
        <w:pStyle w:val="Heading2"/>
        <w:spacing w:line="360" w:lineRule="auto"/>
        <w:jc w:val="both"/>
        <w:rPr>
          <w:color w:val="000000" w:themeColor="text1"/>
        </w:rPr>
      </w:pPr>
    </w:p>
    <w:p w14:paraId="103EEF78" w14:textId="77777777" w:rsidR="00145FC4" w:rsidRPr="00145FC4" w:rsidRDefault="00145FC4" w:rsidP="00145FC4"/>
    <w:p w14:paraId="6B647147" w14:textId="1AE4DFA8" w:rsidR="007D5C26" w:rsidRPr="00391C7D" w:rsidRDefault="00145FC4" w:rsidP="00391C7D">
      <w:pPr>
        <w:pStyle w:val="Heading2"/>
        <w:spacing w:line="360" w:lineRule="auto"/>
        <w:jc w:val="both"/>
        <w:rPr>
          <w:color w:val="000000" w:themeColor="text1"/>
        </w:rPr>
      </w:pPr>
      <w:bookmarkStart w:id="2" w:name="_Toc222130519"/>
      <w:r>
        <w:rPr>
          <w:noProof/>
          <w:color w:val="000000" w:themeColor="text1"/>
        </w:rPr>
        <w:lastRenderedPageBreak/>
        <w:drawing>
          <wp:anchor distT="0" distB="0" distL="114300" distR="114300" simplePos="0" relativeHeight="251658240" behindDoc="0" locked="0" layoutInCell="1" allowOverlap="1" wp14:anchorId="345DB656" wp14:editId="2BF7661F">
            <wp:simplePos x="0" y="0"/>
            <wp:positionH relativeFrom="column">
              <wp:posOffset>-12700</wp:posOffset>
            </wp:positionH>
            <wp:positionV relativeFrom="paragraph">
              <wp:posOffset>137160</wp:posOffset>
            </wp:positionV>
            <wp:extent cx="1913890" cy="1664970"/>
            <wp:effectExtent l="152400" t="133350" r="124460" b="144780"/>
            <wp:wrapSquare wrapText="bothSides"/>
            <wp:docPr id="1259688754" name="Picture 4" descr="A weight on a gold med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88754" name="Picture 4" descr="A weight on a gold meda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3890" cy="166497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5C26" w:rsidRPr="00391C7D">
        <w:rPr>
          <w:color w:val="000000" w:themeColor="text1"/>
        </w:rPr>
        <w:t>Strengths</w:t>
      </w:r>
      <w:bookmarkEnd w:id="2"/>
    </w:p>
    <w:p w14:paraId="38850F04" w14:textId="05248710" w:rsidR="007D5C26" w:rsidRPr="00391C7D" w:rsidRDefault="007D5C26" w:rsidP="00391C7D">
      <w:pPr>
        <w:spacing w:line="360" w:lineRule="auto"/>
        <w:jc w:val="both"/>
        <w:rPr>
          <w:rFonts w:ascii="Arial" w:hAnsi="Arial" w:cs="Arial"/>
          <w:sz w:val="24"/>
          <w:szCs w:val="24"/>
        </w:rPr>
      </w:pPr>
      <w:r w:rsidRPr="00391C7D">
        <w:rPr>
          <w:rFonts w:ascii="Arial" w:hAnsi="Arial" w:cs="Arial"/>
          <w:sz w:val="24"/>
          <w:szCs w:val="24"/>
        </w:rPr>
        <w:t xml:space="preserve">Aviva’s long-established presence within the UK insurance and pensions market represents a key strength, as trust and perceived credibility play a central role in consumer choice for financial products (Solomon, Marshall and Stuart, 2017). The company’s broad customer base and scale of operations support effective risk diversification and cost efficiency, which are critical sources of competitive advantage in mature service markets (Porter, 2008). Aviva also benefits from a diversified product portfolio across insurance, pensions and long-term savings, which helps to reduce exposure to fluctuations in any single market segment (Hooley and </w:t>
      </w:r>
      <w:proofErr w:type="spellStart"/>
      <w:r w:rsidRPr="00391C7D">
        <w:rPr>
          <w:rFonts w:ascii="Arial" w:hAnsi="Arial" w:cs="Arial"/>
          <w:sz w:val="24"/>
          <w:szCs w:val="24"/>
        </w:rPr>
        <w:t>Nicoulaud</w:t>
      </w:r>
      <w:proofErr w:type="spellEnd"/>
      <w:r w:rsidRPr="00391C7D">
        <w:rPr>
          <w:rFonts w:ascii="Arial" w:hAnsi="Arial" w:cs="Arial"/>
          <w:sz w:val="24"/>
          <w:szCs w:val="24"/>
        </w:rPr>
        <w:t>, 2020).</w:t>
      </w:r>
    </w:p>
    <w:p w14:paraId="639DD056" w14:textId="42EAB69D" w:rsidR="007D5C26" w:rsidRPr="00391C7D" w:rsidRDefault="007D5C26" w:rsidP="00391C7D">
      <w:pPr>
        <w:spacing w:line="360" w:lineRule="auto"/>
        <w:jc w:val="both"/>
        <w:rPr>
          <w:rFonts w:ascii="Arial" w:hAnsi="Arial" w:cs="Arial"/>
          <w:sz w:val="24"/>
          <w:szCs w:val="24"/>
        </w:rPr>
      </w:pPr>
    </w:p>
    <w:p w14:paraId="384E62D0" w14:textId="4C648B92" w:rsidR="007D5C26" w:rsidRPr="00391C7D" w:rsidRDefault="00145FC4" w:rsidP="00391C7D">
      <w:pPr>
        <w:pStyle w:val="Heading2"/>
        <w:spacing w:line="360" w:lineRule="auto"/>
        <w:jc w:val="both"/>
        <w:rPr>
          <w:color w:val="000000" w:themeColor="text1"/>
        </w:rPr>
      </w:pPr>
      <w:bookmarkStart w:id="3" w:name="_Toc222130520"/>
      <w:r>
        <w:rPr>
          <w:noProof/>
          <w:color w:val="000000" w:themeColor="text1"/>
        </w:rPr>
        <w:drawing>
          <wp:anchor distT="0" distB="0" distL="114300" distR="114300" simplePos="0" relativeHeight="251662336" behindDoc="0" locked="0" layoutInCell="1" allowOverlap="1" wp14:anchorId="2BC04622" wp14:editId="533178E2">
            <wp:simplePos x="0" y="0"/>
            <wp:positionH relativeFrom="column">
              <wp:posOffset>0</wp:posOffset>
            </wp:positionH>
            <wp:positionV relativeFrom="paragraph">
              <wp:posOffset>-2540</wp:posOffset>
            </wp:positionV>
            <wp:extent cx="1915200" cy="1666800"/>
            <wp:effectExtent l="152400" t="133350" r="123190" b="143510"/>
            <wp:wrapSquare wrapText="bothSides"/>
            <wp:docPr id="1913295183" name="Picture 5" descr="A yellow chain with a broken ch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95183" name="Picture 5" descr="A yellow chain with a broken chai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15200" cy="1666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5C26" w:rsidRPr="00391C7D">
        <w:rPr>
          <w:color w:val="000000" w:themeColor="text1"/>
        </w:rPr>
        <w:t>Weaknesses</w:t>
      </w:r>
      <w:bookmarkEnd w:id="3"/>
    </w:p>
    <w:p w14:paraId="31A687A8" w14:textId="7DE849C7" w:rsidR="007D5C26" w:rsidRDefault="007D5C26" w:rsidP="00391C7D">
      <w:pPr>
        <w:spacing w:line="360" w:lineRule="auto"/>
        <w:jc w:val="both"/>
        <w:rPr>
          <w:rFonts w:ascii="Arial" w:hAnsi="Arial" w:cs="Arial"/>
          <w:sz w:val="24"/>
          <w:szCs w:val="24"/>
        </w:rPr>
      </w:pPr>
      <w:r w:rsidRPr="00391C7D">
        <w:rPr>
          <w:rFonts w:ascii="Arial" w:hAnsi="Arial" w:cs="Arial"/>
          <w:sz w:val="24"/>
          <w:szCs w:val="24"/>
        </w:rPr>
        <w:t>A significant weakness for Aviva relates to organisational complexity, which is common among large financial institutions. Complex structures can slow internal processes and limit the organisation’s ability to respond quickly to technological or market change (Johnson et al., 2020). High fixed costs associated with regulatory compliance, legacy systems and administration further constrain flexibility and may place Aviva at a disadvantage compared with newer, digitally native competitors (OECD, 2021). In addition, dependence on established systems may reduce the speed at which innovation and digital transformation initiatives can be implemented (Chaffey, 2022).</w:t>
      </w:r>
    </w:p>
    <w:p w14:paraId="26D300CB" w14:textId="77777777" w:rsidR="00145FC4" w:rsidRDefault="00145FC4" w:rsidP="00391C7D">
      <w:pPr>
        <w:spacing w:line="360" w:lineRule="auto"/>
        <w:jc w:val="both"/>
        <w:rPr>
          <w:rFonts w:ascii="Arial" w:hAnsi="Arial" w:cs="Arial"/>
          <w:sz w:val="24"/>
          <w:szCs w:val="24"/>
        </w:rPr>
      </w:pPr>
    </w:p>
    <w:p w14:paraId="2606FCB9" w14:textId="77777777" w:rsidR="00145FC4" w:rsidRDefault="00145FC4" w:rsidP="00391C7D">
      <w:pPr>
        <w:spacing w:line="360" w:lineRule="auto"/>
        <w:jc w:val="both"/>
        <w:rPr>
          <w:rFonts w:ascii="Arial" w:hAnsi="Arial" w:cs="Arial"/>
          <w:sz w:val="24"/>
          <w:szCs w:val="24"/>
        </w:rPr>
      </w:pPr>
    </w:p>
    <w:p w14:paraId="018B560F" w14:textId="77777777" w:rsidR="00145FC4" w:rsidRPr="00391C7D" w:rsidRDefault="00145FC4" w:rsidP="00391C7D">
      <w:pPr>
        <w:spacing w:line="360" w:lineRule="auto"/>
        <w:jc w:val="both"/>
        <w:rPr>
          <w:rFonts w:ascii="Arial" w:hAnsi="Arial" w:cs="Arial"/>
          <w:sz w:val="24"/>
          <w:szCs w:val="24"/>
        </w:rPr>
      </w:pPr>
    </w:p>
    <w:p w14:paraId="5CAEFFD0" w14:textId="6A00E996" w:rsidR="007D5C26" w:rsidRPr="00391C7D" w:rsidRDefault="007D5C26" w:rsidP="00391C7D">
      <w:pPr>
        <w:pStyle w:val="Heading2"/>
        <w:spacing w:line="360" w:lineRule="auto"/>
        <w:jc w:val="both"/>
        <w:rPr>
          <w:color w:val="000000" w:themeColor="text1"/>
        </w:rPr>
      </w:pPr>
    </w:p>
    <w:p w14:paraId="4098A8DA" w14:textId="44A3584D" w:rsidR="007D5C26" w:rsidRPr="00391C7D" w:rsidRDefault="00145FC4" w:rsidP="00391C7D">
      <w:pPr>
        <w:pStyle w:val="Heading2"/>
        <w:spacing w:line="360" w:lineRule="auto"/>
        <w:jc w:val="both"/>
        <w:rPr>
          <w:color w:val="000000" w:themeColor="text1"/>
        </w:rPr>
      </w:pPr>
      <w:bookmarkStart w:id="4" w:name="_Toc222130521"/>
      <w:r>
        <w:rPr>
          <w:noProof/>
          <w:color w:val="000000" w:themeColor="text1"/>
        </w:rPr>
        <w:drawing>
          <wp:anchor distT="0" distB="0" distL="114300" distR="114300" simplePos="0" relativeHeight="251664384" behindDoc="0" locked="0" layoutInCell="1" allowOverlap="1" wp14:anchorId="538158BE" wp14:editId="535DDE99">
            <wp:simplePos x="0" y="0"/>
            <wp:positionH relativeFrom="column">
              <wp:posOffset>152400</wp:posOffset>
            </wp:positionH>
            <wp:positionV relativeFrom="paragraph">
              <wp:posOffset>142240</wp:posOffset>
            </wp:positionV>
            <wp:extent cx="1915200" cy="1666800"/>
            <wp:effectExtent l="152400" t="133350" r="123190" b="143510"/>
            <wp:wrapSquare wrapText="bothSides"/>
            <wp:docPr id="977048464" name="Picture 6" descr="A blue eye and graph with arrow and ey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48464" name="Picture 6" descr="A blue eye and graph with arrow and ey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5200" cy="1666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5C26" w:rsidRPr="00391C7D">
        <w:rPr>
          <w:color w:val="000000" w:themeColor="text1"/>
        </w:rPr>
        <w:t>Opportunities</w:t>
      </w:r>
      <w:bookmarkEnd w:id="4"/>
    </w:p>
    <w:p w14:paraId="7F844C16" w14:textId="72B5D46D" w:rsidR="007D5C26" w:rsidRPr="00391C7D" w:rsidRDefault="007D5C26" w:rsidP="00391C7D">
      <w:pPr>
        <w:spacing w:line="360" w:lineRule="auto"/>
        <w:jc w:val="both"/>
        <w:rPr>
          <w:rFonts w:ascii="Arial" w:hAnsi="Arial" w:cs="Arial"/>
          <w:sz w:val="24"/>
          <w:szCs w:val="24"/>
        </w:rPr>
      </w:pPr>
      <w:r w:rsidRPr="00391C7D">
        <w:rPr>
          <w:rFonts w:ascii="Arial" w:hAnsi="Arial" w:cs="Arial"/>
          <w:sz w:val="24"/>
          <w:szCs w:val="24"/>
        </w:rPr>
        <w:t>Demographic and social trends in the UK present opportunities for Aviva, particularly increasing demand for pensions, retirement planning and long-term savings as life expectancy rises (ONS, 2023). Advances in digital technology also provide opportunities to improve service efficiency, enhance customer engagement and develop personalised financial products using data analytics (Verhoef et al., 2021). Furthermore, growing public and regulatory focus on environmental, social and governance (ESG) issues creates opportunities for Aviva to strengthen differentiation through responsible investment and sustainable insurance offerings (UN PRI, 2021).</w:t>
      </w:r>
    </w:p>
    <w:p w14:paraId="1167DED5" w14:textId="77777777" w:rsidR="007D5C26" w:rsidRPr="00391C7D" w:rsidRDefault="007D5C26" w:rsidP="00391C7D">
      <w:pPr>
        <w:spacing w:line="360" w:lineRule="auto"/>
        <w:jc w:val="both"/>
        <w:rPr>
          <w:rFonts w:ascii="Arial" w:hAnsi="Arial" w:cs="Arial"/>
          <w:sz w:val="24"/>
          <w:szCs w:val="24"/>
        </w:rPr>
      </w:pPr>
    </w:p>
    <w:p w14:paraId="58DC4826" w14:textId="36D801E4" w:rsidR="007D5C26" w:rsidRPr="00391C7D" w:rsidRDefault="00145FC4" w:rsidP="00391C7D">
      <w:pPr>
        <w:pStyle w:val="Heading2"/>
        <w:spacing w:line="360" w:lineRule="auto"/>
        <w:jc w:val="both"/>
        <w:rPr>
          <w:color w:val="000000" w:themeColor="text1"/>
        </w:rPr>
      </w:pPr>
      <w:bookmarkStart w:id="5" w:name="_Toc222130522"/>
      <w:r>
        <w:rPr>
          <w:noProof/>
          <w:color w:val="000000" w:themeColor="text1"/>
        </w:rPr>
        <w:drawing>
          <wp:anchor distT="0" distB="0" distL="114300" distR="114300" simplePos="0" relativeHeight="251660288" behindDoc="0" locked="0" layoutInCell="1" allowOverlap="1" wp14:anchorId="17CD4A71" wp14:editId="68139C3E">
            <wp:simplePos x="0" y="0"/>
            <wp:positionH relativeFrom="column">
              <wp:posOffset>0</wp:posOffset>
            </wp:positionH>
            <wp:positionV relativeFrom="paragraph">
              <wp:posOffset>-2540</wp:posOffset>
            </wp:positionV>
            <wp:extent cx="1915200" cy="1666800"/>
            <wp:effectExtent l="152400" t="133350" r="123190" b="143510"/>
            <wp:wrapSquare wrapText="bothSides"/>
            <wp:docPr id="1696490321" name="Picture 7" descr="A cartoon character wearing a hat and a red hoodie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90321" name="Picture 7" descr="A cartoon character wearing a hat and a red hoodie using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5200" cy="1666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5C26" w:rsidRPr="00391C7D">
        <w:rPr>
          <w:color w:val="000000" w:themeColor="text1"/>
        </w:rPr>
        <w:t>Threats</w:t>
      </w:r>
      <w:bookmarkEnd w:id="5"/>
    </w:p>
    <w:p w14:paraId="2CB3F430" w14:textId="72542E84" w:rsidR="007D5C26" w:rsidRPr="00391C7D" w:rsidRDefault="007D5C26" w:rsidP="00391C7D">
      <w:pPr>
        <w:spacing w:line="360" w:lineRule="auto"/>
        <w:jc w:val="both"/>
        <w:rPr>
          <w:rFonts w:ascii="Arial" w:hAnsi="Arial" w:cs="Arial"/>
          <w:sz w:val="24"/>
          <w:szCs w:val="24"/>
        </w:rPr>
      </w:pPr>
      <w:r w:rsidRPr="00391C7D">
        <w:rPr>
          <w:rFonts w:ascii="Arial" w:hAnsi="Arial" w:cs="Arial"/>
          <w:sz w:val="24"/>
          <w:szCs w:val="24"/>
        </w:rPr>
        <w:t>The UK financial services market is characterised by intense competition, with pressure from both established insurers and new fintech entrants offering lower-cost and simplified digital products (EY, 2023). Macroeconomic uncertainty, including inflation and interest rate volatility, may reduce consumer confidence and negatively affect demand for long-term financial commitments (Bank of England, 2023). Ongoing regulatory change also represents a persistent threat, as increased regulatory scrutiny may raise compliance costs and limit strategic freedom within product development and pricing decisions (OECD, 2021).</w:t>
      </w:r>
    </w:p>
    <w:p w14:paraId="69C3BBBB" w14:textId="2C39512C" w:rsidR="007D5C26" w:rsidRPr="00391C7D" w:rsidRDefault="007D5C26" w:rsidP="00391C7D">
      <w:pPr>
        <w:spacing w:line="360" w:lineRule="auto"/>
        <w:jc w:val="both"/>
        <w:rPr>
          <w:rFonts w:ascii="Arial" w:hAnsi="Arial" w:cs="Arial"/>
          <w:sz w:val="24"/>
          <w:szCs w:val="24"/>
        </w:rPr>
      </w:pPr>
    </w:p>
    <w:p w14:paraId="2ABD148A" w14:textId="77777777" w:rsidR="007D5C26" w:rsidRPr="00391C7D" w:rsidRDefault="007D5C26" w:rsidP="00391C7D">
      <w:pPr>
        <w:spacing w:line="360" w:lineRule="auto"/>
        <w:jc w:val="both"/>
        <w:rPr>
          <w:rFonts w:ascii="Arial" w:hAnsi="Arial" w:cs="Arial"/>
          <w:sz w:val="24"/>
          <w:szCs w:val="24"/>
        </w:rPr>
      </w:pPr>
    </w:p>
    <w:p w14:paraId="1FBE0D10" w14:textId="50B3BCA0" w:rsidR="00391C7D" w:rsidRPr="00391C7D" w:rsidRDefault="006241E1" w:rsidP="00391C7D">
      <w:pPr>
        <w:pStyle w:val="Heading1"/>
        <w:spacing w:line="360" w:lineRule="auto"/>
        <w:jc w:val="both"/>
        <w:rPr>
          <w:color w:val="000000" w:themeColor="text1"/>
        </w:rPr>
      </w:pPr>
      <w:bookmarkStart w:id="6" w:name="_Toc222130523"/>
      <w:r>
        <w:rPr>
          <w:noProof/>
          <w:color w:val="000000" w:themeColor="text1"/>
        </w:rPr>
        <w:lastRenderedPageBreak/>
        <w:drawing>
          <wp:anchor distT="0" distB="0" distL="114300" distR="114300" simplePos="0" relativeHeight="251656192" behindDoc="0" locked="0" layoutInCell="1" allowOverlap="1" wp14:anchorId="5B5F6F2C" wp14:editId="5ACFA927">
            <wp:simplePos x="0" y="0"/>
            <wp:positionH relativeFrom="column">
              <wp:posOffset>0</wp:posOffset>
            </wp:positionH>
            <wp:positionV relativeFrom="paragraph">
              <wp:posOffset>300990</wp:posOffset>
            </wp:positionV>
            <wp:extent cx="1758950" cy="1758950"/>
            <wp:effectExtent l="0" t="0" r="0" b="0"/>
            <wp:wrapSquare wrapText="bothSides"/>
            <wp:docPr id="387239716" name="Picture 3" descr="A clipboard with a magnifying glas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39716" name="Picture 3" descr="A clipboard with a magnifying glass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58950" cy="1758950"/>
                    </a:xfrm>
                    <a:prstGeom prst="rect">
                      <a:avLst/>
                    </a:prstGeom>
                  </pic:spPr>
                </pic:pic>
              </a:graphicData>
            </a:graphic>
            <wp14:sizeRelH relativeFrom="margin">
              <wp14:pctWidth>0</wp14:pctWidth>
            </wp14:sizeRelH>
            <wp14:sizeRelV relativeFrom="margin">
              <wp14:pctHeight>0</wp14:pctHeight>
            </wp14:sizeRelV>
          </wp:anchor>
        </w:drawing>
      </w:r>
      <w:r w:rsidR="00391C7D" w:rsidRPr="00391C7D">
        <w:rPr>
          <w:color w:val="000000" w:themeColor="text1"/>
        </w:rPr>
        <w:t>Critical Analysis and Evaluation</w:t>
      </w:r>
      <w:bookmarkEnd w:id="6"/>
    </w:p>
    <w:p w14:paraId="214B36CF" w14:textId="653972FF" w:rsidR="00391C7D" w:rsidRPr="00391C7D" w:rsidRDefault="00584D8E" w:rsidP="00391C7D">
      <w:pPr>
        <w:spacing w:line="360" w:lineRule="auto"/>
        <w:jc w:val="both"/>
        <w:rPr>
          <w:rFonts w:ascii="Arial" w:hAnsi="Arial" w:cs="Arial"/>
          <w:sz w:val="24"/>
          <w:szCs w:val="24"/>
        </w:rPr>
      </w:pPr>
      <w:r w:rsidRPr="00584D8E">
        <w:rPr>
          <w:rFonts w:ascii="Arial" w:hAnsi="Arial" w:cs="Arial"/>
          <w:sz w:val="24"/>
          <w:szCs w:val="24"/>
        </w:rPr>
        <w:t>The SWOT analysis shows that Aviva’s position is shaped by the need to maintain stability while also becoming more adaptable.</w:t>
      </w:r>
      <w:r>
        <w:rPr>
          <w:rFonts w:ascii="Arial" w:hAnsi="Arial" w:cs="Arial"/>
          <w:sz w:val="24"/>
          <w:szCs w:val="24"/>
        </w:rPr>
        <w:t xml:space="preserve"> </w:t>
      </w:r>
      <w:r w:rsidRPr="00584D8E">
        <w:rPr>
          <w:rFonts w:ascii="Arial" w:hAnsi="Arial" w:cs="Arial"/>
          <w:sz w:val="24"/>
          <w:szCs w:val="24"/>
        </w:rPr>
        <w:t>In practice, this means Aviva relies on its established strengths, but at the same time must respond more quickly to market and technological change.</w:t>
      </w:r>
      <w:r w:rsidR="00AE4C24">
        <w:rPr>
          <w:rFonts w:ascii="Arial" w:hAnsi="Arial" w:cs="Arial"/>
          <w:sz w:val="24"/>
          <w:szCs w:val="24"/>
        </w:rPr>
        <w:t xml:space="preserve"> </w:t>
      </w:r>
      <w:r w:rsidR="00391C7D" w:rsidRPr="00391C7D">
        <w:rPr>
          <w:rFonts w:ascii="Arial" w:hAnsi="Arial" w:cs="Arial"/>
          <w:sz w:val="24"/>
          <w:szCs w:val="24"/>
        </w:rPr>
        <w:t xml:space="preserve">While the company benefits from brand trust, scale and a diversified product base, these strengths do not automatically translate into sustained competitive advantage. Strategic management research shows that resources </w:t>
      </w:r>
      <w:r w:rsidR="00AE4C24">
        <w:rPr>
          <w:rFonts w:ascii="Arial" w:hAnsi="Arial" w:cs="Arial"/>
          <w:sz w:val="24"/>
          <w:szCs w:val="24"/>
        </w:rPr>
        <w:t>create value only when organisations can</w:t>
      </w:r>
      <w:r w:rsidR="00391C7D" w:rsidRPr="00391C7D">
        <w:rPr>
          <w:rFonts w:ascii="Arial" w:hAnsi="Arial" w:cs="Arial"/>
          <w:sz w:val="24"/>
          <w:szCs w:val="24"/>
        </w:rPr>
        <w:t xml:space="preserve"> reconfigure them in response to environmental change, particularly in industries facing technological disruption and regulatory pressure (Teece, </w:t>
      </w:r>
      <w:proofErr w:type="spellStart"/>
      <w:r w:rsidR="00391C7D" w:rsidRPr="00391C7D">
        <w:rPr>
          <w:rFonts w:ascii="Arial" w:hAnsi="Arial" w:cs="Arial"/>
          <w:sz w:val="24"/>
          <w:szCs w:val="24"/>
        </w:rPr>
        <w:t>Peteraf</w:t>
      </w:r>
      <w:proofErr w:type="spellEnd"/>
      <w:r w:rsidR="00391C7D" w:rsidRPr="00391C7D">
        <w:rPr>
          <w:rFonts w:ascii="Arial" w:hAnsi="Arial" w:cs="Arial"/>
          <w:sz w:val="24"/>
          <w:szCs w:val="24"/>
        </w:rPr>
        <w:t xml:space="preserve"> and Leih, 2016).</w:t>
      </w:r>
    </w:p>
    <w:p w14:paraId="3752F8E2" w14:textId="77777777" w:rsidR="00AE4C24" w:rsidRDefault="00391C7D" w:rsidP="00391C7D">
      <w:pPr>
        <w:spacing w:line="360" w:lineRule="auto"/>
        <w:jc w:val="both"/>
        <w:rPr>
          <w:rFonts w:ascii="Arial" w:hAnsi="Arial" w:cs="Arial"/>
          <w:sz w:val="24"/>
          <w:szCs w:val="24"/>
        </w:rPr>
      </w:pPr>
      <w:r w:rsidRPr="00391C7D">
        <w:rPr>
          <w:rFonts w:ascii="Arial" w:hAnsi="Arial" w:cs="Arial"/>
          <w:sz w:val="24"/>
          <w:szCs w:val="24"/>
        </w:rPr>
        <w:t xml:space="preserve">From a resource-based perspective, Aviva’s brand reputation and customer relationships represent assets that are difficult to imitate, which supports its competitive position in the UK financial services market (Barney, Ketchen and Wright, 2021). However, peer-reviewed studies also highlight that </w:t>
      </w:r>
      <w:r w:rsidR="00AE4C24">
        <w:rPr>
          <w:rFonts w:ascii="Arial" w:hAnsi="Arial" w:cs="Arial"/>
          <w:sz w:val="24"/>
          <w:szCs w:val="24"/>
        </w:rPr>
        <w:t>dominant businesses</w:t>
      </w:r>
      <w:r w:rsidRPr="00391C7D">
        <w:rPr>
          <w:rFonts w:ascii="Arial" w:hAnsi="Arial" w:cs="Arial"/>
          <w:sz w:val="24"/>
          <w:szCs w:val="24"/>
        </w:rPr>
        <w:t xml:space="preserve"> often struggle to convert such advantages into superior performance when organisational complexity restricts speed and innovation (Karimi and Walter, 2015). </w:t>
      </w:r>
      <w:r w:rsidR="00AE4C24" w:rsidRPr="00AE4C24">
        <w:rPr>
          <w:rFonts w:ascii="Arial" w:hAnsi="Arial" w:cs="Arial"/>
          <w:sz w:val="24"/>
          <w:szCs w:val="24"/>
        </w:rPr>
        <w:t>For Aviva, having complicated structures and old systems might make it harder to keep up with digital-first competitors, which could weaken the advantages that come with being a large company over time.</w:t>
      </w:r>
    </w:p>
    <w:p w14:paraId="68E0BA5C" w14:textId="7B6D9DFD" w:rsidR="00391C7D" w:rsidRPr="00391C7D" w:rsidRDefault="00391C7D" w:rsidP="00391C7D">
      <w:pPr>
        <w:spacing w:line="360" w:lineRule="auto"/>
        <w:jc w:val="both"/>
        <w:rPr>
          <w:rFonts w:ascii="Arial" w:hAnsi="Arial" w:cs="Arial"/>
          <w:sz w:val="24"/>
          <w:szCs w:val="24"/>
        </w:rPr>
      </w:pPr>
      <w:r w:rsidRPr="00391C7D">
        <w:rPr>
          <w:rFonts w:ascii="Arial" w:hAnsi="Arial" w:cs="Arial"/>
          <w:sz w:val="24"/>
          <w:szCs w:val="24"/>
        </w:rPr>
        <w:t>The external environment presents opportunities that appear well aligned with Aviva’s existing capabilities, particularly increasing demand for pensions and long-term savings driven by demographic change. Research on strategic fit suggests that alignment between internal strengths and external opportunities is associated with stronger performance in mature service sectors (Vorhies and Morgan, 2005). However, this opportunity is constrained by economic uncertainty and heightened consumer risk sensitivity, which may limit demand for long-term financial commitments (Baker et al., 2020). As a result, reliance on demographic trends alone is unlikely to secure growth without parallel improvements in flexibility and customer engagement.</w:t>
      </w:r>
    </w:p>
    <w:p w14:paraId="7509BFD6" w14:textId="77777777" w:rsidR="00391C7D" w:rsidRDefault="00391C7D" w:rsidP="00391C7D">
      <w:pPr>
        <w:spacing w:line="360" w:lineRule="auto"/>
        <w:jc w:val="both"/>
        <w:rPr>
          <w:rFonts w:ascii="Arial" w:hAnsi="Arial" w:cs="Arial"/>
          <w:sz w:val="24"/>
          <w:szCs w:val="24"/>
        </w:rPr>
      </w:pPr>
      <w:r w:rsidRPr="00391C7D">
        <w:rPr>
          <w:rFonts w:ascii="Arial" w:hAnsi="Arial" w:cs="Arial"/>
          <w:sz w:val="24"/>
          <w:szCs w:val="24"/>
        </w:rPr>
        <w:lastRenderedPageBreak/>
        <w:t xml:space="preserve">Competitive threats from fintech firms further challenge Aviva’s operating model. Studies of digital transformation show that new entrants often reshape markets by lowering costs and simplifying customer experiences, placing pressure on established firms to adapt or risk erosion of market share (Vial, 2019). In this context, Aviva’s strategic choices around digital investment </w:t>
      </w:r>
      <w:proofErr w:type="gramStart"/>
      <w:r w:rsidRPr="00391C7D">
        <w:rPr>
          <w:rFonts w:ascii="Arial" w:hAnsi="Arial" w:cs="Arial"/>
          <w:sz w:val="24"/>
          <w:szCs w:val="24"/>
        </w:rPr>
        <w:t>are</w:t>
      </w:r>
      <w:proofErr w:type="gramEnd"/>
      <w:r w:rsidRPr="00391C7D">
        <w:rPr>
          <w:rFonts w:ascii="Arial" w:hAnsi="Arial" w:cs="Arial"/>
          <w:sz w:val="24"/>
          <w:szCs w:val="24"/>
        </w:rPr>
        <w:t xml:space="preserve"> critical. Without meaningful organisational change, digital initiatives risk becoming incremental rather than transformative, limiting their impact on competitiveness.</w:t>
      </w:r>
    </w:p>
    <w:p w14:paraId="4763CBF2" w14:textId="5C74502E" w:rsidR="00297CB3" w:rsidRPr="00391C7D" w:rsidRDefault="00297CB3" w:rsidP="00391C7D">
      <w:pPr>
        <w:spacing w:line="360" w:lineRule="auto"/>
        <w:jc w:val="both"/>
        <w:rPr>
          <w:rFonts w:ascii="Arial" w:hAnsi="Arial" w:cs="Arial"/>
          <w:sz w:val="24"/>
          <w:szCs w:val="24"/>
        </w:rPr>
      </w:pPr>
      <w:r w:rsidRPr="00297CB3">
        <w:rPr>
          <w:rFonts w:ascii="Arial" w:hAnsi="Arial" w:cs="Arial"/>
          <w:sz w:val="24"/>
          <w:szCs w:val="24"/>
        </w:rPr>
        <w:t>From a strategic perspective, Aviva faces a clear trade-off between maintaining its traditionally cautious, risk-controlled operating model and pursuing faster digital and service innovation. A strategy focused primarily on risk minimisation may protect short-term stability</w:t>
      </w:r>
      <w:r>
        <w:rPr>
          <w:rFonts w:ascii="Arial" w:hAnsi="Arial" w:cs="Arial"/>
          <w:sz w:val="24"/>
          <w:szCs w:val="24"/>
        </w:rPr>
        <w:t>,</w:t>
      </w:r>
      <w:r w:rsidRPr="00297CB3">
        <w:rPr>
          <w:rFonts w:ascii="Arial" w:hAnsi="Arial" w:cs="Arial"/>
          <w:sz w:val="24"/>
          <w:szCs w:val="24"/>
        </w:rPr>
        <w:t xml:space="preserve"> but risks weakening customer value if service simplicity and responsiveness </w:t>
      </w:r>
      <w:proofErr w:type="gramStart"/>
      <w:r w:rsidRPr="00297CB3">
        <w:rPr>
          <w:rFonts w:ascii="Arial" w:hAnsi="Arial" w:cs="Arial"/>
          <w:sz w:val="24"/>
          <w:szCs w:val="24"/>
        </w:rPr>
        <w:t>lag behind</w:t>
      </w:r>
      <w:proofErr w:type="gramEnd"/>
      <w:r w:rsidRPr="00297CB3">
        <w:rPr>
          <w:rFonts w:ascii="Arial" w:hAnsi="Arial" w:cs="Arial"/>
          <w:sz w:val="24"/>
          <w:szCs w:val="24"/>
        </w:rPr>
        <w:t xml:space="preserve"> competitors. In contrast, a stronger emphasis on customer experience, digital personalisation and service differentiation could improve long-term competitiveness, though it may increase operational and regulatory complexity. Research suggests that firms in regulated service industries achieve stronger outcomes when innovation is aligned with customer value rather than cost reduction alone (Vorhies and Morgan, 2005; Verhoef et al., 2021). For Aviva, this implies that strategic decisions should prioritise marketing-led digital transformation that enhances customer engagement while retaining robust risk governance.</w:t>
      </w:r>
    </w:p>
    <w:p w14:paraId="64ACFC3D" w14:textId="01EB96B0" w:rsidR="006B3528" w:rsidRDefault="00584D8E" w:rsidP="006B3528">
      <w:pPr>
        <w:spacing w:line="360" w:lineRule="auto"/>
        <w:jc w:val="both"/>
        <w:rPr>
          <w:rFonts w:ascii="Arial" w:hAnsi="Arial" w:cs="Arial"/>
          <w:sz w:val="24"/>
          <w:szCs w:val="24"/>
        </w:rPr>
      </w:pPr>
      <w:r w:rsidRPr="00584D8E">
        <w:rPr>
          <w:rFonts w:ascii="Arial" w:hAnsi="Arial" w:cs="Arial"/>
          <w:sz w:val="24"/>
          <w:szCs w:val="24"/>
        </w:rPr>
        <w:t>Overall, Aviva’s long-term performance is likely to depend more on reducing internal rigidity than simply relying on its existing strengths.</w:t>
      </w:r>
      <w:r w:rsidR="00391C7D" w:rsidRPr="00391C7D">
        <w:rPr>
          <w:rFonts w:ascii="Arial" w:hAnsi="Arial" w:cs="Arial"/>
          <w:sz w:val="24"/>
          <w:szCs w:val="24"/>
        </w:rPr>
        <w:t xml:space="preserve"> </w:t>
      </w:r>
      <w:r w:rsidR="00AE4C24">
        <w:rPr>
          <w:rFonts w:ascii="Arial" w:hAnsi="Arial" w:cs="Arial"/>
          <w:sz w:val="24"/>
          <w:szCs w:val="24"/>
        </w:rPr>
        <w:t>Findings</w:t>
      </w:r>
      <w:r w:rsidR="00391C7D" w:rsidRPr="00391C7D">
        <w:rPr>
          <w:rFonts w:ascii="Arial" w:hAnsi="Arial" w:cs="Arial"/>
          <w:sz w:val="24"/>
          <w:szCs w:val="24"/>
        </w:rPr>
        <w:t xml:space="preserve"> from peer-reviewed research </w:t>
      </w:r>
      <w:r w:rsidR="00AE4C24">
        <w:rPr>
          <w:rFonts w:ascii="Arial" w:hAnsi="Arial" w:cs="Arial"/>
          <w:sz w:val="24"/>
          <w:szCs w:val="24"/>
        </w:rPr>
        <w:t>suggest</w:t>
      </w:r>
      <w:r w:rsidR="00391C7D" w:rsidRPr="00391C7D">
        <w:rPr>
          <w:rFonts w:ascii="Arial" w:hAnsi="Arial" w:cs="Arial"/>
          <w:sz w:val="24"/>
          <w:szCs w:val="24"/>
        </w:rPr>
        <w:t xml:space="preserve"> that firms capable of continuous learning and organisational renewal are better positioned to sustain performance under conditions of uncertainty (Teece et al., 2016; Barney et al., 2021). For Aviva, strategic decision-making must therefore balance risk management with a willingness to challenge established processes </w:t>
      </w:r>
      <w:proofErr w:type="gramStart"/>
      <w:r w:rsidR="00391C7D" w:rsidRPr="00391C7D">
        <w:rPr>
          <w:rFonts w:ascii="Arial" w:hAnsi="Arial" w:cs="Arial"/>
          <w:sz w:val="24"/>
          <w:szCs w:val="24"/>
        </w:rPr>
        <w:t>in order to</w:t>
      </w:r>
      <w:proofErr w:type="gramEnd"/>
      <w:r w:rsidR="00391C7D" w:rsidRPr="00391C7D">
        <w:rPr>
          <w:rFonts w:ascii="Arial" w:hAnsi="Arial" w:cs="Arial"/>
          <w:sz w:val="24"/>
          <w:szCs w:val="24"/>
        </w:rPr>
        <w:t xml:space="preserve"> remain competitive.</w:t>
      </w:r>
    </w:p>
    <w:p w14:paraId="00C526C9" w14:textId="77777777" w:rsidR="006B3528" w:rsidRDefault="006B3528" w:rsidP="006B3528">
      <w:pPr>
        <w:spacing w:line="360" w:lineRule="auto"/>
        <w:jc w:val="both"/>
        <w:rPr>
          <w:rFonts w:ascii="Arial" w:hAnsi="Arial" w:cs="Arial"/>
          <w:sz w:val="24"/>
          <w:szCs w:val="24"/>
        </w:rPr>
      </w:pPr>
    </w:p>
    <w:p w14:paraId="53999D81" w14:textId="77777777" w:rsidR="006B3528" w:rsidRPr="006B3528" w:rsidRDefault="006B3528" w:rsidP="006B3528">
      <w:pPr>
        <w:spacing w:line="360" w:lineRule="auto"/>
        <w:jc w:val="both"/>
        <w:rPr>
          <w:rFonts w:ascii="Arial" w:hAnsi="Arial" w:cs="Arial"/>
          <w:sz w:val="24"/>
          <w:szCs w:val="24"/>
        </w:rPr>
      </w:pPr>
    </w:p>
    <w:p w14:paraId="63475742" w14:textId="5C87E6C5" w:rsidR="00391C7D" w:rsidRDefault="00391C7D" w:rsidP="00391C7D">
      <w:pPr>
        <w:pStyle w:val="Heading1"/>
        <w:spacing w:line="360" w:lineRule="auto"/>
        <w:jc w:val="both"/>
        <w:rPr>
          <w:color w:val="000000" w:themeColor="text1"/>
        </w:rPr>
      </w:pPr>
      <w:bookmarkStart w:id="7" w:name="_Toc222130524"/>
      <w:r w:rsidRPr="00391C7D">
        <w:rPr>
          <w:color w:val="000000" w:themeColor="text1"/>
        </w:rPr>
        <w:lastRenderedPageBreak/>
        <w:t>Conclusion</w:t>
      </w:r>
      <w:bookmarkEnd w:id="7"/>
    </w:p>
    <w:p w14:paraId="5E94E3BA" w14:textId="77777777" w:rsidR="00391C7D" w:rsidRPr="00391C7D" w:rsidRDefault="00391C7D" w:rsidP="00391C7D">
      <w:pPr>
        <w:spacing w:line="360" w:lineRule="auto"/>
        <w:jc w:val="both"/>
        <w:rPr>
          <w:rFonts w:ascii="Arial" w:hAnsi="Arial" w:cs="Arial"/>
          <w:sz w:val="24"/>
          <w:szCs w:val="24"/>
        </w:rPr>
      </w:pPr>
      <w:r w:rsidRPr="00391C7D">
        <w:rPr>
          <w:rFonts w:ascii="Arial" w:hAnsi="Arial" w:cs="Arial"/>
          <w:sz w:val="24"/>
          <w:szCs w:val="24"/>
        </w:rPr>
        <w:t>This report has shown that Aviva’s strategic position is shaped by a combination of strong internal resources and significant external constraints. The SWOT analysis identified brand trust, scale and product diversification as key strengths, while organisational complexity and exposure to regulatory and technological change limit strategic flexibility. External opportunities linked to demographic change and demand for long-term savings align with Aviva’s core capabilities, yet these are tempered by economic uncertainty and increasing competitive pressure from digital-first firms.</w:t>
      </w:r>
    </w:p>
    <w:p w14:paraId="3B3E29A0" w14:textId="0C66731B" w:rsidR="006241E1" w:rsidRDefault="00391C7D" w:rsidP="00915CD6">
      <w:pPr>
        <w:spacing w:line="360" w:lineRule="auto"/>
        <w:jc w:val="both"/>
        <w:rPr>
          <w:color w:val="000000" w:themeColor="text1"/>
        </w:rPr>
      </w:pPr>
      <w:r w:rsidRPr="00391C7D">
        <w:rPr>
          <w:rFonts w:ascii="Arial" w:hAnsi="Arial" w:cs="Arial"/>
          <w:sz w:val="24"/>
          <w:szCs w:val="24"/>
        </w:rPr>
        <w:t xml:space="preserve">Based on this analysis, </w:t>
      </w:r>
      <w:r w:rsidR="00297CB3" w:rsidRPr="00297CB3">
        <w:rPr>
          <w:rFonts w:ascii="Arial" w:hAnsi="Arial" w:cs="Arial"/>
          <w:sz w:val="24"/>
          <w:szCs w:val="24"/>
        </w:rPr>
        <w:t>Aviva should prioritise strategic decisions that reduce structural rigidity while accelerating marketing-led digital transformation, with a particular focus on service differentiation, customer experience and long-term value creation within pensions and savings markets</w:t>
      </w:r>
      <w:r w:rsidRPr="00391C7D">
        <w:rPr>
          <w:rFonts w:ascii="Arial" w:hAnsi="Arial" w:cs="Arial"/>
          <w:sz w:val="24"/>
          <w:szCs w:val="24"/>
        </w:rPr>
        <w:t xml:space="preserve">. Investment in organisational learning and process simplification would improve responsiveness without undermining risk management. </w:t>
      </w:r>
      <w:r w:rsidR="00915CD6" w:rsidRPr="00915CD6">
        <w:rPr>
          <w:rFonts w:ascii="Arial" w:hAnsi="Arial" w:cs="Arial"/>
          <w:sz w:val="24"/>
          <w:szCs w:val="24"/>
        </w:rPr>
        <w:t xml:space="preserve">The results also highlight the importance of situational analysis in strategic planning, as it allows </w:t>
      </w:r>
      <w:r w:rsidR="00915CD6">
        <w:rPr>
          <w:rFonts w:ascii="Arial" w:hAnsi="Arial" w:cs="Arial"/>
          <w:sz w:val="24"/>
          <w:szCs w:val="24"/>
        </w:rPr>
        <w:t>organisations</w:t>
      </w:r>
      <w:r w:rsidR="00915CD6" w:rsidRPr="00915CD6">
        <w:rPr>
          <w:rFonts w:ascii="Arial" w:hAnsi="Arial" w:cs="Arial"/>
          <w:sz w:val="24"/>
          <w:szCs w:val="24"/>
        </w:rPr>
        <w:t xml:space="preserve"> to evaluate the relationship between internal strengths and external circumstances, facilitating more informed and resilient strategic decision-making in complex and uncertain environments.</w:t>
      </w:r>
    </w:p>
    <w:p w14:paraId="209171C7" w14:textId="2AB56E25" w:rsidR="007D5C26" w:rsidRPr="00391C7D" w:rsidRDefault="007D5C26" w:rsidP="00391C7D">
      <w:pPr>
        <w:pStyle w:val="Heading1"/>
        <w:rPr>
          <w:color w:val="000000" w:themeColor="text1"/>
        </w:rPr>
      </w:pPr>
      <w:bookmarkStart w:id="8" w:name="_Toc222130525"/>
      <w:r w:rsidRPr="00391C7D">
        <w:rPr>
          <w:color w:val="000000" w:themeColor="text1"/>
        </w:rPr>
        <w:t>R</w:t>
      </w:r>
      <w:r w:rsidR="006B3528">
        <w:rPr>
          <w:color w:val="000000" w:themeColor="text1"/>
        </w:rPr>
        <w:t>eferences:</w:t>
      </w:r>
      <w:bookmarkEnd w:id="8"/>
    </w:p>
    <w:p w14:paraId="37BFA998"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Baker, S.R., Bloom, N., Davis, S.J. and Terry, S.J. (2020) ‘COVID-induced economic uncertainty’, </w:t>
      </w:r>
      <w:r w:rsidRPr="00391C7D">
        <w:rPr>
          <w:rFonts w:ascii="Arial" w:hAnsi="Arial" w:cs="Arial"/>
          <w:i/>
          <w:iCs/>
          <w:sz w:val="24"/>
          <w:szCs w:val="24"/>
        </w:rPr>
        <w:t>National Bureau of Economic Research Working Paper</w:t>
      </w:r>
      <w:r w:rsidRPr="00391C7D">
        <w:rPr>
          <w:rFonts w:ascii="Arial" w:hAnsi="Arial" w:cs="Arial"/>
          <w:sz w:val="24"/>
          <w:szCs w:val="24"/>
        </w:rPr>
        <w:t>, 26983.</w:t>
      </w:r>
    </w:p>
    <w:p w14:paraId="4ED9ED2E"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Bank of England (2023) </w:t>
      </w:r>
      <w:r w:rsidRPr="00391C7D">
        <w:rPr>
          <w:rFonts w:ascii="Arial" w:hAnsi="Arial" w:cs="Arial"/>
          <w:i/>
          <w:iCs/>
          <w:sz w:val="24"/>
          <w:szCs w:val="24"/>
        </w:rPr>
        <w:t>Financial Stability Report</w:t>
      </w:r>
      <w:r w:rsidRPr="00391C7D">
        <w:rPr>
          <w:rFonts w:ascii="Arial" w:hAnsi="Arial" w:cs="Arial"/>
          <w:sz w:val="24"/>
          <w:szCs w:val="24"/>
        </w:rPr>
        <w:t>. London: Bank of England.</w:t>
      </w:r>
    </w:p>
    <w:p w14:paraId="196CEA0F"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Barney, J.B., Ketchen, D.J. and Wright, M. (2021) ‘Bold voices and new opportunities: An expanded resource-based view’, </w:t>
      </w:r>
      <w:r w:rsidRPr="00391C7D">
        <w:rPr>
          <w:rFonts w:ascii="Arial" w:hAnsi="Arial" w:cs="Arial"/>
          <w:i/>
          <w:iCs/>
          <w:sz w:val="24"/>
          <w:szCs w:val="24"/>
        </w:rPr>
        <w:t>Journal of Management</w:t>
      </w:r>
      <w:r w:rsidRPr="00391C7D">
        <w:rPr>
          <w:rFonts w:ascii="Arial" w:hAnsi="Arial" w:cs="Arial"/>
          <w:sz w:val="24"/>
          <w:szCs w:val="24"/>
        </w:rPr>
        <w:t>, 47(7), pp. 1671–1695.</w:t>
      </w:r>
    </w:p>
    <w:p w14:paraId="025C0DF5"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Chaffey, D. (2022) </w:t>
      </w:r>
      <w:r w:rsidRPr="00391C7D">
        <w:rPr>
          <w:rFonts w:ascii="Arial" w:hAnsi="Arial" w:cs="Arial"/>
          <w:i/>
          <w:iCs/>
          <w:sz w:val="24"/>
          <w:szCs w:val="24"/>
        </w:rPr>
        <w:t>Digital Business and E-Commerce Management</w:t>
      </w:r>
      <w:r w:rsidRPr="00391C7D">
        <w:rPr>
          <w:rFonts w:ascii="Arial" w:hAnsi="Arial" w:cs="Arial"/>
          <w:sz w:val="24"/>
          <w:szCs w:val="24"/>
        </w:rPr>
        <w:t xml:space="preserve">. 8th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20900E94"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EY (2023) </w:t>
      </w:r>
      <w:r w:rsidRPr="00391C7D">
        <w:rPr>
          <w:rFonts w:ascii="Arial" w:hAnsi="Arial" w:cs="Arial"/>
          <w:i/>
          <w:iCs/>
          <w:sz w:val="24"/>
          <w:szCs w:val="24"/>
        </w:rPr>
        <w:t>UK Insurance Outlook</w:t>
      </w:r>
      <w:r w:rsidRPr="00391C7D">
        <w:rPr>
          <w:rFonts w:ascii="Arial" w:hAnsi="Arial" w:cs="Arial"/>
          <w:sz w:val="24"/>
          <w:szCs w:val="24"/>
        </w:rPr>
        <w:t>. London: Ernst &amp; Young.</w:t>
      </w:r>
    </w:p>
    <w:p w14:paraId="518BFB70"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Grant, R.M. (2022) </w:t>
      </w:r>
      <w:r w:rsidRPr="00391C7D">
        <w:rPr>
          <w:rFonts w:ascii="Arial" w:hAnsi="Arial" w:cs="Arial"/>
          <w:i/>
          <w:iCs/>
          <w:sz w:val="24"/>
          <w:szCs w:val="24"/>
        </w:rPr>
        <w:t>Contemporary Strategy Analysis</w:t>
      </w:r>
      <w:r w:rsidRPr="00391C7D">
        <w:rPr>
          <w:rFonts w:ascii="Arial" w:hAnsi="Arial" w:cs="Arial"/>
          <w:sz w:val="24"/>
          <w:szCs w:val="24"/>
        </w:rPr>
        <w:t xml:space="preserve">. 11th </w:t>
      </w:r>
      <w:proofErr w:type="spellStart"/>
      <w:r w:rsidRPr="00391C7D">
        <w:rPr>
          <w:rFonts w:ascii="Arial" w:hAnsi="Arial" w:cs="Arial"/>
          <w:sz w:val="24"/>
          <w:szCs w:val="24"/>
        </w:rPr>
        <w:t>edn</w:t>
      </w:r>
      <w:proofErr w:type="spellEnd"/>
      <w:r w:rsidRPr="00391C7D">
        <w:rPr>
          <w:rFonts w:ascii="Arial" w:hAnsi="Arial" w:cs="Arial"/>
          <w:sz w:val="24"/>
          <w:szCs w:val="24"/>
        </w:rPr>
        <w:t>. Chichester: John Wiley &amp; Sons.</w:t>
      </w:r>
    </w:p>
    <w:p w14:paraId="0239E6F6"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Hooley, G.J., Piercy, N.F. and Nicoulaud, B. (2020) </w:t>
      </w:r>
      <w:r w:rsidRPr="00391C7D">
        <w:rPr>
          <w:rFonts w:ascii="Arial" w:hAnsi="Arial" w:cs="Arial"/>
          <w:i/>
          <w:iCs/>
          <w:sz w:val="24"/>
          <w:szCs w:val="24"/>
        </w:rPr>
        <w:t>Marketing Strategy and Competitive Positioning</w:t>
      </w:r>
      <w:r w:rsidRPr="00391C7D">
        <w:rPr>
          <w:rFonts w:ascii="Arial" w:hAnsi="Arial" w:cs="Arial"/>
          <w:sz w:val="24"/>
          <w:szCs w:val="24"/>
        </w:rPr>
        <w:t xml:space="preserve">. 7th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025E14BB"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Johnson, G., Scholes, K. and Whittington, R. (2020) </w:t>
      </w:r>
      <w:r w:rsidRPr="00391C7D">
        <w:rPr>
          <w:rFonts w:ascii="Arial" w:hAnsi="Arial" w:cs="Arial"/>
          <w:i/>
          <w:iCs/>
          <w:sz w:val="24"/>
          <w:szCs w:val="24"/>
        </w:rPr>
        <w:t>Exploring Strategy</w:t>
      </w:r>
      <w:r w:rsidRPr="00391C7D">
        <w:rPr>
          <w:rFonts w:ascii="Arial" w:hAnsi="Arial" w:cs="Arial"/>
          <w:sz w:val="24"/>
          <w:szCs w:val="24"/>
        </w:rPr>
        <w:t xml:space="preserve">. 11th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6E4E0799"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Johnson, G., Scholes, K. and Whittington, R. (2021) </w:t>
      </w:r>
      <w:r w:rsidRPr="00391C7D">
        <w:rPr>
          <w:rFonts w:ascii="Arial" w:hAnsi="Arial" w:cs="Arial"/>
          <w:i/>
          <w:iCs/>
          <w:sz w:val="24"/>
          <w:szCs w:val="24"/>
        </w:rPr>
        <w:t>Exploring Strategy: Text and Cases</w:t>
      </w:r>
      <w:r w:rsidRPr="00391C7D">
        <w:rPr>
          <w:rFonts w:ascii="Arial" w:hAnsi="Arial" w:cs="Arial"/>
          <w:sz w:val="24"/>
          <w:szCs w:val="24"/>
        </w:rPr>
        <w:t xml:space="preserve">. 12th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42867C3A"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lastRenderedPageBreak/>
        <w:t xml:space="preserve">Karimi, J. and Walter, Z. (2015) ‘The role of dynamic capabilities in responding to digital disruption’, </w:t>
      </w:r>
      <w:r w:rsidRPr="00391C7D">
        <w:rPr>
          <w:rFonts w:ascii="Arial" w:hAnsi="Arial" w:cs="Arial"/>
          <w:i/>
          <w:iCs/>
          <w:sz w:val="24"/>
          <w:szCs w:val="24"/>
        </w:rPr>
        <w:t>MIS Quarterly</w:t>
      </w:r>
      <w:r w:rsidRPr="00391C7D">
        <w:rPr>
          <w:rFonts w:ascii="Arial" w:hAnsi="Arial" w:cs="Arial"/>
          <w:sz w:val="24"/>
          <w:szCs w:val="24"/>
        </w:rPr>
        <w:t>, 39(1), pp. 261–280.</w:t>
      </w:r>
    </w:p>
    <w:p w14:paraId="3C5894D0"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Kotler, P. and Armstrong, G. (2020) </w:t>
      </w:r>
      <w:r w:rsidRPr="00391C7D">
        <w:rPr>
          <w:rFonts w:ascii="Arial" w:hAnsi="Arial" w:cs="Arial"/>
          <w:i/>
          <w:iCs/>
          <w:sz w:val="24"/>
          <w:szCs w:val="24"/>
        </w:rPr>
        <w:t>Principles of Marketing</w:t>
      </w:r>
      <w:r w:rsidRPr="00391C7D">
        <w:rPr>
          <w:rFonts w:ascii="Arial" w:hAnsi="Arial" w:cs="Arial"/>
          <w:sz w:val="24"/>
          <w:szCs w:val="24"/>
        </w:rPr>
        <w:t xml:space="preserve">. 18th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2D51BDF0"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Office for National Statistics (ONS) (2023) </w:t>
      </w:r>
      <w:r w:rsidRPr="00391C7D">
        <w:rPr>
          <w:rFonts w:ascii="Arial" w:hAnsi="Arial" w:cs="Arial"/>
          <w:i/>
          <w:iCs/>
          <w:sz w:val="24"/>
          <w:szCs w:val="24"/>
        </w:rPr>
        <w:t>Overview of the UK Population</w:t>
      </w:r>
      <w:r w:rsidRPr="00391C7D">
        <w:rPr>
          <w:rFonts w:ascii="Arial" w:hAnsi="Arial" w:cs="Arial"/>
          <w:sz w:val="24"/>
          <w:szCs w:val="24"/>
        </w:rPr>
        <w:t>. London: ONS.</w:t>
      </w:r>
    </w:p>
    <w:p w14:paraId="33F079E1"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OECD (2021) </w:t>
      </w:r>
      <w:r w:rsidRPr="00391C7D">
        <w:rPr>
          <w:rFonts w:ascii="Arial" w:hAnsi="Arial" w:cs="Arial"/>
          <w:i/>
          <w:iCs/>
          <w:sz w:val="24"/>
          <w:szCs w:val="24"/>
        </w:rPr>
        <w:t>Financial Consumer Protection and Regulation</w:t>
      </w:r>
      <w:r w:rsidRPr="00391C7D">
        <w:rPr>
          <w:rFonts w:ascii="Arial" w:hAnsi="Arial" w:cs="Arial"/>
          <w:sz w:val="24"/>
          <w:szCs w:val="24"/>
        </w:rPr>
        <w:t>. Paris: OECD Publishing.</w:t>
      </w:r>
    </w:p>
    <w:p w14:paraId="2B80707A"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Porter, M.E. (2008) ‘The five competitive forces that shape strategy’, </w:t>
      </w:r>
      <w:r w:rsidRPr="00391C7D">
        <w:rPr>
          <w:rFonts w:ascii="Arial" w:hAnsi="Arial" w:cs="Arial"/>
          <w:i/>
          <w:iCs/>
          <w:sz w:val="24"/>
          <w:szCs w:val="24"/>
        </w:rPr>
        <w:t>Harvard Business Review</w:t>
      </w:r>
      <w:r w:rsidRPr="00391C7D">
        <w:rPr>
          <w:rFonts w:ascii="Arial" w:hAnsi="Arial" w:cs="Arial"/>
          <w:sz w:val="24"/>
          <w:szCs w:val="24"/>
        </w:rPr>
        <w:t>, 86(1), pp. 78–93.</w:t>
      </w:r>
    </w:p>
    <w:p w14:paraId="7967B396"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Richardson, J.G. and Carolina Cooperative (2021) </w:t>
      </w:r>
      <w:r w:rsidRPr="00391C7D">
        <w:rPr>
          <w:rFonts w:ascii="Arial" w:hAnsi="Arial" w:cs="Arial"/>
          <w:i/>
          <w:iCs/>
          <w:sz w:val="24"/>
          <w:szCs w:val="24"/>
        </w:rPr>
        <w:t>Situational Analysis</w:t>
      </w:r>
      <w:r w:rsidRPr="00391C7D">
        <w:rPr>
          <w:rFonts w:ascii="Arial" w:hAnsi="Arial" w:cs="Arial"/>
          <w:sz w:val="24"/>
          <w:szCs w:val="24"/>
        </w:rPr>
        <w:t>. Raleigh, NC: Cooperative Extension Service.</w:t>
      </w:r>
    </w:p>
    <w:p w14:paraId="1A617555"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Solomon, M., Marshall, G. and Stuart, E. (2017) </w:t>
      </w:r>
      <w:r w:rsidRPr="00391C7D">
        <w:rPr>
          <w:rFonts w:ascii="Arial" w:hAnsi="Arial" w:cs="Arial"/>
          <w:i/>
          <w:iCs/>
          <w:sz w:val="24"/>
          <w:szCs w:val="24"/>
        </w:rPr>
        <w:t>Marketing: Real People, Real Choices</w:t>
      </w:r>
      <w:r w:rsidRPr="00391C7D">
        <w:rPr>
          <w:rFonts w:ascii="Arial" w:hAnsi="Arial" w:cs="Arial"/>
          <w:sz w:val="24"/>
          <w:szCs w:val="24"/>
        </w:rPr>
        <w:t xml:space="preserve">. 9th </w:t>
      </w:r>
      <w:proofErr w:type="spellStart"/>
      <w:r w:rsidRPr="00391C7D">
        <w:rPr>
          <w:rFonts w:ascii="Arial" w:hAnsi="Arial" w:cs="Arial"/>
          <w:sz w:val="24"/>
          <w:szCs w:val="24"/>
        </w:rPr>
        <w:t>edn</w:t>
      </w:r>
      <w:proofErr w:type="spellEnd"/>
      <w:r w:rsidRPr="00391C7D">
        <w:rPr>
          <w:rFonts w:ascii="Arial" w:hAnsi="Arial" w:cs="Arial"/>
          <w:sz w:val="24"/>
          <w:szCs w:val="24"/>
        </w:rPr>
        <w:t>. Harlow: Pearson Education.</w:t>
      </w:r>
    </w:p>
    <w:p w14:paraId="27DF10D4"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Teece, D.J., </w:t>
      </w:r>
      <w:proofErr w:type="spellStart"/>
      <w:r w:rsidRPr="00391C7D">
        <w:rPr>
          <w:rFonts w:ascii="Arial" w:hAnsi="Arial" w:cs="Arial"/>
          <w:sz w:val="24"/>
          <w:szCs w:val="24"/>
        </w:rPr>
        <w:t>Peteraf</w:t>
      </w:r>
      <w:proofErr w:type="spellEnd"/>
      <w:r w:rsidRPr="00391C7D">
        <w:rPr>
          <w:rFonts w:ascii="Arial" w:hAnsi="Arial" w:cs="Arial"/>
          <w:sz w:val="24"/>
          <w:szCs w:val="24"/>
        </w:rPr>
        <w:t xml:space="preserve">, M.A. and Leih, S. (2016) ‘Dynamic capabilities and organisational agility’, </w:t>
      </w:r>
      <w:r w:rsidRPr="00391C7D">
        <w:rPr>
          <w:rFonts w:ascii="Arial" w:hAnsi="Arial" w:cs="Arial"/>
          <w:i/>
          <w:iCs/>
          <w:sz w:val="24"/>
          <w:szCs w:val="24"/>
        </w:rPr>
        <w:t>California Management Review</w:t>
      </w:r>
      <w:r w:rsidRPr="00391C7D">
        <w:rPr>
          <w:rFonts w:ascii="Arial" w:hAnsi="Arial" w:cs="Arial"/>
          <w:sz w:val="24"/>
          <w:szCs w:val="24"/>
        </w:rPr>
        <w:t>, 58(4), pp. 13–35.</w:t>
      </w:r>
    </w:p>
    <w:p w14:paraId="33954B6A"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UN Principles for Responsible Investment (2021) </w:t>
      </w:r>
      <w:r w:rsidRPr="00391C7D">
        <w:rPr>
          <w:rFonts w:ascii="Arial" w:hAnsi="Arial" w:cs="Arial"/>
          <w:i/>
          <w:iCs/>
          <w:sz w:val="24"/>
          <w:szCs w:val="24"/>
        </w:rPr>
        <w:t>Responsible Investment and Insurance</w:t>
      </w:r>
      <w:r w:rsidRPr="00391C7D">
        <w:rPr>
          <w:rFonts w:ascii="Arial" w:hAnsi="Arial" w:cs="Arial"/>
          <w:sz w:val="24"/>
          <w:szCs w:val="24"/>
        </w:rPr>
        <w:t>. London: UN PRI.</w:t>
      </w:r>
    </w:p>
    <w:p w14:paraId="017AF668"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Vaněk, M. (2022) ‘Evaluation methods of SWOT analysis’, </w:t>
      </w:r>
      <w:proofErr w:type="spellStart"/>
      <w:r w:rsidRPr="00391C7D">
        <w:rPr>
          <w:rFonts w:ascii="Arial" w:hAnsi="Arial" w:cs="Arial"/>
          <w:i/>
          <w:iCs/>
          <w:sz w:val="24"/>
          <w:szCs w:val="24"/>
        </w:rPr>
        <w:t>GeoScience</w:t>
      </w:r>
      <w:proofErr w:type="spellEnd"/>
      <w:r w:rsidRPr="00391C7D">
        <w:rPr>
          <w:rFonts w:ascii="Arial" w:hAnsi="Arial" w:cs="Arial"/>
          <w:i/>
          <w:iCs/>
          <w:sz w:val="24"/>
          <w:szCs w:val="24"/>
        </w:rPr>
        <w:t xml:space="preserve"> Engineering</w:t>
      </w:r>
      <w:r w:rsidRPr="00391C7D">
        <w:rPr>
          <w:rFonts w:ascii="Arial" w:hAnsi="Arial" w:cs="Arial"/>
          <w:sz w:val="24"/>
          <w:szCs w:val="24"/>
        </w:rPr>
        <w:t>, 58(2), pp. 23–31.</w:t>
      </w:r>
    </w:p>
    <w:p w14:paraId="654B9F8A"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Verhoef, P.C. et al. (2021) ‘Digital transformation: A multidisciplinary reflection’, </w:t>
      </w:r>
      <w:r w:rsidRPr="00391C7D">
        <w:rPr>
          <w:rFonts w:ascii="Arial" w:hAnsi="Arial" w:cs="Arial"/>
          <w:i/>
          <w:iCs/>
          <w:sz w:val="24"/>
          <w:szCs w:val="24"/>
        </w:rPr>
        <w:t>Journal of Business Research</w:t>
      </w:r>
      <w:r w:rsidRPr="00391C7D">
        <w:rPr>
          <w:rFonts w:ascii="Arial" w:hAnsi="Arial" w:cs="Arial"/>
          <w:sz w:val="24"/>
          <w:szCs w:val="24"/>
        </w:rPr>
        <w:t>, 122, pp. 889–901.</w:t>
      </w:r>
    </w:p>
    <w:p w14:paraId="21344DF9"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Vial, G. (2019) ‘Understanding digital transformation: A review and research agenda’, </w:t>
      </w:r>
      <w:r w:rsidRPr="00391C7D">
        <w:rPr>
          <w:rFonts w:ascii="Arial" w:hAnsi="Arial" w:cs="Arial"/>
          <w:i/>
          <w:iCs/>
          <w:sz w:val="24"/>
          <w:szCs w:val="24"/>
        </w:rPr>
        <w:t>Journal of Strategic Information Systems</w:t>
      </w:r>
      <w:r w:rsidRPr="00391C7D">
        <w:rPr>
          <w:rFonts w:ascii="Arial" w:hAnsi="Arial" w:cs="Arial"/>
          <w:sz w:val="24"/>
          <w:szCs w:val="24"/>
        </w:rPr>
        <w:t>, 28(2), pp. 118–144.</w:t>
      </w:r>
    </w:p>
    <w:p w14:paraId="6EA00A6B" w14:textId="77777777" w:rsidR="00391C7D" w:rsidRPr="00391C7D" w:rsidRDefault="00391C7D" w:rsidP="00391C7D">
      <w:pPr>
        <w:pStyle w:val="ListParagraph"/>
        <w:numPr>
          <w:ilvl w:val="0"/>
          <w:numId w:val="1"/>
        </w:numPr>
        <w:rPr>
          <w:rFonts w:ascii="Arial" w:hAnsi="Arial" w:cs="Arial"/>
          <w:sz w:val="24"/>
          <w:szCs w:val="24"/>
        </w:rPr>
      </w:pPr>
      <w:r w:rsidRPr="00391C7D">
        <w:rPr>
          <w:rFonts w:ascii="Arial" w:hAnsi="Arial" w:cs="Arial"/>
          <w:sz w:val="24"/>
          <w:szCs w:val="24"/>
        </w:rPr>
        <w:t xml:space="preserve">Vorhies, D.W. and Morgan, N.A. (2005) ‘Benchmarking marketing capabilities for sustainable competitive advantage’, </w:t>
      </w:r>
      <w:r w:rsidRPr="00391C7D">
        <w:rPr>
          <w:rFonts w:ascii="Arial" w:hAnsi="Arial" w:cs="Arial"/>
          <w:i/>
          <w:iCs/>
          <w:sz w:val="24"/>
          <w:szCs w:val="24"/>
        </w:rPr>
        <w:t>Journal of Marketing</w:t>
      </w:r>
      <w:r w:rsidRPr="00391C7D">
        <w:rPr>
          <w:rFonts w:ascii="Arial" w:hAnsi="Arial" w:cs="Arial"/>
          <w:sz w:val="24"/>
          <w:szCs w:val="24"/>
        </w:rPr>
        <w:t>, 69(1), pp. 80–94.</w:t>
      </w:r>
    </w:p>
    <w:p w14:paraId="6049DC57" w14:textId="77777777" w:rsidR="007D5C26" w:rsidRPr="00391C7D" w:rsidRDefault="007D5C26" w:rsidP="007D5C26">
      <w:pPr>
        <w:rPr>
          <w:rFonts w:ascii="Arial" w:hAnsi="Arial" w:cs="Arial"/>
          <w:sz w:val="24"/>
          <w:szCs w:val="24"/>
        </w:rPr>
      </w:pPr>
    </w:p>
    <w:sectPr w:rsidR="007D5C26" w:rsidRPr="00391C7D" w:rsidSect="0078441A">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FD98C" w14:textId="77777777" w:rsidR="00A56883" w:rsidRDefault="00A56883" w:rsidP="006B3528">
      <w:pPr>
        <w:spacing w:after="0" w:line="240" w:lineRule="auto"/>
      </w:pPr>
      <w:r>
        <w:separator/>
      </w:r>
    </w:p>
  </w:endnote>
  <w:endnote w:type="continuationSeparator" w:id="0">
    <w:p w14:paraId="152B1735" w14:textId="77777777" w:rsidR="00A56883" w:rsidRDefault="00A56883" w:rsidP="006B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5C8C" w14:textId="77777777" w:rsidR="00A56883" w:rsidRDefault="00A56883" w:rsidP="006B3528">
      <w:pPr>
        <w:spacing w:after="0" w:line="240" w:lineRule="auto"/>
      </w:pPr>
      <w:r>
        <w:separator/>
      </w:r>
    </w:p>
  </w:footnote>
  <w:footnote w:type="continuationSeparator" w:id="0">
    <w:p w14:paraId="231078EF" w14:textId="77777777" w:rsidR="00A56883" w:rsidRDefault="00A56883" w:rsidP="006B3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443A" w14:textId="009974F4" w:rsidR="006B3528" w:rsidRDefault="006B3528">
    <w:pPr>
      <w:pStyle w:val="Header"/>
    </w:pPr>
    <w:r>
      <w:rPr>
        <w:color w:val="7F7F7F" w:themeColor="background1" w:themeShade="7F"/>
        <w:spacing w:val="60"/>
      </w:rPr>
      <w:t>Page</w:t>
    </w:r>
    <w:r>
      <w:t xml:space="preserve"> | </w:t>
    </w:r>
    <w:r>
      <w:fldChar w:fldCharType="begin"/>
    </w:r>
    <w:r>
      <w:instrText>PAGE   \* MERGEFORMAT</w:instrText>
    </w:r>
    <w:r>
      <w:fldChar w:fldCharType="separate"/>
    </w:r>
    <w:r>
      <w:rPr>
        <w:b/>
        <w:bCs/>
      </w:rPr>
      <w:t>1</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50E"/>
    <w:multiLevelType w:val="hybridMultilevel"/>
    <w:tmpl w:val="3C9A3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313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0A32"/>
    <w:rsid w:val="00006A45"/>
    <w:rsid w:val="0002026A"/>
    <w:rsid w:val="0002069F"/>
    <w:rsid w:val="000213B9"/>
    <w:rsid w:val="0002509C"/>
    <w:rsid w:val="00042C8C"/>
    <w:rsid w:val="00042FAC"/>
    <w:rsid w:val="00043591"/>
    <w:rsid w:val="00050CF5"/>
    <w:rsid w:val="00052148"/>
    <w:rsid w:val="00061ECD"/>
    <w:rsid w:val="00070786"/>
    <w:rsid w:val="00070D45"/>
    <w:rsid w:val="0007449F"/>
    <w:rsid w:val="000747FD"/>
    <w:rsid w:val="00084C12"/>
    <w:rsid w:val="00085FC3"/>
    <w:rsid w:val="000916B5"/>
    <w:rsid w:val="000917E3"/>
    <w:rsid w:val="00093115"/>
    <w:rsid w:val="00094833"/>
    <w:rsid w:val="000953A4"/>
    <w:rsid w:val="000A6CED"/>
    <w:rsid w:val="000B1DD7"/>
    <w:rsid w:val="000C612C"/>
    <w:rsid w:val="000D0BF7"/>
    <w:rsid w:val="000D2E63"/>
    <w:rsid w:val="000D776F"/>
    <w:rsid w:val="000E5A62"/>
    <w:rsid w:val="001029A4"/>
    <w:rsid w:val="00103923"/>
    <w:rsid w:val="001243B5"/>
    <w:rsid w:val="00135F15"/>
    <w:rsid w:val="00137EFE"/>
    <w:rsid w:val="00145FC4"/>
    <w:rsid w:val="001471BE"/>
    <w:rsid w:val="00157F55"/>
    <w:rsid w:val="00165ECC"/>
    <w:rsid w:val="001820A0"/>
    <w:rsid w:val="00187C7D"/>
    <w:rsid w:val="001A27A3"/>
    <w:rsid w:val="001B0885"/>
    <w:rsid w:val="001B2B7F"/>
    <w:rsid w:val="001C3464"/>
    <w:rsid w:val="001C34B6"/>
    <w:rsid w:val="001E6C97"/>
    <w:rsid w:val="001E6F7C"/>
    <w:rsid w:val="001E7CAB"/>
    <w:rsid w:val="001F0169"/>
    <w:rsid w:val="001F1EC8"/>
    <w:rsid w:val="002013D0"/>
    <w:rsid w:val="0020447A"/>
    <w:rsid w:val="002119FF"/>
    <w:rsid w:val="00212884"/>
    <w:rsid w:val="00216B54"/>
    <w:rsid w:val="00220D3F"/>
    <w:rsid w:val="00222913"/>
    <w:rsid w:val="002251EE"/>
    <w:rsid w:val="0023394F"/>
    <w:rsid w:val="002368BB"/>
    <w:rsid w:val="00264FE6"/>
    <w:rsid w:val="00273B50"/>
    <w:rsid w:val="00297CB3"/>
    <w:rsid w:val="002A6C09"/>
    <w:rsid w:val="002B0409"/>
    <w:rsid w:val="002B6D21"/>
    <w:rsid w:val="002C29BC"/>
    <w:rsid w:val="002C6B9B"/>
    <w:rsid w:val="002C6F27"/>
    <w:rsid w:val="002E0319"/>
    <w:rsid w:val="002E1B7F"/>
    <w:rsid w:val="002E632C"/>
    <w:rsid w:val="00303651"/>
    <w:rsid w:val="0030565E"/>
    <w:rsid w:val="00320900"/>
    <w:rsid w:val="00320D57"/>
    <w:rsid w:val="003278DB"/>
    <w:rsid w:val="00335EB8"/>
    <w:rsid w:val="00336B3D"/>
    <w:rsid w:val="003405C7"/>
    <w:rsid w:val="0035631C"/>
    <w:rsid w:val="00361229"/>
    <w:rsid w:val="00365E32"/>
    <w:rsid w:val="00382501"/>
    <w:rsid w:val="00385E69"/>
    <w:rsid w:val="00387852"/>
    <w:rsid w:val="0039019F"/>
    <w:rsid w:val="00391C7D"/>
    <w:rsid w:val="00394689"/>
    <w:rsid w:val="003A6F63"/>
    <w:rsid w:val="003B1E68"/>
    <w:rsid w:val="003D2774"/>
    <w:rsid w:val="003D438F"/>
    <w:rsid w:val="003D5039"/>
    <w:rsid w:val="003E1174"/>
    <w:rsid w:val="003E160A"/>
    <w:rsid w:val="003E69A8"/>
    <w:rsid w:val="00402714"/>
    <w:rsid w:val="00412D05"/>
    <w:rsid w:val="00413E36"/>
    <w:rsid w:val="00432BE8"/>
    <w:rsid w:val="00435F34"/>
    <w:rsid w:val="0043624E"/>
    <w:rsid w:val="00437F7D"/>
    <w:rsid w:val="00445BD6"/>
    <w:rsid w:val="004505A0"/>
    <w:rsid w:val="00450EFE"/>
    <w:rsid w:val="004515C2"/>
    <w:rsid w:val="00451B0E"/>
    <w:rsid w:val="00452C68"/>
    <w:rsid w:val="00453053"/>
    <w:rsid w:val="004556D2"/>
    <w:rsid w:val="00455D3C"/>
    <w:rsid w:val="00464072"/>
    <w:rsid w:val="0046698D"/>
    <w:rsid w:val="00470659"/>
    <w:rsid w:val="00480791"/>
    <w:rsid w:val="00480AB6"/>
    <w:rsid w:val="004908E2"/>
    <w:rsid w:val="00491703"/>
    <w:rsid w:val="004A50B1"/>
    <w:rsid w:val="004A5B7A"/>
    <w:rsid w:val="004A5C46"/>
    <w:rsid w:val="004B0576"/>
    <w:rsid w:val="004B2E6C"/>
    <w:rsid w:val="004B3B44"/>
    <w:rsid w:val="004B43D2"/>
    <w:rsid w:val="004B5621"/>
    <w:rsid w:val="004C0802"/>
    <w:rsid w:val="004C1F0D"/>
    <w:rsid w:val="004C372F"/>
    <w:rsid w:val="004C3CCE"/>
    <w:rsid w:val="004C6C62"/>
    <w:rsid w:val="004C7025"/>
    <w:rsid w:val="004C7297"/>
    <w:rsid w:val="004D6225"/>
    <w:rsid w:val="004D62C4"/>
    <w:rsid w:val="004E677C"/>
    <w:rsid w:val="004F1B62"/>
    <w:rsid w:val="004F1DC2"/>
    <w:rsid w:val="004F4A86"/>
    <w:rsid w:val="004F55D2"/>
    <w:rsid w:val="00505B23"/>
    <w:rsid w:val="00512F25"/>
    <w:rsid w:val="00513903"/>
    <w:rsid w:val="005212D9"/>
    <w:rsid w:val="00521B47"/>
    <w:rsid w:val="00524C91"/>
    <w:rsid w:val="00545022"/>
    <w:rsid w:val="00553B73"/>
    <w:rsid w:val="0055717A"/>
    <w:rsid w:val="0055786F"/>
    <w:rsid w:val="00563E9B"/>
    <w:rsid w:val="00566CD3"/>
    <w:rsid w:val="00584D8E"/>
    <w:rsid w:val="005861B7"/>
    <w:rsid w:val="00594523"/>
    <w:rsid w:val="00594693"/>
    <w:rsid w:val="005A24AB"/>
    <w:rsid w:val="005A3365"/>
    <w:rsid w:val="005A657D"/>
    <w:rsid w:val="005B401D"/>
    <w:rsid w:val="005C35A2"/>
    <w:rsid w:val="005C3DB4"/>
    <w:rsid w:val="005C74F4"/>
    <w:rsid w:val="005D02EB"/>
    <w:rsid w:val="005D243A"/>
    <w:rsid w:val="005E5136"/>
    <w:rsid w:val="00604959"/>
    <w:rsid w:val="00606752"/>
    <w:rsid w:val="00611DC6"/>
    <w:rsid w:val="0061221E"/>
    <w:rsid w:val="00617342"/>
    <w:rsid w:val="00617775"/>
    <w:rsid w:val="00617982"/>
    <w:rsid w:val="00620883"/>
    <w:rsid w:val="00620B49"/>
    <w:rsid w:val="00622D9B"/>
    <w:rsid w:val="00623E7D"/>
    <w:rsid w:val="006241E1"/>
    <w:rsid w:val="00625C69"/>
    <w:rsid w:val="0063213E"/>
    <w:rsid w:val="006541A7"/>
    <w:rsid w:val="006662E7"/>
    <w:rsid w:val="00670CC2"/>
    <w:rsid w:val="00671C20"/>
    <w:rsid w:val="00683A21"/>
    <w:rsid w:val="00687096"/>
    <w:rsid w:val="00690015"/>
    <w:rsid w:val="006A64E2"/>
    <w:rsid w:val="006A701F"/>
    <w:rsid w:val="006B271E"/>
    <w:rsid w:val="006B3398"/>
    <w:rsid w:val="006B3528"/>
    <w:rsid w:val="006D1FB3"/>
    <w:rsid w:val="006D2FF0"/>
    <w:rsid w:val="006D75C2"/>
    <w:rsid w:val="006E2F83"/>
    <w:rsid w:val="006E78A6"/>
    <w:rsid w:val="00716D65"/>
    <w:rsid w:val="0074408C"/>
    <w:rsid w:val="007565A2"/>
    <w:rsid w:val="00774548"/>
    <w:rsid w:val="00776653"/>
    <w:rsid w:val="007803FE"/>
    <w:rsid w:val="0078191E"/>
    <w:rsid w:val="0078441A"/>
    <w:rsid w:val="00790C7C"/>
    <w:rsid w:val="007926AA"/>
    <w:rsid w:val="007A18B0"/>
    <w:rsid w:val="007A630F"/>
    <w:rsid w:val="007A77FA"/>
    <w:rsid w:val="007B1B23"/>
    <w:rsid w:val="007B2D11"/>
    <w:rsid w:val="007B68BE"/>
    <w:rsid w:val="007C0032"/>
    <w:rsid w:val="007D4EC3"/>
    <w:rsid w:val="007D5C26"/>
    <w:rsid w:val="007E0054"/>
    <w:rsid w:val="007F0850"/>
    <w:rsid w:val="00812B13"/>
    <w:rsid w:val="00812DBE"/>
    <w:rsid w:val="00814C07"/>
    <w:rsid w:val="00820990"/>
    <w:rsid w:val="00833A57"/>
    <w:rsid w:val="008463BF"/>
    <w:rsid w:val="00856A5A"/>
    <w:rsid w:val="00863981"/>
    <w:rsid w:val="008702AC"/>
    <w:rsid w:val="00870866"/>
    <w:rsid w:val="00871990"/>
    <w:rsid w:val="00882752"/>
    <w:rsid w:val="008851EE"/>
    <w:rsid w:val="00886A4F"/>
    <w:rsid w:val="00893D14"/>
    <w:rsid w:val="00894E82"/>
    <w:rsid w:val="0089698C"/>
    <w:rsid w:val="008C079A"/>
    <w:rsid w:val="008C22FD"/>
    <w:rsid w:val="008C7F33"/>
    <w:rsid w:val="008D0B77"/>
    <w:rsid w:val="008D2CBC"/>
    <w:rsid w:val="008E3B22"/>
    <w:rsid w:val="008F0A32"/>
    <w:rsid w:val="008F0B01"/>
    <w:rsid w:val="009013B6"/>
    <w:rsid w:val="009015A6"/>
    <w:rsid w:val="0090176B"/>
    <w:rsid w:val="00906FA7"/>
    <w:rsid w:val="0091533F"/>
    <w:rsid w:val="00915CD6"/>
    <w:rsid w:val="00923298"/>
    <w:rsid w:val="00926295"/>
    <w:rsid w:val="009324BD"/>
    <w:rsid w:val="00937C5A"/>
    <w:rsid w:val="00937C6C"/>
    <w:rsid w:val="009475F9"/>
    <w:rsid w:val="0095756E"/>
    <w:rsid w:val="00964A3C"/>
    <w:rsid w:val="00971D1D"/>
    <w:rsid w:val="00982D71"/>
    <w:rsid w:val="00995CF6"/>
    <w:rsid w:val="009B07DC"/>
    <w:rsid w:val="009B3370"/>
    <w:rsid w:val="009B4F9A"/>
    <w:rsid w:val="009C0A67"/>
    <w:rsid w:val="009D662F"/>
    <w:rsid w:val="009D6C67"/>
    <w:rsid w:val="009D7520"/>
    <w:rsid w:val="009E4492"/>
    <w:rsid w:val="009F05DD"/>
    <w:rsid w:val="009F4E85"/>
    <w:rsid w:val="00A16DF1"/>
    <w:rsid w:val="00A31334"/>
    <w:rsid w:val="00A3489E"/>
    <w:rsid w:val="00A36F16"/>
    <w:rsid w:val="00A50483"/>
    <w:rsid w:val="00A56883"/>
    <w:rsid w:val="00A60F7B"/>
    <w:rsid w:val="00A64946"/>
    <w:rsid w:val="00A72998"/>
    <w:rsid w:val="00A74539"/>
    <w:rsid w:val="00A95E2B"/>
    <w:rsid w:val="00A976E0"/>
    <w:rsid w:val="00AA19F7"/>
    <w:rsid w:val="00AB6B53"/>
    <w:rsid w:val="00AC73D6"/>
    <w:rsid w:val="00AD7239"/>
    <w:rsid w:val="00AD7FBB"/>
    <w:rsid w:val="00AE4C24"/>
    <w:rsid w:val="00AF4719"/>
    <w:rsid w:val="00B10E29"/>
    <w:rsid w:val="00B15B7B"/>
    <w:rsid w:val="00B24E0B"/>
    <w:rsid w:val="00B26CE9"/>
    <w:rsid w:val="00B315E5"/>
    <w:rsid w:val="00B320E9"/>
    <w:rsid w:val="00B456FA"/>
    <w:rsid w:val="00B457D8"/>
    <w:rsid w:val="00B465A3"/>
    <w:rsid w:val="00B47511"/>
    <w:rsid w:val="00B53F6F"/>
    <w:rsid w:val="00B60BCA"/>
    <w:rsid w:val="00B64318"/>
    <w:rsid w:val="00B64D82"/>
    <w:rsid w:val="00B71592"/>
    <w:rsid w:val="00B737E5"/>
    <w:rsid w:val="00B85D19"/>
    <w:rsid w:val="00BA0336"/>
    <w:rsid w:val="00BA10AF"/>
    <w:rsid w:val="00BA6C2A"/>
    <w:rsid w:val="00BB007E"/>
    <w:rsid w:val="00BC57C4"/>
    <w:rsid w:val="00BD044D"/>
    <w:rsid w:val="00BD1CD9"/>
    <w:rsid w:val="00BD6BBB"/>
    <w:rsid w:val="00BE089D"/>
    <w:rsid w:val="00BE2029"/>
    <w:rsid w:val="00BE2FBB"/>
    <w:rsid w:val="00BE3BD9"/>
    <w:rsid w:val="00BF7373"/>
    <w:rsid w:val="00BF79ED"/>
    <w:rsid w:val="00C03DCC"/>
    <w:rsid w:val="00C16ECC"/>
    <w:rsid w:val="00C23541"/>
    <w:rsid w:val="00C4733C"/>
    <w:rsid w:val="00C62202"/>
    <w:rsid w:val="00C671E1"/>
    <w:rsid w:val="00C77BEA"/>
    <w:rsid w:val="00C81C83"/>
    <w:rsid w:val="00C83FDD"/>
    <w:rsid w:val="00C976D2"/>
    <w:rsid w:val="00CA18E7"/>
    <w:rsid w:val="00CA52DF"/>
    <w:rsid w:val="00CA5DFD"/>
    <w:rsid w:val="00CB1883"/>
    <w:rsid w:val="00CC6BBD"/>
    <w:rsid w:val="00D00FA2"/>
    <w:rsid w:val="00D15B01"/>
    <w:rsid w:val="00D1751A"/>
    <w:rsid w:val="00D21C5C"/>
    <w:rsid w:val="00D311D2"/>
    <w:rsid w:val="00D3542A"/>
    <w:rsid w:val="00D46CB3"/>
    <w:rsid w:val="00D5273E"/>
    <w:rsid w:val="00D6177F"/>
    <w:rsid w:val="00D6236A"/>
    <w:rsid w:val="00D62E6D"/>
    <w:rsid w:val="00D80145"/>
    <w:rsid w:val="00D93FC6"/>
    <w:rsid w:val="00D95395"/>
    <w:rsid w:val="00DB04A4"/>
    <w:rsid w:val="00DB2517"/>
    <w:rsid w:val="00DB349C"/>
    <w:rsid w:val="00DB5E13"/>
    <w:rsid w:val="00DD2EA7"/>
    <w:rsid w:val="00E0519E"/>
    <w:rsid w:val="00E06D4D"/>
    <w:rsid w:val="00E072B0"/>
    <w:rsid w:val="00E10CF6"/>
    <w:rsid w:val="00E16103"/>
    <w:rsid w:val="00E36E2F"/>
    <w:rsid w:val="00E66011"/>
    <w:rsid w:val="00E85EF2"/>
    <w:rsid w:val="00E86790"/>
    <w:rsid w:val="00EA2632"/>
    <w:rsid w:val="00EA3052"/>
    <w:rsid w:val="00EB180E"/>
    <w:rsid w:val="00EC6E70"/>
    <w:rsid w:val="00EE4246"/>
    <w:rsid w:val="00EF1C44"/>
    <w:rsid w:val="00EF7540"/>
    <w:rsid w:val="00F050E0"/>
    <w:rsid w:val="00F21FB3"/>
    <w:rsid w:val="00F37463"/>
    <w:rsid w:val="00F4168D"/>
    <w:rsid w:val="00F57416"/>
    <w:rsid w:val="00F60563"/>
    <w:rsid w:val="00F66997"/>
    <w:rsid w:val="00F71EC4"/>
    <w:rsid w:val="00F76848"/>
    <w:rsid w:val="00F94A39"/>
    <w:rsid w:val="00F9744D"/>
    <w:rsid w:val="00FB0B8E"/>
    <w:rsid w:val="00FC5EB1"/>
    <w:rsid w:val="00FD5DFB"/>
    <w:rsid w:val="00FE0D41"/>
    <w:rsid w:val="00FE5D76"/>
    <w:rsid w:val="00FF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7240317"/>
  <w15:chartTrackingRefBased/>
  <w15:docId w15:val="{8B5D7316-D315-4F14-8654-08C69411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A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A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A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A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A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A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A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A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A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A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A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A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A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A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A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A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A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A32"/>
    <w:rPr>
      <w:rFonts w:eastAsiaTheme="majorEastAsia" w:cstheme="majorBidi"/>
      <w:color w:val="272727" w:themeColor="text1" w:themeTint="D8"/>
    </w:rPr>
  </w:style>
  <w:style w:type="paragraph" w:styleId="Title">
    <w:name w:val="Title"/>
    <w:basedOn w:val="Normal"/>
    <w:next w:val="Normal"/>
    <w:link w:val="TitleChar"/>
    <w:uiPriority w:val="10"/>
    <w:qFormat/>
    <w:rsid w:val="008F0A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A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A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A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A32"/>
    <w:pPr>
      <w:spacing w:before="160"/>
      <w:jc w:val="center"/>
    </w:pPr>
    <w:rPr>
      <w:i/>
      <w:iCs/>
      <w:color w:val="404040" w:themeColor="text1" w:themeTint="BF"/>
    </w:rPr>
  </w:style>
  <w:style w:type="character" w:customStyle="1" w:styleId="QuoteChar">
    <w:name w:val="Quote Char"/>
    <w:basedOn w:val="DefaultParagraphFont"/>
    <w:link w:val="Quote"/>
    <w:uiPriority w:val="29"/>
    <w:rsid w:val="008F0A32"/>
    <w:rPr>
      <w:i/>
      <w:iCs/>
      <w:color w:val="404040" w:themeColor="text1" w:themeTint="BF"/>
    </w:rPr>
  </w:style>
  <w:style w:type="paragraph" w:styleId="ListParagraph">
    <w:name w:val="List Paragraph"/>
    <w:basedOn w:val="Normal"/>
    <w:uiPriority w:val="34"/>
    <w:qFormat/>
    <w:rsid w:val="008F0A32"/>
    <w:pPr>
      <w:ind w:left="720"/>
      <w:contextualSpacing/>
    </w:pPr>
  </w:style>
  <w:style w:type="character" w:styleId="IntenseEmphasis">
    <w:name w:val="Intense Emphasis"/>
    <w:basedOn w:val="DefaultParagraphFont"/>
    <w:uiPriority w:val="21"/>
    <w:qFormat/>
    <w:rsid w:val="008F0A32"/>
    <w:rPr>
      <w:i/>
      <w:iCs/>
      <w:color w:val="0F4761" w:themeColor="accent1" w:themeShade="BF"/>
    </w:rPr>
  </w:style>
  <w:style w:type="paragraph" w:styleId="IntenseQuote">
    <w:name w:val="Intense Quote"/>
    <w:basedOn w:val="Normal"/>
    <w:next w:val="Normal"/>
    <w:link w:val="IntenseQuoteChar"/>
    <w:uiPriority w:val="30"/>
    <w:qFormat/>
    <w:rsid w:val="008F0A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A32"/>
    <w:rPr>
      <w:i/>
      <w:iCs/>
      <w:color w:val="0F4761" w:themeColor="accent1" w:themeShade="BF"/>
    </w:rPr>
  </w:style>
  <w:style w:type="character" w:styleId="IntenseReference">
    <w:name w:val="Intense Reference"/>
    <w:basedOn w:val="DefaultParagraphFont"/>
    <w:uiPriority w:val="32"/>
    <w:qFormat/>
    <w:rsid w:val="008F0A32"/>
    <w:rPr>
      <w:b/>
      <w:bCs/>
      <w:smallCaps/>
      <w:color w:val="0F4761" w:themeColor="accent1" w:themeShade="BF"/>
      <w:spacing w:val="5"/>
    </w:rPr>
  </w:style>
  <w:style w:type="paragraph" w:styleId="Header">
    <w:name w:val="header"/>
    <w:basedOn w:val="Normal"/>
    <w:link w:val="HeaderChar"/>
    <w:uiPriority w:val="99"/>
    <w:unhideWhenUsed/>
    <w:rsid w:val="006B3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528"/>
  </w:style>
  <w:style w:type="paragraph" w:styleId="Footer">
    <w:name w:val="footer"/>
    <w:basedOn w:val="Normal"/>
    <w:link w:val="FooterChar"/>
    <w:uiPriority w:val="99"/>
    <w:unhideWhenUsed/>
    <w:rsid w:val="006B3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528"/>
  </w:style>
  <w:style w:type="paragraph" w:styleId="TOCHeading">
    <w:name w:val="TOC Heading"/>
    <w:basedOn w:val="Heading1"/>
    <w:next w:val="Normal"/>
    <w:uiPriority w:val="39"/>
    <w:unhideWhenUsed/>
    <w:qFormat/>
    <w:rsid w:val="006B3528"/>
    <w:pPr>
      <w:spacing w:before="240" w:after="0"/>
      <w:outlineLvl w:val="9"/>
    </w:pPr>
    <w:rPr>
      <w:kern w:val="0"/>
      <w:sz w:val="32"/>
      <w:szCs w:val="32"/>
      <w:lang w:eastAsia="en-GB"/>
    </w:rPr>
  </w:style>
  <w:style w:type="paragraph" w:styleId="TOC1">
    <w:name w:val="toc 1"/>
    <w:basedOn w:val="Normal"/>
    <w:next w:val="Normal"/>
    <w:autoRedefine/>
    <w:uiPriority w:val="39"/>
    <w:unhideWhenUsed/>
    <w:rsid w:val="006B3528"/>
    <w:pPr>
      <w:spacing w:after="100"/>
    </w:pPr>
  </w:style>
  <w:style w:type="paragraph" w:styleId="TOC2">
    <w:name w:val="toc 2"/>
    <w:basedOn w:val="Normal"/>
    <w:next w:val="Normal"/>
    <w:autoRedefine/>
    <w:uiPriority w:val="39"/>
    <w:unhideWhenUsed/>
    <w:rsid w:val="006B3528"/>
    <w:pPr>
      <w:spacing w:after="100"/>
      <w:ind w:left="220"/>
    </w:pPr>
  </w:style>
  <w:style w:type="character" w:styleId="Hyperlink">
    <w:name w:val="Hyperlink"/>
    <w:basedOn w:val="DefaultParagraphFont"/>
    <w:uiPriority w:val="99"/>
    <w:unhideWhenUsed/>
    <w:rsid w:val="006B35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Component 1: Coursework: Individual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9CA7A8-2F2E-417C-B3DD-77201754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10</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Marketing</dc:title>
  <dc:subject>Adrian Mihai Neacsu    2312529</dc:subject>
  <dc:creator>adrian neacsu</dc:creator>
  <cp:keywords/>
  <dc:description/>
  <cp:lastModifiedBy>adrian neacsu</cp:lastModifiedBy>
  <cp:revision>10</cp:revision>
  <dcterms:created xsi:type="dcterms:W3CDTF">2026-02-05T10:31:00Z</dcterms:created>
  <dcterms:modified xsi:type="dcterms:W3CDTF">2026-02-16T13:47:00Z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22744e21-4fa2-4c37-b2d4-0b56c1373ff1</vt:lpwstr>
  </property>
</Properties>
</file>