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7211D" w14:textId="77777777" w:rsidR="00BE6C1D" w:rsidRPr="00BE6C1D" w:rsidRDefault="00BE6C1D" w:rsidP="00BE6C1D">
      <w:pPr>
        <w:jc w:val="center"/>
        <w:rPr>
          <w:rFonts w:ascii="Arial" w:eastAsia="Cambria" w:hAnsi="Arial" w:cs="Arial"/>
          <w:b/>
          <w:sz w:val="36"/>
          <w:szCs w:val="36"/>
        </w:rPr>
      </w:pPr>
      <w:r w:rsidRPr="00BE6C1D">
        <w:rPr>
          <w:rFonts w:ascii="Arial" w:eastAsia="Cambria" w:hAnsi="Arial" w:cs="Arial"/>
          <w:b/>
          <w:sz w:val="36"/>
          <w:szCs w:val="36"/>
        </w:rPr>
        <w:t>LCLM5001</w:t>
      </w:r>
    </w:p>
    <w:p w14:paraId="5F7C4E0A" w14:textId="15788778" w:rsidR="00AC3682" w:rsidRDefault="00BE6C1D" w:rsidP="00BE6C1D">
      <w:pPr>
        <w:jc w:val="center"/>
        <w:rPr>
          <w:rFonts w:ascii="Arial" w:eastAsia="Cambria" w:hAnsi="Arial" w:cs="Arial"/>
          <w:b/>
          <w:sz w:val="36"/>
          <w:szCs w:val="36"/>
        </w:rPr>
      </w:pPr>
      <w:r w:rsidRPr="00BE6C1D">
        <w:rPr>
          <w:rFonts w:ascii="Arial" w:eastAsia="Cambria" w:hAnsi="Arial" w:cs="Arial"/>
          <w:b/>
          <w:sz w:val="36"/>
          <w:szCs w:val="36"/>
        </w:rPr>
        <w:t>BA (Hons) Leadership and Management Skills for the Workplace</w:t>
      </w:r>
    </w:p>
    <w:p w14:paraId="5A33CB99" w14:textId="77777777" w:rsidR="00BE6C1D" w:rsidRPr="00BE6C1D" w:rsidRDefault="00BE6C1D" w:rsidP="00BE6C1D">
      <w:pPr>
        <w:jc w:val="center"/>
        <w:rPr>
          <w:rFonts w:ascii="Arial" w:eastAsia="Calibri" w:hAnsi="Arial" w:cs="Arial"/>
          <w:sz w:val="36"/>
          <w:szCs w:val="36"/>
        </w:rPr>
      </w:pPr>
    </w:p>
    <w:p w14:paraId="443DE3F1" w14:textId="4BF1BB0B" w:rsidR="00BE6C1D" w:rsidRDefault="00BE6C1D" w:rsidP="00BE6C1D">
      <w:pPr>
        <w:jc w:val="center"/>
        <w:rPr>
          <w:rFonts w:ascii="Arial" w:eastAsia="Cambria" w:hAnsi="Arial" w:cs="Arial"/>
          <w:b/>
          <w:bCs/>
          <w:sz w:val="36"/>
          <w:szCs w:val="36"/>
        </w:rPr>
      </w:pPr>
      <w:r w:rsidRPr="00BE6C1D">
        <w:rPr>
          <w:rFonts w:ascii="Arial" w:eastAsia="Cambria" w:hAnsi="Arial" w:cs="Arial"/>
          <w:b/>
          <w:bCs/>
          <w:sz w:val="36"/>
          <w:szCs w:val="36"/>
        </w:rPr>
        <w:t>Understanding and Engaging Stakeholders  </w:t>
      </w:r>
    </w:p>
    <w:p w14:paraId="78BBF4DA" w14:textId="77777777" w:rsidR="00BE6C1D" w:rsidRPr="00BE6C1D" w:rsidRDefault="00BE6C1D" w:rsidP="00BE6C1D">
      <w:pPr>
        <w:jc w:val="center"/>
        <w:rPr>
          <w:rFonts w:ascii="Arial" w:eastAsia="Cambria" w:hAnsi="Arial" w:cs="Arial"/>
          <w:sz w:val="36"/>
          <w:szCs w:val="36"/>
        </w:rPr>
      </w:pPr>
    </w:p>
    <w:p w14:paraId="0FA7BF57" w14:textId="13A17488" w:rsidR="00BE6C1D" w:rsidRDefault="00BE6C1D" w:rsidP="00BE6C1D">
      <w:pPr>
        <w:jc w:val="center"/>
        <w:rPr>
          <w:rFonts w:ascii="Arial" w:hAnsi="Arial" w:cs="Arial"/>
          <w:b/>
          <w:bCs/>
          <w:sz w:val="36"/>
          <w:szCs w:val="36"/>
        </w:rPr>
      </w:pPr>
      <w:r w:rsidRPr="00BE6C1D">
        <w:rPr>
          <w:rFonts w:ascii="Arial" w:hAnsi="Arial" w:cs="Arial"/>
          <w:b/>
          <w:bCs/>
          <w:sz w:val="36"/>
          <w:szCs w:val="36"/>
        </w:rPr>
        <w:t>Understanding the importance of Stakeholder Engagement in successful commencement and completion of project.</w:t>
      </w:r>
    </w:p>
    <w:p w14:paraId="4FCD19C1" w14:textId="77777777" w:rsidR="00BE6C1D" w:rsidRDefault="00BE6C1D" w:rsidP="00BE6C1D">
      <w:pPr>
        <w:jc w:val="center"/>
        <w:rPr>
          <w:rFonts w:ascii="Arial" w:hAnsi="Arial" w:cs="Arial"/>
          <w:b/>
          <w:bCs/>
          <w:sz w:val="36"/>
          <w:szCs w:val="36"/>
        </w:rPr>
      </w:pPr>
    </w:p>
    <w:p w14:paraId="662AFF0B" w14:textId="77777777" w:rsidR="00BE6C1D" w:rsidRDefault="00BE6C1D" w:rsidP="00BE6C1D">
      <w:pPr>
        <w:jc w:val="center"/>
        <w:rPr>
          <w:rFonts w:ascii="Arial" w:hAnsi="Arial" w:cs="Arial"/>
          <w:b/>
          <w:bCs/>
          <w:sz w:val="36"/>
          <w:szCs w:val="36"/>
        </w:rPr>
      </w:pPr>
    </w:p>
    <w:p w14:paraId="52832189" w14:textId="6FF421B1" w:rsidR="00BE6C1D" w:rsidRDefault="00BE6C1D" w:rsidP="00BE6C1D">
      <w:pPr>
        <w:jc w:val="center"/>
        <w:rPr>
          <w:rFonts w:ascii="Arial" w:hAnsi="Arial" w:cs="Arial"/>
          <w:b/>
          <w:bCs/>
          <w:sz w:val="36"/>
          <w:szCs w:val="36"/>
        </w:rPr>
      </w:pPr>
      <w:r>
        <w:rPr>
          <w:rFonts w:ascii="Arial" w:hAnsi="Arial" w:cs="Arial"/>
          <w:b/>
          <w:bCs/>
          <w:noProof/>
          <w:sz w:val="36"/>
          <w:szCs w:val="36"/>
        </w:rPr>
        <w:drawing>
          <wp:inline distT="0" distB="0" distL="0" distR="0" wp14:anchorId="03BD72F3" wp14:editId="13F54928">
            <wp:extent cx="2095500" cy="695325"/>
            <wp:effectExtent l="0" t="0" r="0" b="9525"/>
            <wp:docPr id="700783010"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783010" name="Picture 1" descr="A close up of black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095500" cy="695325"/>
                    </a:xfrm>
                    <a:prstGeom prst="rect">
                      <a:avLst/>
                    </a:prstGeom>
                  </pic:spPr>
                </pic:pic>
              </a:graphicData>
            </a:graphic>
          </wp:inline>
        </w:drawing>
      </w:r>
    </w:p>
    <w:p w14:paraId="236F27AA" w14:textId="77777777" w:rsidR="00BE6C1D" w:rsidRDefault="00BE6C1D" w:rsidP="00BE6C1D">
      <w:pPr>
        <w:rPr>
          <w:rFonts w:ascii="Arial" w:hAnsi="Arial" w:cs="Arial"/>
          <w:b/>
          <w:bCs/>
          <w:sz w:val="36"/>
          <w:szCs w:val="36"/>
        </w:rPr>
      </w:pPr>
    </w:p>
    <w:p w14:paraId="0544D61A" w14:textId="77777777" w:rsidR="00BE6C1D" w:rsidRDefault="00BE6C1D" w:rsidP="00BE6C1D">
      <w:pPr>
        <w:rPr>
          <w:rFonts w:ascii="Arial" w:hAnsi="Arial" w:cs="Arial"/>
          <w:b/>
          <w:bCs/>
          <w:sz w:val="36"/>
          <w:szCs w:val="36"/>
        </w:rPr>
      </w:pPr>
    </w:p>
    <w:p w14:paraId="07C876C7" w14:textId="77777777" w:rsidR="00BE6C1D" w:rsidRDefault="00BE6C1D" w:rsidP="00BE6C1D">
      <w:pPr>
        <w:rPr>
          <w:rFonts w:ascii="Arial" w:hAnsi="Arial" w:cs="Arial"/>
          <w:b/>
          <w:bCs/>
          <w:sz w:val="36"/>
          <w:szCs w:val="36"/>
        </w:rPr>
      </w:pPr>
    </w:p>
    <w:p w14:paraId="1E735ECE" w14:textId="77777777" w:rsidR="00BE6C1D" w:rsidRDefault="00BE6C1D" w:rsidP="00BE6C1D">
      <w:pPr>
        <w:jc w:val="center"/>
        <w:rPr>
          <w:rFonts w:ascii="Arial" w:hAnsi="Arial" w:cs="Arial"/>
          <w:b/>
          <w:bCs/>
          <w:sz w:val="36"/>
          <w:szCs w:val="36"/>
        </w:rPr>
      </w:pPr>
    </w:p>
    <w:p w14:paraId="2D22B23B" w14:textId="22E410DF" w:rsidR="00BE6C1D" w:rsidRDefault="00BE6C1D" w:rsidP="00BE6C1D">
      <w:pPr>
        <w:rPr>
          <w:rFonts w:ascii="Arial" w:hAnsi="Arial" w:cs="Arial"/>
          <w:b/>
          <w:bCs/>
          <w:sz w:val="36"/>
          <w:szCs w:val="36"/>
        </w:rPr>
      </w:pPr>
      <w:r>
        <w:rPr>
          <w:rFonts w:ascii="Arial" w:hAnsi="Arial" w:cs="Arial"/>
          <w:b/>
          <w:bCs/>
          <w:sz w:val="36"/>
          <w:szCs w:val="36"/>
        </w:rPr>
        <w:t xml:space="preserve">Student: Alisa </w:t>
      </w:r>
      <w:proofErr w:type="spellStart"/>
      <w:r>
        <w:rPr>
          <w:rFonts w:ascii="Arial" w:hAnsi="Arial" w:cs="Arial"/>
          <w:b/>
          <w:bCs/>
          <w:sz w:val="36"/>
          <w:szCs w:val="36"/>
        </w:rPr>
        <w:t>Marchidan</w:t>
      </w:r>
      <w:proofErr w:type="spellEnd"/>
    </w:p>
    <w:p w14:paraId="0F51C212" w14:textId="3E93B9EA" w:rsidR="00BE6C1D" w:rsidRDefault="00BE6C1D" w:rsidP="00BE6C1D">
      <w:pPr>
        <w:rPr>
          <w:rFonts w:ascii="Arial" w:hAnsi="Arial" w:cs="Arial"/>
          <w:b/>
          <w:bCs/>
          <w:sz w:val="36"/>
          <w:szCs w:val="36"/>
        </w:rPr>
      </w:pPr>
      <w:r>
        <w:rPr>
          <w:rFonts w:ascii="Arial" w:hAnsi="Arial" w:cs="Arial"/>
          <w:b/>
          <w:bCs/>
          <w:sz w:val="36"/>
          <w:szCs w:val="36"/>
        </w:rPr>
        <w:t xml:space="preserve">No: </w:t>
      </w:r>
      <w:r w:rsidRPr="00BE6C1D">
        <w:rPr>
          <w:rFonts w:ascii="Arial" w:hAnsi="Arial" w:cs="Arial"/>
          <w:b/>
          <w:bCs/>
          <w:sz w:val="36"/>
          <w:szCs w:val="36"/>
        </w:rPr>
        <w:t>2314769</w:t>
      </w:r>
    </w:p>
    <w:p w14:paraId="523E69DB" w14:textId="7B87916B" w:rsidR="00BE6C1D" w:rsidRDefault="00BE6C1D" w:rsidP="00BE6C1D">
      <w:pPr>
        <w:rPr>
          <w:rFonts w:ascii="Arial" w:hAnsi="Arial" w:cs="Arial"/>
          <w:b/>
          <w:bCs/>
          <w:sz w:val="36"/>
          <w:szCs w:val="36"/>
        </w:rPr>
      </w:pPr>
      <w:r>
        <w:rPr>
          <w:rFonts w:ascii="Arial" w:hAnsi="Arial" w:cs="Arial"/>
          <w:b/>
          <w:bCs/>
          <w:sz w:val="36"/>
          <w:szCs w:val="36"/>
        </w:rPr>
        <w:t xml:space="preserve">Lecturer: </w:t>
      </w:r>
      <w:r w:rsidRPr="00BE6C1D">
        <w:rPr>
          <w:rFonts w:ascii="Arial" w:hAnsi="Arial" w:cs="Arial"/>
          <w:b/>
          <w:bCs/>
          <w:sz w:val="36"/>
          <w:szCs w:val="36"/>
        </w:rPr>
        <w:t>Eric Osei</w:t>
      </w:r>
    </w:p>
    <w:p w14:paraId="7373DA3A" w14:textId="77777777" w:rsidR="00BE6C1D" w:rsidRDefault="00BE6C1D" w:rsidP="00BE6C1D">
      <w:pPr>
        <w:rPr>
          <w:rFonts w:ascii="Arial" w:hAnsi="Arial" w:cs="Arial"/>
          <w:b/>
          <w:bCs/>
          <w:sz w:val="36"/>
          <w:szCs w:val="36"/>
        </w:rPr>
      </w:pPr>
    </w:p>
    <w:p w14:paraId="7EB95FA7" w14:textId="77777777" w:rsidR="00BE6C1D" w:rsidRDefault="00BE6C1D" w:rsidP="00BE6C1D">
      <w:pPr>
        <w:rPr>
          <w:rFonts w:ascii="Arial" w:hAnsi="Arial" w:cs="Arial"/>
          <w:b/>
          <w:bCs/>
          <w:sz w:val="36"/>
          <w:szCs w:val="36"/>
        </w:rPr>
      </w:pPr>
    </w:p>
    <w:p w14:paraId="57D62A3D" w14:textId="77777777" w:rsidR="00BE6C1D" w:rsidRDefault="00BE6C1D" w:rsidP="00BE6C1D">
      <w:pPr>
        <w:rPr>
          <w:rFonts w:ascii="Arial" w:hAnsi="Arial" w:cs="Arial"/>
          <w:b/>
          <w:bCs/>
          <w:sz w:val="36"/>
          <w:szCs w:val="36"/>
        </w:rPr>
      </w:pPr>
    </w:p>
    <w:p w14:paraId="1C5E8D28" w14:textId="77777777" w:rsidR="00BE6C1D" w:rsidRDefault="00BE6C1D" w:rsidP="00BE6C1D">
      <w:pPr>
        <w:rPr>
          <w:rFonts w:ascii="Arial" w:hAnsi="Arial" w:cs="Arial"/>
          <w:b/>
          <w:bCs/>
          <w:sz w:val="36"/>
          <w:szCs w:val="36"/>
        </w:rPr>
      </w:pPr>
    </w:p>
    <w:p w14:paraId="21D29B8F" w14:textId="4AABD220" w:rsidR="00BE6C1D" w:rsidRDefault="00BE6C1D" w:rsidP="00BE6C1D">
      <w:pPr>
        <w:rPr>
          <w:rFonts w:ascii="Arial" w:hAnsi="Arial" w:cs="Arial"/>
          <w:b/>
          <w:bCs/>
          <w:sz w:val="28"/>
          <w:szCs w:val="28"/>
        </w:rPr>
      </w:pPr>
      <w:r w:rsidRPr="00BE6C1D">
        <w:rPr>
          <w:rFonts w:ascii="Arial" w:hAnsi="Arial" w:cs="Arial"/>
          <w:b/>
          <w:bCs/>
          <w:sz w:val="28"/>
          <w:szCs w:val="28"/>
        </w:rPr>
        <w:t xml:space="preserve">Table of Contents </w:t>
      </w:r>
      <w:r w:rsidRPr="00BE6C1D">
        <w:rPr>
          <w:rFonts w:ascii="Arial" w:hAnsi="Arial" w:cs="Arial"/>
          <w:b/>
          <w:bCs/>
          <w:sz w:val="28"/>
          <w:szCs w:val="28"/>
          <w:u w:val="dotted"/>
        </w:rPr>
        <w:t xml:space="preserve">                            </w:t>
      </w:r>
      <w:r>
        <w:rPr>
          <w:rFonts w:ascii="Arial" w:hAnsi="Arial" w:cs="Arial"/>
          <w:b/>
          <w:bCs/>
          <w:sz w:val="28"/>
          <w:szCs w:val="28"/>
          <w:u w:val="dotted"/>
        </w:rPr>
        <w:t xml:space="preserve">               </w:t>
      </w:r>
      <w:r w:rsidRPr="00BE6C1D">
        <w:rPr>
          <w:rFonts w:ascii="Arial" w:hAnsi="Arial" w:cs="Arial"/>
          <w:b/>
          <w:bCs/>
          <w:sz w:val="28"/>
          <w:szCs w:val="28"/>
          <w:u w:val="dotted"/>
        </w:rPr>
        <w:t xml:space="preserve">    </w:t>
      </w:r>
      <w:r w:rsidRPr="00BE6C1D">
        <w:rPr>
          <w:rFonts w:ascii="Arial" w:hAnsi="Arial" w:cs="Arial"/>
          <w:b/>
          <w:bCs/>
          <w:sz w:val="28"/>
          <w:szCs w:val="28"/>
        </w:rPr>
        <w:t>2</w:t>
      </w:r>
    </w:p>
    <w:p w14:paraId="37C97BF9" w14:textId="7F6F371F" w:rsidR="00BE6C1D" w:rsidRDefault="00BE6C1D" w:rsidP="00BE6C1D">
      <w:pPr>
        <w:rPr>
          <w:rFonts w:ascii="Arial" w:hAnsi="Arial" w:cs="Arial"/>
          <w:b/>
          <w:bCs/>
          <w:sz w:val="28"/>
          <w:szCs w:val="28"/>
        </w:rPr>
      </w:pPr>
      <w:r>
        <w:rPr>
          <w:rFonts w:ascii="Arial" w:hAnsi="Arial" w:cs="Arial"/>
          <w:b/>
          <w:bCs/>
          <w:sz w:val="28"/>
          <w:szCs w:val="28"/>
        </w:rPr>
        <w:t xml:space="preserve">Introduction </w:t>
      </w:r>
      <w:r w:rsidR="000B42CD">
        <w:rPr>
          <w:rFonts w:ascii="Arial" w:hAnsi="Arial" w:cs="Arial"/>
          <w:b/>
          <w:bCs/>
          <w:sz w:val="28"/>
          <w:szCs w:val="28"/>
          <w:u w:val="dotted"/>
        </w:rPr>
        <w:t xml:space="preserve">                                                                    </w:t>
      </w:r>
      <w:r>
        <w:rPr>
          <w:rFonts w:ascii="Arial" w:hAnsi="Arial" w:cs="Arial"/>
          <w:b/>
          <w:bCs/>
          <w:sz w:val="28"/>
          <w:szCs w:val="28"/>
        </w:rPr>
        <w:t>3</w:t>
      </w:r>
    </w:p>
    <w:p w14:paraId="076CBE1B" w14:textId="3BB408DB" w:rsidR="0011639C" w:rsidRDefault="0011639C" w:rsidP="00BE6C1D">
      <w:pPr>
        <w:rPr>
          <w:rFonts w:ascii="Arial" w:hAnsi="Arial" w:cs="Arial"/>
          <w:b/>
          <w:bCs/>
          <w:sz w:val="28"/>
          <w:szCs w:val="28"/>
        </w:rPr>
      </w:pPr>
      <w:r>
        <w:rPr>
          <w:rFonts w:ascii="Arial" w:hAnsi="Arial" w:cs="Arial"/>
          <w:b/>
          <w:bCs/>
          <w:sz w:val="28"/>
          <w:szCs w:val="28"/>
        </w:rPr>
        <w:t xml:space="preserve">Main Body </w:t>
      </w:r>
      <w:r>
        <w:rPr>
          <w:rFonts w:ascii="Arial" w:hAnsi="Arial" w:cs="Arial"/>
          <w:b/>
          <w:bCs/>
          <w:sz w:val="28"/>
          <w:szCs w:val="28"/>
          <w:u w:val="dotted"/>
        </w:rPr>
        <w:t xml:space="preserve">                                                                         </w:t>
      </w:r>
      <w:r>
        <w:rPr>
          <w:rFonts w:ascii="Arial" w:hAnsi="Arial" w:cs="Arial"/>
          <w:b/>
          <w:bCs/>
          <w:sz w:val="28"/>
          <w:szCs w:val="28"/>
        </w:rPr>
        <w:t>3</w:t>
      </w:r>
    </w:p>
    <w:p w14:paraId="27FF078A" w14:textId="7D84DDB9" w:rsidR="00B5015E" w:rsidRDefault="00B5015E" w:rsidP="003C4A81">
      <w:pPr>
        <w:pStyle w:val="ListParagraph"/>
        <w:numPr>
          <w:ilvl w:val="0"/>
          <w:numId w:val="1"/>
        </w:numPr>
        <w:rPr>
          <w:rFonts w:ascii="Arial" w:hAnsi="Arial" w:cs="Arial"/>
          <w:b/>
          <w:bCs/>
          <w:sz w:val="28"/>
          <w:szCs w:val="28"/>
        </w:rPr>
      </w:pPr>
      <w:r w:rsidRPr="003C4A81">
        <w:rPr>
          <w:rFonts w:ascii="Arial" w:hAnsi="Arial" w:cs="Arial"/>
          <w:b/>
          <w:bCs/>
          <w:sz w:val="28"/>
          <w:szCs w:val="28"/>
        </w:rPr>
        <w:t>An appraisal of the company with the application of a strategic planning tool such as SWOT</w:t>
      </w:r>
      <w:r w:rsidR="003C4A81" w:rsidRPr="003C4A81">
        <w:rPr>
          <w:rFonts w:ascii="Arial" w:hAnsi="Arial" w:cs="Arial"/>
          <w:b/>
          <w:bCs/>
          <w:sz w:val="28"/>
          <w:szCs w:val="28"/>
        </w:rPr>
        <w:t xml:space="preserve"> </w:t>
      </w:r>
      <w:r w:rsidR="003C4A81" w:rsidRPr="003C4A81">
        <w:rPr>
          <w:rFonts w:ascii="Arial" w:hAnsi="Arial" w:cs="Arial"/>
          <w:b/>
          <w:bCs/>
          <w:sz w:val="28"/>
          <w:szCs w:val="28"/>
          <w:u w:val="dotted"/>
        </w:rPr>
        <w:t xml:space="preserve">                         </w:t>
      </w:r>
      <w:r w:rsidR="003C4A81" w:rsidRPr="003C4A81">
        <w:rPr>
          <w:rFonts w:ascii="Arial" w:hAnsi="Arial" w:cs="Arial"/>
          <w:b/>
          <w:bCs/>
          <w:sz w:val="28"/>
          <w:szCs w:val="28"/>
        </w:rPr>
        <w:t>3</w:t>
      </w:r>
    </w:p>
    <w:p w14:paraId="751EB107" w14:textId="43F50C5A" w:rsidR="003C4A81" w:rsidRDefault="009D40DB" w:rsidP="003C4A81">
      <w:pPr>
        <w:pStyle w:val="ListParagraph"/>
        <w:numPr>
          <w:ilvl w:val="0"/>
          <w:numId w:val="1"/>
        </w:numPr>
        <w:rPr>
          <w:rFonts w:ascii="Arial" w:hAnsi="Arial" w:cs="Arial"/>
          <w:b/>
          <w:bCs/>
          <w:sz w:val="28"/>
          <w:szCs w:val="28"/>
        </w:rPr>
      </w:pPr>
      <w:r w:rsidRPr="009D40DB">
        <w:rPr>
          <w:rFonts w:ascii="Arial" w:hAnsi="Arial" w:cs="Arial"/>
          <w:b/>
          <w:bCs/>
          <w:sz w:val="28"/>
          <w:szCs w:val="28"/>
        </w:rPr>
        <w:t>A list of key internal and external stakeholders involved in the project such as product development team, marketing, sales department and others</w:t>
      </w:r>
      <w:r>
        <w:rPr>
          <w:rFonts w:ascii="Arial" w:hAnsi="Arial" w:cs="Arial"/>
          <w:b/>
          <w:bCs/>
          <w:sz w:val="28"/>
          <w:szCs w:val="28"/>
        </w:rPr>
        <w:t xml:space="preserve"> </w:t>
      </w:r>
      <w:r>
        <w:rPr>
          <w:rFonts w:ascii="Arial" w:hAnsi="Arial" w:cs="Arial"/>
          <w:b/>
          <w:bCs/>
          <w:sz w:val="28"/>
          <w:szCs w:val="28"/>
          <w:u w:val="dotted"/>
        </w:rPr>
        <w:t xml:space="preserve">                                                 </w:t>
      </w:r>
      <w:r w:rsidR="00376626">
        <w:rPr>
          <w:rFonts w:ascii="Arial" w:hAnsi="Arial" w:cs="Arial"/>
          <w:b/>
          <w:bCs/>
          <w:sz w:val="28"/>
          <w:szCs w:val="28"/>
        </w:rPr>
        <w:t>5</w:t>
      </w:r>
    </w:p>
    <w:p w14:paraId="54690553" w14:textId="1787CE9F" w:rsidR="009D40DB" w:rsidRDefault="00E917E2" w:rsidP="003C4A81">
      <w:pPr>
        <w:pStyle w:val="ListParagraph"/>
        <w:numPr>
          <w:ilvl w:val="0"/>
          <w:numId w:val="1"/>
        </w:numPr>
        <w:rPr>
          <w:rFonts w:ascii="Arial" w:hAnsi="Arial" w:cs="Arial"/>
          <w:b/>
          <w:bCs/>
          <w:sz w:val="28"/>
          <w:szCs w:val="28"/>
        </w:rPr>
      </w:pPr>
      <w:r w:rsidRPr="00E917E2">
        <w:rPr>
          <w:rFonts w:ascii="Arial" w:hAnsi="Arial" w:cs="Arial"/>
          <w:b/>
          <w:bCs/>
          <w:sz w:val="28"/>
          <w:szCs w:val="28"/>
        </w:rPr>
        <w:t>A detailed explanation of the roles and responsibilities of the key stakeholders as well as the benefits they bring and challenges these stakeholders may face</w:t>
      </w:r>
      <w:r>
        <w:rPr>
          <w:rFonts w:ascii="Arial" w:hAnsi="Arial" w:cs="Arial"/>
          <w:b/>
          <w:bCs/>
          <w:sz w:val="28"/>
          <w:szCs w:val="28"/>
        </w:rPr>
        <w:t xml:space="preserve"> </w:t>
      </w:r>
      <w:r>
        <w:rPr>
          <w:rFonts w:ascii="Arial" w:hAnsi="Arial" w:cs="Arial"/>
          <w:b/>
          <w:bCs/>
          <w:sz w:val="28"/>
          <w:szCs w:val="28"/>
          <w:u w:val="dotted"/>
        </w:rPr>
        <w:t xml:space="preserve">                     </w:t>
      </w:r>
      <w:r w:rsidR="00376626">
        <w:rPr>
          <w:rFonts w:ascii="Arial" w:hAnsi="Arial" w:cs="Arial"/>
          <w:b/>
          <w:bCs/>
          <w:sz w:val="28"/>
          <w:szCs w:val="28"/>
        </w:rPr>
        <w:t>6</w:t>
      </w:r>
    </w:p>
    <w:p w14:paraId="4B62D4A6" w14:textId="6FE559DC" w:rsidR="00E917E2" w:rsidRDefault="0032781B" w:rsidP="003C4A81">
      <w:pPr>
        <w:pStyle w:val="ListParagraph"/>
        <w:numPr>
          <w:ilvl w:val="0"/>
          <w:numId w:val="1"/>
        </w:numPr>
        <w:rPr>
          <w:rFonts w:ascii="Arial" w:hAnsi="Arial" w:cs="Arial"/>
          <w:b/>
          <w:bCs/>
          <w:sz w:val="28"/>
          <w:szCs w:val="28"/>
        </w:rPr>
      </w:pPr>
      <w:r w:rsidRPr="0032781B">
        <w:rPr>
          <w:rFonts w:ascii="Arial" w:hAnsi="Arial" w:cs="Arial"/>
          <w:b/>
          <w:bCs/>
          <w:sz w:val="28"/>
          <w:szCs w:val="28"/>
        </w:rPr>
        <w:t>A range of appropriate frameworks, model, and theories to engage them such as stakeholder's matrix, engagement plan, communication plan and RACI matrix</w:t>
      </w:r>
      <w:r>
        <w:rPr>
          <w:rFonts w:ascii="Arial" w:hAnsi="Arial" w:cs="Arial"/>
          <w:b/>
          <w:bCs/>
          <w:sz w:val="28"/>
          <w:szCs w:val="28"/>
        </w:rPr>
        <w:t xml:space="preserve"> </w:t>
      </w:r>
      <w:r>
        <w:rPr>
          <w:rFonts w:ascii="Arial" w:hAnsi="Arial" w:cs="Arial"/>
          <w:b/>
          <w:bCs/>
          <w:sz w:val="28"/>
          <w:szCs w:val="28"/>
          <w:u w:val="dotted"/>
        </w:rPr>
        <w:t xml:space="preserve">                            </w:t>
      </w:r>
      <w:r w:rsidR="002B39C6">
        <w:rPr>
          <w:rFonts w:ascii="Arial" w:hAnsi="Arial" w:cs="Arial"/>
          <w:b/>
          <w:bCs/>
          <w:sz w:val="28"/>
          <w:szCs w:val="28"/>
        </w:rPr>
        <w:t>7</w:t>
      </w:r>
    </w:p>
    <w:p w14:paraId="1B3747B2" w14:textId="5E0D1195" w:rsidR="0032781B" w:rsidRDefault="00B0158E" w:rsidP="003C4A81">
      <w:pPr>
        <w:pStyle w:val="ListParagraph"/>
        <w:numPr>
          <w:ilvl w:val="0"/>
          <w:numId w:val="1"/>
        </w:numPr>
        <w:rPr>
          <w:rFonts w:ascii="Arial" w:hAnsi="Arial" w:cs="Arial"/>
          <w:b/>
          <w:bCs/>
          <w:sz w:val="28"/>
          <w:szCs w:val="28"/>
        </w:rPr>
      </w:pPr>
      <w:r w:rsidRPr="00B0158E">
        <w:rPr>
          <w:rFonts w:ascii="Arial" w:hAnsi="Arial" w:cs="Arial"/>
          <w:b/>
          <w:bCs/>
          <w:sz w:val="28"/>
          <w:szCs w:val="28"/>
        </w:rPr>
        <w:t>A critical explanation of the process you will undertake as the project manager to engage these key stakeholders and evaluate methods of how you would manage conflicts, here use the 4C’s model such as communication, coordination, cooperation and collaboration</w:t>
      </w:r>
      <w:r>
        <w:rPr>
          <w:rFonts w:ascii="Arial" w:hAnsi="Arial" w:cs="Arial"/>
          <w:b/>
          <w:bCs/>
          <w:sz w:val="28"/>
          <w:szCs w:val="28"/>
        </w:rPr>
        <w:t xml:space="preserve"> </w:t>
      </w:r>
      <w:r>
        <w:rPr>
          <w:rFonts w:ascii="Arial" w:hAnsi="Arial" w:cs="Arial"/>
          <w:b/>
          <w:bCs/>
          <w:sz w:val="28"/>
          <w:szCs w:val="28"/>
          <w:u w:val="dotted"/>
        </w:rPr>
        <w:t xml:space="preserve">                              </w:t>
      </w:r>
      <w:r w:rsidR="002B39C6">
        <w:rPr>
          <w:rFonts w:ascii="Arial" w:hAnsi="Arial" w:cs="Arial"/>
          <w:b/>
          <w:bCs/>
          <w:sz w:val="28"/>
          <w:szCs w:val="28"/>
        </w:rPr>
        <w:t>12</w:t>
      </w:r>
    </w:p>
    <w:p w14:paraId="61A15ED0" w14:textId="6113162A" w:rsidR="005757A8" w:rsidRDefault="005757A8" w:rsidP="003C4A81">
      <w:pPr>
        <w:pStyle w:val="ListParagraph"/>
        <w:numPr>
          <w:ilvl w:val="0"/>
          <w:numId w:val="1"/>
        </w:numPr>
        <w:rPr>
          <w:rFonts w:ascii="Arial" w:hAnsi="Arial" w:cs="Arial"/>
          <w:b/>
          <w:bCs/>
          <w:sz w:val="28"/>
          <w:szCs w:val="28"/>
        </w:rPr>
      </w:pPr>
      <w:r>
        <w:rPr>
          <w:rFonts w:ascii="Arial" w:hAnsi="Arial" w:cs="Arial"/>
          <w:b/>
          <w:bCs/>
          <w:sz w:val="28"/>
          <w:szCs w:val="28"/>
        </w:rPr>
        <w:t>E</w:t>
      </w:r>
      <w:r w:rsidRPr="005757A8">
        <w:rPr>
          <w:rFonts w:ascii="Arial" w:hAnsi="Arial" w:cs="Arial"/>
          <w:b/>
          <w:bCs/>
          <w:sz w:val="28"/>
          <w:szCs w:val="28"/>
        </w:rPr>
        <w:t>valuate the impact of stakeholders’ engagement on your business performance and provide recommendations for future</w:t>
      </w:r>
      <w:r>
        <w:rPr>
          <w:rFonts w:ascii="Arial" w:hAnsi="Arial" w:cs="Arial"/>
          <w:b/>
          <w:bCs/>
          <w:sz w:val="28"/>
          <w:szCs w:val="28"/>
        </w:rPr>
        <w:t xml:space="preserve"> </w:t>
      </w:r>
      <w:r>
        <w:rPr>
          <w:rFonts w:ascii="Arial" w:hAnsi="Arial" w:cs="Arial"/>
          <w:b/>
          <w:bCs/>
          <w:sz w:val="28"/>
          <w:szCs w:val="28"/>
          <w:u w:val="dotted"/>
        </w:rPr>
        <w:t xml:space="preserve">                                                                  </w:t>
      </w:r>
      <w:r w:rsidR="002B39C6">
        <w:rPr>
          <w:rFonts w:ascii="Arial" w:hAnsi="Arial" w:cs="Arial"/>
          <w:b/>
          <w:bCs/>
          <w:sz w:val="28"/>
          <w:szCs w:val="28"/>
        </w:rPr>
        <w:t>16</w:t>
      </w:r>
    </w:p>
    <w:p w14:paraId="70100F11" w14:textId="34464424" w:rsidR="005757A8" w:rsidRDefault="005757A8" w:rsidP="005757A8">
      <w:pPr>
        <w:ind w:left="360"/>
        <w:rPr>
          <w:rFonts w:ascii="Arial" w:hAnsi="Arial" w:cs="Arial"/>
          <w:b/>
          <w:bCs/>
          <w:sz w:val="28"/>
          <w:szCs w:val="28"/>
        </w:rPr>
      </w:pPr>
      <w:r>
        <w:rPr>
          <w:rFonts w:ascii="Arial" w:hAnsi="Arial" w:cs="Arial"/>
          <w:b/>
          <w:bCs/>
          <w:sz w:val="28"/>
          <w:szCs w:val="28"/>
        </w:rPr>
        <w:t xml:space="preserve">Conclusion </w:t>
      </w:r>
      <w:r>
        <w:rPr>
          <w:rFonts w:ascii="Arial" w:hAnsi="Arial" w:cs="Arial"/>
          <w:b/>
          <w:bCs/>
          <w:sz w:val="28"/>
          <w:szCs w:val="28"/>
          <w:u w:val="dotted"/>
        </w:rPr>
        <w:t xml:space="preserve">                                                                           </w:t>
      </w:r>
      <w:r w:rsidR="002B39C6">
        <w:rPr>
          <w:rFonts w:ascii="Arial" w:hAnsi="Arial" w:cs="Arial"/>
          <w:b/>
          <w:bCs/>
          <w:sz w:val="28"/>
          <w:szCs w:val="28"/>
          <w:u w:val="dotted"/>
        </w:rPr>
        <w:t>1</w:t>
      </w:r>
      <w:r>
        <w:rPr>
          <w:rFonts w:ascii="Arial" w:hAnsi="Arial" w:cs="Arial"/>
          <w:b/>
          <w:bCs/>
          <w:sz w:val="28"/>
          <w:szCs w:val="28"/>
        </w:rPr>
        <w:t>9</w:t>
      </w:r>
    </w:p>
    <w:p w14:paraId="171F17CD" w14:textId="4CC2FA49" w:rsidR="005757A8" w:rsidRDefault="005757A8" w:rsidP="005757A8">
      <w:pPr>
        <w:ind w:left="360"/>
        <w:rPr>
          <w:rFonts w:ascii="Arial" w:hAnsi="Arial" w:cs="Arial"/>
          <w:b/>
          <w:bCs/>
          <w:sz w:val="28"/>
          <w:szCs w:val="28"/>
        </w:rPr>
      </w:pPr>
      <w:r>
        <w:rPr>
          <w:rFonts w:ascii="Arial" w:hAnsi="Arial" w:cs="Arial"/>
          <w:b/>
          <w:bCs/>
          <w:sz w:val="28"/>
          <w:szCs w:val="28"/>
        </w:rPr>
        <w:t xml:space="preserve">References </w:t>
      </w:r>
      <w:r>
        <w:rPr>
          <w:rFonts w:ascii="Arial" w:hAnsi="Arial" w:cs="Arial"/>
          <w:b/>
          <w:bCs/>
          <w:sz w:val="28"/>
          <w:szCs w:val="28"/>
          <w:u w:val="dotted"/>
        </w:rPr>
        <w:t xml:space="preserve">                                                                               </w:t>
      </w:r>
      <w:r w:rsidR="002B39C6">
        <w:rPr>
          <w:rFonts w:ascii="Arial" w:hAnsi="Arial" w:cs="Arial"/>
          <w:b/>
          <w:bCs/>
          <w:sz w:val="28"/>
          <w:szCs w:val="28"/>
        </w:rPr>
        <w:t>2</w:t>
      </w:r>
      <w:r>
        <w:rPr>
          <w:rFonts w:ascii="Arial" w:hAnsi="Arial" w:cs="Arial"/>
          <w:b/>
          <w:bCs/>
          <w:sz w:val="28"/>
          <w:szCs w:val="28"/>
        </w:rPr>
        <w:t>0</w:t>
      </w:r>
    </w:p>
    <w:p w14:paraId="2D67C3CF" w14:textId="77777777" w:rsidR="005757A8" w:rsidRDefault="005757A8" w:rsidP="005757A8">
      <w:pPr>
        <w:ind w:left="360"/>
        <w:rPr>
          <w:rFonts w:ascii="Arial" w:hAnsi="Arial" w:cs="Arial"/>
          <w:b/>
          <w:bCs/>
          <w:sz w:val="28"/>
          <w:szCs w:val="28"/>
        </w:rPr>
      </w:pPr>
    </w:p>
    <w:p w14:paraId="3948892C" w14:textId="77777777" w:rsidR="005757A8" w:rsidRDefault="005757A8" w:rsidP="005757A8">
      <w:pPr>
        <w:ind w:left="360"/>
        <w:rPr>
          <w:rFonts w:ascii="Arial" w:hAnsi="Arial" w:cs="Arial"/>
          <w:b/>
          <w:bCs/>
          <w:sz w:val="28"/>
          <w:szCs w:val="28"/>
        </w:rPr>
      </w:pPr>
    </w:p>
    <w:p w14:paraId="0F12FCB6" w14:textId="77777777" w:rsidR="005757A8" w:rsidRDefault="005757A8" w:rsidP="005757A8">
      <w:pPr>
        <w:ind w:left="360"/>
        <w:rPr>
          <w:rFonts w:ascii="Arial" w:hAnsi="Arial" w:cs="Arial"/>
          <w:b/>
          <w:bCs/>
          <w:sz w:val="28"/>
          <w:szCs w:val="28"/>
        </w:rPr>
      </w:pPr>
    </w:p>
    <w:p w14:paraId="4453D83F" w14:textId="77777777" w:rsidR="005757A8" w:rsidRDefault="005757A8" w:rsidP="005757A8">
      <w:pPr>
        <w:ind w:left="360"/>
        <w:rPr>
          <w:rFonts w:ascii="Arial" w:hAnsi="Arial" w:cs="Arial"/>
          <w:b/>
          <w:bCs/>
          <w:sz w:val="28"/>
          <w:szCs w:val="28"/>
        </w:rPr>
      </w:pPr>
    </w:p>
    <w:p w14:paraId="7508D10F" w14:textId="77777777" w:rsidR="005757A8" w:rsidRDefault="005757A8" w:rsidP="005757A8">
      <w:pPr>
        <w:ind w:left="360"/>
        <w:rPr>
          <w:rFonts w:ascii="Arial" w:hAnsi="Arial" w:cs="Arial"/>
          <w:b/>
          <w:bCs/>
          <w:sz w:val="28"/>
          <w:szCs w:val="28"/>
        </w:rPr>
      </w:pPr>
    </w:p>
    <w:p w14:paraId="073D401D" w14:textId="77777777" w:rsidR="005757A8" w:rsidRDefault="005757A8" w:rsidP="005757A8">
      <w:pPr>
        <w:ind w:left="360"/>
        <w:rPr>
          <w:rFonts w:ascii="Arial" w:hAnsi="Arial" w:cs="Arial"/>
          <w:b/>
          <w:bCs/>
          <w:sz w:val="28"/>
          <w:szCs w:val="28"/>
        </w:rPr>
      </w:pPr>
    </w:p>
    <w:p w14:paraId="1E04F048" w14:textId="77777777" w:rsidR="005757A8" w:rsidRDefault="005757A8" w:rsidP="005757A8">
      <w:pPr>
        <w:ind w:left="360"/>
        <w:rPr>
          <w:rFonts w:ascii="Arial" w:hAnsi="Arial" w:cs="Arial"/>
          <w:b/>
          <w:bCs/>
          <w:sz w:val="28"/>
          <w:szCs w:val="28"/>
        </w:rPr>
      </w:pPr>
    </w:p>
    <w:p w14:paraId="3B597754" w14:textId="77777777" w:rsidR="005757A8" w:rsidRDefault="005757A8" w:rsidP="005757A8">
      <w:pPr>
        <w:ind w:left="360"/>
        <w:rPr>
          <w:rFonts w:ascii="Arial" w:hAnsi="Arial" w:cs="Arial"/>
          <w:b/>
          <w:bCs/>
          <w:sz w:val="28"/>
          <w:szCs w:val="28"/>
        </w:rPr>
      </w:pPr>
    </w:p>
    <w:p w14:paraId="60CC44CD" w14:textId="414EF63F" w:rsidR="008226BE" w:rsidRPr="008226BE" w:rsidRDefault="001429F1" w:rsidP="006B723C">
      <w:pPr>
        <w:spacing w:line="360" w:lineRule="auto"/>
        <w:ind w:left="357"/>
        <w:rPr>
          <w:rFonts w:ascii="Arial" w:hAnsi="Arial" w:cs="Arial"/>
        </w:rPr>
      </w:pPr>
      <w:r>
        <w:rPr>
          <w:rFonts w:ascii="Arial" w:hAnsi="Arial" w:cs="Arial"/>
          <w:b/>
          <w:bCs/>
          <w:sz w:val="28"/>
          <w:szCs w:val="28"/>
        </w:rPr>
        <w:lastRenderedPageBreak/>
        <w:t xml:space="preserve">Introduction </w:t>
      </w:r>
      <w:r w:rsidR="008226BE" w:rsidRPr="008226BE">
        <w:rPr>
          <w:rFonts w:ascii="Arial" w:hAnsi="Arial" w:cs="Arial"/>
        </w:rPr>
        <w:t>The rapid evolution of digital health technologies has transformed how health systems diagnose, monitor, and manage long-term conditions. Wearable medical devices, particularly those capable of continuous physiological monitoring, have become central to the goals of preventative health care and early clinical intervention. Medtronic UK, a leading global innovator in medical technology, is positioned to expand its digital health portfolio through the upcoming launch of a new health-tracking wearable device. This device, which monitors heart rate, blood oxygen saturation, sleep patterns, and daily physiological activity, is intended to support both clinical monitoring and consumer wellness. Scheduled for launch in six months, the device aligns with national strategic priorities to enhance remote monitoring capacity within the National Health Service (NHS)</w:t>
      </w:r>
      <w:r w:rsidR="006B723C">
        <w:rPr>
          <w:rFonts w:ascii="Arial" w:hAnsi="Arial" w:cs="Arial"/>
        </w:rPr>
        <w:t xml:space="preserve"> </w:t>
      </w:r>
      <w:r w:rsidR="006B723C" w:rsidRPr="006B723C">
        <w:rPr>
          <w:rFonts w:ascii="Arial" w:hAnsi="Arial" w:cs="Arial"/>
        </w:rPr>
        <w:t>(Albakri, 2024)</w:t>
      </w:r>
      <w:r w:rsidR="006B723C">
        <w:rPr>
          <w:rFonts w:ascii="Arial" w:hAnsi="Arial" w:cs="Arial"/>
        </w:rPr>
        <w:t>.</w:t>
      </w:r>
    </w:p>
    <w:p w14:paraId="177855AD" w14:textId="77777777" w:rsidR="008226BE" w:rsidRPr="008226BE" w:rsidRDefault="008226BE" w:rsidP="008226BE">
      <w:pPr>
        <w:spacing w:line="360" w:lineRule="auto"/>
        <w:ind w:left="357"/>
        <w:rPr>
          <w:rFonts w:ascii="Arial" w:hAnsi="Arial" w:cs="Arial"/>
        </w:rPr>
      </w:pPr>
      <w:r w:rsidRPr="008226BE">
        <w:rPr>
          <w:rFonts w:ascii="Arial" w:hAnsi="Arial" w:cs="Arial"/>
        </w:rPr>
        <w:t>As the appointed project manager overseeing product readiness for launch, stakeholder engagement is essential to ensuring successful development, regulatory compliance, market acceptance, and post-launch performance. Effective engagement contributes to reducing resistance, enabling collaboration, managing risks, and ensuring that diverse stakeholder needs are integrated throughout the project lifecycle. This report critically examines Medtronic UK using strategic analysis, identifies key internal and external stakeholders, evaluates their roles, and outlines a comprehensive plan for engagement. It also integrates stakeholder management frameworks, the 4Cs conflict-resolution model, and an assessment of how stakeholder engagement affects organisational performance.</w:t>
      </w:r>
    </w:p>
    <w:p w14:paraId="5F1E62CE" w14:textId="7E7B8238" w:rsidR="00E4648E" w:rsidRPr="006B24E5" w:rsidRDefault="00E4648E" w:rsidP="008226BE">
      <w:pPr>
        <w:spacing w:line="360" w:lineRule="auto"/>
        <w:ind w:left="357"/>
        <w:rPr>
          <w:rFonts w:ascii="Arial" w:hAnsi="Arial" w:cs="Arial"/>
          <w:b/>
          <w:bCs/>
          <w:sz w:val="28"/>
          <w:szCs w:val="28"/>
        </w:rPr>
      </w:pPr>
      <w:r w:rsidRPr="006B24E5">
        <w:rPr>
          <w:rFonts w:ascii="Arial" w:hAnsi="Arial" w:cs="Arial"/>
          <w:b/>
          <w:bCs/>
          <w:sz w:val="28"/>
          <w:szCs w:val="28"/>
        </w:rPr>
        <w:t>Main Body</w:t>
      </w:r>
      <w:r w:rsidR="006B24E5">
        <w:rPr>
          <w:rFonts w:ascii="Arial" w:hAnsi="Arial" w:cs="Arial"/>
          <w:b/>
          <w:bCs/>
          <w:sz w:val="28"/>
          <w:szCs w:val="28"/>
        </w:rPr>
        <w:t xml:space="preserve">- </w:t>
      </w:r>
      <w:r w:rsidR="006B24E5" w:rsidRPr="006B24E5">
        <w:rPr>
          <w:rFonts w:ascii="Arial" w:hAnsi="Arial" w:cs="Arial"/>
          <w:b/>
          <w:bCs/>
          <w:sz w:val="28"/>
          <w:szCs w:val="28"/>
        </w:rPr>
        <w:t>SWOT Analysis of Medtronic UK</w:t>
      </w:r>
    </w:p>
    <w:p w14:paraId="2433350A" w14:textId="77777777" w:rsidR="0075462C" w:rsidRPr="0075462C" w:rsidRDefault="0075462C" w:rsidP="0075462C">
      <w:pPr>
        <w:spacing w:line="360" w:lineRule="auto"/>
        <w:ind w:left="357"/>
        <w:rPr>
          <w:rFonts w:ascii="Arial" w:hAnsi="Arial" w:cs="Arial"/>
        </w:rPr>
      </w:pPr>
      <w:r w:rsidRPr="0075462C">
        <w:rPr>
          <w:rFonts w:ascii="Arial" w:hAnsi="Arial" w:cs="Arial"/>
        </w:rPr>
        <w:t>Strategic planning tools help organisations understand internal capabilities and external factors impacting project delivery. The SWOT framework (Strengths, Weaknesses, Opportunities, Threats) provides insights into Medtronic UK’s ability to launch the new wearable device successfully.</w:t>
      </w:r>
    </w:p>
    <w:p w14:paraId="5B8688CA" w14:textId="77777777" w:rsidR="0075462C" w:rsidRPr="0075462C" w:rsidRDefault="0075462C" w:rsidP="0075462C">
      <w:pPr>
        <w:spacing w:line="360" w:lineRule="auto"/>
        <w:ind w:left="357"/>
        <w:rPr>
          <w:rFonts w:ascii="Arial" w:hAnsi="Arial" w:cs="Arial"/>
          <w:b/>
          <w:bCs/>
        </w:rPr>
      </w:pPr>
      <w:r w:rsidRPr="0075462C">
        <w:rPr>
          <w:rFonts w:ascii="Arial" w:hAnsi="Arial" w:cs="Arial"/>
          <w:b/>
          <w:bCs/>
          <w:highlight w:val="yellow"/>
        </w:rPr>
        <w:t>Strengths</w:t>
      </w:r>
    </w:p>
    <w:p w14:paraId="533A8426" w14:textId="6C1E1822" w:rsidR="0075462C" w:rsidRPr="0075462C" w:rsidRDefault="0075462C" w:rsidP="0075462C">
      <w:pPr>
        <w:spacing w:line="360" w:lineRule="auto"/>
        <w:ind w:left="357"/>
        <w:rPr>
          <w:rFonts w:ascii="Arial" w:hAnsi="Arial" w:cs="Arial"/>
        </w:rPr>
      </w:pPr>
      <w:r w:rsidRPr="0075462C">
        <w:rPr>
          <w:rFonts w:ascii="Arial" w:hAnsi="Arial" w:cs="Arial"/>
        </w:rPr>
        <w:t>Medtronic possesses extensive technological expertise, a strong global reputation, and a diversified product portfolio spanning cardiology, diabetes management, surgical technologies and remote monitoring (Medtronic, 2023). This breadth provides knowledge transfer opportunities for the new wearable device. The organisation’s long-established partnerships with the NHS foster trust, facilitating quicker adoption of new technologies</w:t>
      </w:r>
      <w:r w:rsidR="000A345E">
        <w:rPr>
          <w:rFonts w:ascii="Arial" w:hAnsi="Arial" w:cs="Arial"/>
        </w:rPr>
        <w:t xml:space="preserve">. </w:t>
      </w:r>
      <w:r w:rsidRPr="0075462C">
        <w:rPr>
          <w:rFonts w:ascii="Arial" w:hAnsi="Arial" w:cs="Arial"/>
        </w:rPr>
        <w:t xml:space="preserve">Medtronic’s ability to integrate hardware with data analytics platforms is a crucial </w:t>
      </w:r>
      <w:r w:rsidRPr="0075462C">
        <w:rPr>
          <w:rFonts w:ascii="Arial" w:hAnsi="Arial" w:cs="Arial"/>
        </w:rPr>
        <w:lastRenderedPageBreak/>
        <w:t>strength, as digital health solutions increasingly depend on cloud-based clinical data integration. Strong R&amp;D investment further enables continuous innovation.</w:t>
      </w:r>
    </w:p>
    <w:p w14:paraId="06EC8CAF" w14:textId="77777777" w:rsidR="0075462C" w:rsidRPr="0075462C" w:rsidRDefault="0075462C" w:rsidP="0075462C">
      <w:pPr>
        <w:spacing w:line="360" w:lineRule="auto"/>
        <w:ind w:left="357"/>
        <w:rPr>
          <w:rFonts w:ascii="Arial" w:hAnsi="Arial" w:cs="Arial"/>
          <w:b/>
          <w:bCs/>
        </w:rPr>
      </w:pPr>
      <w:r w:rsidRPr="0075462C">
        <w:rPr>
          <w:rFonts w:ascii="Arial" w:hAnsi="Arial" w:cs="Arial"/>
          <w:b/>
          <w:bCs/>
          <w:highlight w:val="yellow"/>
        </w:rPr>
        <w:t>Weaknesses</w:t>
      </w:r>
    </w:p>
    <w:p w14:paraId="3BDDD81C" w14:textId="4CEDE261" w:rsidR="0075462C" w:rsidRPr="0075462C" w:rsidRDefault="0075462C" w:rsidP="004408D8">
      <w:pPr>
        <w:spacing w:line="360" w:lineRule="auto"/>
        <w:ind w:left="357"/>
        <w:rPr>
          <w:rFonts w:ascii="Arial" w:hAnsi="Arial" w:cs="Arial"/>
        </w:rPr>
      </w:pPr>
      <w:r w:rsidRPr="0075462C">
        <w:rPr>
          <w:rFonts w:ascii="Arial" w:hAnsi="Arial" w:cs="Arial"/>
        </w:rPr>
        <w:t xml:space="preserve">Medtronic faces organisational challenges that may influence project execution. Its global scale sometimes leads to lengthy internal decision-making processes and cross-regional coordination barriers. Medical devices requiring regulatory approval must go through strict compliance processes, such as MHRA assessments, which can lengthen development timelines </w:t>
      </w:r>
      <w:r w:rsidR="004408D8" w:rsidRPr="004408D8">
        <w:rPr>
          <w:rFonts w:ascii="Arial" w:hAnsi="Arial" w:cs="Arial"/>
        </w:rPr>
        <w:t>(Laranjo, 2023)</w:t>
      </w:r>
      <w:r w:rsidR="004408D8">
        <w:rPr>
          <w:rFonts w:ascii="Arial" w:hAnsi="Arial" w:cs="Arial"/>
        </w:rPr>
        <w:t xml:space="preserve">. </w:t>
      </w:r>
      <w:r w:rsidRPr="0075462C">
        <w:rPr>
          <w:rFonts w:ascii="Arial" w:hAnsi="Arial" w:cs="Arial"/>
        </w:rPr>
        <w:t>Additionally, Medtronic’s wearable experience in the consumer market is less established than competitors like Garmin, Fitbit or Apple, limiting brand visibility in the lifestyle-wearables sector</w:t>
      </w:r>
      <w:r w:rsidR="0027090D">
        <w:rPr>
          <w:rFonts w:ascii="Arial" w:hAnsi="Arial" w:cs="Arial"/>
        </w:rPr>
        <w:t xml:space="preserve">. </w:t>
      </w:r>
      <w:r w:rsidRPr="0075462C">
        <w:rPr>
          <w:rFonts w:ascii="Arial" w:hAnsi="Arial" w:cs="Arial"/>
        </w:rPr>
        <w:t>This may require additional marketing investment.</w:t>
      </w:r>
    </w:p>
    <w:p w14:paraId="48B88F66" w14:textId="77777777" w:rsidR="0075462C" w:rsidRPr="0075462C" w:rsidRDefault="0075462C" w:rsidP="0075462C">
      <w:pPr>
        <w:spacing w:line="360" w:lineRule="auto"/>
        <w:ind w:left="357"/>
        <w:rPr>
          <w:rFonts w:ascii="Arial" w:hAnsi="Arial" w:cs="Arial"/>
          <w:b/>
          <w:bCs/>
        </w:rPr>
      </w:pPr>
      <w:r w:rsidRPr="0075462C">
        <w:rPr>
          <w:rFonts w:ascii="Arial" w:hAnsi="Arial" w:cs="Arial"/>
          <w:b/>
          <w:bCs/>
          <w:highlight w:val="yellow"/>
        </w:rPr>
        <w:t>Opportunities</w:t>
      </w:r>
    </w:p>
    <w:p w14:paraId="6B62251A" w14:textId="5304ED1E" w:rsidR="0075462C" w:rsidRPr="0075462C" w:rsidRDefault="0075462C" w:rsidP="006B723C">
      <w:pPr>
        <w:spacing w:line="360" w:lineRule="auto"/>
        <w:ind w:left="357"/>
        <w:rPr>
          <w:rFonts w:ascii="Arial" w:hAnsi="Arial" w:cs="Arial"/>
        </w:rPr>
      </w:pPr>
      <w:r w:rsidRPr="0075462C">
        <w:rPr>
          <w:rFonts w:ascii="Arial" w:hAnsi="Arial" w:cs="Arial"/>
        </w:rPr>
        <w:t xml:space="preserve">The UK market is increasingly embracing remote monitoring tools, driven by NHS policies encouraging home-based care and early intervention for chronic illnesses </w:t>
      </w:r>
      <w:r w:rsidR="006B723C" w:rsidRPr="006B723C">
        <w:rPr>
          <w:rFonts w:ascii="Arial" w:hAnsi="Arial" w:cs="Arial"/>
        </w:rPr>
        <w:t>(Albakri, 2024)</w:t>
      </w:r>
      <w:r w:rsidRPr="0075462C">
        <w:rPr>
          <w:rFonts w:ascii="Arial" w:hAnsi="Arial" w:cs="Arial"/>
        </w:rPr>
        <w:t>. With rising health awareness among consumers, demand for wearables that combine medical-grade data accuracy with lifestyle features continues to grow. Digital transformation programmes within the NHS also create opportunities for interoperable devices that support clinical decision-making (</w:t>
      </w:r>
      <w:r w:rsidR="00E32398" w:rsidRPr="00E32398">
        <w:rPr>
          <w:rFonts w:ascii="Arial" w:hAnsi="Arial" w:cs="Arial"/>
        </w:rPr>
        <w:t>Burrell, 2023</w:t>
      </w:r>
      <w:r w:rsidRPr="0075462C">
        <w:rPr>
          <w:rFonts w:ascii="Arial" w:hAnsi="Arial" w:cs="Arial"/>
        </w:rPr>
        <w:t>). Artificial intelligence and real-time analytics provide additional avenues for value creation, such as predictive risk modelling. Medtronic can also leverage expanding telehealth networks and partnerships with insurers interested in preventative health strategies.</w:t>
      </w:r>
    </w:p>
    <w:p w14:paraId="2F36499D" w14:textId="77777777" w:rsidR="0075462C" w:rsidRPr="0075462C" w:rsidRDefault="0075462C" w:rsidP="0075462C">
      <w:pPr>
        <w:spacing w:line="360" w:lineRule="auto"/>
        <w:ind w:left="357"/>
        <w:rPr>
          <w:rFonts w:ascii="Arial" w:hAnsi="Arial" w:cs="Arial"/>
          <w:b/>
          <w:bCs/>
        </w:rPr>
      </w:pPr>
      <w:r w:rsidRPr="0075462C">
        <w:rPr>
          <w:rFonts w:ascii="Arial" w:hAnsi="Arial" w:cs="Arial"/>
          <w:b/>
          <w:bCs/>
          <w:highlight w:val="yellow"/>
        </w:rPr>
        <w:t>Threats</w:t>
      </w:r>
    </w:p>
    <w:p w14:paraId="78DB74C2" w14:textId="4FB18793" w:rsidR="00425732" w:rsidRDefault="0075462C" w:rsidP="00B25D10">
      <w:pPr>
        <w:spacing w:line="360" w:lineRule="auto"/>
        <w:ind w:left="357"/>
        <w:rPr>
          <w:rFonts w:ascii="Arial" w:hAnsi="Arial" w:cs="Arial"/>
        </w:rPr>
      </w:pPr>
      <w:r w:rsidRPr="0075462C">
        <w:rPr>
          <w:rFonts w:ascii="Arial" w:hAnsi="Arial" w:cs="Arial"/>
        </w:rPr>
        <w:t xml:space="preserve">The wearable device market is highly competitive, with technology firms releasing frequent product iterations and setting consumer expectations for user-friendly interfaces. Cybersecurity risks represent another major threat, as health-care devices are increasingly targeted by cyberattacks </w:t>
      </w:r>
      <w:r w:rsidR="00B25D10" w:rsidRPr="00B25D10">
        <w:rPr>
          <w:rFonts w:ascii="Arial" w:hAnsi="Arial" w:cs="Arial"/>
        </w:rPr>
        <w:t>(Sharma, 2023)</w:t>
      </w:r>
      <w:r w:rsidRPr="0075462C">
        <w:rPr>
          <w:rFonts w:ascii="Arial" w:hAnsi="Arial" w:cs="Arial"/>
        </w:rPr>
        <w:t>. Any breach could result in reputational damage and regulatory penalties under UK GDPR</w:t>
      </w:r>
      <w:r w:rsidR="007B1051">
        <w:rPr>
          <w:rFonts w:ascii="Arial" w:hAnsi="Arial" w:cs="Arial"/>
        </w:rPr>
        <w:t xml:space="preserve">. </w:t>
      </w:r>
    </w:p>
    <w:p w14:paraId="50B2C68E" w14:textId="5127A46B" w:rsidR="0075462C" w:rsidRPr="0075462C" w:rsidRDefault="0075462C" w:rsidP="00A31EC8">
      <w:pPr>
        <w:spacing w:line="360" w:lineRule="auto"/>
        <w:ind w:left="357"/>
        <w:rPr>
          <w:rFonts w:ascii="Arial" w:hAnsi="Arial" w:cs="Arial"/>
        </w:rPr>
      </w:pPr>
      <w:r w:rsidRPr="0075462C">
        <w:rPr>
          <w:rFonts w:ascii="Arial" w:hAnsi="Arial" w:cs="Arial"/>
        </w:rPr>
        <w:t xml:space="preserve">Furthermore, supply-chain disruptions caused by geopolitical or economic instability may impact component availability, delaying production. The medical device regulatory landscape is also evolving, potentially requiring additional evidence and documentation for approval </w:t>
      </w:r>
      <w:r w:rsidR="00A31EC8" w:rsidRPr="00A31EC8">
        <w:rPr>
          <w:rFonts w:ascii="Arial" w:hAnsi="Arial" w:cs="Arial"/>
        </w:rPr>
        <w:t>(Laranjo, 2023)</w:t>
      </w:r>
      <w:r w:rsidR="00A31EC8">
        <w:rPr>
          <w:rFonts w:ascii="Arial" w:hAnsi="Arial" w:cs="Arial"/>
        </w:rPr>
        <w:t>.</w:t>
      </w:r>
    </w:p>
    <w:p w14:paraId="57EF5AC3" w14:textId="3B74FDA0" w:rsidR="006B3B8E" w:rsidRDefault="00FE119F" w:rsidP="000C5A2A">
      <w:pPr>
        <w:spacing w:line="360" w:lineRule="auto"/>
        <w:ind w:left="357"/>
        <w:rPr>
          <w:rFonts w:ascii="Arial" w:hAnsi="Arial" w:cs="Arial"/>
        </w:rPr>
      </w:pPr>
      <w:r w:rsidRPr="00FE119F">
        <w:rPr>
          <w:rFonts w:ascii="Arial" w:hAnsi="Arial" w:cs="Arial"/>
        </w:rPr>
        <w:t xml:space="preserve">The SWOT analysis demonstrates that Medtronic UK has substantial capabilities to support a successful product launch. However, competitive pressures, regulatory hurdles </w:t>
      </w:r>
      <w:r w:rsidRPr="00FE119F">
        <w:rPr>
          <w:rFonts w:ascii="Arial" w:hAnsi="Arial" w:cs="Arial"/>
        </w:rPr>
        <w:lastRenderedPageBreak/>
        <w:t>and cybersecurity risks must be effectively managed. Stakeholder engagement is therefore critical to leveraging strengths, mitigating threats, and ensuring cross-functional alignment throughout the development and launch process.</w:t>
      </w:r>
    </w:p>
    <w:p w14:paraId="5371472F" w14:textId="4E6F33DD" w:rsidR="003A6759" w:rsidRDefault="00FB52A6" w:rsidP="005729A2">
      <w:pPr>
        <w:spacing w:line="360" w:lineRule="auto"/>
        <w:ind w:left="357"/>
        <w:rPr>
          <w:rFonts w:ascii="Arial" w:hAnsi="Arial" w:cs="Arial"/>
        </w:rPr>
      </w:pPr>
      <w:r w:rsidRPr="00FB52A6">
        <w:rPr>
          <w:rFonts w:ascii="Arial" w:hAnsi="Arial" w:cs="Arial"/>
          <w:b/>
          <w:bCs/>
          <w:sz w:val="28"/>
          <w:szCs w:val="28"/>
        </w:rPr>
        <w:t>Stakeholder Identification</w:t>
      </w:r>
      <w:r w:rsidR="007B2C80">
        <w:rPr>
          <w:rFonts w:ascii="Arial" w:hAnsi="Arial" w:cs="Arial"/>
          <w:b/>
          <w:bCs/>
          <w:sz w:val="28"/>
          <w:szCs w:val="28"/>
        </w:rPr>
        <w:t xml:space="preserve"> </w:t>
      </w:r>
      <w:r w:rsidR="007B2C80" w:rsidRPr="00A9712D">
        <w:rPr>
          <w:rFonts w:ascii="Arial" w:hAnsi="Arial" w:cs="Arial"/>
        </w:rPr>
        <w:t xml:space="preserve">Stakeholders are individuals, groups, or institutions that can influence or be influenced by a project </w:t>
      </w:r>
      <w:r w:rsidR="005729A2" w:rsidRPr="005729A2">
        <w:rPr>
          <w:rFonts w:ascii="Arial" w:hAnsi="Arial" w:cs="Arial"/>
        </w:rPr>
        <w:t>(Kolasa, 2023)</w:t>
      </w:r>
      <w:r w:rsidR="005729A2">
        <w:rPr>
          <w:rFonts w:ascii="Arial" w:hAnsi="Arial" w:cs="Arial"/>
        </w:rPr>
        <w:t xml:space="preserve">. </w:t>
      </w:r>
      <w:r w:rsidR="007B2C80" w:rsidRPr="00A9712D">
        <w:rPr>
          <w:rFonts w:ascii="Arial" w:hAnsi="Arial" w:cs="Arial"/>
        </w:rPr>
        <w:t>Effective identification ensures that expectations are managed, resources are allocated appropriately, and risks are anticipated early. For the new wearable device project, stakeholders include both internal and external actors with varying levels of interest and power.</w:t>
      </w:r>
    </w:p>
    <w:p w14:paraId="01400D10" w14:textId="77777777" w:rsidR="00211D40" w:rsidRPr="00E1595D" w:rsidRDefault="000B342C" w:rsidP="00211D40">
      <w:pPr>
        <w:spacing w:line="360" w:lineRule="auto"/>
        <w:rPr>
          <w:rFonts w:ascii="Arial" w:hAnsi="Arial" w:cs="Arial"/>
          <w:b/>
          <w:bCs/>
        </w:rPr>
      </w:pPr>
      <w:r w:rsidRPr="00E1595D">
        <w:rPr>
          <w:rFonts w:ascii="Arial" w:hAnsi="Arial" w:cs="Arial"/>
          <w:b/>
          <w:bCs/>
          <w:highlight w:val="yellow"/>
        </w:rPr>
        <w:t>Internal Stakeholders</w:t>
      </w:r>
    </w:p>
    <w:p w14:paraId="04191275" w14:textId="46D0CF4A" w:rsidR="000B342C" w:rsidRPr="00984C58" w:rsidRDefault="000B342C" w:rsidP="00984C58">
      <w:pPr>
        <w:pStyle w:val="ListParagraph"/>
        <w:numPr>
          <w:ilvl w:val="0"/>
          <w:numId w:val="2"/>
        </w:numPr>
        <w:spacing w:line="360" w:lineRule="auto"/>
        <w:rPr>
          <w:rFonts w:ascii="Arial" w:hAnsi="Arial" w:cs="Arial"/>
          <w:b/>
          <w:bCs/>
        </w:rPr>
      </w:pPr>
      <w:r w:rsidRPr="00984C58">
        <w:rPr>
          <w:rFonts w:ascii="Arial" w:hAnsi="Arial" w:cs="Arial"/>
          <w:b/>
          <w:bCs/>
        </w:rPr>
        <w:t>Senior Leadership (Executives and Directors)</w:t>
      </w:r>
      <w:r w:rsidR="00DD54AD">
        <w:rPr>
          <w:rFonts w:ascii="Arial" w:hAnsi="Arial" w:cs="Arial"/>
        </w:rPr>
        <w:t xml:space="preserve">- </w:t>
      </w:r>
      <w:r w:rsidRPr="00984C58">
        <w:rPr>
          <w:rFonts w:ascii="Arial" w:hAnsi="Arial" w:cs="Arial"/>
        </w:rPr>
        <w:t>Responsible for strategic alignment, budget approval, and overall project oversight.</w:t>
      </w:r>
    </w:p>
    <w:p w14:paraId="50E5D111" w14:textId="32A25481" w:rsidR="000B342C" w:rsidRPr="00211D40" w:rsidRDefault="000B342C" w:rsidP="00211D40">
      <w:pPr>
        <w:pStyle w:val="ListParagraph"/>
        <w:numPr>
          <w:ilvl w:val="0"/>
          <w:numId w:val="2"/>
        </w:numPr>
        <w:spacing w:line="360" w:lineRule="auto"/>
        <w:rPr>
          <w:rFonts w:ascii="Arial" w:hAnsi="Arial" w:cs="Arial"/>
        </w:rPr>
      </w:pPr>
      <w:r w:rsidRPr="00211D40">
        <w:rPr>
          <w:rFonts w:ascii="Arial" w:hAnsi="Arial" w:cs="Arial"/>
          <w:b/>
          <w:bCs/>
        </w:rPr>
        <w:t>Project Management Office (PMO)</w:t>
      </w:r>
      <w:r w:rsidR="00DD54AD">
        <w:rPr>
          <w:rFonts w:ascii="Arial" w:hAnsi="Arial" w:cs="Arial"/>
        </w:rPr>
        <w:t>-</w:t>
      </w:r>
      <w:r w:rsidRPr="00211D40">
        <w:rPr>
          <w:rFonts w:ascii="Arial" w:hAnsi="Arial" w:cs="Arial"/>
        </w:rPr>
        <w:t>Supports governance, documentation, and risk management.</w:t>
      </w:r>
    </w:p>
    <w:p w14:paraId="1B926CB8" w14:textId="7F055903" w:rsidR="000B342C" w:rsidRPr="00211D40" w:rsidRDefault="000B342C" w:rsidP="00211D40">
      <w:pPr>
        <w:pStyle w:val="ListParagraph"/>
        <w:numPr>
          <w:ilvl w:val="0"/>
          <w:numId w:val="2"/>
        </w:numPr>
        <w:spacing w:line="360" w:lineRule="auto"/>
        <w:rPr>
          <w:rFonts w:ascii="Arial" w:hAnsi="Arial" w:cs="Arial"/>
        </w:rPr>
      </w:pPr>
      <w:r w:rsidRPr="00211D40">
        <w:rPr>
          <w:rFonts w:ascii="Arial" w:hAnsi="Arial" w:cs="Arial"/>
          <w:b/>
          <w:bCs/>
        </w:rPr>
        <w:t>Research and Development (R&amp;D) Team</w:t>
      </w:r>
      <w:r w:rsidR="00DD54AD">
        <w:rPr>
          <w:rFonts w:ascii="Arial" w:hAnsi="Arial" w:cs="Arial"/>
        </w:rPr>
        <w:t>-</w:t>
      </w:r>
      <w:r w:rsidRPr="00211D40">
        <w:rPr>
          <w:rFonts w:ascii="Arial" w:hAnsi="Arial" w:cs="Arial"/>
        </w:rPr>
        <w:t>Engineers, product designers, biomedical specialists and firmware developers designing the wearable device.</w:t>
      </w:r>
    </w:p>
    <w:p w14:paraId="5B6185C4" w14:textId="021A40D3" w:rsidR="000B342C" w:rsidRPr="00211D40" w:rsidRDefault="000B342C" w:rsidP="00211D40">
      <w:pPr>
        <w:pStyle w:val="ListParagraph"/>
        <w:numPr>
          <w:ilvl w:val="0"/>
          <w:numId w:val="2"/>
        </w:numPr>
        <w:spacing w:line="360" w:lineRule="auto"/>
        <w:rPr>
          <w:rFonts w:ascii="Arial" w:hAnsi="Arial" w:cs="Arial"/>
        </w:rPr>
      </w:pPr>
      <w:r w:rsidRPr="00211D40">
        <w:rPr>
          <w:rFonts w:ascii="Arial" w:hAnsi="Arial" w:cs="Arial"/>
          <w:b/>
          <w:bCs/>
        </w:rPr>
        <w:t>Cybersecurity and IT Teams</w:t>
      </w:r>
      <w:r w:rsidR="00DD54AD">
        <w:rPr>
          <w:rFonts w:ascii="Arial" w:hAnsi="Arial" w:cs="Arial"/>
        </w:rPr>
        <w:t>-</w:t>
      </w:r>
      <w:r w:rsidRPr="00211D40">
        <w:rPr>
          <w:rFonts w:ascii="Arial" w:hAnsi="Arial" w:cs="Arial"/>
        </w:rPr>
        <w:t>Responsible for data protection, cloud integration, encryption, and interoperability with NHS systems.</w:t>
      </w:r>
    </w:p>
    <w:p w14:paraId="47558F83" w14:textId="581F578C" w:rsidR="000B342C" w:rsidRPr="00211D40" w:rsidRDefault="000B342C" w:rsidP="00211D40">
      <w:pPr>
        <w:pStyle w:val="ListParagraph"/>
        <w:numPr>
          <w:ilvl w:val="0"/>
          <w:numId w:val="2"/>
        </w:numPr>
        <w:spacing w:line="360" w:lineRule="auto"/>
        <w:rPr>
          <w:rFonts w:ascii="Arial" w:hAnsi="Arial" w:cs="Arial"/>
        </w:rPr>
      </w:pPr>
      <w:r w:rsidRPr="00211D40">
        <w:rPr>
          <w:rFonts w:ascii="Arial" w:hAnsi="Arial" w:cs="Arial"/>
          <w:b/>
          <w:bCs/>
        </w:rPr>
        <w:t>Marketing and Communications Department</w:t>
      </w:r>
      <w:r w:rsidR="00DD54AD">
        <w:rPr>
          <w:rFonts w:ascii="Arial" w:hAnsi="Arial" w:cs="Arial"/>
        </w:rPr>
        <w:t>-</w:t>
      </w:r>
      <w:r w:rsidRPr="00211D40">
        <w:rPr>
          <w:rFonts w:ascii="Arial" w:hAnsi="Arial" w:cs="Arial"/>
        </w:rPr>
        <w:t>Develops brand positioning, promotional strategies, and consumer-facing communications.</w:t>
      </w:r>
    </w:p>
    <w:p w14:paraId="386F703A" w14:textId="3A01E937" w:rsidR="000B342C" w:rsidRPr="00211D40" w:rsidRDefault="000B342C" w:rsidP="00211D40">
      <w:pPr>
        <w:pStyle w:val="ListParagraph"/>
        <w:numPr>
          <w:ilvl w:val="0"/>
          <w:numId w:val="2"/>
        </w:numPr>
        <w:spacing w:line="360" w:lineRule="auto"/>
        <w:rPr>
          <w:rFonts w:ascii="Arial" w:hAnsi="Arial" w:cs="Arial"/>
        </w:rPr>
      </w:pPr>
      <w:r w:rsidRPr="00211D40">
        <w:rPr>
          <w:rFonts w:ascii="Arial" w:hAnsi="Arial" w:cs="Arial"/>
          <w:b/>
          <w:bCs/>
        </w:rPr>
        <w:t>Sales and Distribution Teams</w:t>
      </w:r>
      <w:r w:rsidR="00DD54AD">
        <w:rPr>
          <w:rFonts w:ascii="Arial" w:hAnsi="Arial" w:cs="Arial"/>
        </w:rPr>
        <w:t>-</w:t>
      </w:r>
      <w:r w:rsidRPr="00211D40">
        <w:rPr>
          <w:rFonts w:ascii="Arial" w:hAnsi="Arial" w:cs="Arial"/>
        </w:rPr>
        <w:t>Organise market entry planning, customer education, and coordination with NHS procurement.</w:t>
      </w:r>
    </w:p>
    <w:p w14:paraId="26314088" w14:textId="5E8558CE" w:rsidR="000B342C" w:rsidRPr="00211D40" w:rsidRDefault="000B342C" w:rsidP="00211D40">
      <w:pPr>
        <w:pStyle w:val="ListParagraph"/>
        <w:numPr>
          <w:ilvl w:val="0"/>
          <w:numId w:val="2"/>
        </w:numPr>
        <w:spacing w:line="360" w:lineRule="auto"/>
        <w:rPr>
          <w:rFonts w:ascii="Arial" w:hAnsi="Arial" w:cs="Arial"/>
        </w:rPr>
      </w:pPr>
      <w:r w:rsidRPr="00211D40">
        <w:rPr>
          <w:rFonts w:ascii="Arial" w:hAnsi="Arial" w:cs="Arial"/>
          <w:b/>
          <w:bCs/>
        </w:rPr>
        <w:t>Regulatory Affairs Team</w:t>
      </w:r>
      <w:r w:rsidR="00DD54AD">
        <w:rPr>
          <w:rFonts w:ascii="Arial" w:hAnsi="Arial" w:cs="Arial"/>
        </w:rPr>
        <w:t>-</w:t>
      </w:r>
      <w:r w:rsidRPr="00211D40">
        <w:rPr>
          <w:rFonts w:ascii="Arial" w:hAnsi="Arial" w:cs="Arial"/>
        </w:rPr>
        <w:t>Ensures compliance with MHRA requirements, UKCA marking, and clinical safety testing.</w:t>
      </w:r>
    </w:p>
    <w:p w14:paraId="4A85649E" w14:textId="0DF56C9A" w:rsidR="000B342C" w:rsidRPr="00FE68D5" w:rsidRDefault="000B342C" w:rsidP="00FE68D5">
      <w:pPr>
        <w:pStyle w:val="ListParagraph"/>
        <w:numPr>
          <w:ilvl w:val="0"/>
          <w:numId w:val="2"/>
        </w:numPr>
        <w:spacing w:line="360" w:lineRule="auto"/>
        <w:rPr>
          <w:rFonts w:ascii="Arial" w:hAnsi="Arial" w:cs="Arial"/>
        </w:rPr>
      </w:pPr>
      <w:r w:rsidRPr="00211D40">
        <w:rPr>
          <w:rFonts w:ascii="Arial" w:hAnsi="Arial" w:cs="Arial"/>
          <w:b/>
          <w:bCs/>
        </w:rPr>
        <w:t>Quality Assurance (QA) and Compliance Department</w:t>
      </w:r>
      <w:r w:rsidR="00DD54AD">
        <w:rPr>
          <w:rFonts w:ascii="Arial" w:hAnsi="Arial" w:cs="Arial"/>
        </w:rPr>
        <w:t>-</w:t>
      </w:r>
      <w:r w:rsidRPr="00211D40">
        <w:rPr>
          <w:rFonts w:ascii="Arial" w:hAnsi="Arial" w:cs="Arial"/>
        </w:rPr>
        <w:t>Monitors device reliability, testing processes, and user-safety protocols</w:t>
      </w:r>
      <w:r w:rsidR="00FE68D5">
        <w:rPr>
          <w:rFonts w:ascii="Arial" w:hAnsi="Arial" w:cs="Arial"/>
        </w:rPr>
        <w:t xml:space="preserve"> </w:t>
      </w:r>
      <w:r w:rsidR="00FE68D5" w:rsidRPr="00FE68D5">
        <w:rPr>
          <w:rFonts w:ascii="Arial" w:hAnsi="Arial" w:cs="Arial"/>
        </w:rPr>
        <w:t xml:space="preserve">(Smith, </w:t>
      </w:r>
      <w:proofErr w:type="spellStart"/>
      <w:r w:rsidR="00FE68D5" w:rsidRPr="00FE68D5">
        <w:rPr>
          <w:rFonts w:ascii="Arial" w:hAnsi="Arial" w:cs="Arial"/>
        </w:rPr>
        <w:t>Gonin</w:t>
      </w:r>
      <w:proofErr w:type="spellEnd"/>
      <w:r w:rsidR="00FE68D5" w:rsidRPr="00FE68D5">
        <w:rPr>
          <w:rFonts w:ascii="Arial" w:hAnsi="Arial" w:cs="Arial"/>
        </w:rPr>
        <w:t xml:space="preserve"> and Besharov, 2013)</w:t>
      </w:r>
      <w:r w:rsidR="00FE68D5">
        <w:rPr>
          <w:rFonts w:ascii="Arial" w:hAnsi="Arial" w:cs="Arial"/>
        </w:rPr>
        <w:t>.</w:t>
      </w:r>
    </w:p>
    <w:p w14:paraId="092CF947" w14:textId="229ED9D0" w:rsidR="00F43CFC" w:rsidRPr="00E1595D" w:rsidRDefault="00F43CFC" w:rsidP="00F43CFC">
      <w:pPr>
        <w:spacing w:line="360" w:lineRule="auto"/>
        <w:rPr>
          <w:rFonts w:ascii="Arial" w:hAnsi="Arial" w:cs="Arial"/>
          <w:b/>
          <w:bCs/>
        </w:rPr>
      </w:pPr>
      <w:r w:rsidRPr="00E1595D">
        <w:rPr>
          <w:rFonts w:ascii="Arial" w:hAnsi="Arial" w:cs="Arial"/>
          <w:b/>
          <w:bCs/>
          <w:highlight w:val="yellow"/>
        </w:rPr>
        <w:t>E</w:t>
      </w:r>
      <w:r w:rsidRPr="00E1595D">
        <w:rPr>
          <w:rFonts w:ascii="Arial" w:hAnsi="Arial" w:cs="Arial"/>
          <w:b/>
          <w:bCs/>
          <w:highlight w:val="yellow"/>
        </w:rPr>
        <w:t>xternal Stakeholders</w:t>
      </w:r>
    </w:p>
    <w:p w14:paraId="6990CD7A" w14:textId="11AD5DED" w:rsidR="00F43CFC" w:rsidRPr="00DD54AD" w:rsidRDefault="00F43CFC" w:rsidP="00F43CFC">
      <w:pPr>
        <w:pStyle w:val="ListParagraph"/>
        <w:numPr>
          <w:ilvl w:val="0"/>
          <w:numId w:val="3"/>
        </w:numPr>
        <w:spacing w:line="360" w:lineRule="auto"/>
        <w:rPr>
          <w:rFonts w:ascii="Arial" w:hAnsi="Arial" w:cs="Arial"/>
        </w:rPr>
      </w:pPr>
      <w:r w:rsidRPr="00DD54AD">
        <w:rPr>
          <w:rFonts w:ascii="Arial" w:hAnsi="Arial" w:cs="Arial"/>
          <w:b/>
          <w:bCs/>
        </w:rPr>
        <w:t>NHS Procurement Bodies</w:t>
      </w:r>
      <w:r w:rsidR="00DD54AD" w:rsidRPr="00DD54AD">
        <w:rPr>
          <w:rFonts w:ascii="Arial" w:hAnsi="Arial" w:cs="Arial"/>
          <w:b/>
          <w:bCs/>
        </w:rPr>
        <w:t>-</w:t>
      </w:r>
      <w:r w:rsidRPr="00DD54AD">
        <w:rPr>
          <w:rFonts w:ascii="Arial" w:hAnsi="Arial" w:cs="Arial"/>
        </w:rPr>
        <w:t>Influence purchasing decisions and organisational adoption.</w:t>
      </w:r>
    </w:p>
    <w:p w14:paraId="55F8F1B5" w14:textId="2EC8CF79" w:rsidR="00F43CFC" w:rsidRPr="00DD54AD" w:rsidRDefault="00F43CFC" w:rsidP="00F43CFC">
      <w:pPr>
        <w:pStyle w:val="ListParagraph"/>
        <w:numPr>
          <w:ilvl w:val="0"/>
          <w:numId w:val="5"/>
        </w:numPr>
        <w:spacing w:line="360" w:lineRule="auto"/>
        <w:rPr>
          <w:rFonts w:ascii="Arial" w:hAnsi="Arial" w:cs="Arial"/>
          <w:b/>
          <w:bCs/>
        </w:rPr>
      </w:pPr>
      <w:r w:rsidRPr="00DD54AD">
        <w:rPr>
          <w:rFonts w:ascii="Arial" w:hAnsi="Arial" w:cs="Arial"/>
          <w:b/>
          <w:bCs/>
        </w:rPr>
        <w:t>Clinicians (GPs, cardiologists, respiratory specialists)</w:t>
      </w:r>
      <w:r w:rsidR="00DD54AD">
        <w:rPr>
          <w:rFonts w:ascii="Arial" w:hAnsi="Arial" w:cs="Arial"/>
          <w:b/>
          <w:bCs/>
        </w:rPr>
        <w:t xml:space="preserve">- </w:t>
      </w:r>
      <w:r w:rsidRPr="00DD54AD">
        <w:rPr>
          <w:rFonts w:ascii="Arial" w:hAnsi="Arial" w:cs="Arial"/>
        </w:rPr>
        <w:t>Provide expert feedback on device usability, clinical accuracy and patient compliance.</w:t>
      </w:r>
    </w:p>
    <w:p w14:paraId="5951D3A6" w14:textId="1C8C72AD" w:rsidR="00F43CFC" w:rsidRPr="001F5A6B" w:rsidRDefault="00F43CFC" w:rsidP="00F43CFC">
      <w:pPr>
        <w:pStyle w:val="ListParagraph"/>
        <w:numPr>
          <w:ilvl w:val="0"/>
          <w:numId w:val="5"/>
        </w:numPr>
        <w:spacing w:line="360" w:lineRule="auto"/>
        <w:rPr>
          <w:rFonts w:ascii="Arial" w:hAnsi="Arial" w:cs="Arial"/>
          <w:b/>
          <w:bCs/>
        </w:rPr>
      </w:pPr>
      <w:r w:rsidRPr="00DD54AD">
        <w:rPr>
          <w:rFonts w:ascii="Arial" w:hAnsi="Arial" w:cs="Arial"/>
          <w:b/>
          <w:bCs/>
        </w:rPr>
        <w:t>Patients and Consumer Groups</w:t>
      </w:r>
      <w:r w:rsidR="00DD54AD">
        <w:rPr>
          <w:rFonts w:ascii="Arial" w:hAnsi="Arial" w:cs="Arial"/>
          <w:b/>
          <w:bCs/>
        </w:rPr>
        <w:t xml:space="preserve">- </w:t>
      </w:r>
      <w:r w:rsidRPr="00DD54AD">
        <w:rPr>
          <w:rFonts w:ascii="Arial" w:hAnsi="Arial" w:cs="Arial"/>
        </w:rPr>
        <w:t>Key end-users whose experiences, comfort, and satisfaction determine long-term success.</w:t>
      </w:r>
    </w:p>
    <w:p w14:paraId="70F19471" w14:textId="0FE223B3" w:rsidR="00F43CFC" w:rsidRPr="00B25D10" w:rsidRDefault="00F43CFC" w:rsidP="00F43CFC">
      <w:pPr>
        <w:pStyle w:val="ListParagraph"/>
        <w:numPr>
          <w:ilvl w:val="0"/>
          <w:numId w:val="5"/>
        </w:numPr>
        <w:spacing w:line="360" w:lineRule="auto"/>
        <w:rPr>
          <w:rFonts w:ascii="Arial" w:hAnsi="Arial" w:cs="Arial"/>
          <w:b/>
          <w:bCs/>
        </w:rPr>
      </w:pPr>
      <w:r w:rsidRPr="001F5A6B">
        <w:rPr>
          <w:rFonts w:ascii="Arial" w:hAnsi="Arial" w:cs="Arial"/>
          <w:b/>
          <w:bCs/>
        </w:rPr>
        <w:lastRenderedPageBreak/>
        <w:t>Medical Regulators (MHRA)</w:t>
      </w:r>
      <w:r w:rsidR="001F5A6B">
        <w:rPr>
          <w:rFonts w:ascii="Arial" w:hAnsi="Arial" w:cs="Arial"/>
          <w:b/>
          <w:bCs/>
        </w:rPr>
        <w:t xml:space="preserve">- </w:t>
      </w:r>
      <w:r w:rsidRPr="001F5A6B">
        <w:rPr>
          <w:rFonts w:ascii="Arial" w:hAnsi="Arial" w:cs="Arial"/>
        </w:rPr>
        <w:t>Approve the device, requiring strict quality and safety assurance.</w:t>
      </w:r>
    </w:p>
    <w:p w14:paraId="5A647628" w14:textId="5880C84B" w:rsidR="00F43CFC" w:rsidRPr="001F5A6B" w:rsidRDefault="00F43CFC" w:rsidP="00F43CFC">
      <w:pPr>
        <w:pStyle w:val="ListParagraph"/>
        <w:numPr>
          <w:ilvl w:val="0"/>
          <w:numId w:val="5"/>
        </w:numPr>
        <w:spacing w:line="360" w:lineRule="auto"/>
        <w:rPr>
          <w:rFonts w:ascii="Arial" w:hAnsi="Arial" w:cs="Arial"/>
          <w:b/>
          <w:bCs/>
        </w:rPr>
      </w:pPr>
      <w:r w:rsidRPr="001F5A6B">
        <w:rPr>
          <w:rFonts w:ascii="Arial" w:hAnsi="Arial" w:cs="Arial"/>
          <w:b/>
          <w:bCs/>
        </w:rPr>
        <w:t>Information Commissioner’s Office (ICO)</w:t>
      </w:r>
      <w:r w:rsidR="00CF2E61">
        <w:rPr>
          <w:rFonts w:ascii="Arial" w:hAnsi="Arial" w:cs="Arial"/>
          <w:b/>
          <w:bCs/>
        </w:rPr>
        <w:t>-</w:t>
      </w:r>
      <w:r w:rsidRPr="001F5A6B">
        <w:rPr>
          <w:rFonts w:ascii="Arial" w:hAnsi="Arial" w:cs="Arial"/>
        </w:rPr>
        <w:t>Ensures compliance with GDPR and data-processing regulations.</w:t>
      </w:r>
    </w:p>
    <w:p w14:paraId="127E374B" w14:textId="575D43B0" w:rsidR="00F43CFC" w:rsidRPr="00CF2E61" w:rsidRDefault="00F43CFC" w:rsidP="00F43CFC">
      <w:pPr>
        <w:pStyle w:val="ListParagraph"/>
        <w:numPr>
          <w:ilvl w:val="0"/>
          <w:numId w:val="5"/>
        </w:numPr>
        <w:spacing w:line="360" w:lineRule="auto"/>
        <w:rPr>
          <w:rFonts w:ascii="Arial" w:hAnsi="Arial" w:cs="Arial"/>
          <w:b/>
          <w:bCs/>
        </w:rPr>
      </w:pPr>
      <w:r w:rsidRPr="00CF2E61">
        <w:rPr>
          <w:rFonts w:ascii="Arial" w:hAnsi="Arial" w:cs="Arial"/>
          <w:b/>
          <w:bCs/>
        </w:rPr>
        <w:t>Suppliers and Manufacturers</w:t>
      </w:r>
      <w:r w:rsidR="00CF2E61">
        <w:rPr>
          <w:rFonts w:ascii="Arial" w:hAnsi="Arial" w:cs="Arial"/>
          <w:b/>
          <w:bCs/>
        </w:rPr>
        <w:t>-</w:t>
      </w:r>
      <w:r w:rsidRPr="00CF2E61">
        <w:rPr>
          <w:rFonts w:ascii="Arial" w:hAnsi="Arial" w:cs="Arial"/>
        </w:rPr>
        <w:t>Provide sensors, chips, components and external expertise required for production.</w:t>
      </w:r>
    </w:p>
    <w:p w14:paraId="2304CADB" w14:textId="77777777" w:rsidR="00CF2E61" w:rsidRPr="00CF2E61" w:rsidRDefault="00F43CFC" w:rsidP="00F43CFC">
      <w:pPr>
        <w:pStyle w:val="ListParagraph"/>
        <w:numPr>
          <w:ilvl w:val="0"/>
          <w:numId w:val="5"/>
        </w:numPr>
        <w:spacing w:line="360" w:lineRule="auto"/>
        <w:rPr>
          <w:rFonts w:ascii="Arial" w:hAnsi="Arial" w:cs="Arial"/>
          <w:b/>
          <w:bCs/>
        </w:rPr>
      </w:pPr>
      <w:r w:rsidRPr="00CF2E61">
        <w:rPr>
          <w:rFonts w:ascii="Arial" w:hAnsi="Arial" w:cs="Arial"/>
          <w:b/>
          <w:bCs/>
        </w:rPr>
        <w:t>Logistics and Distribution Partners</w:t>
      </w:r>
      <w:r w:rsidR="00CF2E61">
        <w:rPr>
          <w:rFonts w:ascii="Arial" w:hAnsi="Arial" w:cs="Arial"/>
          <w:b/>
          <w:bCs/>
        </w:rPr>
        <w:t>-</w:t>
      </w:r>
      <w:r w:rsidRPr="00CF2E61">
        <w:rPr>
          <w:rFonts w:ascii="Arial" w:hAnsi="Arial" w:cs="Arial"/>
        </w:rPr>
        <w:t>Support supply-chain continuity and timely delivery.</w:t>
      </w:r>
    </w:p>
    <w:p w14:paraId="68D1DC89" w14:textId="7194C674" w:rsidR="00F43CFC" w:rsidRPr="00CF2E61" w:rsidRDefault="00F43CFC" w:rsidP="00F43CFC">
      <w:pPr>
        <w:pStyle w:val="ListParagraph"/>
        <w:numPr>
          <w:ilvl w:val="0"/>
          <w:numId w:val="5"/>
        </w:numPr>
        <w:spacing w:line="360" w:lineRule="auto"/>
        <w:rPr>
          <w:rFonts w:ascii="Arial" w:hAnsi="Arial" w:cs="Arial"/>
          <w:b/>
          <w:bCs/>
        </w:rPr>
      </w:pPr>
      <w:r w:rsidRPr="00CF2E61">
        <w:rPr>
          <w:rFonts w:ascii="Arial" w:hAnsi="Arial" w:cs="Arial"/>
          <w:b/>
          <w:bCs/>
        </w:rPr>
        <w:t>Insurance and Health-Tech Partners</w:t>
      </w:r>
      <w:r w:rsidR="00CF2E61">
        <w:rPr>
          <w:rFonts w:ascii="Arial" w:hAnsi="Arial" w:cs="Arial"/>
          <w:b/>
          <w:bCs/>
        </w:rPr>
        <w:t>-</w:t>
      </w:r>
      <w:r w:rsidR="00CF2E61">
        <w:rPr>
          <w:rFonts w:ascii="Arial" w:hAnsi="Arial" w:cs="Arial"/>
        </w:rPr>
        <w:t xml:space="preserve"> </w:t>
      </w:r>
      <w:r w:rsidRPr="00CF2E61">
        <w:rPr>
          <w:rFonts w:ascii="Arial" w:hAnsi="Arial" w:cs="Arial"/>
        </w:rPr>
        <w:t>Offer potential collaboration opportunities for reimbursement or wellness programmes.</w:t>
      </w:r>
    </w:p>
    <w:p w14:paraId="2BAA1C60" w14:textId="02351B1A" w:rsidR="000B342C" w:rsidRPr="00286E1A" w:rsidRDefault="00F43CFC" w:rsidP="00286E1A">
      <w:pPr>
        <w:pStyle w:val="ListParagraph"/>
        <w:numPr>
          <w:ilvl w:val="0"/>
          <w:numId w:val="5"/>
        </w:numPr>
        <w:spacing w:line="360" w:lineRule="auto"/>
        <w:rPr>
          <w:rFonts w:ascii="Arial" w:hAnsi="Arial" w:cs="Arial"/>
        </w:rPr>
      </w:pPr>
      <w:r w:rsidRPr="00CF2E61">
        <w:rPr>
          <w:rFonts w:ascii="Arial" w:hAnsi="Arial" w:cs="Arial"/>
          <w:b/>
          <w:bCs/>
        </w:rPr>
        <w:t>Competitors and Market Analysts</w:t>
      </w:r>
      <w:r w:rsidR="00CF2E61">
        <w:rPr>
          <w:rFonts w:ascii="Arial" w:hAnsi="Arial" w:cs="Arial"/>
          <w:b/>
          <w:bCs/>
        </w:rPr>
        <w:t xml:space="preserve">- </w:t>
      </w:r>
      <w:r w:rsidRPr="00CF2E61">
        <w:rPr>
          <w:rFonts w:ascii="Arial" w:hAnsi="Arial" w:cs="Arial"/>
        </w:rPr>
        <w:t>Shape market expectations and influence pricing dynamics</w:t>
      </w:r>
      <w:r w:rsidR="00286E1A">
        <w:rPr>
          <w:rFonts w:ascii="Arial" w:hAnsi="Arial" w:cs="Arial"/>
        </w:rPr>
        <w:t xml:space="preserve"> </w:t>
      </w:r>
      <w:r w:rsidR="00286E1A" w:rsidRPr="00286E1A">
        <w:rPr>
          <w:rFonts w:ascii="Arial" w:hAnsi="Arial" w:cs="Arial"/>
        </w:rPr>
        <w:t>(Liu et al., 2021)</w:t>
      </w:r>
      <w:r w:rsidR="00286E1A">
        <w:rPr>
          <w:rFonts w:ascii="Arial" w:hAnsi="Arial" w:cs="Arial"/>
        </w:rPr>
        <w:t>.</w:t>
      </w:r>
    </w:p>
    <w:p w14:paraId="248EAA7E" w14:textId="77777777" w:rsidR="00565EB0" w:rsidRDefault="007260B6" w:rsidP="007260B6">
      <w:pPr>
        <w:spacing w:line="360" w:lineRule="auto"/>
        <w:rPr>
          <w:rFonts w:ascii="Arial" w:hAnsi="Arial" w:cs="Arial"/>
          <w:b/>
          <w:bCs/>
          <w:sz w:val="28"/>
          <w:szCs w:val="28"/>
        </w:rPr>
      </w:pPr>
      <w:r w:rsidRPr="007260B6">
        <w:rPr>
          <w:rFonts w:ascii="Arial" w:hAnsi="Arial" w:cs="Arial"/>
          <w:b/>
          <w:bCs/>
          <w:sz w:val="28"/>
          <w:szCs w:val="28"/>
        </w:rPr>
        <w:t>Roles, Responsibilities, Benefits, and Challenges of Key Stakeholders</w:t>
      </w:r>
    </w:p>
    <w:p w14:paraId="1013BC83" w14:textId="3EFA54A9" w:rsidR="007260B6" w:rsidRDefault="00523616" w:rsidP="007260B6">
      <w:pPr>
        <w:spacing w:line="360" w:lineRule="auto"/>
        <w:rPr>
          <w:rFonts w:ascii="Arial" w:hAnsi="Arial" w:cs="Arial"/>
        </w:rPr>
      </w:pPr>
      <w:r>
        <w:rPr>
          <w:rFonts w:ascii="Arial" w:hAnsi="Arial" w:cs="Arial"/>
          <w:b/>
          <w:bCs/>
          <w:sz w:val="28"/>
          <w:szCs w:val="28"/>
        </w:rPr>
        <w:t xml:space="preserve"> </w:t>
      </w:r>
      <w:proofErr w:type="spellStart"/>
      <w:r w:rsidRPr="00523616">
        <w:rPr>
          <w:rFonts w:ascii="Arial" w:hAnsi="Arial" w:cs="Arial"/>
        </w:rPr>
        <w:t>Stakeholders</w:t>
      </w:r>
      <w:proofErr w:type="spellEnd"/>
      <w:r w:rsidRPr="00523616">
        <w:rPr>
          <w:rFonts w:ascii="Arial" w:hAnsi="Arial" w:cs="Arial"/>
        </w:rPr>
        <w:t xml:space="preserve"> contribute value but may also present challenges </w:t>
      </w:r>
      <w:r w:rsidRPr="00523616">
        <w:rPr>
          <w:rFonts w:ascii="Arial" w:hAnsi="Arial" w:cs="Arial"/>
        </w:rPr>
        <w:t>depend</w:t>
      </w:r>
      <w:r w:rsidRPr="00523616">
        <w:rPr>
          <w:rFonts w:ascii="Arial" w:hAnsi="Arial" w:cs="Arial"/>
        </w:rPr>
        <w:t xml:space="preserve"> on their goals, expertise, and resource availability.</w:t>
      </w:r>
    </w:p>
    <w:p w14:paraId="75F701CD" w14:textId="77777777" w:rsidR="00896B8E" w:rsidRPr="00896B8E" w:rsidRDefault="00896B8E" w:rsidP="00896B8E">
      <w:pPr>
        <w:spacing w:line="360" w:lineRule="auto"/>
        <w:rPr>
          <w:rFonts w:ascii="Arial" w:hAnsi="Arial" w:cs="Arial"/>
          <w:b/>
          <w:bCs/>
          <w:u w:val="single"/>
        </w:rPr>
      </w:pPr>
      <w:r w:rsidRPr="00896B8E">
        <w:rPr>
          <w:rFonts w:ascii="Arial" w:hAnsi="Arial" w:cs="Arial"/>
          <w:b/>
          <w:bCs/>
          <w:highlight w:val="yellow"/>
          <w:u w:val="single"/>
        </w:rPr>
        <w:t>Internal Stakeholders</w:t>
      </w:r>
    </w:p>
    <w:p w14:paraId="200CFB74" w14:textId="77777777" w:rsidR="00896B8E" w:rsidRPr="00896B8E" w:rsidRDefault="00896B8E" w:rsidP="00896B8E">
      <w:pPr>
        <w:pStyle w:val="ListParagraph"/>
        <w:numPr>
          <w:ilvl w:val="0"/>
          <w:numId w:val="6"/>
        </w:numPr>
        <w:spacing w:line="360" w:lineRule="auto"/>
        <w:rPr>
          <w:rFonts w:ascii="Arial" w:hAnsi="Arial" w:cs="Arial"/>
        </w:rPr>
      </w:pPr>
      <w:r w:rsidRPr="00896B8E">
        <w:rPr>
          <w:rFonts w:ascii="Arial" w:hAnsi="Arial" w:cs="Arial"/>
          <w:b/>
          <w:bCs/>
        </w:rPr>
        <w:t>Senior Leadership</w:t>
      </w:r>
      <w:r w:rsidRPr="00896B8E">
        <w:rPr>
          <w:rFonts w:ascii="Arial" w:hAnsi="Arial" w:cs="Arial"/>
        </w:rPr>
        <w:br/>
      </w:r>
      <w:r w:rsidRPr="00896B8E">
        <w:rPr>
          <w:rFonts w:ascii="Arial" w:hAnsi="Arial" w:cs="Arial"/>
          <w:i/>
          <w:iCs/>
        </w:rPr>
        <w:t>Roles:</w:t>
      </w:r>
      <w:r w:rsidRPr="00896B8E">
        <w:rPr>
          <w:rFonts w:ascii="Arial" w:hAnsi="Arial" w:cs="Arial"/>
        </w:rPr>
        <w:t xml:space="preserve"> Strategic oversight, funding approval, risk mitigation.</w:t>
      </w:r>
      <w:r w:rsidRPr="00896B8E">
        <w:rPr>
          <w:rFonts w:ascii="Arial" w:hAnsi="Arial" w:cs="Arial"/>
        </w:rPr>
        <w:br/>
      </w:r>
      <w:r w:rsidRPr="00896B8E">
        <w:rPr>
          <w:rFonts w:ascii="Arial" w:hAnsi="Arial" w:cs="Arial"/>
          <w:i/>
          <w:iCs/>
        </w:rPr>
        <w:t>Benefits:</w:t>
      </w:r>
      <w:r w:rsidRPr="00896B8E">
        <w:rPr>
          <w:rFonts w:ascii="Arial" w:hAnsi="Arial" w:cs="Arial"/>
        </w:rPr>
        <w:t xml:space="preserve"> Provides authority and direction.</w:t>
      </w:r>
      <w:r w:rsidRPr="00896B8E">
        <w:rPr>
          <w:rFonts w:ascii="Arial" w:hAnsi="Arial" w:cs="Arial"/>
        </w:rPr>
        <w:br/>
      </w:r>
      <w:r w:rsidRPr="00896B8E">
        <w:rPr>
          <w:rFonts w:ascii="Arial" w:hAnsi="Arial" w:cs="Arial"/>
          <w:i/>
          <w:iCs/>
        </w:rPr>
        <w:t>Challenges:</w:t>
      </w:r>
      <w:r w:rsidRPr="00896B8E">
        <w:rPr>
          <w:rFonts w:ascii="Arial" w:hAnsi="Arial" w:cs="Arial"/>
        </w:rPr>
        <w:t xml:space="preserve"> May have shifting priorities or require strong justification for investment.</w:t>
      </w:r>
    </w:p>
    <w:p w14:paraId="2D174CDC" w14:textId="77777777" w:rsidR="00896B8E" w:rsidRPr="00896B8E" w:rsidRDefault="00896B8E" w:rsidP="00896B8E">
      <w:pPr>
        <w:pStyle w:val="ListParagraph"/>
        <w:numPr>
          <w:ilvl w:val="0"/>
          <w:numId w:val="6"/>
        </w:numPr>
        <w:spacing w:line="360" w:lineRule="auto"/>
        <w:rPr>
          <w:rFonts w:ascii="Arial" w:hAnsi="Arial" w:cs="Arial"/>
        </w:rPr>
      </w:pPr>
      <w:r w:rsidRPr="00896B8E">
        <w:rPr>
          <w:rFonts w:ascii="Arial" w:hAnsi="Arial" w:cs="Arial"/>
          <w:b/>
          <w:bCs/>
        </w:rPr>
        <w:t>R&amp;D and Engineering Teams</w:t>
      </w:r>
      <w:r w:rsidRPr="00896B8E">
        <w:rPr>
          <w:rFonts w:ascii="Arial" w:hAnsi="Arial" w:cs="Arial"/>
        </w:rPr>
        <w:br/>
      </w:r>
      <w:r w:rsidRPr="00896B8E">
        <w:rPr>
          <w:rFonts w:ascii="Arial" w:hAnsi="Arial" w:cs="Arial"/>
          <w:i/>
          <w:iCs/>
        </w:rPr>
        <w:t>Roles:</w:t>
      </w:r>
      <w:r w:rsidRPr="00896B8E">
        <w:rPr>
          <w:rFonts w:ascii="Arial" w:hAnsi="Arial" w:cs="Arial"/>
        </w:rPr>
        <w:t xml:space="preserve"> Develop prototypes, ensure device accuracy, coordinate testing.</w:t>
      </w:r>
      <w:r w:rsidRPr="00896B8E">
        <w:rPr>
          <w:rFonts w:ascii="Arial" w:hAnsi="Arial" w:cs="Arial"/>
        </w:rPr>
        <w:br/>
      </w:r>
      <w:r w:rsidRPr="00896B8E">
        <w:rPr>
          <w:rFonts w:ascii="Arial" w:hAnsi="Arial" w:cs="Arial"/>
          <w:i/>
          <w:iCs/>
        </w:rPr>
        <w:t>Benefits:</w:t>
      </w:r>
      <w:r w:rsidRPr="00896B8E">
        <w:rPr>
          <w:rFonts w:ascii="Arial" w:hAnsi="Arial" w:cs="Arial"/>
        </w:rPr>
        <w:t xml:space="preserve"> Innovation and technical expertise.</w:t>
      </w:r>
      <w:r w:rsidRPr="00896B8E">
        <w:rPr>
          <w:rFonts w:ascii="Arial" w:hAnsi="Arial" w:cs="Arial"/>
        </w:rPr>
        <w:br/>
      </w:r>
      <w:r w:rsidRPr="00896B8E">
        <w:rPr>
          <w:rFonts w:ascii="Arial" w:hAnsi="Arial" w:cs="Arial"/>
          <w:i/>
          <w:iCs/>
        </w:rPr>
        <w:t>Challenges:</w:t>
      </w:r>
      <w:r w:rsidRPr="00896B8E">
        <w:rPr>
          <w:rFonts w:ascii="Arial" w:hAnsi="Arial" w:cs="Arial"/>
        </w:rPr>
        <w:t xml:space="preserve"> High workload, time constraints, and integration issues with IT systems.</w:t>
      </w:r>
    </w:p>
    <w:p w14:paraId="71EC64D7" w14:textId="77777777" w:rsidR="00896B8E" w:rsidRPr="00E1595D" w:rsidRDefault="00896B8E" w:rsidP="00E1595D">
      <w:pPr>
        <w:pStyle w:val="ListParagraph"/>
        <w:numPr>
          <w:ilvl w:val="0"/>
          <w:numId w:val="6"/>
        </w:numPr>
        <w:spacing w:line="360" w:lineRule="auto"/>
        <w:rPr>
          <w:rFonts w:ascii="Arial" w:hAnsi="Arial" w:cs="Arial"/>
        </w:rPr>
      </w:pPr>
      <w:r w:rsidRPr="00E1595D">
        <w:rPr>
          <w:rFonts w:ascii="Arial" w:hAnsi="Arial" w:cs="Arial"/>
          <w:b/>
          <w:bCs/>
        </w:rPr>
        <w:t>Cybersecurity &amp; IT</w:t>
      </w:r>
      <w:r w:rsidRPr="00E1595D">
        <w:rPr>
          <w:rFonts w:ascii="Arial" w:hAnsi="Arial" w:cs="Arial"/>
        </w:rPr>
        <w:br/>
      </w:r>
      <w:r w:rsidRPr="00E1595D">
        <w:rPr>
          <w:rFonts w:ascii="Arial" w:hAnsi="Arial" w:cs="Arial"/>
          <w:i/>
          <w:iCs/>
        </w:rPr>
        <w:t>Roles:</w:t>
      </w:r>
      <w:r w:rsidRPr="00E1595D">
        <w:rPr>
          <w:rFonts w:ascii="Arial" w:hAnsi="Arial" w:cs="Arial"/>
        </w:rPr>
        <w:t xml:space="preserve"> Establish robust data protection, manage cloud platforms, ensure interoperability.</w:t>
      </w:r>
      <w:r w:rsidRPr="00E1595D">
        <w:rPr>
          <w:rFonts w:ascii="Arial" w:hAnsi="Arial" w:cs="Arial"/>
        </w:rPr>
        <w:br/>
      </w:r>
      <w:r w:rsidRPr="00E1595D">
        <w:rPr>
          <w:rFonts w:ascii="Arial" w:hAnsi="Arial" w:cs="Arial"/>
          <w:i/>
          <w:iCs/>
        </w:rPr>
        <w:t>Benefits:</w:t>
      </w:r>
      <w:r w:rsidRPr="00E1595D">
        <w:rPr>
          <w:rFonts w:ascii="Arial" w:hAnsi="Arial" w:cs="Arial"/>
        </w:rPr>
        <w:t xml:space="preserve"> Supports compliance and trust.</w:t>
      </w:r>
      <w:r w:rsidRPr="00E1595D">
        <w:rPr>
          <w:rFonts w:ascii="Arial" w:hAnsi="Arial" w:cs="Arial"/>
        </w:rPr>
        <w:br/>
      </w:r>
      <w:r w:rsidRPr="00E1595D">
        <w:rPr>
          <w:rFonts w:ascii="Arial" w:hAnsi="Arial" w:cs="Arial"/>
          <w:i/>
          <w:iCs/>
        </w:rPr>
        <w:t>Challenges:</w:t>
      </w:r>
      <w:r w:rsidRPr="00E1595D">
        <w:rPr>
          <w:rFonts w:ascii="Arial" w:hAnsi="Arial" w:cs="Arial"/>
        </w:rPr>
        <w:t xml:space="preserve"> Rapid cyber-threat evolution and limited resources.</w:t>
      </w:r>
    </w:p>
    <w:p w14:paraId="14E592E8" w14:textId="77777777" w:rsidR="00896B8E" w:rsidRPr="00E1595D" w:rsidRDefault="00896B8E" w:rsidP="00E1595D">
      <w:pPr>
        <w:pStyle w:val="ListParagraph"/>
        <w:numPr>
          <w:ilvl w:val="0"/>
          <w:numId w:val="6"/>
        </w:numPr>
        <w:spacing w:line="360" w:lineRule="auto"/>
        <w:rPr>
          <w:rFonts w:ascii="Arial" w:hAnsi="Arial" w:cs="Arial"/>
        </w:rPr>
      </w:pPr>
      <w:r w:rsidRPr="00E1595D">
        <w:rPr>
          <w:rFonts w:ascii="Arial" w:hAnsi="Arial" w:cs="Arial"/>
          <w:b/>
          <w:bCs/>
        </w:rPr>
        <w:t>Marketing and Communications</w:t>
      </w:r>
      <w:r w:rsidRPr="00E1595D">
        <w:rPr>
          <w:rFonts w:ascii="Arial" w:hAnsi="Arial" w:cs="Arial"/>
        </w:rPr>
        <w:br/>
      </w:r>
      <w:r w:rsidRPr="00E1595D">
        <w:rPr>
          <w:rFonts w:ascii="Arial" w:hAnsi="Arial" w:cs="Arial"/>
          <w:i/>
          <w:iCs/>
        </w:rPr>
        <w:t>Roles:</w:t>
      </w:r>
      <w:r w:rsidRPr="00E1595D">
        <w:rPr>
          <w:rFonts w:ascii="Arial" w:hAnsi="Arial" w:cs="Arial"/>
        </w:rPr>
        <w:t xml:space="preserve"> Market research, branding, campaign development.</w:t>
      </w:r>
      <w:r w:rsidRPr="00E1595D">
        <w:rPr>
          <w:rFonts w:ascii="Arial" w:hAnsi="Arial" w:cs="Arial"/>
        </w:rPr>
        <w:br/>
      </w:r>
      <w:r w:rsidRPr="00E1595D">
        <w:rPr>
          <w:rFonts w:ascii="Arial" w:hAnsi="Arial" w:cs="Arial"/>
          <w:i/>
          <w:iCs/>
        </w:rPr>
        <w:t>Benefits:</w:t>
      </w:r>
      <w:r w:rsidRPr="00E1595D">
        <w:rPr>
          <w:rFonts w:ascii="Arial" w:hAnsi="Arial" w:cs="Arial"/>
        </w:rPr>
        <w:t xml:space="preserve"> Builds visibility and supports adoption.</w:t>
      </w:r>
      <w:r w:rsidRPr="00E1595D">
        <w:rPr>
          <w:rFonts w:ascii="Arial" w:hAnsi="Arial" w:cs="Arial"/>
        </w:rPr>
        <w:br/>
      </w:r>
      <w:r w:rsidRPr="00E1595D">
        <w:rPr>
          <w:rFonts w:ascii="Arial" w:hAnsi="Arial" w:cs="Arial"/>
          <w:i/>
          <w:iCs/>
        </w:rPr>
        <w:t>Challenges:</w:t>
      </w:r>
      <w:r w:rsidRPr="00E1595D">
        <w:rPr>
          <w:rFonts w:ascii="Arial" w:hAnsi="Arial" w:cs="Arial"/>
        </w:rPr>
        <w:t xml:space="preserve"> Must compete with strong consumer-wearable brands.</w:t>
      </w:r>
    </w:p>
    <w:p w14:paraId="46417911" w14:textId="77777777" w:rsidR="00896B8E" w:rsidRPr="00E1595D" w:rsidRDefault="00896B8E" w:rsidP="00E1595D">
      <w:pPr>
        <w:pStyle w:val="ListParagraph"/>
        <w:numPr>
          <w:ilvl w:val="0"/>
          <w:numId w:val="6"/>
        </w:numPr>
        <w:spacing w:line="360" w:lineRule="auto"/>
        <w:rPr>
          <w:rFonts w:ascii="Arial" w:hAnsi="Arial" w:cs="Arial"/>
        </w:rPr>
      </w:pPr>
      <w:r w:rsidRPr="00E1595D">
        <w:rPr>
          <w:rFonts w:ascii="Arial" w:hAnsi="Arial" w:cs="Arial"/>
          <w:b/>
          <w:bCs/>
        </w:rPr>
        <w:lastRenderedPageBreak/>
        <w:t>Sales Teams</w:t>
      </w:r>
      <w:r w:rsidRPr="00E1595D">
        <w:rPr>
          <w:rFonts w:ascii="Arial" w:hAnsi="Arial" w:cs="Arial"/>
        </w:rPr>
        <w:br/>
      </w:r>
      <w:r w:rsidRPr="00E1595D">
        <w:rPr>
          <w:rFonts w:ascii="Arial" w:hAnsi="Arial" w:cs="Arial"/>
          <w:i/>
          <w:iCs/>
        </w:rPr>
        <w:t>Roles:</w:t>
      </w:r>
      <w:r w:rsidRPr="00E1595D">
        <w:rPr>
          <w:rFonts w:ascii="Arial" w:hAnsi="Arial" w:cs="Arial"/>
        </w:rPr>
        <w:t xml:space="preserve"> Build NHS relationships, train customers, manage distribution.</w:t>
      </w:r>
      <w:r w:rsidRPr="00E1595D">
        <w:rPr>
          <w:rFonts w:ascii="Arial" w:hAnsi="Arial" w:cs="Arial"/>
        </w:rPr>
        <w:br/>
      </w:r>
      <w:r w:rsidRPr="00E1595D">
        <w:rPr>
          <w:rFonts w:ascii="Arial" w:hAnsi="Arial" w:cs="Arial"/>
          <w:i/>
          <w:iCs/>
        </w:rPr>
        <w:t>Benefits:</w:t>
      </w:r>
      <w:r w:rsidRPr="00E1595D">
        <w:rPr>
          <w:rFonts w:ascii="Arial" w:hAnsi="Arial" w:cs="Arial"/>
        </w:rPr>
        <w:t xml:space="preserve"> Drive adoption and revenue.</w:t>
      </w:r>
      <w:r w:rsidRPr="00E1595D">
        <w:rPr>
          <w:rFonts w:ascii="Arial" w:hAnsi="Arial" w:cs="Arial"/>
        </w:rPr>
        <w:br/>
      </w:r>
      <w:r w:rsidRPr="00E1595D">
        <w:rPr>
          <w:rFonts w:ascii="Arial" w:hAnsi="Arial" w:cs="Arial"/>
          <w:i/>
          <w:iCs/>
        </w:rPr>
        <w:t>Challenges:</w:t>
      </w:r>
      <w:r w:rsidRPr="00E1595D">
        <w:rPr>
          <w:rFonts w:ascii="Arial" w:hAnsi="Arial" w:cs="Arial"/>
        </w:rPr>
        <w:t xml:space="preserve"> Long NHS procurement cycles.</w:t>
      </w:r>
    </w:p>
    <w:p w14:paraId="58CE5026" w14:textId="5B208171" w:rsidR="00896B8E" w:rsidRPr="00FE68D5" w:rsidRDefault="00896B8E" w:rsidP="00FE68D5">
      <w:pPr>
        <w:pStyle w:val="ListParagraph"/>
        <w:numPr>
          <w:ilvl w:val="0"/>
          <w:numId w:val="6"/>
        </w:numPr>
        <w:spacing w:line="360" w:lineRule="auto"/>
        <w:rPr>
          <w:rFonts w:ascii="Arial" w:hAnsi="Arial" w:cs="Arial"/>
        </w:rPr>
      </w:pPr>
      <w:r w:rsidRPr="00E1595D">
        <w:rPr>
          <w:rFonts w:ascii="Arial" w:hAnsi="Arial" w:cs="Arial"/>
          <w:b/>
          <w:bCs/>
        </w:rPr>
        <w:t>Regulatory Affairs</w:t>
      </w:r>
      <w:r w:rsidRPr="00E1595D">
        <w:rPr>
          <w:rFonts w:ascii="Arial" w:hAnsi="Arial" w:cs="Arial"/>
        </w:rPr>
        <w:br/>
      </w:r>
      <w:r w:rsidRPr="00E1595D">
        <w:rPr>
          <w:rFonts w:ascii="Arial" w:hAnsi="Arial" w:cs="Arial"/>
          <w:i/>
          <w:iCs/>
        </w:rPr>
        <w:t>Roles:</w:t>
      </w:r>
      <w:r w:rsidRPr="00E1595D">
        <w:rPr>
          <w:rFonts w:ascii="Arial" w:hAnsi="Arial" w:cs="Arial"/>
        </w:rPr>
        <w:t xml:space="preserve"> Manage MHRA submission, documentation, audits.</w:t>
      </w:r>
      <w:r w:rsidRPr="00E1595D">
        <w:rPr>
          <w:rFonts w:ascii="Arial" w:hAnsi="Arial" w:cs="Arial"/>
        </w:rPr>
        <w:br/>
      </w:r>
      <w:r w:rsidRPr="00E1595D">
        <w:rPr>
          <w:rFonts w:ascii="Arial" w:hAnsi="Arial" w:cs="Arial"/>
          <w:i/>
          <w:iCs/>
        </w:rPr>
        <w:t>Benefits:</w:t>
      </w:r>
      <w:r w:rsidRPr="00E1595D">
        <w:rPr>
          <w:rFonts w:ascii="Arial" w:hAnsi="Arial" w:cs="Arial"/>
        </w:rPr>
        <w:t xml:space="preserve"> Ensures compliance and reduces legal risk.</w:t>
      </w:r>
      <w:r w:rsidRPr="00E1595D">
        <w:rPr>
          <w:rFonts w:ascii="Arial" w:hAnsi="Arial" w:cs="Arial"/>
        </w:rPr>
        <w:br/>
      </w:r>
      <w:r w:rsidRPr="00E1595D">
        <w:rPr>
          <w:rFonts w:ascii="Arial" w:hAnsi="Arial" w:cs="Arial"/>
          <w:i/>
          <w:iCs/>
        </w:rPr>
        <w:t>Challenges:</w:t>
      </w:r>
      <w:r w:rsidRPr="00E1595D">
        <w:rPr>
          <w:rFonts w:ascii="Arial" w:hAnsi="Arial" w:cs="Arial"/>
        </w:rPr>
        <w:t xml:space="preserve"> Complex and evolving regulatory environments</w:t>
      </w:r>
      <w:r w:rsidR="00FE68D5">
        <w:rPr>
          <w:rFonts w:ascii="Arial" w:hAnsi="Arial" w:cs="Arial"/>
        </w:rPr>
        <w:t xml:space="preserve"> </w:t>
      </w:r>
      <w:r w:rsidR="00FE68D5" w:rsidRPr="00FE68D5">
        <w:rPr>
          <w:rFonts w:ascii="Arial" w:hAnsi="Arial" w:cs="Arial"/>
        </w:rPr>
        <w:t xml:space="preserve">(Smith, </w:t>
      </w:r>
      <w:proofErr w:type="spellStart"/>
      <w:r w:rsidR="00FE68D5" w:rsidRPr="00FE68D5">
        <w:rPr>
          <w:rFonts w:ascii="Arial" w:hAnsi="Arial" w:cs="Arial"/>
        </w:rPr>
        <w:t>Gonin</w:t>
      </w:r>
      <w:proofErr w:type="spellEnd"/>
      <w:r w:rsidR="00FE68D5" w:rsidRPr="00FE68D5">
        <w:rPr>
          <w:rFonts w:ascii="Arial" w:hAnsi="Arial" w:cs="Arial"/>
        </w:rPr>
        <w:t xml:space="preserve"> and Besharov, 2013)</w:t>
      </w:r>
      <w:r w:rsidR="00FE68D5">
        <w:rPr>
          <w:rFonts w:ascii="Arial" w:hAnsi="Arial" w:cs="Arial"/>
        </w:rPr>
        <w:t>.</w:t>
      </w:r>
    </w:p>
    <w:p w14:paraId="0FC81B54" w14:textId="77777777" w:rsidR="001D422A" w:rsidRPr="001D422A" w:rsidRDefault="001D422A" w:rsidP="001D422A">
      <w:pPr>
        <w:spacing w:line="360" w:lineRule="auto"/>
        <w:rPr>
          <w:rFonts w:ascii="Arial" w:hAnsi="Arial" w:cs="Arial"/>
          <w:b/>
          <w:bCs/>
        </w:rPr>
      </w:pPr>
      <w:r w:rsidRPr="001D422A">
        <w:rPr>
          <w:rFonts w:ascii="Arial" w:hAnsi="Arial" w:cs="Arial"/>
          <w:b/>
          <w:bCs/>
          <w:highlight w:val="yellow"/>
        </w:rPr>
        <w:t>External Stakeholders</w:t>
      </w:r>
    </w:p>
    <w:p w14:paraId="35DD59AB" w14:textId="77777777" w:rsidR="001D422A" w:rsidRDefault="001D422A" w:rsidP="001D422A">
      <w:pPr>
        <w:pStyle w:val="ListParagraph"/>
        <w:numPr>
          <w:ilvl w:val="0"/>
          <w:numId w:val="7"/>
        </w:numPr>
        <w:spacing w:line="360" w:lineRule="auto"/>
        <w:rPr>
          <w:rFonts w:ascii="Arial" w:hAnsi="Arial" w:cs="Arial"/>
          <w:b/>
          <w:bCs/>
        </w:rPr>
      </w:pPr>
      <w:r w:rsidRPr="001D422A">
        <w:rPr>
          <w:rFonts w:ascii="Arial" w:hAnsi="Arial" w:cs="Arial"/>
          <w:b/>
          <w:bCs/>
        </w:rPr>
        <w:t>Clinicians</w:t>
      </w:r>
    </w:p>
    <w:p w14:paraId="619A02F6" w14:textId="77777777" w:rsidR="00FA61B4" w:rsidRDefault="001D422A" w:rsidP="00FA61B4">
      <w:pPr>
        <w:pStyle w:val="ListParagraph"/>
        <w:spacing w:line="360" w:lineRule="auto"/>
        <w:rPr>
          <w:rFonts w:ascii="Arial" w:hAnsi="Arial" w:cs="Arial"/>
        </w:rPr>
      </w:pPr>
      <w:r w:rsidRPr="001D422A">
        <w:rPr>
          <w:rFonts w:ascii="Arial" w:hAnsi="Arial" w:cs="Arial"/>
          <w:i/>
          <w:iCs/>
        </w:rPr>
        <w:t xml:space="preserve">Roles: </w:t>
      </w:r>
      <w:r w:rsidRPr="001D422A">
        <w:rPr>
          <w:rFonts w:ascii="Arial" w:hAnsi="Arial" w:cs="Arial"/>
        </w:rPr>
        <w:t>Provide feedback on usability and clinical accuracy.</w:t>
      </w:r>
    </w:p>
    <w:p w14:paraId="09883074" w14:textId="77777777" w:rsidR="00FA61B4" w:rsidRDefault="001D422A" w:rsidP="00FA61B4">
      <w:pPr>
        <w:pStyle w:val="ListParagraph"/>
        <w:spacing w:line="360" w:lineRule="auto"/>
        <w:rPr>
          <w:rFonts w:ascii="Arial" w:hAnsi="Arial" w:cs="Arial"/>
        </w:rPr>
      </w:pPr>
      <w:r w:rsidRPr="001D422A">
        <w:rPr>
          <w:rFonts w:ascii="Arial" w:hAnsi="Arial" w:cs="Arial"/>
          <w:i/>
          <w:iCs/>
        </w:rPr>
        <w:t>Benefits:</w:t>
      </w:r>
      <w:r w:rsidRPr="001D422A">
        <w:rPr>
          <w:rFonts w:ascii="Arial" w:hAnsi="Arial" w:cs="Arial"/>
        </w:rPr>
        <w:t xml:space="preserve"> Improve device functionality and patient value.</w:t>
      </w:r>
    </w:p>
    <w:p w14:paraId="4CAB07E7" w14:textId="4EC761AB" w:rsidR="001D422A" w:rsidRPr="00FA61B4" w:rsidRDefault="001D422A" w:rsidP="00FA61B4">
      <w:pPr>
        <w:pStyle w:val="ListParagraph"/>
        <w:spacing w:line="360" w:lineRule="auto"/>
        <w:rPr>
          <w:rFonts w:ascii="Arial" w:hAnsi="Arial" w:cs="Arial"/>
          <w:b/>
          <w:bCs/>
        </w:rPr>
      </w:pPr>
      <w:r w:rsidRPr="001D422A">
        <w:rPr>
          <w:rFonts w:ascii="Arial" w:hAnsi="Arial" w:cs="Arial"/>
          <w:i/>
          <w:iCs/>
        </w:rPr>
        <w:t>Challenges:</w:t>
      </w:r>
      <w:r w:rsidRPr="001D422A">
        <w:rPr>
          <w:rFonts w:ascii="Arial" w:hAnsi="Arial" w:cs="Arial"/>
        </w:rPr>
        <w:t xml:space="preserve"> Limited time and may resist unfamiliar technologies.</w:t>
      </w:r>
    </w:p>
    <w:p w14:paraId="58D2A381" w14:textId="77777777" w:rsidR="00FA61B4" w:rsidRDefault="001D422A" w:rsidP="001D422A">
      <w:pPr>
        <w:pStyle w:val="ListParagraph"/>
        <w:numPr>
          <w:ilvl w:val="0"/>
          <w:numId w:val="7"/>
        </w:numPr>
        <w:spacing w:line="360" w:lineRule="auto"/>
        <w:rPr>
          <w:rFonts w:ascii="Arial" w:hAnsi="Arial" w:cs="Arial"/>
          <w:b/>
          <w:bCs/>
        </w:rPr>
      </w:pPr>
      <w:r w:rsidRPr="00FA61B4">
        <w:rPr>
          <w:rFonts w:ascii="Arial" w:hAnsi="Arial" w:cs="Arial"/>
          <w:b/>
          <w:bCs/>
        </w:rPr>
        <w:t>Patients</w:t>
      </w:r>
    </w:p>
    <w:p w14:paraId="1FE97F2E" w14:textId="77777777" w:rsidR="00FA61B4" w:rsidRDefault="001D422A" w:rsidP="00FA61B4">
      <w:pPr>
        <w:pStyle w:val="ListParagraph"/>
        <w:spacing w:line="360" w:lineRule="auto"/>
        <w:rPr>
          <w:rFonts w:ascii="Arial" w:hAnsi="Arial" w:cs="Arial"/>
        </w:rPr>
      </w:pPr>
      <w:r w:rsidRPr="00FA61B4">
        <w:rPr>
          <w:rFonts w:ascii="Arial" w:hAnsi="Arial" w:cs="Arial"/>
          <w:i/>
          <w:iCs/>
        </w:rPr>
        <w:t>Roles:</w:t>
      </w:r>
      <w:r w:rsidRPr="00FA61B4">
        <w:rPr>
          <w:rFonts w:ascii="Arial" w:hAnsi="Arial" w:cs="Arial"/>
        </w:rPr>
        <w:t xml:space="preserve"> Trial use, provide experience-based insights.</w:t>
      </w:r>
    </w:p>
    <w:p w14:paraId="19F0AA76" w14:textId="77777777" w:rsidR="00FA61B4" w:rsidRDefault="001D422A" w:rsidP="00FA61B4">
      <w:pPr>
        <w:pStyle w:val="ListParagraph"/>
        <w:spacing w:line="360" w:lineRule="auto"/>
        <w:rPr>
          <w:rFonts w:ascii="Arial" w:hAnsi="Arial" w:cs="Arial"/>
        </w:rPr>
      </w:pPr>
      <w:r w:rsidRPr="00FA61B4">
        <w:rPr>
          <w:rFonts w:ascii="Arial" w:hAnsi="Arial" w:cs="Arial"/>
          <w:i/>
          <w:iCs/>
        </w:rPr>
        <w:t>Benefits:</w:t>
      </w:r>
      <w:r w:rsidRPr="00FA61B4">
        <w:rPr>
          <w:rFonts w:ascii="Arial" w:hAnsi="Arial" w:cs="Arial"/>
        </w:rPr>
        <w:t xml:space="preserve"> Ensure the device meets real-world needs.</w:t>
      </w:r>
    </w:p>
    <w:p w14:paraId="54F24534" w14:textId="7CE93705" w:rsidR="001D422A" w:rsidRPr="001D422A" w:rsidRDefault="001D422A" w:rsidP="00FA61B4">
      <w:pPr>
        <w:pStyle w:val="ListParagraph"/>
        <w:spacing w:line="360" w:lineRule="auto"/>
        <w:rPr>
          <w:rFonts w:ascii="Arial" w:hAnsi="Arial" w:cs="Arial"/>
        </w:rPr>
      </w:pPr>
      <w:r w:rsidRPr="00FA61B4">
        <w:rPr>
          <w:rFonts w:ascii="Arial" w:hAnsi="Arial" w:cs="Arial"/>
          <w:i/>
          <w:iCs/>
        </w:rPr>
        <w:t>Challenges:</w:t>
      </w:r>
      <w:r w:rsidRPr="001D422A">
        <w:rPr>
          <w:rFonts w:ascii="Arial" w:hAnsi="Arial" w:cs="Arial"/>
        </w:rPr>
        <w:t xml:space="preserve"> Privacy concerns and variable health literacy.</w:t>
      </w:r>
    </w:p>
    <w:p w14:paraId="0EF9996F" w14:textId="77777777" w:rsidR="00FA61B4" w:rsidRDefault="001D422A" w:rsidP="001D422A">
      <w:pPr>
        <w:pStyle w:val="ListParagraph"/>
        <w:numPr>
          <w:ilvl w:val="0"/>
          <w:numId w:val="7"/>
        </w:numPr>
        <w:spacing w:line="360" w:lineRule="auto"/>
        <w:rPr>
          <w:rFonts w:ascii="Arial" w:hAnsi="Arial" w:cs="Arial"/>
          <w:b/>
          <w:bCs/>
        </w:rPr>
      </w:pPr>
      <w:r w:rsidRPr="00FA61B4">
        <w:rPr>
          <w:rFonts w:ascii="Arial" w:hAnsi="Arial" w:cs="Arial"/>
          <w:b/>
          <w:bCs/>
        </w:rPr>
        <w:t>NHS Procurement</w:t>
      </w:r>
    </w:p>
    <w:p w14:paraId="20FF9E62" w14:textId="77777777" w:rsidR="00FA61B4" w:rsidRDefault="001D422A" w:rsidP="00FA61B4">
      <w:pPr>
        <w:pStyle w:val="ListParagraph"/>
        <w:spacing w:line="360" w:lineRule="auto"/>
        <w:rPr>
          <w:rFonts w:ascii="Arial" w:hAnsi="Arial" w:cs="Arial"/>
        </w:rPr>
      </w:pPr>
      <w:r w:rsidRPr="00FA61B4">
        <w:rPr>
          <w:rFonts w:ascii="Arial" w:hAnsi="Arial" w:cs="Arial"/>
          <w:i/>
          <w:iCs/>
        </w:rPr>
        <w:t>Roles:</w:t>
      </w:r>
      <w:r w:rsidRPr="00FA61B4">
        <w:rPr>
          <w:rFonts w:ascii="Arial" w:hAnsi="Arial" w:cs="Arial"/>
        </w:rPr>
        <w:t xml:space="preserve"> Evaluate cost-effectiveness, negotiate purchasing terms.</w:t>
      </w:r>
    </w:p>
    <w:p w14:paraId="380B4773" w14:textId="77777777" w:rsidR="00FA61B4" w:rsidRDefault="001D422A" w:rsidP="00FA61B4">
      <w:pPr>
        <w:pStyle w:val="ListParagraph"/>
        <w:spacing w:line="360" w:lineRule="auto"/>
        <w:rPr>
          <w:rFonts w:ascii="Arial" w:hAnsi="Arial" w:cs="Arial"/>
        </w:rPr>
      </w:pPr>
      <w:r w:rsidRPr="00FA61B4">
        <w:rPr>
          <w:rFonts w:ascii="Arial" w:hAnsi="Arial" w:cs="Arial"/>
          <w:i/>
          <w:iCs/>
        </w:rPr>
        <w:t>Benefits:</w:t>
      </w:r>
      <w:r w:rsidRPr="001D422A">
        <w:rPr>
          <w:rFonts w:ascii="Arial" w:hAnsi="Arial" w:cs="Arial"/>
        </w:rPr>
        <w:t xml:space="preserve"> Enable large-scale adoption.</w:t>
      </w:r>
    </w:p>
    <w:p w14:paraId="139CCDDB" w14:textId="46B5B0AA" w:rsidR="001D422A" w:rsidRPr="00FA61B4" w:rsidRDefault="001D422A" w:rsidP="00FA61B4">
      <w:pPr>
        <w:pStyle w:val="ListParagraph"/>
        <w:spacing w:line="360" w:lineRule="auto"/>
        <w:rPr>
          <w:rFonts w:ascii="Arial" w:hAnsi="Arial" w:cs="Arial"/>
          <w:b/>
          <w:bCs/>
        </w:rPr>
      </w:pPr>
      <w:r w:rsidRPr="00FA61B4">
        <w:rPr>
          <w:rFonts w:ascii="Arial" w:hAnsi="Arial" w:cs="Arial"/>
          <w:i/>
          <w:iCs/>
        </w:rPr>
        <w:t>Challenges:</w:t>
      </w:r>
      <w:r w:rsidRPr="001D422A">
        <w:rPr>
          <w:rFonts w:ascii="Arial" w:hAnsi="Arial" w:cs="Arial"/>
        </w:rPr>
        <w:t xml:space="preserve"> Strict budget constraints.</w:t>
      </w:r>
    </w:p>
    <w:p w14:paraId="5AD4EDFF" w14:textId="77777777" w:rsidR="00FA61B4" w:rsidRDefault="001D422A" w:rsidP="001D422A">
      <w:pPr>
        <w:pStyle w:val="ListParagraph"/>
        <w:numPr>
          <w:ilvl w:val="0"/>
          <w:numId w:val="7"/>
        </w:numPr>
        <w:spacing w:line="360" w:lineRule="auto"/>
        <w:rPr>
          <w:rFonts w:ascii="Arial" w:hAnsi="Arial" w:cs="Arial"/>
          <w:b/>
          <w:bCs/>
        </w:rPr>
      </w:pPr>
      <w:r w:rsidRPr="00FA61B4">
        <w:rPr>
          <w:rFonts w:ascii="Arial" w:hAnsi="Arial" w:cs="Arial"/>
          <w:b/>
          <w:bCs/>
        </w:rPr>
        <w:t>MHRA</w:t>
      </w:r>
    </w:p>
    <w:p w14:paraId="08B03A11" w14:textId="77777777" w:rsidR="00FA61B4" w:rsidRDefault="001D422A" w:rsidP="00FA61B4">
      <w:pPr>
        <w:pStyle w:val="ListParagraph"/>
        <w:spacing w:line="360" w:lineRule="auto"/>
        <w:rPr>
          <w:rFonts w:ascii="Arial" w:hAnsi="Arial" w:cs="Arial"/>
        </w:rPr>
      </w:pPr>
      <w:r w:rsidRPr="00FA61B4">
        <w:rPr>
          <w:rFonts w:ascii="Arial" w:hAnsi="Arial" w:cs="Arial"/>
          <w:i/>
          <w:iCs/>
        </w:rPr>
        <w:t>Roles:</w:t>
      </w:r>
      <w:r w:rsidRPr="00FA61B4">
        <w:rPr>
          <w:rFonts w:ascii="Arial" w:hAnsi="Arial" w:cs="Arial"/>
        </w:rPr>
        <w:t xml:space="preserve"> Evaluate device safety and performance.</w:t>
      </w:r>
    </w:p>
    <w:p w14:paraId="4E94D7AF" w14:textId="77777777" w:rsidR="00FA61B4" w:rsidRDefault="001D422A" w:rsidP="00FA61B4">
      <w:pPr>
        <w:pStyle w:val="ListParagraph"/>
        <w:spacing w:line="360" w:lineRule="auto"/>
        <w:rPr>
          <w:rFonts w:ascii="Arial" w:hAnsi="Arial" w:cs="Arial"/>
        </w:rPr>
      </w:pPr>
      <w:r w:rsidRPr="00FA61B4">
        <w:rPr>
          <w:rFonts w:ascii="Arial" w:hAnsi="Arial" w:cs="Arial"/>
          <w:i/>
          <w:iCs/>
        </w:rPr>
        <w:t>Benefits</w:t>
      </w:r>
      <w:r w:rsidRPr="001D422A">
        <w:rPr>
          <w:rFonts w:ascii="Arial" w:hAnsi="Arial" w:cs="Arial"/>
        </w:rPr>
        <w:t>: Provide credibility and ensure safety standards.</w:t>
      </w:r>
    </w:p>
    <w:p w14:paraId="142B6C4A" w14:textId="5FB420F5" w:rsidR="001D422A" w:rsidRPr="00FA61B4" w:rsidRDefault="001D422A" w:rsidP="00FA61B4">
      <w:pPr>
        <w:pStyle w:val="ListParagraph"/>
        <w:spacing w:line="360" w:lineRule="auto"/>
        <w:rPr>
          <w:rFonts w:ascii="Arial" w:hAnsi="Arial" w:cs="Arial"/>
          <w:b/>
          <w:bCs/>
        </w:rPr>
      </w:pPr>
      <w:r w:rsidRPr="00FA61B4">
        <w:rPr>
          <w:rFonts w:ascii="Arial" w:hAnsi="Arial" w:cs="Arial"/>
          <w:i/>
          <w:iCs/>
        </w:rPr>
        <w:t>Challenges:</w:t>
      </w:r>
      <w:r w:rsidRPr="001D422A">
        <w:rPr>
          <w:rFonts w:ascii="Arial" w:hAnsi="Arial" w:cs="Arial"/>
        </w:rPr>
        <w:t xml:space="preserve"> Lengthy approval processes.</w:t>
      </w:r>
    </w:p>
    <w:p w14:paraId="6354C62D" w14:textId="77777777" w:rsidR="00FA61B4" w:rsidRDefault="001D422A" w:rsidP="001D422A">
      <w:pPr>
        <w:pStyle w:val="ListParagraph"/>
        <w:numPr>
          <w:ilvl w:val="0"/>
          <w:numId w:val="7"/>
        </w:numPr>
        <w:spacing w:line="360" w:lineRule="auto"/>
        <w:rPr>
          <w:rFonts w:ascii="Arial" w:hAnsi="Arial" w:cs="Arial"/>
          <w:b/>
          <w:bCs/>
        </w:rPr>
      </w:pPr>
      <w:r w:rsidRPr="00FA61B4">
        <w:rPr>
          <w:rFonts w:ascii="Arial" w:hAnsi="Arial" w:cs="Arial"/>
          <w:b/>
          <w:bCs/>
        </w:rPr>
        <w:t>ICO</w:t>
      </w:r>
    </w:p>
    <w:p w14:paraId="6E9392D1" w14:textId="77777777" w:rsidR="00FA61B4" w:rsidRDefault="001D422A" w:rsidP="00FA61B4">
      <w:pPr>
        <w:pStyle w:val="ListParagraph"/>
        <w:spacing w:line="360" w:lineRule="auto"/>
        <w:rPr>
          <w:rFonts w:ascii="Arial" w:hAnsi="Arial" w:cs="Arial"/>
        </w:rPr>
      </w:pPr>
      <w:r w:rsidRPr="00FA61B4">
        <w:rPr>
          <w:rFonts w:ascii="Arial" w:hAnsi="Arial" w:cs="Arial"/>
          <w:i/>
          <w:iCs/>
        </w:rPr>
        <w:t>Roles:</w:t>
      </w:r>
      <w:r w:rsidRPr="00FA61B4">
        <w:rPr>
          <w:rFonts w:ascii="Arial" w:hAnsi="Arial" w:cs="Arial"/>
        </w:rPr>
        <w:t xml:space="preserve"> Ensure GDPR compliance.</w:t>
      </w:r>
    </w:p>
    <w:p w14:paraId="62C6BE0F" w14:textId="77777777" w:rsidR="00FA61B4" w:rsidRDefault="001D422A" w:rsidP="00FA61B4">
      <w:pPr>
        <w:pStyle w:val="ListParagraph"/>
        <w:spacing w:line="360" w:lineRule="auto"/>
        <w:rPr>
          <w:rFonts w:ascii="Arial" w:hAnsi="Arial" w:cs="Arial"/>
        </w:rPr>
      </w:pPr>
      <w:r w:rsidRPr="00FA61B4">
        <w:rPr>
          <w:rFonts w:ascii="Arial" w:hAnsi="Arial" w:cs="Arial"/>
          <w:i/>
          <w:iCs/>
        </w:rPr>
        <w:t>Benefits:</w:t>
      </w:r>
      <w:r w:rsidRPr="001D422A">
        <w:rPr>
          <w:rFonts w:ascii="Arial" w:hAnsi="Arial" w:cs="Arial"/>
        </w:rPr>
        <w:t xml:space="preserve"> Protect user rights.</w:t>
      </w:r>
    </w:p>
    <w:p w14:paraId="6CB76477" w14:textId="3393A4BA" w:rsidR="00E1595D" w:rsidRPr="00286E1A" w:rsidRDefault="001D422A" w:rsidP="00286E1A">
      <w:pPr>
        <w:pStyle w:val="ListParagraph"/>
        <w:spacing w:line="360" w:lineRule="auto"/>
        <w:rPr>
          <w:rFonts w:ascii="Arial" w:hAnsi="Arial" w:cs="Arial"/>
        </w:rPr>
      </w:pPr>
      <w:r w:rsidRPr="00FA61B4">
        <w:rPr>
          <w:rFonts w:ascii="Arial" w:hAnsi="Arial" w:cs="Arial"/>
          <w:i/>
          <w:iCs/>
        </w:rPr>
        <w:t>Challenges</w:t>
      </w:r>
      <w:r w:rsidRPr="001D422A">
        <w:rPr>
          <w:rFonts w:ascii="Arial" w:hAnsi="Arial" w:cs="Arial"/>
        </w:rPr>
        <w:t>: Increasing regulatory demands</w:t>
      </w:r>
      <w:r w:rsidR="00286E1A">
        <w:rPr>
          <w:rFonts w:ascii="Arial" w:hAnsi="Arial" w:cs="Arial"/>
        </w:rPr>
        <w:t xml:space="preserve"> </w:t>
      </w:r>
      <w:r w:rsidR="00286E1A" w:rsidRPr="00286E1A">
        <w:rPr>
          <w:rFonts w:ascii="Arial" w:hAnsi="Arial" w:cs="Arial"/>
        </w:rPr>
        <w:t>(Liu et al., 2021)</w:t>
      </w:r>
      <w:r w:rsidR="00286E1A">
        <w:rPr>
          <w:rFonts w:ascii="Arial" w:hAnsi="Arial" w:cs="Arial"/>
        </w:rPr>
        <w:t>.</w:t>
      </w:r>
    </w:p>
    <w:p w14:paraId="16E1F562" w14:textId="7BCEDF70" w:rsidR="00896B8E" w:rsidRDefault="00F65231" w:rsidP="007260B6">
      <w:pPr>
        <w:spacing w:line="360" w:lineRule="auto"/>
        <w:rPr>
          <w:rFonts w:ascii="Arial" w:hAnsi="Arial" w:cs="Arial"/>
          <w:b/>
          <w:bCs/>
          <w:sz w:val="28"/>
          <w:szCs w:val="28"/>
        </w:rPr>
      </w:pPr>
      <w:r w:rsidRPr="00F65231">
        <w:rPr>
          <w:rFonts w:ascii="Arial" w:hAnsi="Arial" w:cs="Arial"/>
          <w:b/>
          <w:bCs/>
          <w:sz w:val="28"/>
          <w:szCs w:val="28"/>
        </w:rPr>
        <w:t>Frameworks for Stakeholder Engagement</w:t>
      </w:r>
    </w:p>
    <w:p w14:paraId="40A8BB44" w14:textId="601BA8B8" w:rsidR="00F05C15" w:rsidRPr="00F05C15" w:rsidRDefault="006530BA" w:rsidP="00F05C15">
      <w:pPr>
        <w:spacing w:line="360" w:lineRule="auto"/>
        <w:rPr>
          <w:rFonts w:ascii="Arial" w:hAnsi="Arial" w:cs="Arial"/>
        </w:rPr>
      </w:pPr>
      <w:r w:rsidRPr="006530BA">
        <w:rPr>
          <w:rFonts w:ascii="Arial" w:hAnsi="Arial" w:cs="Arial"/>
          <w:b/>
          <w:bCs/>
          <w:highlight w:val="yellow"/>
        </w:rPr>
        <w:t>Power-Interest Matrix</w:t>
      </w:r>
      <w:r w:rsidRPr="006530BA">
        <w:rPr>
          <w:rFonts w:ascii="Arial" w:hAnsi="Arial" w:cs="Arial"/>
        </w:rPr>
        <w:t xml:space="preserve"> </w:t>
      </w:r>
      <w:r w:rsidR="008A7295">
        <w:rPr>
          <w:rFonts w:ascii="Arial" w:hAnsi="Arial" w:cs="Arial"/>
        </w:rPr>
        <w:t>-</w:t>
      </w:r>
      <w:r w:rsidR="00F05C15" w:rsidRPr="00F05C15">
        <w:rPr>
          <w:rFonts w:ascii="Arial" w:hAnsi="Arial" w:cs="Arial"/>
        </w:rPr>
        <w:t xml:space="preserve">The </w:t>
      </w:r>
      <w:r w:rsidR="00F05C15" w:rsidRPr="00F05C15">
        <w:rPr>
          <w:rFonts w:ascii="Arial" w:hAnsi="Arial" w:cs="Arial"/>
          <w:b/>
          <w:bCs/>
        </w:rPr>
        <w:t>Power–Interest Matrix</w:t>
      </w:r>
      <w:r w:rsidR="00F05C15" w:rsidRPr="00F05C15">
        <w:rPr>
          <w:rFonts w:ascii="Arial" w:hAnsi="Arial" w:cs="Arial"/>
        </w:rPr>
        <w:t xml:space="preserve">, developed by Mendelow </w:t>
      </w:r>
      <w:r w:rsidR="008A7295">
        <w:rPr>
          <w:rFonts w:ascii="Arial" w:hAnsi="Arial" w:cs="Arial"/>
        </w:rPr>
        <w:t>(</w:t>
      </w:r>
      <w:r w:rsidR="00F05C15" w:rsidRPr="00F05C15">
        <w:rPr>
          <w:rFonts w:ascii="Arial" w:hAnsi="Arial" w:cs="Arial"/>
        </w:rPr>
        <w:t xml:space="preserve">1991), is a stakeholder analysis tool used to categorise stakeholders based on two dimensions: </w:t>
      </w:r>
      <w:r w:rsidR="00F05C15" w:rsidRPr="00F05C15">
        <w:rPr>
          <w:rFonts w:ascii="Arial" w:hAnsi="Arial" w:cs="Arial"/>
          <w:b/>
          <w:bCs/>
        </w:rPr>
        <w:t>the level of power they hold</w:t>
      </w:r>
      <w:r w:rsidR="00F05C15" w:rsidRPr="00F05C15">
        <w:rPr>
          <w:rFonts w:ascii="Arial" w:hAnsi="Arial" w:cs="Arial"/>
        </w:rPr>
        <w:t xml:space="preserve"> over a project and </w:t>
      </w:r>
      <w:r w:rsidR="00F05C15" w:rsidRPr="00F05C15">
        <w:rPr>
          <w:rFonts w:ascii="Arial" w:hAnsi="Arial" w:cs="Arial"/>
          <w:b/>
          <w:bCs/>
        </w:rPr>
        <w:t>the degree of interest they have</w:t>
      </w:r>
      <w:r w:rsidR="00F05C15" w:rsidRPr="00F05C15">
        <w:rPr>
          <w:rFonts w:ascii="Arial" w:hAnsi="Arial" w:cs="Arial"/>
        </w:rPr>
        <w:t xml:space="preserve"> in its </w:t>
      </w:r>
      <w:r w:rsidR="00F05C15" w:rsidRPr="00F05C15">
        <w:rPr>
          <w:rFonts w:ascii="Arial" w:hAnsi="Arial" w:cs="Arial"/>
        </w:rPr>
        <w:lastRenderedPageBreak/>
        <w:t>outcomes. It helps project managers identify which stakeholders require the most attention and which engagement strategies are most appropriate.</w:t>
      </w:r>
    </w:p>
    <w:p w14:paraId="2424F426" w14:textId="77777777" w:rsidR="00F05C15" w:rsidRPr="00F05C15" w:rsidRDefault="00F05C15" w:rsidP="00F05C15">
      <w:pPr>
        <w:spacing w:line="360" w:lineRule="auto"/>
        <w:rPr>
          <w:rFonts w:ascii="Arial" w:hAnsi="Arial" w:cs="Arial"/>
        </w:rPr>
      </w:pPr>
      <w:r w:rsidRPr="00F05C15">
        <w:rPr>
          <w:rFonts w:ascii="Arial" w:hAnsi="Arial" w:cs="Arial"/>
        </w:rPr>
        <w:t>Stakeholders are mapped into four quadrants:</w:t>
      </w:r>
    </w:p>
    <w:p w14:paraId="38B7247B" w14:textId="77777777" w:rsidR="00F05C15" w:rsidRPr="00F05C15" w:rsidRDefault="00F05C15" w:rsidP="00F05C15">
      <w:pPr>
        <w:numPr>
          <w:ilvl w:val="0"/>
          <w:numId w:val="22"/>
        </w:numPr>
        <w:spacing w:line="360" w:lineRule="auto"/>
        <w:rPr>
          <w:rFonts w:ascii="Arial" w:hAnsi="Arial" w:cs="Arial"/>
        </w:rPr>
      </w:pPr>
      <w:r w:rsidRPr="00F05C15">
        <w:rPr>
          <w:rFonts w:ascii="Arial" w:hAnsi="Arial" w:cs="Arial"/>
          <w:b/>
          <w:bCs/>
        </w:rPr>
        <w:t>High Power – High Interest (Manage Closely):</w:t>
      </w:r>
      <w:r w:rsidRPr="00F05C15">
        <w:rPr>
          <w:rFonts w:ascii="Arial" w:hAnsi="Arial" w:cs="Arial"/>
        </w:rPr>
        <w:br/>
        <w:t>These stakeholders have significant influence and strong involvement in the project’s success. They must be actively managed through frequent communication and close collaboration.</w:t>
      </w:r>
    </w:p>
    <w:p w14:paraId="64FF51E2" w14:textId="77777777" w:rsidR="00F05C15" w:rsidRPr="00F05C15" w:rsidRDefault="00F05C15" w:rsidP="00F05C15">
      <w:pPr>
        <w:numPr>
          <w:ilvl w:val="0"/>
          <w:numId w:val="22"/>
        </w:numPr>
        <w:spacing w:line="360" w:lineRule="auto"/>
        <w:rPr>
          <w:rFonts w:ascii="Arial" w:hAnsi="Arial" w:cs="Arial"/>
        </w:rPr>
      </w:pPr>
      <w:r w:rsidRPr="00F05C15">
        <w:rPr>
          <w:rFonts w:ascii="Arial" w:hAnsi="Arial" w:cs="Arial"/>
          <w:b/>
          <w:bCs/>
        </w:rPr>
        <w:t>High Power – Low Interest (Keep Satisfied):</w:t>
      </w:r>
      <w:r w:rsidRPr="00F05C15">
        <w:rPr>
          <w:rFonts w:ascii="Arial" w:hAnsi="Arial" w:cs="Arial"/>
        </w:rPr>
        <w:br/>
        <w:t>These stakeholders hold considerable influence but may not be highly involved. They should be kept satisfied with periodic updates to ensure continued support.</w:t>
      </w:r>
    </w:p>
    <w:p w14:paraId="31F524B8" w14:textId="77777777" w:rsidR="00F05C15" w:rsidRPr="00F05C15" w:rsidRDefault="00F05C15" w:rsidP="00F05C15">
      <w:pPr>
        <w:numPr>
          <w:ilvl w:val="0"/>
          <w:numId w:val="22"/>
        </w:numPr>
        <w:spacing w:line="360" w:lineRule="auto"/>
        <w:rPr>
          <w:rFonts w:ascii="Arial" w:hAnsi="Arial" w:cs="Arial"/>
        </w:rPr>
      </w:pPr>
      <w:r w:rsidRPr="00F05C15">
        <w:rPr>
          <w:rFonts w:ascii="Arial" w:hAnsi="Arial" w:cs="Arial"/>
          <w:b/>
          <w:bCs/>
        </w:rPr>
        <w:t>Low Power – High Interest (Keep Informed):</w:t>
      </w:r>
      <w:r w:rsidRPr="00F05C15">
        <w:rPr>
          <w:rFonts w:ascii="Arial" w:hAnsi="Arial" w:cs="Arial"/>
        </w:rPr>
        <w:br/>
        <w:t>These stakeholders care about the project but lack the authority to affect it directly. They should receive regular communication to maintain engagement and support.</w:t>
      </w:r>
    </w:p>
    <w:p w14:paraId="248E639D" w14:textId="77777777" w:rsidR="00F05C15" w:rsidRPr="00F05C15" w:rsidRDefault="00F05C15" w:rsidP="00F05C15">
      <w:pPr>
        <w:numPr>
          <w:ilvl w:val="0"/>
          <w:numId w:val="22"/>
        </w:numPr>
        <w:spacing w:line="360" w:lineRule="auto"/>
        <w:rPr>
          <w:rFonts w:ascii="Arial" w:hAnsi="Arial" w:cs="Arial"/>
        </w:rPr>
      </w:pPr>
      <w:r w:rsidRPr="00F05C15">
        <w:rPr>
          <w:rFonts w:ascii="Arial" w:hAnsi="Arial" w:cs="Arial"/>
          <w:b/>
          <w:bCs/>
        </w:rPr>
        <w:t>Low Power – Low Interest (Monitor):</w:t>
      </w:r>
      <w:r w:rsidRPr="00F05C15">
        <w:rPr>
          <w:rFonts w:ascii="Arial" w:hAnsi="Arial" w:cs="Arial"/>
        </w:rPr>
        <w:br/>
        <w:t>These stakeholders have minimal influence and minimal involvement. They require only basic monitoring and occasional communication.</w:t>
      </w:r>
    </w:p>
    <w:p w14:paraId="05903D6E" w14:textId="6B5BD40F" w:rsidR="00F05C15" w:rsidRPr="00F05C15" w:rsidRDefault="00F05C15" w:rsidP="00F05C15">
      <w:pPr>
        <w:spacing w:line="360" w:lineRule="auto"/>
        <w:rPr>
          <w:rFonts w:ascii="Arial" w:hAnsi="Arial" w:cs="Arial"/>
        </w:rPr>
      </w:pPr>
      <w:r w:rsidRPr="00F05C15">
        <w:rPr>
          <w:rFonts w:ascii="Arial" w:hAnsi="Arial" w:cs="Arial"/>
        </w:rPr>
        <w:t xml:space="preserve">Overall, the Power–Interest Matrix supports effective </w:t>
      </w:r>
      <w:r w:rsidRPr="00F05C15">
        <w:rPr>
          <w:rFonts w:ascii="Arial" w:hAnsi="Arial" w:cs="Arial"/>
          <w:b/>
          <w:bCs/>
        </w:rPr>
        <w:t>communication planning, prioritisation of stakeholder needs</w:t>
      </w:r>
      <w:r w:rsidRPr="00F05C15">
        <w:rPr>
          <w:rFonts w:ascii="Arial" w:hAnsi="Arial" w:cs="Arial"/>
        </w:rPr>
        <w:t xml:space="preserve">, and </w:t>
      </w:r>
      <w:r w:rsidRPr="00F05C15">
        <w:rPr>
          <w:rFonts w:ascii="Arial" w:hAnsi="Arial" w:cs="Arial"/>
          <w:b/>
          <w:bCs/>
        </w:rPr>
        <w:t>resource allocation</w:t>
      </w:r>
      <w:r w:rsidRPr="00F05C15">
        <w:rPr>
          <w:rFonts w:ascii="Arial" w:hAnsi="Arial" w:cs="Arial"/>
        </w:rPr>
        <w:t>, helping project managers tailor engagement strategies to maximise project success</w:t>
      </w:r>
      <w:r w:rsidR="00B546D3">
        <w:rPr>
          <w:rFonts w:ascii="Arial" w:hAnsi="Arial" w:cs="Arial"/>
        </w:rPr>
        <w:t xml:space="preserve"> </w:t>
      </w:r>
      <w:r w:rsidR="00B546D3" w:rsidRPr="00B546D3">
        <w:rPr>
          <w:rFonts w:ascii="Arial" w:hAnsi="Arial" w:cs="Arial"/>
        </w:rPr>
        <w:t>(Mendelow, 1991)</w:t>
      </w:r>
      <w:r w:rsidR="00B546D3">
        <w:rPr>
          <w:rFonts w:ascii="Arial" w:hAnsi="Arial" w:cs="Arial"/>
        </w:rPr>
        <w:t>.</w:t>
      </w:r>
    </w:p>
    <w:p w14:paraId="1AFA3BA5" w14:textId="09914BB4" w:rsidR="006530BA" w:rsidRPr="006530BA" w:rsidRDefault="006530BA" w:rsidP="006530BA">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6530BA" w:rsidRPr="006530BA" w14:paraId="5B640818" w14:textId="77777777" w:rsidTr="00F30005">
        <w:tc>
          <w:tcPr>
            <w:tcW w:w="9016" w:type="dxa"/>
            <w:shd w:val="clear" w:color="auto" w:fill="83CAEB" w:themeFill="accent1" w:themeFillTint="66"/>
          </w:tcPr>
          <w:p w14:paraId="7C9AD82C" w14:textId="1271C6B2" w:rsidR="006530BA" w:rsidRPr="006530BA" w:rsidRDefault="006530BA" w:rsidP="006530BA">
            <w:pPr>
              <w:spacing w:line="360" w:lineRule="auto"/>
              <w:jc w:val="center"/>
              <w:rPr>
                <w:rFonts w:ascii="Arial" w:hAnsi="Arial" w:cs="Arial"/>
                <w:b/>
                <w:bCs/>
              </w:rPr>
            </w:pPr>
            <w:r w:rsidRPr="006530BA">
              <w:rPr>
                <w:rFonts w:ascii="Arial" w:hAnsi="Arial" w:cs="Arial"/>
                <w:b/>
                <w:bCs/>
              </w:rPr>
              <w:t>Classifies stakeholders into four groups</w:t>
            </w:r>
            <w:r w:rsidR="007B1E7B">
              <w:rPr>
                <w:rFonts w:ascii="Arial" w:hAnsi="Arial" w:cs="Arial"/>
                <w:b/>
                <w:bCs/>
              </w:rPr>
              <w:t xml:space="preserve"> for </w:t>
            </w:r>
            <w:r w:rsidR="007B1E7B" w:rsidRPr="007B1E7B">
              <w:rPr>
                <w:rFonts w:ascii="Arial" w:hAnsi="Arial" w:cs="Arial"/>
                <w:b/>
                <w:bCs/>
              </w:rPr>
              <w:t>Medtronic UK</w:t>
            </w:r>
            <w:r w:rsidRPr="006530BA">
              <w:rPr>
                <w:rFonts w:ascii="Arial" w:hAnsi="Arial" w:cs="Arial"/>
                <w:b/>
                <w:bCs/>
              </w:rPr>
              <w:t>:</w:t>
            </w:r>
          </w:p>
        </w:tc>
      </w:tr>
      <w:tr w:rsidR="006530BA" w:rsidRPr="006530BA" w14:paraId="779ECD68" w14:textId="77777777" w:rsidTr="00F30005">
        <w:tc>
          <w:tcPr>
            <w:tcW w:w="9016" w:type="dxa"/>
            <w:shd w:val="clear" w:color="auto" w:fill="83CAEB" w:themeFill="accent1" w:themeFillTint="66"/>
          </w:tcPr>
          <w:p w14:paraId="27976F8A" w14:textId="77777777" w:rsidR="006530BA" w:rsidRPr="006530BA" w:rsidRDefault="006530BA" w:rsidP="00E535A4">
            <w:pPr>
              <w:numPr>
                <w:ilvl w:val="0"/>
                <w:numId w:val="8"/>
              </w:numPr>
              <w:spacing w:line="360" w:lineRule="auto"/>
              <w:rPr>
                <w:rFonts w:ascii="Arial" w:hAnsi="Arial" w:cs="Arial"/>
              </w:rPr>
            </w:pPr>
            <w:r w:rsidRPr="006530BA">
              <w:rPr>
                <w:rFonts w:ascii="Arial" w:hAnsi="Arial" w:cs="Arial"/>
              </w:rPr>
              <w:t>High Power / High Interest: Senior leadership, NHS procurement, MHRA.</w:t>
            </w:r>
          </w:p>
        </w:tc>
      </w:tr>
      <w:tr w:rsidR="006530BA" w:rsidRPr="006530BA" w14:paraId="4E36713E" w14:textId="77777777" w:rsidTr="00F30005">
        <w:tc>
          <w:tcPr>
            <w:tcW w:w="9016" w:type="dxa"/>
            <w:shd w:val="clear" w:color="auto" w:fill="83CAEB" w:themeFill="accent1" w:themeFillTint="66"/>
          </w:tcPr>
          <w:p w14:paraId="223B0B8A" w14:textId="77777777" w:rsidR="006530BA" w:rsidRPr="006530BA" w:rsidRDefault="006530BA" w:rsidP="00E535A4">
            <w:pPr>
              <w:numPr>
                <w:ilvl w:val="0"/>
                <w:numId w:val="8"/>
              </w:numPr>
              <w:spacing w:line="360" w:lineRule="auto"/>
              <w:rPr>
                <w:rFonts w:ascii="Arial" w:hAnsi="Arial" w:cs="Arial"/>
              </w:rPr>
            </w:pPr>
            <w:r w:rsidRPr="006530BA">
              <w:rPr>
                <w:rFonts w:ascii="Arial" w:hAnsi="Arial" w:cs="Arial"/>
              </w:rPr>
              <w:t>High Power / Low Interest: ICO, major suppliers.</w:t>
            </w:r>
          </w:p>
        </w:tc>
      </w:tr>
      <w:tr w:rsidR="006530BA" w:rsidRPr="006530BA" w14:paraId="254D6716" w14:textId="77777777" w:rsidTr="00F30005">
        <w:tc>
          <w:tcPr>
            <w:tcW w:w="9016" w:type="dxa"/>
            <w:shd w:val="clear" w:color="auto" w:fill="83CAEB" w:themeFill="accent1" w:themeFillTint="66"/>
          </w:tcPr>
          <w:p w14:paraId="19A335A3" w14:textId="77777777" w:rsidR="006530BA" w:rsidRPr="006530BA" w:rsidRDefault="006530BA" w:rsidP="00E535A4">
            <w:pPr>
              <w:numPr>
                <w:ilvl w:val="0"/>
                <w:numId w:val="8"/>
              </w:numPr>
              <w:spacing w:line="360" w:lineRule="auto"/>
              <w:rPr>
                <w:rFonts w:ascii="Arial" w:hAnsi="Arial" w:cs="Arial"/>
              </w:rPr>
            </w:pPr>
            <w:r w:rsidRPr="006530BA">
              <w:rPr>
                <w:rFonts w:ascii="Arial" w:hAnsi="Arial" w:cs="Arial"/>
              </w:rPr>
              <w:t>Low Power / High Interest: Clinicians, patients.</w:t>
            </w:r>
          </w:p>
        </w:tc>
      </w:tr>
      <w:tr w:rsidR="006530BA" w:rsidRPr="006530BA" w14:paraId="1C92B5FA" w14:textId="77777777" w:rsidTr="00F30005">
        <w:tc>
          <w:tcPr>
            <w:tcW w:w="9016" w:type="dxa"/>
            <w:shd w:val="clear" w:color="auto" w:fill="83CAEB" w:themeFill="accent1" w:themeFillTint="66"/>
          </w:tcPr>
          <w:p w14:paraId="25788BAA" w14:textId="77777777" w:rsidR="006530BA" w:rsidRPr="006530BA" w:rsidRDefault="006530BA" w:rsidP="00E535A4">
            <w:pPr>
              <w:numPr>
                <w:ilvl w:val="0"/>
                <w:numId w:val="8"/>
              </w:numPr>
              <w:spacing w:line="360" w:lineRule="auto"/>
              <w:rPr>
                <w:rFonts w:ascii="Arial" w:hAnsi="Arial" w:cs="Arial"/>
              </w:rPr>
            </w:pPr>
            <w:r w:rsidRPr="006530BA">
              <w:rPr>
                <w:rFonts w:ascii="Arial" w:hAnsi="Arial" w:cs="Arial"/>
              </w:rPr>
              <w:t>Low Power / Low Interest: General consumers, media.</w:t>
            </w:r>
          </w:p>
        </w:tc>
      </w:tr>
      <w:tr w:rsidR="006530BA" w:rsidRPr="006530BA" w14:paraId="3AABD9C5" w14:textId="77777777" w:rsidTr="00F30005">
        <w:tc>
          <w:tcPr>
            <w:tcW w:w="9016" w:type="dxa"/>
            <w:shd w:val="clear" w:color="auto" w:fill="83CAEB" w:themeFill="accent1" w:themeFillTint="66"/>
          </w:tcPr>
          <w:p w14:paraId="435BFAA8" w14:textId="77777777" w:rsidR="006530BA" w:rsidRPr="006530BA" w:rsidRDefault="006530BA" w:rsidP="00E535A4">
            <w:pPr>
              <w:spacing w:line="360" w:lineRule="auto"/>
              <w:rPr>
                <w:rFonts w:ascii="Arial" w:hAnsi="Arial" w:cs="Arial"/>
              </w:rPr>
            </w:pPr>
            <w:r w:rsidRPr="006530BA">
              <w:rPr>
                <w:rFonts w:ascii="Arial" w:hAnsi="Arial" w:cs="Arial"/>
              </w:rPr>
              <w:t>This helps prioritise engagement activities.</w:t>
            </w:r>
          </w:p>
        </w:tc>
      </w:tr>
    </w:tbl>
    <w:p w14:paraId="56F429D6" w14:textId="78340210" w:rsidR="006530BA" w:rsidRDefault="00F30005" w:rsidP="00F30005">
      <w:pPr>
        <w:spacing w:line="360" w:lineRule="auto"/>
        <w:jc w:val="center"/>
        <w:rPr>
          <w:rFonts w:ascii="Arial" w:hAnsi="Arial" w:cs="Arial"/>
          <w:b/>
          <w:bCs/>
        </w:rPr>
      </w:pPr>
      <w:r w:rsidRPr="00F30005">
        <w:rPr>
          <w:rFonts w:ascii="Arial" w:hAnsi="Arial" w:cs="Arial"/>
          <w:b/>
          <w:bCs/>
        </w:rPr>
        <w:t>TABLE 1</w:t>
      </w:r>
    </w:p>
    <w:p w14:paraId="4ACFD961" w14:textId="7308EA5B" w:rsidR="00422103" w:rsidRPr="0054340D" w:rsidRDefault="00422103" w:rsidP="0054340D">
      <w:pPr>
        <w:spacing w:line="360" w:lineRule="auto"/>
        <w:rPr>
          <w:rFonts w:ascii="Arial" w:hAnsi="Arial" w:cs="Arial"/>
        </w:rPr>
      </w:pPr>
      <w:r w:rsidRPr="00422103">
        <w:rPr>
          <w:rFonts w:ascii="Arial" w:hAnsi="Arial" w:cs="Arial"/>
        </w:rPr>
        <w:t xml:space="preserve">The Power–Interest Matrix is particularly valuable for Medtronic’s wearable health device project because it enables the project team to prioritise stakeholders based on their influence and level of involvement. Medtronic operates within a complex healthcare ecosystem where stakeholders have varying degrees of authority, interest, and regulatory control. Mapping stakeholders into the matrix helps the project manager determine who requires close management, who needs to be kept satisfied, and who should simply be </w:t>
      </w:r>
      <w:r w:rsidRPr="00422103">
        <w:rPr>
          <w:rFonts w:ascii="Arial" w:hAnsi="Arial" w:cs="Arial"/>
        </w:rPr>
        <w:lastRenderedPageBreak/>
        <w:t>monitored. For example, the Regulatory Affairs team and the MHRA fall into the “high power–high interest” quadrant due to their control over product approval, meaning they must be engaged regularly through structured documentation and compliance discussions. Conversely, clinicians and patients, who have high interest but limited organisational power, fall into the “low power–high interest” category and should be kept informed through user-testing sessions and feedback surveys. Senior leadership, who possess high power but may be less involved in daily operations, fall into the “high power–low interest” category and should be kept satisfied through executive summaries. Using the matrix ensures Medtronic allocates resources effectively, avoids stakeholder-related delays, and maintains strong relationships throughout the project lifecycle.</w:t>
      </w:r>
    </w:p>
    <w:p w14:paraId="3274ECAC" w14:textId="008B5449" w:rsidR="006E43EC" w:rsidRPr="00363208" w:rsidRDefault="00A63B63" w:rsidP="006E43EC">
      <w:pPr>
        <w:spacing w:line="360" w:lineRule="auto"/>
        <w:rPr>
          <w:rFonts w:ascii="Arial" w:hAnsi="Arial" w:cs="Arial"/>
        </w:rPr>
      </w:pPr>
      <w:r w:rsidRPr="00A63B63">
        <w:rPr>
          <w:rFonts w:ascii="Arial" w:hAnsi="Arial" w:cs="Arial"/>
          <w:b/>
          <w:bCs/>
          <w:highlight w:val="yellow"/>
        </w:rPr>
        <w:t>Stakeholder Engagement Plan</w:t>
      </w:r>
      <w:r w:rsidR="00BD441C">
        <w:rPr>
          <w:rFonts w:ascii="Arial" w:hAnsi="Arial" w:cs="Arial"/>
          <w:b/>
          <w:bCs/>
        </w:rPr>
        <w:t xml:space="preserve"> </w:t>
      </w:r>
      <w:r w:rsidR="006E43EC">
        <w:rPr>
          <w:rFonts w:ascii="Arial" w:hAnsi="Arial" w:cs="Arial"/>
          <w:b/>
          <w:bCs/>
        </w:rPr>
        <w:t xml:space="preserve">- </w:t>
      </w:r>
      <w:r w:rsidR="006E43EC" w:rsidRPr="00363208">
        <w:rPr>
          <w:rFonts w:ascii="Arial" w:hAnsi="Arial" w:cs="Arial"/>
        </w:rPr>
        <w:t>A Stakeholder Engagement Plan is a structured document that outlines how an organisation or project team will identify, communicate with, and manage stakeholders throughout the project lifecycle. It defines the strategies, actions, communication channels, and responsibilities required to build effective relationships with individuals or groups who can influence or are affected by the project</w:t>
      </w:r>
      <w:r w:rsidR="00363208">
        <w:rPr>
          <w:rFonts w:ascii="Arial" w:hAnsi="Arial" w:cs="Arial"/>
        </w:rPr>
        <w:t>.</w:t>
      </w:r>
    </w:p>
    <w:tbl>
      <w:tblPr>
        <w:tblStyle w:val="TableGrid"/>
        <w:tblW w:w="0" w:type="auto"/>
        <w:tblLook w:val="04A0" w:firstRow="1" w:lastRow="0" w:firstColumn="1" w:lastColumn="0" w:noHBand="0" w:noVBand="1"/>
      </w:tblPr>
      <w:tblGrid>
        <w:gridCol w:w="9016"/>
      </w:tblGrid>
      <w:tr w:rsidR="00B36A69" w:rsidRPr="006E43EC" w14:paraId="30BD06B1" w14:textId="77777777" w:rsidTr="00B36A69">
        <w:tc>
          <w:tcPr>
            <w:tcW w:w="9016" w:type="dxa"/>
            <w:shd w:val="clear" w:color="auto" w:fill="92D050"/>
          </w:tcPr>
          <w:p w14:paraId="02BD3C40" w14:textId="77777777" w:rsidR="00B36A69" w:rsidRPr="00B36A69" w:rsidRDefault="00B36A69" w:rsidP="00B36A69">
            <w:pPr>
              <w:spacing w:line="360" w:lineRule="auto"/>
              <w:jc w:val="center"/>
              <w:rPr>
                <w:rFonts w:ascii="Arial" w:hAnsi="Arial" w:cs="Arial"/>
                <w:b/>
                <w:bCs/>
              </w:rPr>
            </w:pPr>
            <w:r w:rsidRPr="006E43EC">
              <w:rPr>
                <w:rFonts w:ascii="Arial" w:hAnsi="Arial" w:cs="Arial"/>
                <w:b/>
                <w:bCs/>
              </w:rPr>
              <w:t>The plan typically includes:</w:t>
            </w:r>
          </w:p>
        </w:tc>
      </w:tr>
      <w:tr w:rsidR="00B36A69" w:rsidRPr="006E43EC" w14:paraId="1BFC4951" w14:textId="77777777" w:rsidTr="00B36A69">
        <w:tc>
          <w:tcPr>
            <w:tcW w:w="9016" w:type="dxa"/>
            <w:shd w:val="clear" w:color="auto" w:fill="92D050"/>
          </w:tcPr>
          <w:p w14:paraId="5EB68AEB" w14:textId="77777777" w:rsidR="00B36A69" w:rsidRPr="006E43EC" w:rsidRDefault="00B36A69" w:rsidP="00B116E0">
            <w:pPr>
              <w:numPr>
                <w:ilvl w:val="0"/>
                <w:numId w:val="23"/>
              </w:numPr>
              <w:spacing w:line="360" w:lineRule="auto"/>
              <w:rPr>
                <w:rFonts w:ascii="Arial" w:hAnsi="Arial" w:cs="Arial"/>
              </w:rPr>
            </w:pPr>
            <w:r w:rsidRPr="006E43EC">
              <w:rPr>
                <w:rFonts w:ascii="Arial" w:hAnsi="Arial" w:cs="Arial"/>
              </w:rPr>
              <w:t>Stakeholder identification and analysis (e.g., their interests, power, influence, expectations).</w:t>
            </w:r>
          </w:p>
        </w:tc>
      </w:tr>
      <w:tr w:rsidR="00B36A69" w:rsidRPr="006E43EC" w14:paraId="5715A604" w14:textId="77777777" w:rsidTr="00B36A69">
        <w:tc>
          <w:tcPr>
            <w:tcW w:w="9016" w:type="dxa"/>
            <w:shd w:val="clear" w:color="auto" w:fill="92D050"/>
          </w:tcPr>
          <w:p w14:paraId="38956A24" w14:textId="77777777" w:rsidR="00B36A69" w:rsidRPr="006E43EC" w:rsidRDefault="00B36A69" w:rsidP="00B116E0">
            <w:pPr>
              <w:numPr>
                <w:ilvl w:val="0"/>
                <w:numId w:val="23"/>
              </w:numPr>
              <w:spacing w:line="360" w:lineRule="auto"/>
              <w:rPr>
                <w:rFonts w:ascii="Arial" w:hAnsi="Arial" w:cs="Arial"/>
              </w:rPr>
            </w:pPr>
            <w:r w:rsidRPr="006E43EC">
              <w:rPr>
                <w:rFonts w:ascii="Arial" w:hAnsi="Arial" w:cs="Arial"/>
              </w:rPr>
              <w:t>Engagement objectives describing what the project aims to achieve with each stakeholder group.</w:t>
            </w:r>
          </w:p>
        </w:tc>
      </w:tr>
      <w:tr w:rsidR="00B36A69" w:rsidRPr="006E43EC" w14:paraId="26ED05A4" w14:textId="77777777" w:rsidTr="00B36A69">
        <w:tc>
          <w:tcPr>
            <w:tcW w:w="9016" w:type="dxa"/>
            <w:shd w:val="clear" w:color="auto" w:fill="92D050"/>
          </w:tcPr>
          <w:p w14:paraId="748ED778" w14:textId="77777777" w:rsidR="00B36A69" w:rsidRPr="006E43EC" w:rsidRDefault="00B36A69" w:rsidP="00B116E0">
            <w:pPr>
              <w:numPr>
                <w:ilvl w:val="0"/>
                <w:numId w:val="23"/>
              </w:numPr>
              <w:spacing w:line="360" w:lineRule="auto"/>
              <w:rPr>
                <w:rFonts w:ascii="Arial" w:hAnsi="Arial" w:cs="Arial"/>
              </w:rPr>
            </w:pPr>
            <w:r w:rsidRPr="006E43EC">
              <w:rPr>
                <w:rFonts w:ascii="Arial" w:hAnsi="Arial" w:cs="Arial"/>
              </w:rPr>
              <w:t>Communication strategies detailing how information will be delivered, how often, and by whom.</w:t>
            </w:r>
          </w:p>
        </w:tc>
      </w:tr>
      <w:tr w:rsidR="00B36A69" w:rsidRPr="006E43EC" w14:paraId="490D15D3" w14:textId="77777777" w:rsidTr="00B36A69">
        <w:tc>
          <w:tcPr>
            <w:tcW w:w="9016" w:type="dxa"/>
            <w:shd w:val="clear" w:color="auto" w:fill="92D050"/>
          </w:tcPr>
          <w:p w14:paraId="6DFE1F8B" w14:textId="77777777" w:rsidR="00B36A69" w:rsidRPr="006E43EC" w:rsidRDefault="00B36A69" w:rsidP="00B116E0">
            <w:pPr>
              <w:numPr>
                <w:ilvl w:val="0"/>
                <w:numId w:val="23"/>
              </w:numPr>
              <w:spacing w:line="360" w:lineRule="auto"/>
              <w:rPr>
                <w:rFonts w:ascii="Arial" w:hAnsi="Arial" w:cs="Arial"/>
              </w:rPr>
            </w:pPr>
            <w:r w:rsidRPr="006E43EC">
              <w:rPr>
                <w:rFonts w:ascii="Arial" w:hAnsi="Arial" w:cs="Arial"/>
              </w:rPr>
              <w:t>Methods for managing concerns, expectations, and potential conflicts.</w:t>
            </w:r>
          </w:p>
        </w:tc>
      </w:tr>
      <w:tr w:rsidR="00B36A69" w:rsidRPr="006E43EC" w14:paraId="444DB7E4" w14:textId="77777777" w:rsidTr="00B36A69">
        <w:tc>
          <w:tcPr>
            <w:tcW w:w="9016" w:type="dxa"/>
            <w:shd w:val="clear" w:color="auto" w:fill="92D050"/>
          </w:tcPr>
          <w:p w14:paraId="160B2316" w14:textId="77777777" w:rsidR="00B36A69" w:rsidRPr="006E43EC" w:rsidRDefault="00B36A69" w:rsidP="00B116E0">
            <w:pPr>
              <w:numPr>
                <w:ilvl w:val="0"/>
                <w:numId w:val="23"/>
              </w:numPr>
              <w:spacing w:line="360" w:lineRule="auto"/>
              <w:rPr>
                <w:rFonts w:ascii="Arial" w:hAnsi="Arial" w:cs="Arial"/>
              </w:rPr>
            </w:pPr>
            <w:r w:rsidRPr="006E43EC">
              <w:rPr>
                <w:rFonts w:ascii="Arial" w:hAnsi="Arial" w:cs="Arial"/>
              </w:rPr>
              <w:t>Monitoring and evaluation processes to assess engagement effectiveness and adapt approaches as the project progresses.</w:t>
            </w:r>
          </w:p>
        </w:tc>
      </w:tr>
    </w:tbl>
    <w:p w14:paraId="211970BF" w14:textId="77777777" w:rsidR="00B36A69" w:rsidRDefault="00B36A69" w:rsidP="00B36A69">
      <w:pPr>
        <w:spacing w:line="360" w:lineRule="auto"/>
        <w:jc w:val="center"/>
        <w:rPr>
          <w:rFonts w:ascii="Arial" w:hAnsi="Arial" w:cs="Arial"/>
          <w:b/>
          <w:bCs/>
        </w:rPr>
      </w:pPr>
      <w:r>
        <w:rPr>
          <w:rFonts w:ascii="Arial" w:hAnsi="Arial" w:cs="Arial"/>
          <w:b/>
          <w:bCs/>
        </w:rPr>
        <w:t>TABLE 2</w:t>
      </w:r>
    </w:p>
    <w:p w14:paraId="4B19BFE5" w14:textId="5555D9F3" w:rsidR="00A63B63" w:rsidRPr="00A63B63" w:rsidRDefault="006E43EC" w:rsidP="00A63B63">
      <w:pPr>
        <w:spacing w:line="360" w:lineRule="auto"/>
        <w:rPr>
          <w:rFonts w:ascii="Arial" w:hAnsi="Arial" w:cs="Arial"/>
        </w:rPr>
      </w:pPr>
      <w:r w:rsidRPr="006E43EC">
        <w:rPr>
          <w:rFonts w:ascii="Arial" w:hAnsi="Arial" w:cs="Arial"/>
        </w:rPr>
        <w:t>In essence, a Stakeholder Engagement Plan ensures that interaction with stakeholders is proactive, systematic, and aligned with project goals, helping to maintain support, reduce resistance, and enhance the likelihood of project success.</w:t>
      </w:r>
    </w:p>
    <w:p w14:paraId="6DA47621" w14:textId="13CFDC96" w:rsidR="003667A2" w:rsidRPr="002C77FC" w:rsidRDefault="0017014B" w:rsidP="003667A2">
      <w:pPr>
        <w:spacing w:line="360" w:lineRule="auto"/>
        <w:rPr>
          <w:rFonts w:ascii="Arial" w:hAnsi="Arial" w:cs="Arial"/>
        </w:rPr>
      </w:pPr>
      <w:r w:rsidRPr="0017014B">
        <w:rPr>
          <w:rFonts w:ascii="Arial" w:hAnsi="Arial" w:cs="Arial"/>
          <w:b/>
          <w:bCs/>
          <w:highlight w:val="yellow"/>
        </w:rPr>
        <w:t>Communication Plan</w:t>
      </w:r>
      <w:r w:rsidR="003667A2" w:rsidRPr="002C77FC">
        <w:rPr>
          <w:rFonts w:ascii="Arial" w:hAnsi="Arial" w:cs="Arial"/>
        </w:rPr>
        <w:t xml:space="preserve">- </w:t>
      </w:r>
      <w:r w:rsidR="003667A2" w:rsidRPr="002C77FC">
        <w:rPr>
          <w:rFonts w:ascii="Arial" w:hAnsi="Arial" w:cs="Arial"/>
        </w:rPr>
        <w:t>A Communication Plan is a formal document that outlines how information will be shared among stakeholders during a project or organisational initiative. It specifies what information needs to be communicated, to whom, by whom, how often, and through which channels</w:t>
      </w:r>
      <w:r w:rsidR="00420D11">
        <w:rPr>
          <w:rFonts w:ascii="Arial" w:hAnsi="Arial" w:cs="Arial"/>
        </w:rPr>
        <w:t xml:space="preserve">. </w:t>
      </w:r>
      <w:r w:rsidR="003667A2" w:rsidRPr="002C77FC">
        <w:rPr>
          <w:rFonts w:ascii="Arial" w:hAnsi="Arial" w:cs="Arial"/>
        </w:rPr>
        <w:t>The purpose of a communication plan is to ensure that stakeholders receive timely, accurate, and relevant information that supports decision-</w:t>
      </w:r>
      <w:r w:rsidR="003667A2" w:rsidRPr="002C77FC">
        <w:rPr>
          <w:rFonts w:ascii="Arial" w:hAnsi="Arial" w:cs="Arial"/>
        </w:rPr>
        <w:lastRenderedPageBreak/>
        <w:t>making, reduces misunderstandings, and maintains alignment with project goals</w:t>
      </w:r>
      <w:r w:rsidR="0023329F" w:rsidRPr="0023329F">
        <w:rPr>
          <w:rFonts w:ascii="Times New Roman" w:eastAsia="Times New Roman" w:hAnsi="Times New Roman" w:cs="Times New Roman"/>
          <w:kern w:val="0"/>
          <w:sz w:val="24"/>
          <w:szCs w:val="24"/>
          <w:lang w:eastAsia="en-GB"/>
          <w14:ligatures w14:val="none"/>
        </w:rPr>
        <w:t xml:space="preserve"> </w:t>
      </w:r>
      <w:r w:rsidR="0023329F" w:rsidRPr="0023329F">
        <w:rPr>
          <w:rFonts w:ascii="Arial" w:hAnsi="Arial" w:cs="Arial"/>
        </w:rPr>
        <w:t>(</w:t>
      </w:r>
      <w:proofErr w:type="spellStart"/>
      <w:r w:rsidR="0023329F" w:rsidRPr="0023329F">
        <w:rPr>
          <w:rFonts w:ascii="Arial" w:hAnsi="Arial" w:cs="Arial"/>
        </w:rPr>
        <w:t>Kantowitz</w:t>
      </w:r>
      <w:proofErr w:type="spellEnd"/>
      <w:r w:rsidR="0023329F" w:rsidRPr="0023329F">
        <w:rPr>
          <w:rFonts w:ascii="Arial" w:hAnsi="Arial" w:cs="Arial"/>
        </w:rPr>
        <w:t xml:space="preserve"> and Suchman, 1990)</w:t>
      </w:r>
      <w:r w:rsidR="0023329F">
        <w:rPr>
          <w:rFonts w:ascii="Arial" w:hAnsi="Arial" w:cs="Arial"/>
        </w:rPr>
        <w:t>.</w:t>
      </w:r>
    </w:p>
    <w:p w14:paraId="5954B0A5" w14:textId="77777777" w:rsidR="003667A2" w:rsidRPr="003667A2" w:rsidRDefault="003667A2" w:rsidP="003667A2">
      <w:pPr>
        <w:spacing w:line="360" w:lineRule="auto"/>
        <w:rPr>
          <w:rFonts w:ascii="Arial" w:hAnsi="Arial" w:cs="Arial"/>
        </w:rPr>
      </w:pPr>
      <w:r w:rsidRPr="003667A2">
        <w:rPr>
          <w:rFonts w:ascii="Arial" w:hAnsi="Arial" w:cs="Arial"/>
        </w:rPr>
        <w:t>Typical elements of a communication plan include:</w:t>
      </w:r>
    </w:p>
    <w:p w14:paraId="21099012" w14:textId="77777777" w:rsidR="003667A2" w:rsidRPr="003667A2" w:rsidRDefault="003667A2" w:rsidP="003667A2">
      <w:pPr>
        <w:numPr>
          <w:ilvl w:val="0"/>
          <w:numId w:val="24"/>
        </w:numPr>
        <w:spacing w:line="360" w:lineRule="auto"/>
        <w:rPr>
          <w:rFonts w:ascii="Arial" w:hAnsi="Arial" w:cs="Arial"/>
        </w:rPr>
      </w:pPr>
      <w:r w:rsidRPr="003667A2">
        <w:rPr>
          <w:rFonts w:ascii="Arial" w:hAnsi="Arial" w:cs="Arial"/>
        </w:rPr>
        <w:t>Stakeholder communication requirements</w:t>
      </w:r>
    </w:p>
    <w:p w14:paraId="06E8CC1F" w14:textId="77777777" w:rsidR="003667A2" w:rsidRPr="003667A2" w:rsidRDefault="003667A2" w:rsidP="003667A2">
      <w:pPr>
        <w:numPr>
          <w:ilvl w:val="0"/>
          <w:numId w:val="24"/>
        </w:numPr>
        <w:spacing w:line="360" w:lineRule="auto"/>
        <w:rPr>
          <w:rFonts w:ascii="Arial" w:hAnsi="Arial" w:cs="Arial"/>
        </w:rPr>
      </w:pPr>
      <w:r w:rsidRPr="003667A2">
        <w:rPr>
          <w:rFonts w:ascii="Arial" w:hAnsi="Arial" w:cs="Arial"/>
        </w:rPr>
        <w:t>Types of communication (e.g., reports, meetings, updates, briefings)</w:t>
      </w:r>
    </w:p>
    <w:p w14:paraId="2BEB82FA" w14:textId="77777777" w:rsidR="003667A2" w:rsidRPr="003667A2" w:rsidRDefault="003667A2" w:rsidP="003667A2">
      <w:pPr>
        <w:numPr>
          <w:ilvl w:val="0"/>
          <w:numId w:val="24"/>
        </w:numPr>
        <w:spacing w:line="360" w:lineRule="auto"/>
        <w:rPr>
          <w:rFonts w:ascii="Arial" w:hAnsi="Arial" w:cs="Arial"/>
        </w:rPr>
      </w:pPr>
      <w:r w:rsidRPr="003667A2">
        <w:rPr>
          <w:rFonts w:ascii="Arial" w:hAnsi="Arial" w:cs="Arial"/>
        </w:rPr>
        <w:t>Frequency and timing of communication</w:t>
      </w:r>
    </w:p>
    <w:p w14:paraId="050C6FC4" w14:textId="77777777" w:rsidR="003667A2" w:rsidRPr="003667A2" w:rsidRDefault="003667A2" w:rsidP="003667A2">
      <w:pPr>
        <w:numPr>
          <w:ilvl w:val="0"/>
          <w:numId w:val="24"/>
        </w:numPr>
        <w:spacing w:line="360" w:lineRule="auto"/>
        <w:rPr>
          <w:rFonts w:ascii="Arial" w:hAnsi="Arial" w:cs="Arial"/>
        </w:rPr>
      </w:pPr>
      <w:r w:rsidRPr="003667A2">
        <w:rPr>
          <w:rFonts w:ascii="Arial" w:hAnsi="Arial" w:cs="Arial"/>
        </w:rPr>
        <w:t>Communication methods (e.g., email, meetings, dashboards, documentation systems)</w:t>
      </w:r>
    </w:p>
    <w:p w14:paraId="4928557E" w14:textId="77777777" w:rsidR="003667A2" w:rsidRPr="003667A2" w:rsidRDefault="003667A2" w:rsidP="003667A2">
      <w:pPr>
        <w:numPr>
          <w:ilvl w:val="0"/>
          <w:numId w:val="24"/>
        </w:numPr>
        <w:spacing w:line="360" w:lineRule="auto"/>
        <w:rPr>
          <w:rFonts w:ascii="Arial" w:hAnsi="Arial" w:cs="Arial"/>
        </w:rPr>
      </w:pPr>
      <w:r w:rsidRPr="003667A2">
        <w:rPr>
          <w:rFonts w:ascii="Arial" w:hAnsi="Arial" w:cs="Arial"/>
        </w:rPr>
        <w:t>Roles and responsibilities for delivering communication</w:t>
      </w:r>
    </w:p>
    <w:p w14:paraId="2B64B1D2" w14:textId="77777777" w:rsidR="003667A2" w:rsidRPr="003667A2" w:rsidRDefault="003667A2" w:rsidP="003667A2">
      <w:pPr>
        <w:numPr>
          <w:ilvl w:val="0"/>
          <w:numId w:val="24"/>
        </w:numPr>
        <w:spacing w:line="360" w:lineRule="auto"/>
        <w:rPr>
          <w:rFonts w:ascii="Arial" w:hAnsi="Arial" w:cs="Arial"/>
        </w:rPr>
      </w:pPr>
      <w:r w:rsidRPr="003667A2">
        <w:rPr>
          <w:rFonts w:ascii="Arial" w:hAnsi="Arial" w:cs="Arial"/>
        </w:rPr>
        <w:t>Escalation procedures for urgent or critical issues</w:t>
      </w:r>
    </w:p>
    <w:p w14:paraId="5106801B" w14:textId="77777777" w:rsidR="003667A2" w:rsidRPr="003667A2" w:rsidRDefault="003667A2" w:rsidP="003667A2">
      <w:pPr>
        <w:numPr>
          <w:ilvl w:val="0"/>
          <w:numId w:val="24"/>
        </w:numPr>
        <w:spacing w:line="360" w:lineRule="auto"/>
        <w:rPr>
          <w:rFonts w:ascii="Arial" w:hAnsi="Arial" w:cs="Arial"/>
        </w:rPr>
      </w:pPr>
      <w:r w:rsidRPr="003667A2">
        <w:rPr>
          <w:rFonts w:ascii="Arial" w:hAnsi="Arial" w:cs="Arial"/>
        </w:rPr>
        <w:t>Feedback mechanisms to ensure communication is two-way</w:t>
      </w:r>
    </w:p>
    <w:p w14:paraId="016D7C35" w14:textId="171E6FA5" w:rsidR="003667A2" w:rsidRDefault="003667A2" w:rsidP="003667A2">
      <w:pPr>
        <w:spacing w:line="360" w:lineRule="auto"/>
        <w:rPr>
          <w:rFonts w:ascii="Arial" w:hAnsi="Arial" w:cs="Arial"/>
        </w:rPr>
      </w:pPr>
      <w:r w:rsidRPr="003667A2">
        <w:rPr>
          <w:rFonts w:ascii="Arial" w:hAnsi="Arial" w:cs="Arial"/>
        </w:rPr>
        <w:t>Overall, a communication plan helps maintain transparency, promotes collaboration, prevents conflict, and ensures that project information flows efficiently across teams and stakeholder groups</w:t>
      </w:r>
      <w:r w:rsidR="0023329F">
        <w:rPr>
          <w:rFonts w:ascii="Arial" w:hAnsi="Arial" w:cs="Arial"/>
        </w:rPr>
        <w:t xml:space="preserve"> </w:t>
      </w:r>
      <w:r w:rsidR="0023329F" w:rsidRPr="0023329F">
        <w:rPr>
          <w:rFonts w:ascii="Arial" w:hAnsi="Arial" w:cs="Arial"/>
        </w:rPr>
        <w:t>(</w:t>
      </w:r>
      <w:proofErr w:type="spellStart"/>
      <w:r w:rsidR="0023329F" w:rsidRPr="0023329F">
        <w:rPr>
          <w:rFonts w:ascii="Arial" w:hAnsi="Arial" w:cs="Arial"/>
        </w:rPr>
        <w:t>Kantowitz</w:t>
      </w:r>
      <w:proofErr w:type="spellEnd"/>
      <w:r w:rsidR="0023329F" w:rsidRPr="0023329F">
        <w:rPr>
          <w:rFonts w:ascii="Arial" w:hAnsi="Arial" w:cs="Arial"/>
        </w:rPr>
        <w:t xml:space="preserve"> and Suchman, 1990)</w:t>
      </w:r>
      <w:r w:rsidR="0023329F">
        <w:rPr>
          <w:rFonts w:ascii="Arial" w:hAnsi="Arial" w:cs="Arial"/>
        </w:rPr>
        <w:t>.</w:t>
      </w:r>
    </w:p>
    <w:p w14:paraId="472F5079" w14:textId="77777777" w:rsidR="004B714D" w:rsidRDefault="004B714D" w:rsidP="003667A2">
      <w:pPr>
        <w:spacing w:line="360" w:lineRule="auto"/>
        <w:rPr>
          <w:rFonts w:ascii="Arial" w:hAnsi="Arial" w:cs="Arial"/>
        </w:rPr>
      </w:pPr>
    </w:p>
    <w:p w14:paraId="5054E9A7" w14:textId="7DBC14B7" w:rsidR="0017014B" w:rsidRPr="004B714D" w:rsidRDefault="004B714D" w:rsidP="004B714D">
      <w:pPr>
        <w:spacing w:line="360" w:lineRule="auto"/>
        <w:jc w:val="center"/>
        <w:rPr>
          <w:rFonts w:ascii="Arial" w:hAnsi="Arial" w:cs="Arial"/>
          <w:b/>
          <w:bCs/>
        </w:rPr>
      </w:pPr>
      <w:r w:rsidRPr="004B714D">
        <w:rPr>
          <w:rFonts w:ascii="Arial" w:hAnsi="Arial" w:cs="Arial"/>
          <w:b/>
          <w:bCs/>
        </w:rPr>
        <w:t>Communication Plan for Medtronic UK Wearable Health Device Project</w:t>
      </w:r>
    </w:p>
    <w:tbl>
      <w:tblPr>
        <w:tblW w:w="9923" w:type="dxa"/>
        <w:tblCellSpacing w:w="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00"/>
        <w:gridCol w:w="1755"/>
        <w:gridCol w:w="1743"/>
        <w:gridCol w:w="1193"/>
        <w:gridCol w:w="1389"/>
        <w:gridCol w:w="1943"/>
      </w:tblGrid>
      <w:tr w:rsidR="00DC6FC3" w:rsidRPr="00441ABC" w14:paraId="2177C68B" w14:textId="77777777" w:rsidTr="00857BD3">
        <w:trPr>
          <w:tblHeader/>
          <w:tblCellSpacing w:w="15" w:type="dxa"/>
        </w:trPr>
        <w:tc>
          <w:tcPr>
            <w:tcW w:w="1855" w:type="dxa"/>
            <w:shd w:val="clear" w:color="auto" w:fill="60CAF3" w:themeFill="accent4" w:themeFillTint="99"/>
            <w:vAlign w:val="center"/>
            <w:hideMark/>
          </w:tcPr>
          <w:p w14:paraId="2C810E06"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Stakeholder Group</w:t>
            </w:r>
          </w:p>
        </w:tc>
        <w:tc>
          <w:tcPr>
            <w:tcW w:w="0" w:type="auto"/>
            <w:shd w:val="clear" w:color="auto" w:fill="60CAF3" w:themeFill="accent4" w:themeFillTint="99"/>
            <w:vAlign w:val="center"/>
            <w:hideMark/>
          </w:tcPr>
          <w:p w14:paraId="6E03DA36"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Information Needed</w:t>
            </w:r>
          </w:p>
        </w:tc>
        <w:tc>
          <w:tcPr>
            <w:tcW w:w="0" w:type="auto"/>
            <w:shd w:val="clear" w:color="auto" w:fill="60CAF3" w:themeFill="accent4" w:themeFillTint="99"/>
            <w:vAlign w:val="center"/>
            <w:hideMark/>
          </w:tcPr>
          <w:p w14:paraId="24D7483F"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Communication Method</w:t>
            </w:r>
          </w:p>
        </w:tc>
        <w:tc>
          <w:tcPr>
            <w:tcW w:w="0" w:type="auto"/>
            <w:shd w:val="clear" w:color="auto" w:fill="60CAF3" w:themeFill="accent4" w:themeFillTint="99"/>
            <w:vAlign w:val="center"/>
            <w:hideMark/>
          </w:tcPr>
          <w:p w14:paraId="71FB71D3"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Frequency</w:t>
            </w:r>
          </w:p>
        </w:tc>
        <w:tc>
          <w:tcPr>
            <w:tcW w:w="0" w:type="auto"/>
            <w:shd w:val="clear" w:color="auto" w:fill="60CAF3" w:themeFill="accent4" w:themeFillTint="99"/>
            <w:vAlign w:val="center"/>
            <w:hideMark/>
          </w:tcPr>
          <w:p w14:paraId="564A9CCB"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Sender / Responsible</w:t>
            </w:r>
          </w:p>
        </w:tc>
        <w:tc>
          <w:tcPr>
            <w:tcW w:w="1898" w:type="dxa"/>
            <w:shd w:val="clear" w:color="auto" w:fill="60CAF3" w:themeFill="accent4" w:themeFillTint="99"/>
            <w:vAlign w:val="center"/>
            <w:hideMark/>
          </w:tcPr>
          <w:p w14:paraId="076DFC61"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Purpose of Communication</w:t>
            </w:r>
          </w:p>
        </w:tc>
      </w:tr>
      <w:tr w:rsidR="00DC6FC3" w:rsidRPr="00441ABC" w14:paraId="39706685" w14:textId="77777777" w:rsidTr="00857BD3">
        <w:trPr>
          <w:tblCellSpacing w:w="15" w:type="dxa"/>
        </w:trPr>
        <w:tc>
          <w:tcPr>
            <w:tcW w:w="1855" w:type="dxa"/>
            <w:shd w:val="clear" w:color="auto" w:fill="60CAF3" w:themeFill="accent4" w:themeFillTint="99"/>
            <w:vAlign w:val="center"/>
            <w:hideMark/>
          </w:tcPr>
          <w:p w14:paraId="0B0889E8"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R&amp;D Team</w:t>
            </w:r>
          </w:p>
        </w:tc>
        <w:tc>
          <w:tcPr>
            <w:tcW w:w="0" w:type="auto"/>
            <w:vAlign w:val="center"/>
            <w:hideMark/>
          </w:tcPr>
          <w:p w14:paraId="619F40BA"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Prototype updates, design changes, clinical feedback</w:t>
            </w:r>
          </w:p>
        </w:tc>
        <w:tc>
          <w:tcPr>
            <w:tcW w:w="0" w:type="auto"/>
            <w:vAlign w:val="center"/>
            <w:hideMark/>
          </w:tcPr>
          <w:p w14:paraId="3583094C"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Technical meetings, shared documents, Teams channel</w:t>
            </w:r>
          </w:p>
        </w:tc>
        <w:tc>
          <w:tcPr>
            <w:tcW w:w="0" w:type="auto"/>
            <w:vAlign w:val="center"/>
            <w:hideMark/>
          </w:tcPr>
          <w:p w14:paraId="7F086765"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Weekly</w:t>
            </w:r>
          </w:p>
        </w:tc>
        <w:tc>
          <w:tcPr>
            <w:tcW w:w="0" w:type="auto"/>
            <w:vAlign w:val="center"/>
            <w:hideMark/>
          </w:tcPr>
          <w:p w14:paraId="00739624"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Project Manager</w:t>
            </w:r>
          </w:p>
        </w:tc>
        <w:tc>
          <w:tcPr>
            <w:tcW w:w="1898" w:type="dxa"/>
            <w:vAlign w:val="center"/>
            <w:hideMark/>
          </w:tcPr>
          <w:p w14:paraId="6D538DB6"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Ensure design aligns with clinical and regulatory requirements</w:t>
            </w:r>
          </w:p>
        </w:tc>
      </w:tr>
      <w:tr w:rsidR="00DC6FC3" w:rsidRPr="00441ABC" w14:paraId="4E1CEBCE" w14:textId="77777777" w:rsidTr="00857BD3">
        <w:trPr>
          <w:tblCellSpacing w:w="15" w:type="dxa"/>
        </w:trPr>
        <w:tc>
          <w:tcPr>
            <w:tcW w:w="1855" w:type="dxa"/>
            <w:shd w:val="clear" w:color="auto" w:fill="60CAF3" w:themeFill="accent4" w:themeFillTint="99"/>
            <w:vAlign w:val="center"/>
            <w:hideMark/>
          </w:tcPr>
          <w:p w14:paraId="2819D4CF"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IT &amp; Cybersecurity</w:t>
            </w:r>
          </w:p>
        </w:tc>
        <w:tc>
          <w:tcPr>
            <w:tcW w:w="0" w:type="auto"/>
            <w:vAlign w:val="center"/>
            <w:hideMark/>
          </w:tcPr>
          <w:p w14:paraId="0205D089"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Data security requirements, device connectivity needs, testing results</w:t>
            </w:r>
          </w:p>
        </w:tc>
        <w:tc>
          <w:tcPr>
            <w:tcW w:w="0" w:type="auto"/>
            <w:vAlign w:val="center"/>
            <w:hideMark/>
          </w:tcPr>
          <w:p w14:paraId="341DC840"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Workshops, emails, project dashboard</w:t>
            </w:r>
          </w:p>
        </w:tc>
        <w:tc>
          <w:tcPr>
            <w:tcW w:w="0" w:type="auto"/>
            <w:vAlign w:val="center"/>
            <w:hideMark/>
          </w:tcPr>
          <w:p w14:paraId="759806BB"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Weekly</w:t>
            </w:r>
          </w:p>
        </w:tc>
        <w:tc>
          <w:tcPr>
            <w:tcW w:w="0" w:type="auto"/>
            <w:vAlign w:val="center"/>
            <w:hideMark/>
          </w:tcPr>
          <w:p w14:paraId="64472FB7"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IT Lead</w:t>
            </w:r>
          </w:p>
        </w:tc>
        <w:tc>
          <w:tcPr>
            <w:tcW w:w="1898" w:type="dxa"/>
            <w:vAlign w:val="center"/>
            <w:hideMark/>
          </w:tcPr>
          <w:p w14:paraId="19FE5C05"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Manage cybersecurity risks and ensure system interoperability</w:t>
            </w:r>
          </w:p>
        </w:tc>
      </w:tr>
      <w:tr w:rsidR="00DC6FC3" w:rsidRPr="00441ABC" w14:paraId="4E4281BC" w14:textId="77777777" w:rsidTr="00857BD3">
        <w:trPr>
          <w:tblCellSpacing w:w="15" w:type="dxa"/>
        </w:trPr>
        <w:tc>
          <w:tcPr>
            <w:tcW w:w="1855" w:type="dxa"/>
            <w:shd w:val="clear" w:color="auto" w:fill="60CAF3" w:themeFill="accent4" w:themeFillTint="99"/>
            <w:vAlign w:val="center"/>
            <w:hideMark/>
          </w:tcPr>
          <w:p w14:paraId="468F1C52"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lastRenderedPageBreak/>
              <w:t>Regulatory Affairs (MHRA Coordination)</w:t>
            </w:r>
          </w:p>
        </w:tc>
        <w:tc>
          <w:tcPr>
            <w:tcW w:w="0" w:type="auto"/>
            <w:vAlign w:val="center"/>
            <w:hideMark/>
          </w:tcPr>
          <w:p w14:paraId="7B3E517F"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Compliance documentation, trial data, risk assessments</w:t>
            </w:r>
          </w:p>
        </w:tc>
        <w:tc>
          <w:tcPr>
            <w:tcW w:w="0" w:type="auto"/>
            <w:vAlign w:val="center"/>
            <w:hideMark/>
          </w:tcPr>
          <w:p w14:paraId="20C981EE"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Formal reports, regulatory meetings</w:t>
            </w:r>
          </w:p>
        </w:tc>
        <w:tc>
          <w:tcPr>
            <w:tcW w:w="0" w:type="auto"/>
            <w:vAlign w:val="center"/>
            <w:hideMark/>
          </w:tcPr>
          <w:p w14:paraId="6D8A469F"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Bi-monthly</w:t>
            </w:r>
          </w:p>
        </w:tc>
        <w:tc>
          <w:tcPr>
            <w:tcW w:w="0" w:type="auto"/>
            <w:vAlign w:val="center"/>
            <w:hideMark/>
          </w:tcPr>
          <w:p w14:paraId="6CC446AF"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Regulatory Affairs Manager</w:t>
            </w:r>
          </w:p>
        </w:tc>
        <w:tc>
          <w:tcPr>
            <w:tcW w:w="1898" w:type="dxa"/>
            <w:vAlign w:val="center"/>
            <w:hideMark/>
          </w:tcPr>
          <w:p w14:paraId="40D88A68"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Ensure regulatory requirements are met</w:t>
            </w:r>
          </w:p>
        </w:tc>
      </w:tr>
      <w:tr w:rsidR="00DC6FC3" w:rsidRPr="00441ABC" w14:paraId="6DDAFCC0" w14:textId="77777777" w:rsidTr="00857BD3">
        <w:trPr>
          <w:tblCellSpacing w:w="15" w:type="dxa"/>
        </w:trPr>
        <w:tc>
          <w:tcPr>
            <w:tcW w:w="1855" w:type="dxa"/>
            <w:shd w:val="clear" w:color="auto" w:fill="60CAF3" w:themeFill="accent4" w:themeFillTint="99"/>
            <w:vAlign w:val="center"/>
            <w:hideMark/>
          </w:tcPr>
          <w:p w14:paraId="6877EDD9"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Clinicians (NHS Partners)</w:t>
            </w:r>
          </w:p>
        </w:tc>
        <w:tc>
          <w:tcPr>
            <w:tcW w:w="0" w:type="auto"/>
            <w:vAlign w:val="center"/>
            <w:hideMark/>
          </w:tcPr>
          <w:p w14:paraId="5BEC94E4"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Device performance, usability issues, clinical test protocols</w:t>
            </w:r>
          </w:p>
        </w:tc>
        <w:tc>
          <w:tcPr>
            <w:tcW w:w="0" w:type="auto"/>
            <w:vAlign w:val="center"/>
            <w:hideMark/>
          </w:tcPr>
          <w:p w14:paraId="1E18E0B9"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Workshops, feedback sessions, surveys</w:t>
            </w:r>
          </w:p>
        </w:tc>
        <w:tc>
          <w:tcPr>
            <w:tcW w:w="0" w:type="auto"/>
            <w:vAlign w:val="center"/>
            <w:hideMark/>
          </w:tcPr>
          <w:p w14:paraId="3B71D048"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Bi-weekly</w:t>
            </w:r>
          </w:p>
        </w:tc>
        <w:tc>
          <w:tcPr>
            <w:tcW w:w="0" w:type="auto"/>
            <w:vAlign w:val="center"/>
            <w:hideMark/>
          </w:tcPr>
          <w:p w14:paraId="1850210B"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PM &amp; Clinical Lead</w:t>
            </w:r>
          </w:p>
        </w:tc>
        <w:tc>
          <w:tcPr>
            <w:tcW w:w="1898" w:type="dxa"/>
            <w:vAlign w:val="center"/>
            <w:hideMark/>
          </w:tcPr>
          <w:p w14:paraId="55105007"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Gather clinical insights and validate device safety</w:t>
            </w:r>
          </w:p>
        </w:tc>
      </w:tr>
      <w:tr w:rsidR="00DC6FC3" w:rsidRPr="00441ABC" w14:paraId="06894ED2" w14:textId="77777777" w:rsidTr="00857BD3">
        <w:trPr>
          <w:tblCellSpacing w:w="15" w:type="dxa"/>
        </w:trPr>
        <w:tc>
          <w:tcPr>
            <w:tcW w:w="1855" w:type="dxa"/>
            <w:shd w:val="clear" w:color="auto" w:fill="60CAF3" w:themeFill="accent4" w:themeFillTint="99"/>
            <w:vAlign w:val="center"/>
            <w:hideMark/>
          </w:tcPr>
          <w:p w14:paraId="051F3449"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Patients / Test Users</w:t>
            </w:r>
          </w:p>
        </w:tc>
        <w:tc>
          <w:tcPr>
            <w:tcW w:w="0" w:type="auto"/>
            <w:vAlign w:val="center"/>
            <w:hideMark/>
          </w:tcPr>
          <w:p w14:paraId="1925829A"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Instructions, consent forms, troubleshooting guidance</w:t>
            </w:r>
          </w:p>
        </w:tc>
        <w:tc>
          <w:tcPr>
            <w:tcW w:w="0" w:type="auto"/>
            <w:vAlign w:val="center"/>
            <w:hideMark/>
          </w:tcPr>
          <w:p w14:paraId="4F101C9F"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Videos, printed leaflets, feedback surveys</w:t>
            </w:r>
          </w:p>
        </w:tc>
        <w:tc>
          <w:tcPr>
            <w:tcW w:w="0" w:type="auto"/>
            <w:vAlign w:val="center"/>
            <w:hideMark/>
          </w:tcPr>
          <w:p w14:paraId="3826CEF6"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At each trial stage</w:t>
            </w:r>
          </w:p>
        </w:tc>
        <w:tc>
          <w:tcPr>
            <w:tcW w:w="0" w:type="auto"/>
            <w:vAlign w:val="center"/>
            <w:hideMark/>
          </w:tcPr>
          <w:p w14:paraId="43DE8CFB"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Clinical Trials Coordinator</w:t>
            </w:r>
          </w:p>
        </w:tc>
        <w:tc>
          <w:tcPr>
            <w:tcW w:w="1898" w:type="dxa"/>
            <w:vAlign w:val="center"/>
            <w:hideMark/>
          </w:tcPr>
          <w:p w14:paraId="4BD35C50"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Collect usability data and improve user experience</w:t>
            </w:r>
          </w:p>
        </w:tc>
      </w:tr>
      <w:tr w:rsidR="00DC6FC3" w:rsidRPr="00441ABC" w14:paraId="50145A21" w14:textId="77777777" w:rsidTr="00857BD3">
        <w:trPr>
          <w:tblCellSpacing w:w="15" w:type="dxa"/>
        </w:trPr>
        <w:tc>
          <w:tcPr>
            <w:tcW w:w="1855" w:type="dxa"/>
            <w:shd w:val="clear" w:color="auto" w:fill="60CAF3" w:themeFill="accent4" w:themeFillTint="99"/>
            <w:vAlign w:val="center"/>
            <w:hideMark/>
          </w:tcPr>
          <w:p w14:paraId="5CA17507"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Marketing Team</w:t>
            </w:r>
          </w:p>
        </w:tc>
        <w:tc>
          <w:tcPr>
            <w:tcW w:w="0" w:type="auto"/>
            <w:vAlign w:val="center"/>
            <w:hideMark/>
          </w:tcPr>
          <w:p w14:paraId="391363DC"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Product features, timelines, approval status</w:t>
            </w:r>
          </w:p>
        </w:tc>
        <w:tc>
          <w:tcPr>
            <w:tcW w:w="0" w:type="auto"/>
            <w:vAlign w:val="center"/>
            <w:hideMark/>
          </w:tcPr>
          <w:p w14:paraId="37EAD25A"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Briefings, presentations, shared documents</w:t>
            </w:r>
          </w:p>
        </w:tc>
        <w:tc>
          <w:tcPr>
            <w:tcW w:w="0" w:type="auto"/>
            <w:vAlign w:val="center"/>
            <w:hideMark/>
          </w:tcPr>
          <w:p w14:paraId="4694A1F5"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Monthly</w:t>
            </w:r>
          </w:p>
        </w:tc>
        <w:tc>
          <w:tcPr>
            <w:tcW w:w="0" w:type="auto"/>
            <w:vAlign w:val="center"/>
            <w:hideMark/>
          </w:tcPr>
          <w:p w14:paraId="4F1616FC"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PM &amp; R&amp;D Lead</w:t>
            </w:r>
          </w:p>
        </w:tc>
        <w:tc>
          <w:tcPr>
            <w:tcW w:w="1898" w:type="dxa"/>
            <w:vAlign w:val="center"/>
            <w:hideMark/>
          </w:tcPr>
          <w:p w14:paraId="1D7C995E"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Align marketing materials with accurate device information</w:t>
            </w:r>
          </w:p>
        </w:tc>
      </w:tr>
      <w:tr w:rsidR="00DC6FC3" w:rsidRPr="00441ABC" w14:paraId="0D22C939" w14:textId="77777777" w:rsidTr="00857BD3">
        <w:trPr>
          <w:tblCellSpacing w:w="15" w:type="dxa"/>
        </w:trPr>
        <w:tc>
          <w:tcPr>
            <w:tcW w:w="1855" w:type="dxa"/>
            <w:shd w:val="clear" w:color="auto" w:fill="60CAF3" w:themeFill="accent4" w:themeFillTint="99"/>
            <w:vAlign w:val="center"/>
            <w:hideMark/>
          </w:tcPr>
          <w:p w14:paraId="37D2798F"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Sales Team</w:t>
            </w:r>
          </w:p>
        </w:tc>
        <w:tc>
          <w:tcPr>
            <w:tcW w:w="0" w:type="auto"/>
            <w:vAlign w:val="center"/>
            <w:hideMark/>
          </w:tcPr>
          <w:p w14:paraId="208E2710"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Product specifications, target market data, launch timeline</w:t>
            </w:r>
          </w:p>
        </w:tc>
        <w:tc>
          <w:tcPr>
            <w:tcW w:w="0" w:type="auto"/>
            <w:vAlign w:val="center"/>
            <w:hideMark/>
          </w:tcPr>
          <w:p w14:paraId="087D4890"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Workshops, sales sheets, meetings</w:t>
            </w:r>
          </w:p>
        </w:tc>
        <w:tc>
          <w:tcPr>
            <w:tcW w:w="0" w:type="auto"/>
            <w:vAlign w:val="center"/>
            <w:hideMark/>
          </w:tcPr>
          <w:p w14:paraId="4955752F"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Monthly</w:t>
            </w:r>
          </w:p>
        </w:tc>
        <w:tc>
          <w:tcPr>
            <w:tcW w:w="0" w:type="auto"/>
            <w:vAlign w:val="center"/>
            <w:hideMark/>
          </w:tcPr>
          <w:p w14:paraId="6E7D60BE"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Marketing Manager</w:t>
            </w:r>
          </w:p>
        </w:tc>
        <w:tc>
          <w:tcPr>
            <w:tcW w:w="1898" w:type="dxa"/>
            <w:vAlign w:val="center"/>
            <w:hideMark/>
          </w:tcPr>
          <w:p w14:paraId="5AF53C9A"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Prepare sales strategy and forecasting</w:t>
            </w:r>
          </w:p>
        </w:tc>
      </w:tr>
      <w:tr w:rsidR="00DC6FC3" w:rsidRPr="00441ABC" w14:paraId="0F8201F3" w14:textId="77777777" w:rsidTr="00857BD3">
        <w:trPr>
          <w:tblCellSpacing w:w="15" w:type="dxa"/>
        </w:trPr>
        <w:tc>
          <w:tcPr>
            <w:tcW w:w="1855" w:type="dxa"/>
            <w:shd w:val="clear" w:color="auto" w:fill="60CAF3" w:themeFill="accent4" w:themeFillTint="99"/>
            <w:vAlign w:val="center"/>
            <w:hideMark/>
          </w:tcPr>
          <w:p w14:paraId="0A8E4B0E"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Supply Chain &amp; Manufacturing</w:t>
            </w:r>
          </w:p>
        </w:tc>
        <w:tc>
          <w:tcPr>
            <w:tcW w:w="0" w:type="auto"/>
            <w:vAlign w:val="center"/>
            <w:hideMark/>
          </w:tcPr>
          <w:p w14:paraId="0FE2062C"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Component requirements, production schedules, quality updates</w:t>
            </w:r>
          </w:p>
        </w:tc>
        <w:tc>
          <w:tcPr>
            <w:tcW w:w="0" w:type="auto"/>
            <w:vAlign w:val="center"/>
            <w:hideMark/>
          </w:tcPr>
          <w:p w14:paraId="6D136E4B"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Planning meetings, dashboards</w:t>
            </w:r>
          </w:p>
        </w:tc>
        <w:tc>
          <w:tcPr>
            <w:tcW w:w="0" w:type="auto"/>
            <w:vAlign w:val="center"/>
            <w:hideMark/>
          </w:tcPr>
          <w:p w14:paraId="1D7B28D0"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Weekly</w:t>
            </w:r>
          </w:p>
        </w:tc>
        <w:tc>
          <w:tcPr>
            <w:tcW w:w="0" w:type="auto"/>
            <w:vAlign w:val="center"/>
            <w:hideMark/>
          </w:tcPr>
          <w:p w14:paraId="18D966E4"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Supply Chain Manager</w:t>
            </w:r>
          </w:p>
        </w:tc>
        <w:tc>
          <w:tcPr>
            <w:tcW w:w="1898" w:type="dxa"/>
            <w:vAlign w:val="center"/>
            <w:hideMark/>
          </w:tcPr>
          <w:p w14:paraId="674CFC90"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Ensure timely production and quality control</w:t>
            </w:r>
          </w:p>
        </w:tc>
      </w:tr>
      <w:tr w:rsidR="00DC6FC3" w:rsidRPr="00441ABC" w14:paraId="0CA9FB9C" w14:textId="77777777" w:rsidTr="00857BD3">
        <w:trPr>
          <w:tblCellSpacing w:w="15" w:type="dxa"/>
        </w:trPr>
        <w:tc>
          <w:tcPr>
            <w:tcW w:w="1855" w:type="dxa"/>
            <w:shd w:val="clear" w:color="auto" w:fill="60CAF3" w:themeFill="accent4" w:themeFillTint="99"/>
            <w:vAlign w:val="center"/>
            <w:hideMark/>
          </w:tcPr>
          <w:p w14:paraId="09916E65"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lastRenderedPageBreak/>
              <w:t>Senior Leadership</w:t>
            </w:r>
          </w:p>
        </w:tc>
        <w:tc>
          <w:tcPr>
            <w:tcW w:w="0" w:type="auto"/>
            <w:vAlign w:val="center"/>
            <w:hideMark/>
          </w:tcPr>
          <w:p w14:paraId="2B44C520"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Project progress, risks, budget status</w:t>
            </w:r>
          </w:p>
        </w:tc>
        <w:tc>
          <w:tcPr>
            <w:tcW w:w="0" w:type="auto"/>
            <w:vAlign w:val="center"/>
            <w:hideMark/>
          </w:tcPr>
          <w:p w14:paraId="084B2B74"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Executive reports, presentations</w:t>
            </w:r>
          </w:p>
        </w:tc>
        <w:tc>
          <w:tcPr>
            <w:tcW w:w="0" w:type="auto"/>
            <w:vAlign w:val="center"/>
            <w:hideMark/>
          </w:tcPr>
          <w:p w14:paraId="46CEB7EA"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Monthly</w:t>
            </w:r>
          </w:p>
        </w:tc>
        <w:tc>
          <w:tcPr>
            <w:tcW w:w="0" w:type="auto"/>
            <w:vAlign w:val="center"/>
            <w:hideMark/>
          </w:tcPr>
          <w:p w14:paraId="03725D62"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Project Manager</w:t>
            </w:r>
          </w:p>
        </w:tc>
        <w:tc>
          <w:tcPr>
            <w:tcW w:w="1898" w:type="dxa"/>
            <w:vAlign w:val="center"/>
            <w:hideMark/>
          </w:tcPr>
          <w:p w14:paraId="5575361E"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Support decision-making and secure resources</w:t>
            </w:r>
          </w:p>
        </w:tc>
      </w:tr>
      <w:tr w:rsidR="00DC6FC3" w:rsidRPr="00441ABC" w14:paraId="7352084C" w14:textId="77777777" w:rsidTr="00857BD3">
        <w:trPr>
          <w:tblCellSpacing w:w="15" w:type="dxa"/>
        </w:trPr>
        <w:tc>
          <w:tcPr>
            <w:tcW w:w="1855" w:type="dxa"/>
            <w:shd w:val="clear" w:color="auto" w:fill="60CAF3" w:themeFill="accent4" w:themeFillTint="99"/>
            <w:vAlign w:val="center"/>
            <w:hideMark/>
          </w:tcPr>
          <w:p w14:paraId="702659EC"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External Partners (NHS Digital, ICO)</w:t>
            </w:r>
          </w:p>
        </w:tc>
        <w:tc>
          <w:tcPr>
            <w:tcW w:w="0" w:type="auto"/>
            <w:vAlign w:val="center"/>
            <w:hideMark/>
          </w:tcPr>
          <w:p w14:paraId="0A54B32A"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Data protection compliance, integration standards</w:t>
            </w:r>
          </w:p>
        </w:tc>
        <w:tc>
          <w:tcPr>
            <w:tcW w:w="0" w:type="auto"/>
            <w:vAlign w:val="center"/>
            <w:hideMark/>
          </w:tcPr>
          <w:p w14:paraId="6E6A129E"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Formal meetings, documents</w:t>
            </w:r>
          </w:p>
        </w:tc>
        <w:tc>
          <w:tcPr>
            <w:tcW w:w="0" w:type="auto"/>
            <w:vAlign w:val="center"/>
            <w:hideMark/>
          </w:tcPr>
          <w:p w14:paraId="765938B9"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As required</w:t>
            </w:r>
          </w:p>
        </w:tc>
        <w:tc>
          <w:tcPr>
            <w:tcW w:w="0" w:type="auto"/>
            <w:vAlign w:val="center"/>
            <w:hideMark/>
          </w:tcPr>
          <w:p w14:paraId="57E1FED3"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PM &amp; IT Lead</w:t>
            </w:r>
          </w:p>
        </w:tc>
        <w:tc>
          <w:tcPr>
            <w:tcW w:w="1898" w:type="dxa"/>
            <w:vAlign w:val="center"/>
            <w:hideMark/>
          </w:tcPr>
          <w:p w14:paraId="13F9DAF8" w14:textId="77777777" w:rsidR="00441ABC" w:rsidRPr="00441ABC" w:rsidRDefault="00441ABC" w:rsidP="00441ABC">
            <w:pPr>
              <w:spacing w:line="360" w:lineRule="auto"/>
              <w:jc w:val="center"/>
              <w:rPr>
                <w:rFonts w:ascii="Arial" w:hAnsi="Arial" w:cs="Arial"/>
                <w:b/>
                <w:bCs/>
              </w:rPr>
            </w:pPr>
            <w:r w:rsidRPr="00441ABC">
              <w:rPr>
                <w:rFonts w:ascii="Arial" w:hAnsi="Arial" w:cs="Arial"/>
                <w:b/>
                <w:bCs/>
              </w:rPr>
              <w:t>Ensure legal compliance and system compatibility</w:t>
            </w:r>
          </w:p>
        </w:tc>
      </w:tr>
    </w:tbl>
    <w:p w14:paraId="4EA56151" w14:textId="60C29749" w:rsidR="00BD441C" w:rsidRDefault="0017014B" w:rsidP="0017014B">
      <w:pPr>
        <w:spacing w:line="360" w:lineRule="auto"/>
        <w:jc w:val="center"/>
        <w:rPr>
          <w:rFonts w:ascii="Arial" w:hAnsi="Arial" w:cs="Arial"/>
          <w:b/>
          <w:bCs/>
        </w:rPr>
      </w:pPr>
      <w:r w:rsidRPr="0017014B">
        <w:rPr>
          <w:rFonts w:ascii="Arial" w:hAnsi="Arial" w:cs="Arial"/>
          <w:b/>
          <w:bCs/>
        </w:rPr>
        <w:t>TABLE 3</w:t>
      </w:r>
    </w:p>
    <w:p w14:paraId="5EDD70DF" w14:textId="24EBB4BF" w:rsidR="000E2B7F" w:rsidRDefault="000E2B7F" w:rsidP="000E2B7F">
      <w:pPr>
        <w:spacing w:line="360" w:lineRule="auto"/>
        <w:rPr>
          <w:rFonts w:ascii="Arial" w:hAnsi="Arial" w:cs="Arial"/>
          <w:b/>
          <w:bCs/>
        </w:rPr>
      </w:pPr>
      <w:r w:rsidRPr="000E2B7F">
        <w:rPr>
          <w:rFonts w:ascii="Arial" w:hAnsi="Arial" w:cs="Arial"/>
          <w:b/>
          <w:bCs/>
          <w:highlight w:val="yellow"/>
        </w:rPr>
        <w:t>RACI Matrix</w:t>
      </w:r>
    </w:p>
    <w:tbl>
      <w:tblPr>
        <w:tblStyle w:val="TableGrid"/>
        <w:tblW w:w="10349" w:type="dxa"/>
        <w:tblInd w:w="-431" w:type="dxa"/>
        <w:tblLook w:val="04A0" w:firstRow="1" w:lastRow="0" w:firstColumn="1" w:lastColumn="0" w:noHBand="0" w:noVBand="1"/>
      </w:tblPr>
      <w:tblGrid>
        <w:gridCol w:w="1986"/>
        <w:gridCol w:w="1984"/>
        <w:gridCol w:w="1985"/>
        <w:gridCol w:w="2693"/>
        <w:gridCol w:w="1701"/>
      </w:tblGrid>
      <w:tr w:rsidR="00D4430D" w14:paraId="30BF1897" w14:textId="77777777" w:rsidTr="00D4430D">
        <w:tc>
          <w:tcPr>
            <w:tcW w:w="1986" w:type="dxa"/>
            <w:shd w:val="clear" w:color="auto" w:fill="3A3A3A" w:themeFill="background2" w:themeFillShade="40"/>
          </w:tcPr>
          <w:p w14:paraId="36E545E4" w14:textId="6C42D9DE" w:rsidR="000D4C72" w:rsidRDefault="00346A86" w:rsidP="00152A99">
            <w:pPr>
              <w:spacing w:line="360" w:lineRule="auto"/>
              <w:rPr>
                <w:rFonts w:ascii="Arial" w:hAnsi="Arial" w:cs="Arial"/>
                <w:b/>
                <w:bCs/>
              </w:rPr>
            </w:pPr>
            <w:r w:rsidRPr="00346A86">
              <w:rPr>
                <w:rFonts w:ascii="Arial" w:hAnsi="Arial" w:cs="Arial"/>
                <w:b/>
                <w:bCs/>
              </w:rPr>
              <w:t>Task</w:t>
            </w:r>
          </w:p>
        </w:tc>
        <w:tc>
          <w:tcPr>
            <w:tcW w:w="1984" w:type="dxa"/>
            <w:shd w:val="clear" w:color="auto" w:fill="3A3A3A" w:themeFill="background2" w:themeFillShade="40"/>
          </w:tcPr>
          <w:p w14:paraId="14B70410" w14:textId="740DE3C0" w:rsidR="000D4C72" w:rsidRDefault="00346A86" w:rsidP="00152A99">
            <w:pPr>
              <w:spacing w:line="360" w:lineRule="auto"/>
              <w:rPr>
                <w:rFonts w:ascii="Arial" w:hAnsi="Arial" w:cs="Arial"/>
                <w:b/>
                <w:bCs/>
              </w:rPr>
            </w:pPr>
            <w:r w:rsidRPr="00346A86">
              <w:rPr>
                <w:rFonts w:ascii="Arial" w:hAnsi="Arial" w:cs="Arial"/>
                <w:b/>
                <w:bCs/>
              </w:rPr>
              <w:t>Responsible (R)</w:t>
            </w:r>
          </w:p>
        </w:tc>
        <w:tc>
          <w:tcPr>
            <w:tcW w:w="1985" w:type="dxa"/>
            <w:shd w:val="clear" w:color="auto" w:fill="3A3A3A" w:themeFill="background2" w:themeFillShade="40"/>
          </w:tcPr>
          <w:p w14:paraId="4C23912F" w14:textId="6AF7E777" w:rsidR="000D4C72" w:rsidRDefault="00346A86" w:rsidP="00152A99">
            <w:pPr>
              <w:spacing w:line="360" w:lineRule="auto"/>
              <w:rPr>
                <w:rFonts w:ascii="Arial" w:hAnsi="Arial" w:cs="Arial"/>
                <w:b/>
                <w:bCs/>
              </w:rPr>
            </w:pPr>
            <w:r w:rsidRPr="00346A86">
              <w:rPr>
                <w:rFonts w:ascii="Arial" w:hAnsi="Arial" w:cs="Arial"/>
                <w:b/>
                <w:bCs/>
              </w:rPr>
              <w:t>Accountable (A)</w:t>
            </w:r>
          </w:p>
        </w:tc>
        <w:tc>
          <w:tcPr>
            <w:tcW w:w="2693" w:type="dxa"/>
            <w:shd w:val="clear" w:color="auto" w:fill="3A3A3A" w:themeFill="background2" w:themeFillShade="40"/>
          </w:tcPr>
          <w:p w14:paraId="0B859AD5" w14:textId="153FF7B6" w:rsidR="000D4C72" w:rsidRDefault="00887D68" w:rsidP="00152A99">
            <w:pPr>
              <w:spacing w:line="360" w:lineRule="auto"/>
              <w:rPr>
                <w:rFonts w:ascii="Arial" w:hAnsi="Arial" w:cs="Arial"/>
                <w:b/>
                <w:bCs/>
              </w:rPr>
            </w:pPr>
            <w:r w:rsidRPr="00887D68">
              <w:rPr>
                <w:rFonts w:ascii="Arial" w:hAnsi="Arial" w:cs="Arial"/>
                <w:b/>
                <w:bCs/>
              </w:rPr>
              <w:t>Consulted (C)</w:t>
            </w:r>
          </w:p>
        </w:tc>
        <w:tc>
          <w:tcPr>
            <w:tcW w:w="1701" w:type="dxa"/>
            <w:shd w:val="clear" w:color="auto" w:fill="3A3A3A" w:themeFill="background2" w:themeFillShade="40"/>
          </w:tcPr>
          <w:p w14:paraId="1F91A04B" w14:textId="071308A5" w:rsidR="000D4C72" w:rsidRDefault="00887D68" w:rsidP="00152A99">
            <w:pPr>
              <w:spacing w:line="360" w:lineRule="auto"/>
              <w:rPr>
                <w:rFonts w:ascii="Arial" w:hAnsi="Arial" w:cs="Arial"/>
                <w:b/>
                <w:bCs/>
              </w:rPr>
            </w:pPr>
            <w:r w:rsidRPr="00887D68">
              <w:rPr>
                <w:rFonts w:ascii="Arial" w:hAnsi="Arial" w:cs="Arial"/>
                <w:b/>
                <w:bCs/>
              </w:rPr>
              <w:t>Informed (I)</w:t>
            </w:r>
          </w:p>
        </w:tc>
      </w:tr>
      <w:tr w:rsidR="00D4430D" w14:paraId="31F8346C" w14:textId="77777777" w:rsidTr="00D4430D">
        <w:tc>
          <w:tcPr>
            <w:tcW w:w="1986" w:type="dxa"/>
            <w:shd w:val="clear" w:color="auto" w:fill="3A3A3A" w:themeFill="background2" w:themeFillShade="40"/>
          </w:tcPr>
          <w:p w14:paraId="2E1F2D4D" w14:textId="125D2FAD" w:rsidR="000D4C72" w:rsidRDefault="003D2D8D" w:rsidP="00152A99">
            <w:pPr>
              <w:spacing w:line="360" w:lineRule="auto"/>
              <w:rPr>
                <w:rFonts w:ascii="Arial" w:hAnsi="Arial" w:cs="Arial"/>
                <w:b/>
                <w:bCs/>
              </w:rPr>
            </w:pPr>
            <w:r w:rsidRPr="003D2D8D">
              <w:rPr>
                <w:rFonts w:ascii="Arial" w:hAnsi="Arial" w:cs="Arial"/>
                <w:b/>
                <w:bCs/>
              </w:rPr>
              <w:t>Requirements Gathering</w:t>
            </w:r>
          </w:p>
        </w:tc>
        <w:tc>
          <w:tcPr>
            <w:tcW w:w="1984" w:type="dxa"/>
            <w:shd w:val="clear" w:color="auto" w:fill="ADADAD" w:themeFill="background2" w:themeFillShade="BF"/>
          </w:tcPr>
          <w:p w14:paraId="7D19B1A5" w14:textId="7B3FCE83" w:rsidR="000D4C72" w:rsidRPr="003D2D8D" w:rsidRDefault="003D2D8D" w:rsidP="00152A99">
            <w:pPr>
              <w:spacing w:line="360" w:lineRule="auto"/>
              <w:rPr>
                <w:rFonts w:ascii="Arial" w:hAnsi="Arial" w:cs="Arial"/>
              </w:rPr>
            </w:pPr>
            <w:r w:rsidRPr="003D2D8D">
              <w:rPr>
                <w:rFonts w:ascii="Arial" w:hAnsi="Arial" w:cs="Arial"/>
              </w:rPr>
              <w:t>PM</w:t>
            </w:r>
          </w:p>
        </w:tc>
        <w:tc>
          <w:tcPr>
            <w:tcW w:w="1985" w:type="dxa"/>
            <w:shd w:val="clear" w:color="auto" w:fill="ADADAD" w:themeFill="background2" w:themeFillShade="BF"/>
          </w:tcPr>
          <w:p w14:paraId="5DC0FC81" w14:textId="7D5AC701" w:rsidR="000D4C72" w:rsidRPr="004A5D95" w:rsidRDefault="003D2D8D" w:rsidP="00152A99">
            <w:pPr>
              <w:spacing w:line="360" w:lineRule="auto"/>
              <w:rPr>
                <w:rFonts w:ascii="Arial" w:hAnsi="Arial" w:cs="Arial"/>
              </w:rPr>
            </w:pPr>
            <w:r w:rsidRPr="004A5D95">
              <w:rPr>
                <w:rFonts w:ascii="Arial" w:hAnsi="Arial" w:cs="Arial"/>
              </w:rPr>
              <w:t>Leadership</w:t>
            </w:r>
          </w:p>
        </w:tc>
        <w:tc>
          <w:tcPr>
            <w:tcW w:w="2693" w:type="dxa"/>
            <w:shd w:val="clear" w:color="auto" w:fill="ADADAD" w:themeFill="background2" w:themeFillShade="BF"/>
          </w:tcPr>
          <w:p w14:paraId="4FA3BA8D" w14:textId="5EF4B3F2" w:rsidR="000D4C72" w:rsidRPr="004A5D95" w:rsidRDefault="00DC3BD5" w:rsidP="00152A99">
            <w:pPr>
              <w:spacing w:line="360" w:lineRule="auto"/>
              <w:rPr>
                <w:rFonts w:ascii="Arial" w:hAnsi="Arial" w:cs="Arial"/>
              </w:rPr>
            </w:pPr>
            <w:r w:rsidRPr="004A5D95">
              <w:rPr>
                <w:rFonts w:ascii="Arial" w:hAnsi="Arial" w:cs="Arial"/>
              </w:rPr>
              <w:t>R&amp;D, Marketing, NHS Clinicians</w:t>
            </w:r>
          </w:p>
        </w:tc>
        <w:tc>
          <w:tcPr>
            <w:tcW w:w="1701" w:type="dxa"/>
            <w:shd w:val="clear" w:color="auto" w:fill="ADADAD" w:themeFill="background2" w:themeFillShade="BF"/>
          </w:tcPr>
          <w:p w14:paraId="57389D52" w14:textId="613A32EC" w:rsidR="000D4C72" w:rsidRPr="004A5D95" w:rsidRDefault="00DC3BD5" w:rsidP="00152A99">
            <w:pPr>
              <w:spacing w:line="360" w:lineRule="auto"/>
              <w:rPr>
                <w:rFonts w:ascii="Arial" w:hAnsi="Arial" w:cs="Arial"/>
              </w:rPr>
            </w:pPr>
            <w:r w:rsidRPr="004A5D95">
              <w:rPr>
                <w:rFonts w:ascii="Arial" w:hAnsi="Arial" w:cs="Arial"/>
              </w:rPr>
              <w:t>All Teams</w:t>
            </w:r>
          </w:p>
        </w:tc>
      </w:tr>
      <w:tr w:rsidR="00D4430D" w14:paraId="2D65442F" w14:textId="77777777" w:rsidTr="00D4430D">
        <w:tc>
          <w:tcPr>
            <w:tcW w:w="1986" w:type="dxa"/>
            <w:shd w:val="clear" w:color="auto" w:fill="3A3A3A" w:themeFill="background2" w:themeFillShade="40"/>
          </w:tcPr>
          <w:p w14:paraId="19FFE0B6" w14:textId="201D2DFE" w:rsidR="000D4C72" w:rsidRDefault="004A5D95" w:rsidP="00152A99">
            <w:pPr>
              <w:spacing w:line="360" w:lineRule="auto"/>
              <w:rPr>
                <w:rFonts w:ascii="Arial" w:hAnsi="Arial" w:cs="Arial"/>
                <w:b/>
                <w:bCs/>
              </w:rPr>
            </w:pPr>
            <w:r w:rsidRPr="004A5D95">
              <w:rPr>
                <w:rFonts w:ascii="Arial" w:hAnsi="Arial" w:cs="Arial"/>
                <w:b/>
                <w:bCs/>
              </w:rPr>
              <w:t>Prototype Development</w:t>
            </w:r>
          </w:p>
        </w:tc>
        <w:tc>
          <w:tcPr>
            <w:tcW w:w="1984" w:type="dxa"/>
            <w:shd w:val="clear" w:color="auto" w:fill="ADADAD" w:themeFill="background2" w:themeFillShade="BF"/>
          </w:tcPr>
          <w:p w14:paraId="085C78EB" w14:textId="36158A90" w:rsidR="000D4C72" w:rsidRPr="00381AC0" w:rsidRDefault="004A5D95" w:rsidP="00152A99">
            <w:pPr>
              <w:spacing w:line="360" w:lineRule="auto"/>
              <w:rPr>
                <w:rFonts w:ascii="Arial" w:hAnsi="Arial" w:cs="Arial"/>
              </w:rPr>
            </w:pPr>
            <w:r w:rsidRPr="00381AC0">
              <w:rPr>
                <w:rFonts w:ascii="Arial" w:hAnsi="Arial" w:cs="Arial"/>
              </w:rPr>
              <w:t>R&amp;D</w:t>
            </w:r>
          </w:p>
        </w:tc>
        <w:tc>
          <w:tcPr>
            <w:tcW w:w="1985" w:type="dxa"/>
            <w:shd w:val="clear" w:color="auto" w:fill="ADADAD" w:themeFill="background2" w:themeFillShade="BF"/>
          </w:tcPr>
          <w:p w14:paraId="5E9777D5" w14:textId="0893E33D" w:rsidR="000D4C72" w:rsidRPr="00381AC0" w:rsidRDefault="00381AC0" w:rsidP="00152A99">
            <w:pPr>
              <w:spacing w:line="360" w:lineRule="auto"/>
              <w:rPr>
                <w:rFonts w:ascii="Arial" w:hAnsi="Arial" w:cs="Arial"/>
              </w:rPr>
            </w:pPr>
            <w:r w:rsidRPr="00381AC0">
              <w:rPr>
                <w:rFonts w:ascii="Arial" w:hAnsi="Arial" w:cs="Arial"/>
              </w:rPr>
              <w:t>R&amp;D Director</w:t>
            </w:r>
          </w:p>
        </w:tc>
        <w:tc>
          <w:tcPr>
            <w:tcW w:w="2693" w:type="dxa"/>
            <w:shd w:val="clear" w:color="auto" w:fill="ADADAD" w:themeFill="background2" w:themeFillShade="BF"/>
          </w:tcPr>
          <w:p w14:paraId="73DD0383" w14:textId="712E84D4" w:rsidR="000D4C72" w:rsidRPr="00381AC0" w:rsidRDefault="00381AC0" w:rsidP="00152A99">
            <w:pPr>
              <w:spacing w:line="360" w:lineRule="auto"/>
              <w:rPr>
                <w:rFonts w:ascii="Arial" w:hAnsi="Arial" w:cs="Arial"/>
              </w:rPr>
            </w:pPr>
            <w:r w:rsidRPr="00381AC0">
              <w:rPr>
                <w:rFonts w:ascii="Arial" w:hAnsi="Arial" w:cs="Arial"/>
              </w:rPr>
              <w:t>PM, IT, QA</w:t>
            </w:r>
          </w:p>
        </w:tc>
        <w:tc>
          <w:tcPr>
            <w:tcW w:w="1701" w:type="dxa"/>
            <w:shd w:val="clear" w:color="auto" w:fill="ADADAD" w:themeFill="background2" w:themeFillShade="BF"/>
          </w:tcPr>
          <w:p w14:paraId="00DCB054" w14:textId="4A9F4A08" w:rsidR="000D4C72" w:rsidRPr="00381AC0" w:rsidRDefault="00381AC0" w:rsidP="00152A99">
            <w:pPr>
              <w:spacing w:line="360" w:lineRule="auto"/>
              <w:rPr>
                <w:rFonts w:ascii="Arial" w:hAnsi="Arial" w:cs="Arial"/>
              </w:rPr>
            </w:pPr>
            <w:r w:rsidRPr="00381AC0">
              <w:rPr>
                <w:rFonts w:ascii="Arial" w:hAnsi="Arial" w:cs="Arial"/>
              </w:rPr>
              <w:t>Leadership</w:t>
            </w:r>
          </w:p>
        </w:tc>
      </w:tr>
      <w:tr w:rsidR="00D4430D" w14:paraId="3F42BA22" w14:textId="77777777" w:rsidTr="00D4430D">
        <w:tc>
          <w:tcPr>
            <w:tcW w:w="1986" w:type="dxa"/>
            <w:shd w:val="clear" w:color="auto" w:fill="3A3A3A" w:themeFill="background2" w:themeFillShade="40"/>
          </w:tcPr>
          <w:p w14:paraId="20F5855C" w14:textId="377F1520" w:rsidR="000D4C72" w:rsidRDefault="00CA5A44" w:rsidP="00152A99">
            <w:pPr>
              <w:spacing w:line="360" w:lineRule="auto"/>
              <w:rPr>
                <w:rFonts w:ascii="Arial" w:hAnsi="Arial" w:cs="Arial"/>
                <w:b/>
                <w:bCs/>
              </w:rPr>
            </w:pPr>
            <w:r w:rsidRPr="00CA5A44">
              <w:rPr>
                <w:rFonts w:ascii="Arial" w:hAnsi="Arial" w:cs="Arial"/>
                <w:b/>
                <w:bCs/>
              </w:rPr>
              <w:t>Cybersecurity Setup</w:t>
            </w:r>
          </w:p>
        </w:tc>
        <w:tc>
          <w:tcPr>
            <w:tcW w:w="1984" w:type="dxa"/>
            <w:shd w:val="clear" w:color="auto" w:fill="ADADAD" w:themeFill="background2" w:themeFillShade="BF"/>
          </w:tcPr>
          <w:p w14:paraId="0609E7F0" w14:textId="05F28FB6" w:rsidR="000D4C72" w:rsidRPr="0001774E" w:rsidRDefault="00DE4BA7" w:rsidP="00152A99">
            <w:pPr>
              <w:spacing w:line="360" w:lineRule="auto"/>
              <w:rPr>
                <w:rFonts w:ascii="Arial" w:hAnsi="Arial" w:cs="Arial"/>
              </w:rPr>
            </w:pPr>
            <w:r w:rsidRPr="0001774E">
              <w:rPr>
                <w:rFonts w:ascii="Arial" w:hAnsi="Arial" w:cs="Arial"/>
              </w:rPr>
              <w:t>IT &amp; Cybersecurity</w:t>
            </w:r>
          </w:p>
        </w:tc>
        <w:tc>
          <w:tcPr>
            <w:tcW w:w="1985" w:type="dxa"/>
            <w:shd w:val="clear" w:color="auto" w:fill="ADADAD" w:themeFill="background2" w:themeFillShade="BF"/>
          </w:tcPr>
          <w:p w14:paraId="4513A549" w14:textId="2359765F" w:rsidR="000D4C72" w:rsidRPr="0001774E" w:rsidRDefault="0001774E" w:rsidP="00152A99">
            <w:pPr>
              <w:spacing w:line="360" w:lineRule="auto"/>
              <w:rPr>
                <w:rFonts w:ascii="Arial" w:hAnsi="Arial" w:cs="Arial"/>
              </w:rPr>
            </w:pPr>
            <w:r w:rsidRPr="0001774E">
              <w:rPr>
                <w:rFonts w:ascii="Arial" w:hAnsi="Arial" w:cs="Arial"/>
              </w:rPr>
              <w:t>IT Director</w:t>
            </w:r>
          </w:p>
        </w:tc>
        <w:tc>
          <w:tcPr>
            <w:tcW w:w="2693" w:type="dxa"/>
            <w:shd w:val="clear" w:color="auto" w:fill="ADADAD" w:themeFill="background2" w:themeFillShade="BF"/>
          </w:tcPr>
          <w:p w14:paraId="1DB8C178" w14:textId="099613DF" w:rsidR="000D4C72" w:rsidRPr="0001774E" w:rsidRDefault="0001774E" w:rsidP="00152A99">
            <w:pPr>
              <w:spacing w:line="360" w:lineRule="auto"/>
              <w:rPr>
                <w:rFonts w:ascii="Arial" w:hAnsi="Arial" w:cs="Arial"/>
              </w:rPr>
            </w:pPr>
            <w:r w:rsidRPr="0001774E">
              <w:rPr>
                <w:rFonts w:ascii="Arial" w:hAnsi="Arial" w:cs="Arial"/>
              </w:rPr>
              <w:t>R&amp;D, ICO Experts</w:t>
            </w:r>
          </w:p>
        </w:tc>
        <w:tc>
          <w:tcPr>
            <w:tcW w:w="1701" w:type="dxa"/>
            <w:shd w:val="clear" w:color="auto" w:fill="ADADAD" w:themeFill="background2" w:themeFillShade="BF"/>
          </w:tcPr>
          <w:p w14:paraId="53E2CF97" w14:textId="557DA392" w:rsidR="000D4C72" w:rsidRPr="0001774E" w:rsidRDefault="0001774E" w:rsidP="00152A99">
            <w:pPr>
              <w:spacing w:line="360" w:lineRule="auto"/>
              <w:rPr>
                <w:rFonts w:ascii="Arial" w:hAnsi="Arial" w:cs="Arial"/>
              </w:rPr>
            </w:pPr>
            <w:r w:rsidRPr="0001774E">
              <w:rPr>
                <w:rFonts w:ascii="Arial" w:hAnsi="Arial" w:cs="Arial"/>
              </w:rPr>
              <w:t>PM</w:t>
            </w:r>
          </w:p>
        </w:tc>
      </w:tr>
      <w:tr w:rsidR="00D4430D" w14:paraId="6EB18878" w14:textId="77777777" w:rsidTr="00D4430D">
        <w:tc>
          <w:tcPr>
            <w:tcW w:w="1986" w:type="dxa"/>
            <w:shd w:val="clear" w:color="auto" w:fill="3A3A3A" w:themeFill="background2" w:themeFillShade="40"/>
          </w:tcPr>
          <w:p w14:paraId="7DEB81DD" w14:textId="422C2024" w:rsidR="000D4C72" w:rsidRDefault="00CA5A44" w:rsidP="00152A99">
            <w:pPr>
              <w:spacing w:line="360" w:lineRule="auto"/>
              <w:rPr>
                <w:rFonts w:ascii="Arial" w:hAnsi="Arial" w:cs="Arial"/>
                <w:b/>
                <w:bCs/>
              </w:rPr>
            </w:pPr>
            <w:r w:rsidRPr="00CA5A44">
              <w:rPr>
                <w:rFonts w:ascii="Arial" w:hAnsi="Arial" w:cs="Arial"/>
                <w:b/>
                <w:bCs/>
              </w:rPr>
              <w:t>Data Integration</w:t>
            </w:r>
          </w:p>
        </w:tc>
        <w:tc>
          <w:tcPr>
            <w:tcW w:w="1984" w:type="dxa"/>
            <w:shd w:val="clear" w:color="auto" w:fill="ADADAD" w:themeFill="background2" w:themeFillShade="BF"/>
          </w:tcPr>
          <w:p w14:paraId="4EE2017B" w14:textId="40D65DBE" w:rsidR="000D4C72" w:rsidRPr="00B2429D" w:rsidRDefault="00B2429D" w:rsidP="00152A99">
            <w:pPr>
              <w:spacing w:line="360" w:lineRule="auto"/>
              <w:rPr>
                <w:rFonts w:ascii="Arial" w:hAnsi="Arial" w:cs="Arial"/>
              </w:rPr>
            </w:pPr>
            <w:r w:rsidRPr="00B2429D">
              <w:rPr>
                <w:rFonts w:ascii="Arial" w:hAnsi="Arial" w:cs="Arial"/>
              </w:rPr>
              <w:t>IT</w:t>
            </w:r>
          </w:p>
        </w:tc>
        <w:tc>
          <w:tcPr>
            <w:tcW w:w="1985" w:type="dxa"/>
            <w:shd w:val="clear" w:color="auto" w:fill="ADADAD" w:themeFill="background2" w:themeFillShade="BF"/>
          </w:tcPr>
          <w:p w14:paraId="4F5FB1CF" w14:textId="2B90C539" w:rsidR="000D4C72" w:rsidRPr="00B2429D" w:rsidRDefault="00B2429D" w:rsidP="00152A99">
            <w:pPr>
              <w:spacing w:line="360" w:lineRule="auto"/>
              <w:rPr>
                <w:rFonts w:ascii="Arial" w:hAnsi="Arial" w:cs="Arial"/>
              </w:rPr>
            </w:pPr>
            <w:r w:rsidRPr="00B2429D">
              <w:rPr>
                <w:rFonts w:ascii="Arial" w:hAnsi="Arial" w:cs="Arial"/>
              </w:rPr>
              <w:t>PM</w:t>
            </w:r>
          </w:p>
        </w:tc>
        <w:tc>
          <w:tcPr>
            <w:tcW w:w="2693" w:type="dxa"/>
            <w:shd w:val="clear" w:color="auto" w:fill="ADADAD" w:themeFill="background2" w:themeFillShade="BF"/>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2429D" w:rsidRPr="00B2429D" w14:paraId="1AF6E489" w14:textId="77777777">
              <w:trPr>
                <w:tblCellSpacing w:w="15" w:type="dxa"/>
              </w:trPr>
              <w:tc>
                <w:tcPr>
                  <w:tcW w:w="0" w:type="auto"/>
                  <w:vAlign w:val="center"/>
                  <w:hideMark/>
                </w:tcPr>
                <w:p w14:paraId="1F806030" w14:textId="77777777" w:rsidR="00B2429D" w:rsidRPr="00B2429D" w:rsidRDefault="00B2429D" w:rsidP="00B2429D">
                  <w:pPr>
                    <w:spacing w:after="0" w:line="360" w:lineRule="auto"/>
                    <w:rPr>
                      <w:rFonts w:ascii="Arial" w:hAnsi="Arial" w:cs="Arial"/>
                    </w:rPr>
                  </w:pPr>
                </w:p>
              </w:tc>
            </w:tr>
          </w:tbl>
          <w:p w14:paraId="0CAA201C" w14:textId="77777777" w:rsidR="00B2429D" w:rsidRPr="00B2429D" w:rsidRDefault="00B2429D" w:rsidP="00B2429D">
            <w:pPr>
              <w:spacing w:line="360" w:lineRule="auto"/>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14"/>
            </w:tblGrid>
            <w:tr w:rsidR="00B2429D" w:rsidRPr="00B2429D" w14:paraId="5B8019BD" w14:textId="77777777">
              <w:trPr>
                <w:tblCellSpacing w:w="15" w:type="dxa"/>
              </w:trPr>
              <w:tc>
                <w:tcPr>
                  <w:tcW w:w="0" w:type="auto"/>
                  <w:vAlign w:val="center"/>
                  <w:hideMark/>
                </w:tcPr>
                <w:p w14:paraId="759E7875" w14:textId="77777777" w:rsidR="00B2429D" w:rsidRPr="00B2429D" w:rsidRDefault="00B2429D" w:rsidP="00B2429D">
                  <w:pPr>
                    <w:spacing w:after="0" w:line="360" w:lineRule="auto"/>
                    <w:rPr>
                      <w:rFonts w:ascii="Arial" w:hAnsi="Arial" w:cs="Arial"/>
                    </w:rPr>
                  </w:pPr>
                  <w:r w:rsidRPr="00B2429D">
                    <w:rPr>
                      <w:rFonts w:ascii="Arial" w:hAnsi="Arial" w:cs="Arial"/>
                    </w:rPr>
                    <w:t>NHS Digital, R&amp;D</w:t>
                  </w:r>
                </w:p>
              </w:tc>
            </w:tr>
          </w:tbl>
          <w:p w14:paraId="25354225" w14:textId="77777777" w:rsidR="000D4C72" w:rsidRPr="00B2429D" w:rsidRDefault="000D4C72" w:rsidP="00152A99">
            <w:pPr>
              <w:spacing w:line="360" w:lineRule="auto"/>
              <w:rPr>
                <w:rFonts w:ascii="Arial" w:hAnsi="Arial" w:cs="Arial"/>
              </w:rPr>
            </w:pPr>
          </w:p>
        </w:tc>
        <w:tc>
          <w:tcPr>
            <w:tcW w:w="1701" w:type="dxa"/>
            <w:shd w:val="clear" w:color="auto" w:fill="ADADAD" w:themeFill="background2" w:themeFillShade="BF"/>
          </w:tcPr>
          <w:p w14:paraId="07374728" w14:textId="4857E75B" w:rsidR="000D4C72" w:rsidRPr="00B2429D" w:rsidRDefault="00B2429D" w:rsidP="00152A99">
            <w:pPr>
              <w:spacing w:line="360" w:lineRule="auto"/>
              <w:rPr>
                <w:rFonts w:ascii="Arial" w:hAnsi="Arial" w:cs="Arial"/>
              </w:rPr>
            </w:pPr>
            <w:r w:rsidRPr="00B2429D">
              <w:rPr>
                <w:rFonts w:ascii="Arial" w:hAnsi="Arial" w:cs="Arial"/>
              </w:rPr>
              <w:t>Leadership</w:t>
            </w:r>
          </w:p>
        </w:tc>
      </w:tr>
      <w:tr w:rsidR="00D4430D" w14:paraId="2D586039" w14:textId="77777777" w:rsidTr="00D4430D">
        <w:tc>
          <w:tcPr>
            <w:tcW w:w="1986" w:type="dxa"/>
            <w:shd w:val="clear" w:color="auto" w:fill="3A3A3A" w:themeFill="background2" w:themeFillShade="40"/>
          </w:tcPr>
          <w:p w14:paraId="2BCD539D" w14:textId="350A9164" w:rsidR="000D4C72" w:rsidRDefault="00CA5A44" w:rsidP="00152A99">
            <w:pPr>
              <w:spacing w:line="360" w:lineRule="auto"/>
              <w:rPr>
                <w:rFonts w:ascii="Arial" w:hAnsi="Arial" w:cs="Arial"/>
                <w:b/>
                <w:bCs/>
              </w:rPr>
            </w:pPr>
            <w:r w:rsidRPr="00CA5A44">
              <w:rPr>
                <w:rFonts w:ascii="Arial" w:hAnsi="Arial" w:cs="Arial"/>
                <w:b/>
                <w:bCs/>
              </w:rPr>
              <w:t>MHRA Approval</w:t>
            </w:r>
          </w:p>
        </w:tc>
        <w:tc>
          <w:tcPr>
            <w:tcW w:w="1984" w:type="dxa"/>
            <w:shd w:val="clear" w:color="auto" w:fill="ADADAD" w:themeFill="background2" w:themeFillShade="BF"/>
          </w:tcPr>
          <w:p w14:paraId="7F0D76C9" w14:textId="347EA9C2" w:rsidR="000D4C72" w:rsidRPr="00506E32" w:rsidRDefault="00506E32" w:rsidP="00152A99">
            <w:pPr>
              <w:spacing w:line="360" w:lineRule="auto"/>
              <w:rPr>
                <w:rFonts w:ascii="Arial" w:hAnsi="Arial" w:cs="Arial"/>
              </w:rPr>
            </w:pPr>
            <w:r w:rsidRPr="00506E32">
              <w:rPr>
                <w:rFonts w:ascii="Arial" w:hAnsi="Arial" w:cs="Arial"/>
              </w:rPr>
              <w:t>Regulatory Affairs</w:t>
            </w:r>
          </w:p>
        </w:tc>
        <w:tc>
          <w:tcPr>
            <w:tcW w:w="1985" w:type="dxa"/>
            <w:shd w:val="clear" w:color="auto" w:fill="ADADAD" w:themeFill="background2" w:themeFillShade="BF"/>
          </w:tcPr>
          <w:p w14:paraId="42930B89" w14:textId="2CA3DE13" w:rsidR="000D4C72" w:rsidRPr="00506E32" w:rsidRDefault="00506E32" w:rsidP="00152A99">
            <w:pPr>
              <w:spacing w:line="360" w:lineRule="auto"/>
              <w:rPr>
                <w:rFonts w:ascii="Arial" w:hAnsi="Arial" w:cs="Arial"/>
              </w:rPr>
            </w:pPr>
            <w:r w:rsidRPr="00506E32">
              <w:rPr>
                <w:rFonts w:ascii="Arial" w:hAnsi="Arial" w:cs="Arial"/>
              </w:rPr>
              <w:t>RA Director</w:t>
            </w:r>
          </w:p>
        </w:tc>
        <w:tc>
          <w:tcPr>
            <w:tcW w:w="2693" w:type="dxa"/>
            <w:shd w:val="clear" w:color="auto" w:fill="ADADAD" w:themeFill="background2" w:themeFillShade="BF"/>
          </w:tcPr>
          <w:p w14:paraId="1E2E4CD4" w14:textId="0BFE61E8" w:rsidR="000D4C72" w:rsidRPr="00506E32" w:rsidRDefault="00506E32" w:rsidP="00152A99">
            <w:pPr>
              <w:spacing w:line="360" w:lineRule="auto"/>
              <w:rPr>
                <w:rFonts w:ascii="Arial" w:hAnsi="Arial" w:cs="Arial"/>
              </w:rPr>
            </w:pPr>
            <w:r w:rsidRPr="00506E32">
              <w:rPr>
                <w:rFonts w:ascii="Arial" w:hAnsi="Arial" w:cs="Arial"/>
              </w:rPr>
              <w:t>QA, PM</w:t>
            </w:r>
          </w:p>
        </w:tc>
        <w:tc>
          <w:tcPr>
            <w:tcW w:w="1701" w:type="dxa"/>
            <w:shd w:val="clear" w:color="auto" w:fill="ADADAD" w:themeFill="background2" w:themeFillShade="BF"/>
          </w:tcPr>
          <w:p w14:paraId="7146347C" w14:textId="60C7263A" w:rsidR="000D4C72" w:rsidRPr="00506E32" w:rsidRDefault="00506E32" w:rsidP="00152A99">
            <w:pPr>
              <w:spacing w:line="360" w:lineRule="auto"/>
              <w:rPr>
                <w:rFonts w:ascii="Arial" w:hAnsi="Arial" w:cs="Arial"/>
              </w:rPr>
            </w:pPr>
            <w:r w:rsidRPr="00506E32">
              <w:rPr>
                <w:rFonts w:ascii="Arial" w:hAnsi="Arial" w:cs="Arial"/>
              </w:rPr>
              <w:t>Leadership</w:t>
            </w:r>
          </w:p>
        </w:tc>
      </w:tr>
      <w:tr w:rsidR="00D4430D" w14:paraId="2D8E6ED1" w14:textId="77777777" w:rsidTr="00D4430D">
        <w:tc>
          <w:tcPr>
            <w:tcW w:w="1986" w:type="dxa"/>
            <w:shd w:val="clear" w:color="auto" w:fill="3A3A3A" w:themeFill="background2" w:themeFillShade="40"/>
          </w:tcPr>
          <w:p w14:paraId="32704931" w14:textId="01544B16" w:rsidR="000D4C72" w:rsidRDefault="001E47B6" w:rsidP="00152A99">
            <w:pPr>
              <w:spacing w:line="360" w:lineRule="auto"/>
              <w:rPr>
                <w:rFonts w:ascii="Arial" w:hAnsi="Arial" w:cs="Arial"/>
                <w:b/>
                <w:bCs/>
              </w:rPr>
            </w:pPr>
            <w:r w:rsidRPr="001E47B6">
              <w:rPr>
                <w:rFonts w:ascii="Arial" w:hAnsi="Arial" w:cs="Arial"/>
                <w:b/>
                <w:bCs/>
              </w:rPr>
              <w:t>Clinical Trials</w:t>
            </w:r>
          </w:p>
        </w:tc>
        <w:tc>
          <w:tcPr>
            <w:tcW w:w="1984" w:type="dxa"/>
            <w:shd w:val="clear" w:color="auto" w:fill="ADADAD" w:themeFill="background2" w:themeFillShade="BF"/>
          </w:tcPr>
          <w:p w14:paraId="18B4B884" w14:textId="2608CD6B" w:rsidR="000D4C72" w:rsidRPr="008775F6" w:rsidRDefault="008775F6" w:rsidP="00152A99">
            <w:pPr>
              <w:spacing w:line="360" w:lineRule="auto"/>
              <w:rPr>
                <w:rFonts w:ascii="Arial" w:hAnsi="Arial" w:cs="Arial"/>
              </w:rPr>
            </w:pPr>
            <w:r w:rsidRPr="008775F6">
              <w:rPr>
                <w:rFonts w:ascii="Arial" w:hAnsi="Arial" w:cs="Arial"/>
              </w:rPr>
              <w:t>Clinicians</w:t>
            </w:r>
          </w:p>
        </w:tc>
        <w:tc>
          <w:tcPr>
            <w:tcW w:w="1985" w:type="dxa"/>
            <w:shd w:val="clear" w:color="auto" w:fill="ADADAD" w:themeFill="background2" w:themeFillShade="BF"/>
          </w:tcPr>
          <w:p w14:paraId="68176004" w14:textId="683584E8" w:rsidR="000D4C72" w:rsidRPr="008775F6" w:rsidRDefault="008775F6" w:rsidP="00152A99">
            <w:pPr>
              <w:spacing w:line="360" w:lineRule="auto"/>
              <w:rPr>
                <w:rFonts w:ascii="Arial" w:hAnsi="Arial" w:cs="Arial"/>
              </w:rPr>
            </w:pPr>
            <w:r w:rsidRPr="008775F6">
              <w:rPr>
                <w:rFonts w:ascii="Arial" w:hAnsi="Arial" w:cs="Arial"/>
              </w:rPr>
              <w:t>PM</w:t>
            </w:r>
          </w:p>
        </w:tc>
        <w:tc>
          <w:tcPr>
            <w:tcW w:w="2693" w:type="dxa"/>
            <w:shd w:val="clear" w:color="auto" w:fill="ADADAD" w:themeFill="background2" w:themeFillShade="BF"/>
          </w:tcPr>
          <w:p w14:paraId="63CB5EE7" w14:textId="29E3818E" w:rsidR="000D4C72" w:rsidRPr="008775F6" w:rsidRDefault="008775F6" w:rsidP="00152A99">
            <w:pPr>
              <w:spacing w:line="360" w:lineRule="auto"/>
              <w:rPr>
                <w:rFonts w:ascii="Arial" w:hAnsi="Arial" w:cs="Arial"/>
              </w:rPr>
            </w:pPr>
            <w:r w:rsidRPr="008775F6">
              <w:rPr>
                <w:rFonts w:ascii="Arial" w:hAnsi="Arial" w:cs="Arial"/>
              </w:rPr>
              <w:t>R&amp;D, MHRA</w:t>
            </w:r>
          </w:p>
        </w:tc>
        <w:tc>
          <w:tcPr>
            <w:tcW w:w="1701" w:type="dxa"/>
            <w:shd w:val="clear" w:color="auto" w:fill="ADADAD" w:themeFill="background2" w:themeFillShade="BF"/>
          </w:tcPr>
          <w:p w14:paraId="0C04C1E0" w14:textId="43E7B828" w:rsidR="000D4C72" w:rsidRPr="008775F6" w:rsidRDefault="008775F6" w:rsidP="00152A99">
            <w:pPr>
              <w:spacing w:line="360" w:lineRule="auto"/>
              <w:rPr>
                <w:rFonts w:ascii="Arial" w:hAnsi="Arial" w:cs="Arial"/>
              </w:rPr>
            </w:pPr>
            <w:r w:rsidRPr="008775F6">
              <w:rPr>
                <w:rFonts w:ascii="Arial" w:hAnsi="Arial" w:cs="Arial"/>
              </w:rPr>
              <w:t>Leadership</w:t>
            </w:r>
          </w:p>
        </w:tc>
      </w:tr>
      <w:tr w:rsidR="00D4430D" w14:paraId="0CF6098E" w14:textId="77777777" w:rsidTr="00D4430D">
        <w:tc>
          <w:tcPr>
            <w:tcW w:w="1986" w:type="dxa"/>
            <w:shd w:val="clear" w:color="auto" w:fill="3A3A3A" w:themeFill="background2" w:themeFillShade="40"/>
          </w:tcPr>
          <w:p w14:paraId="4C3E037E" w14:textId="534646C3" w:rsidR="000D4C72" w:rsidRDefault="001E47B6" w:rsidP="00152A99">
            <w:pPr>
              <w:spacing w:line="360" w:lineRule="auto"/>
              <w:rPr>
                <w:rFonts w:ascii="Arial" w:hAnsi="Arial" w:cs="Arial"/>
                <w:b/>
                <w:bCs/>
              </w:rPr>
            </w:pPr>
            <w:r w:rsidRPr="001E47B6">
              <w:rPr>
                <w:rFonts w:ascii="Arial" w:hAnsi="Arial" w:cs="Arial"/>
                <w:b/>
                <w:bCs/>
              </w:rPr>
              <w:t>Marketing Campaign</w:t>
            </w:r>
          </w:p>
        </w:tc>
        <w:tc>
          <w:tcPr>
            <w:tcW w:w="1984" w:type="dxa"/>
            <w:shd w:val="clear" w:color="auto" w:fill="ADADAD" w:themeFill="background2" w:themeFillShade="BF"/>
          </w:tcPr>
          <w:p w14:paraId="0218E220" w14:textId="45FB87CF" w:rsidR="000D4C72" w:rsidRPr="006F31D5" w:rsidRDefault="00AE1D05" w:rsidP="00152A99">
            <w:pPr>
              <w:spacing w:line="360" w:lineRule="auto"/>
              <w:rPr>
                <w:rFonts w:ascii="Arial" w:hAnsi="Arial" w:cs="Arial"/>
              </w:rPr>
            </w:pPr>
            <w:r w:rsidRPr="006F31D5">
              <w:rPr>
                <w:rFonts w:ascii="Arial" w:hAnsi="Arial" w:cs="Arial"/>
              </w:rPr>
              <w:t>Marketing</w:t>
            </w:r>
          </w:p>
        </w:tc>
        <w:tc>
          <w:tcPr>
            <w:tcW w:w="1985" w:type="dxa"/>
            <w:shd w:val="clear" w:color="auto" w:fill="ADADAD" w:themeFill="background2" w:themeFillShade="BF"/>
          </w:tcPr>
          <w:p w14:paraId="0FA7A7F1" w14:textId="34AD9CD1" w:rsidR="000D4C72" w:rsidRPr="006F31D5" w:rsidRDefault="00AE1D05" w:rsidP="00152A99">
            <w:pPr>
              <w:spacing w:line="360" w:lineRule="auto"/>
              <w:rPr>
                <w:rFonts w:ascii="Arial" w:hAnsi="Arial" w:cs="Arial"/>
              </w:rPr>
            </w:pPr>
            <w:r w:rsidRPr="006F31D5">
              <w:rPr>
                <w:rFonts w:ascii="Arial" w:hAnsi="Arial" w:cs="Arial"/>
              </w:rPr>
              <w:t>Marketing Director</w:t>
            </w:r>
          </w:p>
        </w:tc>
        <w:tc>
          <w:tcPr>
            <w:tcW w:w="2693" w:type="dxa"/>
            <w:shd w:val="clear" w:color="auto" w:fill="ADADAD" w:themeFill="background2" w:themeFillShade="BF"/>
          </w:tcPr>
          <w:p w14:paraId="2DE27284" w14:textId="6D54F27C" w:rsidR="000D4C72" w:rsidRPr="006F31D5" w:rsidRDefault="006F31D5" w:rsidP="00152A99">
            <w:pPr>
              <w:spacing w:line="360" w:lineRule="auto"/>
              <w:rPr>
                <w:rFonts w:ascii="Arial" w:hAnsi="Arial" w:cs="Arial"/>
              </w:rPr>
            </w:pPr>
            <w:r w:rsidRPr="006F31D5">
              <w:rPr>
                <w:rFonts w:ascii="Arial" w:hAnsi="Arial" w:cs="Arial"/>
              </w:rPr>
              <w:t>PM, Sales</w:t>
            </w:r>
          </w:p>
        </w:tc>
        <w:tc>
          <w:tcPr>
            <w:tcW w:w="1701" w:type="dxa"/>
            <w:shd w:val="clear" w:color="auto" w:fill="ADADAD" w:themeFill="background2" w:themeFillShade="BF"/>
          </w:tcPr>
          <w:p w14:paraId="634FF1A4" w14:textId="305DEF1D" w:rsidR="000D4C72" w:rsidRPr="006F31D5" w:rsidRDefault="006F31D5" w:rsidP="00152A99">
            <w:pPr>
              <w:spacing w:line="360" w:lineRule="auto"/>
              <w:rPr>
                <w:rFonts w:ascii="Arial" w:hAnsi="Arial" w:cs="Arial"/>
              </w:rPr>
            </w:pPr>
            <w:r w:rsidRPr="006F31D5">
              <w:rPr>
                <w:rFonts w:ascii="Arial" w:hAnsi="Arial" w:cs="Arial"/>
              </w:rPr>
              <w:t>All Staff</w:t>
            </w:r>
          </w:p>
        </w:tc>
      </w:tr>
      <w:tr w:rsidR="00D4430D" w14:paraId="47460BE5" w14:textId="77777777" w:rsidTr="00D4430D">
        <w:tc>
          <w:tcPr>
            <w:tcW w:w="1986" w:type="dxa"/>
            <w:shd w:val="clear" w:color="auto" w:fill="3A3A3A" w:themeFill="background2" w:themeFillShade="40"/>
          </w:tcPr>
          <w:p w14:paraId="55D9526B" w14:textId="35836155" w:rsidR="000D4C72" w:rsidRDefault="000F5E59" w:rsidP="00152A99">
            <w:pPr>
              <w:spacing w:line="360" w:lineRule="auto"/>
              <w:rPr>
                <w:rFonts w:ascii="Arial" w:hAnsi="Arial" w:cs="Arial"/>
                <w:b/>
                <w:bCs/>
              </w:rPr>
            </w:pPr>
            <w:r w:rsidRPr="000F5E59">
              <w:rPr>
                <w:rFonts w:ascii="Arial" w:hAnsi="Arial" w:cs="Arial"/>
                <w:b/>
                <w:bCs/>
              </w:rPr>
              <w:t>Manufacturing</w:t>
            </w:r>
          </w:p>
        </w:tc>
        <w:tc>
          <w:tcPr>
            <w:tcW w:w="1984" w:type="dxa"/>
            <w:shd w:val="clear" w:color="auto" w:fill="ADADAD" w:themeFill="background2" w:themeFillShade="BF"/>
          </w:tcPr>
          <w:p w14:paraId="0D3BB7CE" w14:textId="2EA3A20A" w:rsidR="000D4C72" w:rsidRPr="00CA2979" w:rsidRDefault="00CA2979" w:rsidP="00152A99">
            <w:pPr>
              <w:spacing w:line="360" w:lineRule="auto"/>
              <w:rPr>
                <w:rFonts w:ascii="Arial" w:hAnsi="Arial" w:cs="Arial"/>
              </w:rPr>
            </w:pPr>
            <w:r w:rsidRPr="00CA2979">
              <w:rPr>
                <w:rFonts w:ascii="Arial" w:hAnsi="Arial" w:cs="Arial"/>
              </w:rPr>
              <w:t>Supply Chain</w:t>
            </w:r>
          </w:p>
        </w:tc>
        <w:tc>
          <w:tcPr>
            <w:tcW w:w="1985" w:type="dxa"/>
            <w:shd w:val="clear" w:color="auto" w:fill="ADADAD" w:themeFill="background2" w:themeFillShade="BF"/>
          </w:tcPr>
          <w:p w14:paraId="470700A6" w14:textId="0AD3B747" w:rsidR="000D4C72" w:rsidRPr="00CA2979" w:rsidRDefault="00CA2979" w:rsidP="00152A99">
            <w:pPr>
              <w:spacing w:line="360" w:lineRule="auto"/>
              <w:rPr>
                <w:rFonts w:ascii="Arial" w:hAnsi="Arial" w:cs="Arial"/>
              </w:rPr>
            </w:pPr>
            <w:r w:rsidRPr="00CA2979">
              <w:rPr>
                <w:rFonts w:ascii="Arial" w:hAnsi="Arial" w:cs="Arial"/>
              </w:rPr>
              <w:t>Supply Chain Director</w:t>
            </w:r>
          </w:p>
        </w:tc>
        <w:tc>
          <w:tcPr>
            <w:tcW w:w="2693" w:type="dxa"/>
            <w:shd w:val="clear" w:color="auto" w:fill="ADADAD" w:themeFill="background2" w:themeFillShade="BF"/>
          </w:tcPr>
          <w:p w14:paraId="72B0BD96" w14:textId="77991670" w:rsidR="000D4C72" w:rsidRPr="00CA2979" w:rsidRDefault="00CA2979" w:rsidP="00152A99">
            <w:pPr>
              <w:spacing w:line="360" w:lineRule="auto"/>
              <w:rPr>
                <w:rFonts w:ascii="Arial" w:hAnsi="Arial" w:cs="Arial"/>
              </w:rPr>
            </w:pPr>
            <w:r w:rsidRPr="00CA2979">
              <w:rPr>
                <w:rFonts w:ascii="Arial" w:hAnsi="Arial" w:cs="Arial"/>
              </w:rPr>
              <w:t>R&amp;D, QA</w:t>
            </w:r>
          </w:p>
        </w:tc>
        <w:tc>
          <w:tcPr>
            <w:tcW w:w="1701" w:type="dxa"/>
            <w:shd w:val="clear" w:color="auto" w:fill="ADADAD" w:themeFill="background2" w:themeFillShade="BF"/>
          </w:tcPr>
          <w:p w14:paraId="0166292B" w14:textId="387F9ACC" w:rsidR="000D4C72" w:rsidRPr="00CA2979" w:rsidRDefault="00CA2979" w:rsidP="00152A99">
            <w:pPr>
              <w:spacing w:line="360" w:lineRule="auto"/>
              <w:rPr>
                <w:rFonts w:ascii="Arial" w:hAnsi="Arial" w:cs="Arial"/>
              </w:rPr>
            </w:pPr>
            <w:r w:rsidRPr="00CA2979">
              <w:rPr>
                <w:rFonts w:ascii="Arial" w:hAnsi="Arial" w:cs="Arial"/>
              </w:rPr>
              <w:t>PM</w:t>
            </w:r>
          </w:p>
        </w:tc>
      </w:tr>
      <w:tr w:rsidR="00D4430D" w14:paraId="34EE0FDA" w14:textId="77777777" w:rsidTr="00D4430D">
        <w:tc>
          <w:tcPr>
            <w:tcW w:w="1986" w:type="dxa"/>
            <w:shd w:val="clear" w:color="auto" w:fill="3A3A3A" w:themeFill="background2" w:themeFillShade="40"/>
          </w:tcPr>
          <w:p w14:paraId="65432FA6" w14:textId="3E6F442B" w:rsidR="000D4C72" w:rsidRDefault="000F5E59" w:rsidP="00152A99">
            <w:pPr>
              <w:spacing w:line="360" w:lineRule="auto"/>
              <w:rPr>
                <w:rFonts w:ascii="Arial" w:hAnsi="Arial" w:cs="Arial"/>
                <w:b/>
                <w:bCs/>
              </w:rPr>
            </w:pPr>
            <w:r w:rsidRPr="000F5E59">
              <w:rPr>
                <w:rFonts w:ascii="Arial" w:hAnsi="Arial" w:cs="Arial"/>
                <w:b/>
                <w:bCs/>
              </w:rPr>
              <w:t>Distribution Planning</w:t>
            </w:r>
          </w:p>
        </w:tc>
        <w:tc>
          <w:tcPr>
            <w:tcW w:w="1984" w:type="dxa"/>
            <w:shd w:val="clear" w:color="auto" w:fill="ADADAD" w:themeFill="background2" w:themeFillShade="BF"/>
          </w:tcPr>
          <w:p w14:paraId="5D87E857" w14:textId="0F73AD8A" w:rsidR="000D4C72" w:rsidRPr="00CB4FC1" w:rsidRDefault="00FA1DD0" w:rsidP="00152A99">
            <w:pPr>
              <w:spacing w:line="360" w:lineRule="auto"/>
              <w:rPr>
                <w:rFonts w:ascii="Arial" w:hAnsi="Arial" w:cs="Arial"/>
              </w:rPr>
            </w:pPr>
            <w:r w:rsidRPr="00CB4FC1">
              <w:rPr>
                <w:rFonts w:ascii="Arial" w:hAnsi="Arial" w:cs="Arial"/>
              </w:rPr>
              <w:t>Sales</w:t>
            </w:r>
          </w:p>
        </w:tc>
        <w:tc>
          <w:tcPr>
            <w:tcW w:w="1985" w:type="dxa"/>
            <w:shd w:val="clear" w:color="auto" w:fill="ADADAD" w:themeFill="background2" w:themeFillShade="BF"/>
          </w:tcPr>
          <w:p w14:paraId="41E9472B" w14:textId="3C0F7990" w:rsidR="000D4C72" w:rsidRPr="00CB4FC1" w:rsidRDefault="00FA1DD0" w:rsidP="00152A99">
            <w:pPr>
              <w:spacing w:line="360" w:lineRule="auto"/>
              <w:rPr>
                <w:rFonts w:ascii="Arial" w:hAnsi="Arial" w:cs="Arial"/>
              </w:rPr>
            </w:pPr>
            <w:r w:rsidRPr="00CB4FC1">
              <w:rPr>
                <w:rFonts w:ascii="Arial" w:hAnsi="Arial" w:cs="Arial"/>
              </w:rPr>
              <w:t>Sales Director</w:t>
            </w:r>
          </w:p>
        </w:tc>
        <w:tc>
          <w:tcPr>
            <w:tcW w:w="2693" w:type="dxa"/>
            <w:shd w:val="clear" w:color="auto" w:fill="ADADAD" w:themeFill="background2" w:themeFillShade="BF"/>
          </w:tcPr>
          <w:p w14:paraId="2D5C163D" w14:textId="7EA24044" w:rsidR="000D4C72" w:rsidRPr="00CB4FC1" w:rsidRDefault="00FA1DD0" w:rsidP="00152A99">
            <w:pPr>
              <w:spacing w:line="360" w:lineRule="auto"/>
              <w:rPr>
                <w:rFonts w:ascii="Arial" w:hAnsi="Arial" w:cs="Arial"/>
              </w:rPr>
            </w:pPr>
            <w:r w:rsidRPr="00CB4FC1">
              <w:rPr>
                <w:rFonts w:ascii="Arial" w:hAnsi="Arial" w:cs="Arial"/>
              </w:rPr>
              <w:t>Marketing, Logistics</w:t>
            </w:r>
          </w:p>
        </w:tc>
        <w:tc>
          <w:tcPr>
            <w:tcW w:w="1701" w:type="dxa"/>
            <w:shd w:val="clear" w:color="auto" w:fill="ADADAD" w:themeFill="background2" w:themeFillShade="BF"/>
          </w:tcPr>
          <w:p w14:paraId="40CDDEED" w14:textId="0B077FB3" w:rsidR="000D4C72" w:rsidRPr="00CB4FC1" w:rsidRDefault="00321A86" w:rsidP="00152A99">
            <w:pPr>
              <w:spacing w:line="360" w:lineRule="auto"/>
              <w:rPr>
                <w:rFonts w:ascii="Arial" w:hAnsi="Arial" w:cs="Arial"/>
              </w:rPr>
            </w:pPr>
            <w:r w:rsidRPr="00CB4FC1">
              <w:rPr>
                <w:rFonts w:ascii="Arial" w:hAnsi="Arial" w:cs="Arial"/>
              </w:rPr>
              <w:t>Leadership</w:t>
            </w:r>
          </w:p>
        </w:tc>
      </w:tr>
      <w:tr w:rsidR="00D4430D" w14:paraId="77D7C33D" w14:textId="77777777" w:rsidTr="00D4430D">
        <w:tc>
          <w:tcPr>
            <w:tcW w:w="1986" w:type="dxa"/>
            <w:shd w:val="clear" w:color="auto" w:fill="3A3A3A" w:themeFill="background2" w:themeFillShade="40"/>
          </w:tcPr>
          <w:p w14:paraId="2BE2EB4C" w14:textId="6F347742" w:rsidR="000D4C72" w:rsidRDefault="000F5E59" w:rsidP="00152A99">
            <w:pPr>
              <w:spacing w:line="360" w:lineRule="auto"/>
              <w:rPr>
                <w:rFonts w:ascii="Arial" w:hAnsi="Arial" w:cs="Arial"/>
                <w:b/>
                <w:bCs/>
              </w:rPr>
            </w:pPr>
            <w:r w:rsidRPr="000F5E59">
              <w:rPr>
                <w:rFonts w:ascii="Arial" w:hAnsi="Arial" w:cs="Arial"/>
                <w:b/>
                <w:bCs/>
              </w:rPr>
              <w:t>Launch Execution</w:t>
            </w:r>
          </w:p>
        </w:tc>
        <w:tc>
          <w:tcPr>
            <w:tcW w:w="1984" w:type="dxa"/>
            <w:shd w:val="clear" w:color="auto" w:fill="ADADAD" w:themeFill="background2" w:themeFillShade="BF"/>
          </w:tcPr>
          <w:p w14:paraId="3B6998ED" w14:textId="091B573B" w:rsidR="000D4C72" w:rsidRPr="00CB4FC1" w:rsidRDefault="00321A86" w:rsidP="00152A99">
            <w:pPr>
              <w:spacing w:line="360" w:lineRule="auto"/>
              <w:rPr>
                <w:rFonts w:ascii="Arial" w:hAnsi="Arial" w:cs="Arial"/>
              </w:rPr>
            </w:pPr>
            <w:r w:rsidRPr="00CB4FC1">
              <w:rPr>
                <w:rFonts w:ascii="Arial" w:hAnsi="Arial" w:cs="Arial"/>
              </w:rPr>
              <w:t>PM</w:t>
            </w:r>
          </w:p>
        </w:tc>
        <w:tc>
          <w:tcPr>
            <w:tcW w:w="1985" w:type="dxa"/>
            <w:shd w:val="clear" w:color="auto" w:fill="ADADAD" w:themeFill="background2" w:themeFillShade="BF"/>
          </w:tcPr>
          <w:p w14:paraId="5D1C9F87" w14:textId="5DCF3064" w:rsidR="000D4C72" w:rsidRPr="00CB4FC1" w:rsidRDefault="00321A86" w:rsidP="00152A99">
            <w:pPr>
              <w:spacing w:line="360" w:lineRule="auto"/>
              <w:rPr>
                <w:rFonts w:ascii="Arial" w:hAnsi="Arial" w:cs="Arial"/>
              </w:rPr>
            </w:pPr>
            <w:r w:rsidRPr="00CB4FC1">
              <w:rPr>
                <w:rFonts w:ascii="Arial" w:hAnsi="Arial" w:cs="Arial"/>
              </w:rPr>
              <w:t>Leadership</w:t>
            </w:r>
          </w:p>
        </w:tc>
        <w:tc>
          <w:tcPr>
            <w:tcW w:w="2693" w:type="dxa"/>
            <w:shd w:val="clear" w:color="auto" w:fill="ADADAD" w:themeFill="background2" w:themeFillShade="BF"/>
          </w:tcPr>
          <w:p w14:paraId="2E20D94F" w14:textId="4A87899B" w:rsidR="000D4C72" w:rsidRPr="00CB4FC1" w:rsidRDefault="00CB4FC1" w:rsidP="00152A99">
            <w:pPr>
              <w:spacing w:line="360" w:lineRule="auto"/>
              <w:rPr>
                <w:rFonts w:ascii="Arial" w:hAnsi="Arial" w:cs="Arial"/>
              </w:rPr>
            </w:pPr>
            <w:r w:rsidRPr="00CB4FC1">
              <w:rPr>
                <w:rFonts w:ascii="Arial" w:hAnsi="Arial" w:cs="Arial"/>
              </w:rPr>
              <w:t>All Departments</w:t>
            </w:r>
          </w:p>
        </w:tc>
        <w:tc>
          <w:tcPr>
            <w:tcW w:w="1701" w:type="dxa"/>
            <w:shd w:val="clear" w:color="auto" w:fill="ADADAD" w:themeFill="background2" w:themeFillShade="BF"/>
          </w:tcPr>
          <w:p w14:paraId="3D3D6851" w14:textId="4E20852C" w:rsidR="000D4C72" w:rsidRPr="00CB4FC1" w:rsidRDefault="00CB4FC1" w:rsidP="00152A99">
            <w:pPr>
              <w:spacing w:line="360" w:lineRule="auto"/>
              <w:rPr>
                <w:rFonts w:ascii="Arial" w:hAnsi="Arial" w:cs="Arial"/>
              </w:rPr>
            </w:pPr>
            <w:r w:rsidRPr="00CB4FC1">
              <w:rPr>
                <w:rFonts w:ascii="Arial" w:hAnsi="Arial" w:cs="Arial"/>
              </w:rPr>
              <w:t>Organisation-wide</w:t>
            </w:r>
          </w:p>
        </w:tc>
      </w:tr>
    </w:tbl>
    <w:p w14:paraId="4F9AC0FE" w14:textId="5351003C" w:rsidR="000E2B7F" w:rsidRDefault="007863BE" w:rsidP="007863BE">
      <w:pPr>
        <w:spacing w:line="360" w:lineRule="auto"/>
        <w:jc w:val="center"/>
        <w:rPr>
          <w:rFonts w:ascii="Arial" w:hAnsi="Arial" w:cs="Arial"/>
          <w:b/>
          <w:bCs/>
        </w:rPr>
      </w:pPr>
      <w:r>
        <w:rPr>
          <w:rFonts w:ascii="Arial" w:hAnsi="Arial" w:cs="Arial"/>
          <w:b/>
          <w:bCs/>
        </w:rPr>
        <w:t>TABLE 4</w:t>
      </w:r>
    </w:p>
    <w:p w14:paraId="560BCB2E" w14:textId="17027A2E" w:rsidR="00BC5A4C" w:rsidRDefault="00BC5A4C" w:rsidP="00BC5A4C">
      <w:pPr>
        <w:spacing w:line="360" w:lineRule="auto"/>
        <w:rPr>
          <w:rFonts w:ascii="Arial" w:hAnsi="Arial" w:cs="Arial"/>
          <w:b/>
          <w:bCs/>
          <w:sz w:val="28"/>
          <w:szCs w:val="28"/>
        </w:rPr>
      </w:pPr>
      <w:r w:rsidRPr="00E8178D">
        <w:rPr>
          <w:rFonts w:ascii="Arial" w:hAnsi="Arial" w:cs="Arial"/>
          <w:b/>
          <w:bCs/>
          <w:sz w:val="28"/>
          <w:szCs w:val="28"/>
        </w:rPr>
        <w:lastRenderedPageBreak/>
        <w:t>Stakeholder Engagement Process and Conflict Management Using the 4Cs</w:t>
      </w:r>
    </w:p>
    <w:p w14:paraId="44E5DC6F" w14:textId="10F5D3A7" w:rsidR="00CC4D0B" w:rsidRDefault="00CC4D0B" w:rsidP="00CC4D0B">
      <w:pPr>
        <w:spacing w:line="360" w:lineRule="auto"/>
        <w:rPr>
          <w:rFonts w:ascii="Arial" w:hAnsi="Arial" w:cs="Arial"/>
        </w:rPr>
      </w:pPr>
      <w:r w:rsidRPr="00CC4D0B">
        <w:rPr>
          <w:rFonts w:ascii="Arial" w:hAnsi="Arial" w:cs="Arial"/>
        </w:rPr>
        <w:t>Effective stakeholder engagement is crucial throughout the project lifecycle, from concept to launch. As project manager, structured processes must be applied to enhance communication, manage expectations, prevent delays, and address emerging conflicts. The 4Cs model</w:t>
      </w:r>
      <w:r>
        <w:rPr>
          <w:rFonts w:ascii="Arial" w:hAnsi="Arial" w:cs="Arial"/>
        </w:rPr>
        <w:t xml:space="preserve"> </w:t>
      </w:r>
      <w:r w:rsidRPr="00CC4D0B">
        <w:rPr>
          <w:rFonts w:ascii="Arial" w:hAnsi="Arial" w:cs="Arial"/>
        </w:rPr>
        <w:t>Communication, Coordination, Cooperation, and Collaboration</w:t>
      </w:r>
      <w:r>
        <w:rPr>
          <w:rFonts w:ascii="Arial" w:hAnsi="Arial" w:cs="Arial"/>
        </w:rPr>
        <w:t xml:space="preserve"> </w:t>
      </w:r>
      <w:r w:rsidRPr="00CC4D0B">
        <w:rPr>
          <w:rFonts w:ascii="Arial" w:hAnsi="Arial" w:cs="Arial"/>
        </w:rPr>
        <w:t>provides a practical framework for managing stakeholder relationships and resolving challenges (Lewis, 2011; Kerzner, 2022).</w:t>
      </w:r>
    </w:p>
    <w:p w14:paraId="03EAB811" w14:textId="33BF37A4" w:rsidR="00613882" w:rsidRPr="00613882" w:rsidRDefault="00613882" w:rsidP="00613882">
      <w:pPr>
        <w:spacing w:line="360" w:lineRule="auto"/>
        <w:rPr>
          <w:rFonts w:ascii="Arial" w:hAnsi="Arial" w:cs="Arial"/>
          <w:b/>
          <w:bCs/>
        </w:rPr>
      </w:pPr>
      <w:r w:rsidRPr="00613882">
        <w:rPr>
          <w:rFonts w:ascii="Arial" w:hAnsi="Arial" w:cs="Arial"/>
          <w:b/>
          <w:bCs/>
          <w:highlight w:val="yellow"/>
        </w:rPr>
        <w:t>Communication</w:t>
      </w:r>
      <w:r>
        <w:rPr>
          <w:rFonts w:ascii="Arial" w:hAnsi="Arial" w:cs="Arial"/>
          <w:b/>
          <w:bCs/>
        </w:rPr>
        <w:t xml:space="preserve">- </w:t>
      </w:r>
      <w:r w:rsidRPr="00613882">
        <w:rPr>
          <w:rFonts w:ascii="Arial" w:hAnsi="Arial" w:cs="Arial"/>
        </w:rPr>
        <w:t>Clear and consistent communication is fundamental to successful engagement. For a complex medical device project, stakeholders often possess different levels of technical expertise and distinct priorities. Communication should therefore be tailored, transparent, and timely.</w:t>
      </w:r>
    </w:p>
    <w:p w14:paraId="5EA4109B" w14:textId="77777777" w:rsidR="00613882" w:rsidRPr="00613882" w:rsidRDefault="00613882" w:rsidP="00613882">
      <w:pPr>
        <w:spacing w:line="360" w:lineRule="auto"/>
        <w:rPr>
          <w:rFonts w:ascii="Arial" w:hAnsi="Arial" w:cs="Arial"/>
          <w:b/>
          <w:bCs/>
        </w:rPr>
      </w:pPr>
      <w:r w:rsidRPr="00613882">
        <w:rPr>
          <w:rFonts w:ascii="Arial" w:hAnsi="Arial" w:cs="Arial"/>
          <w:b/>
          <w:bCs/>
          <w:highlight w:val="yellow"/>
        </w:rPr>
        <w:t>Communication Processes</w:t>
      </w:r>
    </w:p>
    <w:p w14:paraId="571DFF7F" w14:textId="77777777" w:rsidR="00613882" w:rsidRPr="00613882" w:rsidRDefault="00613882" w:rsidP="00613882">
      <w:pPr>
        <w:numPr>
          <w:ilvl w:val="0"/>
          <w:numId w:val="10"/>
        </w:numPr>
        <w:spacing w:line="360" w:lineRule="auto"/>
        <w:rPr>
          <w:rFonts w:ascii="Arial" w:hAnsi="Arial" w:cs="Arial"/>
        </w:rPr>
      </w:pPr>
      <w:r w:rsidRPr="00613882">
        <w:rPr>
          <w:rFonts w:ascii="Arial" w:hAnsi="Arial" w:cs="Arial"/>
          <w:b/>
          <w:bCs/>
        </w:rPr>
        <w:t>Weekly cross-functional meetings</w:t>
      </w:r>
      <w:r w:rsidRPr="00613882">
        <w:rPr>
          <w:rFonts w:ascii="Arial" w:hAnsi="Arial" w:cs="Arial"/>
        </w:rPr>
        <w:t xml:space="preserve"> between R&amp;D, IT, marketing and regulatory teams to review progress.</w:t>
      </w:r>
    </w:p>
    <w:p w14:paraId="34DF8846" w14:textId="77777777" w:rsidR="00613882" w:rsidRPr="00613882" w:rsidRDefault="00613882" w:rsidP="00613882">
      <w:pPr>
        <w:numPr>
          <w:ilvl w:val="0"/>
          <w:numId w:val="10"/>
        </w:numPr>
        <w:spacing w:line="360" w:lineRule="auto"/>
        <w:rPr>
          <w:rFonts w:ascii="Arial" w:hAnsi="Arial" w:cs="Arial"/>
        </w:rPr>
      </w:pPr>
      <w:r w:rsidRPr="00613882">
        <w:rPr>
          <w:rFonts w:ascii="Arial" w:hAnsi="Arial" w:cs="Arial"/>
          <w:b/>
          <w:bCs/>
        </w:rPr>
        <w:t>Monthly executive summaries</w:t>
      </w:r>
      <w:r w:rsidRPr="00613882">
        <w:rPr>
          <w:rFonts w:ascii="Arial" w:hAnsi="Arial" w:cs="Arial"/>
        </w:rPr>
        <w:t xml:space="preserve"> for senior leadership.</w:t>
      </w:r>
    </w:p>
    <w:p w14:paraId="7E7BB6CC" w14:textId="77777777" w:rsidR="00613882" w:rsidRPr="00613882" w:rsidRDefault="00613882" w:rsidP="00613882">
      <w:pPr>
        <w:numPr>
          <w:ilvl w:val="0"/>
          <w:numId w:val="10"/>
        </w:numPr>
        <w:spacing w:line="360" w:lineRule="auto"/>
        <w:rPr>
          <w:rFonts w:ascii="Arial" w:hAnsi="Arial" w:cs="Arial"/>
        </w:rPr>
      </w:pPr>
      <w:r w:rsidRPr="00613882">
        <w:rPr>
          <w:rFonts w:ascii="Arial" w:hAnsi="Arial" w:cs="Arial"/>
          <w:b/>
          <w:bCs/>
        </w:rPr>
        <w:t>Dedicated clinical-working-group workshops</w:t>
      </w:r>
      <w:r w:rsidRPr="00613882">
        <w:rPr>
          <w:rFonts w:ascii="Arial" w:hAnsi="Arial" w:cs="Arial"/>
        </w:rPr>
        <w:t xml:space="preserve"> with clinicians to gather feedback during testing.</w:t>
      </w:r>
    </w:p>
    <w:p w14:paraId="6B20BA5A" w14:textId="77777777" w:rsidR="00613882" w:rsidRPr="00613882" w:rsidRDefault="00613882" w:rsidP="00613882">
      <w:pPr>
        <w:numPr>
          <w:ilvl w:val="0"/>
          <w:numId w:val="10"/>
        </w:numPr>
        <w:spacing w:line="360" w:lineRule="auto"/>
        <w:rPr>
          <w:rFonts w:ascii="Arial" w:hAnsi="Arial" w:cs="Arial"/>
        </w:rPr>
      </w:pPr>
      <w:r w:rsidRPr="00613882">
        <w:rPr>
          <w:rFonts w:ascii="Arial" w:hAnsi="Arial" w:cs="Arial"/>
          <w:b/>
          <w:bCs/>
        </w:rPr>
        <w:t>Bi-monthly compliance consultations</w:t>
      </w:r>
      <w:r w:rsidRPr="00613882">
        <w:rPr>
          <w:rFonts w:ascii="Arial" w:hAnsi="Arial" w:cs="Arial"/>
        </w:rPr>
        <w:t xml:space="preserve"> with MHRA to ensure documentation and trials align with regulatory expectations.</w:t>
      </w:r>
    </w:p>
    <w:p w14:paraId="6199ED7A" w14:textId="77777777" w:rsidR="00613882" w:rsidRPr="00613882" w:rsidRDefault="00613882" w:rsidP="00613882">
      <w:pPr>
        <w:numPr>
          <w:ilvl w:val="0"/>
          <w:numId w:val="10"/>
        </w:numPr>
        <w:spacing w:line="360" w:lineRule="auto"/>
        <w:rPr>
          <w:rFonts w:ascii="Arial" w:hAnsi="Arial" w:cs="Arial"/>
        </w:rPr>
      </w:pPr>
      <w:r w:rsidRPr="00613882">
        <w:rPr>
          <w:rFonts w:ascii="Arial" w:hAnsi="Arial" w:cs="Arial"/>
          <w:b/>
          <w:bCs/>
        </w:rPr>
        <w:t>Public communication strategy</w:t>
      </w:r>
      <w:r w:rsidRPr="00613882">
        <w:rPr>
          <w:rFonts w:ascii="Arial" w:hAnsi="Arial" w:cs="Arial"/>
        </w:rPr>
        <w:t xml:space="preserve"> through marketing, focusing on simplicity and trust-building.</w:t>
      </w:r>
    </w:p>
    <w:p w14:paraId="693858FB" w14:textId="7010A081" w:rsidR="00613882" w:rsidRPr="00613882" w:rsidRDefault="00613882" w:rsidP="00613882">
      <w:pPr>
        <w:spacing w:line="360" w:lineRule="auto"/>
        <w:rPr>
          <w:rFonts w:ascii="Arial" w:hAnsi="Arial" w:cs="Arial"/>
        </w:rPr>
      </w:pPr>
      <w:r w:rsidRPr="00613882">
        <w:rPr>
          <w:rFonts w:ascii="Arial" w:hAnsi="Arial" w:cs="Arial"/>
        </w:rPr>
        <w:t>Communication tools include project dashboards, Teams channels, Gantt charts, and continuous documentation updates. These promote visibility, reduce duplication of work and help track emerging risks or issues</w:t>
      </w:r>
      <w:r w:rsidR="00167D4C">
        <w:rPr>
          <w:rFonts w:ascii="Arial" w:hAnsi="Arial" w:cs="Arial"/>
        </w:rPr>
        <w:t xml:space="preserve"> </w:t>
      </w:r>
      <w:r w:rsidR="00167D4C" w:rsidRPr="00167D4C">
        <w:rPr>
          <w:rFonts w:ascii="Arial" w:hAnsi="Arial" w:cs="Arial"/>
        </w:rPr>
        <w:t>(Mitchell, Wood and Agle, 1997)</w:t>
      </w:r>
      <w:r w:rsidR="00167D4C">
        <w:rPr>
          <w:rFonts w:ascii="Arial" w:hAnsi="Arial" w:cs="Arial"/>
        </w:rPr>
        <w:t>.</w:t>
      </w:r>
    </w:p>
    <w:p w14:paraId="31BA7219" w14:textId="77777777" w:rsidR="00613882" w:rsidRPr="00613882" w:rsidRDefault="00613882" w:rsidP="00613882">
      <w:pPr>
        <w:spacing w:line="360" w:lineRule="auto"/>
        <w:rPr>
          <w:rFonts w:ascii="Arial" w:hAnsi="Arial" w:cs="Arial"/>
          <w:b/>
          <w:bCs/>
        </w:rPr>
      </w:pPr>
      <w:r w:rsidRPr="00613882">
        <w:rPr>
          <w:rFonts w:ascii="Arial" w:hAnsi="Arial" w:cs="Arial"/>
          <w:b/>
          <w:bCs/>
          <w:highlight w:val="yellow"/>
        </w:rPr>
        <w:t>Managing Communication Conflicts</w:t>
      </w:r>
    </w:p>
    <w:p w14:paraId="58B7E58C" w14:textId="77777777" w:rsidR="00613882" w:rsidRPr="00613882" w:rsidRDefault="00613882" w:rsidP="00613882">
      <w:pPr>
        <w:spacing w:line="360" w:lineRule="auto"/>
        <w:rPr>
          <w:rFonts w:ascii="Arial" w:hAnsi="Arial" w:cs="Arial"/>
        </w:rPr>
      </w:pPr>
      <w:r w:rsidRPr="00613882">
        <w:rPr>
          <w:rFonts w:ascii="Arial" w:hAnsi="Arial" w:cs="Arial"/>
        </w:rPr>
        <w:t>Conflicts may arise from unclear expectations, misinterpretation of technical information, or differing priorities. To manage these:</w:t>
      </w:r>
    </w:p>
    <w:p w14:paraId="21EE1C1B" w14:textId="77777777" w:rsidR="00613882" w:rsidRPr="00613882" w:rsidRDefault="00613882" w:rsidP="00613882">
      <w:pPr>
        <w:numPr>
          <w:ilvl w:val="0"/>
          <w:numId w:val="11"/>
        </w:numPr>
        <w:spacing w:line="360" w:lineRule="auto"/>
        <w:rPr>
          <w:rFonts w:ascii="Arial" w:hAnsi="Arial" w:cs="Arial"/>
        </w:rPr>
      </w:pPr>
      <w:r w:rsidRPr="00613882">
        <w:rPr>
          <w:rFonts w:ascii="Arial" w:hAnsi="Arial" w:cs="Arial"/>
        </w:rPr>
        <w:t xml:space="preserve">Messages must be </w:t>
      </w:r>
      <w:r w:rsidRPr="00613882">
        <w:rPr>
          <w:rFonts w:ascii="Arial" w:hAnsi="Arial" w:cs="Arial"/>
          <w:b/>
          <w:bCs/>
        </w:rPr>
        <w:t>consistent across departments</w:t>
      </w:r>
      <w:r w:rsidRPr="00613882">
        <w:rPr>
          <w:rFonts w:ascii="Arial" w:hAnsi="Arial" w:cs="Arial"/>
        </w:rPr>
        <w:t xml:space="preserve"> to avoid confusion.</w:t>
      </w:r>
    </w:p>
    <w:p w14:paraId="46B8EF08" w14:textId="77777777" w:rsidR="00613882" w:rsidRPr="00613882" w:rsidRDefault="00613882" w:rsidP="00613882">
      <w:pPr>
        <w:numPr>
          <w:ilvl w:val="0"/>
          <w:numId w:val="11"/>
        </w:numPr>
        <w:spacing w:line="360" w:lineRule="auto"/>
        <w:rPr>
          <w:rFonts w:ascii="Arial" w:hAnsi="Arial" w:cs="Arial"/>
        </w:rPr>
      </w:pPr>
      <w:r w:rsidRPr="00613882">
        <w:rPr>
          <w:rFonts w:ascii="Arial" w:hAnsi="Arial" w:cs="Arial"/>
        </w:rPr>
        <w:t>Complex regulatory or cybersecurity requirements should be translated into simple, actionable tasks.</w:t>
      </w:r>
    </w:p>
    <w:p w14:paraId="3FB6DABA" w14:textId="77777777" w:rsidR="00613882" w:rsidRPr="00613882" w:rsidRDefault="00613882" w:rsidP="00613882">
      <w:pPr>
        <w:numPr>
          <w:ilvl w:val="0"/>
          <w:numId w:val="11"/>
        </w:numPr>
        <w:spacing w:line="360" w:lineRule="auto"/>
        <w:rPr>
          <w:rFonts w:ascii="Arial" w:hAnsi="Arial" w:cs="Arial"/>
        </w:rPr>
      </w:pPr>
      <w:r w:rsidRPr="00613882">
        <w:rPr>
          <w:rFonts w:ascii="Arial" w:hAnsi="Arial" w:cs="Arial"/>
        </w:rPr>
        <w:lastRenderedPageBreak/>
        <w:t>Stakeholder feedback loops must be formalised to ensure concerns are acknowledged and addressed.</w:t>
      </w:r>
    </w:p>
    <w:p w14:paraId="64F1DCB9" w14:textId="512C5A83" w:rsidR="00613882" w:rsidRDefault="00613882" w:rsidP="00613882">
      <w:pPr>
        <w:spacing w:line="360" w:lineRule="auto"/>
        <w:rPr>
          <w:rFonts w:ascii="Arial" w:hAnsi="Arial" w:cs="Arial"/>
        </w:rPr>
      </w:pPr>
      <w:r w:rsidRPr="00613882">
        <w:rPr>
          <w:rFonts w:ascii="Arial" w:hAnsi="Arial" w:cs="Arial"/>
        </w:rPr>
        <w:t xml:space="preserve">Effective communication reduces uncertainty, increases trust, and ensures alignment with project goals </w:t>
      </w:r>
      <w:r w:rsidR="001C38C1" w:rsidRPr="001C38C1">
        <w:rPr>
          <w:rFonts w:ascii="Arial" w:hAnsi="Arial" w:cs="Arial"/>
        </w:rPr>
        <w:t>(Dr Lynda Bourne, 2012)</w:t>
      </w:r>
      <w:r w:rsidR="001C38C1">
        <w:rPr>
          <w:rFonts w:ascii="Arial" w:hAnsi="Arial" w:cs="Arial"/>
        </w:rPr>
        <w:t>.</w:t>
      </w:r>
    </w:p>
    <w:p w14:paraId="01BC0C67" w14:textId="73568F03" w:rsidR="00152FC8" w:rsidRPr="00152FC8" w:rsidRDefault="00152FC8" w:rsidP="00152FC8">
      <w:pPr>
        <w:spacing w:line="360" w:lineRule="auto"/>
        <w:rPr>
          <w:rFonts w:ascii="Arial" w:hAnsi="Arial" w:cs="Arial"/>
          <w:b/>
          <w:bCs/>
        </w:rPr>
      </w:pPr>
      <w:r w:rsidRPr="00152FC8">
        <w:rPr>
          <w:rFonts w:ascii="Arial" w:hAnsi="Arial" w:cs="Arial"/>
          <w:b/>
          <w:bCs/>
          <w:highlight w:val="yellow"/>
        </w:rPr>
        <w:t>Coordination</w:t>
      </w:r>
      <w:r>
        <w:rPr>
          <w:rFonts w:ascii="Arial" w:hAnsi="Arial" w:cs="Arial"/>
          <w:b/>
          <w:bCs/>
        </w:rPr>
        <w:t xml:space="preserve">- </w:t>
      </w:r>
      <w:r w:rsidRPr="00152FC8">
        <w:rPr>
          <w:rFonts w:ascii="Arial" w:hAnsi="Arial" w:cs="Arial"/>
        </w:rPr>
        <w:t>Coordination ensures that interconnected tasks and groups function smoothly. A wearable device project requires coordination between engineering, clinical, regulatory, and commercial teams.</w:t>
      </w:r>
    </w:p>
    <w:p w14:paraId="26347262" w14:textId="77777777" w:rsidR="00152FC8" w:rsidRPr="00152FC8" w:rsidRDefault="00152FC8" w:rsidP="00152FC8">
      <w:pPr>
        <w:spacing w:line="360" w:lineRule="auto"/>
        <w:rPr>
          <w:rFonts w:ascii="Arial" w:hAnsi="Arial" w:cs="Arial"/>
          <w:b/>
          <w:bCs/>
        </w:rPr>
      </w:pPr>
      <w:r w:rsidRPr="00152FC8">
        <w:rPr>
          <w:rFonts w:ascii="Arial" w:hAnsi="Arial" w:cs="Arial"/>
          <w:b/>
          <w:bCs/>
          <w:highlight w:val="yellow"/>
        </w:rPr>
        <w:t>Coordination Methods</w:t>
      </w:r>
    </w:p>
    <w:p w14:paraId="4514DE77" w14:textId="77777777" w:rsidR="00152FC8" w:rsidRPr="00152FC8" w:rsidRDefault="00152FC8" w:rsidP="00152FC8">
      <w:pPr>
        <w:numPr>
          <w:ilvl w:val="0"/>
          <w:numId w:val="12"/>
        </w:numPr>
        <w:spacing w:line="360" w:lineRule="auto"/>
        <w:rPr>
          <w:rFonts w:ascii="Arial" w:hAnsi="Arial" w:cs="Arial"/>
        </w:rPr>
      </w:pPr>
      <w:r w:rsidRPr="00152FC8">
        <w:rPr>
          <w:rFonts w:ascii="Arial" w:hAnsi="Arial" w:cs="Arial"/>
          <w:b/>
          <w:bCs/>
        </w:rPr>
        <w:t>Project timelines</w:t>
      </w:r>
      <w:r w:rsidRPr="00152FC8">
        <w:rPr>
          <w:rFonts w:ascii="Arial" w:hAnsi="Arial" w:cs="Arial"/>
        </w:rPr>
        <w:t xml:space="preserve"> with defined milestones for testing, compliance review, manufacturing and marketing.</w:t>
      </w:r>
    </w:p>
    <w:p w14:paraId="4CA742F0" w14:textId="77777777" w:rsidR="00152FC8" w:rsidRPr="00152FC8" w:rsidRDefault="00152FC8" w:rsidP="00152FC8">
      <w:pPr>
        <w:numPr>
          <w:ilvl w:val="0"/>
          <w:numId w:val="12"/>
        </w:numPr>
        <w:spacing w:line="360" w:lineRule="auto"/>
        <w:rPr>
          <w:rFonts w:ascii="Arial" w:hAnsi="Arial" w:cs="Arial"/>
        </w:rPr>
      </w:pPr>
      <w:r w:rsidRPr="00152FC8">
        <w:rPr>
          <w:rFonts w:ascii="Arial" w:hAnsi="Arial" w:cs="Arial"/>
          <w:b/>
          <w:bCs/>
        </w:rPr>
        <w:t>Integration workshops</w:t>
      </w:r>
      <w:r w:rsidRPr="00152FC8">
        <w:rPr>
          <w:rFonts w:ascii="Arial" w:hAnsi="Arial" w:cs="Arial"/>
        </w:rPr>
        <w:t xml:space="preserve"> between IT and R&amp;D to align data architecture with NHS systems.</w:t>
      </w:r>
    </w:p>
    <w:p w14:paraId="47BFC482" w14:textId="77777777" w:rsidR="00152FC8" w:rsidRPr="00152FC8" w:rsidRDefault="00152FC8" w:rsidP="00152FC8">
      <w:pPr>
        <w:numPr>
          <w:ilvl w:val="0"/>
          <w:numId w:val="12"/>
        </w:numPr>
        <w:spacing w:line="360" w:lineRule="auto"/>
        <w:rPr>
          <w:rFonts w:ascii="Arial" w:hAnsi="Arial" w:cs="Arial"/>
        </w:rPr>
      </w:pPr>
      <w:r w:rsidRPr="00152FC8">
        <w:rPr>
          <w:rFonts w:ascii="Arial" w:hAnsi="Arial" w:cs="Arial"/>
          <w:b/>
          <w:bCs/>
        </w:rPr>
        <w:t>Supplier management meetings</w:t>
      </w:r>
      <w:r w:rsidRPr="00152FC8">
        <w:rPr>
          <w:rFonts w:ascii="Arial" w:hAnsi="Arial" w:cs="Arial"/>
        </w:rPr>
        <w:t xml:space="preserve"> to confirm component availability and shipping schedules.</w:t>
      </w:r>
    </w:p>
    <w:p w14:paraId="22E28878" w14:textId="77777777" w:rsidR="00152FC8" w:rsidRPr="00152FC8" w:rsidRDefault="00152FC8" w:rsidP="00152FC8">
      <w:pPr>
        <w:numPr>
          <w:ilvl w:val="0"/>
          <w:numId w:val="12"/>
        </w:numPr>
        <w:spacing w:line="360" w:lineRule="auto"/>
        <w:rPr>
          <w:rFonts w:ascii="Arial" w:hAnsi="Arial" w:cs="Arial"/>
        </w:rPr>
      </w:pPr>
      <w:r w:rsidRPr="00152FC8">
        <w:rPr>
          <w:rFonts w:ascii="Arial" w:hAnsi="Arial" w:cs="Arial"/>
          <w:b/>
          <w:bCs/>
        </w:rPr>
        <w:t>Joint planning sessions</w:t>
      </w:r>
      <w:r w:rsidRPr="00152FC8">
        <w:rPr>
          <w:rFonts w:ascii="Arial" w:hAnsi="Arial" w:cs="Arial"/>
        </w:rPr>
        <w:t xml:space="preserve"> involving regulatory and QA teams to ensure documentation is synchronised.</w:t>
      </w:r>
    </w:p>
    <w:p w14:paraId="679A23E1" w14:textId="77777777" w:rsidR="00152FC8" w:rsidRPr="00152FC8" w:rsidRDefault="00152FC8" w:rsidP="00152FC8">
      <w:pPr>
        <w:spacing w:line="360" w:lineRule="auto"/>
        <w:rPr>
          <w:rFonts w:ascii="Arial" w:hAnsi="Arial" w:cs="Arial"/>
        </w:rPr>
      </w:pPr>
      <w:r w:rsidRPr="00152FC8">
        <w:rPr>
          <w:rFonts w:ascii="Arial" w:hAnsi="Arial" w:cs="Arial"/>
        </w:rPr>
        <w:t>Coordination challenges often involve resource allocation, incompatible timelines, or delays from external partners, such as suppliers or MHRA review cycles. To address these, contingency plans, buffer periods and risk registers must be maintained. For example, supply chain delays can be managed by identifying alternative suppliers or adjusting production batches.</w:t>
      </w:r>
    </w:p>
    <w:p w14:paraId="1F5F6919" w14:textId="77777777" w:rsidR="00152FC8" w:rsidRPr="00152FC8" w:rsidRDefault="00152FC8" w:rsidP="00152FC8">
      <w:pPr>
        <w:spacing w:line="360" w:lineRule="auto"/>
        <w:rPr>
          <w:rFonts w:ascii="Arial" w:hAnsi="Arial" w:cs="Arial"/>
          <w:b/>
          <w:bCs/>
        </w:rPr>
      </w:pPr>
      <w:r w:rsidRPr="00152FC8">
        <w:rPr>
          <w:rFonts w:ascii="Arial" w:hAnsi="Arial" w:cs="Arial"/>
          <w:b/>
          <w:bCs/>
          <w:highlight w:val="yellow"/>
        </w:rPr>
        <w:t>Coordination Conflict Management</w:t>
      </w:r>
    </w:p>
    <w:p w14:paraId="2A4FAF50" w14:textId="77777777" w:rsidR="00152FC8" w:rsidRPr="00152FC8" w:rsidRDefault="00152FC8" w:rsidP="00152FC8">
      <w:pPr>
        <w:spacing w:line="360" w:lineRule="auto"/>
        <w:rPr>
          <w:rFonts w:ascii="Arial" w:hAnsi="Arial" w:cs="Arial"/>
        </w:rPr>
      </w:pPr>
      <w:r w:rsidRPr="00152FC8">
        <w:rPr>
          <w:rFonts w:ascii="Arial" w:hAnsi="Arial" w:cs="Arial"/>
        </w:rPr>
        <w:t>Conflicts may occur when tasks depend on each other. For instance:</w:t>
      </w:r>
    </w:p>
    <w:p w14:paraId="4E0551A0" w14:textId="77777777" w:rsidR="00152FC8" w:rsidRPr="00152FC8" w:rsidRDefault="00152FC8" w:rsidP="00152FC8">
      <w:pPr>
        <w:numPr>
          <w:ilvl w:val="0"/>
          <w:numId w:val="13"/>
        </w:numPr>
        <w:spacing w:line="360" w:lineRule="auto"/>
        <w:rPr>
          <w:rFonts w:ascii="Arial" w:hAnsi="Arial" w:cs="Arial"/>
        </w:rPr>
      </w:pPr>
      <w:r w:rsidRPr="00152FC8">
        <w:rPr>
          <w:rFonts w:ascii="Arial" w:hAnsi="Arial" w:cs="Arial"/>
        </w:rPr>
        <w:t>R&amp;D may require more time for prototype refinement while marketing needs early product visuals.</w:t>
      </w:r>
    </w:p>
    <w:p w14:paraId="3D193E7E" w14:textId="77777777" w:rsidR="00152FC8" w:rsidRPr="00152FC8" w:rsidRDefault="00152FC8" w:rsidP="00152FC8">
      <w:pPr>
        <w:numPr>
          <w:ilvl w:val="0"/>
          <w:numId w:val="13"/>
        </w:numPr>
        <w:spacing w:line="360" w:lineRule="auto"/>
        <w:rPr>
          <w:rFonts w:ascii="Arial" w:hAnsi="Arial" w:cs="Arial"/>
        </w:rPr>
      </w:pPr>
      <w:r w:rsidRPr="00152FC8">
        <w:rPr>
          <w:rFonts w:ascii="Arial" w:hAnsi="Arial" w:cs="Arial"/>
        </w:rPr>
        <w:t>IT security requirements may conflict with usability goals.</w:t>
      </w:r>
    </w:p>
    <w:p w14:paraId="0C7F39AC" w14:textId="77777777" w:rsidR="00152FC8" w:rsidRDefault="00152FC8" w:rsidP="00152FC8">
      <w:pPr>
        <w:spacing w:line="360" w:lineRule="auto"/>
        <w:rPr>
          <w:rFonts w:ascii="Arial" w:hAnsi="Arial" w:cs="Arial"/>
        </w:rPr>
      </w:pPr>
      <w:r w:rsidRPr="00152FC8">
        <w:rPr>
          <w:rFonts w:ascii="Arial" w:hAnsi="Arial" w:cs="Arial"/>
        </w:rPr>
        <w:t xml:space="preserve">To resolve such conflicts, coordination meetings must prioritise </w:t>
      </w:r>
      <w:r w:rsidRPr="00152FC8">
        <w:rPr>
          <w:rFonts w:ascii="Arial" w:hAnsi="Arial" w:cs="Arial"/>
          <w:b/>
          <w:bCs/>
        </w:rPr>
        <w:t>shared project goals</w:t>
      </w:r>
      <w:r w:rsidRPr="00152FC8">
        <w:rPr>
          <w:rFonts w:ascii="Arial" w:hAnsi="Arial" w:cs="Arial"/>
        </w:rPr>
        <w:t xml:space="preserve"> rather than individual departmental aims. Mediation by the project manager ensures balanced solutions, such as phased deliverables that meet partial requirements across teams.</w:t>
      </w:r>
    </w:p>
    <w:p w14:paraId="2A8B34B7" w14:textId="5E247ABB" w:rsidR="00E96188" w:rsidRPr="00E96188" w:rsidRDefault="00E96188" w:rsidP="00E96188">
      <w:pPr>
        <w:spacing w:line="360" w:lineRule="auto"/>
        <w:rPr>
          <w:rFonts w:ascii="Arial" w:hAnsi="Arial" w:cs="Arial"/>
          <w:b/>
          <w:bCs/>
        </w:rPr>
      </w:pPr>
      <w:r w:rsidRPr="00E96188">
        <w:rPr>
          <w:rFonts w:ascii="Arial" w:hAnsi="Arial" w:cs="Arial"/>
          <w:b/>
          <w:bCs/>
          <w:highlight w:val="yellow"/>
        </w:rPr>
        <w:lastRenderedPageBreak/>
        <w:t>Cooperation</w:t>
      </w:r>
      <w:r w:rsidRPr="00E96188">
        <w:rPr>
          <w:rFonts w:ascii="Arial" w:hAnsi="Arial" w:cs="Arial"/>
          <w:b/>
          <w:bCs/>
          <w:highlight w:val="yellow"/>
        </w:rPr>
        <w:t>-</w:t>
      </w:r>
      <w:r>
        <w:rPr>
          <w:rFonts w:ascii="Arial" w:hAnsi="Arial" w:cs="Arial"/>
          <w:b/>
          <w:bCs/>
        </w:rPr>
        <w:t xml:space="preserve"> </w:t>
      </w:r>
      <w:r w:rsidRPr="00E96188">
        <w:rPr>
          <w:rFonts w:ascii="Arial" w:hAnsi="Arial" w:cs="Arial"/>
        </w:rPr>
        <w:t>Cooperation refers to stakeholders willingly contributing to project goals through shared effort. For Medtronic, cooperation is essential during clinical testing, user trials, and data integration processes.</w:t>
      </w:r>
    </w:p>
    <w:p w14:paraId="39721471" w14:textId="77777777" w:rsidR="00E96188" w:rsidRPr="00E96188" w:rsidRDefault="00E96188" w:rsidP="00E96188">
      <w:pPr>
        <w:spacing w:line="360" w:lineRule="auto"/>
        <w:rPr>
          <w:rFonts w:ascii="Arial" w:hAnsi="Arial" w:cs="Arial"/>
          <w:b/>
          <w:bCs/>
        </w:rPr>
      </w:pPr>
      <w:r w:rsidRPr="00E96188">
        <w:rPr>
          <w:rFonts w:ascii="Arial" w:hAnsi="Arial" w:cs="Arial"/>
          <w:b/>
          <w:bCs/>
          <w:highlight w:val="yellow"/>
        </w:rPr>
        <w:t>Encouraging Cooperation</w:t>
      </w:r>
    </w:p>
    <w:p w14:paraId="68870339" w14:textId="77777777" w:rsidR="00E96188" w:rsidRPr="00E96188" w:rsidRDefault="00E96188" w:rsidP="00E96188">
      <w:pPr>
        <w:numPr>
          <w:ilvl w:val="0"/>
          <w:numId w:val="14"/>
        </w:numPr>
        <w:spacing w:line="360" w:lineRule="auto"/>
        <w:rPr>
          <w:rFonts w:ascii="Arial" w:hAnsi="Arial" w:cs="Arial"/>
        </w:rPr>
      </w:pPr>
      <w:r w:rsidRPr="00E96188">
        <w:rPr>
          <w:rFonts w:ascii="Arial" w:hAnsi="Arial" w:cs="Arial"/>
          <w:b/>
          <w:bCs/>
        </w:rPr>
        <w:t>Involving clinicians early</w:t>
      </w:r>
      <w:r w:rsidRPr="00E96188">
        <w:rPr>
          <w:rFonts w:ascii="Arial" w:hAnsi="Arial" w:cs="Arial"/>
        </w:rPr>
        <w:t xml:space="preserve"> increases their willingness to participate in trials and give meaningful feedback.</w:t>
      </w:r>
    </w:p>
    <w:p w14:paraId="1E93892F" w14:textId="77777777" w:rsidR="00E96188" w:rsidRPr="00E96188" w:rsidRDefault="00E96188" w:rsidP="00E96188">
      <w:pPr>
        <w:numPr>
          <w:ilvl w:val="0"/>
          <w:numId w:val="14"/>
        </w:numPr>
        <w:spacing w:line="360" w:lineRule="auto"/>
        <w:rPr>
          <w:rFonts w:ascii="Arial" w:hAnsi="Arial" w:cs="Arial"/>
        </w:rPr>
      </w:pPr>
      <w:r w:rsidRPr="00E96188">
        <w:rPr>
          <w:rFonts w:ascii="Arial" w:hAnsi="Arial" w:cs="Arial"/>
          <w:b/>
          <w:bCs/>
        </w:rPr>
        <w:t>Providing training and demos</w:t>
      </w:r>
      <w:r w:rsidRPr="00E96188">
        <w:rPr>
          <w:rFonts w:ascii="Arial" w:hAnsi="Arial" w:cs="Arial"/>
        </w:rPr>
        <w:t xml:space="preserve"> enhances understanding and enthusiasm for the device.</w:t>
      </w:r>
    </w:p>
    <w:p w14:paraId="1D02A3FF" w14:textId="77777777" w:rsidR="00E96188" w:rsidRPr="00E96188" w:rsidRDefault="00E96188" w:rsidP="00E96188">
      <w:pPr>
        <w:numPr>
          <w:ilvl w:val="0"/>
          <w:numId w:val="14"/>
        </w:numPr>
        <w:spacing w:line="360" w:lineRule="auto"/>
        <w:rPr>
          <w:rFonts w:ascii="Arial" w:hAnsi="Arial" w:cs="Arial"/>
        </w:rPr>
      </w:pPr>
      <w:r w:rsidRPr="00E96188">
        <w:rPr>
          <w:rFonts w:ascii="Arial" w:hAnsi="Arial" w:cs="Arial"/>
          <w:b/>
          <w:bCs/>
        </w:rPr>
        <w:t>Empowering cross-functional teams</w:t>
      </w:r>
      <w:r w:rsidRPr="00E96188">
        <w:rPr>
          <w:rFonts w:ascii="Arial" w:hAnsi="Arial" w:cs="Arial"/>
        </w:rPr>
        <w:t xml:space="preserve"> supports ownership and positive attitudes toward project outcomes.</w:t>
      </w:r>
    </w:p>
    <w:p w14:paraId="095A31E6" w14:textId="77777777" w:rsidR="00E96188" w:rsidRPr="00E96188" w:rsidRDefault="00E96188" w:rsidP="00E96188">
      <w:pPr>
        <w:spacing w:line="360" w:lineRule="auto"/>
        <w:rPr>
          <w:rFonts w:ascii="Arial" w:hAnsi="Arial" w:cs="Arial"/>
          <w:b/>
          <w:bCs/>
        </w:rPr>
      </w:pPr>
      <w:r w:rsidRPr="00E96188">
        <w:rPr>
          <w:rFonts w:ascii="Arial" w:hAnsi="Arial" w:cs="Arial"/>
          <w:b/>
          <w:bCs/>
          <w:highlight w:val="yellow"/>
        </w:rPr>
        <w:t>Challenges to Cooperation</w:t>
      </w:r>
    </w:p>
    <w:p w14:paraId="64390A3C" w14:textId="5562FC74" w:rsidR="00E96188" w:rsidRPr="00E96188" w:rsidRDefault="00E96188" w:rsidP="00E96188">
      <w:pPr>
        <w:spacing w:line="360" w:lineRule="auto"/>
        <w:rPr>
          <w:rFonts w:ascii="Arial" w:hAnsi="Arial" w:cs="Arial"/>
        </w:rPr>
      </w:pPr>
      <w:r w:rsidRPr="00E96188">
        <w:rPr>
          <w:rFonts w:ascii="Arial" w:hAnsi="Arial" w:cs="Arial"/>
        </w:rPr>
        <w:t>Some stakeholders may have limited interest, motivation, or availability. Senior executives may deprioritise the project temporarily due to shifting organisational agendas. Similarly, clinicians' high caseloads may limit participation in testing</w:t>
      </w:r>
      <w:r w:rsidR="00A04FE7">
        <w:rPr>
          <w:rFonts w:ascii="Arial" w:hAnsi="Arial" w:cs="Arial"/>
        </w:rPr>
        <w:t xml:space="preserve"> </w:t>
      </w:r>
      <w:r w:rsidR="00A04FE7" w:rsidRPr="00A04FE7">
        <w:rPr>
          <w:rFonts w:ascii="Arial" w:hAnsi="Arial" w:cs="Arial"/>
        </w:rPr>
        <w:t>(Harpaz, 2022)</w:t>
      </w:r>
      <w:r w:rsidR="00A04FE7">
        <w:rPr>
          <w:rFonts w:ascii="Arial" w:hAnsi="Arial" w:cs="Arial"/>
        </w:rPr>
        <w:t>.</w:t>
      </w:r>
    </w:p>
    <w:p w14:paraId="7B4A9D26" w14:textId="77777777" w:rsidR="00E96188" w:rsidRPr="00E96188" w:rsidRDefault="00E96188" w:rsidP="00E96188">
      <w:pPr>
        <w:spacing w:line="360" w:lineRule="auto"/>
        <w:rPr>
          <w:rFonts w:ascii="Arial" w:hAnsi="Arial" w:cs="Arial"/>
          <w:b/>
          <w:bCs/>
        </w:rPr>
      </w:pPr>
      <w:r w:rsidRPr="00E96188">
        <w:rPr>
          <w:rFonts w:ascii="Arial" w:hAnsi="Arial" w:cs="Arial"/>
          <w:b/>
          <w:bCs/>
          <w:highlight w:val="yellow"/>
        </w:rPr>
        <w:t>Resolving Cooperation Conflicts</w:t>
      </w:r>
    </w:p>
    <w:p w14:paraId="787BB695" w14:textId="77777777" w:rsidR="00E96188" w:rsidRDefault="00E96188" w:rsidP="00E96188">
      <w:pPr>
        <w:spacing w:line="360" w:lineRule="auto"/>
        <w:rPr>
          <w:rFonts w:ascii="Arial" w:hAnsi="Arial" w:cs="Arial"/>
        </w:rPr>
      </w:pPr>
      <w:r w:rsidRPr="00E96188">
        <w:rPr>
          <w:rFonts w:ascii="Arial" w:hAnsi="Arial" w:cs="Arial"/>
        </w:rPr>
        <w:t>To address these, incentives such as formal recognition, clear benefits, and reduced administrative burdens may be introduced. Cooperation must align with organisational values, encouraging stakeholders to feel their involvement contributes to broader health care improvements (Bryson, 2018).</w:t>
      </w:r>
    </w:p>
    <w:p w14:paraId="3474F570" w14:textId="5E2BAFB0" w:rsidR="003B4C43" w:rsidRPr="003B4C43" w:rsidRDefault="003B4C43" w:rsidP="003B4C43">
      <w:pPr>
        <w:spacing w:line="360" w:lineRule="auto"/>
        <w:rPr>
          <w:rFonts w:ascii="Arial" w:hAnsi="Arial" w:cs="Arial"/>
          <w:b/>
          <w:bCs/>
        </w:rPr>
      </w:pPr>
      <w:r w:rsidRPr="003B4C43">
        <w:rPr>
          <w:rFonts w:ascii="Arial" w:hAnsi="Arial" w:cs="Arial"/>
          <w:b/>
          <w:bCs/>
          <w:highlight w:val="yellow"/>
        </w:rPr>
        <w:t>Collaboration</w:t>
      </w:r>
      <w:r>
        <w:rPr>
          <w:rFonts w:ascii="Arial" w:hAnsi="Arial" w:cs="Arial"/>
          <w:b/>
          <w:bCs/>
        </w:rPr>
        <w:t xml:space="preserve">- </w:t>
      </w:r>
      <w:r w:rsidRPr="003B4C43">
        <w:rPr>
          <w:rFonts w:ascii="Arial" w:hAnsi="Arial" w:cs="Arial"/>
        </w:rPr>
        <w:t>Collaboration is the highest level of stakeholder engagement, requiring shared decision-making and integrated workflows. For medical device development, collaboration is vital when refining usability, solving technical issues, and ensuring regulatory compliance.</w:t>
      </w:r>
    </w:p>
    <w:p w14:paraId="05F88CD4" w14:textId="77777777" w:rsidR="003B4C43" w:rsidRPr="003B4C43" w:rsidRDefault="003B4C43" w:rsidP="003B4C43">
      <w:pPr>
        <w:spacing w:line="360" w:lineRule="auto"/>
        <w:rPr>
          <w:rFonts w:ascii="Arial" w:hAnsi="Arial" w:cs="Arial"/>
          <w:b/>
          <w:bCs/>
        </w:rPr>
      </w:pPr>
      <w:r w:rsidRPr="003B4C43">
        <w:rPr>
          <w:rFonts w:ascii="Arial" w:hAnsi="Arial" w:cs="Arial"/>
          <w:b/>
          <w:bCs/>
          <w:highlight w:val="yellow"/>
        </w:rPr>
        <w:t>Collaborative Actions</w:t>
      </w:r>
    </w:p>
    <w:p w14:paraId="2B3F4AE7" w14:textId="77777777" w:rsidR="003B4C43" w:rsidRPr="003B4C43" w:rsidRDefault="003B4C43" w:rsidP="003B4C43">
      <w:pPr>
        <w:numPr>
          <w:ilvl w:val="0"/>
          <w:numId w:val="15"/>
        </w:numPr>
        <w:spacing w:line="360" w:lineRule="auto"/>
        <w:rPr>
          <w:rFonts w:ascii="Arial" w:hAnsi="Arial" w:cs="Arial"/>
        </w:rPr>
      </w:pPr>
      <w:r w:rsidRPr="003B4C43">
        <w:rPr>
          <w:rFonts w:ascii="Arial" w:hAnsi="Arial" w:cs="Arial"/>
          <w:b/>
          <w:bCs/>
        </w:rPr>
        <w:t>Co-design sessions</w:t>
      </w:r>
      <w:r w:rsidRPr="003B4C43">
        <w:rPr>
          <w:rFonts w:ascii="Arial" w:hAnsi="Arial" w:cs="Arial"/>
        </w:rPr>
        <w:t xml:space="preserve"> with clinicians and patients focusing on comfort, usability and accessibility.</w:t>
      </w:r>
    </w:p>
    <w:p w14:paraId="36294800" w14:textId="77777777" w:rsidR="003B4C43" w:rsidRPr="003B4C43" w:rsidRDefault="003B4C43" w:rsidP="003B4C43">
      <w:pPr>
        <w:numPr>
          <w:ilvl w:val="0"/>
          <w:numId w:val="15"/>
        </w:numPr>
        <w:spacing w:line="360" w:lineRule="auto"/>
        <w:rPr>
          <w:rFonts w:ascii="Arial" w:hAnsi="Arial" w:cs="Arial"/>
        </w:rPr>
      </w:pPr>
      <w:r w:rsidRPr="003B4C43">
        <w:rPr>
          <w:rFonts w:ascii="Arial" w:hAnsi="Arial" w:cs="Arial"/>
          <w:b/>
          <w:bCs/>
        </w:rPr>
        <w:t>Joint cybersecurity reviews</w:t>
      </w:r>
      <w:r w:rsidRPr="003B4C43">
        <w:rPr>
          <w:rFonts w:ascii="Arial" w:hAnsi="Arial" w:cs="Arial"/>
        </w:rPr>
        <w:t xml:space="preserve"> with external data specialists.</w:t>
      </w:r>
    </w:p>
    <w:p w14:paraId="68BBF7CC" w14:textId="77777777" w:rsidR="003B4C43" w:rsidRPr="003B4C43" w:rsidRDefault="003B4C43" w:rsidP="003B4C43">
      <w:pPr>
        <w:numPr>
          <w:ilvl w:val="0"/>
          <w:numId w:val="15"/>
        </w:numPr>
        <w:spacing w:line="360" w:lineRule="auto"/>
        <w:rPr>
          <w:rFonts w:ascii="Arial" w:hAnsi="Arial" w:cs="Arial"/>
        </w:rPr>
      </w:pPr>
      <w:r w:rsidRPr="003B4C43">
        <w:rPr>
          <w:rFonts w:ascii="Arial" w:hAnsi="Arial" w:cs="Arial"/>
          <w:b/>
          <w:bCs/>
        </w:rPr>
        <w:t>Partnerships with NHS Digital</w:t>
      </w:r>
      <w:r w:rsidRPr="003B4C43">
        <w:rPr>
          <w:rFonts w:ascii="Arial" w:hAnsi="Arial" w:cs="Arial"/>
        </w:rPr>
        <w:t xml:space="preserve"> to ensure interoperability and clinical-quality data formats.</w:t>
      </w:r>
    </w:p>
    <w:p w14:paraId="0E1E381C" w14:textId="77777777" w:rsidR="003B4C43" w:rsidRPr="003B4C43" w:rsidRDefault="003B4C43" w:rsidP="003B4C43">
      <w:pPr>
        <w:spacing w:line="360" w:lineRule="auto"/>
        <w:rPr>
          <w:rFonts w:ascii="Arial" w:hAnsi="Arial" w:cs="Arial"/>
        </w:rPr>
      </w:pPr>
      <w:r w:rsidRPr="003B4C43">
        <w:rPr>
          <w:rFonts w:ascii="Arial" w:hAnsi="Arial" w:cs="Arial"/>
        </w:rPr>
        <w:t>These collaborative efforts improve device quality, create shared ownership, and increase acceptance upon launch.</w:t>
      </w:r>
    </w:p>
    <w:p w14:paraId="385B4C56" w14:textId="77777777" w:rsidR="003B4C43" w:rsidRPr="003B4C43" w:rsidRDefault="003B4C43" w:rsidP="003B4C43">
      <w:pPr>
        <w:spacing w:line="360" w:lineRule="auto"/>
        <w:rPr>
          <w:rFonts w:ascii="Arial" w:hAnsi="Arial" w:cs="Arial"/>
          <w:b/>
          <w:bCs/>
        </w:rPr>
      </w:pPr>
      <w:r w:rsidRPr="003B4C43">
        <w:rPr>
          <w:rFonts w:ascii="Arial" w:hAnsi="Arial" w:cs="Arial"/>
          <w:b/>
          <w:bCs/>
          <w:highlight w:val="yellow"/>
        </w:rPr>
        <w:lastRenderedPageBreak/>
        <w:t>Collaboration Conflict Management</w:t>
      </w:r>
    </w:p>
    <w:p w14:paraId="218C41A1" w14:textId="77777777" w:rsidR="003B4C43" w:rsidRPr="003B4C43" w:rsidRDefault="003B4C43" w:rsidP="003B4C43">
      <w:pPr>
        <w:spacing w:line="360" w:lineRule="auto"/>
        <w:rPr>
          <w:rFonts w:ascii="Arial" w:hAnsi="Arial" w:cs="Arial"/>
        </w:rPr>
      </w:pPr>
      <w:r w:rsidRPr="003B4C43">
        <w:rPr>
          <w:rFonts w:ascii="Arial" w:hAnsi="Arial" w:cs="Arial"/>
        </w:rPr>
        <w:t>Conflicts in collaborative environments often arise due to:</w:t>
      </w:r>
    </w:p>
    <w:p w14:paraId="1CBE94C8" w14:textId="77777777" w:rsidR="003B4C43" w:rsidRPr="003B4C43" w:rsidRDefault="003B4C43" w:rsidP="003B4C43">
      <w:pPr>
        <w:numPr>
          <w:ilvl w:val="0"/>
          <w:numId w:val="16"/>
        </w:numPr>
        <w:spacing w:line="360" w:lineRule="auto"/>
        <w:rPr>
          <w:rFonts w:ascii="Arial" w:hAnsi="Arial" w:cs="Arial"/>
        </w:rPr>
      </w:pPr>
      <w:r w:rsidRPr="003B4C43">
        <w:rPr>
          <w:rFonts w:ascii="Arial" w:hAnsi="Arial" w:cs="Arial"/>
        </w:rPr>
        <w:t>Differences in professional perspectives (e.g., clinical vs. technical).</w:t>
      </w:r>
    </w:p>
    <w:p w14:paraId="565E8795" w14:textId="77777777" w:rsidR="003B4C43" w:rsidRPr="003B4C43" w:rsidRDefault="003B4C43" w:rsidP="003B4C43">
      <w:pPr>
        <w:numPr>
          <w:ilvl w:val="0"/>
          <w:numId w:val="16"/>
        </w:numPr>
        <w:spacing w:line="360" w:lineRule="auto"/>
        <w:rPr>
          <w:rFonts w:ascii="Arial" w:hAnsi="Arial" w:cs="Arial"/>
        </w:rPr>
      </w:pPr>
      <w:r w:rsidRPr="003B4C43">
        <w:rPr>
          <w:rFonts w:ascii="Arial" w:hAnsi="Arial" w:cs="Arial"/>
        </w:rPr>
        <w:t>Competing organisational priorities (e.g., NHS budget limitations).</w:t>
      </w:r>
    </w:p>
    <w:p w14:paraId="0384518C" w14:textId="77777777" w:rsidR="003B4C43" w:rsidRPr="003B4C43" w:rsidRDefault="003B4C43" w:rsidP="003B4C43">
      <w:pPr>
        <w:numPr>
          <w:ilvl w:val="0"/>
          <w:numId w:val="16"/>
        </w:numPr>
        <w:spacing w:line="360" w:lineRule="auto"/>
        <w:rPr>
          <w:rFonts w:ascii="Arial" w:hAnsi="Arial" w:cs="Arial"/>
        </w:rPr>
      </w:pPr>
      <w:r w:rsidRPr="003B4C43">
        <w:rPr>
          <w:rFonts w:ascii="Arial" w:hAnsi="Arial" w:cs="Arial"/>
        </w:rPr>
        <w:t>Data protection concerns.</w:t>
      </w:r>
    </w:p>
    <w:p w14:paraId="0639295A" w14:textId="77777777" w:rsidR="003B4C43" w:rsidRPr="003B4C43" w:rsidRDefault="003B4C43" w:rsidP="003B4C43">
      <w:pPr>
        <w:spacing w:line="360" w:lineRule="auto"/>
        <w:rPr>
          <w:rFonts w:ascii="Arial" w:hAnsi="Arial" w:cs="Arial"/>
          <w:b/>
          <w:bCs/>
        </w:rPr>
      </w:pPr>
      <w:r w:rsidRPr="003B4C43">
        <w:rPr>
          <w:rFonts w:ascii="Arial" w:hAnsi="Arial" w:cs="Arial"/>
          <w:b/>
          <w:bCs/>
          <w:highlight w:val="yellow"/>
        </w:rPr>
        <w:t>Conflict resolution involves:</w:t>
      </w:r>
    </w:p>
    <w:p w14:paraId="59F40BBB" w14:textId="77777777" w:rsidR="003B4C43" w:rsidRPr="003B4C43" w:rsidRDefault="003B4C43" w:rsidP="003B4C43">
      <w:pPr>
        <w:numPr>
          <w:ilvl w:val="0"/>
          <w:numId w:val="17"/>
        </w:numPr>
        <w:spacing w:line="360" w:lineRule="auto"/>
        <w:rPr>
          <w:rFonts w:ascii="Arial" w:hAnsi="Arial" w:cs="Arial"/>
        </w:rPr>
      </w:pPr>
      <w:r w:rsidRPr="003B4C43">
        <w:rPr>
          <w:rFonts w:ascii="Arial" w:hAnsi="Arial" w:cs="Arial"/>
        </w:rPr>
        <w:t>Facilitated discussions focusing on shared goals: safety, reliability and user benefit.</w:t>
      </w:r>
    </w:p>
    <w:p w14:paraId="0272DAF5" w14:textId="77777777" w:rsidR="003B4C43" w:rsidRPr="003B4C43" w:rsidRDefault="003B4C43" w:rsidP="003B4C43">
      <w:pPr>
        <w:numPr>
          <w:ilvl w:val="0"/>
          <w:numId w:val="17"/>
        </w:numPr>
        <w:spacing w:line="360" w:lineRule="auto"/>
        <w:rPr>
          <w:rFonts w:ascii="Arial" w:hAnsi="Arial" w:cs="Arial"/>
        </w:rPr>
      </w:pPr>
      <w:r w:rsidRPr="003B4C43">
        <w:rPr>
          <w:rFonts w:ascii="Arial" w:hAnsi="Arial" w:cs="Arial"/>
        </w:rPr>
        <w:t>Data-driven decision-making where evidence replaces subjective opinion.</w:t>
      </w:r>
    </w:p>
    <w:p w14:paraId="0B468A33" w14:textId="77777777" w:rsidR="003B4C43" w:rsidRPr="003B4C43" w:rsidRDefault="003B4C43" w:rsidP="003B4C43">
      <w:pPr>
        <w:numPr>
          <w:ilvl w:val="0"/>
          <w:numId w:val="17"/>
        </w:numPr>
        <w:spacing w:line="360" w:lineRule="auto"/>
        <w:rPr>
          <w:rFonts w:ascii="Arial" w:hAnsi="Arial" w:cs="Arial"/>
        </w:rPr>
      </w:pPr>
      <w:r w:rsidRPr="003B4C43">
        <w:rPr>
          <w:rFonts w:ascii="Arial" w:hAnsi="Arial" w:cs="Arial"/>
        </w:rPr>
        <w:t>Escalation procedures when consensus cannot be reached, allowing leadership to make final decisions.</w:t>
      </w:r>
    </w:p>
    <w:p w14:paraId="6F7D22A3" w14:textId="02D9504E" w:rsidR="003B4C43" w:rsidRDefault="00F26A58" w:rsidP="00E96188">
      <w:pPr>
        <w:spacing w:line="360" w:lineRule="auto"/>
        <w:rPr>
          <w:rFonts w:ascii="Arial" w:hAnsi="Arial" w:cs="Arial"/>
        </w:rPr>
      </w:pPr>
      <w:r w:rsidRPr="00F26A58">
        <w:rPr>
          <w:rFonts w:ascii="Arial" w:hAnsi="Arial" w:cs="Arial"/>
        </w:rPr>
        <w:t>As project manager, applying the 4Cs ensures that communication remains clear, coordination organised, cooperation encouraged, and collaboration strengthened. Together, these strategies minimise conflict, enhance innovation, and enable Medtronic to bring a safe, effective wearable device to market within the required timeframe.</w:t>
      </w:r>
    </w:p>
    <w:p w14:paraId="302BF71C" w14:textId="5703E4EA" w:rsidR="00A45B82" w:rsidRDefault="00A45B82" w:rsidP="00E96188">
      <w:pPr>
        <w:spacing w:line="360" w:lineRule="auto"/>
        <w:rPr>
          <w:rFonts w:ascii="Arial" w:hAnsi="Arial" w:cs="Arial"/>
        </w:rPr>
      </w:pPr>
      <w:r w:rsidRPr="00A45B82">
        <w:rPr>
          <w:rFonts w:ascii="Arial" w:hAnsi="Arial" w:cs="Arial"/>
          <w:b/>
          <w:bCs/>
          <w:sz w:val="28"/>
          <w:szCs w:val="28"/>
        </w:rPr>
        <w:t>Impact of Stakeholder Engagement on Business Performance + Recommendations</w:t>
      </w:r>
      <w:r w:rsidR="00C070C1">
        <w:rPr>
          <w:rFonts w:ascii="Arial" w:hAnsi="Arial" w:cs="Arial"/>
          <w:b/>
          <w:bCs/>
          <w:sz w:val="28"/>
          <w:szCs w:val="28"/>
        </w:rPr>
        <w:t xml:space="preserve">- </w:t>
      </w:r>
      <w:r w:rsidR="00C070C1" w:rsidRPr="00C070C1">
        <w:rPr>
          <w:rFonts w:ascii="Arial" w:hAnsi="Arial" w:cs="Arial"/>
        </w:rPr>
        <w:t>Stakeholder engagement significantly influences Medtronic’s financial, operational, and strategic performance. Effective engagement supports regulatory compliance, accelerates innovation, improves market success, and strengthens organisational reputation.</w:t>
      </w:r>
    </w:p>
    <w:p w14:paraId="2B40278C" w14:textId="77777777" w:rsidR="00920584" w:rsidRPr="00920584" w:rsidRDefault="00920584" w:rsidP="00920584">
      <w:pPr>
        <w:spacing w:line="360" w:lineRule="auto"/>
        <w:rPr>
          <w:rFonts w:ascii="Arial" w:hAnsi="Arial" w:cs="Arial"/>
          <w:b/>
          <w:bCs/>
          <w:sz w:val="18"/>
          <w:szCs w:val="18"/>
        </w:rPr>
      </w:pPr>
      <w:r w:rsidRPr="00920584">
        <w:rPr>
          <w:rFonts w:ascii="Arial" w:hAnsi="Arial" w:cs="Arial"/>
          <w:b/>
          <w:bCs/>
          <w:highlight w:val="yellow"/>
        </w:rPr>
        <w:t>Impact on Product Quality and Innovation</w:t>
      </w:r>
    </w:p>
    <w:p w14:paraId="5739E207" w14:textId="77777777" w:rsidR="00920584" w:rsidRPr="00920584" w:rsidRDefault="00920584" w:rsidP="00920584">
      <w:pPr>
        <w:spacing w:line="360" w:lineRule="auto"/>
        <w:rPr>
          <w:rFonts w:ascii="Arial" w:hAnsi="Arial" w:cs="Arial"/>
        </w:rPr>
      </w:pPr>
      <w:r w:rsidRPr="00920584">
        <w:rPr>
          <w:rFonts w:ascii="Arial" w:hAnsi="Arial" w:cs="Arial"/>
        </w:rPr>
        <w:t>Engaging R&amp;D teams, clinicians, and patients ensures the device is user-friendly, medically accurate, and technologically superior. Early clinical involvement supports the identification of:</w:t>
      </w:r>
    </w:p>
    <w:p w14:paraId="62A0FAE9" w14:textId="77777777" w:rsidR="00920584" w:rsidRPr="00920584" w:rsidRDefault="00920584" w:rsidP="00920584">
      <w:pPr>
        <w:numPr>
          <w:ilvl w:val="0"/>
          <w:numId w:val="18"/>
        </w:numPr>
        <w:spacing w:line="360" w:lineRule="auto"/>
        <w:rPr>
          <w:rFonts w:ascii="Arial" w:hAnsi="Arial" w:cs="Arial"/>
        </w:rPr>
      </w:pPr>
      <w:r w:rsidRPr="00920584">
        <w:rPr>
          <w:rFonts w:ascii="Arial" w:hAnsi="Arial" w:cs="Arial"/>
        </w:rPr>
        <w:t>false positives and false negatives in readings</w:t>
      </w:r>
    </w:p>
    <w:p w14:paraId="54C6AAB7" w14:textId="77777777" w:rsidR="00920584" w:rsidRPr="00920584" w:rsidRDefault="00920584" w:rsidP="00920584">
      <w:pPr>
        <w:numPr>
          <w:ilvl w:val="0"/>
          <w:numId w:val="18"/>
        </w:numPr>
        <w:spacing w:line="360" w:lineRule="auto"/>
        <w:rPr>
          <w:rFonts w:ascii="Arial" w:hAnsi="Arial" w:cs="Arial"/>
        </w:rPr>
      </w:pPr>
      <w:r w:rsidRPr="00920584">
        <w:rPr>
          <w:rFonts w:ascii="Arial" w:hAnsi="Arial" w:cs="Arial"/>
        </w:rPr>
        <w:t>comfort issues with straps or sensors</w:t>
      </w:r>
    </w:p>
    <w:p w14:paraId="649001CC" w14:textId="77777777" w:rsidR="00920584" w:rsidRPr="00920584" w:rsidRDefault="00920584" w:rsidP="00920584">
      <w:pPr>
        <w:numPr>
          <w:ilvl w:val="0"/>
          <w:numId w:val="18"/>
        </w:numPr>
        <w:spacing w:line="360" w:lineRule="auto"/>
        <w:rPr>
          <w:rFonts w:ascii="Arial" w:hAnsi="Arial" w:cs="Arial"/>
        </w:rPr>
      </w:pPr>
      <w:r w:rsidRPr="00920584">
        <w:rPr>
          <w:rFonts w:ascii="Arial" w:hAnsi="Arial" w:cs="Arial"/>
        </w:rPr>
        <w:t>data latency problems</w:t>
      </w:r>
    </w:p>
    <w:p w14:paraId="03A1EEB7" w14:textId="77777777" w:rsidR="00920584" w:rsidRPr="00920584" w:rsidRDefault="00920584" w:rsidP="00920584">
      <w:pPr>
        <w:numPr>
          <w:ilvl w:val="0"/>
          <w:numId w:val="18"/>
        </w:numPr>
        <w:spacing w:line="360" w:lineRule="auto"/>
        <w:rPr>
          <w:rFonts w:ascii="Arial" w:hAnsi="Arial" w:cs="Arial"/>
        </w:rPr>
      </w:pPr>
      <w:r w:rsidRPr="00920584">
        <w:rPr>
          <w:rFonts w:ascii="Arial" w:hAnsi="Arial" w:cs="Arial"/>
        </w:rPr>
        <w:t>user-interface challenges for people with limited digital literacy</w:t>
      </w:r>
    </w:p>
    <w:p w14:paraId="764FA2C4" w14:textId="714CC949" w:rsidR="00920584" w:rsidRPr="00920584" w:rsidRDefault="00920584" w:rsidP="00920584">
      <w:pPr>
        <w:spacing w:line="360" w:lineRule="auto"/>
        <w:rPr>
          <w:rFonts w:ascii="Arial" w:hAnsi="Arial" w:cs="Arial"/>
        </w:rPr>
      </w:pPr>
      <w:r w:rsidRPr="00920584">
        <w:rPr>
          <w:rFonts w:ascii="Arial" w:hAnsi="Arial" w:cs="Arial"/>
        </w:rPr>
        <w:lastRenderedPageBreak/>
        <w:t>This results in a more reliable product that meets real-world needs, improving adoption rates. As patient-centric design becomes increasingly important in health technology, strong engagement boosts Medtronic’s competitive position (</w:t>
      </w:r>
      <w:r w:rsidR="003B0DE6">
        <w:rPr>
          <w:rFonts w:ascii="Arial" w:hAnsi="Arial" w:cs="Arial"/>
        </w:rPr>
        <w:t>Burrell,2023</w:t>
      </w:r>
      <w:r w:rsidRPr="00920584">
        <w:rPr>
          <w:rFonts w:ascii="Arial" w:hAnsi="Arial" w:cs="Arial"/>
        </w:rPr>
        <w:t>).</w:t>
      </w:r>
    </w:p>
    <w:p w14:paraId="13DDAD76" w14:textId="77777777" w:rsidR="009E1F41" w:rsidRPr="009E1F41" w:rsidRDefault="009E1F41" w:rsidP="009E1F41">
      <w:pPr>
        <w:spacing w:line="360" w:lineRule="auto"/>
        <w:rPr>
          <w:rFonts w:ascii="Arial" w:hAnsi="Arial" w:cs="Arial"/>
          <w:b/>
          <w:bCs/>
        </w:rPr>
      </w:pPr>
      <w:r w:rsidRPr="009E1F41">
        <w:rPr>
          <w:rFonts w:ascii="Arial" w:hAnsi="Arial" w:cs="Arial"/>
          <w:b/>
          <w:bCs/>
          <w:highlight w:val="yellow"/>
        </w:rPr>
        <w:t>Impact on Regulatory Compliance and Risk Reduction</w:t>
      </w:r>
    </w:p>
    <w:p w14:paraId="3A543E1E" w14:textId="77777777" w:rsidR="009E1F41" w:rsidRPr="009E1F41" w:rsidRDefault="009E1F41" w:rsidP="009E1F41">
      <w:pPr>
        <w:spacing w:line="360" w:lineRule="auto"/>
        <w:rPr>
          <w:rFonts w:ascii="Arial" w:hAnsi="Arial" w:cs="Arial"/>
        </w:rPr>
      </w:pPr>
      <w:r w:rsidRPr="009E1F41">
        <w:rPr>
          <w:rFonts w:ascii="Arial" w:hAnsi="Arial" w:cs="Arial"/>
        </w:rPr>
        <w:t>Regulatory engagement with MHRA from the early stages reduces the risk of launch delays. Proactive communication ensures all evidence, documentation, and tests align with current standards. Compliance with UK GDPR through ICO engagement avoids legal penalties and maintains trust with patients.</w:t>
      </w:r>
    </w:p>
    <w:p w14:paraId="4CDFCBDB" w14:textId="77777777" w:rsidR="009E1F41" w:rsidRPr="009E1F41" w:rsidRDefault="009E1F41" w:rsidP="009E1F41">
      <w:pPr>
        <w:spacing w:line="360" w:lineRule="auto"/>
        <w:rPr>
          <w:rFonts w:ascii="Arial" w:hAnsi="Arial" w:cs="Arial"/>
        </w:rPr>
      </w:pPr>
      <w:r w:rsidRPr="009E1F41">
        <w:rPr>
          <w:rFonts w:ascii="Arial" w:hAnsi="Arial" w:cs="Arial"/>
        </w:rPr>
        <w:t>Strong stakeholder engagement reduces risks related to:</w:t>
      </w:r>
    </w:p>
    <w:p w14:paraId="409C6AEC" w14:textId="77777777" w:rsidR="009E1F41" w:rsidRPr="009E1F41" w:rsidRDefault="009E1F41" w:rsidP="009E1F41">
      <w:pPr>
        <w:numPr>
          <w:ilvl w:val="0"/>
          <w:numId w:val="19"/>
        </w:numPr>
        <w:spacing w:line="360" w:lineRule="auto"/>
        <w:rPr>
          <w:rFonts w:ascii="Arial" w:hAnsi="Arial" w:cs="Arial"/>
        </w:rPr>
      </w:pPr>
      <w:r w:rsidRPr="009E1F41">
        <w:rPr>
          <w:rFonts w:ascii="Arial" w:hAnsi="Arial" w:cs="Arial"/>
        </w:rPr>
        <w:t>cybersecurity</w:t>
      </w:r>
    </w:p>
    <w:p w14:paraId="4BBEBBD2" w14:textId="77777777" w:rsidR="009E1F41" w:rsidRPr="009E1F41" w:rsidRDefault="009E1F41" w:rsidP="009E1F41">
      <w:pPr>
        <w:numPr>
          <w:ilvl w:val="0"/>
          <w:numId w:val="19"/>
        </w:numPr>
        <w:spacing w:line="360" w:lineRule="auto"/>
        <w:rPr>
          <w:rFonts w:ascii="Arial" w:hAnsi="Arial" w:cs="Arial"/>
        </w:rPr>
      </w:pPr>
      <w:r w:rsidRPr="009E1F41">
        <w:rPr>
          <w:rFonts w:ascii="Arial" w:hAnsi="Arial" w:cs="Arial"/>
        </w:rPr>
        <w:t>safety recalls</w:t>
      </w:r>
    </w:p>
    <w:p w14:paraId="6F384A31" w14:textId="77777777" w:rsidR="009E1F41" w:rsidRPr="009E1F41" w:rsidRDefault="009E1F41" w:rsidP="009E1F41">
      <w:pPr>
        <w:numPr>
          <w:ilvl w:val="0"/>
          <w:numId w:val="19"/>
        </w:numPr>
        <w:spacing w:line="360" w:lineRule="auto"/>
        <w:rPr>
          <w:rFonts w:ascii="Arial" w:hAnsi="Arial" w:cs="Arial"/>
        </w:rPr>
      </w:pPr>
      <w:r w:rsidRPr="009E1F41">
        <w:rPr>
          <w:rFonts w:ascii="Arial" w:hAnsi="Arial" w:cs="Arial"/>
        </w:rPr>
        <w:t>legal disputes</w:t>
      </w:r>
    </w:p>
    <w:p w14:paraId="5D833103" w14:textId="77777777" w:rsidR="009E1F41" w:rsidRPr="009E1F41" w:rsidRDefault="009E1F41" w:rsidP="009E1F41">
      <w:pPr>
        <w:numPr>
          <w:ilvl w:val="0"/>
          <w:numId w:val="19"/>
        </w:numPr>
        <w:spacing w:line="360" w:lineRule="auto"/>
        <w:rPr>
          <w:rFonts w:ascii="Arial" w:hAnsi="Arial" w:cs="Arial"/>
        </w:rPr>
      </w:pPr>
      <w:r w:rsidRPr="009E1F41">
        <w:rPr>
          <w:rFonts w:ascii="Arial" w:hAnsi="Arial" w:cs="Arial"/>
        </w:rPr>
        <w:t>supplier failure</w:t>
      </w:r>
    </w:p>
    <w:p w14:paraId="0CFC19A2" w14:textId="0ED5670D" w:rsidR="009E1F41" w:rsidRDefault="009E1F41" w:rsidP="009E1F41">
      <w:pPr>
        <w:spacing w:line="360" w:lineRule="auto"/>
        <w:rPr>
          <w:rFonts w:ascii="Arial" w:hAnsi="Arial" w:cs="Arial"/>
        </w:rPr>
      </w:pPr>
      <w:r w:rsidRPr="009E1F41">
        <w:rPr>
          <w:rFonts w:ascii="Arial" w:hAnsi="Arial" w:cs="Arial"/>
        </w:rPr>
        <w:t>This strengthens Medtronic’s long-term operational reliability</w:t>
      </w:r>
      <w:r w:rsidR="007E77F5">
        <w:rPr>
          <w:rFonts w:ascii="Arial" w:hAnsi="Arial" w:cs="Arial"/>
        </w:rPr>
        <w:t xml:space="preserve"> </w:t>
      </w:r>
      <w:r w:rsidR="007E77F5" w:rsidRPr="007E77F5">
        <w:rPr>
          <w:rFonts w:ascii="Arial" w:hAnsi="Arial" w:cs="Arial"/>
        </w:rPr>
        <w:t>(Badal, Mueller and Vannier, 2022</w:t>
      </w:r>
      <w:r w:rsidR="007E77F5">
        <w:rPr>
          <w:rFonts w:ascii="Arial" w:hAnsi="Arial" w:cs="Arial"/>
        </w:rPr>
        <w:t>).</w:t>
      </w:r>
    </w:p>
    <w:p w14:paraId="29C42510" w14:textId="77777777" w:rsidR="00425574" w:rsidRPr="00425574" w:rsidRDefault="00425574" w:rsidP="00425574">
      <w:pPr>
        <w:spacing w:line="360" w:lineRule="auto"/>
        <w:rPr>
          <w:rFonts w:ascii="Arial" w:hAnsi="Arial" w:cs="Arial"/>
          <w:b/>
          <w:bCs/>
        </w:rPr>
      </w:pPr>
      <w:r w:rsidRPr="00425574">
        <w:rPr>
          <w:rFonts w:ascii="Arial" w:hAnsi="Arial" w:cs="Arial"/>
          <w:b/>
          <w:bCs/>
          <w:highlight w:val="yellow"/>
        </w:rPr>
        <w:t>Impact on Financial Performance</w:t>
      </w:r>
    </w:p>
    <w:p w14:paraId="64CEA15D" w14:textId="77777777" w:rsidR="00425574" w:rsidRPr="00425574" w:rsidRDefault="00425574" w:rsidP="00425574">
      <w:pPr>
        <w:spacing w:line="360" w:lineRule="auto"/>
        <w:rPr>
          <w:rFonts w:ascii="Arial" w:hAnsi="Arial" w:cs="Arial"/>
        </w:rPr>
      </w:pPr>
      <w:r w:rsidRPr="00425574">
        <w:rPr>
          <w:rFonts w:ascii="Arial" w:hAnsi="Arial" w:cs="Arial"/>
        </w:rPr>
        <w:t>A successful wearable device launch can generate substantial revenue, especially if adopted at scale by the NHS or private healthcare partners. Stakeholder engagement ensures:</w:t>
      </w:r>
    </w:p>
    <w:p w14:paraId="661162B8" w14:textId="77777777" w:rsidR="00425574" w:rsidRPr="00425574" w:rsidRDefault="00425574" w:rsidP="00425574">
      <w:pPr>
        <w:numPr>
          <w:ilvl w:val="0"/>
          <w:numId w:val="20"/>
        </w:numPr>
        <w:spacing w:line="360" w:lineRule="auto"/>
        <w:rPr>
          <w:rFonts w:ascii="Arial" w:hAnsi="Arial" w:cs="Arial"/>
        </w:rPr>
      </w:pPr>
      <w:r w:rsidRPr="00425574">
        <w:rPr>
          <w:rFonts w:ascii="Arial" w:hAnsi="Arial" w:cs="Arial"/>
        </w:rPr>
        <w:t>more accurate demand forecasting</w:t>
      </w:r>
    </w:p>
    <w:p w14:paraId="4405294D" w14:textId="77777777" w:rsidR="00425574" w:rsidRPr="00425574" w:rsidRDefault="00425574" w:rsidP="00425574">
      <w:pPr>
        <w:numPr>
          <w:ilvl w:val="0"/>
          <w:numId w:val="20"/>
        </w:numPr>
        <w:spacing w:line="360" w:lineRule="auto"/>
        <w:rPr>
          <w:rFonts w:ascii="Arial" w:hAnsi="Arial" w:cs="Arial"/>
        </w:rPr>
      </w:pPr>
      <w:r w:rsidRPr="00425574">
        <w:rPr>
          <w:rFonts w:ascii="Arial" w:hAnsi="Arial" w:cs="Arial"/>
        </w:rPr>
        <w:t>smoother supply chain operations</w:t>
      </w:r>
    </w:p>
    <w:p w14:paraId="150E3D80" w14:textId="77777777" w:rsidR="00425574" w:rsidRPr="00425574" w:rsidRDefault="00425574" w:rsidP="00425574">
      <w:pPr>
        <w:numPr>
          <w:ilvl w:val="0"/>
          <w:numId w:val="20"/>
        </w:numPr>
        <w:spacing w:line="360" w:lineRule="auto"/>
        <w:rPr>
          <w:rFonts w:ascii="Arial" w:hAnsi="Arial" w:cs="Arial"/>
        </w:rPr>
      </w:pPr>
      <w:r w:rsidRPr="00425574">
        <w:rPr>
          <w:rFonts w:ascii="Arial" w:hAnsi="Arial" w:cs="Arial"/>
        </w:rPr>
        <w:t>effective marketing strategies</w:t>
      </w:r>
    </w:p>
    <w:p w14:paraId="5E5A18C3" w14:textId="77777777" w:rsidR="00425574" w:rsidRPr="00425574" w:rsidRDefault="00425574" w:rsidP="00425574">
      <w:pPr>
        <w:numPr>
          <w:ilvl w:val="0"/>
          <w:numId w:val="20"/>
        </w:numPr>
        <w:spacing w:line="360" w:lineRule="auto"/>
        <w:rPr>
          <w:rFonts w:ascii="Arial" w:hAnsi="Arial" w:cs="Arial"/>
        </w:rPr>
      </w:pPr>
      <w:r w:rsidRPr="00425574">
        <w:rPr>
          <w:rFonts w:ascii="Arial" w:hAnsi="Arial" w:cs="Arial"/>
        </w:rPr>
        <w:t>reduced costs associated with rework or compliance failures</w:t>
      </w:r>
    </w:p>
    <w:p w14:paraId="4174D2B2" w14:textId="07CF5A03" w:rsidR="00425574" w:rsidRDefault="00425574" w:rsidP="00425574">
      <w:pPr>
        <w:spacing w:line="360" w:lineRule="auto"/>
        <w:rPr>
          <w:rFonts w:ascii="Arial" w:hAnsi="Arial" w:cs="Arial"/>
        </w:rPr>
      </w:pPr>
      <w:r w:rsidRPr="00425574">
        <w:rPr>
          <w:rFonts w:ascii="Arial" w:hAnsi="Arial" w:cs="Arial"/>
        </w:rPr>
        <w:t xml:space="preserve">Additionally, clinician and patient engagement </w:t>
      </w:r>
      <w:r w:rsidRPr="00425574">
        <w:rPr>
          <w:rFonts w:ascii="Arial" w:hAnsi="Arial" w:cs="Arial"/>
        </w:rPr>
        <w:t>drive</w:t>
      </w:r>
      <w:r w:rsidRPr="00425574">
        <w:rPr>
          <w:rFonts w:ascii="Arial" w:hAnsi="Arial" w:cs="Arial"/>
        </w:rPr>
        <w:t xml:space="preserve"> positive word-of-mouth and early adoption, strengthening commercial performance</w:t>
      </w:r>
      <w:r w:rsidR="0077232D">
        <w:rPr>
          <w:rFonts w:ascii="Arial" w:hAnsi="Arial" w:cs="Arial"/>
        </w:rPr>
        <w:t xml:space="preserve"> </w:t>
      </w:r>
      <w:r w:rsidR="0077232D" w:rsidRPr="0077232D">
        <w:rPr>
          <w:rFonts w:ascii="Arial" w:hAnsi="Arial" w:cs="Arial"/>
        </w:rPr>
        <w:t>(Gupta and Zeithaml, 2006)</w:t>
      </w:r>
      <w:r w:rsidR="0077232D">
        <w:rPr>
          <w:rFonts w:ascii="Arial" w:hAnsi="Arial" w:cs="Arial"/>
        </w:rPr>
        <w:t>.</w:t>
      </w:r>
    </w:p>
    <w:p w14:paraId="363A2068" w14:textId="77777777" w:rsidR="00421C8A" w:rsidRPr="00421C8A" w:rsidRDefault="00421C8A" w:rsidP="00421C8A">
      <w:pPr>
        <w:spacing w:line="360" w:lineRule="auto"/>
        <w:rPr>
          <w:rFonts w:ascii="Arial" w:hAnsi="Arial" w:cs="Arial"/>
          <w:b/>
          <w:bCs/>
        </w:rPr>
      </w:pPr>
      <w:r w:rsidRPr="00421C8A">
        <w:rPr>
          <w:rFonts w:ascii="Arial" w:hAnsi="Arial" w:cs="Arial"/>
          <w:b/>
          <w:bCs/>
          <w:highlight w:val="yellow"/>
        </w:rPr>
        <w:t>Impact on Organisational Reputation</w:t>
      </w:r>
    </w:p>
    <w:p w14:paraId="6EFA09A0" w14:textId="4EE7E217" w:rsidR="00421C8A" w:rsidRDefault="00421C8A" w:rsidP="00421C8A">
      <w:pPr>
        <w:spacing w:line="360" w:lineRule="auto"/>
        <w:rPr>
          <w:rFonts w:ascii="Arial" w:hAnsi="Arial" w:cs="Arial"/>
        </w:rPr>
      </w:pPr>
      <w:r w:rsidRPr="00421C8A">
        <w:rPr>
          <w:rFonts w:ascii="Arial" w:hAnsi="Arial" w:cs="Arial"/>
        </w:rPr>
        <w:t>Strong stakeholder engagement demonstrates Medtronic’s commitment to transparency, ethics, and innovation. This enhances public trust</w:t>
      </w:r>
      <w:r>
        <w:rPr>
          <w:rFonts w:ascii="Arial" w:hAnsi="Arial" w:cs="Arial"/>
        </w:rPr>
        <w:t xml:space="preserve"> </w:t>
      </w:r>
      <w:r w:rsidRPr="00421C8A">
        <w:rPr>
          <w:rFonts w:ascii="Arial" w:hAnsi="Arial" w:cs="Arial"/>
        </w:rPr>
        <w:t>essential for medical devices handling sensitive health data. Ethical engagement with regulators, clinicians and patients contributes to positive brand perception and supports future product launches.</w:t>
      </w:r>
    </w:p>
    <w:p w14:paraId="4255A46D" w14:textId="77777777" w:rsidR="00B060E2" w:rsidRPr="00B060E2" w:rsidRDefault="00B060E2" w:rsidP="00B060E2">
      <w:pPr>
        <w:spacing w:line="360" w:lineRule="auto"/>
        <w:rPr>
          <w:rFonts w:ascii="Arial" w:hAnsi="Arial" w:cs="Arial"/>
          <w:b/>
          <w:bCs/>
          <w:sz w:val="28"/>
          <w:szCs w:val="28"/>
        </w:rPr>
      </w:pPr>
      <w:r w:rsidRPr="00B060E2">
        <w:rPr>
          <w:rFonts w:ascii="Arial" w:hAnsi="Arial" w:cs="Arial"/>
          <w:b/>
          <w:bCs/>
          <w:sz w:val="28"/>
          <w:szCs w:val="28"/>
        </w:rPr>
        <w:lastRenderedPageBreak/>
        <w:t>Recommendations</w:t>
      </w:r>
    </w:p>
    <w:p w14:paraId="6A91D412" w14:textId="04DA01E9" w:rsidR="00B060E2" w:rsidRPr="00297EFF" w:rsidRDefault="00B060E2" w:rsidP="00297EFF">
      <w:pPr>
        <w:pStyle w:val="ListParagraph"/>
        <w:numPr>
          <w:ilvl w:val="1"/>
          <w:numId w:val="21"/>
        </w:numPr>
        <w:spacing w:line="360" w:lineRule="auto"/>
        <w:rPr>
          <w:rFonts w:ascii="Arial" w:hAnsi="Arial" w:cs="Arial"/>
          <w:b/>
          <w:bCs/>
        </w:rPr>
      </w:pPr>
      <w:r w:rsidRPr="00297EFF">
        <w:rPr>
          <w:rFonts w:ascii="Arial" w:hAnsi="Arial" w:cs="Arial"/>
          <w:b/>
          <w:bCs/>
        </w:rPr>
        <w:t>Increase early-stage co-design workshops</w:t>
      </w:r>
    </w:p>
    <w:p w14:paraId="778194A5" w14:textId="77777777" w:rsidR="00B060E2" w:rsidRPr="00297EFF" w:rsidRDefault="00B060E2" w:rsidP="00297EFF">
      <w:pPr>
        <w:pStyle w:val="ListParagraph"/>
        <w:numPr>
          <w:ilvl w:val="0"/>
          <w:numId w:val="21"/>
        </w:numPr>
        <w:spacing w:line="360" w:lineRule="auto"/>
        <w:rPr>
          <w:rFonts w:ascii="Arial" w:hAnsi="Arial" w:cs="Arial"/>
        </w:rPr>
      </w:pPr>
      <w:r w:rsidRPr="00297EFF">
        <w:rPr>
          <w:rFonts w:ascii="Arial" w:hAnsi="Arial" w:cs="Arial"/>
        </w:rPr>
        <w:t>Clinician and patient involvement during prototype development will reduce design flaws and enhance adoption.</w:t>
      </w:r>
    </w:p>
    <w:p w14:paraId="4130838A" w14:textId="71609BBF" w:rsidR="00B060E2" w:rsidRPr="00297EFF" w:rsidRDefault="00B060E2" w:rsidP="00297EFF">
      <w:pPr>
        <w:pStyle w:val="ListParagraph"/>
        <w:numPr>
          <w:ilvl w:val="1"/>
          <w:numId w:val="21"/>
        </w:numPr>
        <w:spacing w:line="360" w:lineRule="auto"/>
        <w:rPr>
          <w:rFonts w:ascii="Arial" w:hAnsi="Arial" w:cs="Arial"/>
          <w:b/>
          <w:bCs/>
        </w:rPr>
      </w:pPr>
      <w:r w:rsidRPr="00297EFF">
        <w:rPr>
          <w:rFonts w:ascii="Arial" w:hAnsi="Arial" w:cs="Arial"/>
          <w:b/>
          <w:bCs/>
        </w:rPr>
        <w:t>Strengthen digital communication platforms</w:t>
      </w:r>
    </w:p>
    <w:p w14:paraId="7D3319E0" w14:textId="77777777" w:rsidR="00B060E2" w:rsidRPr="00297EFF" w:rsidRDefault="00B060E2" w:rsidP="00297EFF">
      <w:pPr>
        <w:pStyle w:val="ListParagraph"/>
        <w:numPr>
          <w:ilvl w:val="0"/>
          <w:numId w:val="21"/>
        </w:numPr>
        <w:spacing w:line="360" w:lineRule="auto"/>
        <w:rPr>
          <w:rFonts w:ascii="Arial" w:hAnsi="Arial" w:cs="Arial"/>
        </w:rPr>
      </w:pPr>
      <w:r w:rsidRPr="00297EFF">
        <w:rPr>
          <w:rFonts w:ascii="Arial" w:hAnsi="Arial" w:cs="Arial"/>
        </w:rPr>
        <w:t>Centralising communication through project dashboards and automated reporting can reduce delays and improve transparency.</w:t>
      </w:r>
    </w:p>
    <w:p w14:paraId="2C7490ED" w14:textId="3538AE34" w:rsidR="00B060E2" w:rsidRPr="00297EFF" w:rsidRDefault="00B060E2" w:rsidP="00297EFF">
      <w:pPr>
        <w:pStyle w:val="ListParagraph"/>
        <w:numPr>
          <w:ilvl w:val="1"/>
          <w:numId w:val="21"/>
        </w:numPr>
        <w:spacing w:line="360" w:lineRule="auto"/>
        <w:rPr>
          <w:rFonts w:ascii="Arial" w:hAnsi="Arial" w:cs="Arial"/>
          <w:b/>
          <w:bCs/>
        </w:rPr>
      </w:pPr>
      <w:r w:rsidRPr="00297EFF">
        <w:rPr>
          <w:rFonts w:ascii="Arial" w:hAnsi="Arial" w:cs="Arial"/>
          <w:b/>
          <w:bCs/>
        </w:rPr>
        <w:t>Enhance cybersecurity collaboration</w:t>
      </w:r>
    </w:p>
    <w:p w14:paraId="0EE892F7" w14:textId="77777777" w:rsidR="00B060E2" w:rsidRPr="00297EFF" w:rsidRDefault="00B060E2" w:rsidP="00297EFF">
      <w:pPr>
        <w:pStyle w:val="ListParagraph"/>
        <w:numPr>
          <w:ilvl w:val="0"/>
          <w:numId w:val="21"/>
        </w:numPr>
        <w:spacing w:line="360" w:lineRule="auto"/>
        <w:rPr>
          <w:rFonts w:ascii="Arial" w:hAnsi="Arial" w:cs="Arial"/>
        </w:rPr>
      </w:pPr>
      <w:r w:rsidRPr="00297EFF">
        <w:rPr>
          <w:rFonts w:ascii="Arial" w:hAnsi="Arial" w:cs="Arial"/>
        </w:rPr>
        <w:t>Cyber risks evolve rapidly; Medtronic should work closely with external security experts to update protocols regularly.</w:t>
      </w:r>
    </w:p>
    <w:p w14:paraId="0B5AD06C" w14:textId="30897D10" w:rsidR="00B060E2" w:rsidRPr="00297EFF" w:rsidRDefault="00B060E2" w:rsidP="00297EFF">
      <w:pPr>
        <w:pStyle w:val="ListParagraph"/>
        <w:numPr>
          <w:ilvl w:val="1"/>
          <w:numId w:val="21"/>
        </w:numPr>
        <w:spacing w:line="360" w:lineRule="auto"/>
        <w:rPr>
          <w:rFonts w:ascii="Arial" w:hAnsi="Arial" w:cs="Arial"/>
          <w:b/>
          <w:bCs/>
        </w:rPr>
      </w:pPr>
      <w:r w:rsidRPr="00297EFF">
        <w:rPr>
          <w:rFonts w:ascii="Arial" w:hAnsi="Arial" w:cs="Arial"/>
          <w:b/>
          <w:bCs/>
        </w:rPr>
        <w:t>Develop long-term NHS partnerships</w:t>
      </w:r>
    </w:p>
    <w:p w14:paraId="35FA65AC" w14:textId="77777777" w:rsidR="00B060E2" w:rsidRPr="00297EFF" w:rsidRDefault="00B060E2" w:rsidP="00297EFF">
      <w:pPr>
        <w:pStyle w:val="ListParagraph"/>
        <w:numPr>
          <w:ilvl w:val="0"/>
          <w:numId w:val="21"/>
        </w:numPr>
        <w:spacing w:line="360" w:lineRule="auto"/>
        <w:rPr>
          <w:rFonts w:ascii="Arial" w:hAnsi="Arial" w:cs="Arial"/>
        </w:rPr>
      </w:pPr>
      <w:r w:rsidRPr="00297EFF">
        <w:rPr>
          <w:rFonts w:ascii="Arial" w:hAnsi="Arial" w:cs="Arial"/>
        </w:rPr>
        <w:t>Embedding the wearable device within remote monitoring programmes ensures sustainable demand.</w:t>
      </w:r>
    </w:p>
    <w:p w14:paraId="621B584A" w14:textId="20CC8E5B" w:rsidR="00B060E2" w:rsidRPr="00297EFF" w:rsidRDefault="00B060E2" w:rsidP="00297EFF">
      <w:pPr>
        <w:pStyle w:val="ListParagraph"/>
        <w:numPr>
          <w:ilvl w:val="1"/>
          <w:numId w:val="21"/>
        </w:numPr>
        <w:spacing w:line="360" w:lineRule="auto"/>
        <w:rPr>
          <w:rFonts w:ascii="Arial" w:hAnsi="Arial" w:cs="Arial"/>
          <w:b/>
          <w:bCs/>
        </w:rPr>
      </w:pPr>
      <w:r w:rsidRPr="00297EFF">
        <w:rPr>
          <w:rFonts w:ascii="Arial" w:hAnsi="Arial" w:cs="Arial"/>
          <w:b/>
          <w:bCs/>
        </w:rPr>
        <w:t>Expand training programmes</w:t>
      </w:r>
    </w:p>
    <w:p w14:paraId="4E1702CC" w14:textId="77777777" w:rsidR="00B060E2" w:rsidRPr="00297EFF" w:rsidRDefault="00B060E2" w:rsidP="00297EFF">
      <w:pPr>
        <w:pStyle w:val="ListParagraph"/>
        <w:numPr>
          <w:ilvl w:val="0"/>
          <w:numId w:val="21"/>
        </w:numPr>
        <w:spacing w:line="360" w:lineRule="auto"/>
        <w:rPr>
          <w:rFonts w:ascii="Arial" w:hAnsi="Arial" w:cs="Arial"/>
        </w:rPr>
      </w:pPr>
      <w:r w:rsidRPr="00297EFF">
        <w:rPr>
          <w:rFonts w:ascii="Arial" w:hAnsi="Arial" w:cs="Arial"/>
        </w:rPr>
        <w:t>Training clinicians, sales teams, and customer-service staff improves user experience and reduces errors.</w:t>
      </w:r>
    </w:p>
    <w:p w14:paraId="63D325DF" w14:textId="4E5C4320" w:rsidR="00B060E2" w:rsidRPr="00297EFF" w:rsidRDefault="00B060E2" w:rsidP="00297EFF">
      <w:pPr>
        <w:pStyle w:val="ListParagraph"/>
        <w:numPr>
          <w:ilvl w:val="1"/>
          <w:numId w:val="21"/>
        </w:numPr>
        <w:spacing w:line="360" w:lineRule="auto"/>
        <w:rPr>
          <w:rFonts w:ascii="Arial" w:hAnsi="Arial" w:cs="Arial"/>
          <w:b/>
          <w:bCs/>
        </w:rPr>
      </w:pPr>
      <w:r w:rsidRPr="00297EFF">
        <w:rPr>
          <w:rFonts w:ascii="Arial" w:hAnsi="Arial" w:cs="Arial"/>
          <w:b/>
          <w:bCs/>
        </w:rPr>
        <w:t>Invest in supply chain resilience</w:t>
      </w:r>
    </w:p>
    <w:p w14:paraId="3660CD14" w14:textId="77777777" w:rsidR="00B060E2" w:rsidRPr="00297EFF" w:rsidRDefault="00B060E2" w:rsidP="00297EFF">
      <w:pPr>
        <w:pStyle w:val="ListParagraph"/>
        <w:numPr>
          <w:ilvl w:val="0"/>
          <w:numId w:val="21"/>
        </w:numPr>
        <w:spacing w:line="360" w:lineRule="auto"/>
        <w:rPr>
          <w:rFonts w:ascii="Arial" w:hAnsi="Arial" w:cs="Arial"/>
        </w:rPr>
      </w:pPr>
      <w:r w:rsidRPr="00297EFF">
        <w:rPr>
          <w:rFonts w:ascii="Arial" w:hAnsi="Arial" w:cs="Arial"/>
        </w:rPr>
        <w:t>Identifying multiple suppliers and creating buffer stock reduces production disruption risk.</w:t>
      </w:r>
    </w:p>
    <w:p w14:paraId="3AA855C7" w14:textId="296D9ABF" w:rsidR="00B060E2" w:rsidRPr="00297EFF" w:rsidRDefault="00B060E2" w:rsidP="00297EFF">
      <w:pPr>
        <w:pStyle w:val="ListParagraph"/>
        <w:numPr>
          <w:ilvl w:val="1"/>
          <w:numId w:val="21"/>
        </w:numPr>
        <w:spacing w:line="360" w:lineRule="auto"/>
        <w:rPr>
          <w:rFonts w:ascii="Arial" w:hAnsi="Arial" w:cs="Arial"/>
          <w:b/>
          <w:bCs/>
        </w:rPr>
      </w:pPr>
      <w:r w:rsidRPr="00297EFF">
        <w:rPr>
          <w:rFonts w:ascii="Arial" w:hAnsi="Arial" w:cs="Arial"/>
          <w:b/>
          <w:bCs/>
        </w:rPr>
        <w:t>Conduct post-launch evaluations</w:t>
      </w:r>
    </w:p>
    <w:p w14:paraId="66EF8124" w14:textId="77777777" w:rsidR="00B060E2" w:rsidRDefault="00B060E2" w:rsidP="00297EFF">
      <w:pPr>
        <w:pStyle w:val="ListParagraph"/>
        <w:numPr>
          <w:ilvl w:val="0"/>
          <w:numId w:val="21"/>
        </w:numPr>
        <w:spacing w:line="360" w:lineRule="auto"/>
        <w:rPr>
          <w:rFonts w:ascii="Arial" w:hAnsi="Arial" w:cs="Arial"/>
        </w:rPr>
      </w:pPr>
      <w:r w:rsidRPr="00297EFF">
        <w:rPr>
          <w:rFonts w:ascii="Arial" w:hAnsi="Arial" w:cs="Arial"/>
        </w:rPr>
        <w:t>Feedback from early users should inform continuous improvements and software updates.</w:t>
      </w:r>
    </w:p>
    <w:p w14:paraId="701EE767" w14:textId="77777777" w:rsidR="004E5A5B" w:rsidRDefault="004E5A5B" w:rsidP="004E5A5B">
      <w:pPr>
        <w:spacing w:line="360" w:lineRule="auto"/>
        <w:rPr>
          <w:rFonts w:ascii="Arial" w:hAnsi="Arial" w:cs="Arial"/>
        </w:rPr>
      </w:pPr>
    </w:p>
    <w:p w14:paraId="2D819A21" w14:textId="77777777" w:rsidR="004E5A5B" w:rsidRDefault="004E5A5B" w:rsidP="004E5A5B">
      <w:pPr>
        <w:spacing w:line="360" w:lineRule="auto"/>
        <w:rPr>
          <w:rFonts w:ascii="Arial" w:hAnsi="Arial" w:cs="Arial"/>
        </w:rPr>
      </w:pPr>
    </w:p>
    <w:p w14:paraId="61989DF3" w14:textId="77777777" w:rsidR="004E5A5B" w:rsidRDefault="004E5A5B" w:rsidP="004E5A5B">
      <w:pPr>
        <w:spacing w:line="360" w:lineRule="auto"/>
        <w:rPr>
          <w:rFonts w:ascii="Arial" w:hAnsi="Arial" w:cs="Arial"/>
        </w:rPr>
      </w:pPr>
    </w:p>
    <w:p w14:paraId="3C83414B" w14:textId="77777777" w:rsidR="004E5A5B" w:rsidRDefault="004E5A5B" w:rsidP="004E5A5B">
      <w:pPr>
        <w:spacing w:line="360" w:lineRule="auto"/>
        <w:rPr>
          <w:rFonts w:ascii="Arial" w:hAnsi="Arial" w:cs="Arial"/>
        </w:rPr>
      </w:pPr>
    </w:p>
    <w:p w14:paraId="6FEC3A29" w14:textId="77777777" w:rsidR="004E5A5B" w:rsidRDefault="004E5A5B" w:rsidP="004E5A5B">
      <w:pPr>
        <w:spacing w:line="360" w:lineRule="auto"/>
        <w:rPr>
          <w:rFonts w:ascii="Arial" w:hAnsi="Arial" w:cs="Arial"/>
        </w:rPr>
      </w:pPr>
    </w:p>
    <w:p w14:paraId="546A1BDD" w14:textId="77777777" w:rsidR="004E5A5B" w:rsidRDefault="004E5A5B" w:rsidP="004E5A5B">
      <w:pPr>
        <w:spacing w:line="360" w:lineRule="auto"/>
        <w:rPr>
          <w:rFonts w:ascii="Arial" w:hAnsi="Arial" w:cs="Arial"/>
        </w:rPr>
      </w:pPr>
    </w:p>
    <w:p w14:paraId="12A467D7" w14:textId="77777777" w:rsidR="004E5A5B" w:rsidRDefault="004E5A5B" w:rsidP="004E5A5B">
      <w:pPr>
        <w:spacing w:line="360" w:lineRule="auto"/>
        <w:rPr>
          <w:rFonts w:ascii="Arial" w:hAnsi="Arial" w:cs="Arial"/>
        </w:rPr>
      </w:pPr>
    </w:p>
    <w:p w14:paraId="44D09297" w14:textId="77777777" w:rsidR="009C5D73" w:rsidRDefault="009C5D73" w:rsidP="004E5A5B">
      <w:pPr>
        <w:spacing w:line="360" w:lineRule="auto"/>
        <w:rPr>
          <w:rFonts w:ascii="Arial" w:hAnsi="Arial" w:cs="Arial"/>
        </w:rPr>
      </w:pPr>
    </w:p>
    <w:p w14:paraId="7C5BF55F" w14:textId="77777777" w:rsidR="00736CFB" w:rsidRDefault="00736CFB" w:rsidP="004E5A5B">
      <w:pPr>
        <w:spacing w:line="360" w:lineRule="auto"/>
        <w:rPr>
          <w:rFonts w:ascii="Arial" w:hAnsi="Arial" w:cs="Arial"/>
        </w:rPr>
      </w:pPr>
    </w:p>
    <w:p w14:paraId="08B42829" w14:textId="77777777" w:rsidR="00355E5D" w:rsidRPr="00355E5D" w:rsidRDefault="004E5A5B" w:rsidP="002F2B78">
      <w:pPr>
        <w:spacing w:line="360" w:lineRule="auto"/>
        <w:rPr>
          <w:rFonts w:ascii="Arial" w:hAnsi="Arial" w:cs="Arial"/>
        </w:rPr>
      </w:pPr>
      <w:r w:rsidRPr="004E5A5B">
        <w:rPr>
          <w:rFonts w:ascii="Arial" w:hAnsi="Arial" w:cs="Arial"/>
          <w:b/>
          <w:bCs/>
          <w:sz w:val="28"/>
          <w:szCs w:val="28"/>
        </w:rPr>
        <w:lastRenderedPageBreak/>
        <w:t>Conclusion</w:t>
      </w:r>
      <w:r w:rsidR="00355E5D">
        <w:rPr>
          <w:rFonts w:ascii="Arial" w:hAnsi="Arial" w:cs="Arial"/>
          <w:b/>
          <w:bCs/>
          <w:sz w:val="28"/>
          <w:szCs w:val="28"/>
        </w:rPr>
        <w:t xml:space="preserve">- </w:t>
      </w:r>
      <w:r w:rsidR="00355E5D" w:rsidRPr="00355E5D">
        <w:rPr>
          <w:rFonts w:ascii="Arial" w:hAnsi="Arial" w:cs="Arial"/>
        </w:rPr>
        <w:t>The successful launch of Medtronic UK’s new wearable health device will depend significantly on structured and effective stakeholder engagement. As demonstrated throughout this report, wearable health technologies operate in a complex environment involving clinical, technological, regulatory, and commercial stakeholders. Therefore, a structured framework for identification, prioritisation, communication, and collaboration is vital.</w:t>
      </w:r>
    </w:p>
    <w:p w14:paraId="0275670B" w14:textId="77777777" w:rsidR="00355E5D" w:rsidRPr="00355E5D" w:rsidRDefault="00355E5D" w:rsidP="002F2B78">
      <w:pPr>
        <w:spacing w:line="360" w:lineRule="auto"/>
        <w:rPr>
          <w:rFonts w:ascii="Arial" w:hAnsi="Arial" w:cs="Arial"/>
        </w:rPr>
      </w:pPr>
      <w:r w:rsidRPr="00355E5D">
        <w:rPr>
          <w:rFonts w:ascii="Arial" w:hAnsi="Arial" w:cs="Arial"/>
        </w:rPr>
        <w:t>The SWOT analysis highlighted Medtronic’s strengths, including its technological expertise and established relationships with healthcare systems, but also revealed challenges such as regulatory complexities and cybersecurity risks. Stakeholder identification and analysis showed that internal teams such as R&amp;D, IT, marketing, sales, and regulatory affairs must work closely alongside external stakeholders, including clinicians, patients, the MHRA, the ICO, and NHS procurement bodies.</w:t>
      </w:r>
    </w:p>
    <w:p w14:paraId="6CFEC2AC" w14:textId="2E40389B" w:rsidR="00355E5D" w:rsidRPr="00355E5D" w:rsidRDefault="00355E5D" w:rsidP="002F2B78">
      <w:pPr>
        <w:spacing w:line="360" w:lineRule="auto"/>
        <w:rPr>
          <w:rFonts w:ascii="Arial" w:hAnsi="Arial" w:cs="Arial"/>
        </w:rPr>
      </w:pPr>
      <w:r w:rsidRPr="00355E5D">
        <w:rPr>
          <w:rFonts w:ascii="Arial" w:hAnsi="Arial" w:cs="Arial"/>
        </w:rPr>
        <w:t>Using frameworks such as the power-interest matrix, salience model, RACI chart and communication plans ensures a systematic approach to stakeholder engagement. Furthermore, the application of the 4Cs model</w:t>
      </w:r>
      <w:r>
        <w:rPr>
          <w:rFonts w:ascii="Arial" w:hAnsi="Arial" w:cs="Arial"/>
        </w:rPr>
        <w:t xml:space="preserve"> </w:t>
      </w:r>
      <w:r w:rsidRPr="00355E5D">
        <w:rPr>
          <w:rFonts w:ascii="Arial" w:hAnsi="Arial" w:cs="Arial"/>
        </w:rPr>
        <w:t>communication, coordination, cooperation, and collaboration</w:t>
      </w:r>
      <w:r w:rsidR="00605479">
        <w:rPr>
          <w:rFonts w:ascii="Arial" w:hAnsi="Arial" w:cs="Arial"/>
        </w:rPr>
        <w:t xml:space="preserve"> </w:t>
      </w:r>
      <w:r w:rsidRPr="00355E5D">
        <w:rPr>
          <w:rFonts w:ascii="Arial" w:hAnsi="Arial" w:cs="Arial"/>
        </w:rPr>
        <w:t>provides a strong foundation for conflict management, supporting smoother project execution. Effective stakeholder engagement improves innovation, strengthens regulatory compliance, increases user adoption, and enhances business performance.</w:t>
      </w:r>
    </w:p>
    <w:p w14:paraId="047F2ABD" w14:textId="77777777" w:rsidR="00355E5D" w:rsidRPr="00355E5D" w:rsidRDefault="00355E5D" w:rsidP="002F2B78">
      <w:pPr>
        <w:spacing w:line="360" w:lineRule="auto"/>
        <w:rPr>
          <w:rFonts w:ascii="Arial" w:hAnsi="Arial" w:cs="Arial"/>
        </w:rPr>
      </w:pPr>
      <w:r w:rsidRPr="00355E5D">
        <w:rPr>
          <w:rFonts w:ascii="Arial" w:hAnsi="Arial" w:cs="Arial"/>
        </w:rPr>
        <w:t>To maintain momentum and guarantee the device’s success in a competitive market, Medtronic should prioritise long-term NHS partnerships, enhanced cybersecurity strategies, co-design practices and strong post-launch evaluation. Overall, strategic stakeholder engagement not only supports a successful product launch but also reinforces Medtronic’s position as a leader in digital health innovation.</w:t>
      </w:r>
    </w:p>
    <w:p w14:paraId="06726727" w14:textId="1D974E95" w:rsidR="004E5A5B" w:rsidRDefault="004E5A5B" w:rsidP="004E5A5B">
      <w:pPr>
        <w:spacing w:line="360" w:lineRule="auto"/>
        <w:rPr>
          <w:rFonts w:ascii="Arial" w:hAnsi="Arial" w:cs="Arial"/>
          <w:b/>
          <w:bCs/>
          <w:sz w:val="28"/>
          <w:szCs w:val="28"/>
        </w:rPr>
      </w:pPr>
    </w:p>
    <w:p w14:paraId="2A748C34" w14:textId="77777777" w:rsidR="009C5D73" w:rsidRDefault="009C5D73" w:rsidP="004E5A5B">
      <w:pPr>
        <w:spacing w:line="360" w:lineRule="auto"/>
        <w:rPr>
          <w:rFonts w:ascii="Arial" w:hAnsi="Arial" w:cs="Arial"/>
          <w:b/>
          <w:bCs/>
          <w:sz w:val="28"/>
          <w:szCs w:val="28"/>
        </w:rPr>
      </w:pPr>
    </w:p>
    <w:p w14:paraId="53D63A86" w14:textId="77777777" w:rsidR="009C5D73" w:rsidRDefault="009C5D73" w:rsidP="004E5A5B">
      <w:pPr>
        <w:spacing w:line="360" w:lineRule="auto"/>
        <w:rPr>
          <w:rFonts w:ascii="Arial" w:hAnsi="Arial" w:cs="Arial"/>
          <w:b/>
          <w:bCs/>
          <w:sz w:val="28"/>
          <w:szCs w:val="28"/>
        </w:rPr>
      </w:pPr>
    </w:p>
    <w:p w14:paraId="1B654082" w14:textId="77777777" w:rsidR="009C5D73" w:rsidRDefault="009C5D73" w:rsidP="004E5A5B">
      <w:pPr>
        <w:spacing w:line="360" w:lineRule="auto"/>
        <w:rPr>
          <w:rFonts w:ascii="Arial" w:hAnsi="Arial" w:cs="Arial"/>
          <w:b/>
          <w:bCs/>
          <w:sz w:val="28"/>
          <w:szCs w:val="28"/>
        </w:rPr>
      </w:pPr>
    </w:p>
    <w:p w14:paraId="41D2E563" w14:textId="77777777" w:rsidR="009C5D73" w:rsidRDefault="009C5D73" w:rsidP="004E5A5B">
      <w:pPr>
        <w:spacing w:line="360" w:lineRule="auto"/>
        <w:rPr>
          <w:rFonts w:ascii="Arial" w:hAnsi="Arial" w:cs="Arial"/>
          <w:b/>
          <w:bCs/>
          <w:sz w:val="28"/>
          <w:szCs w:val="28"/>
        </w:rPr>
      </w:pPr>
    </w:p>
    <w:p w14:paraId="452A8FA0" w14:textId="77777777" w:rsidR="009C5D73" w:rsidRDefault="009C5D73" w:rsidP="004E5A5B">
      <w:pPr>
        <w:spacing w:line="360" w:lineRule="auto"/>
        <w:rPr>
          <w:rFonts w:ascii="Arial" w:hAnsi="Arial" w:cs="Arial"/>
          <w:b/>
          <w:bCs/>
          <w:sz w:val="28"/>
          <w:szCs w:val="28"/>
        </w:rPr>
      </w:pPr>
    </w:p>
    <w:p w14:paraId="7750304D" w14:textId="5F8F5FD2" w:rsidR="009C5D73" w:rsidRDefault="009C5D73" w:rsidP="004E5A5B">
      <w:pPr>
        <w:spacing w:line="360" w:lineRule="auto"/>
        <w:rPr>
          <w:rFonts w:ascii="Arial" w:hAnsi="Arial" w:cs="Arial"/>
          <w:b/>
          <w:bCs/>
          <w:sz w:val="28"/>
          <w:szCs w:val="28"/>
        </w:rPr>
      </w:pPr>
      <w:r>
        <w:rPr>
          <w:rFonts w:ascii="Arial" w:hAnsi="Arial" w:cs="Arial"/>
          <w:b/>
          <w:bCs/>
          <w:sz w:val="28"/>
          <w:szCs w:val="28"/>
        </w:rPr>
        <w:lastRenderedPageBreak/>
        <w:t>References</w:t>
      </w:r>
    </w:p>
    <w:p w14:paraId="55E93EC3" w14:textId="77777777" w:rsidR="000B7945" w:rsidRPr="000B7945" w:rsidRDefault="000B7945" w:rsidP="000B7945">
      <w:pPr>
        <w:pStyle w:val="ListParagraph"/>
        <w:numPr>
          <w:ilvl w:val="0"/>
          <w:numId w:val="26"/>
        </w:numPr>
        <w:spacing w:after="240" w:line="360" w:lineRule="auto"/>
        <w:rPr>
          <w:rFonts w:ascii="Times New Roman" w:eastAsia="Times New Roman" w:hAnsi="Times New Roman" w:cs="Times New Roman"/>
          <w:kern w:val="0"/>
          <w:sz w:val="24"/>
          <w:szCs w:val="24"/>
          <w:lang w:eastAsia="en-GB"/>
          <w14:ligatures w14:val="none"/>
        </w:rPr>
      </w:pPr>
      <w:r w:rsidRPr="000B7945">
        <w:rPr>
          <w:rFonts w:ascii="Times New Roman" w:eastAsia="Times New Roman" w:hAnsi="Times New Roman" w:cs="Times New Roman"/>
          <w:kern w:val="0"/>
          <w:sz w:val="24"/>
          <w:szCs w:val="24"/>
          <w:lang w:eastAsia="en-GB"/>
          <w14:ligatures w14:val="none"/>
        </w:rPr>
        <w:t xml:space="preserve">Albakri, M. (2024). </w:t>
      </w:r>
      <w:r w:rsidRPr="000B7945">
        <w:rPr>
          <w:rFonts w:ascii="Times New Roman" w:eastAsia="Times New Roman" w:hAnsi="Times New Roman" w:cs="Times New Roman"/>
          <w:i/>
          <w:iCs/>
          <w:kern w:val="0"/>
          <w:sz w:val="24"/>
          <w:szCs w:val="24"/>
          <w:lang w:eastAsia="en-GB"/>
          <w14:ligatures w14:val="none"/>
        </w:rPr>
        <w:t>Perspectives on Digital Transformation in Contemporary Business</w:t>
      </w:r>
      <w:r w:rsidRPr="000B7945">
        <w:rPr>
          <w:rFonts w:ascii="Times New Roman" w:eastAsia="Times New Roman" w:hAnsi="Times New Roman" w:cs="Times New Roman"/>
          <w:kern w:val="0"/>
          <w:sz w:val="24"/>
          <w:szCs w:val="24"/>
          <w:lang w:eastAsia="en-GB"/>
          <w14:ligatures w14:val="none"/>
        </w:rPr>
        <w:t>. IGI Global.</w:t>
      </w:r>
    </w:p>
    <w:p w14:paraId="53B86D7F" w14:textId="77777777" w:rsidR="000B7945" w:rsidRPr="000B7945" w:rsidRDefault="000B7945" w:rsidP="000B7945">
      <w:pPr>
        <w:pStyle w:val="ListParagraph"/>
        <w:numPr>
          <w:ilvl w:val="0"/>
          <w:numId w:val="26"/>
        </w:numPr>
        <w:spacing w:after="240" w:line="360" w:lineRule="auto"/>
        <w:rPr>
          <w:rFonts w:ascii="Times New Roman" w:eastAsia="Times New Roman" w:hAnsi="Times New Roman" w:cs="Times New Roman"/>
          <w:kern w:val="0"/>
          <w:sz w:val="24"/>
          <w:szCs w:val="24"/>
          <w:lang w:eastAsia="en-GB"/>
          <w14:ligatures w14:val="none"/>
        </w:rPr>
      </w:pPr>
      <w:r w:rsidRPr="000B7945">
        <w:rPr>
          <w:rFonts w:ascii="Times New Roman" w:eastAsia="Times New Roman" w:hAnsi="Times New Roman" w:cs="Times New Roman"/>
          <w:kern w:val="0"/>
          <w:sz w:val="24"/>
          <w:szCs w:val="24"/>
          <w:lang w:eastAsia="en-GB"/>
          <w14:ligatures w14:val="none"/>
        </w:rPr>
        <w:t xml:space="preserve">Badal, A., Mueller, K. and Vannier, M. (2022). Development of Metaverse for Intelligent Healthcare. </w:t>
      </w:r>
      <w:r w:rsidRPr="000B7945">
        <w:rPr>
          <w:rFonts w:ascii="Times New Roman" w:eastAsia="Times New Roman" w:hAnsi="Times New Roman" w:cs="Times New Roman"/>
          <w:i/>
          <w:iCs/>
          <w:kern w:val="0"/>
          <w:sz w:val="24"/>
          <w:szCs w:val="24"/>
          <w:lang w:eastAsia="en-GB"/>
          <w14:ligatures w14:val="none"/>
        </w:rPr>
        <w:t>Nature Machine Intelligence</w:t>
      </w:r>
      <w:r w:rsidRPr="000B7945">
        <w:rPr>
          <w:rFonts w:ascii="Times New Roman" w:eastAsia="Times New Roman" w:hAnsi="Times New Roman" w:cs="Times New Roman"/>
          <w:kern w:val="0"/>
          <w:sz w:val="24"/>
          <w:szCs w:val="24"/>
          <w:lang w:eastAsia="en-GB"/>
          <w14:ligatures w14:val="none"/>
        </w:rPr>
        <w:t>, 4(11), pp.922–929.</w:t>
      </w:r>
    </w:p>
    <w:p w14:paraId="2DE0AC8B" w14:textId="77777777" w:rsidR="00BB1E52" w:rsidRPr="0017301F" w:rsidRDefault="00BB1E52" w:rsidP="0017301F">
      <w:pPr>
        <w:pStyle w:val="ListParagraph"/>
        <w:numPr>
          <w:ilvl w:val="0"/>
          <w:numId w:val="26"/>
        </w:numPr>
        <w:spacing w:after="240" w:line="360" w:lineRule="auto"/>
        <w:rPr>
          <w:rFonts w:ascii="Times New Roman" w:eastAsia="Times New Roman" w:hAnsi="Times New Roman" w:cs="Times New Roman"/>
          <w:kern w:val="0"/>
          <w:sz w:val="24"/>
          <w:szCs w:val="24"/>
          <w:lang w:eastAsia="en-GB"/>
          <w14:ligatures w14:val="none"/>
        </w:rPr>
      </w:pPr>
      <w:r w:rsidRPr="0017301F">
        <w:rPr>
          <w:rFonts w:ascii="Times New Roman" w:eastAsia="Times New Roman" w:hAnsi="Times New Roman" w:cs="Times New Roman"/>
          <w:kern w:val="0"/>
          <w:sz w:val="24"/>
          <w:szCs w:val="24"/>
          <w:lang w:eastAsia="en-GB"/>
          <w14:ligatures w14:val="none"/>
        </w:rPr>
        <w:t xml:space="preserve">Bryson, J. (2018). </w:t>
      </w:r>
      <w:proofErr w:type="spellStart"/>
      <w:r w:rsidRPr="0017301F">
        <w:rPr>
          <w:rFonts w:ascii="Times New Roman" w:eastAsia="Times New Roman" w:hAnsi="Times New Roman" w:cs="Times New Roman"/>
          <w:i/>
          <w:iCs/>
          <w:kern w:val="0"/>
          <w:sz w:val="24"/>
          <w:szCs w:val="24"/>
          <w:lang w:eastAsia="en-GB"/>
          <w14:ligatures w14:val="none"/>
        </w:rPr>
        <w:t>Trategic</w:t>
      </w:r>
      <w:proofErr w:type="spellEnd"/>
      <w:r w:rsidRPr="0017301F">
        <w:rPr>
          <w:rFonts w:ascii="Times New Roman" w:eastAsia="Times New Roman" w:hAnsi="Times New Roman" w:cs="Times New Roman"/>
          <w:i/>
          <w:iCs/>
          <w:kern w:val="0"/>
          <w:sz w:val="24"/>
          <w:szCs w:val="24"/>
          <w:lang w:eastAsia="en-GB"/>
          <w14:ligatures w14:val="none"/>
        </w:rPr>
        <w:t xml:space="preserve"> Planning for Public and Nonprofit Organizations.</w:t>
      </w:r>
      <w:r w:rsidRPr="0017301F">
        <w:rPr>
          <w:rFonts w:ascii="Times New Roman" w:eastAsia="Times New Roman" w:hAnsi="Times New Roman" w:cs="Times New Roman"/>
          <w:kern w:val="0"/>
          <w:sz w:val="24"/>
          <w:szCs w:val="24"/>
          <w:lang w:eastAsia="en-GB"/>
          <w14:ligatures w14:val="none"/>
        </w:rPr>
        <w:t xml:space="preserve"> 5th ed. Wiley.</w:t>
      </w:r>
    </w:p>
    <w:p w14:paraId="2350EBA6" w14:textId="77777777" w:rsidR="00BB1E52" w:rsidRPr="0017301F" w:rsidRDefault="00BB1E52" w:rsidP="0017301F">
      <w:pPr>
        <w:pStyle w:val="ListParagraph"/>
        <w:numPr>
          <w:ilvl w:val="0"/>
          <w:numId w:val="26"/>
        </w:numPr>
        <w:spacing w:after="240" w:line="360" w:lineRule="auto"/>
        <w:rPr>
          <w:rFonts w:ascii="Times New Roman" w:eastAsia="Times New Roman" w:hAnsi="Times New Roman" w:cs="Times New Roman"/>
          <w:kern w:val="0"/>
          <w:sz w:val="24"/>
          <w:szCs w:val="24"/>
          <w:lang w:eastAsia="en-GB"/>
          <w14:ligatures w14:val="none"/>
        </w:rPr>
      </w:pPr>
      <w:r w:rsidRPr="0017301F">
        <w:rPr>
          <w:rFonts w:ascii="Times New Roman" w:eastAsia="Times New Roman" w:hAnsi="Times New Roman" w:cs="Times New Roman"/>
          <w:kern w:val="0"/>
          <w:sz w:val="24"/>
          <w:szCs w:val="24"/>
          <w:lang w:eastAsia="en-GB"/>
          <w14:ligatures w14:val="none"/>
        </w:rPr>
        <w:t xml:space="preserve">Burrell, D.N. (2023). </w:t>
      </w:r>
      <w:r w:rsidRPr="0017301F">
        <w:rPr>
          <w:rFonts w:ascii="Times New Roman" w:eastAsia="Times New Roman" w:hAnsi="Times New Roman" w:cs="Times New Roman"/>
          <w:i/>
          <w:iCs/>
          <w:kern w:val="0"/>
          <w:sz w:val="24"/>
          <w:szCs w:val="24"/>
          <w:lang w:eastAsia="en-GB"/>
          <w14:ligatures w14:val="none"/>
        </w:rPr>
        <w:t>Transformational Interventions for Business, Technology, and Healthcare</w:t>
      </w:r>
      <w:r w:rsidRPr="0017301F">
        <w:rPr>
          <w:rFonts w:ascii="Times New Roman" w:eastAsia="Times New Roman" w:hAnsi="Times New Roman" w:cs="Times New Roman"/>
          <w:kern w:val="0"/>
          <w:sz w:val="24"/>
          <w:szCs w:val="24"/>
          <w:lang w:eastAsia="en-GB"/>
          <w14:ligatures w14:val="none"/>
        </w:rPr>
        <w:t>. IGI Global.</w:t>
      </w:r>
    </w:p>
    <w:p w14:paraId="68268646" w14:textId="77777777" w:rsidR="00BB1E52" w:rsidRPr="0017301F" w:rsidRDefault="00BB1E52" w:rsidP="0017301F">
      <w:pPr>
        <w:pStyle w:val="ListParagraph"/>
        <w:numPr>
          <w:ilvl w:val="0"/>
          <w:numId w:val="26"/>
        </w:numPr>
        <w:spacing w:after="240" w:line="360" w:lineRule="auto"/>
        <w:rPr>
          <w:rFonts w:ascii="Times New Roman" w:eastAsia="Times New Roman" w:hAnsi="Times New Roman" w:cs="Times New Roman"/>
          <w:kern w:val="0"/>
          <w:sz w:val="24"/>
          <w:szCs w:val="24"/>
          <w:lang w:eastAsia="en-GB"/>
          <w14:ligatures w14:val="none"/>
        </w:rPr>
      </w:pPr>
      <w:r w:rsidRPr="0017301F">
        <w:rPr>
          <w:rFonts w:ascii="Times New Roman" w:eastAsia="Times New Roman" w:hAnsi="Times New Roman" w:cs="Times New Roman"/>
          <w:kern w:val="0"/>
          <w:sz w:val="24"/>
          <w:szCs w:val="24"/>
          <w:lang w:eastAsia="en-GB"/>
          <w14:ligatures w14:val="none"/>
        </w:rPr>
        <w:t xml:space="preserve">Dr Lynda Bourne (2012). </w:t>
      </w:r>
      <w:r w:rsidRPr="0017301F">
        <w:rPr>
          <w:rFonts w:ascii="Times New Roman" w:eastAsia="Times New Roman" w:hAnsi="Times New Roman" w:cs="Times New Roman"/>
          <w:i/>
          <w:iCs/>
          <w:kern w:val="0"/>
          <w:sz w:val="24"/>
          <w:szCs w:val="24"/>
          <w:lang w:eastAsia="en-GB"/>
          <w14:ligatures w14:val="none"/>
        </w:rPr>
        <w:t>Stakeholder Relationship Management</w:t>
      </w:r>
      <w:r w:rsidRPr="0017301F">
        <w:rPr>
          <w:rFonts w:ascii="Times New Roman" w:eastAsia="Times New Roman" w:hAnsi="Times New Roman" w:cs="Times New Roman"/>
          <w:kern w:val="0"/>
          <w:sz w:val="24"/>
          <w:szCs w:val="24"/>
          <w:lang w:eastAsia="en-GB"/>
          <w14:ligatures w14:val="none"/>
        </w:rPr>
        <w:t>. Gower Publishing, Ltd.</w:t>
      </w:r>
    </w:p>
    <w:p w14:paraId="12521CB1" w14:textId="77777777" w:rsidR="0017301F" w:rsidRPr="0017301F" w:rsidRDefault="0017301F" w:rsidP="004400D7">
      <w:pPr>
        <w:pStyle w:val="ListParagraph"/>
        <w:numPr>
          <w:ilvl w:val="0"/>
          <w:numId w:val="26"/>
        </w:numPr>
        <w:spacing w:after="240" w:line="360" w:lineRule="auto"/>
        <w:rPr>
          <w:rFonts w:ascii="Times New Roman" w:eastAsia="Times New Roman" w:hAnsi="Times New Roman" w:cs="Times New Roman"/>
          <w:kern w:val="0"/>
          <w:sz w:val="24"/>
          <w:szCs w:val="24"/>
          <w:lang w:eastAsia="en-GB"/>
          <w14:ligatures w14:val="none"/>
        </w:rPr>
      </w:pPr>
      <w:r w:rsidRPr="0017301F">
        <w:rPr>
          <w:rFonts w:ascii="Times New Roman" w:eastAsia="Times New Roman" w:hAnsi="Times New Roman" w:cs="Times New Roman"/>
          <w:kern w:val="0"/>
          <w:sz w:val="24"/>
          <w:szCs w:val="24"/>
          <w:lang w:eastAsia="en-GB"/>
          <w14:ligatures w14:val="none"/>
        </w:rPr>
        <w:t xml:space="preserve">Gupta, S. and Zeithaml, V. (2006). Customer Metrics and Their Impact on Financial Performance. </w:t>
      </w:r>
      <w:r w:rsidRPr="0017301F">
        <w:rPr>
          <w:rFonts w:ascii="Times New Roman" w:eastAsia="Times New Roman" w:hAnsi="Times New Roman" w:cs="Times New Roman"/>
          <w:i/>
          <w:iCs/>
          <w:kern w:val="0"/>
          <w:sz w:val="24"/>
          <w:szCs w:val="24"/>
          <w:lang w:eastAsia="en-GB"/>
          <w14:ligatures w14:val="none"/>
        </w:rPr>
        <w:t>Marketing Science</w:t>
      </w:r>
      <w:r w:rsidRPr="0017301F">
        <w:rPr>
          <w:rFonts w:ascii="Times New Roman" w:eastAsia="Times New Roman" w:hAnsi="Times New Roman" w:cs="Times New Roman"/>
          <w:kern w:val="0"/>
          <w:sz w:val="24"/>
          <w:szCs w:val="24"/>
          <w:lang w:eastAsia="en-GB"/>
          <w14:ligatures w14:val="none"/>
        </w:rPr>
        <w:t>, 25(6), pp.718–739.</w:t>
      </w:r>
    </w:p>
    <w:p w14:paraId="4F2ABB6A" w14:textId="77777777" w:rsidR="0017301F" w:rsidRPr="004400D7" w:rsidRDefault="0017301F" w:rsidP="004400D7">
      <w:pPr>
        <w:pStyle w:val="ListParagraph"/>
        <w:numPr>
          <w:ilvl w:val="0"/>
          <w:numId w:val="26"/>
        </w:numPr>
        <w:spacing w:after="240" w:line="360" w:lineRule="auto"/>
        <w:rPr>
          <w:rFonts w:ascii="Times New Roman" w:eastAsia="Times New Roman" w:hAnsi="Times New Roman" w:cs="Times New Roman"/>
          <w:kern w:val="0"/>
          <w:sz w:val="24"/>
          <w:szCs w:val="24"/>
          <w:lang w:eastAsia="en-GB"/>
          <w14:ligatures w14:val="none"/>
        </w:rPr>
      </w:pPr>
      <w:r w:rsidRPr="004400D7">
        <w:rPr>
          <w:rFonts w:ascii="Times New Roman" w:eastAsia="Times New Roman" w:hAnsi="Times New Roman" w:cs="Times New Roman"/>
          <w:kern w:val="0"/>
          <w:sz w:val="24"/>
          <w:szCs w:val="24"/>
          <w:lang w:eastAsia="en-GB"/>
          <w14:ligatures w14:val="none"/>
        </w:rPr>
        <w:t xml:space="preserve">Harpaz, A. (2022). International Tax Reform: Challenges to Multilateral Cooperation. </w:t>
      </w:r>
      <w:r w:rsidRPr="004400D7">
        <w:rPr>
          <w:rFonts w:ascii="Times New Roman" w:eastAsia="Times New Roman" w:hAnsi="Times New Roman" w:cs="Times New Roman"/>
          <w:i/>
          <w:iCs/>
          <w:kern w:val="0"/>
          <w:sz w:val="24"/>
          <w:szCs w:val="24"/>
          <w:lang w:eastAsia="en-GB"/>
          <w14:ligatures w14:val="none"/>
        </w:rPr>
        <w:t>SSRN Electronic Journal</w:t>
      </w:r>
      <w:r w:rsidRPr="004400D7">
        <w:rPr>
          <w:rFonts w:ascii="Times New Roman" w:eastAsia="Times New Roman" w:hAnsi="Times New Roman" w:cs="Times New Roman"/>
          <w:kern w:val="0"/>
          <w:sz w:val="24"/>
          <w:szCs w:val="24"/>
          <w:lang w:eastAsia="en-GB"/>
          <w14:ligatures w14:val="none"/>
        </w:rPr>
        <w:t>, 6(2).</w:t>
      </w:r>
    </w:p>
    <w:p w14:paraId="08044791" w14:textId="12285E4D" w:rsidR="004F7457" w:rsidRPr="004400D7" w:rsidRDefault="004F7457" w:rsidP="004400D7">
      <w:pPr>
        <w:pStyle w:val="ListParagraph"/>
        <w:numPr>
          <w:ilvl w:val="0"/>
          <w:numId w:val="26"/>
        </w:numPr>
        <w:spacing w:after="240" w:line="360" w:lineRule="auto"/>
        <w:rPr>
          <w:rFonts w:ascii="Times New Roman" w:eastAsia="Times New Roman" w:hAnsi="Times New Roman" w:cs="Times New Roman"/>
          <w:kern w:val="0"/>
          <w:sz w:val="24"/>
          <w:szCs w:val="24"/>
          <w:lang w:eastAsia="en-GB"/>
          <w14:ligatures w14:val="none"/>
        </w:rPr>
      </w:pPr>
      <w:proofErr w:type="spellStart"/>
      <w:r w:rsidRPr="004400D7">
        <w:rPr>
          <w:rFonts w:ascii="Times New Roman" w:eastAsia="Times New Roman" w:hAnsi="Times New Roman" w:cs="Times New Roman"/>
          <w:kern w:val="0"/>
          <w:sz w:val="24"/>
          <w:szCs w:val="24"/>
          <w:lang w:eastAsia="en-GB"/>
          <w14:ligatures w14:val="none"/>
        </w:rPr>
        <w:t>Kantowitz</w:t>
      </w:r>
      <w:proofErr w:type="spellEnd"/>
      <w:r w:rsidRPr="004400D7">
        <w:rPr>
          <w:rFonts w:ascii="Times New Roman" w:eastAsia="Times New Roman" w:hAnsi="Times New Roman" w:cs="Times New Roman"/>
          <w:kern w:val="0"/>
          <w:sz w:val="24"/>
          <w:szCs w:val="24"/>
          <w:lang w:eastAsia="en-GB"/>
          <w14:ligatures w14:val="none"/>
        </w:rPr>
        <w:t xml:space="preserve">, B. and Suchman, L.A. (1990). Plans and Situated Actions: </w:t>
      </w:r>
      <w:r w:rsidRPr="004400D7">
        <w:rPr>
          <w:rFonts w:ascii="Times New Roman" w:eastAsia="Times New Roman" w:hAnsi="Times New Roman" w:cs="Times New Roman"/>
          <w:kern w:val="0"/>
          <w:sz w:val="24"/>
          <w:szCs w:val="24"/>
          <w:lang w:eastAsia="en-GB"/>
          <w14:ligatures w14:val="none"/>
        </w:rPr>
        <w:t>The</w:t>
      </w:r>
      <w:r w:rsidRPr="004400D7">
        <w:rPr>
          <w:rFonts w:ascii="Times New Roman" w:eastAsia="Times New Roman" w:hAnsi="Times New Roman" w:cs="Times New Roman"/>
          <w:kern w:val="0"/>
          <w:sz w:val="24"/>
          <w:szCs w:val="24"/>
          <w:lang w:eastAsia="en-GB"/>
          <w14:ligatures w14:val="none"/>
        </w:rPr>
        <w:t xml:space="preserve"> Problem of Human-Machine Communication. </w:t>
      </w:r>
      <w:r w:rsidRPr="004400D7">
        <w:rPr>
          <w:rFonts w:ascii="Times New Roman" w:eastAsia="Times New Roman" w:hAnsi="Times New Roman" w:cs="Times New Roman"/>
          <w:i/>
          <w:iCs/>
          <w:kern w:val="0"/>
          <w:sz w:val="24"/>
          <w:szCs w:val="24"/>
          <w:lang w:eastAsia="en-GB"/>
          <w14:ligatures w14:val="none"/>
        </w:rPr>
        <w:t>The American Journal of Psychology</w:t>
      </w:r>
      <w:r w:rsidRPr="004400D7">
        <w:rPr>
          <w:rFonts w:ascii="Times New Roman" w:eastAsia="Times New Roman" w:hAnsi="Times New Roman" w:cs="Times New Roman"/>
          <w:kern w:val="0"/>
          <w:sz w:val="24"/>
          <w:szCs w:val="24"/>
          <w:lang w:eastAsia="en-GB"/>
          <w14:ligatures w14:val="none"/>
        </w:rPr>
        <w:t xml:space="preserve">, 103(3), p.424. </w:t>
      </w:r>
    </w:p>
    <w:p w14:paraId="195788DC" w14:textId="77777777" w:rsidR="008602B9" w:rsidRPr="004400D7" w:rsidRDefault="008602B9" w:rsidP="004400D7">
      <w:pPr>
        <w:pStyle w:val="ListParagraph"/>
        <w:numPr>
          <w:ilvl w:val="0"/>
          <w:numId w:val="26"/>
        </w:numPr>
        <w:spacing w:after="240" w:line="360" w:lineRule="auto"/>
        <w:rPr>
          <w:rFonts w:ascii="Times New Roman" w:eastAsia="Times New Roman" w:hAnsi="Times New Roman" w:cs="Times New Roman"/>
          <w:kern w:val="0"/>
          <w:sz w:val="24"/>
          <w:szCs w:val="24"/>
          <w:lang w:eastAsia="en-GB"/>
          <w14:ligatures w14:val="none"/>
        </w:rPr>
      </w:pPr>
      <w:r w:rsidRPr="004400D7">
        <w:rPr>
          <w:rFonts w:ascii="Times New Roman" w:eastAsia="Times New Roman" w:hAnsi="Times New Roman" w:cs="Times New Roman"/>
          <w:kern w:val="0"/>
          <w:sz w:val="24"/>
          <w:szCs w:val="24"/>
          <w:lang w:eastAsia="en-GB"/>
          <w14:ligatures w14:val="none"/>
        </w:rPr>
        <w:t xml:space="preserve">Kerzner, H. (2022). </w:t>
      </w:r>
      <w:r w:rsidRPr="004400D7">
        <w:rPr>
          <w:rFonts w:ascii="Times New Roman" w:eastAsia="Times New Roman" w:hAnsi="Times New Roman" w:cs="Times New Roman"/>
          <w:i/>
          <w:iCs/>
          <w:kern w:val="0"/>
          <w:sz w:val="24"/>
          <w:szCs w:val="24"/>
          <w:lang w:eastAsia="en-GB"/>
          <w14:ligatures w14:val="none"/>
        </w:rPr>
        <w:t>Project Management: a Systems Approach to Planning, Scheduling, and Controlling.</w:t>
      </w:r>
      <w:r w:rsidRPr="004400D7">
        <w:rPr>
          <w:rFonts w:ascii="Times New Roman" w:eastAsia="Times New Roman" w:hAnsi="Times New Roman" w:cs="Times New Roman"/>
          <w:kern w:val="0"/>
          <w:sz w:val="24"/>
          <w:szCs w:val="24"/>
          <w:lang w:eastAsia="en-GB"/>
          <w14:ligatures w14:val="none"/>
        </w:rPr>
        <w:t xml:space="preserve"> 13th ed. Wiley.</w:t>
      </w:r>
    </w:p>
    <w:p w14:paraId="4682326C" w14:textId="77777777" w:rsidR="008602B9" w:rsidRPr="004400D7" w:rsidRDefault="008602B9" w:rsidP="004400D7">
      <w:pPr>
        <w:pStyle w:val="ListParagraph"/>
        <w:numPr>
          <w:ilvl w:val="0"/>
          <w:numId w:val="26"/>
        </w:numPr>
        <w:spacing w:after="240" w:line="360" w:lineRule="auto"/>
        <w:rPr>
          <w:rFonts w:ascii="Times New Roman" w:eastAsia="Times New Roman" w:hAnsi="Times New Roman" w:cs="Times New Roman"/>
          <w:kern w:val="0"/>
          <w:sz w:val="24"/>
          <w:szCs w:val="24"/>
          <w:lang w:eastAsia="en-GB"/>
          <w14:ligatures w14:val="none"/>
        </w:rPr>
      </w:pPr>
      <w:r w:rsidRPr="004400D7">
        <w:rPr>
          <w:rFonts w:ascii="Times New Roman" w:eastAsia="Times New Roman" w:hAnsi="Times New Roman" w:cs="Times New Roman"/>
          <w:kern w:val="0"/>
          <w:sz w:val="24"/>
          <w:szCs w:val="24"/>
          <w:lang w:eastAsia="en-GB"/>
          <w14:ligatures w14:val="none"/>
        </w:rPr>
        <w:t xml:space="preserve">Kolasa, K. (2023). </w:t>
      </w:r>
      <w:r w:rsidRPr="004400D7">
        <w:rPr>
          <w:rFonts w:ascii="Times New Roman" w:eastAsia="Times New Roman" w:hAnsi="Times New Roman" w:cs="Times New Roman"/>
          <w:i/>
          <w:iCs/>
          <w:kern w:val="0"/>
          <w:sz w:val="24"/>
          <w:szCs w:val="24"/>
          <w:lang w:eastAsia="en-GB"/>
          <w14:ligatures w14:val="none"/>
        </w:rPr>
        <w:t>The Digital Transformation of the Healthcare System</w:t>
      </w:r>
      <w:r w:rsidRPr="004400D7">
        <w:rPr>
          <w:rFonts w:ascii="Times New Roman" w:eastAsia="Times New Roman" w:hAnsi="Times New Roman" w:cs="Times New Roman"/>
          <w:kern w:val="0"/>
          <w:sz w:val="24"/>
          <w:szCs w:val="24"/>
          <w:lang w:eastAsia="en-GB"/>
          <w14:ligatures w14:val="none"/>
        </w:rPr>
        <w:t>. Taylor &amp; Francis.</w:t>
      </w:r>
    </w:p>
    <w:p w14:paraId="6D73D842" w14:textId="77777777" w:rsidR="008602B9" w:rsidRPr="004400D7" w:rsidRDefault="008602B9" w:rsidP="004400D7">
      <w:pPr>
        <w:pStyle w:val="ListParagraph"/>
        <w:numPr>
          <w:ilvl w:val="0"/>
          <w:numId w:val="26"/>
        </w:numPr>
        <w:spacing w:after="240" w:line="360" w:lineRule="auto"/>
        <w:rPr>
          <w:rFonts w:ascii="Times New Roman" w:eastAsia="Times New Roman" w:hAnsi="Times New Roman" w:cs="Times New Roman"/>
          <w:kern w:val="0"/>
          <w:sz w:val="24"/>
          <w:szCs w:val="24"/>
          <w:lang w:eastAsia="en-GB"/>
          <w14:ligatures w14:val="none"/>
        </w:rPr>
      </w:pPr>
      <w:r w:rsidRPr="004400D7">
        <w:rPr>
          <w:rFonts w:ascii="Times New Roman" w:eastAsia="Times New Roman" w:hAnsi="Times New Roman" w:cs="Times New Roman"/>
          <w:kern w:val="0"/>
          <w:sz w:val="24"/>
          <w:szCs w:val="24"/>
          <w:lang w:eastAsia="en-GB"/>
          <w14:ligatures w14:val="none"/>
        </w:rPr>
        <w:t xml:space="preserve">Laranjo, L. (2023). </w:t>
      </w:r>
      <w:r w:rsidRPr="004400D7">
        <w:rPr>
          <w:rFonts w:ascii="Times New Roman" w:eastAsia="Times New Roman" w:hAnsi="Times New Roman" w:cs="Times New Roman"/>
          <w:i/>
          <w:iCs/>
          <w:kern w:val="0"/>
          <w:sz w:val="24"/>
          <w:szCs w:val="24"/>
          <w:lang w:eastAsia="en-GB"/>
          <w14:ligatures w14:val="none"/>
        </w:rPr>
        <w:t>Perspectives in Digital Health and Big Data in medicine: Current trends, Professional challenges, and ethical, legal, and Social Implications</w:t>
      </w:r>
      <w:r w:rsidRPr="004400D7">
        <w:rPr>
          <w:rFonts w:ascii="Times New Roman" w:eastAsia="Times New Roman" w:hAnsi="Times New Roman" w:cs="Times New Roman"/>
          <w:kern w:val="0"/>
          <w:sz w:val="24"/>
          <w:szCs w:val="24"/>
          <w:lang w:eastAsia="en-GB"/>
          <w14:ligatures w14:val="none"/>
        </w:rPr>
        <w:t>. Frontiers Media SA.</w:t>
      </w:r>
    </w:p>
    <w:p w14:paraId="59815667" w14:textId="77777777" w:rsidR="004400D7" w:rsidRPr="004400D7" w:rsidRDefault="004400D7" w:rsidP="004400D7">
      <w:pPr>
        <w:pStyle w:val="ListParagraph"/>
        <w:numPr>
          <w:ilvl w:val="0"/>
          <w:numId w:val="26"/>
        </w:numPr>
        <w:spacing w:after="240" w:line="360" w:lineRule="auto"/>
        <w:rPr>
          <w:rFonts w:ascii="Times New Roman" w:eastAsia="Times New Roman" w:hAnsi="Times New Roman" w:cs="Times New Roman"/>
          <w:kern w:val="0"/>
          <w:sz w:val="24"/>
          <w:szCs w:val="24"/>
          <w:lang w:eastAsia="en-GB"/>
          <w14:ligatures w14:val="none"/>
        </w:rPr>
      </w:pPr>
      <w:r w:rsidRPr="004400D7">
        <w:rPr>
          <w:rFonts w:ascii="Times New Roman" w:eastAsia="Times New Roman" w:hAnsi="Times New Roman" w:cs="Times New Roman"/>
          <w:kern w:val="0"/>
          <w:sz w:val="24"/>
          <w:szCs w:val="24"/>
          <w:lang w:eastAsia="en-GB"/>
          <w14:ligatures w14:val="none"/>
        </w:rPr>
        <w:t xml:space="preserve">Laranjo, L. (2023). </w:t>
      </w:r>
      <w:r w:rsidRPr="004400D7">
        <w:rPr>
          <w:rFonts w:ascii="Times New Roman" w:eastAsia="Times New Roman" w:hAnsi="Times New Roman" w:cs="Times New Roman"/>
          <w:i/>
          <w:iCs/>
          <w:kern w:val="0"/>
          <w:sz w:val="24"/>
          <w:szCs w:val="24"/>
          <w:lang w:eastAsia="en-GB"/>
          <w14:ligatures w14:val="none"/>
        </w:rPr>
        <w:t>Perspectives in Digital Health and Big Data in medicine: Current trends, Professional challenges, and ethical, legal, and Social Implications</w:t>
      </w:r>
      <w:r w:rsidRPr="004400D7">
        <w:rPr>
          <w:rFonts w:ascii="Times New Roman" w:eastAsia="Times New Roman" w:hAnsi="Times New Roman" w:cs="Times New Roman"/>
          <w:kern w:val="0"/>
          <w:sz w:val="24"/>
          <w:szCs w:val="24"/>
          <w:lang w:eastAsia="en-GB"/>
          <w14:ligatures w14:val="none"/>
        </w:rPr>
        <w:t>. Frontiers Media SA.</w:t>
      </w:r>
    </w:p>
    <w:p w14:paraId="2C5932A6" w14:textId="1BBB7B74" w:rsidR="004400D7" w:rsidRDefault="004400D7" w:rsidP="004400D7">
      <w:pPr>
        <w:pStyle w:val="ListParagraph"/>
        <w:numPr>
          <w:ilvl w:val="0"/>
          <w:numId w:val="26"/>
        </w:numPr>
        <w:spacing w:after="240" w:line="360" w:lineRule="auto"/>
        <w:rPr>
          <w:rFonts w:ascii="Times New Roman" w:eastAsia="Times New Roman" w:hAnsi="Times New Roman" w:cs="Times New Roman"/>
          <w:kern w:val="0"/>
          <w:sz w:val="24"/>
          <w:szCs w:val="24"/>
          <w:lang w:eastAsia="en-GB"/>
          <w14:ligatures w14:val="none"/>
        </w:rPr>
      </w:pPr>
      <w:r w:rsidRPr="004400D7">
        <w:rPr>
          <w:rFonts w:ascii="Times New Roman" w:eastAsia="Times New Roman" w:hAnsi="Times New Roman" w:cs="Times New Roman"/>
          <w:kern w:val="0"/>
          <w:sz w:val="24"/>
          <w:szCs w:val="24"/>
          <w:lang w:eastAsia="en-GB"/>
          <w14:ligatures w14:val="none"/>
        </w:rPr>
        <w:t xml:space="preserve">Liu, J., Ma, Y., </w:t>
      </w:r>
      <w:proofErr w:type="spellStart"/>
      <w:r w:rsidRPr="004400D7">
        <w:rPr>
          <w:rFonts w:ascii="Times New Roman" w:eastAsia="Times New Roman" w:hAnsi="Times New Roman" w:cs="Times New Roman"/>
          <w:kern w:val="0"/>
          <w:sz w:val="24"/>
          <w:szCs w:val="24"/>
          <w:lang w:eastAsia="en-GB"/>
          <w14:ligatures w14:val="none"/>
        </w:rPr>
        <w:t>Appolloni</w:t>
      </w:r>
      <w:proofErr w:type="spellEnd"/>
      <w:r w:rsidRPr="004400D7">
        <w:rPr>
          <w:rFonts w:ascii="Times New Roman" w:eastAsia="Times New Roman" w:hAnsi="Times New Roman" w:cs="Times New Roman"/>
          <w:kern w:val="0"/>
          <w:sz w:val="24"/>
          <w:szCs w:val="24"/>
          <w:lang w:eastAsia="en-GB"/>
          <w14:ligatures w14:val="none"/>
        </w:rPr>
        <w:t xml:space="preserve">, A. and Cheng, W. (2021). How External Stakeholders Drive the Green Public Procurement practice? an Organizational Learning Perspective. </w:t>
      </w:r>
      <w:r w:rsidRPr="004400D7">
        <w:rPr>
          <w:rFonts w:ascii="Times New Roman" w:eastAsia="Times New Roman" w:hAnsi="Times New Roman" w:cs="Times New Roman"/>
          <w:i/>
          <w:iCs/>
          <w:kern w:val="0"/>
          <w:sz w:val="24"/>
          <w:szCs w:val="24"/>
          <w:lang w:eastAsia="en-GB"/>
          <w14:ligatures w14:val="none"/>
        </w:rPr>
        <w:t>Journal of Public Procurement</w:t>
      </w:r>
      <w:r w:rsidRPr="004400D7">
        <w:rPr>
          <w:rFonts w:ascii="Times New Roman" w:eastAsia="Times New Roman" w:hAnsi="Times New Roman" w:cs="Times New Roman"/>
          <w:kern w:val="0"/>
          <w:sz w:val="24"/>
          <w:szCs w:val="24"/>
          <w:lang w:eastAsia="en-GB"/>
          <w14:ligatures w14:val="none"/>
        </w:rPr>
        <w:t xml:space="preserve">, 21(2), pp.138–166. </w:t>
      </w:r>
    </w:p>
    <w:p w14:paraId="60546264" w14:textId="77777777" w:rsidR="001A05AB" w:rsidRPr="00D7378A" w:rsidRDefault="001A05AB" w:rsidP="00D7378A">
      <w:pPr>
        <w:pStyle w:val="ListParagraph"/>
        <w:numPr>
          <w:ilvl w:val="0"/>
          <w:numId w:val="26"/>
        </w:numPr>
        <w:spacing w:after="240" w:line="360" w:lineRule="auto"/>
        <w:rPr>
          <w:rFonts w:ascii="Times New Roman" w:eastAsia="Times New Roman" w:hAnsi="Times New Roman" w:cs="Times New Roman"/>
          <w:kern w:val="0"/>
          <w:sz w:val="24"/>
          <w:szCs w:val="24"/>
          <w:lang w:eastAsia="en-GB"/>
          <w14:ligatures w14:val="none"/>
        </w:rPr>
      </w:pPr>
      <w:r w:rsidRPr="00D7378A">
        <w:rPr>
          <w:rFonts w:ascii="Times New Roman" w:eastAsia="Times New Roman" w:hAnsi="Times New Roman" w:cs="Times New Roman"/>
          <w:kern w:val="0"/>
          <w:sz w:val="24"/>
          <w:szCs w:val="24"/>
          <w:lang w:eastAsia="en-GB"/>
          <w14:ligatures w14:val="none"/>
        </w:rPr>
        <w:t xml:space="preserve">Medtronic (2023). </w:t>
      </w:r>
      <w:r w:rsidRPr="00D7378A">
        <w:rPr>
          <w:rFonts w:ascii="Times New Roman" w:eastAsia="Times New Roman" w:hAnsi="Times New Roman" w:cs="Times New Roman"/>
          <w:i/>
          <w:iCs/>
          <w:kern w:val="0"/>
          <w:sz w:val="24"/>
          <w:szCs w:val="24"/>
          <w:lang w:eastAsia="en-GB"/>
          <w14:ligatures w14:val="none"/>
        </w:rPr>
        <w:t>Annual Report 2023</w:t>
      </w:r>
      <w:r w:rsidRPr="00D7378A">
        <w:rPr>
          <w:rFonts w:ascii="Times New Roman" w:eastAsia="Times New Roman" w:hAnsi="Times New Roman" w:cs="Times New Roman"/>
          <w:kern w:val="0"/>
          <w:sz w:val="24"/>
          <w:szCs w:val="24"/>
          <w:lang w:eastAsia="en-GB"/>
          <w14:ligatures w14:val="none"/>
        </w:rPr>
        <w:t>. Dublin: Medtronic Plc.</w:t>
      </w:r>
    </w:p>
    <w:p w14:paraId="08197742" w14:textId="1235E033" w:rsidR="00D7378A" w:rsidRPr="00D7378A" w:rsidRDefault="00D7378A" w:rsidP="00D7378A">
      <w:pPr>
        <w:pStyle w:val="ListParagraph"/>
        <w:numPr>
          <w:ilvl w:val="0"/>
          <w:numId w:val="26"/>
        </w:numPr>
        <w:spacing w:after="240" w:line="360" w:lineRule="auto"/>
        <w:rPr>
          <w:rFonts w:ascii="Times New Roman" w:eastAsia="Times New Roman" w:hAnsi="Times New Roman" w:cs="Times New Roman"/>
          <w:kern w:val="0"/>
          <w:sz w:val="24"/>
          <w:szCs w:val="24"/>
          <w:lang w:eastAsia="en-GB"/>
          <w14:ligatures w14:val="none"/>
        </w:rPr>
      </w:pPr>
      <w:r w:rsidRPr="00D7378A">
        <w:rPr>
          <w:rFonts w:ascii="Times New Roman" w:eastAsia="Times New Roman" w:hAnsi="Times New Roman" w:cs="Times New Roman"/>
          <w:kern w:val="0"/>
          <w:sz w:val="24"/>
          <w:szCs w:val="24"/>
          <w:lang w:eastAsia="en-GB"/>
          <w14:ligatures w14:val="none"/>
        </w:rPr>
        <w:lastRenderedPageBreak/>
        <w:t xml:space="preserve">Mendelow, A. (1991). </w:t>
      </w:r>
      <w:r w:rsidRPr="00D7378A">
        <w:rPr>
          <w:rFonts w:ascii="Times New Roman" w:eastAsia="Times New Roman" w:hAnsi="Times New Roman" w:cs="Times New Roman"/>
          <w:i/>
          <w:iCs/>
          <w:kern w:val="0"/>
          <w:sz w:val="24"/>
          <w:szCs w:val="24"/>
          <w:lang w:eastAsia="en-GB"/>
          <w14:ligatures w14:val="none"/>
        </w:rPr>
        <w:t xml:space="preserve">Environmental Scanning: </w:t>
      </w:r>
      <w:r w:rsidR="002F2B78" w:rsidRPr="00D7378A">
        <w:rPr>
          <w:rFonts w:ascii="Times New Roman" w:eastAsia="Times New Roman" w:hAnsi="Times New Roman" w:cs="Times New Roman"/>
          <w:i/>
          <w:iCs/>
          <w:kern w:val="0"/>
          <w:sz w:val="24"/>
          <w:szCs w:val="24"/>
          <w:lang w:eastAsia="en-GB"/>
          <w14:ligatures w14:val="none"/>
        </w:rPr>
        <w:t>The</w:t>
      </w:r>
      <w:r w:rsidRPr="00D7378A">
        <w:rPr>
          <w:rFonts w:ascii="Times New Roman" w:eastAsia="Times New Roman" w:hAnsi="Times New Roman" w:cs="Times New Roman"/>
          <w:i/>
          <w:iCs/>
          <w:kern w:val="0"/>
          <w:sz w:val="24"/>
          <w:szCs w:val="24"/>
          <w:lang w:eastAsia="en-GB"/>
          <w14:ligatures w14:val="none"/>
        </w:rPr>
        <w:t xml:space="preserve"> Impact of the Stakeholder Concept</w:t>
      </w:r>
      <w:r w:rsidRPr="00D7378A">
        <w:rPr>
          <w:rFonts w:ascii="Times New Roman" w:eastAsia="Times New Roman" w:hAnsi="Times New Roman" w:cs="Times New Roman"/>
          <w:kern w:val="0"/>
          <w:sz w:val="24"/>
          <w:szCs w:val="24"/>
          <w:lang w:eastAsia="en-GB"/>
          <w14:ligatures w14:val="none"/>
        </w:rPr>
        <w:t>. ICIS Conference Proceedings, pp.20–25.</w:t>
      </w:r>
    </w:p>
    <w:p w14:paraId="52127917" w14:textId="733EC387" w:rsidR="00D7378A" w:rsidRPr="002F2B78" w:rsidRDefault="00D7378A" w:rsidP="002F2B78">
      <w:pPr>
        <w:pStyle w:val="ListParagraph"/>
        <w:numPr>
          <w:ilvl w:val="0"/>
          <w:numId w:val="26"/>
        </w:numPr>
        <w:spacing w:after="240" w:line="360" w:lineRule="auto"/>
        <w:rPr>
          <w:rFonts w:ascii="Times New Roman" w:eastAsia="Times New Roman" w:hAnsi="Times New Roman" w:cs="Times New Roman"/>
          <w:kern w:val="0"/>
          <w:sz w:val="24"/>
          <w:szCs w:val="24"/>
          <w:lang w:eastAsia="en-GB"/>
          <w14:ligatures w14:val="none"/>
        </w:rPr>
      </w:pPr>
      <w:r w:rsidRPr="002F2B78">
        <w:rPr>
          <w:rFonts w:ascii="Times New Roman" w:eastAsia="Times New Roman" w:hAnsi="Times New Roman" w:cs="Times New Roman"/>
          <w:kern w:val="0"/>
          <w:sz w:val="24"/>
          <w:szCs w:val="24"/>
          <w:lang w:eastAsia="en-GB"/>
          <w14:ligatures w14:val="none"/>
        </w:rPr>
        <w:t xml:space="preserve">Mitchell, M., Wood, D. and Agle, B. (1997). Toward a Theory of Stakeholder Identification and Salience. </w:t>
      </w:r>
      <w:r w:rsidRPr="002F2B78">
        <w:rPr>
          <w:rFonts w:ascii="Times New Roman" w:eastAsia="Times New Roman" w:hAnsi="Times New Roman" w:cs="Times New Roman"/>
          <w:i/>
          <w:iCs/>
          <w:kern w:val="0"/>
          <w:sz w:val="24"/>
          <w:szCs w:val="24"/>
          <w:lang w:eastAsia="en-GB"/>
          <w14:ligatures w14:val="none"/>
        </w:rPr>
        <w:t>Academy of Management Review</w:t>
      </w:r>
      <w:r w:rsidRPr="002F2B78">
        <w:rPr>
          <w:rFonts w:ascii="Times New Roman" w:eastAsia="Times New Roman" w:hAnsi="Times New Roman" w:cs="Times New Roman"/>
          <w:kern w:val="0"/>
          <w:sz w:val="24"/>
          <w:szCs w:val="24"/>
          <w:lang w:eastAsia="en-GB"/>
          <w14:ligatures w14:val="none"/>
        </w:rPr>
        <w:t>, 22(4), pp. 853–886.</w:t>
      </w:r>
    </w:p>
    <w:p w14:paraId="48160DAF" w14:textId="77777777" w:rsidR="002F2B78" w:rsidRPr="002F2B78" w:rsidRDefault="002F2B78" w:rsidP="002F2B78">
      <w:pPr>
        <w:pStyle w:val="ListParagraph"/>
        <w:numPr>
          <w:ilvl w:val="0"/>
          <w:numId w:val="26"/>
        </w:numPr>
        <w:spacing w:after="240" w:line="360" w:lineRule="auto"/>
        <w:rPr>
          <w:rFonts w:ascii="Times New Roman" w:eastAsia="Times New Roman" w:hAnsi="Times New Roman" w:cs="Times New Roman"/>
          <w:kern w:val="0"/>
          <w:sz w:val="24"/>
          <w:szCs w:val="24"/>
          <w:lang w:eastAsia="en-GB"/>
          <w14:ligatures w14:val="none"/>
        </w:rPr>
      </w:pPr>
      <w:r w:rsidRPr="002F2B78">
        <w:rPr>
          <w:rFonts w:ascii="Times New Roman" w:eastAsia="Times New Roman" w:hAnsi="Times New Roman" w:cs="Times New Roman"/>
          <w:kern w:val="0"/>
          <w:sz w:val="24"/>
          <w:szCs w:val="24"/>
          <w:lang w:eastAsia="en-GB"/>
          <w14:ligatures w14:val="none"/>
        </w:rPr>
        <w:t xml:space="preserve">Sharma, P. (2023). Cybersecurity in Healthcare: the Digital Fortresses Protecting Your Data. </w:t>
      </w:r>
      <w:r w:rsidRPr="002F2B78">
        <w:rPr>
          <w:rFonts w:ascii="Times New Roman" w:eastAsia="Times New Roman" w:hAnsi="Times New Roman" w:cs="Times New Roman"/>
          <w:i/>
          <w:iCs/>
          <w:kern w:val="0"/>
          <w:sz w:val="24"/>
          <w:szCs w:val="24"/>
          <w:lang w:eastAsia="en-GB"/>
          <w14:ligatures w14:val="none"/>
        </w:rPr>
        <w:t>International Journal for Multidisciplinary Research</w:t>
      </w:r>
      <w:r w:rsidRPr="002F2B78">
        <w:rPr>
          <w:rFonts w:ascii="Times New Roman" w:eastAsia="Times New Roman" w:hAnsi="Times New Roman" w:cs="Times New Roman"/>
          <w:kern w:val="0"/>
          <w:sz w:val="24"/>
          <w:szCs w:val="24"/>
          <w:lang w:eastAsia="en-GB"/>
          <w14:ligatures w14:val="none"/>
        </w:rPr>
        <w:t>, 5(4).</w:t>
      </w:r>
    </w:p>
    <w:p w14:paraId="74D84251" w14:textId="143A1D6C" w:rsidR="00A04FE7" w:rsidRPr="002F2B78" w:rsidRDefault="002F2B78" w:rsidP="002F2B78">
      <w:pPr>
        <w:pStyle w:val="ListParagraph"/>
        <w:numPr>
          <w:ilvl w:val="0"/>
          <w:numId w:val="26"/>
        </w:numPr>
        <w:spacing w:after="240" w:line="360" w:lineRule="auto"/>
        <w:rPr>
          <w:rFonts w:ascii="Times New Roman" w:eastAsia="Times New Roman" w:hAnsi="Times New Roman" w:cs="Times New Roman"/>
          <w:kern w:val="0"/>
          <w:sz w:val="24"/>
          <w:szCs w:val="24"/>
          <w:lang w:eastAsia="en-GB"/>
          <w14:ligatures w14:val="none"/>
        </w:rPr>
      </w:pPr>
      <w:r w:rsidRPr="002F2B78">
        <w:rPr>
          <w:rFonts w:ascii="Times New Roman" w:eastAsia="Times New Roman" w:hAnsi="Times New Roman" w:cs="Times New Roman"/>
          <w:kern w:val="0"/>
          <w:sz w:val="24"/>
          <w:szCs w:val="24"/>
          <w:lang w:eastAsia="en-GB"/>
          <w14:ligatures w14:val="none"/>
        </w:rPr>
        <w:t xml:space="preserve">Smith, W.K., </w:t>
      </w:r>
      <w:proofErr w:type="spellStart"/>
      <w:r w:rsidRPr="002F2B78">
        <w:rPr>
          <w:rFonts w:ascii="Times New Roman" w:eastAsia="Times New Roman" w:hAnsi="Times New Roman" w:cs="Times New Roman"/>
          <w:kern w:val="0"/>
          <w:sz w:val="24"/>
          <w:szCs w:val="24"/>
          <w:lang w:eastAsia="en-GB"/>
          <w14:ligatures w14:val="none"/>
        </w:rPr>
        <w:t>Gonin</w:t>
      </w:r>
      <w:proofErr w:type="spellEnd"/>
      <w:r w:rsidRPr="002F2B78">
        <w:rPr>
          <w:rFonts w:ascii="Times New Roman" w:eastAsia="Times New Roman" w:hAnsi="Times New Roman" w:cs="Times New Roman"/>
          <w:kern w:val="0"/>
          <w:sz w:val="24"/>
          <w:szCs w:val="24"/>
          <w:lang w:eastAsia="en-GB"/>
          <w14:ligatures w14:val="none"/>
        </w:rPr>
        <w:t xml:space="preserve">, M. and Besharov, M.L. (2013). Managing Social-Business Tensions: </w:t>
      </w:r>
      <w:r w:rsidRPr="002F2B78">
        <w:rPr>
          <w:rFonts w:ascii="Times New Roman" w:eastAsia="Times New Roman" w:hAnsi="Times New Roman" w:cs="Times New Roman"/>
          <w:kern w:val="0"/>
          <w:sz w:val="24"/>
          <w:szCs w:val="24"/>
          <w:lang w:eastAsia="en-GB"/>
          <w14:ligatures w14:val="none"/>
        </w:rPr>
        <w:t>A</w:t>
      </w:r>
      <w:r w:rsidRPr="002F2B78">
        <w:rPr>
          <w:rFonts w:ascii="Times New Roman" w:eastAsia="Times New Roman" w:hAnsi="Times New Roman" w:cs="Times New Roman"/>
          <w:kern w:val="0"/>
          <w:sz w:val="24"/>
          <w:szCs w:val="24"/>
          <w:lang w:eastAsia="en-GB"/>
          <w14:ligatures w14:val="none"/>
        </w:rPr>
        <w:t xml:space="preserve"> Review and Research Agenda for Social Enterprise. </w:t>
      </w:r>
      <w:r w:rsidRPr="002F2B78">
        <w:rPr>
          <w:rFonts w:ascii="Times New Roman" w:eastAsia="Times New Roman" w:hAnsi="Times New Roman" w:cs="Times New Roman"/>
          <w:i/>
          <w:iCs/>
          <w:kern w:val="0"/>
          <w:sz w:val="24"/>
          <w:szCs w:val="24"/>
          <w:lang w:eastAsia="en-GB"/>
          <w14:ligatures w14:val="none"/>
        </w:rPr>
        <w:t>Business Ethics Quarterly</w:t>
      </w:r>
      <w:r w:rsidRPr="002F2B78">
        <w:rPr>
          <w:rFonts w:ascii="Times New Roman" w:eastAsia="Times New Roman" w:hAnsi="Times New Roman" w:cs="Times New Roman"/>
          <w:kern w:val="0"/>
          <w:sz w:val="24"/>
          <w:szCs w:val="24"/>
          <w:lang w:eastAsia="en-GB"/>
          <w14:ligatures w14:val="none"/>
        </w:rPr>
        <w:t xml:space="preserve">, 23(3), pp.407–442. </w:t>
      </w:r>
    </w:p>
    <w:p w14:paraId="1E358849" w14:textId="77777777" w:rsidR="00B060E2" w:rsidRPr="00421C8A" w:rsidRDefault="00B060E2" w:rsidP="00421C8A">
      <w:pPr>
        <w:spacing w:line="360" w:lineRule="auto"/>
        <w:rPr>
          <w:rFonts w:ascii="Arial" w:hAnsi="Arial" w:cs="Arial"/>
        </w:rPr>
      </w:pPr>
    </w:p>
    <w:p w14:paraId="39F4E69F" w14:textId="77777777" w:rsidR="00425574" w:rsidRPr="00425574" w:rsidRDefault="00425574" w:rsidP="00425574">
      <w:pPr>
        <w:spacing w:line="360" w:lineRule="auto"/>
        <w:rPr>
          <w:rFonts w:ascii="Arial" w:hAnsi="Arial" w:cs="Arial"/>
        </w:rPr>
      </w:pPr>
    </w:p>
    <w:p w14:paraId="51D818C4" w14:textId="77777777" w:rsidR="009E1F41" w:rsidRPr="009E1F41" w:rsidRDefault="009E1F41" w:rsidP="009E1F41">
      <w:pPr>
        <w:spacing w:line="360" w:lineRule="auto"/>
        <w:rPr>
          <w:rFonts w:ascii="Arial" w:hAnsi="Arial" w:cs="Arial"/>
        </w:rPr>
      </w:pPr>
    </w:p>
    <w:p w14:paraId="7A1346D3" w14:textId="77777777" w:rsidR="00920584" w:rsidRPr="00E96188" w:rsidRDefault="00920584" w:rsidP="00E96188">
      <w:pPr>
        <w:spacing w:line="360" w:lineRule="auto"/>
        <w:rPr>
          <w:rFonts w:ascii="Arial" w:hAnsi="Arial" w:cs="Arial"/>
          <w:b/>
          <w:bCs/>
          <w:sz w:val="28"/>
          <w:szCs w:val="28"/>
        </w:rPr>
      </w:pPr>
    </w:p>
    <w:p w14:paraId="1FAD23A5" w14:textId="77777777" w:rsidR="00E96188" w:rsidRPr="00152FC8" w:rsidRDefault="00E96188" w:rsidP="00152FC8">
      <w:pPr>
        <w:spacing w:line="360" w:lineRule="auto"/>
        <w:rPr>
          <w:rFonts w:ascii="Arial" w:hAnsi="Arial" w:cs="Arial"/>
        </w:rPr>
      </w:pPr>
    </w:p>
    <w:p w14:paraId="045AC359" w14:textId="77777777" w:rsidR="00385F1C" w:rsidRPr="00613882" w:rsidRDefault="00385F1C" w:rsidP="00613882">
      <w:pPr>
        <w:spacing w:line="360" w:lineRule="auto"/>
        <w:rPr>
          <w:rFonts w:ascii="Arial" w:hAnsi="Arial" w:cs="Arial"/>
        </w:rPr>
      </w:pPr>
    </w:p>
    <w:p w14:paraId="22D608E1" w14:textId="77777777" w:rsidR="00613882" w:rsidRPr="00CC4D0B" w:rsidRDefault="00613882" w:rsidP="00CC4D0B">
      <w:pPr>
        <w:spacing w:line="360" w:lineRule="auto"/>
        <w:rPr>
          <w:rFonts w:ascii="Arial" w:hAnsi="Arial" w:cs="Arial"/>
        </w:rPr>
      </w:pPr>
    </w:p>
    <w:p w14:paraId="69396456" w14:textId="77777777" w:rsidR="00CC4D0B" w:rsidRPr="00E8178D" w:rsidRDefault="00CC4D0B" w:rsidP="00BC5A4C">
      <w:pPr>
        <w:spacing w:line="360" w:lineRule="auto"/>
        <w:rPr>
          <w:rFonts w:ascii="Arial" w:hAnsi="Arial" w:cs="Arial"/>
          <w:b/>
          <w:bCs/>
          <w:sz w:val="28"/>
          <w:szCs w:val="28"/>
        </w:rPr>
      </w:pPr>
    </w:p>
    <w:sectPr w:rsidR="00CC4D0B" w:rsidRPr="00E8178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CC700" w14:textId="77777777" w:rsidR="00BE6C1D" w:rsidRDefault="00BE6C1D" w:rsidP="00BE6C1D">
      <w:pPr>
        <w:spacing w:after="0" w:line="240" w:lineRule="auto"/>
      </w:pPr>
      <w:r>
        <w:separator/>
      </w:r>
    </w:p>
  </w:endnote>
  <w:endnote w:type="continuationSeparator" w:id="0">
    <w:p w14:paraId="0FB74C3A" w14:textId="77777777" w:rsidR="00BE6C1D" w:rsidRDefault="00BE6C1D" w:rsidP="00BE6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9323312"/>
      <w:docPartObj>
        <w:docPartGallery w:val="Page Numbers (Bottom of Page)"/>
        <w:docPartUnique/>
      </w:docPartObj>
    </w:sdtPr>
    <w:sdtEndPr>
      <w:rPr>
        <w:noProof/>
      </w:rPr>
    </w:sdtEndPr>
    <w:sdtContent>
      <w:p w14:paraId="6FDC022A" w14:textId="0D915095" w:rsidR="00BE6C1D" w:rsidRDefault="00BE6C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FF2A6A" w14:textId="77777777" w:rsidR="00BE6C1D" w:rsidRDefault="00BE6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432E0" w14:textId="77777777" w:rsidR="00BE6C1D" w:rsidRDefault="00BE6C1D" w:rsidP="00BE6C1D">
      <w:pPr>
        <w:spacing w:after="0" w:line="240" w:lineRule="auto"/>
      </w:pPr>
      <w:r>
        <w:separator/>
      </w:r>
    </w:p>
  </w:footnote>
  <w:footnote w:type="continuationSeparator" w:id="0">
    <w:p w14:paraId="2A0D1CEC" w14:textId="77777777" w:rsidR="00BE6C1D" w:rsidRDefault="00BE6C1D" w:rsidP="00BE6C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5076B"/>
    <w:multiLevelType w:val="multilevel"/>
    <w:tmpl w:val="77CC4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97172"/>
    <w:multiLevelType w:val="hybridMultilevel"/>
    <w:tmpl w:val="7FFC5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F49F7"/>
    <w:multiLevelType w:val="multilevel"/>
    <w:tmpl w:val="7A78B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8D0613"/>
    <w:multiLevelType w:val="hybridMultilevel"/>
    <w:tmpl w:val="30D6F5CE"/>
    <w:lvl w:ilvl="0" w:tplc="08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B2E1473"/>
    <w:multiLevelType w:val="hybridMultilevel"/>
    <w:tmpl w:val="656E8E3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531C80"/>
    <w:multiLevelType w:val="hybridMultilevel"/>
    <w:tmpl w:val="265E5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9A41BA"/>
    <w:multiLevelType w:val="multilevel"/>
    <w:tmpl w:val="8904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833BF0"/>
    <w:multiLevelType w:val="multilevel"/>
    <w:tmpl w:val="3EB40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56592A"/>
    <w:multiLevelType w:val="multilevel"/>
    <w:tmpl w:val="C81C8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7B59C7"/>
    <w:multiLevelType w:val="multilevel"/>
    <w:tmpl w:val="C4B63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BF6995"/>
    <w:multiLevelType w:val="multilevel"/>
    <w:tmpl w:val="849E2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E029E0"/>
    <w:multiLevelType w:val="hybridMultilevel"/>
    <w:tmpl w:val="3E4EAF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7D0E80"/>
    <w:multiLevelType w:val="multilevel"/>
    <w:tmpl w:val="0636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421CAC"/>
    <w:multiLevelType w:val="multilevel"/>
    <w:tmpl w:val="317CA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686CB8"/>
    <w:multiLevelType w:val="multilevel"/>
    <w:tmpl w:val="4D9E0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804E0D"/>
    <w:multiLevelType w:val="multilevel"/>
    <w:tmpl w:val="02082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332B5A"/>
    <w:multiLevelType w:val="hybridMultilevel"/>
    <w:tmpl w:val="440C0F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0978E6"/>
    <w:multiLevelType w:val="hybridMultilevel"/>
    <w:tmpl w:val="F5E4A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CE1511"/>
    <w:multiLevelType w:val="hybridMultilevel"/>
    <w:tmpl w:val="DD7EB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438359D"/>
    <w:multiLevelType w:val="hybridMultilevel"/>
    <w:tmpl w:val="2DB00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961E11"/>
    <w:multiLevelType w:val="multilevel"/>
    <w:tmpl w:val="3F18E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B54B35"/>
    <w:multiLevelType w:val="multilevel"/>
    <w:tmpl w:val="DFC2B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806F12"/>
    <w:multiLevelType w:val="multilevel"/>
    <w:tmpl w:val="A3801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256091"/>
    <w:multiLevelType w:val="multilevel"/>
    <w:tmpl w:val="D5B060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F9122D"/>
    <w:multiLevelType w:val="hybridMultilevel"/>
    <w:tmpl w:val="CFC4225A"/>
    <w:lvl w:ilvl="0" w:tplc="08090005">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5" w15:restartNumberingAfterBreak="0">
    <w:nsid w:val="7B117F71"/>
    <w:multiLevelType w:val="multilevel"/>
    <w:tmpl w:val="AE8E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7010840">
    <w:abstractNumId w:val="19"/>
  </w:num>
  <w:num w:numId="2" w16cid:durableId="1265259451">
    <w:abstractNumId w:val="24"/>
  </w:num>
  <w:num w:numId="3" w16cid:durableId="726880241">
    <w:abstractNumId w:val="5"/>
  </w:num>
  <w:num w:numId="4" w16cid:durableId="1492063931">
    <w:abstractNumId w:val="18"/>
  </w:num>
  <w:num w:numId="5" w16cid:durableId="941767009">
    <w:abstractNumId w:val="3"/>
  </w:num>
  <w:num w:numId="6" w16cid:durableId="1689020496">
    <w:abstractNumId w:val="11"/>
  </w:num>
  <w:num w:numId="7" w16cid:durableId="2000647187">
    <w:abstractNumId w:val="16"/>
  </w:num>
  <w:num w:numId="8" w16cid:durableId="731274646">
    <w:abstractNumId w:val="22"/>
  </w:num>
  <w:num w:numId="9" w16cid:durableId="1858618747">
    <w:abstractNumId w:val="10"/>
  </w:num>
  <w:num w:numId="10" w16cid:durableId="1115519363">
    <w:abstractNumId w:val="8"/>
  </w:num>
  <w:num w:numId="11" w16cid:durableId="1527795057">
    <w:abstractNumId w:val="25"/>
  </w:num>
  <w:num w:numId="12" w16cid:durableId="1112749825">
    <w:abstractNumId w:val="0"/>
  </w:num>
  <w:num w:numId="13" w16cid:durableId="431896675">
    <w:abstractNumId w:val="20"/>
  </w:num>
  <w:num w:numId="14" w16cid:durableId="1147933978">
    <w:abstractNumId w:val="21"/>
  </w:num>
  <w:num w:numId="15" w16cid:durableId="77291555">
    <w:abstractNumId w:val="14"/>
  </w:num>
  <w:num w:numId="16" w16cid:durableId="675764680">
    <w:abstractNumId w:val="23"/>
  </w:num>
  <w:num w:numId="17" w16cid:durableId="686174244">
    <w:abstractNumId w:val="6"/>
  </w:num>
  <w:num w:numId="18" w16cid:durableId="262030476">
    <w:abstractNumId w:val="2"/>
  </w:num>
  <w:num w:numId="19" w16cid:durableId="381026787">
    <w:abstractNumId w:val="13"/>
  </w:num>
  <w:num w:numId="20" w16cid:durableId="1108545379">
    <w:abstractNumId w:val="12"/>
  </w:num>
  <w:num w:numId="21" w16cid:durableId="202061954">
    <w:abstractNumId w:val="4"/>
  </w:num>
  <w:num w:numId="22" w16cid:durableId="431441212">
    <w:abstractNumId w:val="7"/>
  </w:num>
  <w:num w:numId="23" w16cid:durableId="1458254670">
    <w:abstractNumId w:val="9"/>
  </w:num>
  <w:num w:numId="24" w16cid:durableId="1542475014">
    <w:abstractNumId w:val="15"/>
  </w:num>
  <w:num w:numId="25" w16cid:durableId="481579041">
    <w:abstractNumId w:val="17"/>
  </w:num>
  <w:num w:numId="26" w16cid:durableId="267549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C1D"/>
    <w:rsid w:val="00003191"/>
    <w:rsid w:val="0001774E"/>
    <w:rsid w:val="000A345E"/>
    <w:rsid w:val="000B342C"/>
    <w:rsid w:val="000B42CD"/>
    <w:rsid w:val="000B7945"/>
    <w:rsid w:val="000C5A2A"/>
    <w:rsid w:val="000D4C72"/>
    <w:rsid w:val="000E2B7F"/>
    <w:rsid w:val="000F5E59"/>
    <w:rsid w:val="0011639C"/>
    <w:rsid w:val="001429F1"/>
    <w:rsid w:val="00152A99"/>
    <w:rsid w:val="00152FC8"/>
    <w:rsid w:val="00167D4C"/>
    <w:rsid w:val="0017014B"/>
    <w:rsid w:val="0017301F"/>
    <w:rsid w:val="001A05AB"/>
    <w:rsid w:val="001C38C1"/>
    <w:rsid w:val="001D422A"/>
    <w:rsid w:val="001E47B6"/>
    <w:rsid w:val="001F5A6B"/>
    <w:rsid w:val="00201AC7"/>
    <w:rsid w:val="00211D40"/>
    <w:rsid w:val="0023329F"/>
    <w:rsid w:val="0026407F"/>
    <w:rsid w:val="0027090D"/>
    <w:rsid w:val="00286E1A"/>
    <w:rsid w:val="00297EFF"/>
    <w:rsid w:val="002B39C6"/>
    <w:rsid w:val="002C77FC"/>
    <w:rsid w:val="002F2B78"/>
    <w:rsid w:val="00321A86"/>
    <w:rsid w:val="0032781B"/>
    <w:rsid w:val="00346A86"/>
    <w:rsid w:val="00355E5D"/>
    <w:rsid w:val="00363208"/>
    <w:rsid w:val="003667A2"/>
    <w:rsid w:val="00376626"/>
    <w:rsid w:val="00381AC0"/>
    <w:rsid w:val="00385F1C"/>
    <w:rsid w:val="003A6759"/>
    <w:rsid w:val="003B0DE6"/>
    <w:rsid w:val="003B4C43"/>
    <w:rsid w:val="003C4A81"/>
    <w:rsid w:val="003C7015"/>
    <w:rsid w:val="003D2D8D"/>
    <w:rsid w:val="00420D11"/>
    <w:rsid w:val="00421C8A"/>
    <w:rsid w:val="00422103"/>
    <w:rsid w:val="00425574"/>
    <w:rsid w:val="00425732"/>
    <w:rsid w:val="004400D7"/>
    <w:rsid w:val="004408D8"/>
    <w:rsid w:val="00441ABC"/>
    <w:rsid w:val="004A5D95"/>
    <w:rsid w:val="004B714D"/>
    <w:rsid w:val="004E5A5B"/>
    <w:rsid w:val="004F7457"/>
    <w:rsid w:val="00506E32"/>
    <w:rsid w:val="00523616"/>
    <w:rsid w:val="0054340D"/>
    <w:rsid w:val="00565EB0"/>
    <w:rsid w:val="005729A2"/>
    <w:rsid w:val="005757A8"/>
    <w:rsid w:val="00605479"/>
    <w:rsid w:val="00613882"/>
    <w:rsid w:val="00630B33"/>
    <w:rsid w:val="006530BA"/>
    <w:rsid w:val="006657B2"/>
    <w:rsid w:val="006B24E5"/>
    <w:rsid w:val="006B3B8E"/>
    <w:rsid w:val="006B723C"/>
    <w:rsid w:val="006E43EC"/>
    <w:rsid w:val="006F31D5"/>
    <w:rsid w:val="007260B6"/>
    <w:rsid w:val="00736CFB"/>
    <w:rsid w:val="0075462C"/>
    <w:rsid w:val="0077232D"/>
    <w:rsid w:val="00774294"/>
    <w:rsid w:val="007863BE"/>
    <w:rsid w:val="007B1051"/>
    <w:rsid w:val="007B1E7B"/>
    <w:rsid w:val="007B2C80"/>
    <w:rsid w:val="007E77F5"/>
    <w:rsid w:val="007F1A40"/>
    <w:rsid w:val="008226BE"/>
    <w:rsid w:val="00857BD3"/>
    <w:rsid w:val="008602B9"/>
    <w:rsid w:val="008775F6"/>
    <w:rsid w:val="00887D68"/>
    <w:rsid w:val="00896B8E"/>
    <w:rsid w:val="008A7295"/>
    <w:rsid w:val="00920584"/>
    <w:rsid w:val="00984C58"/>
    <w:rsid w:val="009C5D73"/>
    <w:rsid w:val="009D40DB"/>
    <w:rsid w:val="009E1F41"/>
    <w:rsid w:val="00A04FE7"/>
    <w:rsid w:val="00A31EC8"/>
    <w:rsid w:val="00A45B82"/>
    <w:rsid w:val="00A63B63"/>
    <w:rsid w:val="00A9712D"/>
    <w:rsid w:val="00AC3682"/>
    <w:rsid w:val="00AD3995"/>
    <w:rsid w:val="00AE1D05"/>
    <w:rsid w:val="00B0158E"/>
    <w:rsid w:val="00B060E2"/>
    <w:rsid w:val="00B2429D"/>
    <w:rsid w:val="00B25D10"/>
    <w:rsid w:val="00B36A69"/>
    <w:rsid w:val="00B5015E"/>
    <w:rsid w:val="00B546D3"/>
    <w:rsid w:val="00BB1E52"/>
    <w:rsid w:val="00BC5A4C"/>
    <w:rsid w:val="00BD441C"/>
    <w:rsid w:val="00BE2D89"/>
    <w:rsid w:val="00BE6C1D"/>
    <w:rsid w:val="00C070C1"/>
    <w:rsid w:val="00CA2979"/>
    <w:rsid w:val="00CA5A44"/>
    <w:rsid w:val="00CB4FC1"/>
    <w:rsid w:val="00CC4D0B"/>
    <w:rsid w:val="00CC607D"/>
    <w:rsid w:val="00CF2E61"/>
    <w:rsid w:val="00D24366"/>
    <w:rsid w:val="00D4430D"/>
    <w:rsid w:val="00D7378A"/>
    <w:rsid w:val="00DC0054"/>
    <w:rsid w:val="00DC3BD5"/>
    <w:rsid w:val="00DC6FC3"/>
    <w:rsid w:val="00DD54AD"/>
    <w:rsid w:val="00DE4BA7"/>
    <w:rsid w:val="00E1595D"/>
    <w:rsid w:val="00E32398"/>
    <w:rsid w:val="00E4648E"/>
    <w:rsid w:val="00E469C7"/>
    <w:rsid w:val="00E8178D"/>
    <w:rsid w:val="00E917E2"/>
    <w:rsid w:val="00E96188"/>
    <w:rsid w:val="00F05C15"/>
    <w:rsid w:val="00F26A58"/>
    <w:rsid w:val="00F30005"/>
    <w:rsid w:val="00F338B7"/>
    <w:rsid w:val="00F43CFC"/>
    <w:rsid w:val="00F65231"/>
    <w:rsid w:val="00FA1DD0"/>
    <w:rsid w:val="00FA61B4"/>
    <w:rsid w:val="00FB52A6"/>
    <w:rsid w:val="00FE119F"/>
    <w:rsid w:val="00FE6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2446E"/>
  <w15:chartTrackingRefBased/>
  <w15:docId w15:val="{2F1957BD-91AD-453A-80AB-F200D35CF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6C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6C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6C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6C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6C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6C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6C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6C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6C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C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6C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6C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6C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6C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6C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6C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6C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6C1D"/>
    <w:rPr>
      <w:rFonts w:eastAsiaTheme="majorEastAsia" w:cstheme="majorBidi"/>
      <w:color w:val="272727" w:themeColor="text1" w:themeTint="D8"/>
    </w:rPr>
  </w:style>
  <w:style w:type="paragraph" w:styleId="Title">
    <w:name w:val="Title"/>
    <w:basedOn w:val="Normal"/>
    <w:next w:val="Normal"/>
    <w:link w:val="TitleChar"/>
    <w:uiPriority w:val="10"/>
    <w:qFormat/>
    <w:rsid w:val="00BE6C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6C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6C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6C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6C1D"/>
    <w:pPr>
      <w:spacing w:before="160"/>
      <w:jc w:val="center"/>
    </w:pPr>
    <w:rPr>
      <w:i/>
      <w:iCs/>
      <w:color w:val="404040" w:themeColor="text1" w:themeTint="BF"/>
    </w:rPr>
  </w:style>
  <w:style w:type="character" w:customStyle="1" w:styleId="QuoteChar">
    <w:name w:val="Quote Char"/>
    <w:basedOn w:val="DefaultParagraphFont"/>
    <w:link w:val="Quote"/>
    <w:uiPriority w:val="29"/>
    <w:rsid w:val="00BE6C1D"/>
    <w:rPr>
      <w:i/>
      <w:iCs/>
      <w:color w:val="404040" w:themeColor="text1" w:themeTint="BF"/>
    </w:rPr>
  </w:style>
  <w:style w:type="paragraph" w:styleId="ListParagraph">
    <w:name w:val="List Paragraph"/>
    <w:basedOn w:val="Normal"/>
    <w:uiPriority w:val="34"/>
    <w:qFormat/>
    <w:rsid w:val="00BE6C1D"/>
    <w:pPr>
      <w:ind w:left="720"/>
      <w:contextualSpacing/>
    </w:pPr>
  </w:style>
  <w:style w:type="character" w:styleId="IntenseEmphasis">
    <w:name w:val="Intense Emphasis"/>
    <w:basedOn w:val="DefaultParagraphFont"/>
    <w:uiPriority w:val="21"/>
    <w:qFormat/>
    <w:rsid w:val="00BE6C1D"/>
    <w:rPr>
      <w:i/>
      <w:iCs/>
      <w:color w:val="0F4761" w:themeColor="accent1" w:themeShade="BF"/>
    </w:rPr>
  </w:style>
  <w:style w:type="paragraph" w:styleId="IntenseQuote">
    <w:name w:val="Intense Quote"/>
    <w:basedOn w:val="Normal"/>
    <w:next w:val="Normal"/>
    <w:link w:val="IntenseQuoteChar"/>
    <w:uiPriority w:val="30"/>
    <w:qFormat/>
    <w:rsid w:val="00BE6C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6C1D"/>
    <w:rPr>
      <w:i/>
      <w:iCs/>
      <w:color w:val="0F4761" w:themeColor="accent1" w:themeShade="BF"/>
    </w:rPr>
  </w:style>
  <w:style w:type="character" w:styleId="IntenseReference">
    <w:name w:val="Intense Reference"/>
    <w:basedOn w:val="DefaultParagraphFont"/>
    <w:uiPriority w:val="32"/>
    <w:qFormat/>
    <w:rsid w:val="00BE6C1D"/>
    <w:rPr>
      <w:b/>
      <w:bCs/>
      <w:smallCaps/>
      <w:color w:val="0F4761" w:themeColor="accent1" w:themeShade="BF"/>
      <w:spacing w:val="5"/>
    </w:rPr>
  </w:style>
  <w:style w:type="paragraph" w:styleId="Header">
    <w:name w:val="header"/>
    <w:basedOn w:val="Normal"/>
    <w:link w:val="HeaderChar"/>
    <w:uiPriority w:val="99"/>
    <w:unhideWhenUsed/>
    <w:rsid w:val="00BE6C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C1D"/>
  </w:style>
  <w:style w:type="paragraph" w:styleId="Footer">
    <w:name w:val="footer"/>
    <w:basedOn w:val="Normal"/>
    <w:link w:val="FooterChar"/>
    <w:uiPriority w:val="99"/>
    <w:unhideWhenUsed/>
    <w:rsid w:val="00BE6C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C1D"/>
  </w:style>
  <w:style w:type="paragraph" w:styleId="NormalWeb">
    <w:name w:val="Normal (Web)"/>
    <w:basedOn w:val="Normal"/>
    <w:uiPriority w:val="99"/>
    <w:semiHidden/>
    <w:unhideWhenUsed/>
    <w:rsid w:val="008226BE"/>
    <w:rPr>
      <w:rFonts w:ascii="Times New Roman" w:hAnsi="Times New Roman" w:cs="Times New Roman"/>
      <w:sz w:val="24"/>
      <w:szCs w:val="24"/>
    </w:rPr>
  </w:style>
  <w:style w:type="table" w:styleId="TableGrid">
    <w:name w:val="Table Grid"/>
    <w:basedOn w:val="TableNormal"/>
    <w:uiPriority w:val="39"/>
    <w:rsid w:val="00653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2816</TotalTime>
  <Pages>21</Pages>
  <Words>5113</Words>
  <Characters>29150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 Catalin Butoi</dc:creator>
  <cp:keywords/>
  <dc:description/>
  <cp:lastModifiedBy>Mihail Catalin Butoi</cp:lastModifiedBy>
  <cp:revision>145</cp:revision>
  <dcterms:created xsi:type="dcterms:W3CDTF">2025-11-18T23:12:00Z</dcterms:created>
  <dcterms:modified xsi:type="dcterms:W3CDTF">2025-11-20T22:49:00Z</dcterms:modified>
</cp:coreProperties>
</file>