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2B22A" w14:textId="77777777" w:rsidR="0079451C" w:rsidRDefault="0079451C" w:rsidP="0079451C">
      <w:pPr>
        <w:pStyle w:val="ContactInfo"/>
        <w:tabs>
          <w:tab w:val="center" w:pos="4680"/>
          <w:tab w:val="left" w:pos="6075"/>
        </w:tabs>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4457824344524E6BBBD8657E9E45A6BB"/>
          </w:placeholder>
          <w:temporary/>
          <w:showingPlcHdr/>
        </w:sdtPr>
        <w:sdtContent>
          <w:r w:rsidRPr="002B5301">
            <w:rPr>
              <w:rFonts w:ascii="Calibri" w:hAnsi="Calibri" w:cs="Calibri"/>
              <w:color w:val="auto"/>
              <w:sz w:val="32"/>
            </w:rPr>
            <w:t>Name</w:t>
          </w:r>
        </w:sdtContent>
      </w:sdt>
      <w:r>
        <w:rPr>
          <w:rFonts w:ascii="Calibri" w:hAnsi="Calibri" w:cs="Calibri"/>
          <w:color w:val="auto"/>
          <w:sz w:val="32"/>
        </w:rPr>
        <w:t xml:space="preserve">           Dan-Gheorghe Filimon</w:t>
      </w:r>
    </w:p>
    <w:p w14:paraId="5079C5BB" w14:textId="77777777" w:rsidR="0079451C" w:rsidRDefault="0079451C" w:rsidP="0079451C">
      <w:pPr>
        <w:pStyle w:val="ContactInfo"/>
        <w:tabs>
          <w:tab w:val="center" w:pos="4680"/>
          <w:tab w:val="left" w:pos="6075"/>
        </w:tabs>
        <w:rPr>
          <w:rFonts w:ascii="Calibri" w:hAnsi="Calibri" w:cs="Calibri"/>
          <w:color w:val="auto"/>
          <w:sz w:val="32"/>
        </w:rPr>
      </w:pPr>
    </w:p>
    <w:p w14:paraId="6AA373EB" w14:textId="77777777" w:rsidR="0079451C" w:rsidRDefault="0079451C" w:rsidP="0079451C">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14:paraId="1BA2E82C" w14:textId="77777777" w:rsidR="0079451C" w:rsidRPr="002B5301" w:rsidRDefault="0079451C" w:rsidP="0079451C">
      <w:pPr>
        <w:pStyle w:val="ContactInfo"/>
        <w:tabs>
          <w:tab w:val="center" w:pos="4680"/>
          <w:tab w:val="left" w:pos="6075"/>
        </w:tabs>
        <w:rPr>
          <w:rFonts w:ascii="Calibri" w:hAnsi="Calibri" w:cs="Calibri"/>
          <w:color w:val="auto"/>
          <w:sz w:val="32"/>
        </w:rPr>
      </w:pPr>
    </w:p>
    <w:p w14:paraId="53B1A5BE" w14:textId="2593AF60" w:rsidR="0079451C" w:rsidRDefault="0079451C" w:rsidP="0079451C">
      <w:pPr>
        <w:pStyle w:val="ContactInfo"/>
        <w:tabs>
          <w:tab w:val="center" w:pos="4680"/>
          <w:tab w:val="left" w:pos="6180"/>
        </w:tabs>
        <w:rPr>
          <w:rFonts w:ascii="Calibri" w:hAnsi="Calibri" w:cs="Calibri"/>
          <w:color w:val="auto"/>
          <w:sz w:val="32"/>
        </w:rPr>
      </w:pPr>
      <w:r>
        <w:rPr>
          <w:rFonts w:ascii="Calibri" w:hAnsi="Calibri" w:cs="Calibri"/>
          <w:color w:val="auto"/>
          <w:sz w:val="32"/>
        </w:rPr>
        <w:t>Module Teacher</w:t>
      </w:r>
      <w:r>
        <w:rPr>
          <w:rFonts w:ascii="Calibri" w:hAnsi="Calibri" w:cs="Calibri"/>
          <w:color w:val="auto"/>
          <w:sz w:val="32"/>
        </w:rPr>
        <w:t>: Mary March</w:t>
      </w:r>
      <w:r>
        <w:rPr>
          <w:rFonts w:ascii="Calibri" w:hAnsi="Calibri" w:cs="Calibri"/>
          <w:color w:val="auto"/>
          <w:sz w:val="32"/>
        </w:rPr>
        <w:t xml:space="preserve">     </w:t>
      </w:r>
    </w:p>
    <w:p w14:paraId="613047FB" w14:textId="77777777" w:rsidR="0079451C" w:rsidRDefault="0079451C" w:rsidP="0079451C">
      <w:pPr>
        <w:pStyle w:val="ContactInfo"/>
        <w:tabs>
          <w:tab w:val="center" w:pos="4680"/>
          <w:tab w:val="left" w:pos="6180"/>
        </w:tabs>
        <w:rPr>
          <w:rFonts w:ascii="Calibri" w:hAnsi="Calibri" w:cs="Calibri"/>
          <w:color w:val="auto"/>
          <w:sz w:val="32"/>
        </w:rPr>
      </w:pPr>
    </w:p>
    <w:p w14:paraId="14465FD9" w14:textId="77777777" w:rsidR="0079451C" w:rsidRPr="0073077D" w:rsidRDefault="0079451C" w:rsidP="0079451C">
      <w:pPr>
        <w:pStyle w:val="ContactInfo"/>
        <w:tabs>
          <w:tab w:val="center" w:pos="4680"/>
          <w:tab w:val="left" w:pos="6180"/>
        </w:tabs>
        <w:rPr>
          <w:rStyle w:val="Hyperlink"/>
          <w:rFonts w:ascii="Calibri" w:hAnsi="Calibri" w:cs="Calibri"/>
          <w:sz w:val="32"/>
          <w:lang w:val="en-GB"/>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14:paraId="6AD7BE61" w14:textId="77777777" w:rsidR="0079451C" w:rsidRDefault="0079451C" w:rsidP="0079451C">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14:paraId="71AF7211" w14:textId="3AB60522" w:rsidR="0079451C" w:rsidRDefault="0079451C" w:rsidP="0079451C">
      <w:pPr>
        <w:pStyle w:val="Heading1"/>
        <w:shd w:val="clear" w:color="auto" w:fill="FBF7F5"/>
        <w:spacing w:before="0"/>
        <w:jc w:val="center"/>
        <w:textAlignment w:val="center"/>
        <w:rPr>
          <w:rFonts w:ascii="inherit" w:hAnsi="inherit"/>
          <w:b w:val="0"/>
          <w:bCs/>
          <w:sz w:val="48"/>
          <w:szCs w:val="48"/>
        </w:rPr>
      </w:pPr>
      <w:r>
        <w:rPr>
          <w:rFonts w:ascii="inherit" w:hAnsi="inherit" w:cs="Segoe UI"/>
          <w:color w:val="003E5A"/>
        </w:rPr>
        <w:t>Managing People</w:t>
      </w:r>
      <w:r>
        <w:rPr>
          <w:rFonts w:ascii="inherit" w:hAnsi="inherit" w:cs="Segoe UI"/>
          <w:color w:val="003E5A"/>
        </w:rPr>
        <w:t xml:space="preserve"> – Assignment 1</w:t>
      </w:r>
    </w:p>
    <w:p w14:paraId="72B7E67E" w14:textId="77777777" w:rsidR="0079451C" w:rsidRDefault="0079451C" w:rsidP="0079451C">
      <w:pPr>
        <w:shd w:val="clear" w:color="auto" w:fill="FBF7F5"/>
        <w:rPr>
          <w:rFonts w:ascii="Segoe UI" w:hAnsi="Segoe UI" w:cs="Segoe UI"/>
          <w:color w:val="373A3C"/>
          <w:sz w:val="23"/>
          <w:szCs w:val="23"/>
        </w:rPr>
      </w:pPr>
      <w:r>
        <w:rPr>
          <w:rFonts w:ascii="Segoe UI" w:hAnsi="Segoe UI" w:cs="Segoe UI"/>
          <w:color w:val="373A3C"/>
          <w:sz w:val="23"/>
          <w:szCs w:val="23"/>
        </w:rPr>
        <w:fldChar w:fldCharType="end"/>
      </w:r>
    </w:p>
    <w:p w14:paraId="14125468" w14:textId="77777777" w:rsidR="0079451C" w:rsidRPr="002B5301" w:rsidRDefault="0079451C" w:rsidP="0079451C">
      <w:pPr>
        <w:pStyle w:val="ContactInfo"/>
        <w:tabs>
          <w:tab w:val="center" w:pos="4680"/>
          <w:tab w:val="left" w:pos="6180"/>
        </w:tabs>
        <w:rPr>
          <w:rFonts w:ascii="Calibri" w:hAnsi="Calibri" w:cs="Calibri"/>
          <w:color w:val="auto"/>
          <w:sz w:val="32"/>
        </w:rPr>
      </w:pPr>
    </w:p>
    <w:p w14:paraId="1E3CCB29" w14:textId="77777777" w:rsidR="0079451C" w:rsidRPr="002B5301" w:rsidRDefault="0079451C" w:rsidP="0079451C">
      <w:pPr>
        <w:pStyle w:val="ContactInfo"/>
        <w:rPr>
          <w:rFonts w:ascii="Calibri" w:hAnsi="Calibri" w:cs="Calibri"/>
          <w:color w:val="auto"/>
          <w:sz w:val="32"/>
        </w:rPr>
      </w:pPr>
    </w:p>
    <w:p w14:paraId="1D4AB246" w14:textId="72EEF1AF" w:rsidR="0079451C" w:rsidRDefault="0079451C" w:rsidP="0079451C">
      <w:pPr>
        <w:jc w:val="center"/>
        <w:rPr>
          <w:rFonts w:ascii="Calibri" w:hAnsi="Calibri" w:cs="Calibri"/>
          <w:sz w:val="32"/>
        </w:rPr>
      </w:pPr>
      <w:r w:rsidRPr="002B5301">
        <w:rPr>
          <w:rFonts w:ascii="Calibri" w:hAnsi="Calibri" w:cs="Calibri"/>
          <w:sz w:val="32"/>
        </w:rPr>
        <w:t>Date</w:t>
      </w:r>
      <w:r>
        <w:rPr>
          <w:rFonts w:ascii="Calibri" w:hAnsi="Calibri" w:cs="Calibri"/>
          <w:sz w:val="32"/>
        </w:rPr>
        <w:t xml:space="preserve"> 15</w:t>
      </w:r>
      <w:r>
        <w:rPr>
          <w:rFonts w:ascii="Calibri" w:hAnsi="Calibri" w:cs="Calibri"/>
          <w:sz w:val="32"/>
        </w:rPr>
        <w:t>/1</w:t>
      </w:r>
      <w:r>
        <w:rPr>
          <w:rFonts w:ascii="Calibri" w:hAnsi="Calibri" w:cs="Calibri"/>
          <w:sz w:val="32"/>
        </w:rPr>
        <w:t>2</w:t>
      </w:r>
      <w:r>
        <w:rPr>
          <w:rFonts w:ascii="Calibri" w:hAnsi="Calibri" w:cs="Calibri"/>
          <w:sz w:val="32"/>
        </w:rPr>
        <w:t>/2020</w:t>
      </w:r>
    </w:p>
    <w:p w14:paraId="4B0F8382" w14:textId="77777777" w:rsidR="00B96745" w:rsidRDefault="00B96745" w:rsidP="00B96745"/>
    <w:p w14:paraId="2D34E267" w14:textId="77777777" w:rsidR="00B96745" w:rsidRDefault="00B96745" w:rsidP="00B96745"/>
    <w:p w14:paraId="60DE4A87" w14:textId="77777777" w:rsidR="00B96745" w:rsidRDefault="00B96745" w:rsidP="00B96745"/>
    <w:p w14:paraId="4ADE1753" w14:textId="77777777" w:rsidR="00B96745" w:rsidRDefault="00B96745" w:rsidP="00B96745"/>
    <w:p w14:paraId="4531B5C6" w14:textId="77777777" w:rsidR="00B96745" w:rsidRDefault="00B96745" w:rsidP="00B96745"/>
    <w:p w14:paraId="1F1758FB" w14:textId="77777777" w:rsidR="00B96745" w:rsidRDefault="00B96745" w:rsidP="00B96745"/>
    <w:p w14:paraId="5DBD45D0" w14:textId="77777777" w:rsidR="00B96745" w:rsidRDefault="00B96745" w:rsidP="00B96745"/>
    <w:p w14:paraId="412C11FB" w14:textId="77777777" w:rsidR="00B96745" w:rsidRDefault="00B96745" w:rsidP="00B96745"/>
    <w:p w14:paraId="52BAA6B8" w14:textId="77777777" w:rsidR="00B96745" w:rsidRDefault="00B96745" w:rsidP="00B96745"/>
    <w:p w14:paraId="5D9AC732" w14:textId="77777777" w:rsidR="00B96745" w:rsidRDefault="00B96745" w:rsidP="00B96745"/>
    <w:p w14:paraId="15D8A7A7" w14:textId="77777777" w:rsidR="00B96745" w:rsidRDefault="00B96745" w:rsidP="00B96745"/>
    <w:p w14:paraId="33A46705" w14:textId="77777777" w:rsidR="00B96745" w:rsidRDefault="00B96745" w:rsidP="00B96745"/>
    <w:p w14:paraId="4510EAE1" w14:textId="77777777" w:rsidR="00B96745" w:rsidRDefault="00B96745" w:rsidP="00B96745"/>
    <w:p w14:paraId="350F9F31" w14:textId="77777777" w:rsidR="00B96745" w:rsidRDefault="00B96745" w:rsidP="00B96745"/>
    <w:p w14:paraId="335AF265" w14:textId="77777777" w:rsidR="00B96745" w:rsidRDefault="00B96745" w:rsidP="00B96745"/>
    <w:p w14:paraId="4311CD21" w14:textId="77777777" w:rsidR="00B96745" w:rsidRDefault="00B96745" w:rsidP="00B96745"/>
    <w:p w14:paraId="1CF74CEC" w14:textId="77777777" w:rsidR="00B96745" w:rsidRDefault="00B96745" w:rsidP="00B96745"/>
    <w:p w14:paraId="564EBCB8" w14:textId="77777777" w:rsidR="00B96745" w:rsidRDefault="00B96745" w:rsidP="00B96745"/>
    <w:p w14:paraId="25AAC785" w14:textId="77777777" w:rsidR="00B96745" w:rsidRDefault="00B96745" w:rsidP="00B96745"/>
    <w:p w14:paraId="23B509A4" w14:textId="77777777" w:rsidR="00B96745" w:rsidRDefault="00B96745" w:rsidP="00B96745"/>
    <w:p w14:paraId="733FA7A0" w14:textId="77777777" w:rsidR="00B96745" w:rsidRDefault="00B96745" w:rsidP="00B96745"/>
    <w:p w14:paraId="6C0E972A" w14:textId="77777777" w:rsidR="00B96745" w:rsidRDefault="00B96745" w:rsidP="00B96745"/>
    <w:p w14:paraId="06CA11C9" w14:textId="77777777" w:rsidR="00B96745" w:rsidRDefault="00B96745" w:rsidP="00B96745"/>
    <w:p w14:paraId="1118F250" w14:textId="77777777" w:rsidR="00B96745" w:rsidRDefault="00B96745" w:rsidP="00B96745"/>
    <w:p w14:paraId="05149393" w14:textId="77777777" w:rsidR="00B96745" w:rsidRDefault="00B96745" w:rsidP="00B96745"/>
    <w:p w14:paraId="016E1DD6" w14:textId="77777777" w:rsidR="00B96745" w:rsidRDefault="00B96745" w:rsidP="00B96745"/>
    <w:p w14:paraId="787B4D64" w14:textId="77777777" w:rsidR="00B96745" w:rsidRDefault="00B96745" w:rsidP="00B96745"/>
    <w:p w14:paraId="2D54ED71" w14:textId="77777777" w:rsidR="00B96745" w:rsidRDefault="00B96745" w:rsidP="00B96745"/>
    <w:p w14:paraId="2E25CDA9" w14:textId="77777777" w:rsidR="00B96745" w:rsidRDefault="00B96745" w:rsidP="00B96745"/>
    <w:p w14:paraId="7B4F9C6A" w14:textId="77777777" w:rsidR="00B96745" w:rsidRDefault="00B96745" w:rsidP="00B96745"/>
    <w:p w14:paraId="38308E69" w14:textId="77777777" w:rsidR="00B96745" w:rsidRDefault="00B96745" w:rsidP="00B96745"/>
    <w:p w14:paraId="39D42E62" w14:textId="77777777" w:rsidR="00B96745" w:rsidRDefault="00B96745" w:rsidP="00B96745"/>
    <w:p w14:paraId="1C043015" w14:textId="77777777" w:rsidR="00B96745" w:rsidRDefault="00B96745" w:rsidP="00B96745"/>
    <w:p w14:paraId="67B55E3B" w14:textId="4090DD71" w:rsidR="00B96745" w:rsidRPr="0007186C" w:rsidRDefault="0007186C" w:rsidP="0007186C">
      <w:pPr>
        <w:spacing w:line="360" w:lineRule="auto"/>
        <w:ind w:firstLine="720"/>
        <w:jc w:val="both"/>
        <w:rPr>
          <w:rFonts w:ascii="Times New Roman" w:hAnsi="Times New Roman" w:cs="Times New Roman"/>
          <w:sz w:val="44"/>
          <w:szCs w:val="44"/>
        </w:rPr>
      </w:pPr>
      <w:r w:rsidRPr="0007186C">
        <w:rPr>
          <w:rFonts w:ascii="Times New Roman" w:hAnsi="Times New Roman" w:cs="Times New Roman"/>
          <w:color w:val="222222"/>
          <w:sz w:val="44"/>
          <w:szCs w:val="44"/>
          <w:shd w:val="clear" w:color="auto" w:fill="FFFFFF"/>
        </w:rPr>
        <w:t>Managing People - Assignment 1 (Amazon)   </w:t>
      </w:r>
    </w:p>
    <w:p w14:paraId="33ECFE03" w14:textId="77777777" w:rsidR="00B96745" w:rsidRDefault="00B96745" w:rsidP="00B96745"/>
    <w:p w14:paraId="25D9873E" w14:textId="77777777" w:rsidR="00B96745" w:rsidRDefault="00B96745" w:rsidP="00B96745"/>
    <w:p w14:paraId="25261A4F" w14:textId="77777777" w:rsidR="00B96745" w:rsidRDefault="00B96745" w:rsidP="00B96745"/>
    <w:p w14:paraId="41CC18CC" w14:textId="77777777" w:rsidR="00B96745" w:rsidRDefault="00B96745" w:rsidP="00B96745"/>
    <w:p w14:paraId="4DE02A9E" w14:textId="77777777" w:rsidR="00B96745" w:rsidRDefault="00B96745" w:rsidP="00B96745"/>
    <w:p w14:paraId="2BCFC771" w14:textId="77777777" w:rsidR="00B96745" w:rsidRDefault="00B96745" w:rsidP="00B96745"/>
    <w:p w14:paraId="5D22FDEF" w14:textId="77777777" w:rsidR="00B96745" w:rsidRDefault="00B96745" w:rsidP="00B96745"/>
    <w:p w14:paraId="2274A965" w14:textId="77777777" w:rsidR="00B96745" w:rsidRDefault="00B96745" w:rsidP="00B96745"/>
    <w:p w14:paraId="70934CEC" w14:textId="77777777" w:rsidR="00B96745" w:rsidRDefault="00B96745" w:rsidP="00B96745"/>
    <w:p w14:paraId="5DFAF3A4" w14:textId="77777777" w:rsidR="00B96745" w:rsidRDefault="00B96745" w:rsidP="00B96745"/>
    <w:p w14:paraId="7F61C8CB" w14:textId="77777777" w:rsidR="00B96745" w:rsidRDefault="00B96745" w:rsidP="00B96745"/>
    <w:p w14:paraId="65611B5D" w14:textId="77777777" w:rsidR="00B96745" w:rsidRDefault="00B96745" w:rsidP="00B96745"/>
    <w:p w14:paraId="5963B64B" w14:textId="77777777" w:rsidR="00B96745" w:rsidRDefault="00B96745" w:rsidP="00B96745"/>
    <w:p w14:paraId="61555095" w14:textId="77777777" w:rsidR="00B96745" w:rsidRDefault="00B96745" w:rsidP="00B96745"/>
    <w:p w14:paraId="21014F34" w14:textId="77777777" w:rsidR="00B96745" w:rsidRDefault="00B96745" w:rsidP="00B96745"/>
    <w:p w14:paraId="4A484705" w14:textId="77777777" w:rsidR="00B96745" w:rsidRDefault="00B96745" w:rsidP="00B96745"/>
    <w:sdt>
      <w:sdtPr>
        <w:rPr>
          <w:rFonts w:asciiTheme="minorHAnsi" w:eastAsiaTheme="minorHAnsi" w:hAnsiTheme="minorHAnsi" w:cstheme="minorBidi"/>
          <w:color w:val="auto"/>
          <w:sz w:val="22"/>
          <w:szCs w:val="22"/>
          <w:lang w:val="en-GB"/>
        </w:rPr>
        <w:id w:val="-668098616"/>
        <w:docPartObj>
          <w:docPartGallery w:val="Table of Contents"/>
          <w:docPartUnique/>
        </w:docPartObj>
      </w:sdtPr>
      <w:sdtEndPr>
        <w:rPr>
          <w:b/>
          <w:bCs/>
          <w:noProof/>
        </w:rPr>
      </w:sdtEndPr>
      <w:sdtContent>
        <w:p w14:paraId="51D96F72" w14:textId="77777777" w:rsidR="00B96745" w:rsidRPr="0082723A" w:rsidRDefault="00B96745" w:rsidP="00B96745">
          <w:pPr>
            <w:pStyle w:val="TOCHeading"/>
            <w:spacing w:line="360" w:lineRule="auto"/>
            <w:jc w:val="both"/>
            <w:rPr>
              <w:rFonts w:ascii="Times New Roman" w:hAnsi="Times New Roman" w:cs="Times New Roman"/>
              <w:sz w:val="24"/>
              <w:szCs w:val="24"/>
            </w:rPr>
          </w:pPr>
          <w:r w:rsidRPr="0082723A">
            <w:rPr>
              <w:rFonts w:ascii="Times New Roman" w:hAnsi="Times New Roman" w:cs="Times New Roman"/>
              <w:sz w:val="24"/>
              <w:szCs w:val="24"/>
            </w:rPr>
            <w:t>Table of Contents</w:t>
          </w:r>
        </w:p>
        <w:p w14:paraId="1D954015" w14:textId="525A5375" w:rsidR="00B96745" w:rsidRPr="0082723A" w:rsidRDefault="00B96745" w:rsidP="00B96745">
          <w:pPr>
            <w:pStyle w:val="TOC1"/>
            <w:tabs>
              <w:tab w:val="right" w:leader="dot" w:pos="9350"/>
            </w:tabs>
            <w:spacing w:line="360" w:lineRule="auto"/>
            <w:jc w:val="both"/>
            <w:rPr>
              <w:rFonts w:ascii="Times New Roman" w:hAnsi="Times New Roman" w:cs="Times New Roman"/>
              <w:noProof/>
              <w:sz w:val="24"/>
              <w:szCs w:val="24"/>
            </w:rPr>
          </w:pPr>
          <w:r w:rsidRPr="0082723A">
            <w:rPr>
              <w:rFonts w:ascii="Times New Roman" w:hAnsi="Times New Roman" w:cs="Times New Roman"/>
              <w:sz w:val="24"/>
              <w:szCs w:val="24"/>
            </w:rPr>
            <w:fldChar w:fldCharType="begin"/>
          </w:r>
          <w:r w:rsidRPr="0082723A">
            <w:rPr>
              <w:rFonts w:ascii="Times New Roman" w:hAnsi="Times New Roman" w:cs="Times New Roman"/>
              <w:sz w:val="24"/>
              <w:szCs w:val="24"/>
            </w:rPr>
            <w:instrText xml:space="preserve"> TOC \o "1-3" \h \z \u </w:instrText>
          </w:r>
          <w:r w:rsidRPr="0082723A">
            <w:rPr>
              <w:rFonts w:ascii="Times New Roman" w:hAnsi="Times New Roman" w:cs="Times New Roman"/>
              <w:sz w:val="24"/>
              <w:szCs w:val="24"/>
            </w:rPr>
            <w:fldChar w:fldCharType="separate"/>
          </w:r>
          <w:hyperlink w:anchor="_Toc57456946" w:history="1">
            <w:r w:rsidRPr="0082723A">
              <w:rPr>
                <w:rStyle w:val="Hyperlink"/>
                <w:rFonts w:ascii="Times New Roman" w:hAnsi="Times New Roman" w:cs="Times New Roman"/>
                <w:noProof/>
                <w:sz w:val="24"/>
                <w:szCs w:val="24"/>
              </w:rPr>
              <w:t>Introduction</w:t>
            </w:r>
            <w:r w:rsidRPr="0082723A">
              <w:rPr>
                <w:rFonts w:ascii="Times New Roman" w:hAnsi="Times New Roman" w:cs="Times New Roman"/>
                <w:noProof/>
                <w:webHidden/>
                <w:sz w:val="24"/>
                <w:szCs w:val="24"/>
              </w:rPr>
              <w:tab/>
            </w:r>
            <w:r w:rsidRPr="0082723A">
              <w:rPr>
                <w:rFonts w:ascii="Times New Roman" w:hAnsi="Times New Roman" w:cs="Times New Roman"/>
                <w:noProof/>
                <w:webHidden/>
                <w:sz w:val="24"/>
                <w:szCs w:val="24"/>
              </w:rPr>
              <w:fldChar w:fldCharType="begin"/>
            </w:r>
            <w:r w:rsidRPr="0082723A">
              <w:rPr>
                <w:rFonts w:ascii="Times New Roman" w:hAnsi="Times New Roman" w:cs="Times New Roman"/>
                <w:noProof/>
                <w:webHidden/>
                <w:sz w:val="24"/>
                <w:szCs w:val="24"/>
              </w:rPr>
              <w:instrText xml:space="preserve"> PAGEREF _Toc57456946 \h </w:instrText>
            </w:r>
            <w:r w:rsidRPr="0082723A">
              <w:rPr>
                <w:rFonts w:ascii="Times New Roman" w:hAnsi="Times New Roman" w:cs="Times New Roman"/>
                <w:noProof/>
                <w:webHidden/>
                <w:sz w:val="24"/>
                <w:szCs w:val="24"/>
              </w:rPr>
            </w:r>
            <w:r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4</w:t>
            </w:r>
            <w:r w:rsidRPr="0082723A">
              <w:rPr>
                <w:rFonts w:ascii="Times New Roman" w:hAnsi="Times New Roman" w:cs="Times New Roman"/>
                <w:noProof/>
                <w:webHidden/>
                <w:sz w:val="24"/>
                <w:szCs w:val="24"/>
              </w:rPr>
              <w:fldChar w:fldCharType="end"/>
            </w:r>
          </w:hyperlink>
        </w:p>
        <w:p w14:paraId="01C82D0A" w14:textId="5640D8CD" w:rsidR="00B96745" w:rsidRPr="0082723A" w:rsidRDefault="007855D5" w:rsidP="00B96745">
          <w:pPr>
            <w:pStyle w:val="TOC1"/>
            <w:tabs>
              <w:tab w:val="right" w:leader="dot" w:pos="9350"/>
            </w:tabs>
            <w:spacing w:line="360" w:lineRule="auto"/>
            <w:jc w:val="both"/>
            <w:rPr>
              <w:rFonts w:ascii="Times New Roman" w:hAnsi="Times New Roman" w:cs="Times New Roman"/>
              <w:noProof/>
              <w:sz w:val="24"/>
              <w:szCs w:val="24"/>
            </w:rPr>
          </w:pPr>
          <w:hyperlink w:anchor="_Toc57456947" w:history="1">
            <w:r w:rsidR="00B96745" w:rsidRPr="0082723A">
              <w:rPr>
                <w:rStyle w:val="Hyperlink"/>
                <w:rFonts w:ascii="Times New Roman" w:hAnsi="Times New Roman" w:cs="Times New Roman"/>
                <w:noProof/>
                <w:sz w:val="24"/>
                <w:szCs w:val="24"/>
              </w:rPr>
              <w:t>1. Evaluating HR professional on the basis of current CIPD Profession Map</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_Toc57456947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4</w:t>
            </w:r>
            <w:r w:rsidR="00B96745" w:rsidRPr="0082723A">
              <w:rPr>
                <w:rFonts w:ascii="Times New Roman" w:hAnsi="Times New Roman" w:cs="Times New Roman"/>
                <w:noProof/>
                <w:webHidden/>
                <w:sz w:val="24"/>
                <w:szCs w:val="24"/>
              </w:rPr>
              <w:fldChar w:fldCharType="end"/>
            </w:r>
          </w:hyperlink>
        </w:p>
        <w:p w14:paraId="77749014" w14:textId="579AC4BE" w:rsidR="00B96745" w:rsidRPr="0082723A" w:rsidRDefault="007855D5" w:rsidP="00B96745">
          <w:pPr>
            <w:pStyle w:val="TOC1"/>
            <w:tabs>
              <w:tab w:val="right" w:leader="dot" w:pos="9350"/>
            </w:tabs>
            <w:spacing w:line="360" w:lineRule="auto"/>
            <w:jc w:val="both"/>
            <w:rPr>
              <w:rFonts w:ascii="Times New Roman" w:hAnsi="Times New Roman" w:cs="Times New Roman"/>
              <w:noProof/>
              <w:sz w:val="24"/>
              <w:szCs w:val="24"/>
            </w:rPr>
          </w:pPr>
          <w:hyperlink w:anchor="_Toc57456948" w:history="1">
            <w:r w:rsidR="00B96745" w:rsidRPr="0082723A">
              <w:rPr>
                <w:rStyle w:val="Hyperlink"/>
                <w:rFonts w:ascii="Times New Roman" w:hAnsi="Times New Roman" w:cs="Times New Roman"/>
                <w:noProof/>
                <w:sz w:val="24"/>
                <w:szCs w:val="24"/>
              </w:rPr>
              <w:t>2.Organisational objectives within resourcing activities (planning, recruitment &amp; selection) and HR function at Amazon</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_Toc57456948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5</w:t>
            </w:r>
            <w:r w:rsidR="00B96745" w:rsidRPr="0082723A">
              <w:rPr>
                <w:rFonts w:ascii="Times New Roman" w:hAnsi="Times New Roman" w:cs="Times New Roman"/>
                <w:noProof/>
                <w:webHidden/>
                <w:sz w:val="24"/>
                <w:szCs w:val="24"/>
              </w:rPr>
              <w:fldChar w:fldCharType="end"/>
            </w:r>
          </w:hyperlink>
        </w:p>
        <w:p w14:paraId="4DC838FE" w14:textId="23663798" w:rsidR="00B96745" w:rsidRPr="0082723A" w:rsidRDefault="007855D5" w:rsidP="00B96745">
          <w:pPr>
            <w:pStyle w:val="TOC2"/>
            <w:tabs>
              <w:tab w:val="right" w:leader="dot" w:pos="9350"/>
            </w:tabs>
            <w:spacing w:line="360" w:lineRule="auto"/>
            <w:jc w:val="both"/>
            <w:rPr>
              <w:rFonts w:ascii="Times New Roman" w:hAnsi="Times New Roman" w:cs="Times New Roman"/>
              <w:noProof/>
              <w:sz w:val="24"/>
              <w:szCs w:val="24"/>
            </w:rPr>
          </w:pPr>
          <w:hyperlink w:anchor="_Toc57456949" w:history="1">
            <w:r w:rsidR="00B96745" w:rsidRPr="0082723A">
              <w:rPr>
                <w:rStyle w:val="Hyperlink"/>
                <w:rFonts w:ascii="Times New Roman" w:hAnsi="Times New Roman" w:cs="Times New Roman"/>
                <w:noProof/>
                <w:sz w:val="24"/>
                <w:szCs w:val="24"/>
              </w:rPr>
              <w:t>2.1. Resource planning</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_Toc57456949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6</w:t>
            </w:r>
            <w:r w:rsidR="00B96745" w:rsidRPr="0082723A">
              <w:rPr>
                <w:rFonts w:ascii="Times New Roman" w:hAnsi="Times New Roman" w:cs="Times New Roman"/>
                <w:noProof/>
                <w:webHidden/>
                <w:sz w:val="24"/>
                <w:szCs w:val="24"/>
              </w:rPr>
              <w:fldChar w:fldCharType="end"/>
            </w:r>
          </w:hyperlink>
        </w:p>
        <w:p w14:paraId="153F3E12" w14:textId="2A50C986" w:rsidR="00B96745" w:rsidRPr="0082723A" w:rsidRDefault="007855D5" w:rsidP="00B96745">
          <w:pPr>
            <w:pStyle w:val="TOC2"/>
            <w:tabs>
              <w:tab w:val="right" w:leader="dot" w:pos="9350"/>
            </w:tabs>
            <w:spacing w:line="360" w:lineRule="auto"/>
            <w:jc w:val="both"/>
            <w:rPr>
              <w:rFonts w:ascii="Times New Roman" w:hAnsi="Times New Roman" w:cs="Times New Roman"/>
              <w:noProof/>
              <w:sz w:val="24"/>
              <w:szCs w:val="24"/>
            </w:rPr>
          </w:pPr>
          <w:hyperlink w:anchor="_Toc57456950" w:history="1">
            <w:r w:rsidR="00B96745" w:rsidRPr="0082723A">
              <w:rPr>
                <w:rStyle w:val="Hyperlink"/>
                <w:rFonts w:ascii="Times New Roman" w:hAnsi="Times New Roman" w:cs="Times New Roman"/>
                <w:noProof/>
                <w:sz w:val="24"/>
                <w:szCs w:val="24"/>
              </w:rPr>
              <w:t>2.2. Recruitment and selection</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_Toc57456950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8</w:t>
            </w:r>
            <w:r w:rsidR="00B96745" w:rsidRPr="0082723A">
              <w:rPr>
                <w:rFonts w:ascii="Times New Roman" w:hAnsi="Times New Roman" w:cs="Times New Roman"/>
                <w:noProof/>
                <w:webHidden/>
                <w:sz w:val="24"/>
                <w:szCs w:val="24"/>
              </w:rPr>
              <w:fldChar w:fldCharType="end"/>
            </w:r>
          </w:hyperlink>
        </w:p>
        <w:p w14:paraId="363CEB31" w14:textId="7F5CE5B2" w:rsidR="00B96745" w:rsidRPr="0082723A" w:rsidRDefault="007855D5" w:rsidP="00B96745">
          <w:pPr>
            <w:pStyle w:val="TOC1"/>
            <w:tabs>
              <w:tab w:val="right" w:leader="dot" w:pos="9350"/>
            </w:tabs>
            <w:spacing w:line="360" w:lineRule="auto"/>
            <w:jc w:val="both"/>
            <w:rPr>
              <w:rFonts w:ascii="Times New Roman" w:hAnsi="Times New Roman" w:cs="Times New Roman"/>
              <w:noProof/>
              <w:sz w:val="24"/>
              <w:szCs w:val="24"/>
            </w:rPr>
          </w:pPr>
          <w:hyperlink w:anchor="_Toc57456951" w:history="1">
            <w:r w:rsidR="00B96745" w:rsidRPr="0082723A">
              <w:rPr>
                <w:rStyle w:val="Hyperlink"/>
                <w:rFonts w:ascii="Times New Roman" w:hAnsi="Times New Roman" w:cs="Times New Roman"/>
                <w:noProof/>
                <w:sz w:val="24"/>
                <w:szCs w:val="24"/>
              </w:rPr>
              <w:t>Conclusion</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_Toc57456951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9</w:t>
            </w:r>
            <w:r w:rsidR="00B96745" w:rsidRPr="0082723A">
              <w:rPr>
                <w:rFonts w:ascii="Times New Roman" w:hAnsi="Times New Roman" w:cs="Times New Roman"/>
                <w:noProof/>
                <w:webHidden/>
                <w:sz w:val="24"/>
                <w:szCs w:val="24"/>
              </w:rPr>
              <w:fldChar w:fldCharType="end"/>
            </w:r>
          </w:hyperlink>
        </w:p>
        <w:p w14:paraId="5A17888C" w14:textId="53B69EE8" w:rsidR="00B96745" w:rsidRPr="0082723A" w:rsidRDefault="007855D5" w:rsidP="00B96745">
          <w:pPr>
            <w:pStyle w:val="TOC1"/>
            <w:tabs>
              <w:tab w:val="right" w:leader="dot" w:pos="9350"/>
            </w:tabs>
            <w:spacing w:line="360" w:lineRule="auto"/>
            <w:jc w:val="both"/>
            <w:rPr>
              <w:rFonts w:ascii="Times New Roman" w:hAnsi="Times New Roman" w:cs="Times New Roman"/>
              <w:noProof/>
              <w:sz w:val="24"/>
              <w:szCs w:val="24"/>
            </w:rPr>
          </w:pPr>
          <w:hyperlink w:anchor="_Toc57456952" w:history="1">
            <w:r w:rsidR="00B96745" w:rsidRPr="0082723A">
              <w:rPr>
                <w:rStyle w:val="Hyperlink"/>
                <w:rFonts w:ascii="Times New Roman" w:hAnsi="Times New Roman" w:cs="Times New Roman"/>
                <w:noProof/>
                <w:sz w:val="24"/>
                <w:szCs w:val="24"/>
              </w:rPr>
              <w:t>References</w:t>
            </w:r>
            <w:r w:rsidR="00B96745" w:rsidRPr="0082723A">
              <w:rPr>
                <w:rFonts w:ascii="Times New Roman" w:hAnsi="Times New Roman" w:cs="Times New Roman"/>
                <w:noProof/>
                <w:webHidden/>
                <w:sz w:val="24"/>
                <w:szCs w:val="24"/>
              </w:rPr>
              <w:tab/>
            </w:r>
            <w:r w:rsidR="00B96745" w:rsidRPr="0082723A">
              <w:rPr>
                <w:rFonts w:ascii="Times New Roman" w:hAnsi="Times New Roman" w:cs="Times New Roman"/>
                <w:noProof/>
                <w:webHidden/>
                <w:sz w:val="24"/>
                <w:szCs w:val="24"/>
              </w:rPr>
              <w:fldChar w:fldCharType="begin"/>
            </w:r>
            <w:r w:rsidR="00B96745" w:rsidRPr="0082723A">
              <w:rPr>
                <w:rFonts w:ascii="Times New Roman" w:hAnsi="Times New Roman" w:cs="Times New Roman"/>
                <w:noProof/>
                <w:webHidden/>
                <w:sz w:val="24"/>
                <w:szCs w:val="24"/>
              </w:rPr>
              <w:instrText xml:space="preserve"> PAGEREF _Toc57456952 \h </w:instrText>
            </w:r>
            <w:r w:rsidR="00B96745" w:rsidRPr="0082723A">
              <w:rPr>
                <w:rFonts w:ascii="Times New Roman" w:hAnsi="Times New Roman" w:cs="Times New Roman"/>
                <w:noProof/>
                <w:webHidden/>
                <w:sz w:val="24"/>
                <w:szCs w:val="24"/>
              </w:rPr>
            </w:r>
            <w:r w:rsidR="00B96745" w:rsidRPr="0082723A">
              <w:rPr>
                <w:rFonts w:ascii="Times New Roman" w:hAnsi="Times New Roman" w:cs="Times New Roman"/>
                <w:noProof/>
                <w:webHidden/>
                <w:sz w:val="24"/>
                <w:szCs w:val="24"/>
              </w:rPr>
              <w:fldChar w:fldCharType="separate"/>
            </w:r>
            <w:r w:rsidR="009D52B6">
              <w:rPr>
                <w:rFonts w:ascii="Times New Roman" w:hAnsi="Times New Roman" w:cs="Times New Roman"/>
                <w:noProof/>
                <w:webHidden/>
                <w:sz w:val="24"/>
                <w:szCs w:val="24"/>
              </w:rPr>
              <w:t>10</w:t>
            </w:r>
            <w:r w:rsidR="00B96745" w:rsidRPr="0082723A">
              <w:rPr>
                <w:rFonts w:ascii="Times New Roman" w:hAnsi="Times New Roman" w:cs="Times New Roman"/>
                <w:noProof/>
                <w:webHidden/>
                <w:sz w:val="24"/>
                <w:szCs w:val="24"/>
              </w:rPr>
              <w:fldChar w:fldCharType="end"/>
            </w:r>
          </w:hyperlink>
        </w:p>
        <w:p w14:paraId="53DE4337" w14:textId="77777777" w:rsidR="00B96745" w:rsidRDefault="00B96745" w:rsidP="00B96745">
          <w:pPr>
            <w:spacing w:line="360" w:lineRule="auto"/>
            <w:jc w:val="both"/>
          </w:pPr>
          <w:r w:rsidRPr="0082723A">
            <w:rPr>
              <w:rFonts w:ascii="Times New Roman" w:hAnsi="Times New Roman" w:cs="Times New Roman"/>
              <w:b/>
              <w:bCs/>
              <w:noProof/>
              <w:sz w:val="24"/>
              <w:szCs w:val="24"/>
            </w:rPr>
            <w:fldChar w:fldCharType="end"/>
          </w:r>
        </w:p>
      </w:sdtContent>
    </w:sdt>
    <w:p w14:paraId="459C0DA4" w14:textId="77777777" w:rsidR="00B96745" w:rsidRDefault="00B96745" w:rsidP="00B96745">
      <w:bookmarkStart w:id="0" w:name="_GoBack"/>
      <w:bookmarkEnd w:id="0"/>
    </w:p>
    <w:p w14:paraId="0EC43029" w14:textId="77777777" w:rsidR="00B96745" w:rsidRDefault="00B96745" w:rsidP="00B96745"/>
    <w:p w14:paraId="177857BC" w14:textId="77777777" w:rsidR="00B96745" w:rsidRDefault="00B96745" w:rsidP="00B96745"/>
    <w:p w14:paraId="7ECA7BAB" w14:textId="77777777" w:rsidR="00B96745" w:rsidRPr="00142AF4" w:rsidRDefault="00B96745" w:rsidP="00B96745"/>
    <w:p w14:paraId="38F74E0D" w14:textId="77777777" w:rsidR="00B96745" w:rsidRDefault="00B96745" w:rsidP="00B96745">
      <w:pPr>
        <w:pStyle w:val="Heading1"/>
      </w:pPr>
      <w:bookmarkStart w:id="1" w:name="_Toc57456946"/>
      <w:r w:rsidRPr="008661B8">
        <w:lastRenderedPageBreak/>
        <w:t>Introduction</w:t>
      </w:r>
      <w:bookmarkEnd w:id="1"/>
    </w:p>
    <w:p w14:paraId="027A172D" w14:textId="2B436E0E"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Organisations benefit when people management is driven successfully largely attributed to human resource management orchestrating the workforce towards positive value creation </w:t>
      </w:r>
      <w:sdt>
        <w:sdtPr>
          <w:rPr>
            <w:rFonts w:ascii="Times New Roman" w:hAnsi="Times New Roman" w:cs="Times New Roman"/>
            <w:sz w:val="24"/>
            <w:szCs w:val="24"/>
          </w:rPr>
          <w:id w:val="-72868304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Kli18 \l 1033 </w:instrText>
          </w:r>
          <w:r>
            <w:rPr>
              <w:rFonts w:ascii="Times New Roman" w:hAnsi="Times New Roman" w:cs="Times New Roman"/>
              <w:sz w:val="24"/>
              <w:szCs w:val="24"/>
            </w:rPr>
            <w:fldChar w:fldCharType="separate"/>
          </w:r>
          <w:r w:rsidRPr="00F730B1">
            <w:rPr>
              <w:rFonts w:ascii="Times New Roman" w:hAnsi="Times New Roman" w:cs="Times New Roman"/>
              <w:noProof/>
              <w:sz w:val="24"/>
              <w:szCs w:val="24"/>
              <w:lang w:val="en-US"/>
            </w:rPr>
            <w:t>(Klikauer, 2018)</w:t>
          </w:r>
          <w:r>
            <w:rPr>
              <w:rFonts w:ascii="Times New Roman" w:hAnsi="Times New Roman" w:cs="Times New Roman"/>
              <w:sz w:val="24"/>
              <w:szCs w:val="24"/>
            </w:rPr>
            <w:fldChar w:fldCharType="end"/>
          </w:r>
        </w:sdtContent>
      </w:sdt>
      <w:r>
        <w:rPr>
          <w:rFonts w:ascii="Times New Roman" w:hAnsi="Times New Roman" w:cs="Times New Roman"/>
          <w:sz w:val="24"/>
          <w:szCs w:val="24"/>
        </w:rPr>
        <w:t>. While delivering on this note, the HR has an increased role to shape and mould personnel so that they demonstrate professional values that shall enable them to be future focused. Consequently, the report would be based on evaluation of the human resource (HR) professional criteria</w:t>
      </w:r>
      <w:r w:rsidR="00547970">
        <w:rPr>
          <w:rFonts w:ascii="Times New Roman" w:hAnsi="Times New Roman" w:cs="Times New Roman"/>
          <w:sz w:val="24"/>
          <w:szCs w:val="24"/>
        </w:rPr>
        <w:t xml:space="preserve"> </w:t>
      </w:r>
      <w:r>
        <w:rPr>
          <w:rFonts w:ascii="Times New Roman" w:hAnsi="Times New Roman" w:cs="Times New Roman"/>
          <w:sz w:val="24"/>
          <w:szCs w:val="24"/>
        </w:rPr>
        <w:t>in relation to the current CIPD Professional Map and also examine the HR delivering organisational objectives within resourcing</w:t>
      </w:r>
      <w:r w:rsidR="0051461B">
        <w:rPr>
          <w:rFonts w:ascii="Times New Roman" w:hAnsi="Times New Roman" w:cs="Times New Roman"/>
          <w:sz w:val="24"/>
          <w:szCs w:val="24"/>
        </w:rPr>
        <w:t xml:space="preserve"> </w:t>
      </w:r>
      <w:r>
        <w:rPr>
          <w:rFonts w:ascii="Times New Roman" w:hAnsi="Times New Roman" w:cs="Times New Roman"/>
          <w:sz w:val="24"/>
          <w:szCs w:val="24"/>
        </w:rPr>
        <w:t xml:space="preserve">activities using Amazon as the chosen organisation. </w:t>
      </w:r>
    </w:p>
    <w:p w14:paraId="20D7D3A5" w14:textId="77777777" w:rsidR="00B96745" w:rsidRDefault="00B96745" w:rsidP="00B96745">
      <w:pPr>
        <w:pStyle w:val="Heading1"/>
      </w:pPr>
      <w:bookmarkStart w:id="2" w:name="_Toc57456947"/>
      <w:r>
        <w:t>1. Evaluating HR professional on the basis of current CIPD Profession Map</w:t>
      </w:r>
      <w:bookmarkEnd w:id="2"/>
    </w:p>
    <w:p w14:paraId="12DF2090" w14:textId="7777777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CIPD Professional Map is a guiding criterion for HR professionals that is updated periodically and the current professional map can be seen to incorporate more value-based decision making for HR professionals to act. It breaks down professional values into three categories which are principle-led, evidence-based and outcome-driven that involves work, people, profession as well as carrying out judgements from diverse of sources along with overall impact on work, people, professionalism and individual. This interrelates with core knowledge, core behaviours and specialist knowledge in which recruitment and selection, labour and industrial relations, learning and development, occupational health and safety, performance management, designing work, compensation and rewards, strategic HRM along with ethics pertaining to HR needs to be linked </w:t>
      </w:r>
      <w:sdt>
        <w:sdtPr>
          <w:rPr>
            <w:rFonts w:ascii="Times New Roman" w:hAnsi="Times New Roman" w:cs="Times New Roman"/>
            <w:sz w:val="24"/>
            <w:szCs w:val="24"/>
          </w:rPr>
          <w:id w:val="77659984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CIP201 \l 1033 </w:instrText>
          </w:r>
          <w:r>
            <w:rPr>
              <w:rFonts w:ascii="Times New Roman" w:hAnsi="Times New Roman" w:cs="Times New Roman"/>
              <w:sz w:val="24"/>
              <w:szCs w:val="24"/>
            </w:rPr>
            <w:fldChar w:fldCharType="separate"/>
          </w:r>
          <w:r w:rsidRPr="00E6428E">
            <w:rPr>
              <w:rFonts w:ascii="Times New Roman" w:hAnsi="Times New Roman" w:cs="Times New Roman"/>
              <w:noProof/>
              <w:sz w:val="24"/>
              <w:szCs w:val="24"/>
              <w:lang w:val="en-US"/>
            </w:rPr>
            <w:t>(CIPD,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indicates HR professionals to operate and factor in the business environment in terms of social, political, economic, legal, technological, organisational and moral-ethical dimensions with more consideration of the situational contexts for Amazon. This is supported by the contingency theory that illuminates HRM practices to depend on the organisational environment and circumstances which for Amazon has to balance the strategic business decision-making approach so that shareholders are consistent with their investment philosophy </w:t>
      </w:r>
      <w:sdt>
        <w:sdtPr>
          <w:rPr>
            <w:rFonts w:ascii="Times New Roman" w:hAnsi="Times New Roman" w:cs="Times New Roman"/>
            <w:sz w:val="24"/>
            <w:szCs w:val="24"/>
          </w:rPr>
          <w:id w:val="113775906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Kli18 \l 1033 </w:instrText>
          </w:r>
          <w:r>
            <w:rPr>
              <w:rFonts w:ascii="Times New Roman" w:hAnsi="Times New Roman" w:cs="Times New Roman"/>
              <w:sz w:val="24"/>
              <w:szCs w:val="24"/>
            </w:rPr>
            <w:fldChar w:fldCharType="separate"/>
          </w:r>
          <w:r w:rsidRPr="003248EF">
            <w:rPr>
              <w:rFonts w:ascii="Times New Roman" w:hAnsi="Times New Roman" w:cs="Times New Roman"/>
              <w:noProof/>
              <w:sz w:val="24"/>
              <w:szCs w:val="24"/>
              <w:lang w:val="en-US"/>
            </w:rPr>
            <w:t>(Klikauer,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21120081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rPr>
            <w:fldChar w:fldCharType="separate"/>
          </w:r>
          <w:r w:rsidRPr="003248EF">
            <w:rPr>
              <w:rFonts w:ascii="Times New Roman" w:hAnsi="Times New Roman" w:cs="Times New Roman"/>
              <w:noProof/>
              <w:sz w:val="24"/>
              <w:szCs w:val="24"/>
              <w:lang w:val="en-US"/>
            </w:rPr>
            <w:t>(Amazon,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Alternatively, the evolving profession map that interlinks values with skills, knowledge and expertise puts the HR professionals at Amazon not only to be more strategically oriented towards the external and internal environment but also contribute more towards people development in terms of knowledge, skills and abilities based on human capital theory linked with resource based theory to position Amazon at potential competitive advantage </w:t>
      </w:r>
      <w:sdt>
        <w:sdtPr>
          <w:rPr>
            <w:rFonts w:ascii="Times New Roman" w:hAnsi="Times New Roman" w:cs="Times New Roman"/>
            <w:sz w:val="24"/>
            <w:szCs w:val="24"/>
          </w:rPr>
          <w:id w:val="57694542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Arm20 \l 1033 </w:instrText>
          </w:r>
          <w:r>
            <w:rPr>
              <w:rFonts w:ascii="Times New Roman" w:hAnsi="Times New Roman" w:cs="Times New Roman"/>
              <w:sz w:val="24"/>
              <w:szCs w:val="24"/>
            </w:rPr>
            <w:fldChar w:fldCharType="separate"/>
          </w:r>
          <w:r w:rsidRPr="003248EF">
            <w:rPr>
              <w:rFonts w:ascii="Times New Roman" w:hAnsi="Times New Roman" w:cs="Times New Roman"/>
              <w:noProof/>
              <w:sz w:val="24"/>
              <w:szCs w:val="24"/>
              <w:lang w:val="en-US"/>
            </w:rPr>
            <w:t>(Armstrong &amp; Taylor,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4F0E099" w14:textId="77777777" w:rsidR="00B96745" w:rsidRPr="00223A73" w:rsidRDefault="00B96745" w:rsidP="00B96745">
      <w:pPr>
        <w:spacing w:line="360" w:lineRule="auto"/>
        <w:jc w:val="both"/>
      </w:pPr>
      <w:r>
        <w:rPr>
          <w:rFonts w:ascii="Times New Roman" w:hAnsi="Times New Roman" w:cs="Times New Roman"/>
          <w:sz w:val="24"/>
          <w:szCs w:val="24"/>
        </w:rPr>
        <w:lastRenderedPageBreak/>
        <w:t xml:space="preserve"> Moreover, the HR professional at Amazon has greater responsibility to account motivational enhancements in equitable engagement, rewarding and managing performance while designing policies balancing different stakeholders and social exchange as according to CIPD work, people and professionalism needs to oriented towards collective well-being balancing the requirement of the organisation, people and the wider society and communities. This evolved professional map further implies human resource personnel at Amazon to be more aligned towards learning and development which can be challenging in terms of connecting disciplinary research and professional practice since the updates varies and illuminates on different dimensions to be considered with learning and development leading to more impactful HR delivery. Consequently, Amazon’s expanse implies HR professionals to be more agile in multiple business knowledge gaining and literacy along people, culture, behavioural science, digital and data technology leverage in order for ambidexterity in defender and prospector strategy owing to its efficiency and effectiveness orientation </w:t>
      </w:r>
      <w:sdt>
        <w:sdtPr>
          <w:rPr>
            <w:rFonts w:ascii="Times New Roman" w:hAnsi="Times New Roman" w:cs="Times New Roman"/>
            <w:sz w:val="24"/>
            <w:szCs w:val="24"/>
          </w:rPr>
          <w:id w:val="-10681143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Kli18 \l 1033 </w:instrText>
          </w:r>
          <w:r>
            <w:rPr>
              <w:rFonts w:ascii="Times New Roman" w:hAnsi="Times New Roman" w:cs="Times New Roman"/>
              <w:sz w:val="24"/>
              <w:szCs w:val="24"/>
            </w:rPr>
            <w:fldChar w:fldCharType="separate"/>
          </w:r>
          <w:r w:rsidRPr="00223A73">
            <w:rPr>
              <w:rFonts w:ascii="Times New Roman" w:hAnsi="Times New Roman" w:cs="Times New Roman"/>
              <w:noProof/>
              <w:sz w:val="24"/>
              <w:szCs w:val="24"/>
              <w:lang w:val="en-US"/>
            </w:rPr>
            <w:t>(Klikauer,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7E50E78" w14:textId="7777777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value orientation of professional map however indicates greater integrity of the HR professional in an endlessly changing business and economic landscape that faces Amazon to demonstrate human resource development resilience </w:t>
      </w:r>
      <w:sdt>
        <w:sdtPr>
          <w:rPr>
            <w:rFonts w:ascii="Times New Roman" w:hAnsi="Times New Roman" w:cs="Times New Roman"/>
            <w:sz w:val="24"/>
            <w:szCs w:val="24"/>
          </w:rPr>
          <w:id w:val="-95054889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Mit19 \l 1033 </w:instrText>
          </w:r>
          <w:r>
            <w:rPr>
              <w:rFonts w:ascii="Times New Roman" w:hAnsi="Times New Roman" w:cs="Times New Roman"/>
              <w:sz w:val="24"/>
              <w:szCs w:val="24"/>
            </w:rPr>
            <w:fldChar w:fldCharType="separate"/>
          </w:r>
          <w:r w:rsidRPr="00E6428E">
            <w:rPr>
              <w:rFonts w:ascii="Times New Roman" w:hAnsi="Times New Roman" w:cs="Times New Roman"/>
              <w:noProof/>
              <w:sz w:val="24"/>
              <w:szCs w:val="24"/>
              <w:lang w:val="en-US"/>
            </w:rPr>
            <w:t>(Mitsakis,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resilience building amongst HR professional is more demanded for Amazon on areas of moral attentiveness and perceived role of ethics since numerous instances of employee and organisation level violations for e.g. tax avoidance, white collar crimes, warehouse abuses, exploitation of temporary workers along with threatening employees criticising Amazon’s environmental policies have attributed Amazon a less virtuous image </w:t>
      </w:r>
      <w:sdt>
        <w:sdtPr>
          <w:rPr>
            <w:rFonts w:ascii="Times New Roman" w:hAnsi="Times New Roman" w:cs="Times New Roman"/>
            <w:sz w:val="24"/>
            <w:szCs w:val="24"/>
          </w:rPr>
          <w:id w:val="11491723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Vox20 \l 1033 </w:instrText>
          </w:r>
          <w:r>
            <w:rPr>
              <w:rFonts w:ascii="Times New Roman" w:hAnsi="Times New Roman" w:cs="Times New Roman"/>
              <w:sz w:val="24"/>
              <w:szCs w:val="24"/>
            </w:rPr>
            <w:fldChar w:fldCharType="separate"/>
          </w:r>
          <w:r w:rsidRPr="00E6428E">
            <w:rPr>
              <w:rFonts w:ascii="Times New Roman" w:hAnsi="Times New Roman" w:cs="Times New Roman"/>
              <w:noProof/>
              <w:sz w:val="24"/>
              <w:szCs w:val="24"/>
              <w:lang w:val="en-US"/>
            </w:rPr>
            <w:t>(Vox,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5513433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Daw18 \l 1033 </w:instrText>
          </w:r>
          <w:r>
            <w:rPr>
              <w:rFonts w:ascii="Times New Roman" w:hAnsi="Times New Roman" w:cs="Times New Roman"/>
              <w:sz w:val="24"/>
              <w:szCs w:val="24"/>
            </w:rPr>
            <w:fldChar w:fldCharType="separate"/>
          </w:r>
          <w:r w:rsidRPr="00E6428E">
            <w:rPr>
              <w:rFonts w:ascii="Times New Roman" w:hAnsi="Times New Roman" w:cs="Times New Roman"/>
              <w:noProof/>
              <w:sz w:val="24"/>
              <w:szCs w:val="24"/>
              <w:lang w:val="en-US"/>
            </w:rPr>
            <w:t>(Dawson,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Therefore, the current CIPD professional map requires the HR professional at Amazon to be multifarious and courageous that balances organisational and wider communities’ impact.     </w:t>
      </w:r>
    </w:p>
    <w:p w14:paraId="2968F6F9" w14:textId="77777777" w:rsidR="00B96745" w:rsidRDefault="00B96745" w:rsidP="00B96745">
      <w:pPr>
        <w:pStyle w:val="Heading1"/>
      </w:pPr>
      <w:bookmarkStart w:id="3" w:name="_Toc57456948"/>
      <w:r>
        <w:t>2.Organisational objectives within resourcing activities (planning, recruitment &amp; selection) and HR function at Amazon</w:t>
      </w:r>
      <w:bookmarkEnd w:id="3"/>
    </w:p>
    <w:p w14:paraId="3AD77F28" w14:textId="77777777" w:rsidR="00B96745" w:rsidRPr="008246A9" w:rsidRDefault="00B96745" w:rsidP="00B96745">
      <w:pPr>
        <w:spacing w:line="360" w:lineRule="auto"/>
        <w:jc w:val="both"/>
      </w:pPr>
      <w:r>
        <w:rPr>
          <w:rFonts w:ascii="Times New Roman" w:hAnsi="Times New Roman" w:cs="Times New Roman"/>
          <w:sz w:val="24"/>
          <w:szCs w:val="24"/>
        </w:rPr>
        <w:t xml:space="preserve">Amazon remains influenced by the environment it operates in. As market conditions change the company tweaks and modifies its strategies and tactics to accommodate fluctuating operating costs and sales. To this the HR at Amazon has to consider business environment related economic, demographic, competitive and legislative factors in making staffing decisions and ensure that it provide and distribute adequate number of employees with the right skills. This is </w:t>
      </w:r>
      <w:r>
        <w:rPr>
          <w:rFonts w:ascii="Times New Roman" w:hAnsi="Times New Roman" w:cs="Times New Roman"/>
          <w:sz w:val="24"/>
          <w:szCs w:val="24"/>
        </w:rPr>
        <w:lastRenderedPageBreak/>
        <w:t xml:space="preserve">based on the PESTLE factors and the continuous change within the parameters require the HR to be more accommodative regarding workforce arrangements in Amazon in accordance to the internal environment of culture, value systems, process and management </w:t>
      </w:r>
      <w:sdt>
        <w:sdtPr>
          <w:rPr>
            <w:rFonts w:ascii="Times New Roman" w:hAnsi="Times New Roman" w:cs="Times New Roman"/>
            <w:sz w:val="24"/>
            <w:szCs w:val="24"/>
          </w:rPr>
          <w:id w:val="-1657907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Nan19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(Nankervis, et al.,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Despite PESTLE model attributing factors like workforce reduction based on current economic turmoil, move towards more online and contractual jobs, accommodating diversity in demographic characteristics, compliance to labour related laws and competitive affinity, balancing with seasonality of Amazon along with its strong market leadership, the HR has no control over external factors which are liable to change and the results can be subjective. While the PESTLE factors are highlighted, the HR can be seen to evolve into a trade-off and alignment with the strategic objectives of business giving shape to strategic HRM. In this light, the strategic HR has to focus on excessive customer centricity requirement, lean culture building with further consideration of cost consciousness and judicious investment decision to facilitate market leadership with consideration on resourcing areas for long-term profit and revenue maximisation at the cost of short-term planning </w:t>
      </w:r>
      <w:sdt>
        <w:sdtPr>
          <w:rPr>
            <w:rFonts w:ascii="Times New Roman" w:hAnsi="Times New Roman" w:cs="Times New Roman"/>
            <w:sz w:val="24"/>
            <w:szCs w:val="24"/>
          </w:rPr>
          <w:id w:val="12890861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Arm20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(Armstrong &amp; Taylor,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55107350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(Amazon,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is due to aggressive competition in the e-commerce domain wherein the internet facilitates competitive entry and comparative shopping and Amazon has to make a risk-based decision to protect its business balancing cost leadership and differentiation. The focus would be on investigating Amazon’s human resource planning and recruitment &amp; selection as to their coordination towards the strategic goals and whether the company should work more on the part of employees so that it can better achieve is strategic goals and objectives. </w:t>
      </w:r>
    </w:p>
    <w:p w14:paraId="7835ED0E" w14:textId="77777777" w:rsidR="00B96745" w:rsidRDefault="00B96745" w:rsidP="00B96745">
      <w:pPr>
        <w:pStyle w:val="Heading2"/>
      </w:pPr>
      <w:bookmarkStart w:id="4" w:name="_Toc57456949"/>
      <w:r>
        <w:t>2.1. Resource planning</w:t>
      </w:r>
      <w:bookmarkEnd w:id="4"/>
    </w:p>
    <w:p w14:paraId="47D435E2" w14:textId="7777777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workforce planning of Amazon although seems to strategically oriented in terms of responding to the changes of the future within the workforce, the planning also accounts for the operational workforce where deficiencies and issues are mapped by the HR. The emphasis on long term competitive advantage and planning that is equitable in terms of diversity-wise allocation, the company also has a flexible and dynamic structure that supports the corporate strategy with small team deployment that ensures high sensitivity and high involvement as part of corporate culture. This culture-based planning has been embodied by the HR function to propel employees to develop innovative ideas and solutions reinforced with employee training programme where each employee is seen as a growing talent and staff training remains the focus for personality and capability development </w:t>
      </w:r>
      <w:sdt>
        <w:sdtPr>
          <w:rPr>
            <w:rFonts w:ascii="Times New Roman" w:hAnsi="Times New Roman" w:cs="Times New Roman"/>
            <w:sz w:val="24"/>
            <w:szCs w:val="24"/>
          </w:rPr>
          <w:id w:val="164030957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(Amazon,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Examining on the basis of SHRM </w:t>
      </w:r>
      <w:r>
        <w:rPr>
          <w:rFonts w:ascii="Times New Roman" w:hAnsi="Times New Roman" w:cs="Times New Roman"/>
          <w:sz w:val="24"/>
          <w:szCs w:val="24"/>
        </w:rPr>
        <w:lastRenderedPageBreak/>
        <w:t xml:space="preserve">theory, although such resource related practices and planning do serve the long-term interest of Amazon, the HR function in resource planning further has to deliver on organisational effectiveness and enhance employee contribution and at the same time not being granular since the environment for Amazon is highly uncertain </w:t>
      </w:r>
      <w:sdt>
        <w:sdtPr>
          <w:rPr>
            <w:rFonts w:ascii="Times New Roman" w:hAnsi="Times New Roman" w:cs="Times New Roman"/>
            <w:sz w:val="24"/>
            <w:szCs w:val="24"/>
          </w:rPr>
          <w:id w:val="-17447923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Kli18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(Klikauer,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also illuminates the prospect of HR gap analysis wherein the HR is tasked to deconstruct the current workforce and the skills they possess compared to the workforce required to achieve business goals and in light of Amazon attempting to balance market leadership with customer focus, it would be beneficial to focus on increasing internal skill development till the economic condition improves and prioritising strategic learning and development with investment focus to fill potential skill gaps aligned towards greater technological, problem solving, team working and communication skills. Moreover, despite Amazon having the capacity to implement technological solutions, planning could also benefit from work-shadowing, mentoring and cross function project working enabled across its digital platforms which are cost effective options </w:t>
      </w:r>
      <w:sdt>
        <w:sdtPr>
          <w:rPr>
            <w:rFonts w:ascii="Times New Roman" w:hAnsi="Times New Roman" w:cs="Times New Roman"/>
            <w:sz w:val="24"/>
            <w:szCs w:val="24"/>
          </w:rPr>
          <w:id w:val="-111404387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CIP202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(CIPD,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3240C6C" w14:textId="7777777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the “best-fit” criteria of strategic HRM activated towards Amazon’s human resourcing planning, the premise of different business environmental factors exerting influence on the resourcing activities is more relevant in today’s and future context and Amazon needs to orient its resourcing on the basis of sustainable HRM considering a more holistic, multi-stakeholder model without just emphasising on the fiduciary interest of its shareholders </w:t>
      </w:r>
      <w:sdt>
        <w:sdtPr>
          <w:rPr>
            <w:rFonts w:ascii="Times New Roman" w:hAnsi="Times New Roman" w:cs="Times New Roman"/>
            <w:sz w:val="24"/>
            <w:szCs w:val="24"/>
          </w:rPr>
          <w:id w:val="3307300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Hou191 \l 1033 </w:instrText>
          </w:r>
          <w:r>
            <w:rPr>
              <w:rFonts w:ascii="Times New Roman" w:hAnsi="Times New Roman" w:cs="Times New Roman"/>
              <w:sz w:val="24"/>
              <w:szCs w:val="24"/>
            </w:rPr>
            <w:fldChar w:fldCharType="separate"/>
          </w:r>
          <w:r w:rsidRPr="00AD4E20">
            <w:rPr>
              <w:rFonts w:ascii="Times New Roman" w:hAnsi="Times New Roman" w:cs="Times New Roman"/>
              <w:noProof/>
              <w:sz w:val="24"/>
              <w:szCs w:val="24"/>
              <w:lang w:val="en-US"/>
            </w:rPr>
            <w:t>(Houghton,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aspects of sustainable HRM has been noted to an extent in resource planning in terms of performance management, training and development along with employee motivation and engagement as Amazon has evolved to provide better rewards beyond pay, employee health focus, on-demand updated training in high demand fields such as healthcare, cloud computing and machine learning through collaboration and engagement with respective stakeholders. However, the HR function at Amazon has to be more observant on other employee-based traits such as care for the environment in terms of rewarding eco-friendly behaviour, more cooperation with key stakeholders, employee participation and social dialogue </w:t>
      </w:r>
      <w:sdt>
        <w:sdtPr>
          <w:rPr>
            <w:rFonts w:ascii="Times New Roman" w:hAnsi="Times New Roman" w:cs="Times New Roman"/>
            <w:sz w:val="24"/>
            <w:szCs w:val="24"/>
          </w:rPr>
          <w:id w:val="10199711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Dia18 \l 1033 </w:instrText>
          </w:r>
          <w:r>
            <w:rPr>
              <w:rFonts w:ascii="Times New Roman" w:hAnsi="Times New Roman" w:cs="Times New Roman"/>
              <w:sz w:val="24"/>
              <w:szCs w:val="24"/>
            </w:rPr>
            <w:fldChar w:fldCharType="separate"/>
          </w:r>
          <w:r w:rsidRPr="00B44FB3">
            <w:rPr>
              <w:rFonts w:ascii="Times New Roman" w:hAnsi="Times New Roman" w:cs="Times New Roman"/>
              <w:noProof/>
              <w:sz w:val="24"/>
              <w:szCs w:val="24"/>
              <w:lang w:val="en-US"/>
            </w:rPr>
            <w:t>(Diaz</w:t>
          </w:r>
          <w:r w:rsidRPr="00B44FB3">
            <w:rPr>
              <w:rFonts w:ascii="Cambria Math" w:hAnsi="Cambria Math" w:cs="Cambria Math"/>
              <w:noProof/>
              <w:sz w:val="24"/>
              <w:szCs w:val="24"/>
              <w:lang w:val="en-US"/>
            </w:rPr>
            <w:t>‐</w:t>
          </w:r>
          <w:r w:rsidRPr="00B44FB3">
            <w:rPr>
              <w:rFonts w:ascii="Times New Roman" w:hAnsi="Times New Roman" w:cs="Times New Roman"/>
              <w:noProof/>
              <w:sz w:val="24"/>
              <w:szCs w:val="24"/>
              <w:lang w:val="en-US"/>
            </w:rPr>
            <w:t>Carrion, et al.,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81467741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rPr>
            <w:fldChar w:fldCharType="separate"/>
          </w:r>
          <w:r w:rsidRPr="00B44FB3">
            <w:rPr>
              <w:rFonts w:ascii="Times New Roman" w:hAnsi="Times New Roman" w:cs="Times New Roman"/>
              <w:noProof/>
              <w:sz w:val="24"/>
              <w:szCs w:val="24"/>
              <w:lang w:val="en-US"/>
            </w:rPr>
            <w:t>(Amazon,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challenge in reconciling sustainable HRM practices to Amazon’s strategic objectives thus require the HR to form honest and open dialogues with lines of communication with the leadership showcasing the contribution of sustainable planning towards organisational performance measured in terms of both financial and non-financial measures. </w:t>
      </w:r>
    </w:p>
    <w:p w14:paraId="08FD659A" w14:textId="77777777" w:rsidR="00B96745" w:rsidRDefault="00B96745" w:rsidP="00B96745">
      <w:pPr>
        <w:pStyle w:val="Heading2"/>
      </w:pPr>
      <w:bookmarkStart w:id="5" w:name="_Toc57456950"/>
      <w:r>
        <w:lastRenderedPageBreak/>
        <w:t>2.2. Recruitment and selection</w:t>
      </w:r>
      <w:bookmarkEnd w:id="5"/>
    </w:p>
    <w:p w14:paraId="7C2F7AAA" w14:textId="7777777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Recruitment and selection are an important managerial function of the HR and the whole process represent significant investment in both financial and other resources </w:t>
      </w:r>
      <w:sdt>
        <w:sdtPr>
          <w:rPr>
            <w:rFonts w:ascii="Times New Roman" w:hAnsi="Times New Roman" w:cs="Times New Roman"/>
            <w:sz w:val="24"/>
            <w:szCs w:val="24"/>
          </w:rPr>
          <w:id w:val="-11640865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Arm20 \l 1033 </w:instrText>
          </w:r>
          <w:r>
            <w:rPr>
              <w:rFonts w:ascii="Times New Roman" w:hAnsi="Times New Roman" w:cs="Times New Roman"/>
              <w:sz w:val="24"/>
              <w:szCs w:val="24"/>
            </w:rPr>
            <w:fldChar w:fldCharType="separate"/>
          </w:r>
          <w:r w:rsidRPr="00383CBC">
            <w:rPr>
              <w:rFonts w:ascii="Times New Roman" w:hAnsi="Times New Roman" w:cs="Times New Roman"/>
              <w:noProof/>
              <w:sz w:val="24"/>
              <w:szCs w:val="24"/>
              <w:lang w:val="en-US"/>
            </w:rPr>
            <w:t>(Armstrong &amp; Taylor,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Although this resourcing activity includes important phases such as job analysis, manpower planning and finally recruitment &amp; selection where prospective candidates are selected and hired by an organisation, emphasising on the cost driven market leadership strategy of Amazon, the HR function can be seen to tailgate the leadership’s focus on hiring the best talents wherein network effectiveness is leveraged along with utilising technological advancements and social media that also brings the challenge of minority bias. In this regard, Amazon not only takes a diversity approach to source talents from different backgrounds, race, culture and personnel expertise but is also strict in terms of candidate requirements to be hired. This rigorous recruitment and selection and cost-effective network orientation in the practice can be attributed to its four principles of customer obsession, passion for invention, commitment to operation excellence and long term thinking that filters high talents for Amazon </w:t>
      </w:r>
      <w:sdt>
        <w:sdtPr>
          <w:rPr>
            <w:rFonts w:ascii="Times New Roman" w:hAnsi="Times New Roman" w:cs="Times New Roman"/>
            <w:sz w:val="24"/>
            <w:szCs w:val="24"/>
          </w:rPr>
          <w:id w:val="-90252415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Ama201 \l 1033 </w:instrText>
          </w:r>
          <w:r>
            <w:rPr>
              <w:rFonts w:ascii="Times New Roman" w:hAnsi="Times New Roman" w:cs="Times New Roman"/>
              <w:sz w:val="24"/>
              <w:szCs w:val="24"/>
            </w:rPr>
            <w:fldChar w:fldCharType="separate"/>
          </w:r>
          <w:r w:rsidRPr="006E38C9">
            <w:rPr>
              <w:rFonts w:ascii="Times New Roman" w:hAnsi="Times New Roman" w:cs="Times New Roman"/>
              <w:noProof/>
              <w:sz w:val="24"/>
              <w:szCs w:val="24"/>
              <w:lang w:val="en-US"/>
            </w:rPr>
            <w:t>(Amazon,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Consequently, Amazon does attach great importance to person-organisation fit in the recruitment and selection process that not only enable the organisation gain competitive advantage but also aids in the attraction and retention of talents for long-term development and reduce turnover </w:t>
      </w:r>
      <w:sdt>
        <w:sdtPr>
          <w:rPr>
            <w:rFonts w:ascii="Times New Roman" w:hAnsi="Times New Roman" w:cs="Times New Roman"/>
            <w:sz w:val="24"/>
            <w:szCs w:val="24"/>
          </w:rPr>
          <w:id w:val="-6708705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Rug16 \l 1033 </w:instrText>
          </w:r>
          <w:r>
            <w:rPr>
              <w:rFonts w:ascii="Times New Roman" w:hAnsi="Times New Roman" w:cs="Times New Roman"/>
              <w:sz w:val="24"/>
              <w:szCs w:val="24"/>
            </w:rPr>
            <w:fldChar w:fldCharType="separate"/>
          </w:r>
          <w:r w:rsidRPr="006E38C9">
            <w:rPr>
              <w:rFonts w:ascii="Times New Roman" w:hAnsi="Times New Roman" w:cs="Times New Roman"/>
              <w:noProof/>
              <w:sz w:val="24"/>
              <w:szCs w:val="24"/>
              <w:lang w:val="en-US"/>
            </w:rPr>
            <w:t>(Ruggs, et al.,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481D507" w14:textId="226FD5B7"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Conversely, a high turnover remains a characteristic of Amazon since its business model supporting its recruitment and selection has been criticised by many to treat its workers as expendable along with the lucrative offers made by competitors to proven and established employees of the company </w:t>
      </w:r>
      <w:sdt>
        <w:sdtPr>
          <w:rPr>
            <w:rFonts w:ascii="Times New Roman" w:hAnsi="Times New Roman" w:cs="Times New Roman"/>
            <w:sz w:val="24"/>
            <w:szCs w:val="24"/>
          </w:rPr>
          <w:id w:val="2064632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Dim19 \l 1033 </w:instrText>
          </w:r>
          <w:r>
            <w:rPr>
              <w:rFonts w:ascii="Times New Roman" w:hAnsi="Times New Roman" w:cs="Times New Roman"/>
              <w:sz w:val="24"/>
              <w:szCs w:val="24"/>
            </w:rPr>
            <w:fldChar w:fldCharType="separate"/>
          </w:r>
          <w:r w:rsidRPr="00EC7037">
            <w:rPr>
              <w:rFonts w:ascii="Times New Roman" w:hAnsi="Times New Roman" w:cs="Times New Roman"/>
              <w:noProof/>
              <w:sz w:val="24"/>
              <w:szCs w:val="24"/>
              <w:lang w:val="en-US"/>
            </w:rPr>
            <w:t>(Dimitrov,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this vein, although Amazon seems to portray a genuine image of the company, its approach towards person-organisation fit thus can be construed to backfire with additional considerations to diversity and age-based diversity. While incorporating diversity and age-based diversity in recruitment and selection are aligned towards the organisational objectives towards achieving long term social value in market leadership, it is disconnected towards properly streamlining them towards organisational effectiveness. As a result, Amazon requires more emphasis to factor diversity, age-conscious decisions within the growing social convergence in HR audits for job designs with remuneration and succession incentives as part of job embeddedness reinforced with work group cohesion planning before proceeding with recruitment and selection process to minimise turnover intentions and </w:t>
      </w:r>
      <w:r>
        <w:rPr>
          <w:rFonts w:ascii="Times New Roman" w:hAnsi="Times New Roman" w:cs="Times New Roman"/>
          <w:sz w:val="24"/>
          <w:szCs w:val="24"/>
        </w:rPr>
        <w:lastRenderedPageBreak/>
        <w:t xml:space="preserve">simultaneously contribute towards the organisational objectives </w:t>
      </w:r>
      <w:sdt>
        <w:sdtPr>
          <w:rPr>
            <w:rFonts w:ascii="Times New Roman" w:hAnsi="Times New Roman" w:cs="Times New Roman"/>
            <w:sz w:val="24"/>
            <w:szCs w:val="24"/>
          </w:rPr>
          <w:id w:val="7483887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Coe17 \l 1033 </w:instrText>
          </w:r>
          <w:r>
            <w:rPr>
              <w:rFonts w:ascii="Times New Roman" w:hAnsi="Times New Roman" w:cs="Times New Roman"/>
              <w:sz w:val="24"/>
              <w:szCs w:val="24"/>
            </w:rPr>
            <w:fldChar w:fldCharType="separate"/>
          </w:r>
          <w:r w:rsidRPr="00383CBC">
            <w:rPr>
              <w:rFonts w:ascii="Times New Roman" w:hAnsi="Times New Roman" w:cs="Times New Roman"/>
              <w:noProof/>
              <w:sz w:val="24"/>
              <w:szCs w:val="24"/>
              <w:lang w:val="en-US"/>
            </w:rPr>
            <w:t>(Coetzer, et al.,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6296827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Rud17 \l 1033 </w:instrText>
          </w:r>
          <w:r>
            <w:rPr>
              <w:rFonts w:ascii="Times New Roman" w:hAnsi="Times New Roman" w:cs="Times New Roman"/>
              <w:sz w:val="24"/>
              <w:szCs w:val="24"/>
            </w:rPr>
            <w:fldChar w:fldCharType="separate"/>
          </w:r>
          <w:r w:rsidRPr="00383CBC">
            <w:rPr>
              <w:rFonts w:ascii="Times New Roman" w:hAnsi="Times New Roman" w:cs="Times New Roman"/>
              <w:noProof/>
              <w:sz w:val="24"/>
              <w:szCs w:val="24"/>
              <w:lang w:val="en-US"/>
            </w:rPr>
            <w:t>(Rudolph, et al.,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is because reliance on diversity and age-related segments brings with them diverse skills, perspectives and experiences and the enablement of small groups that links the young and old together not only helps in job sharing but also makes them better understand the work. Moreover, while the incentives would further aid in the cohesiveness of teams and keep the employees motivated towards their job at Amazon, the proactive inclination of such practice by the recruitment and selection would enable socialisation and preparedness towards the company culture. This shall </w:t>
      </w:r>
      <w:r w:rsidR="00B84A9C">
        <w:rPr>
          <w:rFonts w:ascii="Times New Roman" w:hAnsi="Times New Roman" w:cs="Times New Roman"/>
          <w:sz w:val="24"/>
          <w:szCs w:val="24"/>
        </w:rPr>
        <w:t xml:space="preserve">further </w:t>
      </w:r>
      <w:r>
        <w:rPr>
          <w:rFonts w:ascii="Times New Roman" w:hAnsi="Times New Roman" w:cs="Times New Roman"/>
          <w:sz w:val="24"/>
          <w:szCs w:val="24"/>
        </w:rPr>
        <w:t>allow the HR function at Amazon to have a greater advantage to</w:t>
      </w:r>
      <w:r w:rsidR="00B84A9C">
        <w:rPr>
          <w:rFonts w:ascii="Times New Roman" w:hAnsi="Times New Roman" w:cs="Times New Roman"/>
          <w:sz w:val="24"/>
          <w:szCs w:val="24"/>
        </w:rPr>
        <w:t>wards</w:t>
      </w:r>
      <w:r>
        <w:rPr>
          <w:rFonts w:ascii="Times New Roman" w:hAnsi="Times New Roman" w:cs="Times New Roman"/>
          <w:sz w:val="24"/>
          <w:szCs w:val="24"/>
        </w:rPr>
        <w:t xml:space="preserve"> </w:t>
      </w:r>
      <w:r w:rsidR="00B84A9C">
        <w:rPr>
          <w:rFonts w:ascii="Times New Roman" w:hAnsi="Times New Roman" w:cs="Times New Roman"/>
          <w:sz w:val="24"/>
          <w:szCs w:val="24"/>
        </w:rPr>
        <w:t>candidate positioning</w:t>
      </w:r>
      <w:r>
        <w:rPr>
          <w:rFonts w:ascii="Times New Roman" w:hAnsi="Times New Roman" w:cs="Times New Roman"/>
          <w:sz w:val="24"/>
          <w:szCs w:val="24"/>
        </w:rPr>
        <w:t xml:space="preserve"> </w:t>
      </w:r>
      <w:r w:rsidR="00B84A9C">
        <w:rPr>
          <w:rFonts w:ascii="Times New Roman" w:hAnsi="Times New Roman" w:cs="Times New Roman"/>
          <w:sz w:val="24"/>
          <w:szCs w:val="24"/>
        </w:rPr>
        <w:t>balancing innovation and effectiveness aligned with</w:t>
      </w:r>
      <w:r>
        <w:rPr>
          <w:rFonts w:ascii="Times New Roman" w:hAnsi="Times New Roman" w:cs="Times New Roman"/>
          <w:sz w:val="24"/>
          <w:szCs w:val="24"/>
        </w:rPr>
        <w:t xml:space="preserve"> </w:t>
      </w:r>
      <w:r w:rsidR="00B84A9C">
        <w:rPr>
          <w:rFonts w:ascii="Times New Roman" w:hAnsi="Times New Roman" w:cs="Times New Roman"/>
          <w:sz w:val="24"/>
          <w:szCs w:val="24"/>
        </w:rPr>
        <w:t xml:space="preserve">workplace culture </w:t>
      </w:r>
      <w:r>
        <w:rPr>
          <w:rFonts w:ascii="Times New Roman" w:hAnsi="Times New Roman" w:cs="Times New Roman"/>
          <w:sz w:val="24"/>
          <w:szCs w:val="24"/>
        </w:rPr>
        <w:t xml:space="preserve">unless there are newer updates on age criteria </w:t>
      </w:r>
      <w:r w:rsidR="00B84A9C">
        <w:rPr>
          <w:rFonts w:ascii="Times New Roman" w:hAnsi="Times New Roman" w:cs="Times New Roman"/>
          <w:sz w:val="24"/>
          <w:szCs w:val="24"/>
        </w:rPr>
        <w:t>facilitated</w:t>
      </w:r>
      <w:r>
        <w:rPr>
          <w:rFonts w:ascii="Times New Roman" w:hAnsi="Times New Roman" w:cs="Times New Roman"/>
          <w:sz w:val="24"/>
          <w:szCs w:val="24"/>
        </w:rPr>
        <w:t xml:space="preserve"> by the network orientation of recruiting and selecting.</w:t>
      </w:r>
    </w:p>
    <w:p w14:paraId="43D63E64" w14:textId="76DBC85E" w:rsidR="00B96745" w:rsidRDefault="00B96745" w:rsidP="00B96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organisational objectives at Amazon to a great extent moderate the HR function to take a strategic HRM perspective delivering on areas of market leadership and cost focus and while these aspects are noted in resourcing activities such as planning and recruitment &amp; selection, the areas need more coordination and focus </w:t>
      </w:r>
      <w:r w:rsidR="00B84A9C">
        <w:rPr>
          <w:rFonts w:ascii="Times New Roman" w:hAnsi="Times New Roman" w:cs="Times New Roman"/>
          <w:sz w:val="24"/>
          <w:szCs w:val="24"/>
        </w:rPr>
        <w:t>that balances</w:t>
      </w:r>
      <w:r>
        <w:rPr>
          <w:rFonts w:ascii="Times New Roman" w:hAnsi="Times New Roman" w:cs="Times New Roman"/>
          <w:sz w:val="24"/>
          <w:szCs w:val="24"/>
        </w:rPr>
        <w:t xml:space="preserve"> organisational effectiveness</w:t>
      </w:r>
      <w:r w:rsidR="00B84A9C">
        <w:rPr>
          <w:rFonts w:ascii="Times New Roman" w:hAnsi="Times New Roman" w:cs="Times New Roman"/>
          <w:sz w:val="24"/>
          <w:szCs w:val="24"/>
        </w:rPr>
        <w:t xml:space="preserve"> with customer-oriented efficiency</w:t>
      </w:r>
      <w:r>
        <w:rPr>
          <w:rFonts w:ascii="Times New Roman" w:hAnsi="Times New Roman" w:cs="Times New Roman"/>
          <w:sz w:val="24"/>
          <w:szCs w:val="24"/>
        </w:rPr>
        <w:t xml:space="preserve">.  </w:t>
      </w:r>
    </w:p>
    <w:p w14:paraId="0D245BCC" w14:textId="77777777" w:rsidR="00B96745" w:rsidRPr="002678E8" w:rsidRDefault="00B96745" w:rsidP="00B96745">
      <w:pPr>
        <w:pStyle w:val="Heading1"/>
      </w:pPr>
      <w:bookmarkStart w:id="6" w:name="_Toc57456951"/>
      <w:r w:rsidRPr="002678E8">
        <w:t>Conclusion</w:t>
      </w:r>
      <w:bookmarkEnd w:id="6"/>
    </w:p>
    <w:p w14:paraId="66CC02CB" w14:textId="3C8F37D0" w:rsidR="00EC573F" w:rsidRDefault="00B96745" w:rsidP="00EC573F">
      <w:pPr>
        <w:spacing w:line="360" w:lineRule="auto"/>
        <w:jc w:val="both"/>
        <w:rPr>
          <w:rFonts w:ascii="Times New Roman" w:hAnsi="Times New Roman" w:cs="Times New Roman"/>
          <w:sz w:val="24"/>
          <w:szCs w:val="24"/>
        </w:rPr>
      </w:pPr>
      <w:r w:rsidRPr="002678E8">
        <w:rPr>
          <w:rFonts w:ascii="Times New Roman" w:hAnsi="Times New Roman" w:cs="Times New Roman"/>
          <w:sz w:val="24"/>
          <w:szCs w:val="24"/>
        </w:rPr>
        <w:t xml:space="preserve">The </w:t>
      </w:r>
      <w:r w:rsidR="00F67F76">
        <w:rPr>
          <w:rFonts w:ascii="Times New Roman" w:hAnsi="Times New Roman" w:cs="Times New Roman"/>
          <w:sz w:val="24"/>
          <w:szCs w:val="24"/>
        </w:rPr>
        <w:t>HR analysis at</w:t>
      </w:r>
      <w:r w:rsidRPr="002678E8">
        <w:rPr>
          <w:rFonts w:ascii="Times New Roman" w:hAnsi="Times New Roman" w:cs="Times New Roman"/>
          <w:sz w:val="24"/>
          <w:szCs w:val="24"/>
        </w:rPr>
        <w:t xml:space="preserve"> Amazon using CIPD professional map informs an enhanced multi-focus and resilience development linking human capital, resource-based and stakeholder theory based on the contingent environment. Moreover, in terms of resourcing activities i.e. planning and recruitment &amp;</w:t>
      </w:r>
      <w:r>
        <w:rPr>
          <w:rFonts w:ascii="Times New Roman" w:hAnsi="Times New Roman" w:cs="Times New Roman"/>
          <w:sz w:val="24"/>
          <w:szCs w:val="24"/>
        </w:rPr>
        <w:t xml:space="preserve"> </w:t>
      </w:r>
      <w:r w:rsidRPr="002678E8">
        <w:rPr>
          <w:rFonts w:ascii="Times New Roman" w:hAnsi="Times New Roman" w:cs="Times New Roman"/>
          <w:sz w:val="24"/>
          <w:szCs w:val="24"/>
        </w:rPr>
        <w:t>selection, Amazon’s organisational objectives to balance market leadership, cost focus and customer orientation although has enabled the HR to take  strategic orientation</w:t>
      </w:r>
      <w:r>
        <w:rPr>
          <w:rFonts w:ascii="Times New Roman" w:hAnsi="Times New Roman" w:cs="Times New Roman"/>
          <w:sz w:val="24"/>
          <w:szCs w:val="24"/>
        </w:rPr>
        <w:t xml:space="preserve"> with a plausible intermixing of business environment trade-off and alignment</w:t>
      </w:r>
      <w:r w:rsidR="00B84A9C">
        <w:rPr>
          <w:rFonts w:ascii="Times New Roman" w:hAnsi="Times New Roman" w:cs="Times New Roman"/>
          <w:sz w:val="24"/>
          <w:szCs w:val="24"/>
        </w:rPr>
        <w:t>,</w:t>
      </w:r>
      <w:r w:rsidRPr="002678E8">
        <w:rPr>
          <w:rFonts w:ascii="Times New Roman" w:hAnsi="Times New Roman" w:cs="Times New Roman"/>
          <w:sz w:val="24"/>
          <w:szCs w:val="24"/>
        </w:rPr>
        <w:t xml:space="preserve"> they require more coordination and preparedness for enhanced contribution </w:t>
      </w:r>
      <w:r w:rsidR="00B84A9C">
        <w:rPr>
          <w:rFonts w:ascii="Times New Roman" w:hAnsi="Times New Roman" w:cs="Times New Roman"/>
          <w:sz w:val="24"/>
          <w:szCs w:val="24"/>
        </w:rPr>
        <w:t>balancing</w:t>
      </w:r>
      <w:r w:rsidRPr="002678E8">
        <w:rPr>
          <w:rFonts w:ascii="Times New Roman" w:hAnsi="Times New Roman" w:cs="Times New Roman"/>
          <w:sz w:val="24"/>
          <w:szCs w:val="24"/>
        </w:rPr>
        <w:t xml:space="preserve"> organisational effectiveness</w:t>
      </w:r>
      <w:r w:rsidR="00B84A9C">
        <w:rPr>
          <w:rFonts w:ascii="Times New Roman" w:hAnsi="Times New Roman" w:cs="Times New Roman"/>
          <w:sz w:val="24"/>
          <w:szCs w:val="24"/>
        </w:rPr>
        <w:t xml:space="preserve"> and efficiency</w:t>
      </w:r>
      <w:r w:rsidRPr="002678E8">
        <w:rPr>
          <w:rFonts w:ascii="Times New Roman" w:hAnsi="Times New Roman" w:cs="Times New Roman"/>
          <w:sz w:val="24"/>
          <w:szCs w:val="24"/>
        </w:rPr>
        <w:t xml:space="preserve">. </w:t>
      </w:r>
      <w:bookmarkStart w:id="7" w:name="_Toc57456952"/>
    </w:p>
    <w:p w14:paraId="5D5D00DA" w14:textId="77777777" w:rsidR="00EC573F" w:rsidRPr="00EC573F" w:rsidRDefault="00EC573F" w:rsidP="00EC573F">
      <w:pPr>
        <w:spacing w:line="360" w:lineRule="auto"/>
        <w:jc w:val="both"/>
        <w:rPr>
          <w:rFonts w:ascii="Times New Roman" w:hAnsi="Times New Roman" w:cs="Times New Roman"/>
          <w:sz w:val="24"/>
          <w:szCs w:val="24"/>
        </w:rPr>
      </w:pPr>
    </w:p>
    <w:p w14:paraId="7321982E" w14:textId="61BB3ACF" w:rsidR="00B96745" w:rsidRDefault="00B96745" w:rsidP="00B96745">
      <w:pPr>
        <w:pStyle w:val="Heading1"/>
      </w:pPr>
      <w:r>
        <w:lastRenderedPageBreak/>
        <w:t>References</w:t>
      </w:r>
      <w:bookmarkEnd w:id="7"/>
    </w:p>
    <w:p w14:paraId="6AD80F6D"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sz w:val="24"/>
          <w:szCs w:val="24"/>
        </w:rPr>
        <w:fldChar w:fldCharType="begin"/>
      </w:r>
      <w:r w:rsidRPr="00C877DF">
        <w:rPr>
          <w:rFonts w:ascii="Times New Roman" w:hAnsi="Times New Roman" w:cs="Times New Roman"/>
          <w:sz w:val="24"/>
          <w:szCs w:val="24"/>
          <w:lang w:val="en-US"/>
        </w:rPr>
        <w:instrText xml:space="preserve"> BIBLIOGRAPHY  \l 1033 </w:instrText>
      </w:r>
      <w:r w:rsidRPr="00C877DF">
        <w:rPr>
          <w:rFonts w:ascii="Times New Roman" w:hAnsi="Times New Roman" w:cs="Times New Roman"/>
          <w:sz w:val="24"/>
          <w:szCs w:val="24"/>
        </w:rPr>
        <w:fldChar w:fldCharType="separate"/>
      </w:r>
      <w:r w:rsidRPr="00C877DF">
        <w:rPr>
          <w:rFonts w:ascii="Times New Roman" w:hAnsi="Times New Roman" w:cs="Times New Roman"/>
          <w:noProof/>
          <w:sz w:val="24"/>
          <w:szCs w:val="24"/>
        </w:rPr>
        <w:t xml:space="preserve">Amazon, 2020. </w:t>
      </w:r>
      <w:r w:rsidRPr="00C877DF">
        <w:rPr>
          <w:rFonts w:ascii="Times New Roman" w:hAnsi="Times New Roman" w:cs="Times New Roman"/>
          <w:i/>
          <w:iCs/>
          <w:noProof/>
          <w:sz w:val="24"/>
          <w:szCs w:val="24"/>
        </w:rPr>
        <w:t xml:space="preserve">Amazon. </w:t>
      </w:r>
      <w:r w:rsidRPr="00C877DF">
        <w:rPr>
          <w:rFonts w:ascii="Times New Roman" w:hAnsi="Times New Roman" w:cs="Times New Roman"/>
          <w:noProof/>
          <w:sz w:val="24"/>
          <w:szCs w:val="24"/>
        </w:rPr>
        <w:t xml:space="preserve">[Online] </w:t>
      </w:r>
      <w:r w:rsidRPr="00C877DF">
        <w:rPr>
          <w:rFonts w:ascii="Times New Roman" w:hAnsi="Times New Roman" w:cs="Times New Roman"/>
          <w:noProof/>
          <w:sz w:val="24"/>
          <w:szCs w:val="24"/>
        </w:rPr>
        <w:br/>
        <w:t xml:space="preserve">Available at: </w:t>
      </w:r>
      <w:r w:rsidRPr="00C877DF">
        <w:rPr>
          <w:rFonts w:ascii="Times New Roman" w:hAnsi="Times New Roman" w:cs="Times New Roman"/>
          <w:noProof/>
          <w:sz w:val="24"/>
          <w:szCs w:val="24"/>
          <w:u w:val="single"/>
        </w:rPr>
        <w:t>https://www.annualreports.com/Company/amazoncom-inc</w:t>
      </w:r>
      <w:r w:rsidRPr="00C877DF">
        <w:rPr>
          <w:rFonts w:ascii="Times New Roman" w:hAnsi="Times New Roman" w:cs="Times New Roman"/>
          <w:noProof/>
          <w:sz w:val="24"/>
          <w:szCs w:val="24"/>
        </w:rPr>
        <w:br/>
        <w:t>[Accessed 2020].</w:t>
      </w:r>
    </w:p>
    <w:p w14:paraId="7DD4A608"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Armstrong, M. &amp; Taylor, S., 2020. </w:t>
      </w:r>
      <w:r w:rsidRPr="00C877DF">
        <w:rPr>
          <w:rFonts w:ascii="Times New Roman" w:hAnsi="Times New Roman" w:cs="Times New Roman"/>
          <w:i/>
          <w:iCs/>
          <w:noProof/>
          <w:sz w:val="24"/>
          <w:szCs w:val="24"/>
        </w:rPr>
        <w:t xml:space="preserve">Armstrong's Handbook of Human Resource Management Practice. </w:t>
      </w:r>
      <w:r w:rsidRPr="00C877DF">
        <w:rPr>
          <w:rFonts w:ascii="Times New Roman" w:hAnsi="Times New Roman" w:cs="Times New Roman"/>
          <w:noProof/>
          <w:sz w:val="24"/>
          <w:szCs w:val="24"/>
        </w:rPr>
        <w:t>London: Kogan Page Publishers.</w:t>
      </w:r>
    </w:p>
    <w:p w14:paraId="61F26E3A"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CIPD, 2020. </w:t>
      </w:r>
      <w:r w:rsidRPr="00C877DF">
        <w:rPr>
          <w:rFonts w:ascii="Times New Roman" w:hAnsi="Times New Roman" w:cs="Times New Roman"/>
          <w:i/>
          <w:iCs/>
          <w:noProof/>
          <w:sz w:val="24"/>
          <w:szCs w:val="24"/>
        </w:rPr>
        <w:t xml:space="preserve">CIPD. </w:t>
      </w:r>
      <w:r w:rsidRPr="00C877DF">
        <w:rPr>
          <w:rFonts w:ascii="Times New Roman" w:hAnsi="Times New Roman" w:cs="Times New Roman"/>
          <w:noProof/>
          <w:sz w:val="24"/>
          <w:szCs w:val="24"/>
        </w:rPr>
        <w:t xml:space="preserve">[Online] </w:t>
      </w:r>
      <w:r w:rsidRPr="00C877DF">
        <w:rPr>
          <w:rFonts w:ascii="Times New Roman" w:hAnsi="Times New Roman" w:cs="Times New Roman"/>
          <w:noProof/>
          <w:sz w:val="24"/>
          <w:szCs w:val="24"/>
        </w:rPr>
        <w:br/>
        <w:t xml:space="preserve">Available at: </w:t>
      </w:r>
      <w:r w:rsidRPr="00C877DF">
        <w:rPr>
          <w:rFonts w:ascii="Times New Roman" w:hAnsi="Times New Roman" w:cs="Times New Roman"/>
          <w:noProof/>
          <w:sz w:val="24"/>
          <w:szCs w:val="24"/>
          <w:u w:val="single"/>
        </w:rPr>
        <w:t>https://www.dpgplc.co.uk/cipd-professions-for-the-future-profession-map/</w:t>
      </w:r>
      <w:r w:rsidRPr="00C877DF">
        <w:rPr>
          <w:rFonts w:ascii="Times New Roman" w:hAnsi="Times New Roman" w:cs="Times New Roman"/>
          <w:noProof/>
          <w:sz w:val="24"/>
          <w:szCs w:val="24"/>
        </w:rPr>
        <w:br/>
        <w:t>[Accessed 2020].</w:t>
      </w:r>
    </w:p>
    <w:p w14:paraId="2C7B8183"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CIPD, 2020. Resourcing and talent planning survey 2020. </w:t>
      </w:r>
      <w:r w:rsidRPr="00C877DF">
        <w:rPr>
          <w:rFonts w:ascii="Times New Roman" w:hAnsi="Times New Roman" w:cs="Times New Roman"/>
          <w:i/>
          <w:iCs/>
          <w:noProof/>
          <w:sz w:val="24"/>
          <w:szCs w:val="24"/>
        </w:rPr>
        <w:t>Chartered Institute of Personnel and Development</w:t>
      </w:r>
      <w:r w:rsidRPr="00C877DF">
        <w:rPr>
          <w:rFonts w:ascii="Times New Roman" w:hAnsi="Times New Roman" w:cs="Times New Roman"/>
          <w:noProof/>
          <w:sz w:val="24"/>
          <w:szCs w:val="24"/>
        </w:rPr>
        <w:t xml:space="preserve">. </w:t>
      </w:r>
    </w:p>
    <w:p w14:paraId="19243B49"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Coetzer, A., Inma, C. &amp; Poisat, P., 2017. The job embeddedness-turnover relationship. </w:t>
      </w:r>
      <w:r w:rsidRPr="00C877DF">
        <w:rPr>
          <w:rFonts w:ascii="Times New Roman" w:hAnsi="Times New Roman" w:cs="Times New Roman"/>
          <w:i/>
          <w:iCs/>
          <w:noProof/>
          <w:sz w:val="24"/>
          <w:szCs w:val="24"/>
        </w:rPr>
        <w:t>Personnel Review.</w:t>
      </w:r>
    </w:p>
    <w:p w14:paraId="1E0317F1"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Dawson, D., 2018. Journal of Business Ethics. </w:t>
      </w:r>
      <w:r w:rsidRPr="00C877DF">
        <w:rPr>
          <w:rFonts w:ascii="Times New Roman" w:hAnsi="Times New Roman" w:cs="Times New Roman"/>
          <w:i/>
          <w:iCs/>
          <w:noProof/>
          <w:sz w:val="24"/>
          <w:szCs w:val="24"/>
        </w:rPr>
        <w:t xml:space="preserve">Organisational Virtue, Moral Attentiveness, and the Perceived Role of Ethics and Social Responsibility in Business, </w:t>
      </w:r>
      <w:r w:rsidRPr="00C877DF">
        <w:rPr>
          <w:rFonts w:ascii="Times New Roman" w:hAnsi="Times New Roman" w:cs="Times New Roman"/>
          <w:noProof/>
          <w:sz w:val="24"/>
          <w:szCs w:val="24"/>
        </w:rPr>
        <w:t>Volume 148, p. 765–781.</w:t>
      </w:r>
    </w:p>
    <w:p w14:paraId="77BA49C5"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Diaz</w:t>
      </w:r>
      <w:r w:rsidRPr="00C877DF">
        <w:rPr>
          <w:rFonts w:ascii="Cambria Math" w:hAnsi="Cambria Math" w:cs="Cambria Math"/>
          <w:noProof/>
          <w:sz w:val="24"/>
          <w:szCs w:val="24"/>
        </w:rPr>
        <w:t>‐</w:t>
      </w:r>
      <w:r w:rsidRPr="00C877DF">
        <w:rPr>
          <w:rFonts w:ascii="Times New Roman" w:hAnsi="Times New Roman" w:cs="Times New Roman"/>
          <w:noProof/>
          <w:sz w:val="24"/>
          <w:szCs w:val="24"/>
        </w:rPr>
        <w:t>Carrion, R., López</w:t>
      </w:r>
      <w:r w:rsidRPr="00C877DF">
        <w:rPr>
          <w:rFonts w:ascii="Cambria Math" w:hAnsi="Cambria Math" w:cs="Cambria Math"/>
          <w:noProof/>
          <w:sz w:val="24"/>
          <w:szCs w:val="24"/>
        </w:rPr>
        <w:t>‐</w:t>
      </w:r>
      <w:r w:rsidRPr="00C877DF">
        <w:rPr>
          <w:rFonts w:ascii="Times New Roman" w:hAnsi="Times New Roman" w:cs="Times New Roman"/>
          <w:noProof/>
          <w:sz w:val="24"/>
          <w:szCs w:val="24"/>
        </w:rPr>
        <w:t>Fernández, M. &amp; Romero</w:t>
      </w:r>
      <w:r w:rsidRPr="00C877DF">
        <w:rPr>
          <w:rFonts w:ascii="Cambria Math" w:hAnsi="Cambria Math" w:cs="Cambria Math"/>
          <w:noProof/>
          <w:sz w:val="24"/>
          <w:szCs w:val="24"/>
        </w:rPr>
        <w:t>‐</w:t>
      </w:r>
      <w:r w:rsidRPr="00C877DF">
        <w:rPr>
          <w:rFonts w:ascii="Times New Roman" w:hAnsi="Times New Roman" w:cs="Times New Roman"/>
          <w:noProof/>
          <w:sz w:val="24"/>
          <w:szCs w:val="24"/>
        </w:rPr>
        <w:t xml:space="preserve">Fernandez, P., 2018. Developing a sustainable HRM system from a contextual perspective. </w:t>
      </w:r>
      <w:r w:rsidRPr="00C877DF">
        <w:rPr>
          <w:rFonts w:ascii="Times New Roman" w:hAnsi="Times New Roman" w:cs="Times New Roman"/>
          <w:i/>
          <w:iCs/>
          <w:noProof/>
          <w:sz w:val="24"/>
          <w:szCs w:val="24"/>
        </w:rPr>
        <w:t xml:space="preserve">Corporate Social Responsibility and Environmental Management, </w:t>
      </w:r>
      <w:r w:rsidRPr="00C877DF">
        <w:rPr>
          <w:rFonts w:ascii="Times New Roman" w:hAnsi="Times New Roman" w:cs="Times New Roman"/>
          <w:noProof/>
          <w:sz w:val="24"/>
          <w:szCs w:val="24"/>
        </w:rPr>
        <w:t>25(6), pp. 1143-1153.</w:t>
      </w:r>
    </w:p>
    <w:p w14:paraId="40AD06DF"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Dimitrov, N., 2019. Why Amazon’s Attrition is Higher than Attrition at Other Tech Companies. </w:t>
      </w:r>
      <w:r w:rsidRPr="00C877DF">
        <w:rPr>
          <w:rFonts w:ascii="Times New Roman" w:hAnsi="Times New Roman" w:cs="Times New Roman"/>
          <w:i/>
          <w:iCs/>
          <w:noProof/>
          <w:sz w:val="24"/>
          <w:szCs w:val="24"/>
        </w:rPr>
        <w:t>Medium</w:t>
      </w:r>
      <w:r w:rsidRPr="00C877DF">
        <w:rPr>
          <w:rFonts w:ascii="Times New Roman" w:hAnsi="Times New Roman" w:cs="Times New Roman"/>
          <w:noProof/>
          <w:sz w:val="24"/>
          <w:szCs w:val="24"/>
        </w:rPr>
        <w:t xml:space="preserve">. </w:t>
      </w:r>
    </w:p>
    <w:p w14:paraId="48ED800A"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Houghton, E., 2019. Sustainable HR: a 'green' fad, or a realistic model for change?. </w:t>
      </w:r>
      <w:r w:rsidRPr="00C877DF">
        <w:rPr>
          <w:rFonts w:ascii="Times New Roman" w:hAnsi="Times New Roman" w:cs="Times New Roman"/>
          <w:i/>
          <w:iCs/>
          <w:noProof/>
          <w:sz w:val="24"/>
          <w:szCs w:val="24"/>
        </w:rPr>
        <w:t>CIPD.</w:t>
      </w:r>
    </w:p>
    <w:p w14:paraId="5A55D01B"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Klikauer, T., 2018. </w:t>
      </w:r>
      <w:r w:rsidRPr="00C877DF">
        <w:rPr>
          <w:rFonts w:ascii="Times New Roman" w:hAnsi="Times New Roman" w:cs="Times New Roman"/>
          <w:i/>
          <w:iCs/>
          <w:noProof/>
          <w:sz w:val="24"/>
          <w:szCs w:val="24"/>
        </w:rPr>
        <w:t xml:space="preserve">Managing People in Organizations. </w:t>
      </w:r>
      <w:r w:rsidRPr="00C877DF">
        <w:rPr>
          <w:rFonts w:ascii="Times New Roman" w:hAnsi="Times New Roman" w:cs="Times New Roman"/>
          <w:noProof/>
          <w:sz w:val="24"/>
          <w:szCs w:val="24"/>
        </w:rPr>
        <w:t>London: Macmillan International Higher Education.</w:t>
      </w:r>
    </w:p>
    <w:p w14:paraId="291D78CC"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Mitsakis, F. V., 2019. Human resource development (HRD) resilience: a new ‘success element’ of organizational resilience?. </w:t>
      </w:r>
      <w:r w:rsidRPr="00C877DF">
        <w:rPr>
          <w:rFonts w:ascii="Times New Roman" w:hAnsi="Times New Roman" w:cs="Times New Roman"/>
          <w:i/>
          <w:iCs/>
          <w:noProof/>
          <w:sz w:val="24"/>
          <w:szCs w:val="24"/>
        </w:rPr>
        <w:t xml:space="preserve">Human Resource Development International, </w:t>
      </w:r>
      <w:r w:rsidRPr="00C877DF">
        <w:rPr>
          <w:rFonts w:ascii="Times New Roman" w:hAnsi="Times New Roman" w:cs="Times New Roman"/>
          <w:noProof/>
          <w:sz w:val="24"/>
          <w:szCs w:val="24"/>
        </w:rPr>
        <w:t>pp. 321-328.</w:t>
      </w:r>
    </w:p>
    <w:p w14:paraId="6AAFED8B"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lastRenderedPageBreak/>
        <w:t xml:space="preserve">Nankervis, A., Baird, M., Coffey, J. &amp; Shields, J., 2019. </w:t>
      </w:r>
      <w:r w:rsidRPr="00C877DF">
        <w:rPr>
          <w:rFonts w:ascii="Times New Roman" w:hAnsi="Times New Roman" w:cs="Times New Roman"/>
          <w:i/>
          <w:iCs/>
          <w:noProof/>
          <w:sz w:val="24"/>
          <w:szCs w:val="24"/>
        </w:rPr>
        <w:t xml:space="preserve">Human resource management. </w:t>
      </w:r>
      <w:r w:rsidRPr="00C877DF">
        <w:rPr>
          <w:rFonts w:ascii="Times New Roman" w:hAnsi="Times New Roman" w:cs="Times New Roman"/>
          <w:noProof/>
          <w:sz w:val="24"/>
          <w:szCs w:val="24"/>
        </w:rPr>
        <w:t>Boston: Cengage .</w:t>
      </w:r>
    </w:p>
    <w:p w14:paraId="7A38D99D"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Rudolph, C., Toomey, E. &amp; Baltes, B., 2017. Considering age diversity in recruitment and selection: An expanded work lifespan view of age management. </w:t>
      </w:r>
      <w:r w:rsidRPr="00C877DF">
        <w:rPr>
          <w:rFonts w:ascii="Times New Roman" w:hAnsi="Times New Roman" w:cs="Times New Roman"/>
          <w:i/>
          <w:iCs/>
          <w:noProof/>
          <w:sz w:val="24"/>
          <w:szCs w:val="24"/>
        </w:rPr>
        <w:t xml:space="preserve">In The Palgrave handbook of age diversity and work, </w:t>
      </w:r>
      <w:r w:rsidRPr="00C877DF">
        <w:rPr>
          <w:rFonts w:ascii="Times New Roman" w:hAnsi="Times New Roman" w:cs="Times New Roman"/>
          <w:noProof/>
          <w:sz w:val="24"/>
          <w:szCs w:val="24"/>
        </w:rPr>
        <w:t>pp. 607-638.</w:t>
      </w:r>
    </w:p>
    <w:p w14:paraId="7201605B"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Ruggs, E., Walker, S., Blanchard, A. &amp; Gur, S., 2016. Online exclusion: Biases that may arise when using social media in talent acquisition. </w:t>
      </w:r>
      <w:r w:rsidRPr="00C877DF">
        <w:rPr>
          <w:rFonts w:ascii="Times New Roman" w:hAnsi="Times New Roman" w:cs="Times New Roman"/>
          <w:i/>
          <w:iCs/>
          <w:noProof/>
          <w:sz w:val="24"/>
          <w:szCs w:val="24"/>
        </w:rPr>
        <w:t xml:space="preserve">In Social media in employee selection and recruitment, </w:t>
      </w:r>
      <w:r w:rsidRPr="00C877DF">
        <w:rPr>
          <w:rFonts w:ascii="Times New Roman" w:hAnsi="Times New Roman" w:cs="Times New Roman"/>
          <w:noProof/>
          <w:sz w:val="24"/>
          <w:szCs w:val="24"/>
        </w:rPr>
        <w:t>pp. 289-305.</w:t>
      </w:r>
    </w:p>
    <w:p w14:paraId="39DA7ADF" w14:textId="77777777" w:rsidR="00B96745" w:rsidRPr="00C877DF" w:rsidRDefault="00B96745" w:rsidP="00B96745">
      <w:pPr>
        <w:pStyle w:val="Bibliography"/>
        <w:spacing w:line="360" w:lineRule="auto"/>
        <w:jc w:val="both"/>
        <w:rPr>
          <w:rFonts w:ascii="Times New Roman" w:hAnsi="Times New Roman" w:cs="Times New Roman"/>
          <w:noProof/>
          <w:sz w:val="24"/>
          <w:szCs w:val="24"/>
        </w:rPr>
      </w:pPr>
      <w:r w:rsidRPr="00C877DF">
        <w:rPr>
          <w:rFonts w:ascii="Times New Roman" w:hAnsi="Times New Roman" w:cs="Times New Roman"/>
          <w:noProof/>
          <w:sz w:val="24"/>
          <w:szCs w:val="24"/>
        </w:rPr>
        <w:t xml:space="preserve">Vox, 2020. </w:t>
      </w:r>
      <w:r w:rsidRPr="00C877DF">
        <w:rPr>
          <w:rFonts w:ascii="Times New Roman" w:hAnsi="Times New Roman" w:cs="Times New Roman"/>
          <w:i/>
          <w:iCs/>
          <w:noProof/>
          <w:sz w:val="24"/>
          <w:szCs w:val="24"/>
        </w:rPr>
        <w:t xml:space="preserve">Vox. </w:t>
      </w:r>
      <w:r w:rsidRPr="00C877DF">
        <w:rPr>
          <w:rFonts w:ascii="Times New Roman" w:hAnsi="Times New Roman" w:cs="Times New Roman"/>
          <w:noProof/>
          <w:sz w:val="24"/>
          <w:szCs w:val="24"/>
        </w:rPr>
        <w:t xml:space="preserve">[Online] </w:t>
      </w:r>
      <w:r w:rsidRPr="00C877DF">
        <w:rPr>
          <w:rFonts w:ascii="Times New Roman" w:hAnsi="Times New Roman" w:cs="Times New Roman"/>
          <w:noProof/>
          <w:sz w:val="24"/>
          <w:szCs w:val="24"/>
        </w:rPr>
        <w:br/>
        <w:t xml:space="preserve">Available at: </w:t>
      </w:r>
      <w:r w:rsidRPr="00C877DF">
        <w:rPr>
          <w:rFonts w:ascii="Times New Roman" w:hAnsi="Times New Roman" w:cs="Times New Roman"/>
          <w:noProof/>
          <w:sz w:val="24"/>
          <w:szCs w:val="24"/>
          <w:u w:val="single"/>
        </w:rPr>
        <w:t>https://www.vox.com/recode/2020/1/26/21082650/amazon-employees-protest-policy-climate-change-amazon-employees-for-climate-justice</w:t>
      </w:r>
      <w:r w:rsidRPr="00C877DF">
        <w:rPr>
          <w:rFonts w:ascii="Times New Roman" w:hAnsi="Times New Roman" w:cs="Times New Roman"/>
          <w:noProof/>
          <w:sz w:val="24"/>
          <w:szCs w:val="24"/>
        </w:rPr>
        <w:br/>
        <w:t>[Accessed 2020].</w:t>
      </w:r>
    </w:p>
    <w:p w14:paraId="0DA88193" w14:textId="77777777" w:rsidR="00B96745" w:rsidRPr="00C877DF" w:rsidRDefault="00B96745" w:rsidP="00B96745">
      <w:pPr>
        <w:spacing w:line="360" w:lineRule="auto"/>
        <w:jc w:val="both"/>
        <w:rPr>
          <w:rFonts w:ascii="Times New Roman" w:hAnsi="Times New Roman" w:cs="Times New Roman"/>
          <w:sz w:val="24"/>
          <w:szCs w:val="24"/>
        </w:rPr>
      </w:pPr>
      <w:r w:rsidRPr="00C877DF">
        <w:rPr>
          <w:rFonts w:ascii="Times New Roman" w:hAnsi="Times New Roman" w:cs="Times New Roman"/>
          <w:sz w:val="24"/>
          <w:szCs w:val="24"/>
        </w:rPr>
        <w:fldChar w:fldCharType="end"/>
      </w:r>
    </w:p>
    <w:p w14:paraId="147F9F99" w14:textId="77777777" w:rsidR="00B96745" w:rsidRPr="00C877DF" w:rsidRDefault="00B96745" w:rsidP="00B96745">
      <w:pPr>
        <w:spacing w:line="360" w:lineRule="auto"/>
        <w:jc w:val="both"/>
        <w:rPr>
          <w:rFonts w:ascii="Times New Roman" w:hAnsi="Times New Roman" w:cs="Times New Roman"/>
          <w:sz w:val="24"/>
          <w:szCs w:val="24"/>
        </w:rPr>
      </w:pPr>
    </w:p>
    <w:p w14:paraId="7F1A7716" w14:textId="77777777" w:rsidR="00B96745" w:rsidRPr="00C877DF" w:rsidRDefault="00B96745" w:rsidP="00B96745">
      <w:pPr>
        <w:spacing w:line="360" w:lineRule="auto"/>
        <w:jc w:val="both"/>
        <w:rPr>
          <w:rFonts w:ascii="Times New Roman" w:hAnsi="Times New Roman" w:cs="Times New Roman"/>
          <w:sz w:val="24"/>
          <w:szCs w:val="24"/>
        </w:rPr>
      </w:pPr>
    </w:p>
    <w:p w14:paraId="35578446" w14:textId="77777777" w:rsidR="00B96745" w:rsidRPr="00C877DF" w:rsidRDefault="00B96745" w:rsidP="00B96745">
      <w:pPr>
        <w:spacing w:line="360" w:lineRule="auto"/>
        <w:jc w:val="both"/>
        <w:rPr>
          <w:rFonts w:ascii="Times New Roman" w:hAnsi="Times New Roman" w:cs="Times New Roman"/>
          <w:sz w:val="24"/>
          <w:szCs w:val="24"/>
        </w:rPr>
      </w:pPr>
    </w:p>
    <w:p w14:paraId="797A3FE0" w14:textId="77777777" w:rsidR="00B96745" w:rsidRPr="00C877DF" w:rsidRDefault="00B96745" w:rsidP="00B96745">
      <w:pPr>
        <w:spacing w:line="360" w:lineRule="auto"/>
        <w:jc w:val="both"/>
        <w:rPr>
          <w:rFonts w:ascii="Times New Roman" w:hAnsi="Times New Roman" w:cs="Times New Roman"/>
          <w:sz w:val="24"/>
          <w:szCs w:val="24"/>
        </w:rPr>
      </w:pPr>
    </w:p>
    <w:p w14:paraId="61F17B65" w14:textId="77777777" w:rsidR="00B96745" w:rsidRDefault="00B96745" w:rsidP="00B96745"/>
    <w:p w14:paraId="0817B7D3" w14:textId="77777777" w:rsidR="00B96745" w:rsidRDefault="00B96745" w:rsidP="00B96745"/>
    <w:p w14:paraId="46807AB3" w14:textId="77777777" w:rsidR="008661B8" w:rsidRPr="00B96745" w:rsidRDefault="008661B8" w:rsidP="00B96745"/>
    <w:sectPr w:rsidR="008661B8" w:rsidRPr="00B96745" w:rsidSect="005C6AB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3C084" w14:textId="77777777" w:rsidR="007855D5" w:rsidRDefault="007855D5" w:rsidP="008661B8">
      <w:pPr>
        <w:spacing w:after="0" w:line="240" w:lineRule="auto"/>
      </w:pPr>
      <w:r>
        <w:separator/>
      </w:r>
    </w:p>
  </w:endnote>
  <w:endnote w:type="continuationSeparator" w:id="0">
    <w:p w14:paraId="3A1F8D0B" w14:textId="77777777" w:rsidR="007855D5" w:rsidRDefault="007855D5" w:rsidP="00866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551465"/>
      <w:docPartObj>
        <w:docPartGallery w:val="Page Numbers (Bottom of Page)"/>
        <w:docPartUnique/>
      </w:docPartObj>
    </w:sdtPr>
    <w:sdtEndPr>
      <w:rPr>
        <w:noProof/>
      </w:rPr>
    </w:sdtEndPr>
    <w:sdtContent>
      <w:p w14:paraId="42AC0A40" w14:textId="16A7B794" w:rsidR="008661B8" w:rsidRDefault="008661B8">
        <w:pPr>
          <w:pStyle w:val="Footer"/>
        </w:pPr>
        <w:r>
          <w:fldChar w:fldCharType="begin"/>
        </w:r>
        <w:r>
          <w:instrText xml:space="preserve"> PAGE   \* MERGEFORMAT </w:instrText>
        </w:r>
        <w:r>
          <w:fldChar w:fldCharType="separate"/>
        </w:r>
        <w:r w:rsidR="007B46A5">
          <w:rPr>
            <w:noProof/>
          </w:rPr>
          <w:t>1</w:t>
        </w:r>
        <w:r>
          <w:rPr>
            <w:noProof/>
          </w:rPr>
          <w:fldChar w:fldCharType="end"/>
        </w:r>
      </w:p>
    </w:sdtContent>
  </w:sdt>
  <w:p w14:paraId="01E06BF7" w14:textId="77777777" w:rsidR="008661B8" w:rsidRDefault="00866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C208C" w14:textId="77777777" w:rsidR="007855D5" w:rsidRDefault="007855D5" w:rsidP="008661B8">
      <w:pPr>
        <w:spacing w:after="0" w:line="240" w:lineRule="auto"/>
      </w:pPr>
      <w:r>
        <w:separator/>
      </w:r>
    </w:p>
  </w:footnote>
  <w:footnote w:type="continuationSeparator" w:id="0">
    <w:p w14:paraId="66F9AC98" w14:textId="77777777" w:rsidR="007855D5" w:rsidRDefault="007855D5" w:rsidP="008661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11FAA"/>
    <w:rsid w:val="00007BDD"/>
    <w:rsid w:val="0002208C"/>
    <w:rsid w:val="0003266B"/>
    <w:rsid w:val="00070462"/>
    <w:rsid w:val="0007186C"/>
    <w:rsid w:val="00074A04"/>
    <w:rsid w:val="000835FF"/>
    <w:rsid w:val="000A48CC"/>
    <w:rsid w:val="000D3B60"/>
    <w:rsid w:val="000F7617"/>
    <w:rsid w:val="00141F72"/>
    <w:rsid w:val="00155A70"/>
    <w:rsid w:val="00187C8A"/>
    <w:rsid w:val="001D0DA6"/>
    <w:rsid w:val="001D3D80"/>
    <w:rsid w:val="001D79D0"/>
    <w:rsid w:val="001E2809"/>
    <w:rsid w:val="001F052E"/>
    <w:rsid w:val="002129C5"/>
    <w:rsid w:val="00213057"/>
    <w:rsid w:val="002239D6"/>
    <w:rsid w:val="002239E5"/>
    <w:rsid w:val="00297842"/>
    <w:rsid w:val="002B66D3"/>
    <w:rsid w:val="002C5737"/>
    <w:rsid w:val="002E145D"/>
    <w:rsid w:val="002F3AAA"/>
    <w:rsid w:val="003248EF"/>
    <w:rsid w:val="00383CBC"/>
    <w:rsid w:val="00400B3D"/>
    <w:rsid w:val="004515A6"/>
    <w:rsid w:val="00472E3F"/>
    <w:rsid w:val="00474096"/>
    <w:rsid w:val="004B4108"/>
    <w:rsid w:val="004D39E4"/>
    <w:rsid w:val="0051461B"/>
    <w:rsid w:val="005466B9"/>
    <w:rsid w:val="00547970"/>
    <w:rsid w:val="00586B0E"/>
    <w:rsid w:val="005A37AC"/>
    <w:rsid w:val="005B4BE6"/>
    <w:rsid w:val="005C6AB1"/>
    <w:rsid w:val="005D66FA"/>
    <w:rsid w:val="00612814"/>
    <w:rsid w:val="00617075"/>
    <w:rsid w:val="00636A92"/>
    <w:rsid w:val="00643568"/>
    <w:rsid w:val="00687BA2"/>
    <w:rsid w:val="006A1A63"/>
    <w:rsid w:val="006A603B"/>
    <w:rsid w:val="006E38C9"/>
    <w:rsid w:val="006F7379"/>
    <w:rsid w:val="00703CC0"/>
    <w:rsid w:val="00725E46"/>
    <w:rsid w:val="007415BE"/>
    <w:rsid w:val="00743857"/>
    <w:rsid w:val="00766291"/>
    <w:rsid w:val="007855D5"/>
    <w:rsid w:val="0079451C"/>
    <w:rsid w:val="007B0120"/>
    <w:rsid w:val="007B46A5"/>
    <w:rsid w:val="007F42AF"/>
    <w:rsid w:val="00814AF2"/>
    <w:rsid w:val="008246A9"/>
    <w:rsid w:val="008263E0"/>
    <w:rsid w:val="0083423E"/>
    <w:rsid w:val="00834DDC"/>
    <w:rsid w:val="008661B8"/>
    <w:rsid w:val="00877132"/>
    <w:rsid w:val="00883037"/>
    <w:rsid w:val="00892DAC"/>
    <w:rsid w:val="008A782C"/>
    <w:rsid w:val="008D6E92"/>
    <w:rsid w:val="00902E09"/>
    <w:rsid w:val="009049DE"/>
    <w:rsid w:val="00916213"/>
    <w:rsid w:val="009408F4"/>
    <w:rsid w:val="0094360A"/>
    <w:rsid w:val="00947D76"/>
    <w:rsid w:val="009541FA"/>
    <w:rsid w:val="009A06EB"/>
    <w:rsid w:val="009A15E1"/>
    <w:rsid w:val="009D1AE1"/>
    <w:rsid w:val="009D2388"/>
    <w:rsid w:val="009D4BD2"/>
    <w:rsid w:val="009D52B6"/>
    <w:rsid w:val="00A13376"/>
    <w:rsid w:val="00A33DEF"/>
    <w:rsid w:val="00A8087F"/>
    <w:rsid w:val="00A9046B"/>
    <w:rsid w:val="00A93669"/>
    <w:rsid w:val="00A93B0A"/>
    <w:rsid w:val="00AD4E20"/>
    <w:rsid w:val="00AF2A54"/>
    <w:rsid w:val="00B00197"/>
    <w:rsid w:val="00B1375B"/>
    <w:rsid w:val="00B44FB3"/>
    <w:rsid w:val="00B6423D"/>
    <w:rsid w:val="00B6436E"/>
    <w:rsid w:val="00B84A9C"/>
    <w:rsid w:val="00B84F70"/>
    <w:rsid w:val="00B96745"/>
    <w:rsid w:val="00BF2E1E"/>
    <w:rsid w:val="00C06128"/>
    <w:rsid w:val="00C11FAA"/>
    <w:rsid w:val="00CC5F74"/>
    <w:rsid w:val="00CF3E02"/>
    <w:rsid w:val="00D03B2B"/>
    <w:rsid w:val="00D123BF"/>
    <w:rsid w:val="00D27020"/>
    <w:rsid w:val="00D30FE6"/>
    <w:rsid w:val="00DA1498"/>
    <w:rsid w:val="00DE1C51"/>
    <w:rsid w:val="00DF4E36"/>
    <w:rsid w:val="00E41980"/>
    <w:rsid w:val="00E44616"/>
    <w:rsid w:val="00E6428E"/>
    <w:rsid w:val="00EA5ED3"/>
    <w:rsid w:val="00EB15BD"/>
    <w:rsid w:val="00EC54C8"/>
    <w:rsid w:val="00EC573F"/>
    <w:rsid w:val="00EC64CE"/>
    <w:rsid w:val="00EC7037"/>
    <w:rsid w:val="00F064DA"/>
    <w:rsid w:val="00F07C72"/>
    <w:rsid w:val="00F15F25"/>
    <w:rsid w:val="00F6420E"/>
    <w:rsid w:val="00F64C7A"/>
    <w:rsid w:val="00F66FF0"/>
    <w:rsid w:val="00F67F76"/>
    <w:rsid w:val="00F730B1"/>
    <w:rsid w:val="00F73D78"/>
    <w:rsid w:val="00F80868"/>
    <w:rsid w:val="00FB5766"/>
    <w:rsid w:val="00FC3621"/>
    <w:rsid w:val="00FD3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7605"/>
  <w15:chartTrackingRefBased/>
  <w15:docId w15:val="{98E663E8-1506-4078-B9DD-80886BD1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745"/>
    <w:rPr>
      <w:lang w:val="en-GB"/>
    </w:rPr>
  </w:style>
  <w:style w:type="paragraph" w:styleId="Heading1">
    <w:name w:val="heading 1"/>
    <w:basedOn w:val="Normal"/>
    <w:next w:val="Normal"/>
    <w:link w:val="Heading1Char"/>
    <w:uiPriority w:val="9"/>
    <w:qFormat/>
    <w:rsid w:val="00B96745"/>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B96745"/>
    <w:pPr>
      <w:keepNext/>
      <w:keepLines/>
      <w:spacing w:before="40" w:after="0" w:line="360" w:lineRule="auto"/>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1B8"/>
    <w:rPr>
      <w:lang w:val="en-GB"/>
    </w:rPr>
  </w:style>
  <w:style w:type="paragraph" w:styleId="Footer">
    <w:name w:val="footer"/>
    <w:basedOn w:val="Normal"/>
    <w:link w:val="FooterChar"/>
    <w:uiPriority w:val="99"/>
    <w:unhideWhenUsed/>
    <w:rsid w:val="00866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1B8"/>
    <w:rPr>
      <w:lang w:val="en-GB"/>
    </w:rPr>
  </w:style>
  <w:style w:type="paragraph" w:styleId="ListParagraph">
    <w:name w:val="List Paragraph"/>
    <w:basedOn w:val="Normal"/>
    <w:uiPriority w:val="34"/>
    <w:qFormat/>
    <w:rsid w:val="00F730B1"/>
    <w:pPr>
      <w:ind w:left="720"/>
      <w:contextualSpacing/>
    </w:pPr>
  </w:style>
  <w:style w:type="character" w:customStyle="1" w:styleId="Heading1Char">
    <w:name w:val="Heading 1 Char"/>
    <w:basedOn w:val="DefaultParagraphFont"/>
    <w:link w:val="Heading1"/>
    <w:uiPriority w:val="9"/>
    <w:rsid w:val="00B96745"/>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B96745"/>
    <w:rPr>
      <w:rFonts w:ascii="Times New Roman" w:eastAsiaTheme="majorEastAsia" w:hAnsi="Times New Roman" w:cstheme="majorBidi"/>
      <w:b/>
      <w:sz w:val="24"/>
      <w:szCs w:val="26"/>
      <w:lang w:val="en-GB"/>
    </w:rPr>
  </w:style>
  <w:style w:type="paragraph" w:styleId="Bibliography">
    <w:name w:val="Bibliography"/>
    <w:basedOn w:val="Normal"/>
    <w:next w:val="Normal"/>
    <w:uiPriority w:val="37"/>
    <w:unhideWhenUsed/>
    <w:rsid w:val="00B96745"/>
  </w:style>
  <w:style w:type="paragraph" w:styleId="TOCHeading">
    <w:name w:val="TOC Heading"/>
    <w:basedOn w:val="Heading1"/>
    <w:next w:val="Normal"/>
    <w:uiPriority w:val="39"/>
    <w:unhideWhenUsed/>
    <w:qFormat/>
    <w:rsid w:val="00B96745"/>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B96745"/>
    <w:pPr>
      <w:spacing w:after="100"/>
    </w:pPr>
  </w:style>
  <w:style w:type="paragraph" w:styleId="TOC2">
    <w:name w:val="toc 2"/>
    <w:basedOn w:val="Normal"/>
    <w:next w:val="Normal"/>
    <w:autoRedefine/>
    <w:uiPriority w:val="39"/>
    <w:unhideWhenUsed/>
    <w:rsid w:val="00B96745"/>
    <w:pPr>
      <w:spacing w:after="100"/>
      <w:ind w:left="220"/>
    </w:pPr>
  </w:style>
  <w:style w:type="character" w:styleId="Hyperlink">
    <w:name w:val="Hyperlink"/>
    <w:basedOn w:val="DefaultParagraphFont"/>
    <w:uiPriority w:val="99"/>
    <w:unhideWhenUsed/>
    <w:rsid w:val="00B96745"/>
    <w:rPr>
      <w:color w:val="0000FF" w:themeColor="hyperlink"/>
      <w:u w:val="single"/>
    </w:rPr>
  </w:style>
  <w:style w:type="paragraph" w:customStyle="1" w:styleId="ContactInfo">
    <w:name w:val="Contact Info"/>
    <w:basedOn w:val="Normal"/>
    <w:uiPriority w:val="4"/>
    <w:qFormat/>
    <w:rsid w:val="0079451C"/>
    <w:pPr>
      <w:spacing w:after="0" w:line="264" w:lineRule="auto"/>
      <w:jc w:val="center"/>
    </w:pPr>
    <w:rPr>
      <w:color w:val="595959" w:themeColor="text1" w:themeTint="A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76333">
      <w:bodyDiv w:val="1"/>
      <w:marLeft w:val="0"/>
      <w:marRight w:val="0"/>
      <w:marTop w:val="0"/>
      <w:marBottom w:val="0"/>
      <w:divBdr>
        <w:top w:val="none" w:sz="0" w:space="0" w:color="auto"/>
        <w:left w:val="none" w:sz="0" w:space="0" w:color="auto"/>
        <w:bottom w:val="none" w:sz="0" w:space="0" w:color="auto"/>
        <w:right w:val="none" w:sz="0" w:space="0" w:color="auto"/>
      </w:divBdr>
    </w:div>
    <w:div w:id="734352355">
      <w:bodyDiv w:val="1"/>
      <w:marLeft w:val="0"/>
      <w:marRight w:val="0"/>
      <w:marTop w:val="0"/>
      <w:marBottom w:val="0"/>
      <w:divBdr>
        <w:top w:val="none" w:sz="0" w:space="0" w:color="auto"/>
        <w:left w:val="none" w:sz="0" w:space="0" w:color="auto"/>
        <w:bottom w:val="none" w:sz="0" w:space="0" w:color="auto"/>
        <w:right w:val="none" w:sz="0" w:space="0" w:color="auto"/>
      </w:divBdr>
    </w:div>
    <w:div w:id="930238022">
      <w:bodyDiv w:val="1"/>
      <w:marLeft w:val="0"/>
      <w:marRight w:val="0"/>
      <w:marTop w:val="0"/>
      <w:marBottom w:val="0"/>
      <w:divBdr>
        <w:top w:val="none" w:sz="0" w:space="0" w:color="auto"/>
        <w:left w:val="none" w:sz="0" w:space="0" w:color="auto"/>
        <w:bottom w:val="none" w:sz="0" w:space="0" w:color="auto"/>
        <w:right w:val="none" w:sz="0" w:space="0" w:color="auto"/>
      </w:divBdr>
    </w:div>
    <w:div w:id="983240975">
      <w:bodyDiv w:val="1"/>
      <w:marLeft w:val="0"/>
      <w:marRight w:val="0"/>
      <w:marTop w:val="0"/>
      <w:marBottom w:val="0"/>
      <w:divBdr>
        <w:top w:val="none" w:sz="0" w:space="0" w:color="auto"/>
        <w:left w:val="none" w:sz="0" w:space="0" w:color="auto"/>
        <w:bottom w:val="none" w:sz="0" w:space="0" w:color="auto"/>
        <w:right w:val="none" w:sz="0" w:space="0" w:color="auto"/>
      </w:divBdr>
    </w:div>
    <w:div w:id="1017733468">
      <w:bodyDiv w:val="1"/>
      <w:marLeft w:val="0"/>
      <w:marRight w:val="0"/>
      <w:marTop w:val="0"/>
      <w:marBottom w:val="0"/>
      <w:divBdr>
        <w:top w:val="none" w:sz="0" w:space="0" w:color="auto"/>
        <w:left w:val="none" w:sz="0" w:space="0" w:color="auto"/>
        <w:bottom w:val="none" w:sz="0" w:space="0" w:color="auto"/>
        <w:right w:val="none" w:sz="0" w:space="0" w:color="auto"/>
      </w:divBdr>
    </w:div>
    <w:div w:id="1056052994">
      <w:bodyDiv w:val="1"/>
      <w:marLeft w:val="0"/>
      <w:marRight w:val="0"/>
      <w:marTop w:val="0"/>
      <w:marBottom w:val="0"/>
      <w:divBdr>
        <w:top w:val="none" w:sz="0" w:space="0" w:color="auto"/>
        <w:left w:val="none" w:sz="0" w:space="0" w:color="auto"/>
        <w:bottom w:val="none" w:sz="0" w:space="0" w:color="auto"/>
        <w:right w:val="none" w:sz="0" w:space="0" w:color="auto"/>
      </w:divBdr>
    </w:div>
    <w:div w:id="1081873020">
      <w:bodyDiv w:val="1"/>
      <w:marLeft w:val="0"/>
      <w:marRight w:val="0"/>
      <w:marTop w:val="0"/>
      <w:marBottom w:val="0"/>
      <w:divBdr>
        <w:top w:val="none" w:sz="0" w:space="0" w:color="auto"/>
        <w:left w:val="none" w:sz="0" w:space="0" w:color="auto"/>
        <w:bottom w:val="none" w:sz="0" w:space="0" w:color="auto"/>
        <w:right w:val="none" w:sz="0" w:space="0" w:color="auto"/>
      </w:divBdr>
    </w:div>
    <w:div w:id="1128548901">
      <w:bodyDiv w:val="1"/>
      <w:marLeft w:val="0"/>
      <w:marRight w:val="0"/>
      <w:marTop w:val="0"/>
      <w:marBottom w:val="0"/>
      <w:divBdr>
        <w:top w:val="none" w:sz="0" w:space="0" w:color="auto"/>
        <w:left w:val="none" w:sz="0" w:space="0" w:color="auto"/>
        <w:bottom w:val="none" w:sz="0" w:space="0" w:color="auto"/>
        <w:right w:val="none" w:sz="0" w:space="0" w:color="auto"/>
      </w:divBdr>
    </w:div>
    <w:div w:id="1137332135">
      <w:bodyDiv w:val="1"/>
      <w:marLeft w:val="0"/>
      <w:marRight w:val="0"/>
      <w:marTop w:val="0"/>
      <w:marBottom w:val="0"/>
      <w:divBdr>
        <w:top w:val="none" w:sz="0" w:space="0" w:color="auto"/>
        <w:left w:val="none" w:sz="0" w:space="0" w:color="auto"/>
        <w:bottom w:val="none" w:sz="0" w:space="0" w:color="auto"/>
        <w:right w:val="none" w:sz="0" w:space="0" w:color="auto"/>
      </w:divBdr>
    </w:div>
    <w:div w:id="1199705090">
      <w:bodyDiv w:val="1"/>
      <w:marLeft w:val="0"/>
      <w:marRight w:val="0"/>
      <w:marTop w:val="0"/>
      <w:marBottom w:val="0"/>
      <w:divBdr>
        <w:top w:val="none" w:sz="0" w:space="0" w:color="auto"/>
        <w:left w:val="none" w:sz="0" w:space="0" w:color="auto"/>
        <w:bottom w:val="none" w:sz="0" w:space="0" w:color="auto"/>
        <w:right w:val="none" w:sz="0" w:space="0" w:color="auto"/>
      </w:divBdr>
    </w:div>
    <w:div w:id="1261141338">
      <w:bodyDiv w:val="1"/>
      <w:marLeft w:val="0"/>
      <w:marRight w:val="0"/>
      <w:marTop w:val="0"/>
      <w:marBottom w:val="0"/>
      <w:divBdr>
        <w:top w:val="none" w:sz="0" w:space="0" w:color="auto"/>
        <w:left w:val="none" w:sz="0" w:space="0" w:color="auto"/>
        <w:bottom w:val="none" w:sz="0" w:space="0" w:color="auto"/>
        <w:right w:val="none" w:sz="0" w:space="0" w:color="auto"/>
      </w:divBdr>
    </w:div>
    <w:div w:id="1264805577">
      <w:bodyDiv w:val="1"/>
      <w:marLeft w:val="0"/>
      <w:marRight w:val="0"/>
      <w:marTop w:val="0"/>
      <w:marBottom w:val="0"/>
      <w:divBdr>
        <w:top w:val="none" w:sz="0" w:space="0" w:color="auto"/>
        <w:left w:val="none" w:sz="0" w:space="0" w:color="auto"/>
        <w:bottom w:val="none" w:sz="0" w:space="0" w:color="auto"/>
        <w:right w:val="none" w:sz="0" w:space="0" w:color="auto"/>
      </w:divBdr>
    </w:div>
    <w:div w:id="1273124803">
      <w:bodyDiv w:val="1"/>
      <w:marLeft w:val="0"/>
      <w:marRight w:val="0"/>
      <w:marTop w:val="0"/>
      <w:marBottom w:val="0"/>
      <w:divBdr>
        <w:top w:val="none" w:sz="0" w:space="0" w:color="auto"/>
        <w:left w:val="none" w:sz="0" w:space="0" w:color="auto"/>
        <w:bottom w:val="none" w:sz="0" w:space="0" w:color="auto"/>
        <w:right w:val="none" w:sz="0" w:space="0" w:color="auto"/>
      </w:divBdr>
    </w:div>
    <w:div w:id="1295403194">
      <w:bodyDiv w:val="1"/>
      <w:marLeft w:val="0"/>
      <w:marRight w:val="0"/>
      <w:marTop w:val="0"/>
      <w:marBottom w:val="0"/>
      <w:divBdr>
        <w:top w:val="none" w:sz="0" w:space="0" w:color="auto"/>
        <w:left w:val="none" w:sz="0" w:space="0" w:color="auto"/>
        <w:bottom w:val="none" w:sz="0" w:space="0" w:color="auto"/>
        <w:right w:val="none" w:sz="0" w:space="0" w:color="auto"/>
      </w:divBdr>
    </w:div>
    <w:div w:id="1338269167">
      <w:bodyDiv w:val="1"/>
      <w:marLeft w:val="0"/>
      <w:marRight w:val="0"/>
      <w:marTop w:val="0"/>
      <w:marBottom w:val="0"/>
      <w:divBdr>
        <w:top w:val="none" w:sz="0" w:space="0" w:color="auto"/>
        <w:left w:val="none" w:sz="0" w:space="0" w:color="auto"/>
        <w:bottom w:val="none" w:sz="0" w:space="0" w:color="auto"/>
        <w:right w:val="none" w:sz="0" w:space="0" w:color="auto"/>
      </w:divBdr>
    </w:div>
    <w:div w:id="1465268497">
      <w:bodyDiv w:val="1"/>
      <w:marLeft w:val="0"/>
      <w:marRight w:val="0"/>
      <w:marTop w:val="0"/>
      <w:marBottom w:val="0"/>
      <w:divBdr>
        <w:top w:val="none" w:sz="0" w:space="0" w:color="auto"/>
        <w:left w:val="none" w:sz="0" w:space="0" w:color="auto"/>
        <w:bottom w:val="none" w:sz="0" w:space="0" w:color="auto"/>
        <w:right w:val="none" w:sz="0" w:space="0" w:color="auto"/>
      </w:divBdr>
    </w:div>
    <w:div w:id="1498572090">
      <w:bodyDiv w:val="1"/>
      <w:marLeft w:val="0"/>
      <w:marRight w:val="0"/>
      <w:marTop w:val="0"/>
      <w:marBottom w:val="0"/>
      <w:divBdr>
        <w:top w:val="none" w:sz="0" w:space="0" w:color="auto"/>
        <w:left w:val="none" w:sz="0" w:space="0" w:color="auto"/>
        <w:bottom w:val="none" w:sz="0" w:space="0" w:color="auto"/>
        <w:right w:val="none" w:sz="0" w:space="0" w:color="auto"/>
      </w:divBdr>
    </w:div>
    <w:div w:id="1520243012">
      <w:bodyDiv w:val="1"/>
      <w:marLeft w:val="0"/>
      <w:marRight w:val="0"/>
      <w:marTop w:val="0"/>
      <w:marBottom w:val="0"/>
      <w:divBdr>
        <w:top w:val="none" w:sz="0" w:space="0" w:color="auto"/>
        <w:left w:val="none" w:sz="0" w:space="0" w:color="auto"/>
        <w:bottom w:val="none" w:sz="0" w:space="0" w:color="auto"/>
        <w:right w:val="none" w:sz="0" w:space="0" w:color="auto"/>
      </w:divBdr>
    </w:div>
    <w:div w:id="1545095860">
      <w:bodyDiv w:val="1"/>
      <w:marLeft w:val="0"/>
      <w:marRight w:val="0"/>
      <w:marTop w:val="0"/>
      <w:marBottom w:val="0"/>
      <w:divBdr>
        <w:top w:val="none" w:sz="0" w:space="0" w:color="auto"/>
        <w:left w:val="none" w:sz="0" w:space="0" w:color="auto"/>
        <w:bottom w:val="none" w:sz="0" w:space="0" w:color="auto"/>
        <w:right w:val="none" w:sz="0" w:space="0" w:color="auto"/>
      </w:divBdr>
    </w:div>
    <w:div w:id="1783114161">
      <w:bodyDiv w:val="1"/>
      <w:marLeft w:val="0"/>
      <w:marRight w:val="0"/>
      <w:marTop w:val="0"/>
      <w:marBottom w:val="0"/>
      <w:divBdr>
        <w:top w:val="none" w:sz="0" w:space="0" w:color="auto"/>
        <w:left w:val="none" w:sz="0" w:space="0" w:color="auto"/>
        <w:bottom w:val="none" w:sz="0" w:space="0" w:color="auto"/>
        <w:right w:val="none" w:sz="0" w:space="0" w:color="auto"/>
      </w:divBdr>
    </w:div>
    <w:div w:id="1885437139">
      <w:bodyDiv w:val="1"/>
      <w:marLeft w:val="0"/>
      <w:marRight w:val="0"/>
      <w:marTop w:val="0"/>
      <w:marBottom w:val="0"/>
      <w:divBdr>
        <w:top w:val="none" w:sz="0" w:space="0" w:color="auto"/>
        <w:left w:val="none" w:sz="0" w:space="0" w:color="auto"/>
        <w:bottom w:val="none" w:sz="0" w:space="0" w:color="auto"/>
        <w:right w:val="none" w:sz="0" w:space="0" w:color="auto"/>
      </w:divBdr>
    </w:div>
    <w:div w:id="1904172835">
      <w:bodyDiv w:val="1"/>
      <w:marLeft w:val="0"/>
      <w:marRight w:val="0"/>
      <w:marTop w:val="0"/>
      <w:marBottom w:val="0"/>
      <w:divBdr>
        <w:top w:val="none" w:sz="0" w:space="0" w:color="auto"/>
        <w:left w:val="none" w:sz="0" w:space="0" w:color="auto"/>
        <w:bottom w:val="none" w:sz="0" w:space="0" w:color="auto"/>
        <w:right w:val="none" w:sz="0" w:space="0" w:color="auto"/>
      </w:divBdr>
    </w:div>
    <w:div w:id="1927110609">
      <w:bodyDiv w:val="1"/>
      <w:marLeft w:val="0"/>
      <w:marRight w:val="0"/>
      <w:marTop w:val="0"/>
      <w:marBottom w:val="0"/>
      <w:divBdr>
        <w:top w:val="none" w:sz="0" w:space="0" w:color="auto"/>
        <w:left w:val="none" w:sz="0" w:space="0" w:color="auto"/>
        <w:bottom w:val="none" w:sz="0" w:space="0" w:color="auto"/>
        <w:right w:val="none" w:sz="0" w:space="0" w:color="auto"/>
      </w:divBdr>
    </w:div>
    <w:div w:id="200474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457824344524E6BBBD8657E9E45A6BB"/>
        <w:category>
          <w:name w:val="General"/>
          <w:gallery w:val="placeholder"/>
        </w:category>
        <w:types>
          <w:type w:val="bbPlcHdr"/>
        </w:types>
        <w:behaviors>
          <w:behavior w:val="content"/>
        </w:behaviors>
        <w:guid w:val="{3425D8BC-881A-4AA7-8480-2276C4E112D7}"/>
      </w:docPartPr>
      <w:docPartBody>
        <w:p w:rsidR="00000000" w:rsidRDefault="008D6F3F" w:rsidP="008D6F3F">
          <w:pPr>
            <w:pStyle w:val="4457824344524E6BBBD8657E9E45A6BB"/>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F3F"/>
    <w:rsid w:val="0071340A"/>
    <w:rsid w:val="008D6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57824344524E6BBBD8657E9E45A6BB">
    <w:name w:val="4457824344524E6BBBD8657E9E45A6BB"/>
    <w:rsid w:val="008D6F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Kli18</b:Tag>
    <b:SourceType>Book</b:SourceType>
    <b:Guid>{4FF30366-C94C-4912-9336-4831971FECB5}</b:Guid>
    <b:LCID>en-GB</b:LCID>
    <b:Author>
      <b:Author>
        <b:NameList>
          <b:Person>
            <b:Last>Klikauer</b:Last>
            <b:First>Thomas</b:First>
          </b:Person>
        </b:NameList>
      </b:Author>
    </b:Author>
    <b:Title>Managing People in Organizations</b:Title>
    <b:Year>2018</b:Year>
    <b:City>London</b:City>
    <b:Publisher>Macmillan International Higher Education</b:Publisher>
    <b:RefOrder>1</b:RefOrder>
  </b:Source>
  <b:Source>
    <b:Tag>Vox20</b:Tag>
    <b:SourceType>InternetSite</b:SourceType>
    <b:Guid>{ED095C53-52F3-4158-914B-C1316532D386}</b:Guid>
    <b:Title>Vox</b:Title>
    <b:Year>2020</b:Year>
    <b:LCID>en-GB</b:LCID>
    <b:Author>
      <b:Author>
        <b:Corporate>Vox</b:Corporate>
      </b:Author>
    </b:Author>
    <b:YearAccessed>2020</b:YearAccessed>
    <b:URL>https://www.vox.com/recode/2020/1/26/21082650/amazon-employees-protest-policy-climate-change-amazon-employees-for-climate-justice</b:URL>
    <b:RefOrder>6</b:RefOrder>
  </b:Source>
  <b:Source>
    <b:Tag>Mit19</b:Tag>
    <b:SourceType>JournalArticle</b:SourceType>
    <b:Guid>{0CDDEAD5-62B0-4A06-B556-F46D46A66843}</b:Guid>
    <b:Title>Human resource development (HRD) resilience: a new ‘success element’ of organizational resilience?</b:Title>
    <b:Year>2019</b:Year>
    <b:LCID>en-GB</b:LCID>
    <b:Author>
      <b:Author>
        <b:NameList>
          <b:Person>
            <b:Last>Mitsakis</b:Last>
            <b:First>Fotios</b:First>
            <b:Middle>V.</b:Middle>
          </b:Person>
        </b:NameList>
      </b:Author>
    </b:Author>
    <b:JournalName>Human Resource Development International</b:JournalName>
    <b:Pages>321-328</b:Pages>
    <b:RefOrder>5</b:RefOrder>
  </b:Source>
  <b:Source>
    <b:Tag>Daw18</b:Tag>
    <b:SourceType>JournalArticle</b:SourceType>
    <b:Guid>{82F2B443-E2CE-4E26-A21E-2651D01E4934}</b:Guid>
    <b:LCID>en-GB</b:LCID>
    <b:Author>
      <b:Author>
        <b:NameList>
          <b:Person>
            <b:Last>Dawson</b:Last>
            <b:First>David</b:First>
          </b:Person>
        </b:NameList>
      </b:Author>
    </b:Author>
    <b:Title>Journal of Business Ethics</b:Title>
    <b:JournalName>Organisational Virtue, Moral Attentiveness, and the Perceived Role of Ethics and Social Responsibility in Business</b:JournalName>
    <b:Year>2018</b:Year>
    <b:Pages>765–781</b:Pages>
    <b:Volume>148</b:Volume>
    <b:RefOrder>7</b:RefOrder>
  </b:Source>
  <b:Source>
    <b:Tag>CIP201</b:Tag>
    <b:SourceType>InternetSite</b:SourceType>
    <b:Guid>{CEBFED68-7CB5-47AD-A101-50710EEF56DE}</b:Guid>
    <b:Title>CIPD</b:Title>
    <b:Year>2020</b:Year>
    <b:LCID>en-GB</b:LCID>
    <b:Author>
      <b:Author>
        <b:Corporate>CIPD</b:Corporate>
      </b:Author>
    </b:Author>
    <b:YearAccessed>2020</b:YearAccessed>
    <b:URL>https://www.dpgplc.co.uk/cipd-professions-for-the-future-profession-map/</b:URL>
    <b:RefOrder>2</b:RefOrder>
  </b:Source>
  <b:Source>
    <b:Tag>Ama201</b:Tag>
    <b:SourceType>InternetSite</b:SourceType>
    <b:Guid>{EC5CE06C-B044-4901-AC9F-ED2097D2236A}</b:Guid>
    <b:LCID>en-GB</b:LCID>
    <b:Author>
      <b:Author>
        <b:Corporate>Amazon</b:Corporate>
      </b:Author>
    </b:Author>
    <b:Title>Amazon</b:Title>
    <b:Year>2020</b:Year>
    <b:YearAccessed>2020</b:YearAccessed>
    <b:URL>https://www.annualreports.com/Company/amazoncom-inc</b:URL>
    <b:RefOrder>3</b:RefOrder>
  </b:Source>
  <b:Source>
    <b:Tag>Arm20</b:Tag>
    <b:SourceType>Book</b:SourceType>
    <b:Guid>{0159AE8A-B354-4A96-A2B6-CB1116D6E0A4}</b:Guid>
    <b:Title>Armstrong's Handbook of Human Resource Management Practice</b:Title>
    <b:Year>2020</b:Year>
    <b:LCID>en-GB</b:LCID>
    <b:Author>
      <b:Author>
        <b:NameList>
          <b:Person>
            <b:Last>Armstrong</b:Last>
            <b:First>Michael</b:First>
          </b:Person>
          <b:Person>
            <b:Last>Taylor</b:Last>
            <b:First>Stephen</b:First>
          </b:Person>
        </b:NameList>
      </b:Author>
    </b:Author>
    <b:City>London</b:City>
    <b:Publisher>Kogan Page Publishers</b:Publisher>
    <b:RefOrder>4</b:RefOrder>
  </b:Source>
  <b:Source>
    <b:Tag>Nan19</b:Tag>
    <b:SourceType>Book</b:SourceType>
    <b:Guid>{D1E7DD94-1D31-4EDD-A1DA-4C78F62EE6D7}</b:Guid>
    <b:LCID>en-GB</b:LCID>
    <b:Author>
      <b:Author>
        <b:NameList>
          <b:Person>
            <b:Last>Nankervis</b:Last>
            <b:First>A.</b:First>
          </b:Person>
          <b:Person>
            <b:Last>Baird</b:Last>
            <b:First>M.</b:First>
          </b:Person>
          <b:Person>
            <b:Last>Coffey</b:Last>
            <b:First>J.</b:First>
          </b:Person>
          <b:Person>
            <b:Last>Shields</b:Last>
            <b:First>J.</b:First>
          </b:Person>
        </b:NameList>
      </b:Author>
    </b:Author>
    <b:Title>Human resource management</b:Title>
    <b:Year>2019</b:Year>
    <b:City>Boston</b:City>
    <b:Publisher>Cengage </b:Publisher>
    <b:RefOrder>8</b:RefOrder>
  </b:Source>
  <b:Source>
    <b:Tag>Hou191</b:Tag>
    <b:SourceType>JournalArticle</b:SourceType>
    <b:Guid>{153A1755-1967-4A01-AF85-429B07A32394}</b:Guid>
    <b:Title>Sustainable HR: a 'green' fad, or a realistic model for change?</b:Title>
    <b:Year>2019</b:Year>
    <b:LCID>en-GB</b:LCID>
    <b:Author>
      <b:Author>
        <b:NameList>
          <b:Person>
            <b:Last>Houghton</b:Last>
            <b:First>Ed</b:First>
          </b:Person>
        </b:NameList>
      </b:Author>
    </b:Author>
    <b:JournalName>CIPD</b:JournalName>
    <b:RefOrder>10</b:RefOrder>
  </b:Source>
  <b:Source>
    <b:Tag>CIP202</b:Tag>
    <b:SourceType>ArticleInAPeriodical</b:SourceType>
    <b:Guid>{07926738-E010-4DBF-A8FD-3926DFB34DB2}</b:Guid>
    <b:LCID>en-GB</b:LCID>
    <b:Author>
      <b:Author>
        <b:Corporate>CIPD</b:Corporate>
      </b:Author>
    </b:Author>
    <b:Title>Resourcing and talent planning survey 2020</b:Title>
    <b:Year>2020</b:Year>
    <b:PeriodicalTitle> Chartered Institute of Personnel and Development</b:PeriodicalTitle>
    <b:RefOrder>9</b:RefOrder>
  </b:Source>
  <b:Source>
    <b:Tag>Dia18</b:Tag>
    <b:SourceType>JournalArticle</b:SourceType>
    <b:Guid>{BF1A9285-0BCB-4888-AAA1-FADC9B29F477}</b:Guid>
    <b:Title>Developing a sustainable HRM system from a contextual perspective</b:Title>
    <b:Year>2018</b:Year>
    <b:Pages>1143-1153</b:Pages>
    <b:LCID>en-GB</b:LCID>
    <b:Author>
      <b:Author>
        <b:NameList>
          <b:Person>
            <b:Last>Diaz‐Carrion</b:Last>
            <b:First>R.</b:First>
          </b:Person>
          <b:Person>
            <b:Last>López‐Fernández</b:Last>
            <b:First>M.</b:First>
          </b:Person>
          <b:Person>
            <b:Last>Romero‐Fernandez</b:Last>
            <b:First>P.M.</b:First>
          </b:Person>
        </b:NameList>
      </b:Author>
    </b:Author>
    <b:JournalName>Corporate Social Responsibility and Environmental Management</b:JournalName>
    <b:Volume>25</b:Volume>
    <b:Issue>6</b:Issue>
    <b:RefOrder>11</b:RefOrder>
  </b:Source>
  <b:Source>
    <b:Tag>Coe17</b:Tag>
    <b:SourceType>JournalArticle</b:SourceType>
    <b:Guid>{205717F4-D376-4C63-9510-F0D32BCE48C9}</b:Guid>
    <b:LCID>en-GB</b:LCID>
    <b:Author>
      <b:Author>
        <b:NameList>
          <b:Person>
            <b:Last>Coetzer</b:Last>
            <b:First>A.</b:First>
          </b:Person>
          <b:Person>
            <b:Last>Inma</b:Last>
            <b:First>C.</b:First>
          </b:Person>
          <b:Person>
            <b:Last>Poisat</b:Last>
            <b:First>P.</b:First>
          </b:Person>
        </b:NameList>
      </b:Author>
    </b:Author>
    <b:Title>The job embeddedness-turnover relationship</b:Title>
    <b:JournalName>Personnel Review</b:JournalName>
    <b:Year>2017</b:Year>
    <b:RefOrder>14</b:RefOrder>
  </b:Source>
  <b:Source>
    <b:Tag>Rud17</b:Tag>
    <b:SourceType>JournalArticle</b:SourceType>
    <b:Guid>{EEFFA85C-8199-42EA-B7E8-EC2402FFD7E9}</b:Guid>
    <b:LCID>en-GB</b:LCID>
    <b:Author>
      <b:Author>
        <b:NameList>
          <b:Person>
            <b:Last>Rudolph</b:Last>
            <b:First>C.W.</b:First>
          </b:Person>
          <b:Person>
            <b:Last>Toomey</b:Last>
            <b:First>E.C.</b:First>
          </b:Person>
          <b:Person>
            <b:Last>Baltes</b:Last>
            <b:First>B.B.</b:First>
          </b:Person>
        </b:NameList>
      </b:Author>
    </b:Author>
    <b:Title>Considering age diversity in recruitment and selection: An expanded work lifespan view of age management</b:Title>
    <b:JournalName>In The Palgrave handbook of age diversity and work</b:JournalName>
    <b:Year>2017</b:Year>
    <b:Pages>607-638</b:Pages>
    <b:RefOrder>15</b:RefOrder>
  </b:Source>
  <b:Source>
    <b:Tag>Rug16</b:Tag>
    <b:SourceType>JournalArticle</b:SourceType>
    <b:Guid>{1306BDB6-51B8-4D62-A622-B01DC0CF70F0}</b:Guid>
    <b:LCID>en-GB</b:LCID>
    <b:Author>
      <b:Author>
        <b:NameList>
          <b:Person>
            <b:Last>Ruggs</b:Last>
            <b:First>E.N.</b:First>
          </b:Person>
          <b:Person>
            <b:Last>Walker</b:Last>
            <b:First>S.S.</b:First>
          </b:Person>
          <b:Person>
            <b:Last>Blanchard</b:Last>
            <b:First>A.</b:First>
          </b:Person>
          <b:Person>
            <b:Last>Gur</b:Last>
            <b:First>S.</b:First>
          </b:Person>
        </b:NameList>
      </b:Author>
    </b:Author>
    <b:Title>Online exclusion: Biases that may arise when using social media in talent acquisition</b:Title>
    <b:JournalName>In Social media in employee selection and recruitment</b:JournalName>
    <b:Year>2016</b:Year>
    <b:Pages>289-305</b:Pages>
    <b:RefOrder>12</b:RefOrder>
  </b:Source>
  <b:Source>
    <b:Tag>Dim19</b:Tag>
    <b:SourceType>ArticleInAPeriodical</b:SourceType>
    <b:Guid>{187FB448-A30A-4D73-B026-3F8F5CBEC61F}</b:Guid>
    <b:Title>Why Amazon’s Attrition is Higher than Attrition at Other Tech Companies</b:Title>
    <b:Year>2019</b:Year>
    <b:LCID>en-GB</b:LCID>
    <b:Author>
      <b:Author>
        <b:NameList>
          <b:Person>
            <b:Last>Dimitrov</b:Last>
            <b:First>Nick</b:First>
          </b:Person>
        </b:NameList>
      </b:Author>
    </b:Author>
    <b:PeriodicalTitle>Medium</b:PeriodicalTitle>
    <b:RefOrder>13</b:RefOrder>
  </b:Source>
</b:Sources>
</file>

<file path=customXml/itemProps1.xml><?xml version="1.0" encoding="utf-8"?>
<ds:datastoreItem xmlns:ds="http://schemas.openxmlformats.org/officeDocument/2006/customXml" ds:itemID="{82DB19DC-6747-4112-81B2-1EE61D323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11</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Carnu, Cosmin-Ionut</cp:lastModifiedBy>
  <cp:revision>3</cp:revision>
  <dcterms:created xsi:type="dcterms:W3CDTF">2020-11-25T05:51:00Z</dcterms:created>
  <dcterms:modified xsi:type="dcterms:W3CDTF">2020-12-15T16:22:00Z</dcterms:modified>
</cp:coreProperties>
</file>