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98F47" w14:textId="77777777" w:rsidR="005E4C23" w:rsidRPr="005E4C23" w:rsidRDefault="005E4C23" w:rsidP="005E4C23">
      <w:pPr>
        <w:pStyle w:val="Heading1"/>
        <w:jc w:val="center"/>
        <w:rPr>
          <w:sz w:val="44"/>
        </w:rPr>
      </w:pPr>
      <w:bookmarkStart w:id="0" w:name="_Toc236260956"/>
      <w:r w:rsidRPr="005E4C23">
        <w:rPr>
          <w:sz w:val="44"/>
        </w:rPr>
        <w:t>Report on Coronary Heart Disease</w:t>
      </w:r>
      <w:bookmarkEnd w:id="0"/>
    </w:p>
    <w:p w14:paraId="7BFA74F9" w14:textId="77777777" w:rsidR="005E4C23" w:rsidRPr="005E4C23" w:rsidRDefault="005E4C23" w:rsidP="005E4C23">
      <w:pPr>
        <w:pStyle w:val="Heading2"/>
        <w:spacing w:before="120" w:beforeAutospacing="0" w:after="120" w:afterAutospacing="0" w:line="360" w:lineRule="auto"/>
        <w:jc w:val="center"/>
        <w:rPr>
          <w:sz w:val="40"/>
        </w:rPr>
      </w:pPr>
      <w:bookmarkStart w:id="1" w:name="_Toc236260957"/>
      <w:r w:rsidRPr="005E4C23">
        <w:rPr>
          <w:sz w:val="40"/>
        </w:rPr>
        <w:t>Module Information</w:t>
      </w:r>
      <w:bookmarkEnd w:id="1"/>
    </w:p>
    <w:p w14:paraId="52668106" w14:textId="77777777" w:rsidR="005E4C23" w:rsidRPr="005E4C23" w:rsidRDefault="005E4C23" w:rsidP="005E4C23">
      <w:pPr>
        <w:spacing w:line="360" w:lineRule="auto"/>
        <w:jc w:val="center"/>
        <w:rPr>
          <w:b/>
          <w:sz w:val="36"/>
        </w:rPr>
      </w:pPr>
      <w:r w:rsidRPr="005E4C23">
        <w:rPr>
          <w:b/>
          <w:bCs/>
          <w:sz w:val="36"/>
        </w:rPr>
        <w:t>Module Title:</w:t>
      </w:r>
      <w:r w:rsidRPr="005E4C23">
        <w:rPr>
          <w:b/>
          <w:sz w:val="36"/>
        </w:rPr>
        <w:t xml:space="preserve"> Introduction to Public Health</w:t>
      </w:r>
      <w:r w:rsidRPr="005E4C23">
        <w:rPr>
          <w:b/>
          <w:sz w:val="36"/>
        </w:rPr>
        <w:br/>
      </w:r>
      <w:r w:rsidRPr="005E4C23">
        <w:rPr>
          <w:b/>
          <w:bCs/>
          <w:sz w:val="36"/>
        </w:rPr>
        <w:t>Module Code:</w:t>
      </w:r>
      <w:r w:rsidRPr="005E4C23">
        <w:rPr>
          <w:b/>
          <w:sz w:val="36"/>
        </w:rPr>
        <w:t xml:space="preserve"> LCHS4008</w:t>
      </w:r>
    </w:p>
    <w:p w14:paraId="417093BA" w14:textId="77777777" w:rsidR="005E4C23" w:rsidRPr="005E4C23" w:rsidRDefault="00B764FA" w:rsidP="005E4C23">
      <w:pPr>
        <w:spacing w:line="360" w:lineRule="auto"/>
        <w:jc w:val="center"/>
        <w:rPr>
          <w:b/>
          <w:sz w:val="36"/>
        </w:rPr>
      </w:pPr>
      <w:r>
        <w:rPr>
          <w:b/>
          <w:noProof/>
          <w:sz w:val="36"/>
        </w:rPr>
        <w:pict w14:anchorId="3D815D23">
          <v:rect id="_x0000_i1025" style="width:0;height:1.5pt" o:hralign="center" o:hrstd="t" o:hr="t" fillcolor="#a0a0a0" stroked="f"/>
        </w:pict>
      </w:r>
    </w:p>
    <w:p w14:paraId="16E02A87" w14:textId="77777777" w:rsidR="005E4C23" w:rsidRPr="005E4C23" w:rsidRDefault="005E4C23" w:rsidP="005E4C23">
      <w:pPr>
        <w:spacing w:line="360" w:lineRule="auto"/>
        <w:jc w:val="center"/>
        <w:rPr>
          <w:b/>
          <w:sz w:val="36"/>
        </w:rPr>
      </w:pPr>
      <w:r w:rsidRPr="005E4C23">
        <w:rPr>
          <w:b/>
          <w:bCs/>
          <w:sz w:val="36"/>
        </w:rPr>
        <w:t>Assignment Title:</w:t>
      </w:r>
      <w:r w:rsidRPr="005E4C23">
        <w:rPr>
          <w:b/>
          <w:sz w:val="36"/>
        </w:rPr>
        <w:t xml:space="preserve"> Component 2 – Report on a Health Issue</w:t>
      </w:r>
    </w:p>
    <w:p w14:paraId="30CC3C5C" w14:textId="77777777" w:rsidR="005E4C23" w:rsidRPr="005E4C23" w:rsidRDefault="005E4C23" w:rsidP="005E4C23">
      <w:pPr>
        <w:spacing w:line="360" w:lineRule="auto"/>
        <w:jc w:val="center"/>
        <w:rPr>
          <w:b/>
          <w:sz w:val="36"/>
        </w:rPr>
      </w:pPr>
      <w:r w:rsidRPr="005E4C23">
        <w:rPr>
          <w:b/>
          <w:bCs/>
          <w:sz w:val="36"/>
        </w:rPr>
        <w:t>Chosen Health Issue:</w:t>
      </w:r>
      <w:r w:rsidRPr="005E4C23">
        <w:rPr>
          <w:b/>
          <w:sz w:val="36"/>
        </w:rPr>
        <w:t xml:space="preserve"> Coronary Heart Disease (CHD)</w:t>
      </w:r>
    </w:p>
    <w:p w14:paraId="26345B8F" w14:textId="77777777" w:rsidR="005E4C23" w:rsidRPr="005E4C23" w:rsidRDefault="00B764FA" w:rsidP="005E4C23">
      <w:pPr>
        <w:spacing w:line="360" w:lineRule="auto"/>
        <w:jc w:val="center"/>
        <w:rPr>
          <w:b/>
          <w:sz w:val="36"/>
        </w:rPr>
      </w:pPr>
      <w:r>
        <w:rPr>
          <w:b/>
          <w:noProof/>
          <w:sz w:val="36"/>
        </w:rPr>
        <w:pict w14:anchorId="2E2D35CF">
          <v:rect id="_x0000_i1026" style="width:0;height:1.5pt" o:hralign="center" o:hrstd="t" o:hr="t" fillcolor="#a0a0a0" stroked="f"/>
        </w:pict>
      </w:r>
    </w:p>
    <w:p w14:paraId="41A93106" w14:textId="5020C8E8" w:rsidR="005E4C23" w:rsidRPr="005E4C23" w:rsidRDefault="005E4C23" w:rsidP="005E4C23">
      <w:pPr>
        <w:spacing w:line="360" w:lineRule="auto"/>
        <w:jc w:val="center"/>
        <w:rPr>
          <w:b/>
          <w:sz w:val="36"/>
        </w:rPr>
      </w:pPr>
      <w:r w:rsidRPr="005E4C23">
        <w:rPr>
          <w:b/>
          <w:bCs/>
          <w:sz w:val="36"/>
        </w:rPr>
        <w:t>Student ID Number:</w:t>
      </w:r>
      <w:r w:rsidRPr="005E4C23">
        <w:rPr>
          <w:b/>
          <w:sz w:val="36"/>
        </w:rPr>
        <w:t xml:space="preserve"> </w:t>
      </w:r>
      <w:r w:rsidR="00534505">
        <w:rPr>
          <w:b/>
          <w:sz w:val="36"/>
        </w:rPr>
        <w:t>2522002</w:t>
      </w:r>
    </w:p>
    <w:p w14:paraId="12CA963D" w14:textId="77777777" w:rsidR="005E4C23" w:rsidRPr="005E4C23" w:rsidRDefault="00B764FA" w:rsidP="005E4C23">
      <w:pPr>
        <w:spacing w:line="360" w:lineRule="auto"/>
        <w:jc w:val="center"/>
        <w:rPr>
          <w:b/>
          <w:sz w:val="36"/>
        </w:rPr>
      </w:pPr>
      <w:r>
        <w:rPr>
          <w:b/>
          <w:noProof/>
          <w:sz w:val="36"/>
        </w:rPr>
        <w:pict w14:anchorId="196EF746">
          <v:rect id="_x0000_i1027" style="width:0;height:1.5pt" o:hralign="center" o:hrstd="t" o:hr="t" fillcolor="#a0a0a0" stroked="f"/>
        </w:pict>
      </w:r>
    </w:p>
    <w:p w14:paraId="00F25A96" w14:textId="77777777" w:rsidR="005E4C23" w:rsidRPr="005E4C23" w:rsidRDefault="005E4C23" w:rsidP="005E4C23">
      <w:pPr>
        <w:spacing w:line="360" w:lineRule="auto"/>
        <w:jc w:val="center"/>
        <w:rPr>
          <w:b/>
          <w:sz w:val="36"/>
        </w:rPr>
      </w:pPr>
      <w:r w:rsidRPr="005E4C23">
        <w:rPr>
          <w:b/>
          <w:bCs/>
          <w:sz w:val="36"/>
        </w:rPr>
        <w:t>Module Leader:</w:t>
      </w:r>
      <w:r w:rsidRPr="005E4C23">
        <w:rPr>
          <w:b/>
          <w:sz w:val="36"/>
        </w:rPr>
        <w:t xml:space="preserve"> Dr Patronella Ganza</w:t>
      </w:r>
    </w:p>
    <w:p w14:paraId="6C89D759" w14:textId="77777777" w:rsidR="005E4C23" w:rsidRPr="005E4C23" w:rsidRDefault="00B764FA" w:rsidP="005E4C23">
      <w:pPr>
        <w:spacing w:line="360" w:lineRule="auto"/>
        <w:jc w:val="center"/>
        <w:rPr>
          <w:b/>
          <w:sz w:val="36"/>
        </w:rPr>
      </w:pPr>
      <w:r>
        <w:rPr>
          <w:b/>
          <w:noProof/>
          <w:sz w:val="36"/>
        </w:rPr>
        <w:pict w14:anchorId="534E8345">
          <v:rect id="_x0000_i1028" style="width:0;height:1.5pt" o:hralign="center" o:hrstd="t" o:hr="t" fillcolor="#a0a0a0" stroked="f"/>
        </w:pict>
      </w:r>
    </w:p>
    <w:p w14:paraId="7F176DA3" w14:textId="77777777" w:rsidR="005E4C23" w:rsidRPr="005E4C23" w:rsidRDefault="005E4C23" w:rsidP="005E4C23">
      <w:pPr>
        <w:spacing w:line="360" w:lineRule="auto"/>
        <w:jc w:val="center"/>
        <w:rPr>
          <w:b/>
          <w:sz w:val="36"/>
        </w:rPr>
      </w:pPr>
      <w:r w:rsidRPr="005E4C23">
        <w:rPr>
          <w:b/>
          <w:bCs/>
          <w:sz w:val="36"/>
        </w:rPr>
        <w:t>Word Count:</w:t>
      </w:r>
      <w:r w:rsidRPr="005E4C23">
        <w:rPr>
          <w:b/>
          <w:sz w:val="36"/>
        </w:rPr>
        <w:t xml:space="preserve"> 1500</w:t>
      </w:r>
    </w:p>
    <w:p w14:paraId="40D5F8A1" w14:textId="77777777" w:rsidR="005E4C23" w:rsidRPr="005E4C23" w:rsidRDefault="005E4C23" w:rsidP="005E4C23">
      <w:pPr>
        <w:spacing w:line="360" w:lineRule="auto"/>
        <w:jc w:val="center"/>
        <w:rPr>
          <w:b/>
          <w:sz w:val="36"/>
        </w:rPr>
      </w:pPr>
      <w:r w:rsidRPr="005E4C23">
        <w:rPr>
          <w:b/>
          <w:bCs/>
          <w:sz w:val="36"/>
        </w:rPr>
        <w:t>Submission Date:</w:t>
      </w:r>
      <w:r w:rsidRPr="005E4C23">
        <w:rPr>
          <w:b/>
          <w:sz w:val="36"/>
        </w:rPr>
        <w:t xml:space="preserve"> 1</w:t>
      </w:r>
      <w:r w:rsidRPr="005E4C23">
        <w:rPr>
          <w:b/>
          <w:bCs/>
          <w:sz w:val="36"/>
        </w:rPr>
        <w:t>8 August 2026</w:t>
      </w:r>
    </w:p>
    <w:p w14:paraId="6BB02069" w14:textId="77777777" w:rsidR="005E4C23" w:rsidRDefault="005E4C23" w:rsidP="005E4C23">
      <w:pPr>
        <w:pStyle w:val="Heading1"/>
      </w:pPr>
    </w:p>
    <w:p w14:paraId="5ED859DF" w14:textId="77777777" w:rsidR="005E4C23" w:rsidRDefault="005E4C23" w:rsidP="005E4C23">
      <w:pPr>
        <w:pStyle w:val="Heading1"/>
      </w:pPr>
    </w:p>
    <w:sdt>
      <w:sdtPr>
        <w:rPr>
          <w:rFonts w:asciiTheme="minorHAnsi" w:eastAsiaTheme="minorHAnsi" w:hAnsiTheme="minorHAnsi" w:cstheme="minorBidi"/>
          <w:b w:val="0"/>
          <w:bCs w:val="0"/>
          <w:color w:val="auto"/>
          <w:sz w:val="22"/>
          <w:szCs w:val="22"/>
          <w:lang w:val="en-GB" w:eastAsia="en-US"/>
        </w:rPr>
        <w:id w:val="-200397975"/>
        <w:docPartObj>
          <w:docPartGallery w:val="Table of Contents"/>
          <w:docPartUnique/>
        </w:docPartObj>
      </w:sdtPr>
      <w:sdtEndPr>
        <w:rPr>
          <w:noProof/>
        </w:rPr>
      </w:sdtEndPr>
      <w:sdtContent>
        <w:p w14:paraId="2CFCB846" w14:textId="77777777" w:rsidR="005E4C23" w:rsidRDefault="005E4C23" w:rsidP="0049129B">
          <w:pPr>
            <w:pStyle w:val="TOCHeading"/>
          </w:pPr>
          <w:r>
            <w:t>Contents</w:t>
          </w:r>
          <w:r>
            <w:fldChar w:fldCharType="begin"/>
          </w:r>
          <w:r>
            <w:instrText xml:space="preserve"> TOC \o "1-3" \h \z \u </w:instrText>
          </w:r>
          <w:r>
            <w:fldChar w:fldCharType="separate"/>
          </w:r>
        </w:p>
        <w:p w14:paraId="76361D5C" w14:textId="77777777" w:rsidR="005E4C23" w:rsidRPr="0049129B" w:rsidRDefault="00B764FA" w:rsidP="0049129B">
          <w:pPr>
            <w:pStyle w:val="TOC1"/>
            <w:tabs>
              <w:tab w:val="right" w:leader="dot" w:pos="9350"/>
            </w:tabs>
            <w:spacing w:line="360" w:lineRule="auto"/>
            <w:jc w:val="both"/>
            <w:rPr>
              <w:rFonts w:ascii="Times New Roman" w:hAnsi="Times New Roman" w:cs="Times New Roman"/>
              <w:noProof/>
              <w:sz w:val="24"/>
              <w:szCs w:val="24"/>
            </w:rPr>
          </w:pPr>
          <w:hyperlink w:anchor="_Toc236260958" w:history="1">
            <w:r w:rsidR="005E4C23" w:rsidRPr="0049129B">
              <w:rPr>
                <w:rStyle w:val="Hyperlink"/>
                <w:rFonts w:ascii="Times New Roman" w:hAnsi="Times New Roman" w:cs="Times New Roman"/>
                <w:noProof/>
                <w:sz w:val="24"/>
                <w:szCs w:val="24"/>
              </w:rPr>
              <w:t>Introduction</w:t>
            </w:r>
            <w:r w:rsidR="005E4C23" w:rsidRPr="0049129B">
              <w:rPr>
                <w:rFonts w:ascii="Times New Roman" w:hAnsi="Times New Roman" w:cs="Times New Roman"/>
                <w:noProof/>
                <w:webHidden/>
                <w:sz w:val="24"/>
                <w:szCs w:val="24"/>
              </w:rPr>
              <w:tab/>
            </w:r>
            <w:r w:rsidR="005E4C23" w:rsidRPr="0049129B">
              <w:rPr>
                <w:rFonts w:ascii="Times New Roman" w:hAnsi="Times New Roman" w:cs="Times New Roman"/>
                <w:noProof/>
                <w:webHidden/>
                <w:sz w:val="24"/>
                <w:szCs w:val="24"/>
              </w:rPr>
              <w:fldChar w:fldCharType="begin"/>
            </w:r>
            <w:r w:rsidR="005E4C23" w:rsidRPr="0049129B">
              <w:rPr>
                <w:rFonts w:ascii="Times New Roman" w:hAnsi="Times New Roman" w:cs="Times New Roman"/>
                <w:noProof/>
                <w:webHidden/>
                <w:sz w:val="24"/>
                <w:szCs w:val="24"/>
              </w:rPr>
              <w:instrText xml:space="preserve"> PAGEREF _Toc236260958 \h </w:instrText>
            </w:r>
            <w:r w:rsidR="005E4C23" w:rsidRPr="0049129B">
              <w:rPr>
                <w:rFonts w:ascii="Times New Roman" w:hAnsi="Times New Roman" w:cs="Times New Roman"/>
                <w:noProof/>
                <w:webHidden/>
                <w:sz w:val="24"/>
                <w:szCs w:val="24"/>
              </w:rPr>
            </w:r>
            <w:r w:rsidR="005E4C23" w:rsidRPr="0049129B">
              <w:rPr>
                <w:rFonts w:ascii="Times New Roman" w:hAnsi="Times New Roman" w:cs="Times New Roman"/>
                <w:noProof/>
                <w:webHidden/>
                <w:sz w:val="24"/>
                <w:szCs w:val="24"/>
              </w:rPr>
              <w:fldChar w:fldCharType="separate"/>
            </w:r>
            <w:r w:rsidR="005E4C23" w:rsidRPr="0049129B">
              <w:rPr>
                <w:rFonts w:ascii="Times New Roman" w:hAnsi="Times New Roman" w:cs="Times New Roman"/>
                <w:noProof/>
                <w:webHidden/>
                <w:sz w:val="24"/>
                <w:szCs w:val="24"/>
              </w:rPr>
              <w:t>2</w:t>
            </w:r>
            <w:r w:rsidR="005E4C23" w:rsidRPr="0049129B">
              <w:rPr>
                <w:rFonts w:ascii="Times New Roman" w:hAnsi="Times New Roman" w:cs="Times New Roman"/>
                <w:noProof/>
                <w:webHidden/>
                <w:sz w:val="24"/>
                <w:szCs w:val="24"/>
              </w:rPr>
              <w:fldChar w:fldCharType="end"/>
            </w:r>
          </w:hyperlink>
        </w:p>
        <w:p w14:paraId="15113AA6" w14:textId="77777777" w:rsidR="005E4C23" w:rsidRPr="0049129B" w:rsidRDefault="00B764FA" w:rsidP="0049129B">
          <w:pPr>
            <w:pStyle w:val="TOC1"/>
            <w:tabs>
              <w:tab w:val="right" w:leader="dot" w:pos="9350"/>
            </w:tabs>
            <w:spacing w:line="360" w:lineRule="auto"/>
            <w:jc w:val="both"/>
            <w:rPr>
              <w:rFonts w:ascii="Times New Roman" w:hAnsi="Times New Roman" w:cs="Times New Roman"/>
              <w:noProof/>
              <w:sz w:val="24"/>
              <w:szCs w:val="24"/>
            </w:rPr>
          </w:pPr>
          <w:hyperlink w:anchor="_Toc236260959" w:history="1">
            <w:r w:rsidR="005E4C23" w:rsidRPr="0049129B">
              <w:rPr>
                <w:rStyle w:val="Hyperlink"/>
                <w:rFonts w:ascii="Times New Roman" w:hAnsi="Times New Roman" w:cs="Times New Roman"/>
                <w:noProof/>
                <w:sz w:val="24"/>
                <w:szCs w:val="24"/>
              </w:rPr>
              <w:t>Approaches to Measuring and Monitoring Coronary Heart Disease</w:t>
            </w:r>
            <w:r w:rsidR="005E4C23" w:rsidRPr="0049129B">
              <w:rPr>
                <w:rFonts w:ascii="Times New Roman" w:hAnsi="Times New Roman" w:cs="Times New Roman"/>
                <w:noProof/>
                <w:webHidden/>
                <w:sz w:val="24"/>
                <w:szCs w:val="24"/>
              </w:rPr>
              <w:tab/>
            </w:r>
            <w:r w:rsidR="005E4C23" w:rsidRPr="0049129B">
              <w:rPr>
                <w:rFonts w:ascii="Times New Roman" w:hAnsi="Times New Roman" w:cs="Times New Roman"/>
                <w:noProof/>
                <w:webHidden/>
                <w:sz w:val="24"/>
                <w:szCs w:val="24"/>
              </w:rPr>
              <w:fldChar w:fldCharType="begin"/>
            </w:r>
            <w:r w:rsidR="005E4C23" w:rsidRPr="0049129B">
              <w:rPr>
                <w:rFonts w:ascii="Times New Roman" w:hAnsi="Times New Roman" w:cs="Times New Roman"/>
                <w:noProof/>
                <w:webHidden/>
                <w:sz w:val="24"/>
                <w:szCs w:val="24"/>
              </w:rPr>
              <w:instrText xml:space="preserve"> PAGEREF _Toc236260959 \h </w:instrText>
            </w:r>
            <w:r w:rsidR="005E4C23" w:rsidRPr="0049129B">
              <w:rPr>
                <w:rFonts w:ascii="Times New Roman" w:hAnsi="Times New Roman" w:cs="Times New Roman"/>
                <w:noProof/>
                <w:webHidden/>
                <w:sz w:val="24"/>
                <w:szCs w:val="24"/>
              </w:rPr>
            </w:r>
            <w:r w:rsidR="005E4C23" w:rsidRPr="0049129B">
              <w:rPr>
                <w:rFonts w:ascii="Times New Roman" w:hAnsi="Times New Roman" w:cs="Times New Roman"/>
                <w:noProof/>
                <w:webHidden/>
                <w:sz w:val="24"/>
                <w:szCs w:val="24"/>
              </w:rPr>
              <w:fldChar w:fldCharType="separate"/>
            </w:r>
            <w:r w:rsidR="005E4C23" w:rsidRPr="0049129B">
              <w:rPr>
                <w:rFonts w:ascii="Times New Roman" w:hAnsi="Times New Roman" w:cs="Times New Roman"/>
                <w:noProof/>
                <w:webHidden/>
                <w:sz w:val="24"/>
                <w:szCs w:val="24"/>
              </w:rPr>
              <w:t>2</w:t>
            </w:r>
            <w:r w:rsidR="005E4C23" w:rsidRPr="0049129B">
              <w:rPr>
                <w:rFonts w:ascii="Times New Roman" w:hAnsi="Times New Roman" w:cs="Times New Roman"/>
                <w:noProof/>
                <w:webHidden/>
                <w:sz w:val="24"/>
                <w:szCs w:val="24"/>
              </w:rPr>
              <w:fldChar w:fldCharType="end"/>
            </w:r>
          </w:hyperlink>
        </w:p>
        <w:p w14:paraId="5103BF41" w14:textId="77777777" w:rsidR="005E4C23" w:rsidRPr="0049129B" w:rsidRDefault="00B764FA" w:rsidP="0049129B">
          <w:pPr>
            <w:pStyle w:val="TOC1"/>
            <w:tabs>
              <w:tab w:val="right" w:leader="dot" w:pos="9350"/>
            </w:tabs>
            <w:spacing w:line="360" w:lineRule="auto"/>
            <w:jc w:val="both"/>
            <w:rPr>
              <w:rFonts w:ascii="Times New Roman" w:hAnsi="Times New Roman" w:cs="Times New Roman"/>
              <w:noProof/>
              <w:sz w:val="24"/>
              <w:szCs w:val="24"/>
            </w:rPr>
          </w:pPr>
          <w:hyperlink w:anchor="_Toc236260960" w:history="1">
            <w:r w:rsidR="005E4C23" w:rsidRPr="0049129B">
              <w:rPr>
                <w:rStyle w:val="Hyperlink"/>
                <w:rFonts w:ascii="Times New Roman" w:hAnsi="Times New Roman" w:cs="Times New Roman"/>
                <w:noProof/>
                <w:sz w:val="24"/>
                <w:szCs w:val="24"/>
              </w:rPr>
              <w:t>Strategies for Control of Coronary Heart Disease</w:t>
            </w:r>
            <w:r w:rsidR="005E4C23" w:rsidRPr="0049129B">
              <w:rPr>
                <w:rFonts w:ascii="Times New Roman" w:hAnsi="Times New Roman" w:cs="Times New Roman"/>
                <w:noProof/>
                <w:webHidden/>
                <w:sz w:val="24"/>
                <w:szCs w:val="24"/>
              </w:rPr>
              <w:tab/>
            </w:r>
            <w:r w:rsidR="005E4C23" w:rsidRPr="0049129B">
              <w:rPr>
                <w:rFonts w:ascii="Times New Roman" w:hAnsi="Times New Roman" w:cs="Times New Roman"/>
                <w:noProof/>
                <w:webHidden/>
                <w:sz w:val="24"/>
                <w:szCs w:val="24"/>
              </w:rPr>
              <w:fldChar w:fldCharType="begin"/>
            </w:r>
            <w:r w:rsidR="005E4C23" w:rsidRPr="0049129B">
              <w:rPr>
                <w:rFonts w:ascii="Times New Roman" w:hAnsi="Times New Roman" w:cs="Times New Roman"/>
                <w:noProof/>
                <w:webHidden/>
                <w:sz w:val="24"/>
                <w:szCs w:val="24"/>
              </w:rPr>
              <w:instrText xml:space="preserve"> PAGEREF _Toc236260960 \h </w:instrText>
            </w:r>
            <w:r w:rsidR="005E4C23" w:rsidRPr="0049129B">
              <w:rPr>
                <w:rFonts w:ascii="Times New Roman" w:hAnsi="Times New Roman" w:cs="Times New Roman"/>
                <w:noProof/>
                <w:webHidden/>
                <w:sz w:val="24"/>
                <w:szCs w:val="24"/>
              </w:rPr>
            </w:r>
            <w:r w:rsidR="005E4C23" w:rsidRPr="0049129B">
              <w:rPr>
                <w:rFonts w:ascii="Times New Roman" w:hAnsi="Times New Roman" w:cs="Times New Roman"/>
                <w:noProof/>
                <w:webHidden/>
                <w:sz w:val="24"/>
                <w:szCs w:val="24"/>
              </w:rPr>
              <w:fldChar w:fldCharType="separate"/>
            </w:r>
            <w:r w:rsidR="005E4C23" w:rsidRPr="0049129B">
              <w:rPr>
                <w:rFonts w:ascii="Times New Roman" w:hAnsi="Times New Roman" w:cs="Times New Roman"/>
                <w:noProof/>
                <w:webHidden/>
                <w:sz w:val="24"/>
                <w:szCs w:val="24"/>
              </w:rPr>
              <w:t>4</w:t>
            </w:r>
            <w:r w:rsidR="005E4C23" w:rsidRPr="0049129B">
              <w:rPr>
                <w:rFonts w:ascii="Times New Roman" w:hAnsi="Times New Roman" w:cs="Times New Roman"/>
                <w:noProof/>
                <w:webHidden/>
                <w:sz w:val="24"/>
                <w:szCs w:val="24"/>
              </w:rPr>
              <w:fldChar w:fldCharType="end"/>
            </w:r>
          </w:hyperlink>
        </w:p>
        <w:p w14:paraId="17CD0F5C" w14:textId="77777777" w:rsidR="005E4C23" w:rsidRPr="0049129B" w:rsidRDefault="00B764FA" w:rsidP="0049129B">
          <w:pPr>
            <w:pStyle w:val="TOC1"/>
            <w:tabs>
              <w:tab w:val="right" w:leader="dot" w:pos="9350"/>
            </w:tabs>
            <w:spacing w:line="360" w:lineRule="auto"/>
            <w:jc w:val="both"/>
            <w:rPr>
              <w:rFonts w:ascii="Times New Roman" w:hAnsi="Times New Roman" w:cs="Times New Roman"/>
              <w:noProof/>
              <w:sz w:val="24"/>
              <w:szCs w:val="24"/>
            </w:rPr>
          </w:pPr>
          <w:hyperlink w:anchor="_Toc236260961" w:history="1">
            <w:r w:rsidR="005E4C23" w:rsidRPr="0049129B">
              <w:rPr>
                <w:rStyle w:val="Hyperlink"/>
                <w:rFonts w:ascii="Times New Roman" w:hAnsi="Times New Roman" w:cs="Times New Roman"/>
                <w:noProof/>
                <w:sz w:val="24"/>
                <w:szCs w:val="24"/>
              </w:rPr>
              <w:t>Consequences of Coronary Heart Disease for Individuals and Communities</w:t>
            </w:r>
            <w:r w:rsidR="005E4C23" w:rsidRPr="0049129B">
              <w:rPr>
                <w:rFonts w:ascii="Times New Roman" w:hAnsi="Times New Roman" w:cs="Times New Roman"/>
                <w:noProof/>
                <w:webHidden/>
                <w:sz w:val="24"/>
                <w:szCs w:val="24"/>
              </w:rPr>
              <w:tab/>
            </w:r>
            <w:r w:rsidR="005E4C23" w:rsidRPr="0049129B">
              <w:rPr>
                <w:rFonts w:ascii="Times New Roman" w:hAnsi="Times New Roman" w:cs="Times New Roman"/>
                <w:noProof/>
                <w:webHidden/>
                <w:sz w:val="24"/>
                <w:szCs w:val="24"/>
              </w:rPr>
              <w:fldChar w:fldCharType="begin"/>
            </w:r>
            <w:r w:rsidR="005E4C23" w:rsidRPr="0049129B">
              <w:rPr>
                <w:rFonts w:ascii="Times New Roman" w:hAnsi="Times New Roman" w:cs="Times New Roman"/>
                <w:noProof/>
                <w:webHidden/>
                <w:sz w:val="24"/>
                <w:szCs w:val="24"/>
              </w:rPr>
              <w:instrText xml:space="preserve"> PAGEREF _Toc236260961 \h </w:instrText>
            </w:r>
            <w:r w:rsidR="005E4C23" w:rsidRPr="0049129B">
              <w:rPr>
                <w:rFonts w:ascii="Times New Roman" w:hAnsi="Times New Roman" w:cs="Times New Roman"/>
                <w:noProof/>
                <w:webHidden/>
                <w:sz w:val="24"/>
                <w:szCs w:val="24"/>
              </w:rPr>
            </w:r>
            <w:r w:rsidR="005E4C23" w:rsidRPr="0049129B">
              <w:rPr>
                <w:rFonts w:ascii="Times New Roman" w:hAnsi="Times New Roman" w:cs="Times New Roman"/>
                <w:noProof/>
                <w:webHidden/>
                <w:sz w:val="24"/>
                <w:szCs w:val="24"/>
              </w:rPr>
              <w:fldChar w:fldCharType="separate"/>
            </w:r>
            <w:r w:rsidR="005E4C23" w:rsidRPr="0049129B">
              <w:rPr>
                <w:rFonts w:ascii="Times New Roman" w:hAnsi="Times New Roman" w:cs="Times New Roman"/>
                <w:noProof/>
                <w:webHidden/>
                <w:sz w:val="24"/>
                <w:szCs w:val="24"/>
              </w:rPr>
              <w:t>5</w:t>
            </w:r>
            <w:r w:rsidR="005E4C23" w:rsidRPr="0049129B">
              <w:rPr>
                <w:rFonts w:ascii="Times New Roman" w:hAnsi="Times New Roman" w:cs="Times New Roman"/>
                <w:noProof/>
                <w:webHidden/>
                <w:sz w:val="24"/>
                <w:szCs w:val="24"/>
              </w:rPr>
              <w:fldChar w:fldCharType="end"/>
            </w:r>
          </w:hyperlink>
        </w:p>
        <w:p w14:paraId="30D301BB" w14:textId="77777777" w:rsidR="005E4C23" w:rsidRPr="0049129B" w:rsidRDefault="00B764FA" w:rsidP="0049129B">
          <w:pPr>
            <w:pStyle w:val="TOC1"/>
            <w:tabs>
              <w:tab w:val="right" w:leader="dot" w:pos="9350"/>
            </w:tabs>
            <w:spacing w:line="360" w:lineRule="auto"/>
            <w:jc w:val="both"/>
            <w:rPr>
              <w:rFonts w:ascii="Times New Roman" w:hAnsi="Times New Roman" w:cs="Times New Roman"/>
              <w:noProof/>
              <w:sz w:val="24"/>
              <w:szCs w:val="24"/>
            </w:rPr>
          </w:pPr>
          <w:hyperlink w:anchor="_Toc236260962" w:history="1">
            <w:r w:rsidR="005E4C23" w:rsidRPr="0049129B">
              <w:rPr>
                <w:rStyle w:val="Hyperlink"/>
                <w:rFonts w:ascii="Times New Roman" w:hAnsi="Times New Roman" w:cs="Times New Roman"/>
                <w:noProof/>
                <w:sz w:val="24"/>
                <w:szCs w:val="24"/>
              </w:rPr>
              <w:t>Health and Social Care Support Services in the Community</w:t>
            </w:r>
            <w:r w:rsidR="005E4C23" w:rsidRPr="0049129B">
              <w:rPr>
                <w:rFonts w:ascii="Times New Roman" w:hAnsi="Times New Roman" w:cs="Times New Roman"/>
                <w:noProof/>
                <w:webHidden/>
                <w:sz w:val="24"/>
                <w:szCs w:val="24"/>
              </w:rPr>
              <w:tab/>
            </w:r>
            <w:r w:rsidR="005E4C23" w:rsidRPr="0049129B">
              <w:rPr>
                <w:rFonts w:ascii="Times New Roman" w:hAnsi="Times New Roman" w:cs="Times New Roman"/>
                <w:noProof/>
                <w:webHidden/>
                <w:sz w:val="24"/>
                <w:szCs w:val="24"/>
              </w:rPr>
              <w:fldChar w:fldCharType="begin"/>
            </w:r>
            <w:r w:rsidR="005E4C23" w:rsidRPr="0049129B">
              <w:rPr>
                <w:rFonts w:ascii="Times New Roman" w:hAnsi="Times New Roman" w:cs="Times New Roman"/>
                <w:noProof/>
                <w:webHidden/>
                <w:sz w:val="24"/>
                <w:szCs w:val="24"/>
              </w:rPr>
              <w:instrText xml:space="preserve"> PAGEREF _Toc236260962 \h </w:instrText>
            </w:r>
            <w:r w:rsidR="005E4C23" w:rsidRPr="0049129B">
              <w:rPr>
                <w:rFonts w:ascii="Times New Roman" w:hAnsi="Times New Roman" w:cs="Times New Roman"/>
                <w:noProof/>
                <w:webHidden/>
                <w:sz w:val="24"/>
                <w:szCs w:val="24"/>
              </w:rPr>
            </w:r>
            <w:r w:rsidR="005E4C23" w:rsidRPr="0049129B">
              <w:rPr>
                <w:rFonts w:ascii="Times New Roman" w:hAnsi="Times New Roman" w:cs="Times New Roman"/>
                <w:noProof/>
                <w:webHidden/>
                <w:sz w:val="24"/>
                <w:szCs w:val="24"/>
              </w:rPr>
              <w:fldChar w:fldCharType="separate"/>
            </w:r>
            <w:r w:rsidR="005E4C23" w:rsidRPr="0049129B">
              <w:rPr>
                <w:rFonts w:ascii="Times New Roman" w:hAnsi="Times New Roman" w:cs="Times New Roman"/>
                <w:noProof/>
                <w:webHidden/>
                <w:sz w:val="24"/>
                <w:szCs w:val="24"/>
              </w:rPr>
              <w:t>5</w:t>
            </w:r>
            <w:r w:rsidR="005E4C23" w:rsidRPr="0049129B">
              <w:rPr>
                <w:rFonts w:ascii="Times New Roman" w:hAnsi="Times New Roman" w:cs="Times New Roman"/>
                <w:noProof/>
                <w:webHidden/>
                <w:sz w:val="24"/>
                <w:szCs w:val="24"/>
              </w:rPr>
              <w:fldChar w:fldCharType="end"/>
            </w:r>
          </w:hyperlink>
        </w:p>
        <w:p w14:paraId="29F63D73" w14:textId="77777777" w:rsidR="005E4C23" w:rsidRPr="0049129B" w:rsidRDefault="00B764FA" w:rsidP="0049129B">
          <w:pPr>
            <w:pStyle w:val="TOC1"/>
            <w:tabs>
              <w:tab w:val="right" w:leader="dot" w:pos="9350"/>
            </w:tabs>
            <w:spacing w:line="360" w:lineRule="auto"/>
            <w:jc w:val="both"/>
            <w:rPr>
              <w:rFonts w:ascii="Times New Roman" w:hAnsi="Times New Roman" w:cs="Times New Roman"/>
              <w:noProof/>
              <w:sz w:val="24"/>
              <w:szCs w:val="24"/>
            </w:rPr>
          </w:pPr>
          <w:hyperlink w:anchor="_Toc236260963" w:history="1">
            <w:r w:rsidR="005E4C23" w:rsidRPr="0049129B">
              <w:rPr>
                <w:rStyle w:val="Hyperlink"/>
                <w:rFonts w:ascii="Times New Roman" w:hAnsi="Times New Roman" w:cs="Times New Roman"/>
                <w:noProof/>
                <w:sz w:val="24"/>
                <w:szCs w:val="24"/>
              </w:rPr>
              <w:t>Conclusion</w:t>
            </w:r>
            <w:r w:rsidR="005E4C23" w:rsidRPr="0049129B">
              <w:rPr>
                <w:rFonts w:ascii="Times New Roman" w:hAnsi="Times New Roman" w:cs="Times New Roman"/>
                <w:noProof/>
                <w:webHidden/>
                <w:sz w:val="24"/>
                <w:szCs w:val="24"/>
              </w:rPr>
              <w:tab/>
            </w:r>
            <w:r w:rsidR="005E4C23" w:rsidRPr="0049129B">
              <w:rPr>
                <w:rFonts w:ascii="Times New Roman" w:hAnsi="Times New Roman" w:cs="Times New Roman"/>
                <w:noProof/>
                <w:webHidden/>
                <w:sz w:val="24"/>
                <w:szCs w:val="24"/>
              </w:rPr>
              <w:fldChar w:fldCharType="begin"/>
            </w:r>
            <w:r w:rsidR="005E4C23" w:rsidRPr="0049129B">
              <w:rPr>
                <w:rFonts w:ascii="Times New Roman" w:hAnsi="Times New Roman" w:cs="Times New Roman"/>
                <w:noProof/>
                <w:webHidden/>
                <w:sz w:val="24"/>
                <w:szCs w:val="24"/>
              </w:rPr>
              <w:instrText xml:space="preserve"> PAGEREF _Toc236260963 \h </w:instrText>
            </w:r>
            <w:r w:rsidR="005E4C23" w:rsidRPr="0049129B">
              <w:rPr>
                <w:rFonts w:ascii="Times New Roman" w:hAnsi="Times New Roman" w:cs="Times New Roman"/>
                <w:noProof/>
                <w:webHidden/>
                <w:sz w:val="24"/>
                <w:szCs w:val="24"/>
              </w:rPr>
            </w:r>
            <w:r w:rsidR="005E4C23" w:rsidRPr="0049129B">
              <w:rPr>
                <w:rFonts w:ascii="Times New Roman" w:hAnsi="Times New Roman" w:cs="Times New Roman"/>
                <w:noProof/>
                <w:webHidden/>
                <w:sz w:val="24"/>
                <w:szCs w:val="24"/>
              </w:rPr>
              <w:fldChar w:fldCharType="separate"/>
            </w:r>
            <w:r w:rsidR="005E4C23" w:rsidRPr="0049129B">
              <w:rPr>
                <w:rFonts w:ascii="Times New Roman" w:hAnsi="Times New Roman" w:cs="Times New Roman"/>
                <w:noProof/>
                <w:webHidden/>
                <w:sz w:val="24"/>
                <w:szCs w:val="24"/>
              </w:rPr>
              <w:t>7</w:t>
            </w:r>
            <w:r w:rsidR="005E4C23" w:rsidRPr="0049129B">
              <w:rPr>
                <w:rFonts w:ascii="Times New Roman" w:hAnsi="Times New Roman" w:cs="Times New Roman"/>
                <w:noProof/>
                <w:webHidden/>
                <w:sz w:val="24"/>
                <w:szCs w:val="24"/>
              </w:rPr>
              <w:fldChar w:fldCharType="end"/>
            </w:r>
          </w:hyperlink>
        </w:p>
        <w:p w14:paraId="66A02870" w14:textId="77777777" w:rsidR="005E4C23" w:rsidRPr="0049129B" w:rsidRDefault="00B764FA" w:rsidP="0049129B">
          <w:pPr>
            <w:pStyle w:val="TOC1"/>
            <w:tabs>
              <w:tab w:val="right" w:leader="dot" w:pos="9350"/>
            </w:tabs>
            <w:spacing w:line="360" w:lineRule="auto"/>
            <w:jc w:val="both"/>
            <w:rPr>
              <w:rFonts w:ascii="Times New Roman" w:hAnsi="Times New Roman" w:cs="Times New Roman"/>
              <w:noProof/>
              <w:sz w:val="24"/>
              <w:szCs w:val="24"/>
            </w:rPr>
          </w:pPr>
          <w:hyperlink w:anchor="_Toc236260964" w:history="1">
            <w:r w:rsidR="005E4C23" w:rsidRPr="0049129B">
              <w:rPr>
                <w:rStyle w:val="Hyperlink"/>
                <w:rFonts w:ascii="Times New Roman" w:hAnsi="Times New Roman" w:cs="Times New Roman"/>
                <w:noProof/>
                <w:sz w:val="24"/>
                <w:szCs w:val="24"/>
              </w:rPr>
              <w:t>References</w:t>
            </w:r>
            <w:r w:rsidR="005E4C23" w:rsidRPr="0049129B">
              <w:rPr>
                <w:rFonts w:ascii="Times New Roman" w:hAnsi="Times New Roman" w:cs="Times New Roman"/>
                <w:noProof/>
                <w:webHidden/>
                <w:sz w:val="24"/>
                <w:szCs w:val="24"/>
              </w:rPr>
              <w:tab/>
            </w:r>
            <w:r w:rsidR="005E4C23" w:rsidRPr="0049129B">
              <w:rPr>
                <w:rFonts w:ascii="Times New Roman" w:hAnsi="Times New Roman" w:cs="Times New Roman"/>
                <w:noProof/>
                <w:webHidden/>
                <w:sz w:val="24"/>
                <w:szCs w:val="24"/>
              </w:rPr>
              <w:fldChar w:fldCharType="begin"/>
            </w:r>
            <w:r w:rsidR="005E4C23" w:rsidRPr="0049129B">
              <w:rPr>
                <w:rFonts w:ascii="Times New Roman" w:hAnsi="Times New Roman" w:cs="Times New Roman"/>
                <w:noProof/>
                <w:webHidden/>
                <w:sz w:val="24"/>
                <w:szCs w:val="24"/>
              </w:rPr>
              <w:instrText xml:space="preserve"> PAGEREF _Toc236260964 \h </w:instrText>
            </w:r>
            <w:r w:rsidR="005E4C23" w:rsidRPr="0049129B">
              <w:rPr>
                <w:rFonts w:ascii="Times New Roman" w:hAnsi="Times New Roman" w:cs="Times New Roman"/>
                <w:noProof/>
                <w:webHidden/>
                <w:sz w:val="24"/>
                <w:szCs w:val="24"/>
              </w:rPr>
            </w:r>
            <w:r w:rsidR="005E4C23" w:rsidRPr="0049129B">
              <w:rPr>
                <w:rFonts w:ascii="Times New Roman" w:hAnsi="Times New Roman" w:cs="Times New Roman"/>
                <w:noProof/>
                <w:webHidden/>
                <w:sz w:val="24"/>
                <w:szCs w:val="24"/>
              </w:rPr>
              <w:fldChar w:fldCharType="separate"/>
            </w:r>
            <w:r w:rsidR="005E4C23" w:rsidRPr="0049129B">
              <w:rPr>
                <w:rFonts w:ascii="Times New Roman" w:hAnsi="Times New Roman" w:cs="Times New Roman"/>
                <w:noProof/>
                <w:webHidden/>
                <w:sz w:val="24"/>
                <w:szCs w:val="24"/>
              </w:rPr>
              <w:t>8</w:t>
            </w:r>
            <w:r w:rsidR="005E4C23" w:rsidRPr="0049129B">
              <w:rPr>
                <w:rFonts w:ascii="Times New Roman" w:hAnsi="Times New Roman" w:cs="Times New Roman"/>
                <w:noProof/>
                <w:webHidden/>
                <w:sz w:val="24"/>
                <w:szCs w:val="24"/>
              </w:rPr>
              <w:fldChar w:fldCharType="end"/>
            </w:r>
          </w:hyperlink>
        </w:p>
        <w:p w14:paraId="293C2B5A" w14:textId="77777777" w:rsidR="005E4C23" w:rsidRDefault="005E4C23">
          <w:r>
            <w:rPr>
              <w:b/>
              <w:bCs/>
              <w:noProof/>
            </w:rPr>
            <w:fldChar w:fldCharType="end"/>
          </w:r>
        </w:p>
      </w:sdtContent>
    </w:sdt>
    <w:p w14:paraId="0457ED4C" w14:textId="77777777" w:rsidR="005E4C23" w:rsidRDefault="005E4C23" w:rsidP="005E4C23">
      <w:pPr>
        <w:pStyle w:val="Heading1"/>
      </w:pPr>
    </w:p>
    <w:p w14:paraId="3C3728AB" w14:textId="77777777" w:rsidR="0049129B" w:rsidRDefault="0049129B" w:rsidP="005E4C23">
      <w:pPr>
        <w:pStyle w:val="Heading1"/>
      </w:pPr>
    </w:p>
    <w:p w14:paraId="2B1FFA78" w14:textId="77777777" w:rsidR="0049129B" w:rsidRDefault="0049129B" w:rsidP="005E4C23">
      <w:pPr>
        <w:pStyle w:val="Heading1"/>
      </w:pPr>
    </w:p>
    <w:p w14:paraId="04D898FA" w14:textId="77777777" w:rsidR="0049129B" w:rsidRDefault="0049129B" w:rsidP="005E4C23">
      <w:pPr>
        <w:pStyle w:val="Heading1"/>
      </w:pPr>
    </w:p>
    <w:p w14:paraId="047157F6" w14:textId="77777777" w:rsidR="0049129B" w:rsidRDefault="0049129B" w:rsidP="005E4C23">
      <w:pPr>
        <w:pStyle w:val="Heading1"/>
      </w:pPr>
    </w:p>
    <w:p w14:paraId="0B482122" w14:textId="77777777" w:rsidR="0049129B" w:rsidRDefault="0049129B" w:rsidP="005E4C23">
      <w:pPr>
        <w:pStyle w:val="Heading1"/>
      </w:pPr>
    </w:p>
    <w:p w14:paraId="692BC1A2" w14:textId="77777777" w:rsidR="0049129B" w:rsidRDefault="0049129B" w:rsidP="005E4C23">
      <w:pPr>
        <w:pStyle w:val="Heading1"/>
      </w:pPr>
    </w:p>
    <w:p w14:paraId="4EB04B1A" w14:textId="77777777" w:rsidR="0049129B" w:rsidRDefault="0049129B" w:rsidP="005E4C23">
      <w:pPr>
        <w:pStyle w:val="Heading1"/>
      </w:pPr>
    </w:p>
    <w:p w14:paraId="5C3E09D2" w14:textId="77777777" w:rsidR="0049129B" w:rsidRDefault="0049129B" w:rsidP="005E4C23">
      <w:pPr>
        <w:pStyle w:val="Heading1"/>
      </w:pPr>
    </w:p>
    <w:p w14:paraId="530BB446" w14:textId="77777777" w:rsidR="0049129B" w:rsidRDefault="0049129B" w:rsidP="005E4C23">
      <w:pPr>
        <w:pStyle w:val="Heading1"/>
      </w:pPr>
    </w:p>
    <w:p w14:paraId="030FCC5B" w14:textId="77777777" w:rsidR="0049129B" w:rsidRDefault="0049129B" w:rsidP="005E4C23">
      <w:pPr>
        <w:pStyle w:val="Heading1"/>
      </w:pPr>
    </w:p>
    <w:p w14:paraId="101F7A41" w14:textId="77777777" w:rsidR="0049129B" w:rsidRDefault="0049129B" w:rsidP="005E4C23">
      <w:pPr>
        <w:pStyle w:val="Heading1"/>
      </w:pPr>
    </w:p>
    <w:p w14:paraId="22A1D620" w14:textId="77777777" w:rsidR="0049129B" w:rsidRDefault="0049129B" w:rsidP="005E4C23">
      <w:pPr>
        <w:pStyle w:val="Heading1"/>
      </w:pPr>
    </w:p>
    <w:p w14:paraId="35A0512F" w14:textId="77777777" w:rsidR="0049129B" w:rsidRDefault="0049129B" w:rsidP="005E4C23">
      <w:pPr>
        <w:pStyle w:val="Heading1"/>
      </w:pPr>
    </w:p>
    <w:p w14:paraId="62573D75" w14:textId="77777777" w:rsidR="009166E6" w:rsidRPr="009166E6" w:rsidRDefault="009166E6" w:rsidP="005E4C23">
      <w:pPr>
        <w:pStyle w:val="Heading1"/>
      </w:pPr>
      <w:bookmarkStart w:id="2" w:name="_Toc236260958"/>
      <w:r w:rsidRPr="009166E6">
        <w:lastRenderedPageBreak/>
        <w:t>Introduction</w:t>
      </w:r>
      <w:bookmarkEnd w:id="2"/>
    </w:p>
    <w:p w14:paraId="47DD92FC" w14:textId="77777777" w:rsidR="00C63D76" w:rsidRPr="00C63D76" w:rsidRDefault="00C63D76" w:rsidP="00C63D76">
      <w:pPr>
        <w:spacing w:before="240" w:after="120" w:line="360" w:lineRule="auto"/>
        <w:jc w:val="both"/>
        <w:rPr>
          <w:rFonts w:ascii="Times New Roman" w:eastAsia="Times New Roman" w:hAnsi="Times New Roman" w:cs="Times New Roman"/>
          <w:sz w:val="24"/>
          <w:szCs w:val="24"/>
          <w:lang w:val="en-US"/>
        </w:rPr>
      </w:pPr>
      <w:r w:rsidRPr="00C63D76">
        <w:rPr>
          <w:rFonts w:ascii="Times New Roman" w:eastAsia="Times New Roman" w:hAnsi="Times New Roman" w:cs="Times New Roman"/>
          <w:sz w:val="24"/>
          <w:szCs w:val="24"/>
          <w:lang w:val="en-US"/>
        </w:rPr>
        <w:t>Coronary heart disease (CHD) is a chronic heart disorder caused by the narrowing or blockage of the coronary arteries due to atherosclerotic plaque, which reduces blood flow and oxygen to the heart (NICE, 2023). Arterial obstruction may remain asymptomatic for years before presenting as stable angina, acute coronary syndrome, myocardial infarction, heart failure, or premature cardiac death. Typical signs include major chest pain or tightness, shortness of breath, tiredness, palpitations, dryness, and discomfort radiating to the left arm, jaw, or shoulder. Typical presentations are familiar in women, older adults, and people with diabetes, often leading to delayed diagnosis and poorer outcomes (ESC, 2024).</w:t>
      </w:r>
    </w:p>
    <w:p w14:paraId="1A5CB374" w14:textId="77777777" w:rsidR="009166E6" w:rsidRPr="009166E6" w:rsidRDefault="009166E6" w:rsidP="009166E6">
      <w:pPr>
        <w:spacing w:after="120" w:line="360" w:lineRule="auto"/>
        <w:jc w:val="both"/>
        <w:rPr>
          <w:rFonts w:ascii="Times New Roman" w:eastAsia="Times New Roman" w:hAnsi="Times New Roman" w:cs="Times New Roman"/>
          <w:sz w:val="24"/>
          <w:szCs w:val="24"/>
          <w:lang w:val="en-US"/>
        </w:rPr>
      </w:pPr>
      <w:r w:rsidRPr="009166E6">
        <w:rPr>
          <w:rFonts w:ascii="Times New Roman" w:eastAsia="Times New Roman" w:hAnsi="Times New Roman" w:cs="Times New Roman"/>
          <w:sz w:val="24"/>
          <w:szCs w:val="24"/>
          <w:lang w:val="en-US"/>
        </w:rPr>
        <w:t xml:space="preserve">Despite advances in prevention and treatment, CHD remains a major global public health challenge. Cardiovascular diseases cause </w:t>
      </w:r>
      <w:r w:rsidR="00C63D76">
        <w:rPr>
          <w:rFonts w:ascii="Times New Roman" w:eastAsia="Times New Roman" w:hAnsi="Times New Roman" w:cs="Times New Roman"/>
          <w:sz w:val="24"/>
          <w:szCs w:val="24"/>
          <w:lang w:val="en-US"/>
        </w:rPr>
        <w:t>nearly</w:t>
      </w:r>
      <w:r w:rsidRPr="009166E6">
        <w:rPr>
          <w:rFonts w:ascii="Times New Roman" w:eastAsia="Times New Roman" w:hAnsi="Times New Roman" w:cs="Times New Roman"/>
          <w:sz w:val="24"/>
          <w:szCs w:val="24"/>
          <w:lang w:val="en-US"/>
        </w:rPr>
        <w:t xml:space="preserve"> 20.5 million deaths worldwide each year, with CHD accounting for the largest share (World Heart Federation, 2024). In the </w:t>
      </w:r>
      <w:r w:rsidR="00C63D76">
        <w:rPr>
          <w:rFonts w:ascii="Times New Roman" w:eastAsia="Times New Roman" w:hAnsi="Times New Roman" w:cs="Times New Roman"/>
          <w:sz w:val="24"/>
          <w:szCs w:val="24"/>
          <w:lang w:val="en-US"/>
        </w:rPr>
        <w:t>UK</w:t>
      </w:r>
      <w:r w:rsidRPr="009166E6">
        <w:rPr>
          <w:rFonts w:ascii="Times New Roman" w:eastAsia="Times New Roman" w:hAnsi="Times New Roman" w:cs="Times New Roman"/>
          <w:sz w:val="24"/>
          <w:szCs w:val="24"/>
          <w:lang w:val="en-US"/>
        </w:rPr>
        <w:t>, about 2.3 million people live with CHD. T</w:t>
      </w:r>
      <w:r w:rsidR="00C63D76">
        <w:rPr>
          <w:rFonts w:ascii="Times New Roman" w:eastAsia="Times New Roman" w:hAnsi="Times New Roman" w:cs="Times New Roman"/>
          <w:sz w:val="24"/>
          <w:szCs w:val="24"/>
          <w:lang w:val="en-US"/>
        </w:rPr>
        <w:t xml:space="preserve">he condition is a causality </w:t>
      </w:r>
      <w:r w:rsidRPr="009166E6">
        <w:rPr>
          <w:rFonts w:ascii="Times New Roman" w:eastAsia="Times New Roman" w:hAnsi="Times New Roman" w:cs="Times New Roman"/>
          <w:sz w:val="24"/>
          <w:szCs w:val="24"/>
          <w:lang w:val="en-US"/>
        </w:rPr>
        <w:t>of premature death, responsible for around 66,000 deaths annually, and places significant pressure on NHS and community health services (British Heart Foundation, 2025). These statistics underscore the need for effective surveillance, evidence-based prevention, and coordinated health and social care interventions to address CHD as a preventable cause of morbidity, mortality, and health inequality.</w:t>
      </w:r>
    </w:p>
    <w:p w14:paraId="715D1DD0" w14:textId="77777777" w:rsidR="005E4C23" w:rsidRPr="005E4C23" w:rsidRDefault="005E4C23" w:rsidP="005E4C23">
      <w:pPr>
        <w:pStyle w:val="Heading1"/>
      </w:pPr>
      <w:bookmarkStart w:id="3" w:name="_Toc236260959"/>
      <w:r w:rsidRPr="005E4C23">
        <w:t>Approaches to Measuring and Monitoring Coronary Heart Disease</w:t>
      </w:r>
      <w:bookmarkEnd w:id="3"/>
    </w:p>
    <w:p w14:paraId="1C4DA901" w14:textId="77777777" w:rsidR="00FC1F4F" w:rsidRDefault="00FC1F4F" w:rsidP="00FC1F4F">
      <w:pPr>
        <w:spacing w:before="240" w:after="120" w:line="360" w:lineRule="auto"/>
        <w:jc w:val="both"/>
        <w:rPr>
          <w:rFonts w:ascii="Times New Roman" w:eastAsia="Times New Roman" w:hAnsi="Times New Roman" w:cs="Times New Roman"/>
          <w:sz w:val="24"/>
          <w:szCs w:val="24"/>
          <w:lang w:val="en-US"/>
        </w:rPr>
      </w:pPr>
      <w:r w:rsidRPr="00FC1F4F">
        <w:rPr>
          <w:rFonts w:ascii="Times New Roman" w:eastAsia="Times New Roman" w:hAnsi="Times New Roman" w:cs="Times New Roman"/>
          <w:sz w:val="24"/>
          <w:szCs w:val="24"/>
          <w:lang w:val="en-US"/>
        </w:rPr>
        <w:t>The surveillance and monitoring of coronary heart disease (CHD) is key to reducing the burden on individuals and society. Accurate data is an essential aspect of evidence-based resource allocation and evaluation of public health interventions, as well as informing priority populations. Owing to the synergistic nature of biological, behavioural, and social determinants, no single monitoring method can provide all this information. The UK has implemented a multifaceted surveillance system incorporating epidemiological, clinical asses</w:t>
      </w:r>
      <w:r>
        <w:rPr>
          <w:rFonts w:ascii="Times New Roman" w:eastAsia="Times New Roman" w:hAnsi="Times New Roman" w:cs="Times New Roman"/>
          <w:sz w:val="24"/>
          <w:szCs w:val="24"/>
          <w:lang w:val="en-US"/>
        </w:rPr>
        <w:t>sment, and quality improvement.</w:t>
      </w:r>
    </w:p>
    <w:p w14:paraId="6A59492D" w14:textId="77777777" w:rsidR="00FC1F4F" w:rsidRDefault="00FC1F4F" w:rsidP="00FC1F4F">
      <w:pPr>
        <w:spacing w:before="240" w:after="120" w:line="360" w:lineRule="auto"/>
        <w:jc w:val="both"/>
        <w:rPr>
          <w:rFonts w:ascii="Times New Roman" w:eastAsia="Times New Roman" w:hAnsi="Times New Roman" w:cs="Times New Roman"/>
          <w:sz w:val="24"/>
          <w:szCs w:val="24"/>
          <w:lang w:val="en-US"/>
        </w:rPr>
      </w:pPr>
      <w:r w:rsidRPr="00FC1F4F">
        <w:rPr>
          <w:rFonts w:ascii="Times New Roman" w:eastAsia="Times New Roman" w:hAnsi="Times New Roman" w:cs="Times New Roman"/>
          <w:sz w:val="24"/>
          <w:szCs w:val="24"/>
          <w:lang w:val="en-US"/>
        </w:rPr>
        <w:t xml:space="preserve">CHD Surveillance is essential for understanding epidemiological trends. Incidence, prevalence, mortality and survival data are routinely collected by NHS England and the Office for National Statistics (ONS) in conjunction with the British Heart Foundation. These data demonstrate clear geographic and socio-economic inequalities in CHD mortality, with significantly higher levels of </w:t>
      </w:r>
      <w:r w:rsidRPr="00FC1F4F">
        <w:rPr>
          <w:rFonts w:ascii="Times New Roman" w:eastAsia="Times New Roman" w:hAnsi="Times New Roman" w:cs="Times New Roman"/>
          <w:sz w:val="24"/>
          <w:szCs w:val="24"/>
          <w:lang w:val="en-US"/>
        </w:rPr>
        <w:lastRenderedPageBreak/>
        <w:t>CHD within low-income communities. These patterns align with other social determinants of health, including poverty, housing, employment, and access to care. As Marmot (2020) notes, the burden of cardiovascular disease cannot simply be addressed by improving healthcare. By highlighting health inequalities that require multisectoral action, epidemiological monitoring assists both the diagnosis of a public health problem and the d</w:t>
      </w:r>
      <w:r>
        <w:rPr>
          <w:rFonts w:ascii="Times New Roman" w:eastAsia="Times New Roman" w:hAnsi="Times New Roman" w:cs="Times New Roman"/>
          <w:sz w:val="24"/>
          <w:szCs w:val="24"/>
          <w:lang w:val="en-US"/>
        </w:rPr>
        <w:t>evelopment of policy responses.</w:t>
      </w:r>
    </w:p>
    <w:p w14:paraId="7E593DED" w14:textId="77777777" w:rsidR="00FC1F4F" w:rsidRDefault="00FC1F4F" w:rsidP="00FC1F4F">
      <w:pPr>
        <w:spacing w:before="240" w:after="120" w:line="360" w:lineRule="auto"/>
        <w:jc w:val="both"/>
        <w:rPr>
          <w:rFonts w:ascii="Times New Roman" w:eastAsia="Times New Roman" w:hAnsi="Times New Roman" w:cs="Times New Roman"/>
          <w:sz w:val="24"/>
          <w:szCs w:val="24"/>
          <w:lang w:val="en-US"/>
        </w:rPr>
      </w:pPr>
      <w:r w:rsidRPr="00FC1F4F">
        <w:rPr>
          <w:rFonts w:ascii="Times New Roman" w:eastAsia="Times New Roman" w:hAnsi="Times New Roman" w:cs="Times New Roman"/>
          <w:sz w:val="24"/>
          <w:szCs w:val="24"/>
          <w:lang w:val="en-US"/>
        </w:rPr>
        <w:t>Systematic cardiovascular risk assessment is essential for targeted CHD prevention in primary care. NHS Health Checks, which focus on large adult populations (aged 40–74), assess key risk factors and record blood pressure, cholesterol, and body mass index. QRISK3 is a validated mode for estimating 10-year CVD risk (NICE, 2023). The approach is useful and is successful in enhancing statin-targeting behaviour change. Nevertheless, some ethnic minorities and younger adults may have somewhat low risk estimates (Khanji et al., 2019), as critics point out. These limitations suggest that professional judgement and culturally responsive care shou</w:t>
      </w:r>
      <w:r>
        <w:rPr>
          <w:rFonts w:ascii="Times New Roman" w:eastAsia="Times New Roman" w:hAnsi="Times New Roman" w:cs="Times New Roman"/>
          <w:sz w:val="24"/>
          <w:szCs w:val="24"/>
          <w:lang w:val="en-US"/>
        </w:rPr>
        <w:t>ld augment algorithmic results.</w:t>
      </w:r>
    </w:p>
    <w:p w14:paraId="40A9B398" w14:textId="77777777" w:rsidR="00FC1F4F" w:rsidRDefault="00FC1F4F" w:rsidP="00FC1F4F">
      <w:pPr>
        <w:spacing w:before="240" w:after="120" w:line="360" w:lineRule="auto"/>
        <w:jc w:val="both"/>
        <w:rPr>
          <w:rFonts w:ascii="Times New Roman" w:eastAsia="Times New Roman" w:hAnsi="Times New Roman" w:cs="Times New Roman"/>
          <w:sz w:val="24"/>
          <w:szCs w:val="24"/>
          <w:lang w:val="en-US"/>
        </w:rPr>
      </w:pPr>
      <w:r w:rsidRPr="00FC1F4F">
        <w:rPr>
          <w:rFonts w:ascii="Times New Roman" w:eastAsia="Times New Roman" w:hAnsi="Times New Roman" w:cs="Times New Roman"/>
          <w:sz w:val="24"/>
          <w:szCs w:val="24"/>
          <w:lang w:val="en-US"/>
        </w:rPr>
        <w:t xml:space="preserve">Detection and monitoring of CHD requires clinical tests. This encompasses electrocardiography (ECG), echocardiography, exercise testing, coronary CT angiography (CTCA), cardiac MRI and invasive coronary angiography. Due to its high diagnostic accuracy, CTCA is recommended as the first-line non-invasive test for stable chest pain (NICE 2023). Some patients send ECGs or use wearable devices for patient monitoring. Remote monitoring enhances adherence while reducing hospital admissions for patients residing in rural areas or those unable to be ambulatory (Study Finds 2024). Yet digital health solutions can widen the health inequality gap without addressing issues </w:t>
      </w:r>
      <w:r>
        <w:rPr>
          <w:rFonts w:ascii="Times New Roman" w:eastAsia="Times New Roman" w:hAnsi="Times New Roman" w:cs="Times New Roman"/>
          <w:sz w:val="24"/>
          <w:szCs w:val="24"/>
          <w:lang w:val="en-US"/>
        </w:rPr>
        <w:t>of access and digital literacy.</w:t>
      </w:r>
    </w:p>
    <w:p w14:paraId="495BA9DB" w14:textId="77777777" w:rsidR="005E4C23" w:rsidRDefault="00FC1F4F" w:rsidP="00FC1F4F">
      <w:pPr>
        <w:spacing w:before="240" w:after="120" w:line="360" w:lineRule="auto"/>
        <w:jc w:val="both"/>
        <w:rPr>
          <w:rFonts w:ascii="Times New Roman" w:eastAsia="Times New Roman" w:hAnsi="Times New Roman" w:cs="Times New Roman"/>
          <w:sz w:val="24"/>
          <w:szCs w:val="24"/>
          <w:lang w:val="en-US"/>
        </w:rPr>
      </w:pPr>
      <w:r w:rsidRPr="00FC1F4F">
        <w:rPr>
          <w:rFonts w:ascii="Times New Roman" w:eastAsia="Times New Roman" w:hAnsi="Times New Roman" w:cs="Times New Roman"/>
          <w:sz w:val="24"/>
          <w:szCs w:val="24"/>
          <w:lang w:val="en-US"/>
        </w:rPr>
        <w:t>National clinical audits, coordinated in England by the National Institute for Cardiovascular Outcomes Research (NICOR), are conducted to provide a reliable source of evidence on treatment outcomes and hospital-level performance (NICOR 2024). Measuring performance against best practices promotes quality improvement and identifies areas for focused effort. Therefore, CHD monitoring includes not only disease occurrence but also the quality and equity of care</w:t>
      </w:r>
      <w:r w:rsidR="005E4C23" w:rsidRPr="005E4C23">
        <w:rPr>
          <w:rFonts w:ascii="Times New Roman" w:eastAsia="Times New Roman" w:hAnsi="Times New Roman" w:cs="Times New Roman"/>
          <w:sz w:val="24"/>
          <w:szCs w:val="24"/>
          <w:lang w:val="en-US"/>
        </w:rPr>
        <w:t>.</w:t>
      </w:r>
    </w:p>
    <w:p w14:paraId="5C901604" w14:textId="77777777" w:rsidR="00FC1F4F" w:rsidRPr="005E4C23" w:rsidRDefault="00FC1F4F" w:rsidP="00FC1F4F">
      <w:pPr>
        <w:spacing w:before="240" w:after="120" w:line="360" w:lineRule="auto"/>
        <w:jc w:val="both"/>
        <w:rPr>
          <w:rFonts w:ascii="Times New Roman" w:eastAsia="Times New Roman" w:hAnsi="Times New Roman" w:cs="Times New Roman"/>
          <w:sz w:val="24"/>
          <w:szCs w:val="24"/>
          <w:lang w:val="en-US"/>
        </w:rPr>
      </w:pPr>
    </w:p>
    <w:p w14:paraId="1EA98108" w14:textId="77777777" w:rsidR="005E4C23" w:rsidRPr="005E4C23" w:rsidRDefault="005E4C23" w:rsidP="005E4C23">
      <w:pPr>
        <w:pStyle w:val="Heading1"/>
      </w:pPr>
      <w:bookmarkStart w:id="4" w:name="_Toc236260960"/>
      <w:r w:rsidRPr="005E4C23">
        <w:t>Strategies for Control of Coronary Heart Disease</w:t>
      </w:r>
      <w:bookmarkEnd w:id="4"/>
    </w:p>
    <w:p w14:paraId="67C7C0C2" w14:textId="77777777" w:rsidR="00FC1F4F" w:rsidRPr="00FC1F4F" w:rsidRDefault="00FC1F4F" w:rsidP="00FC1F4F">
      <w:pPr>
        <w:spacing w:before="240" w:line="360" w:lineRule="auto"/>
        <w:jc w:val="both"/>
        <w:rPr>
          <w:rFonts w:ascii="Times New Roman" w:eastAsia="Times New Roman" w:hAnsi="Times New Roman" w:cs="Times New Roman"/>
          <w:sz w:val="24"/>
          <w:szCs w:val="24"/>
          <w:lang w:val="en-US"/>
        </w:rPr>
      </w:pPr>
      <w:r w:rsidRPr="00FC1F4F">
        <w:rPr>
          <w:rFonts w:ascii="Times New Roman" w:eastAsia="Times New Roman" w:hAnsi="Times New Roman" w:cs="Times New Roman"/>
          <w:sz w:val="24"/>
          <w:szCs w:val="24"/>
          <w:lang w:val="en-US"/>
        </w:rPr>
        <w:lastRenderedPageBreak/>
        <w:t>Congenital heart disease management includes prevention, early intervention and chronic control. Prevention is considerably more cost-effective than treating established conditions (WHO, 2023).</w:t>
      </w:r>
      <w:r>
        <w:rPr>
          <w:rFonts w:ascii="Times New Roman" w:eastAsia="Times New Roman" w:hAnsi="Times New Roman" w:cs="Times New Roman"/>
          <w:sz w:val="24"/>
          <w:szCs w:val="24"/>
          <w:lang w:val="en-US"/>
        </w:rPr>
        <w:t xml:space="preserve"> </w:t>
      </w:r>
      <w:r w:rsidRPr="00FC1F4F">
        <w:rPr>
          <w:rFonts w:ascii="Times New Roman" w:eastAsia="Times New Roman" w:hAnsi="Times New Roman" w:cs="Times New Roman"/>
          <w:sz w:val="24"/>
          <w:szCs w:val="24"/>
          <w:lang w:val="en-US"/>
        </w:rPr>
        <w:t>Primary Prevention (PP) aims to prevent a preclinical disorder from progressing to overt disease. Tobacco smoking, which promotes atherosclerosis and thrombosis, is another important risk factor that should be corrected with cessation. NHS Stop Smokes Services: Pharmacotherapy and behavioural support offered by the National Health Service (NHS) Stop Smoking Services is more effective than unaided attempts to quit smoking (NICE 2021). Substituting saturated fats, sodium, and sugar with beneficial food components such as fibre and whole grains can contribute to cholesterol reduction and improved vascular health.</w:t>
      </w:r>
      <w:r>
        <w:rPr>
          <w:rFonts w:ascii="Times New Roman" w:eastAsia="Times New Roman" w:hAnsi="Times New Roman" w:cs="Times New Roman"/>
          <w:sz w:val="24"/>
          <w:szCs w:val="24"/>
          <w:lang w:val="en-US"/>
        </w:rPr>
        <w:t xml:space="preserve"> </w:t>
      </w:r>
      <w:r w:rsidRPr="00FC1F4F">
        <w:rPr>
          <w:rFonts w:ascii="Times New Roman" w:eastAsia="Times New Roman" w:hAnsi="Times New Roman" w:cs="Times New Roman"/>
          <w:sz w:val="24"/>
          <w:szCs w:val="24"/>
          <w:lang w:val="en-US"/>
        </w:rPr>
        <w:t>Maintaining weight, quitting tobacco use, and reducing alcohol intake will further reduce risk (WHO, 2023).</w:t>
      </w:r>
    </w:p>
    <w:p w14:paraId="753ABCCC" w14:textId="77777777" w:rsidR="00FC1F4F" w:rsidRPr="00FC1F4F" w:rsidRDefault="00FC1F4F" w:rsidP="00FC1F4F">
      <w:pPr>
        <w:spacing w:before="240" w:after="120" w:line="360" w:lineRule="auto"/>
        <w:jc w:val="both"/>
        <w:rPr>
          <w:rFonts w:ascii="Times New Roman" w:eastAsia="Times New Roman" w:hAnsi="Times New Roman" w:cs="Times New Roman"/>
          <w:sz w:val="24"/>
          <w:szCs w:val="24"/>
          <w:lang w:val="en-US"/>
        </w:rPr>
      </w:pPr>
      <w:r w:rsidRPr="00FC1F4F">
        <w:rPr>
          <w:rFonts w:ascii="Times New Roman" w:eastAsia="Times New Roman" w:hAnsi="Times New Roman" w:cs="Times New Roman"/>
          <w:sz w:val="24"/>
          <w:szCs w:val="24"/>
          <w:lang w:val="en-US"/>
        </w:rPr>
        <w:t xml:space="preserve">Drug therapy is indicated in people at high risk. Guidelines from NICE (2023) recommend statins in these patients along with robust evidence of decreased MI, stroke and mortality. Use should be individualised among antiplatelet agents, beta-blockers, ACE inhibitors, and antihypertensives. Non-adherence, on the other hand, whether due to adverse effects, complex treatment regimens, or misconceptions about the therapy itself, can compromise its efficacy. Education and shared decision-making are intrinsic to such management. </w:t>
      </w:r>
    </w:p>
    <w:p w14:paraId="6969D4A5" w14:textId="77777777" w:rsidR="005E4C23" w:rsidRPr="005E4C23" w:rsidRDefault="00FC1F4F" w:rsidP="00FC1F4F">
      <w:pPr>
        <w:spacing w:before="240" w:after="120" w:line="360" w:lineRule="auto"/>
        <w:jc w:val="both"/>
        <w:rPr>
          <w:rFonts w:ascii="Times New Roman" w:eastAsia="Times New Roman" w:hAnsi="Times New Roman" w:cs="Times New Roman"/>
          <w:sz w:val="24"/>
          <w:szCs w:val="24"/>
          <w:lang w:val="en-US"/>
        </w:rPr>
      </w:pPr>
      <w:r w:rsidRPr="00FC1F4F">
        <w:rPr>
          <w:rFonts w:ascii="Times New Roman" w:eastAsia="Times New Roman" w:hAnsi="Times New Roman" w:cs="Times New Roman"/>
          <w:sz w:val="24"/>
          <w:szCs w:val="24"/>
          <w:lang w:val="en-US"/>
        </w:rPr>
        <w:t>Therefore, the role of secondary prevention in reducing adverse cardiovascular events in patients with coronary heart disease (CHD) is well established. Cardiac rehabilitation is an evidence-based, multimodal intervention including exercise training, dietary counselling and nutrition advice, smoking cessation and psychosocial support. Still, these standardised patient follow-up programmes effectively reduce mortality and readmissions, while improving quality of life (Anderson et al., 2016; NICE, 2023). Nevertheless, even when awareness is high, socio-economic barriers and service shortages continue to limit access, rendering these efforts inequitable.</w:t>
      </w:r>
      <w:r w:rsidRPr="00FC1F4F">
        <w:rPr>
          <w:rFonts w:ascii="Times New Roman" w:eastAsia="Times New Roman" w:hAnsi="Times New Roman" w:cs="Times New Roman"/>
          <w:sz w:val="24"/>
          <w:szCs w:val="24"/>
          <w:lang w:val="en-US"/>
        </w:rPr>
        <w:br/>
        <w:t>Population-level strategies increase impact. Risk factors across society are tackled through smoke-free laws, food reformulation, advertising restrictions and obesity reduction programmes. Geoffrey Rose’s prevention paradox holds that some preventive interventions may achieve better results through modest reductions in risk across the general population rather than targeting specific high-risk individuals</w:t>
      </w:r>
      <w:r w:rsidR="005E4C23" w:rsidRPr="005E4C23">
        <w:rPr>
          <w:rFonts w:ascii="Times New Roman" w:eastAsia="Times New Roman" w:hAnsi="Times New Roman" w:cs="Times New Roman"/>
          <w:sz w:val="24"/>
          <w:szCs w:val="24"/>
          <w:lang w:val="en-US"/>
        </w:rPr>
        <w:t>.</w:t>
      </w:r>
    </w:p>
    <w:p w14:paraId="1C0FA56B" w14:textId="77777777" w:rsidR="005E4C23" w:rsidRPr="005E4C23" w:rsidRDefault="005E4C23" w:rsidP="005E4C23">
      <w:pPr>
        <w:pStyle w:val="Heading1"/>
      </w:pPr>
      <w:bookmarkStart w:id="5" w:name="_Toc236260961"/>
      <w:r w:rsidRPr="005E4C23">
        <w:t>Consequences of Coronary Heart Disease for Individuals and Communities</w:t>
      </w:r>
      <w:bookmarkEnd w:id="5"/>
    </w:p>
    <w:p w14:paraId="1F49CDCB" w14:textId="77777777" w:rsidR="005E4C23" w:rsidRPr="005E4C23" w:rsidRDefault="005E4C23" w:rsidP="005E4C23">
      <w:pPr>
        <w:spacing w:before="240" w:after="120" w:line="360" w:lineRule="auto"/>
        <w:jc w:val="both"/>
        <w:rPr>
          <w:rFonts w:ascii="Times New Roman" w:eastAsia="Times New Roman" w:hAnsi="Times New Roman" w:cs="Times New Roman"/>
          <w:sz w:val="24"/>
          <w:szCs w:val="24"/>
          <w:lang w:val="en-US"/>
        </w:rPr>
      </w:pPr>
      <w:r w:rsidRPr="005E4C23">
        <w:rPr>
          <w:rFonts w:ascii="Times New Roman" w:eastAsia="Times New Roman" w:hAnsi="Times New Roman" w:cs="Times New Roman"/>
          <w:sz w:val="24"/>
          <w:szCs w:val="24"/>
          <w:lang w:val="en-US"/>
        </w:rPr>
        <w:lastRenderedPageBreak/>
        <w:t>CHD has consequences beyond the clinical, affecting psychosocial wellbeing and economic security at three levels of community resources. Clinically, CHD is associated with heart failure, arrhythmias and increased mortality. Survivors frequently have long-term disability such as fatigue, angina and breathlessness, which can subsequently lead to a loss of independence. Anxiety, depression, and the recurrence of fear; depression tends to be more related to poor adherence and greater mortality (NICE, 2022). Hence, holistic care is the need of the hour to improve both physical and mental health outcomes.</w:t>
      </w:r>
    </w:p>
    <w:p w14:paraId="6D68A901" w14:textId="77777777" w:rsidR="005E4C23" w:rsidRPr="005E4C23" w:rsidRDefault="005E4C23" w:rsidP="005E4C23">
      <w:pPr>
        <w:spacing w:before="240" w:after="120" w:line="360" w:lineRule="auto"/>
        <w:jc w:val="both"/>
        <w:rPr>
          <w:rFonts w:ascii="Times New Roman" w:eastAsia="Times New Roman" w:hAnsi="Times New Roman" w:cs="Times New Roman"/>
          <w:sz w:val="24"/>
          <w:szCs w:val="24"/>
          <w:lang w:val="en-US"/>
        </w:rPr>
      </w:pPr>
      <w:r w:rsidRPr="005E4C23">
        <w:rPr>
          <w:rFonts w:ascii="Times New Roman" w:eastAsia="Times New Roman" w:hAnsi="Times New Roman" w:cs="Times New Roman"/>
          <w:sz w:val="24"/>
          <w:szCs w:val="24"/>
          <w:lang w:val="en-US"/>
        </w:rPr>
        <w:t>Socioeconomically, work capacity is affected, sickness absence increases, and economic hardship may result from CHD. Caregiving also puts some families under further economic and mental distress. The increased prevalence of CHD directly increases the need for access to safe and effective health care, social services and community-based rehabilitation (British Heart Foundation 2025) among a population that is already multi-morbid, with annual economic cost estimates running into billions of pounds. CHD is prevalent among deprived populations because of structural inequalities, not just the choice of individuals in terms of risk exposure and care. Responses that deal with social determinants and behavioural factors are more likely to be effective.</w:t>
      </w:r>
    </w:p>
    <w:p w14:paraId="63287768" w14:textId="77777777" w:rsidR="00794963" w:rsidRDefault="00794963" w:rsidP="00794963">
      <w:pPr>
        <w:pStyle w:val="Heading1"/>
      </w:pPr>
      <w:r w:rsidRPr="00794963">
        <w:t>Health and Social Care Su</w:t>
      </w:r>
      <w:r>
        <w:t>pport Services in the Community</w:t>
      </w:r>
    </w:p>
    <w:p w14:paraId="2279CE23" w14:textId="77777777" w:rsidR="00794963" w:rsidRPr="00794963" w:rsidRDefault="00794963" w:rsidP="00794963">
      <w:pPr>
        <w:spacing w:before="240" w:after="120" w:line="360" w:lineRule="auto"/>
        <w:jc w:val="both"/>
        <w:rPr>
          <w:rFonts w:ascii="Times New Roman" w:eastAsia="Times New Roman" w:hAnsi="Times New Roman" w:cs="Times New Roman"/>
          <w:sz w:val="24"/>
          <w:szCs w:val="24"/>
          <w:lang w:val="en-US"/>
        </w:rPr>
      </w:pPr>
      <w:r w:rsidRPr="00794963">
        <w:rPr>
          <w:rFonts w:ascii="Times New Roman" w:eastAsia="Times New Roman" w:hAnsi="Times New Roman" w:cs="Times New Roman"/>
          <w:sz w:val="24"/>
          <w:szCs w:val="24"/>
          <w:lang w:val="en-US"/>
        </w:rPr>
        <w:t>Complex CHD needs a co-ordinated, multi-disciplinary approach to community management. Long-term care is managed by general practitioners, with regular screenings, medication optimisation, and referrals to specialists. A total practice nurse monitors risk factors and provides ongoing health education. With the help of Medication adherence to prevent hospitalisations, community pharmacists promote.</w:t>
      </w:r>
    </w:p>
    <w:p w14:paraId="35E5EA22" w14:textId="77777777" w:rsidR="00794963" w:rsidRPr="00794963" w:rsidRDefault="00794963" w:rsidP="00794963">
      <w:pPr>
        <w:spacing w:before="240" w:after="120" w:line="360" w:lineRule="auto"/>
        <w:jc w:val="both"/>
        <w:rPr>
          <w:rFonts w:ascii="Times New Roman" w:eastAsia="Times New Roman" w:hAnsi="Times New Roman" w:cs="Times New Roman"/>
          <w:sz w:val="24"/>
          <w:szCs w:val="24"/>
          <w:lang w:val="en-US"/>
        </w:rPr>
      </w:pPr>
      <w:r w:rsidRPr="00794963">
        <w:rPr>
          <w:rFonts w:ascii="Times New Roman" w:eastAsia="Times New Roman" w:hAnsi="Times New Roman" w:cs="Times New Roman"/>
          <w:sz w:val="24"/>
          <w:szCs w:val="24"/>
          <w:lang w:val="en-US"/>
        </w:rPr>
        <w:t>Targeted programmes designed to aid recovery and self-management are typically delivered under the supervision of healthcare professionals, including specialist cardiac rehabilitation teams (e.g. cardiologists, nurses, physiotherapists, dietitians, psychologists or occupational therapists) (NICE 2023). Though the programmes have been demonstrated to work, availability remains sporadic. This will require expanded infrastructure and the dismantling of barriers to transport and socioeconomic disadvantage.</w:t>
      </w:r>
    </w:p>
    <w:p w14:paraId="5053F6E3" w14:textId="77777777" w:rsidR="00794963" w:rsidRPr="00794963" w:rsidRDefault="00794963" w:rsidP="00794963">
      <w:pPr>
        <w:spacing w:before="240" w:after="120" w:line="360" w:lineRule="auto"/>
        <w:jc w:val="both"/>
        <w:rPr>
          <w:rFonts w:ascii="Times New Roman" w:eastAsia="Times New Roman" w:hAnsi="Times New Roman" w:cs="Times New Roman"/>
          <w:sz w:val="24"/>
          <w:szCs w:val="24"/>
          <w:lang w:val="en-US"/>
        </w:rPr>
      </w:pPr>
      <w:r w:rsidRPr="00794963">
        <w:rPr>
          <w:rFonts w:ascii="Times New Roman" w:eastAsia="Times New Roman" w:hAnsi="Times New Roman" w:cs="Times New Roman"/>
          <w:sz w:val="24"/>
          <w:szCs w:val="24"/>
          <w:lang w:val="en-US"/>
        </w:rPr>
        <w:lastRenderedPageBreak/>
        <w:t>This approach requires cardiovascular services to have a comprehensive strategy for addressing anxiety, depression and adjustment that combines counselling, cognitive behavioural therapy and peer support. The available literature suggests that these services improve quality of life and adherence, while decreasing recurrent events. Social care services, such as domiciliary care, occupational therapy and home adaptations to assist patients who struggle with daily living activities are also necessary. Article continues after advertisement. Peer support, community programmes, and education initiatives delivered by voluntary organisations such as the British Heart Foundation can complement statutory services and help reduce social isolation.</w:t>
      </w:r>
    </w:p>
    <w:p w14:paraId="403348D1" w14:textId="77777777" w:rsidR="00794963" w:rsidRDefault="00794963" w:rsidP="00794963">
      <w:pPr>
        <w:spacing w:before="240" w:after="120" w:line="360" w:lineRule="auto"/>
        <w:jc w:val="both"/>
        <w:rPr>
          <w:rFonts w:ascii="Times New Roman" w:eastAsia="Times New Roman" w:hAnsi="Times New Roman" w:cs="Times New Roman"/>
          <w:sz w:val="24"/>
          <w:szCs w:val="24"/>
          <w:lang w:val="en-US"/>
        </w:rPr>
      </w:pPr>
      <w:r w:rsidRPr="00794963">
        <w:rPr>
          <w:rFonts w:ascii="Times New Roman" w:eastAsia="Times New Roman" w:hAnsi="Times New Roman" w:cs="Times New Roman"/>
          <w:sz w:val="24"/>
          <w:szCs w:val="24"/>
          <w:lang w:val="en-US"/>
        </w:rPr>
        <w:t>A developing trend is the availability of hospital-based services through digital tools, remote monitoring, telemedicine and mobile health apps. However, older adults and disadvantaged populations continue to be the most at risk for digital exclusion. To respond to this challenge, policy measures that enable responsive, person-centred approaches and a combination of digital and face-to-face support</w:t>
      </w:r>
      <w:r>
        <w:rPr>
          <w:rFonts w:ascii="Times New Roman" w:eastAsia="Times New Roman" w:hAnsi="Times New Roman" w:cs="Times New Roman"/>
          <w:sz w:val="24"/>
          <w:szCs w:val="24"/>
          <w:lang w:val="en-US"/>
        </w:rPr>
        <w:t xml:space="preserve"> for equal access are required.</w:t>
      </w:r>
    </w:p>
    <w:p w14:paraId="0A7D586A" w14:textId="77777777" w:rsidR="00794963" w:rsidRPr="00794963" w:rsidRDefault="00794963" w:rsidP="00794963">
      <w:pPr>
        <w:spacing w:before="240" w:after="120" w:line="360" w:lineRule="auto"/>
        <w:jc w:val="both"/>
        <w:rPr>
          <w:rFonts w:ascii="Times New Roman" w:eastAsia="Times New Roman" w:hAnsi="Times New Roman" w:cs="Times New Roman"/>
          <w:sz w:val="24"/>
          <w:szCs w:val="24"/>
          <w:lang w:val="en-US"/>
        </w:rPr>
      </w:pPr>
      <w:r w:rsidRPr="00794963">
        <w:rPr>
          <w:rFonts w:ascii="Times New Roman" w:eastAsia="Times New Roman" w:hAnsi="Times New Roman" w:cs="Times New Roman"/>
          <w:sz w:val="24"/>
          <w:szCs w:val="24"/>
          <w:lang w:val="en-US"/>
        </w:rPr>
        <w:t>Ultimately, the prevention and management of CHD calls for an integrated, multilevel approach to measurement and intervention. Epidemiological surveillance, clinical evaluation and national audits form the basis for strong monitoring. Prevention/control requires integrative public health, pharmacological and behavioural strategies; while effective community management is achieved through multidisciplinary, evidence-based/equity care. Well-coordinated care across clinical, psychological and social support is needed to alleviate the burden of disease from CHD across the UK patient and society population. Hence, robust interdisciplinary collaboration is essential to mitigate risk, ensure continuity of care, and achieve positive long-term outcomes for older adults at risk (World Health Professions Alliance, 2019).</w:t>
      </w:r>
    </w:p>
    <w:p w14:paraId="05B58FDC" w14:textId="77777777" w:rsidR="00794963" w:rsidRDefault="00794963" w:rsidP="00794963">
      <w:pPr>
        <w:spacing w:before="240" w:after="120" w:line="360" w:lineRule="auto"/>
        <w:jc w:val="both"/>
        <w:rPr>
          <w:rFonts w:ascii="Times New Roman" w:eastAsia="Times New Roman" w:hAnsi="Times New Roman" w:cs="Times New Roman"/>
          <w:sz w:val="24"/>
          <w:szCs w:val="24"/>
          <w:lang w:val="en-US"/>
        </w:rPr>
      </w:pPr>
    </w:p>
    <w:p w14:paraId="215CAAFD" w14:textId="77777777" w:rsidR="00794963" w:rsidRPr="00794963" w:rsidRDefault="00794963" w:rsidP="00794963">
      <w:pPr>
        <w:spacing w:before="240" w:after="120" w:line="360" w:lineRule="auto"/>
        <w:jc w:val="both"/>
        <w:rPr>
          <w:rFonts w:ascii="Times New Roman" w:eastAsia="Times New Roman" w:hAnsi="Times New Roman" w:cs="Times New Roman"/>
          <w:sz w:val="24"/>
          <w:szCs w:val="24"/>
          <w:lang w:val="en-US"/>
        </w:rPr>
      </w:pPr>
    </w:p>
    <w:p w14:paraId="7B186AFF" w14:textId="77777777" w:rsidR="00794963" w:rsidRDefault="00794963" w:rsidP="00794963">
      <w:pPr>
        <w:pStyle w:val="Heading1"/>
      </w:pPr>
    </w:p>
    <w:p w14:paraId="72CDB697" w14:textId="77777777" w:rsidR="00794963" w:rsidRDefault="00794963" w:rsidP="00794963">
      <w:pPr>
        <w:pStyle w:val="Heading1"/>
      </w:pPr>
      <w:r>
        <w:t>Conclusion</w:t>
      </w:r>
    </w:p>
    <w:p w14:paraId="58E2A5BB" w14:textId="77777777" w:rsidR="00794963" w:rsidRPr="00794963" w:rsidRDefault="00794963" w:rsidP="00794963">
      <w:pPr>
        <w:spacing w:before="240" w:after="120" w:line="360" w:lineRule="auto"/>
        <w:jc w:val="both"/>
        <w:rPr>
          <w:rFonts w:ascii="Times New Roman" w:eastAsia="Times New Roman" w:hAnsi="Times New Roman" w:cs="Times New Roman"/>
          <w:sz w:val="24"/>
          <w:szCs w:val="24"/>
          <w:lang w:val="en-US"/>
        </w:rPr>
      </w:pPr>
      <w:r w:rsidRPr="00794963">
        <w:rPr>
          <w:rFonts w:ascii="Times New Roman" w:eastAsia="Times New Roman" w:hAnsi="Times New Roman" w:cs="Times New Roman"/>
          <w:sz w:val="24"/>
          <w:szCs w:val="24"/>
          <w:lang w:val="en-US"/>
        </w:rPr>
        <w:lastRenderedPageBreak/>
        <w:t>Coronary heart disease continues to be an important public-health issue worldwide as well as in the UK. Given its high prevalence and preventable risk factors, this poses a significant burden for patients and their healthcare systems. Although improved surveillance, diagnostics, and treatment have contributed to increases in survival rates, real advances depend on integrated non-medical action. Real progress is made when professionals detect early, prevent and tackle the overarching socio-economic determinants of health by enacting all-in health and social care policies. By minimising the burden of coronary heart disease and health inequities through the promotion of community-level adoption of heart-healthy lifestyles, whole-population approaches can help communities become more resilient.</w:t>
      </w:r>
    </w:p>
    <w:p w14:paraId="09FCDFE9" w14:textId="77777777" w:rsidR="00794963" w:rsidRPr="00794963" w:rsidRDefault="00794963" w:rsidP="00794963">
      <w:pPr>
        <w:spacing w:after="120" w:line="240" w:lineRule="auto"/>
        <w:rPr>
          <w:rFonts w:ascii="Times New Roman" w:eastAsia="Times New Roman" w:hAnsi="Times New Roman" w:cs="Times New Roman"/>
          <w:sz w:val="24"/>
          <w:szCs w:val="24"/>
          <w:lang w:val="en-US"/>
        </w:rPr>
      </w:pPr>
    </w:p>
    <w:p w14:paraId="4526B37A" w14:textId="77777777" w:rsidR="00794963" w:rsidRPr="00794963" w:rsidRDefault="00794963" w:rsidP="00794963">
      <w:pPr>
        <w:spacing w:after="120" w:line="240" w:lineRule="auto"/>
        <w:rPr>
          <w:rFonts w:ascii="Times New Roman" w:eastAsia="Times New Roman" w:hAnsi="Times New Roman" w:cs="Times New Roman"/>
          <w:sz w:val="24"/>
          <w:szCs w:val="24"/>
          <w:lang w:val="en-US"/>
        </w:rPr>
      </w:pPr>
    </w:p>
    <w:p w14:paraId="0530A655" w14:textId="6EFA4D3B" w:rsidR="005E4C23" w:rsidRPr="005E4C23" w:rsidRDefault="005E4C23" w:rsidP="005E4C23">
      <w:pPr>
        <w:pStyle w:val="Heading1"/>
      </w:pPr>
      <w:bookmarkStart w:id="6" w:name="_Toc236260964"/>
      <w:bookmarkStart w:id="7" w:name="_GoBack"/>
      <w:bookmarkEnd w:id="7"/>
      <w:r w:rsidRPr="005E4C23">
        <w:t>References</w:t>
      </w:r>
      <w:bookmarkEnd w:id="6"/>
    </w:p>
    <w:p w14:paraId="3669BD75"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Anderson, L., Thompson, D.R., Oldridge, N., Zwisler, A.D., Rees, K., Martin, N. and Taylor, R.S. (2016) ‘Exercise-based cardiac rehabilitation for coronary heart disease’, </w:t>
      </w:r>
      <w:r w:rsidRPr="005E4C23">
        <w:rPr>
          <w:rFonts w:ascii="Times New Roman" w:hAnsi="Times New Roman" w:cs="Times New Roman"/>
          <w:i/>
          <w:iCs/>
          <w:sz w:val="24"/>
          <w:szCs w:val="24"/>
        </w:rPr>
        <w:t>Cochrane Database of Systematic Reviews</w:t>
      </w:r>
      <w:r w:rsidRPr="005E4C23">
        <w:rPr>
          <w:rFonts w:ascii="Times New Roman" w:hAnsi="Times New Roman" w:cs="Times New Roman"/>
          <w:sz w:val="24"/>
          <w:szCs w:val="24"/>
        </w:rPr>
        <w:t xml:space="preserve">, 2016(1), CD001800. Available at: </w:t>
      </w:r>
      <w:hyperlink r:id="rId7" w:history="1">
        <w:r w:rsidRPr="005E4C23">
          <w:rPr>
            <w:rStyle w:val="Hyperlink"/>
            <w:rFonts w:ascii="Times New Roman" w:hAnsi="Times New Roman" w:cs="Times New Roman"/>
            <w:sz w:val="24"/>
            <w:szCs w:val="24"/>
          </w:rPr>
          <w:t>https://doi.org/10.1002/14651858.CD001800.pub3</w:t>
        </w:r>
      </w:hyperlink>
    </w:p>
    <w:p w14:paraId="1195FC49"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British Heart Foundation (2025) </w:t>
      </w:r>
      <w:r w:rsidRPr="005E4C23">
        <w:rPr>
          <w:rFonts w:ascii="Times New Roman" w:hAnsi="Times New Roman" w:cs="Times New Roman"/>
          <w:i/>
          <w:iCs/>
          <w:sz w:val="24"/>
          <w:szCs w:val="24"/>
        </w:rPr>
        <w:t>UK Factsheet</w:t>
      </w:r>
      <w:r w:rsidRPr="005E4C23">
        <w:rPr>
          <w:rFonts w:ascii="Times New Roman" w:hAnsi="Times New Roman" w:cs="Times New Roman"/>
          <w:sz w:val="24"/>
          <w:szCs w:val="24"/>
        </w:rPr>
        <w:t xml:space="preserve">. London: British Heart Foundation. Available at: </w:t>
      </w:r>
      <w:hyperlink r:id="rId8" w:history="1">
        <w:r w:rsidRPr="005E4C23">
          <w:rPr>
            <w:rStyle w:val="Hyperlink"/>
            <w:rFonts w:ascii="Times New Roman" w:hAnsi="Times New Roman" w:cs="Times New Roman"/>
            <w:sz w:val="24"/>
            <w:szCs w:val="24"/>
          </w:rPr>
          <w:t>https://www.bhf.org.uk/what-we-do/our-research/heart-statistics</w:t>
        </w:r>
      </w:hyperlink>
      <w:r w:rsidRPr="005E4C23">
        <w:rPr>
          <w:rFonts w:ascii="Times New Roman" w:hAnsi="Times New Roman" w:cs="Times New Roman"/>
          <w:sz w:val="24"/>
          <w:szCs w:val="24"/>
        </w:rPr>
        <w:t xml:space="preserve"> (Accessed: 29 July 2026).</w:t>
      </w:r>
    </w:p>
    <w:p w14:paraId="41FC3AA3"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European Society of Cardiology (2024). </w:t>
      </w:r>
      <w:r w:rsidRPr="005E4C23">
        <w:rPr>
          <w:rFonts w:ascii="Times New Roman" w:hAnsi="Times New Roman" w:cs="Times New Roman"/>
          <w:i/>
          <w:iCs/>
          <w:sz w:val="24"/>
          <w:szCs w:val="24"/>
        </w:rPr>
        <w:t>2024 ESC Guidelines for the Management of Chronic Coronary Syndromes</w:t>
      </w:r>
      <w:r w:rsidRPr="005E4C23">
        <w:rPr>
          <w:rFonts w:ascii="Times New Roman" w:hAnsi="Times New Roman" w:cs="Times New Roman"/>
          <w:sz w:val="24"/>
          <w:szCs w:val="24"/>
        </w:rPr>
        <w:t xml:space="preserve">. </w:t>
      </w:r>
      <w:r w:rsidRPr="005E4C23">
        <w:rPr>
          <w:rFonts w:ascii="Times New Roman" w:hAnsi="Times New Roman" w:cs="Times New Roman"/>
          <w:i/>
          <w:iCs/>
          <w:sz w:val="24"/>
          <w:szCs w:val="24"/>
        </w:rPr>
        <w:t>European Heart Journal</w:t>
      </w:r>
      <w:r w:rsidRPr="005E4C23">
        <w:rPr>
          <w:rFonts w:ascii="Times New Roman" w:hAnsi="Times New Roman" w:cs="Times New Roman"/>
          <w:sz w:val="24"/>
          <w:szCs w:val="24"/>
        </w:rPr>
        <w:t xml:space="preserve">, 45(36), pp. 3415–3537. Available at: </w:t>
      </w:r>
      <w:hyperlink r:id="rId9" w:history="1">
        <w:r w:rsidRPr="005E4C23">
          <w:rPr>
            <w:rStyle w:val="Hyperlink"/>
            <w:rFonts w:ascii="Times New Roman" w:hAnsi="Times New Roman" w:cs="Times New Roman"/>
            <w:sz w:val="24"/>
            <w:szCs w:val="24"/>
          </w:rPr>
          <w:t>https://academic.oup.com/eurheartj</w:t>
        </w:r>
      </w:hyperlink>
    </w:p>
    <w:p w14:paraId="046248F3"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Khanji, M.Y., van Waardhuizen, C.N., Bicalho, V.V.S., Ferket, B.S. and Hunink, M.G.M. (2019) ‘Lifestyle advice and interventions for cardiovascular risk reduction: A systematic review of guidelines’, </w:t>
      </w:r>
      <w:r w:rsidRPr="005E4C23">
        <w:rPr>
          <w:rFonts w:ascii="Times New Roman" w:hAnsi="Times New Roman" w:cs="Times New Roman"/>
          <w:i/>
          <w:iCs/>
          <w:sz w:val="24"/>
          <w:szCs w:val="24"/>
        </w:rPr>
        <w:t>International Journal of Cardiology</w:t>
      </w:r>
      <w:r w:rsidRPr="005E4C23">
        <w:rPr>
          <w:rFonts w:ascii="Times New Roman" w:hAnsi="Times New Roman" w:cs="Times New Roman"/>
          <w:sz w:val="24"/>
          <w:szCs w:val="24"/>
        </w:rPr>
        <w:t xml:space="preserve">, 274, pp. 280–286. Available at: </w:t>
      </w:r>
      <w:hyperlink r:id="rId10" w:history="1">
        <w:r w:rsidRPr="005E4C23">
          <w:rPr>
            <w:rStyle w:val="Hyperlink"/>
            <w:rFonts w:ascii="Times New Roman" w:hAnsi="Times New Roman" w:cs="Times New Roman"/>
            <w:sz w:val="24"/>
            <w:szCs w:val="24"/>
          </w:rPr>
          <w:t>https://doi.org/10.1016/j.ijcard.2018.09.060</w:t>
        </w:r>
      </w:hyperlink>
    </w:p>
    <w:p w14:paraId="49953B90"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Marmot, M., Allen, J., Boyce, T., Goldblatt, P. and Morrison, J. (2020) </w:t>
      </w:r>
      <w:r w:rsidRPr="005E4C23">
        <w:rPr>
          <w:rFonts w:ascii="Times New Roman" w:hAnsi="Times New Roman" w:cs="Times New Roman"/>
          <w:i/>
          <w:iCs/>
          <w:sz w:val="24"/>
          <w:szCs w:val="24"/>
        </w:rPr>
        <w:t>Health Equity in England: The Marmot Review 10 Years On</w:t>
      </w:r>
      <w:r w:rsidRPr="005E4C23">
        <w:rPr>
          <w:rFonts w:ascii="Times New Roman" w:hAnsi="Times New Roman" w:cs="Times New Roman"/>
          <w:sz w:val="24"/>
          <w:szCs w:val="24"/>
        </w:rPr>
        <w:t xml:space="preserve">. London: Institute of Health Equity. Available at: </w:t>
      </w:r>
      <w:hyperlink r:id="rId11" w:history="1">
        <w:r w:rsidRPr="005E4C23">
          <w:rPr>
            <w:rStyle w:val="Hyperlink"/>
            <w:rFonts w:ascii="Times New Roman" w:hAnsi="Times New Roman" w:cs="Times New Roman"/>
            <w:sz w:val="24"/>
            <w:szCs w:val="24"/>
          </w:rPr>
          <w:t>https://www.health.org.uk/publications/reports/the-marmot-review-10-years-on</w:t>
        </w:r>
      </w:hyperlink>
    </w:p>
    <w:p w14:paraId="7D1AE05F"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lastRenderedPageBreak/>
        <w:t xml:space="preserve">National Institute for Cardiovascular Outcomes Research (NICOR) (2024) </w:t>
      </w:r>
      <w:r w:rsidRPr="005E4C23">
        <w:rPr>
          <w:rFonts w:ascii="Times New Roman" w:hAnsi="Times New Roman" w:cs="Times New Roman"/>
          <w:i/>
          <w:iCs/>
          <w:sz w:val="24"/>
          <w:szCs w:val="24"/>
        </w:rPr>
        <w:t>NICOR National Cardiac Audit Programme (NCAP): Annual Report 2024</w:t>
      </w:r>
      <w:r w:rsidRPr="005E4C23">
        <w:rPr>
          <w:rFonts w:ascii="Times New Roman" w:hAnsi="Times New Roman" w:cs="Times New Roman"/>
          <w:sz w:val="24"/>
          <w:szCs w:val="24"/>
        </w:rPr>
        <w:t xml:space="preserve">. London: NICOR. Available at: </w:t>
      </w:r>
      <w:hyperlink r:id="rId12" w:history="1">
        <w:r w:rsidRPr="005E4C23">
          <w:rPr>
            <w:rStyle w:val="Hyperlink"/>
            <w:rFonts w:ascii="Times New Roman" w:hAnsi="Times New Roman" w:cs="Times New Roman"/>
            <w:sz w:val="24"/>
            <w:szCs w:val="24"/>
          </w:rPr>
          <w:t>https://www.nicor.org.uk</w:t>
        </w:r>
      </w:hyperlink>
    </w:p>
    <w:p w14:paraId="0B1E8D48"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National Institute for Health and Care Excellence (NICE) (2021) </w:t>
      </w:r>
      <w:r w:rsidRPr="005E4C23">
        <w:rPr>
          <w:rFonts w:ascii="Times New Roman" w:hAnsi="Times New Roman" w:cs="Times New Roman"/>
          <w:i/>
          <w:iCs/>
          <w:sz w:val="24"/>
          <w:szCs w:val="24"/>
        </w:rPr>
        <w:t>Tobacco: Preventing Uptake, Promoting Quitting and Treating Dependence (NG209)</w:t>
      </w:r>
      <w:r w:rsidRPr="005E4C23">
        <w:rPr>
          <w:rFonts w:ascii="Times New Roman" w:hAnsi="Times New Roman" w:cs="Times New Roman"/>
          <w:sz w:val="24"/>
          <w:szCs w:val="24"/>
        </w:rPr>
        <w:t xml:space="preserve">. London: NICE. Available at: </w:t>
      </w:r>
      <w:hyperlink r:id="rId13" w:history="1">
        <w:r w:rsidRPr="005E4C23">
          <w:rPr>
            <w:rStyle w:val="Hyperlink"/>
            <w:rFonts w:ascii="Times New Roman" w:hAnsi="Times New Roman" w:cs="Times New Roman"/>
            <w:sz w:val="24"/>
            <w:szCs w:val="24"/>
          </w:rPr>
          <w:t>https://www.nice.org.uk/guidance/ng209</w:t>
        </w:r>
      </w:hyperlink>
    </w:p>
    <w:p w14:paraId="2E1EC4DF"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National Institute for Health and Care Excellence (NICE) (2022) </w:t>
      </w:r>
      <w:r w:rsidRPr="005E4C23">
        <w:rPr>
          <w:rFonts w:ascii="Times New Roman" w:hAnsi="Times New Roman" w:cs="Times New Roman"/>
          <w:i/>
          <w:iCs/>
          <w:sz w:val="24"/>
          <w:szCs w:val="24"/>
        </w:rPr>
        <w:t>Depression in Adults: Treatment and Management (NG222)</w:t>
      </w:r>
      <w:r w:rsidRPr="005E4C23">
        <w:rPr>
          <w:rFonts w:ascii="Times New Roman" w:hAnsi="Times New Roman" w:cs="Times New Roman"/>
          <w:sz w:val="24"/>
          <w:szCs w:val="24"/>
        </w:rPr>
        <w:t xml:space="preserve">. London: NICE. Available at: </w:t>
      </w:r>
      <w:hyperlink r:id="rId14" w:history="1">
        <w:r w:rsidRPr="005E4C23">
          <w:rPr>
            <w:rStyle w:val="Hyperlink"/>
            <w:rFonts w:ascii="Times New Roman" w:hAnsi="Times New Roman" w:cs="Times New Roman"/>
            <w:sz w:val="24"/>
            <w:szCs w:val="24"/>
          </w:rPr>
          <w:t>https://www.nice.org.uk/guidance/ng222</w:t>
        </w:r>
      </w:hyperlink>
    </w:p>
    <w:p w14:paraId="6D735DF3"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National Institute for Health and Care Excellence (NICE) (2023) </w:t>
      </w:r>
      <w:r w:rsidRPr="005E4C23">
        <w:rPr>
          <w:rFonts w:ascii="Times New Roman" w:hAnsi="Times New Roman" w:cs="Times New Roman"/>
          <w:i/>
          <w:iCs/>
          <w:sz w:val="24"/>
          <w:szCs w:val="24"/>
        </w:rPr>
        <w:t>Cardiovascular Disease: Risk Assessment and Reduction, Including Lipid Modification (CG181)</w:t>
      </w:r>
      <w:r w:rsidRPr="005E4C23">
        <w:rPr>
          <w:rFonts w:ascii="Times New Roman" w:hAnsi="Times New Roman" w:cs="Times New Roman"/>
          <w:sz w:val="24"/>
          <w:szCs w:val="24"/>
        </w:rPr>
        <w:t xml:space="preserve">. Updated guidance. London: NICE. Available at: </w:t>
      </w:r>
      <w:hyperlink r:id="rId15" w:history="1">
        <w:r w:rsidRPr="005E4C23">
          <w:rPr>
            <w:rStyle w:val="Hyperlink"/>
            <w:rFonts w:ascii="Times New Roman" w:hAnsi="Times New Roman" w:cs="Times New Roman"/>
            <w:sz w:val="24"/>
            <w:szCs w:val="24"/>
          </w:rPr>
          <w:t>https://www.nice.org.uk/guidance/cg181</w:t>
        </w:r>
      </w:hyperlink>
    </w:p>
    <w:p w14:paraId="7DE8234B"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National Institute for Health and Care Excellence (NICE) (2023) </w:t>
      </w:r>
      <w:r w:rsidRPr="005E4C23">
        <w:rPr>
          <w:rFonts w:ascii="Times New Roman" w:hAnsi="Times New Roman" w:cs="Times New Roman"/>
          <w:i/>
          <w:iCs/>
          <w:sz w:val="24"/>
          <w:szCs w:val="24"/>
        </w:rPr>
        <w:t>Chest Pain of Recent Onset: Assessment and Diagnosis (CG95)</w:t>
      </w:r>
      <w:r w:rsidRPr="005E4C23">
        <w:rPr>
          <w:rFonts w:ascii="Times New Roman" w:hAnsi="Times New Roman" w:cs="Times New Roman"/>
          <w:sz w:val="24"/>
          <w:szCs w:val="24"/>
        </w:rPr>
        <w:t xml:space="preserve">. Updated guidance. London: NICE. Available at: </w:t>
      </w:r>
      <w:hyperlink r:id="rId16" w:history="1">
        <w:r w:rsidRPr="005E4C23">
          <w:rPr>
            <w:rStyle w:val="Hyperlink"/>
            <w:rFonts w:ascii="Times New Roman" w:hAnsi="Times New Roman" w:cs="Times New Roman"/>
            <w:sz w:val="24"/>
            <w:szCs w:val="24"/>
          </w:rPr>
          <w:t>https://www.nice.org.uk/guidance/cg95</w:t>
        </w:r>
      </w:hyperlink>
    </w:p>
    <w:p w14:paraId="4D9EE35D"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Office for Health Improvement and Disparities (2024). </w:t>
      </w:r>
      <w:r w:rsidRPr="005E4C23">
        <w:rPr>
          <w:rFonts w:ascii="Times New Roman" w:hAnsi="Times New Roman" w:cs="Times New Roman"/>
          <w:i/>
          <w:iCs/>
          <w:sz w:val="24"/>
          <w:szCs w:val="24"/>
        </w:rPr>
        <w:t>Public Health Profiles: Cardiovascular Disease</w:t>
      </w:r>
      <w:r w:rsidRPr="005E4C23">
        <w:rPr>
          <w:rFonts w:ascii="Times New Roman" w:hAnsi="Times New Roman" w:cs="Times New Roman"/>
          <w:sz w:val="24"/>
          <w:szCs w:val="24"/>
        </w:rPr>
        <w:t xml:space="preserve">. London: UK Department of Health and Social Care. Available at: </w:t>
      </w:r>
      <w:hyperlink r:id="rId17" w:history="1">
        <w:r w:rsidRPr="005E4C23">
          <w:rPr>
            <w:rStyle w:val="Hyperlink"/>
            <w:rFonts w:ascii="Times New Roman" w:hAnsi="Times New Roman" w:cs="Times New Roman"/>
            <w:sz w:val="24"/>
            <w:szCs w:val="24"/>
          </w:rPr>
          <w:t>https://fingertips.phe.org.uk</w:t>
        </w:r>
      </w:hyperlink>
    </w:p>
    <w:p w14:paraId="63854F02"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Office for National Statistics (2024) </w:t>
      </w:r>
      <w:r w:rsidRPr="005E4C23">
        <w:rPr>
          <w:rFonts w:ascii="Times New Roman" w:hAnsi="Times New Roman" w:cs="Times New Roman"/>
          <w:i/>
          <w:iCs/>
          <w:sz w:val="24"/>
          <w:szCs w:val="24"/>
        </w:rPr>
        <w:t>Deaths Registered in England and Wales</w:t>
      </w:r>
      <w:r w:rsidRPr="005E4C23">
        <w:rPr>
          <w:rFonts w:ascii="Times New Roman" w:hAnsi="Times New Roman" w:cs="Times New Roman"/>
          <w:sz w:val="24"/>
          <w:szCs w:val="24"/>
        </w:rPr>
        <w:t xml:space="preserve">. Newport: Office for National Statistics. Available at: </w:t>
      </w:r>
      <w:hyperlink r:id="rId18" w:history="1">
        <w:r w:rsidRPr="005E4C23">
          <w:rPr>
            <w:rStyle w:val="Hyperlink"/>
            <w:rFonts w:ascii="Times New Roman" w:hAnsi="Times New Roman" w:cs="Times New Roman"/>
            <w:sz w:val="24"/>
            <w:szCs w:val="24"/>
          </w:rPr>
          <w:t>https://www.ons.gov.uk</w:t>
        </w:r>
      </w:hyperlink>
    </w:p>
    <w:p w14:paraId="0C34F2F8"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World Health Organisation (2023) </w:t>
      </w:r>
      <w:r w:rsidRPr="005E4C23">
        <w:rPr>
          <w:rFonts w:ascii="Times New Roman" w:hAnsi="Times New Roman" w:cs="Times New Roman"/>
          <w:i/>
          <w:iCs/>
          <w:sz w:val="24"/>
          <w:szCs w:val="24"/>
        </w:rPr>
        <w:t>Cardiovascular Diseases</w:t>
      </w:r>
      <w:r w:rsidRPr="005E4C23">
        <w:rPr>
          <w:rFonts w:ascii="Times New Roman" w:hAnsi="Times New Roman" w:cs="Times New Roman"/>
          <w:sz w:val="24"/>
          <w:szCs w:val="24"/>
        </w:rPr>
        <w:t xml:space="preserve">. Geneva: World Health Organisation. Available at: </w:t>
      </w:r>
      <w:hyperlink r:id="rId19" w:history="1">
        <w:r w:rsidRPr="005E4C23">
          <w:rPr>
            <w:rStyle w:val="Hyperlink"/>
            <w:rFonts w:ascii="Times New Roman" w:hAnsi="Times New Roman" w:cs="Times New Roman"/>
            <w:sz w:val="24"/>
            <w:szCs w:val="24"/>
          </w:rPr>
          <w:t>https://www.who.int/news-room/fact-sheets/detail/cardiovascular-diseases-(cvds)</w:t>
        </w:r>
      </w:hyperlink>
    </w:p>
    <w:p w14:paraId="6659D581"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World Heart Federation (2024). </w:t>
      </w:r>
      <w:r w:rsidRPr="005E4C23">
        <w:rPr>
          <w:rFonts w:ascii="Times New Roman" w:hAnsi="Times New Roman" w:cs="Times New Roman"/>
          <w:i/>
          <w:iCs/>
          <w:sz w:val="24"/>
          <w:szCs w:val="24"/>
        </w:rPr>
        <w:t>World Heart Report 2024</w:t>
      </w:r>
      <w:r w:rsidRPr="005E4C23">
        <w:rPr>
          <w:rFonts w:ascii="Times New Roman" w:hAnsi="Times New Roman" w:cs="Times New Roman"/>
          <w:sz w:val="24"/>
          <w:szCs w:val="24"/>
        </w:rPr>
        <w:t xml:space="preserve">. Geneva: World Heart Federation. Available at: </w:t>
      </w:r>
      <w:hyperlink r:id="rId20" w:history="1">
        <w:r w:rsidRPr="005E4C23">
          <w:rPr>
            <w:rStyle w:val="Hyperlink"/>
            <w:rFonts w:ascii="Times New Roman" w:hAnsi="Times New Roman" w:cs="Times New Roman"/>
            <w:sz w:val="24"/>
            <w:szCs w:val="24"/>
          </w:rPr>
          <w:t>https://world-heart-federation.org/world-heart-report/</w:t>
        </w:r>
      </w:hyperlink>
    </w:p>
    <w:p w14:paraId="1F60A5A9"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t xml:space="preserve">World Health Professions Alliance (2019). </w:t>
      </w:r>
      <w:r w:rsidRPr="005E4C23">
        <w:rPr>
          <w:rFonts w:ascii="Times New Roman" w:hAnsi="Times New Roman" w:cs="Times New Roman"/>
          <w:i/>
          <w:iCs/>
          <w:sz w:val="24"/>
          <w:szCs w:val="24"/>
        </w:rPr>
        <w:t>Strengthening Health Systems Through Interprofessional Collaborative Practice</w:t>
      </w:r>
      <w:r w:rsidRPr="005E4C23">
        <w:rPr>
          <w:rFonts w:ascii="Times New Roman" w:hAnsi="Times New Roman" w:cs="Times New Roman"/>
          <w:sz w:val="24"/>
          <w:szCs w:val="24"/>
        </w:rPr>
        <w:t xml:space="preserve">. Ferney-Voltaire: World Health Professions Alliance. Available at: </w:t>
      </w:r>
      <w:hyperlink r:id="rId21" w:history="1">
        <w:r w:rsidRPr="005E4C23">
          <w:rPr>
            <w:rStyle w:val="Hyperlink"/>
            <w:rFonts w:ascii="Times New Roman" w:hAnsi="Times New Roman" w:cs="Times New Roman"/>
            <w:sz w:val="24"/>
            <w:szCs w:val="24"/>
          </w:rPr>
          <w:t>https://www.whpa.org/publications</w:t>
        </w:r>
      </w:hyperlink>
    </w:p>
    <w:p w14:paraId="59BFF82B" w14:textId="77777777" w:rsidR="005E4C23" w:rsidRPr="005E4C23" w:rsidRDefault="005E4C23" w:rsidP="005E4C23">
      <w:pPr>
        <w:spacing w:line="360" w:lineRule="auto"/>
        <w:jc w:val="both"/>
        <w:rPr>
          <w:rFonts w:ascii="Times New Roman" w:hAnsi="Times New Roman" w:cs="Times New Roman"/>
          <w:sz w:val="24"/>
          <w:szCs w:val="24"/>
        </w:rPr>
      </w:pPr>
      <w:r w:rsidRPr="005E4C23">
        <w:rPr>
          <w:rFonts w:ascii="Times New Roman" w:hAnsi="Times New Roman" w:cs="Times New Roman"/>
          <w:sz w:val="24"/>
          <w:szCs w:val="24"/>
        </w:rPr>
        <w:lastRenderedPageBreak/>
        <w:t xml:space="preserve">NHS England (2024) </w:t>
      </w:r>
      <w:r w:rsidRPr="005E4C23">
        <w:rPr>
          <w:rFonts w:ascii="Times New Roman" w:hAnsi="Times New Roman" w:cs="Times New Roman"/>
          <w:i/>
          <w:iCs/>
          <w:sz w:val="24"/>
          <w:szCs w:val="24"/>
        </w:rPr>
        <w:t>NHS Health Check Programme</w:t>
      </w:r>
      <w:r w:rsidRPr="005E4C23">
        <w:rPr>
          <w:rFonts w:ascii="Times New Roman" w:hAnsi="Times New Roman" w:cs="Times New Roman"/>
          <w:sz w:val="24"/>
          <w:szCs w:val="24"/>
        </w:rPr>
        <w:t xml:space="preserve">. London: NHS England. Available at: </w:t>
      </w:r>
      <w:hyperlink r:id="rId22" w:history="1">
        <w:r w:rsidRPr="005E4C23">
          <w:rPr>
            <w:rStyle w:val="Hyperlink"/>
            <w:rFonts w:ascii="Times New Roman" w:hAnsi="Times New Roman" w:cs="Times New Roman"/>
            <w:sz w:val="24"/>
            <w:szCs w:val="24"/>
          </w:rPr>
          <w:t>https://www.healthcheck.nhs.uk</w:t>
        </w:r>
      </w:hyperlink>
    </w:p>
    <w:p w14:paraId="34A0772B" w14:textId="77777777" w:rsidR="005E4C23" w:rsidRDefault="005E4C23" w:rsidP="005E4C23">
      <w:pPr>
        <w:spacing w:before="240" w:line="360" w:lineRule="auto"/>
        <w:jc w:val="both"/>
      </w:pPr>
    </w:p>
    <w:sectPr w:rsidR="005E4C23">
      <w:footerReference w:type="defaul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6A230C" w14:textId="77777777" w:rsidR="00B764FA" w:rsidRDefault="00B764FA" w:rsidP="005E4C23">
      <w:pPr>
        <w:spacing w:after="0" w:line="240" w:lineRule="auto"/>
      </w:pPr>
      <w:r>
        <w:separator/>
      </w:r>
    </w:p>
  </w:endnote>
  <w:endnote w:type="continuationSeparator" w:id="0">
    <w:p w14:paraId="285D4B8F" w14:textId="77777777" w:rsidR="00B764FA" w:rsidRDefault="00B764FA" w:rsidP="005E4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7447466"/>
      <w:docPartObj>
        <w:docPartGallery w:val="Page Numbers (Bottom of Page)"/>
        <w:docPartUnique/>
      </w:docPartObj>
    </w:sdtPr>
    <w:sdtEndPr>
      <w:rPr>
        <w:noProof/>
      </w:rPr>
    </w:sdtEndPr>
    <w:sdtContent>
      <w:p w14:paraId="5CC172AA" w14:textId="6D038117" w:rsidR="005E4C23" w:rsidRDefault="005E4C23">
        <w:pPr>
          <w:pStyle w:val="Footer"/>
          <w:jc w:val="center"/>
        </w:pPr>
        <w:r>
          <w:fldChar w:fldCharType="begin"/>
        </w:r>
        <w:r>
          <w:instrText xml:space="preserve"> PAGE   \* MERGEFORMAT </w:instrText>
        </w:r>
        <w:r>
          <w:fldChar w:fldCharType="separate"/>
        </w:r>
        <w:r w:rsidR="00534505">
          <w:rPr>
            <w:noProof/>
          </w:rPr>
          <w:t>8</w:t>
        </w:r>
        <w:r>
          <w:rPr>
            <w:noProof/>
          </w:rPr>
          <w:fldChar w:fldCharType="end"/>
        </w:r>
      </w:p>
    </w:sdtContent>
  </w:sdt>
  <w:p w14:paraId="0458D67A" w14:textId="77777777" w:rsidR="005E4C23" w:rsidRDefault="005E4C2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2AA719" w14:textId="77777777" w:rsidR="00B764FA" w:rsidRDefault="00B764FA" w:rsidP="005E4C23">
      <w:pPr>
        <w:spacing w:after="0" w:line="240" w:lineRule="auto"/>
      </w:pPr>
      <w:r>
        <w:separator/>
      </w:r>
    </w:p>
  </w:footnote>
  <w:footnote w:type="continuationSeparator" w:id="0">
    <w:p w14:paraId="7356B708" w14:textId="77777777" w:rsidR="00B764FA" w:rsidRDefault="00B764FA" w:rsidP="005E4C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6E6"/>
    <w:rsid w:val="00062924"/>
    <w:rsid w:val="001C661E"/>
    <w:rsid w:val="0049129B"/>
    <w:rsid w:val="00534505"/>
    <w:rsid w:val="00537914"/>
    <w:rsid w:val="005E4C23"/>
    <w:rsid w:val="00794963"/>
    <w:rsid w:val="007B75F9"/>
    <w:rsid w:val="007C7A1D"/>
    <w:rsid w:val="009166E6"/>
    <w:rsid w:val="00920155"/>
    <w:rsid w:val="00A808F4"/>
    <w:rsid w:val="00B764FA"/>
    <w:rsid w:val="00BA5CB9"/>
    <w:rsid w:val="00C63D76"/>
    <w:rsid w:val="00DB1151"/>
    <w:rsid w:val="00FC1F4F"/>
    <w:rsid w:val="00FF3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2EF56"/>
  <w15:docId w15:val="{D7007AF8-7AA8-0D4C-B2BE-156877E36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autoRedefine/>
    <w:uiPriority w:val="9"/>
    <w:qFormat/>
    <w:rsid w:val="005E4C23"/>
    <w:pPr>
      <w:spacing w:before="120" w:after="120" w:line="360" w:lineRule="auto"/>
      <w:jc w:val="both"/>
      <w:outlineLvl w:val="0"/>
    </w:pPr>
    <w:rPr>
      <w:rFonts w:ascii="Times New Roman" w:eastAsia="Times New Roman" w:hAnsi="Times New Roman" w:cs="Times New Roman"/>
      <w:b/>
      <w:bCs/>
      <w:kern w:val="36"/>
      <w:sz w:val="28"/>
      <w:szCs w:val="24"/>
      <w:lang w:val="en-US"/>
    </w:rPr>
  </w:style>
  <w:style w:type="paragraph" w:styleId="Heading2">
    <w:name w:val="heading 2"/>
    <w:basedOn w:val="Normal"/>
    <w:link w:val="Heading2Char"/>
    <w:autoRedefine/>
    <w:uiPriority w:val="9"/>
    <w:qFormat/>
    <w:rsid w:val="00062924"/>
    <w:pPr>
      <w:spacing w:before="100" w:beforeAutospacing="1" w:after="100" w:afterAutospacing="1" w:line="240" w:lineRule="auto"/>
      <w:outlineLvl w:val="1"/>
    </w:pPr>
    <w:rPr>
      <w:rFonts w:ascii="Times New Roman" w:eastAsia="Times New Roman" w:hAnsi="Times New Roman" w:cs="Times New Roman"/>
      <w:b/>
      <w:bCs/>
      <w:sz w:val="2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C23"/>
    <w:rPr>
      <w:rFonts w:ascii="Times New Roman" w:eastAsia="Times New Roman" w:hAnsi="Times New Roman" w:cs="Times New Roman"/>
      <w:b/>
      <w:bCs/>
      <w:kern w:val="36"/>
      <w:sz w:val="28"/>
      <w:szCs w:val="24"/>
    </w:rPr>
  </w:style>
  <w:style w:type="character" w:customStyle="1" w:styleId="Heading2Char">
    <w:name w:val="Heading 2 Char"/>
    <w:basedOn w:val="DefaultParagraphFont"/>
    <w:link w:val="Heading2"/>
    <w:uiPriority w:val="9"/>
    <w:rsid w:val="00062924"/>
    <w:rPr>
      <w:rFonts w:ascii="Times New Roman" w:eastAsia="Times New Roman" w:hAnsi="Times New Roman" w:cs="Times New Roman"/>
      <w:b/>
      <w:bCs/>
      <w:sz w:val="26"/>
      <w:szCs w:val="36"/>
    </w:rPr>
  </w:style>
  <w:style w:type="character" w:styleId="Hyperlink">
    <w:name w:val="Hyperlink"/>
    <w:basedOn w:val="DefaultParagraphFont"/>
    <w:uiPriority w:val="99"/>
    <w:unhideWhenUsed/>
    <w:rsid w:val="005E4C23"/>
    <w:rPr>
      <w:color w:val="0000FF"/>
      <w:u w:val="single"/>
    </w:rPr>
  </w:style>
  <w:style w:type="paragraph" w:styleId="Header">
    <w:name w:val="header"/>
    <w:basedOn w:val="Normal"/>
    <w:link w:val="HeaderChar"/>
    <w:uiPriority w:val="99"/>
    <w:unhideWhenUsed/>
    <w:rsid w:val="005E4C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C23"/>
    <w:rPr>
      <w:lang w:val="en-GB"/>
    </w:rPr>
  </w:style>
  <w:style w:type="paragraph" w:styleId="Footer">
    <w:name w:val="footer"/>
    <w:basedOn w:val="Normal"/>
    <w:link w:val="FooterChar"/>
    <w:uiPriority w:val="99"/>
    <w:unhideWhenUsed/>
    <w:rsid w:val="005E4C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C23"/>
    <w:rPr>
      <w:lang w:val="en-GB"/>
    </w:rPr>
  </w:style>
  <w:style w:type="paragraph" w:styleId="TOCHeading">
    <w:name w:val="TOC Heading"/>
    <w:basedOn w:val="Heading1"/>
    <w:next w:val="Normal"/>
    <w:uiPriority w:val="39"/>
    <w:unhideWhenUsed/>
    <w:qFormat/>
    <w:rsid w:val="005E4C23"/>
    <w:pPr>
      <w:keepNext/>
      <w:keepLines/>
      <w:spacing w:before="480" w:after="0" w:line="276" w:lineRule="auto"/>
      <w:jc w:val="left"/>
      <w:outlineLvl w:val="9"/>
    </w:pPr>
    <w:rPr>
      <w:rFonts w:asciiTheme="majorHAnsi" w:eastAsiaTheme="majorEastAsia" w:hAnsiTheme="majorHAnsi" w:cstheme="majorBidi"/>
      <w:color w:val="365F91" w:themeColor="accent1" w:themeShade="BF"/>
      <w:kern w:val="0"/>
      <w:szCs w:val="28"/>
      <w:lang w:eastAsia="ja-JP"/>
    </w:rPr>
  </w:style>
  <w:style w:type="paragraph" w:styleId="TOC1">
    <w:name w:val="toc 1"/>
    <w:basedOn w:val="Normal"/>
    <w:next w:val="Normal"/>
    <w:autoRedefine/>
    <w:uiPriority w:val="39"/>
    <w:unhideWhenUsed/>
    <w:rsid w:val="005E4C23"/>
    <w:pPr>
      <w:spacing w:after="100"/>
    </w:pPr>
  </w:style>
  <w:style w:type="paragraph" w:styleId="TOC2">
    <w:name w:val="toc 2"/>
    <w:basedOn w:val="Normal"/>
    <w:next w:val="Normal"/>
    <w:autoRedefine/>
    <w:uiPriority w:val="39"/>
    <w:unhideWhenUsed/>
    <w:rsid w:val="005E4C23"/>
    <w:pPr>
      <w:spacing w:after="100"/>
      <w:ind w:left="220"/>
    </w:pPr>
  </w:style>
  <w:style w:type="paragraph" w:styleId="BalloonText">
    <w:name w:val="Balloon Text"/>
    <w:basedOn w:val="Normal"/>
    <w:link w:val="BalloonTextChar"/>
    <w:uiPriority w:val="99"/>
    <w:semiHidden/>
    <w:unhideWhenUsed/>
    <w:rsid w:val="005E4C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4C2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840748">
      <w:bodyDiv w:val="1"/>
      <w:marLeft w:val="0"/>
      <w:marRight w:val="0"/>
      <w:marTop w:val="0"/>
      <w:marBottom w:val="0"/>
      <w:divBdr>
        <w:top w:val="none" w:sz="0" w:space="0" w:color="auto"/>
        <w:left w:val="none" w:sz="0" w:space="0" w:color="auto"/>
        <w:bottom w:val="none" w:sz="0" w:space="0" w:color="auto"/>
        <w:right w:val="none" w:sz="0" w:space="0" w:color="auto"/>
      </w:divBdr>
      <w:divsChild>
        <w:div w:id="1536116705">
          <w:marLeft w:val="0"/>
          <w:marRight w:val="0"/>
          <w:marTop w:val="120"/>
          <w:marBottom w:val="120"/>
          <w:divBdr>
            <w:top w:val="none" w:sz="0" w:space="0" w:color="auto"/>
            <w:left w:val="none" w:sz="0" w:space="0" w:color="auto"/>
            <w:bottom w:val="none" w:sz="0" w:space="0" w:color="auto"/>
            <w:right w:val="none" w:sz="0" w:space="0" w:color="auto"/>
          </w:divBdr>
        </w:div>
      </w:divsChild>
    </w:div>
    <w:div w:id="430858059">
      <w:bodyDiv w:val="1"/>
      <w:marLeft w:val="0"/>
      <w:marRight w:val="0"/>
      <w:marTop w:val="0"/>
      <w:marBottom w:val="0"/>
      <w:divBdr>
        <w:top w:val="none" w:sz="0" w:space="0" w:color="auto"/>
        <w:left w:val="none" w:sz="0" w:space="0" w:color="auto"/>
        <w:bottom w:val="none" w:sz="0" w:space="0" w:color="auto"/>
        <w:right w:val="none" w:sz="0" w:space="0" w:color="auto"/>
      </w:divBdr>
      <w:divsChild>
        <w:div w:id="1684896076">
          <w:marLeft w:val="0"/>
          <w:marRight w:val="0"/>
          <w:marTop w:val="120"/>
          <w:marBottom w:val="120"/>
          <w:divBdr>
            <w:top w:val="none" w:sz="0" w:space="0" w:color="auto"/>
            <w:left w:val="none" w:sz="0" w:space="0" w:color="auto"/>
            <w:bottom w:val="none" w:sz="0" w:space="0" w:color="auto"/>
            <w:right w:val="none" w:sz="0" w:space="0" w:color="auto"/>
          </w:divBdr>
        </w:div>
        <w:div w:id="20203832">
          <w:marLeft w:val="0"/>
          <w:marRight w:val="0"/>
          <w:marTop w:val="120"/>
          <w:marBottom w:val="120"/>
          <w:divBdr>
            <w:top w:val="none" w:sz="0" w:space="0" w:color="auto"/>
            <w:left w:val="none" w:sz="0" w:space="0" w:color="auto"/>
            <w:bottom w:val="none" w:sz="0" w:space="0" w:color="auto"/>
            <w:right w:val="none" w:sz="0" w:space="0" w:color="auto"/>
          </w:divBdr>
        </w:div>
      </w:divsChild>
    </w:div>
    <w:div w:id="477574748">
      <w:bodyDiv w:val="1"/>
      <w:marLeft w:val="0"/>
      <w:marRight w:val="0"/>
      <w:marTop w:val="0"/>
      <w:marBottom w:val="0"/>
      <w:divBdr>
        <w:top w:val="none" w:sz="0" w:space="0" w:color="auto"/>
        <w:left w:val="none" w:sz="0" w:space="0" w:color="auto"/>
        <w:bottom w:val="none" w:sz="0" w:space="0" w:color="auto"/>
        <w:right w:val="none" w:sz="0" w:space="0" w:color="auto"/>
      </w:divBdr>
      <w:divsChild>
        <w:div w:id="1032993373">
          <w:marLeft w:val="0"/>
          <w:marRight w:val="0"/>
          <w:marTop w:val="120"/>
          <w:marBottom w:val="120"/>
          <w:divBdr>
            <w:top w:val="none" w:sz="0" w:space="0" w:color="auto"/>
            <w:left w:val="none" w:sz="0" w:space="0" w:color="auto"/>
            <w:bottom w:val="none" w:sz="0" w:space="0" w:color="auto"/>
            <w:right w:val="none" w:sz="0" w:space="0" w:color="auto"/>
          </w:divBdr>
        </w:div>
        <w:div w:id="774060180">
          <w:marLeft w:val="0"/>
          <w:marRight w:val="0"/>
          <w:marTop w:val="120"/>
          <w:marBottom w:val="120"/>
          <w:divBdr>
            <w:top w:val="none" w:sz="0" w:space="0" w:color="auto"/>
            <w:left w:val="none" w:sz="0" w:space="0" w:color="auto"/>
            <w:bottom w:val="none" w:sz="0" w:space="0" w:color="auto"/>
            <w:right w:val="none" w:sz="0" w:space="0" w:color="auto"/>
          </w:divBdr>
        </w:div>
        <w:div w:id="530194620">
          <w:marLeft w:val="0"/>
          <w:marRight w:val="0"/>
          <w:marTop w:val="120"/>
          <w:marBottom w:val="120"/>
          <w:divBdr>
            <w:top w:val="none" w:sz="0" w:space="0" w:color="auto"/>
            <w:left w:val="none" w:sz="0" w:space="0" w:color="auto"/>
            <w:bottom w:val="none" w:sz="0" w:space="0" w:color="auto"/>
            <w:right w:val="none" w:sz="0" w:space="0" w:color="auto"/>
          </w:divBdr>
        </w:div>
        <w:div w:id="1521237918">
          <w:marLeft w:val="0"/>
          <w:marRight w:val="0"/>
          <w:marTop w:val="120"/>
          <w:marBottom w:val="120"/>
          <w:divBdr>
            <w:top w:val="none" w:sz="0" w:space="0" w:color="auto"/>
            <w:left w:val="none" w:sz="0" w:space="0" w:color="auto"/>
            <w:bottom w:val="none" w:sz="0" w:space="0" w:color="auto"/>
            <w:right w:val="none" w:sz="0" w:space="0" w:color="auto"/>
          </w:divBdr>
        </w:div>
      </w:divsChild>
    </w:div>
    <w:div w:id="565459300">
      <w:bodyDiv w:val="1"/>
      <w:marLeft w:val="0"/>
      <w:marRight w:val="0"/>
      <w:marTop w:val="0"/>
      <w:marBottom w:val="0"/>
      <w:divBdr>
        <w:top w:val="none" w:sz="0" w:space="0" w:color="auto"/>
        <w:left w:val="none" w:sz="0" w:space="0" w:color="auto"/>
        <w:bottom w:val="none" w:sz="0" w:space="0" w:color="auto"/>
        <w:right w:val="none" w:sz="0" w:space="0" w:color="auto"/>
      </w:divBdr>
      <w:divsChild>
        <w:div w:id="1933469924">
          <w:marLeft w:val="0"/>
          <w:marRight w:val="0"/>
          <w:marTop w:val="120"/>
          <w:marBottom w:val="120"/>
          <w:divBdr>
            <w:top w:val="none" w:sz="0" w:space="0" w:color="auto"/>
            <w:left w:val="none" w:sz="0" w:space="0" w:color="auto"/>
            <w:bottom w:val="none" w:sz="0" w:space="0" w:color="auto"/>
            <w:right w:val="none" w:sz="0" w:space="0" w:color="auto"/>
          </w:divBdr>
        </w:div>
      </w:divsChild>
    </w:div>
    <w:div w:id="598493267">
      <w:bodyDiv w:val="1"/>
      <w:marLeft w:val="0"/>
      <w:marRight w:val="0"/>
      <w:marTop w:val="0"/>
      <w:marBottom w:val="0"/>
      <w:divBdr>
        <w:top w:val="none" w:sz="0" w:space="0" w:color="auto"/>
        <w:left w:val="none" w:sz="0" w:space="0" w:color="auto"/>
        <w:bottom w:val="none" w:sz="0" w:space="0" w:color="auto"/>
        <w:right w:val="none" w:sz="0" w:space="0" w:color="auto"/>
      </w:divBdr>
      <w:divsChild>
        <w:div w:id="959385128">
          <w:marLeft w:val="0"/>
          <w:marRight w:val="0"/>
          <w:marTop w:val="120"/>
          <w:marBottom w:val="120"/>
          <w:divBdr>
            <w:top w:val="none" w:sz="0" w:space="0" w:color="auto"/>
            <w:left w:val="none" w:sz="0" w:space="0" w:color="auto"/>
            <w:bottom w:val="none" w:sz="0" w:space="0" w:color="auto"/>
            <w:right w:val="none" w:sz="0" w:space="0" w:color="auto"/>
          </w:divBdr>
        </w:div>
      </w:divsChild>
    </w:div>
    <w:div w:id="748775275">
      <w:bodyDiv w:val="1"/>
      <w:marLeft w:val="0"/>
      <w:marRight w:val="0"/>
      <w:marTop w:val="0"/>
      <w:marBottom w:val="0"/>
      <w:divBdr>
        <w:top w:val="none" w:sz="0" w:space="0" w:color="auto"/>
        <w:left w:val="none" w:sz="0" w:space="0" w:color="auto"/>
        <w:bottom w:val="none" w:sz="0" w:space="0" w:color="auto"/>
        <w:right w:val="none" w:sz="0" w:space="0" w:color="auto"/>
      </w:divBdr>
      <w:divsChild>
        <w:div w:id="1834681826">
          <w:marLeft w:val="0"/>
          <w:marRight w:val="0"/>
          <w:marTop w:val="120"/>
          <w:marBottom w:val="120"/>
          <w:divBdr>
            <w:top w:val="none" w:sz="0" w:space="0" w:color="auto"/>
            <w:left w:val="none" w:sz="0" w:space="0" w:color="auto"/>
            <w:bottom w:val="none" w:sz="0" w:space="0" w:color="auto"/>
            <w:right w:val="none" w:sz="0" w:space="0" w:color="auto"/>
          </w:divBdr>
        </w:div>
      </w:divsChild>
    </w:div>
    <w:div w:id="954412014">
      <w:bodyDiv w:val="1"/>
      <w:marLeft w:val="0"/>
      <w:marRight w:val="0"/>
      <w:marTop w:val="0"/>
      <w:marBottom w:val="0"/>
      <w:divBdr>
        <w:top w:val="none" w:sz="0" w:space="0" w:color="auto"/>
        <w:left w:val="none" w:sz="0" w:space="0" w:color="auto"/>
        <w:bottom w:val="none" w:sz="0" w:space="0" w:color="auto"/>
        <w:right w:val="none" w:sz="0" w:space="0" w:color="auto"/>
      </w:divBdr>
      <w:divsChild>
        <w:div w:id="1754932645">
          <w:marLeft w:val="0"/>
          <w:marRight w:val="0"/>
          <w:marTop w:val="120"/>
          <w:marBottom w:val="120"/>
          <w:divBdr>
            <w:top w:val="none" w:sz="0" w:space="0" w:color="auto"/>
            <w:left w:val="none" w:sz="0" w:space="0" w:color="auto"/>
            <w:bottom w:val="none" w:sz="0" w:space="0" w:color="auto"/>
            <w:right w:val="none" w:sz="0" w:space="0" w:color="auto"/>
          </w:divBdr>
        </w:div>
      </w:divsChild>
    </w:div>
    <w:div w:id="1484853644">
      <w:bodyDiv w:val="1"/>
      <w:marLeft w:val="0"/>
      <w:marRight w:val="0"/>
      <w:marTop w:val="0"/>
      <w:marBottom w:val="0"/>
      <w:divBdr>
        <w:top w:val="none" w:sz="0" w:space="0" w:color="auto"/>
        <w:left w:val="none" w:sz="0" w:space="0" w:color="auto"/>
        <w:bottom w:val="none" w:sz="0" w:space="0" w:color="auto"/>
        <w:right w:val="none" w:sz="0" w:space="0" w:color="auto"/>
      </w:divBdr>
      <w:divsChild>
        <w:div w:id="649794241">
          <w:marLeft w:val="0"/>
          <w:marRight w:val="0"/>
          <w:marTop w:val="120"/>
          <w:marBottom w:val="120"/>
          <w:divBdr>
            <w:top w:val="none" w:sz="0" w:space="0" w:color="auto"/>
            <w:left w:val="none" w:sz="0" w:space="0" w:color="auto"/>
            <w:bottom w:val="none" w:sz="0" w:space="0" w:color="auto"/>
            <w:right w:val="none" w:sz="0" w:space="0" w:color="auto"/>
          </w:divBdr>
        </w:div>
        <w:div w:id="287275224">
          <w:marLeft w:val="0"/>
          <w:marRight w:val="0"/>
          <w:marTop w:val="120"/>
          <w:marBottom w:val="120"/>
          <w:divBdr>
            <w:top w:val="none" w:sz="0" w:space="0" w:color="auto"/>
            <w:left w:val="none" w:sz="0" w:space="0" w:color="auto"/>
            <w:bottom w:val="none" w:sz="0" w:space="0" w:color="auto"/>
            <w:right w:val="none" w:sz="0" w:space="0" w:color="auto"/>
          </w:divBdr>
        </w:div>
        <w:div w:id="828054303">
          <w:marLeft w:val="0"/>
          <w:marRight w:val="0"/>
          <w:marTop w:val="120"/>
          <w:marBottom w:val="120"/>
          <w:divBdr>
            <w:top w:val="none" w:sz="0" w:space="0" w:color="auto"/>
            <w:left w:val="none" w:sz="0" w:space="0" w:color="auto"/>
            <w:bottom w:val="none" w:sz="0" w:space="0" w:color="auto"/>
            <w:right w:val="none" w:sz="0" w:space="0" w:color="auto"/>
          </w:divBdr>
        </w:div>
        <w:div w:id="2102485916">
          <w:marLeft w:val="0"/>
          <w:marRight w:val="0"/>
          <w:marTop w:val="120"/>
          <w:marBottom w:val="120"/>
          <w:divBdr>
            <w:top w:val="none" w:sz="0" w:space="0" w:color="auto"/>
            <w:left w:val="none" w:sz="0" w:space="0" w:color="auto"/>
            <w:bottom w:val="none" w:sz="0" w:space="0" w:color="auto"/>
            <w:right w:val="none" w:sz="0" w:space="0" w:color="auto"/>
          </w:divBdr>
        </w:div>
        <w:div w:id="2048791694">
          <w:marLeft w:val="0"/>
          <w:marRight w:val="0"/>
          <w:marTop w:val="120"/>
          <w:marBottom w:val="120"/>
          <w:divBdr>
            <w:top w:val="none" w:sz="0" w:space="0" w:color="auto"/>
            <w:left w:val="none" w:sz="0" w:space="0" w:color="auto"/>
            <w:bottom w:val="none" w:sz="0" w:space="0" w:color="auto"/>
            <w:right w:val="none" w:sz="0" w:space="0" w:color="auto"/>
          </w:divBdr>
        </w:div>
        <w:div w:id="472478994">
          <w:marLeft w:val="0"/>
          <w:marRight w:val="0"/>
          <w:marTop w:val="120"/>
          <w:marBottom w:val="120"/>
          <w:divBdr>
            <w:top w:val="none" w:sz="0" w:space="0" w:color="auto"/>
            <w:left w:val="none" w:sz="0" w:space="0" w:color="auto"/>
            <w:bottom w:val="none" w:sz="0" w:space="0" w:color="auto"/>
            <w:right w:val="none" w:sz="0" w:space="0" w:color="auto"/>
          </w:divBdr>
        </w:div>
        <w:div w:id="1525552275">
          <w:marLeft w:val="0"/>
          <w:marRight w:val="0"/>
          <w:marTop w:val="120"/>
          <w:marBottom w:val="120"/>
          <w:divBdr>
            <w:top w:val="none" w:sz="0" w:space="0" w:color="auto"/>
            <w:left w:val="none" w:sz="0" w:space="0" w:color="auto"/>
            <w:bottom w:val="none" w:sz="0" w:space="0" w:color="auto"/>
            <w:right w:val="none" w:sz="0" w:space="0" w:color="auto"/>
          </w:divBdr>
        </w:div>
      </w:divsChild>
    </w:div>
    <w:div w:id="1547722228">
      <w:bodyDiv w:val="1"/>
      <w:marLeft w:val="0"/>
      <w:marRight w:val="0"/>
      <w:marTop w:val="0"/>
      <w:marBottom w:val="0"/>
      <w:divBdr>
        <w:top w:val="none" w:sz="0" w:space="0" w:color="auto"/>
        <w:left w:val="none" w:sz="0" w:space="0" w:color="auto"/>
        <w:bottom w:val="none" w:sz="0" w:space="0" w:color="auto"/>
        <w:right w:val="none" w:sz="0" w:space="0" w:color="auto"/>
      </w:divBdr>
      <w:divsChild>
        <w:div w:id="1708942309">
          <w:marLeft w:val="0"/>
          <w:marRight w:val="0"/>
          <w:marTop w:val="120"/>
          <w:marBottom w:val="120"/>
          <w:divBdr>
            <w:top w:val="none" w:sz="0" w:space="0" w:color="auto"/>
            <w:left w:val="none" w:sz="0" w:space="0" w:color="auto"/>
            <w:bottom w:val="none" w:sz="0" w:space="0" w:color="auto"/>
            <w:right w:val="none" w:sz="0" w:space="0" w:color="auto"/>
          </w:divBdr>
        </w:div>
        <w:div w:id="2014139517">
          <w:marLeft w:val="0"/>
          <w:marRight w:val="0"/>
          <w:marTop w:val="120"/>
          <w:marBottom w:val="120"/>
          <w:divBdr>
            <w:top w:val="none" w:sz="0" w:space="0" w:color="auto"/>
            <w:left w:val="none" w:sz="0" w:space="0" w:color="auto"/>
            <w:bottom w:val="none" w:sz="0" w:space="0" w:color="auto"/>
            <w:right w:val="none" w:sz="0" w:space="0" w:color="auto"/>
          </w:divBdr>
        </w:div>
        <w:div w:id="1925648274">
          <w:marLeft w:val="0"/>
          <w:marRight w:val="0"/>
          <w:marTop w:val="120"/>
          <w:marBottom w:val="120"/>
          <w:divBdr>
            <w:top w:val="none" w:sz="0" w:space="0" w:color="auto"/>
            <w:left w:val="none" w:sz="0" w:space="0" w:color="auto"/>
            <w:bottom w:val="none" w:sz="0" w:space="0" w:color="auto"/>
            <w:right w:val="none" w:sz="0" w:space="0" w:color="auto"/>
          </w:divBdr>
        </w:div>
        <w:div w:id="1871648041">
          <w:marLeft w:val="0"/>
          <w:marRight w:val="0"/>
          <w:marTop w:val="120"/>
          <w:marBottom w:val="120"/>
          <w:divBdr>
            <w:top w:val="none" w:sz="0" w:space="0" w:color="auto"/>
            <w:left w:val="none" w:sz="0" w:space="0" w:color="auto"/>
            <w:bottom w:val="none" w:sz="0" w:space="0" w:color="auto"/>
            <w:right w:val="none" w:sz="0" w:space="0" w:color="auto"/>
          </w:divBdr>
        </w:div>
        <w:div w:id="1576084350">
          <w:marLeft w:val="0"/>
          <w:marRight w:val="0"/>
          <w:marTop w:val="120"/>
          <w:marBottom w:val="120"/>
          <w:divBdr>
            <w:top w:val="none" w:sz="0" w:space="0" w:color="auto"/>
            <w:left w:val="none" w:sz="0" w:space="0" w:color="auto"/>
            <w:bottom w:val="none" w:sz="0" w:space="0" w:color="auto"/>
            <w:right w:val="none" w:sz="0" w:space="0" w:color="auto"/>
          </w:divBdr>
        </w:div>
        <w:div w:id="952131672">
          <w:marLeft w:val="0"/>
          <w:marRight w:val="0"/>
          <w:marTop w:val="120"/>
          <w:marBottom w:val="120"/>
          <w:divBdr>
            <w:top w:val="none" w:sz="0" w:space="0" w:color="auto"/>
            <w:left w:val="none" w:sz="0" w:space="0" w:color="auto"/>
            <w:bottom w:val="none" w:sz="0" w:space="0" w:color="auto"/>
            <w:right w:val="none" w:sz="0" w:space="0" w:color="auto"/>
          </w:divBdr>
        </w:div>
        <w:div w:id="627588662">
          <w:marLeft w:val="0"/>
          <w:marRight w:val="0"/>
          <w:marTop w:val="120"/>
          <w:marBottom w:val="120"/>
          <w:divBdr>
            <w:top w:val="none" w:sz="0" w:space="0" w:color="auto"/>
            <w:left w:val="none" w:sz="0" w:space="0" w:color="auto"/>
            <w:bottom w:val="none" w:sz="0" w:space="0" w:color="auto"/>
            <w:right w:val="none" w:sz="0" w:space="0" w:color="auto"/>
          </w:divBdr>
        </w:div>
        <w:div w:id="848636094">
          <w:marLeft w:val="0"/>
          <w:marRight w:val="0"/>
          <w:marTop w:val="120"/>
          <w:marBottom w:val="120"/>
          <w:divBdr>
            <w:top w:val="none" w:sz="0" w:space="0" w:color="auto"/>
            <w:left w:val="none" w:sz="0" w:space="0" w:color="auto"/>
            <w:bottom w:val="none" w:sz="0" w:space="0" w:color="auto"/>
            <w:right w:val="none" w:sz="0" w:space="0" w:color="auto"/>
          </w:divBdr>
        </w:div>
        <w:div w:id="479617569">
          <w:marLeft w:val="0"/>
          <w:marRight w:val="0"/>
          <w:marTop w:val="120"/>
          <w:marBottom w:val="120"/>
          <w:divBdr>
            <w:top w:val="none" w:sz="0" w:space="0" w:color="auto"/>
            <w:left w:val="none" w:sz="0" w:space="0" w:color="auto"/>
            <w:bottom w:val="none" w:sz="0" w:space="0" w:color="auto"/>
            <w:right w:val="none" w:sz="0" w:space="0" w:color="auto"/>
          </w:divBdr>
        </w:div>
        <w:div w:id="520708435">
          <w:marLeft w:val="0"/>
          <w:marRight w:val="0"/>
          <w:marTop w:val="120"/>
          <w:marBottom w:val="120"/>
          <w:divBdr>
            <w:top w:val="none" w:sz="0" w:space="0" w:color="auto"/>
            <w:left w:val="none" w:sz="0" w:space="0" w:color="auto"/>
            <w:bottom w:val="none" w:sz="0" w:space="0" w:color="auto"/>
            <w:right w:val="none" w:sz="0" w:space="0" w:color="auto"/>
          </w:divBdr>
        </w:div>
        <w:div w:id="1074552850">
          <w:marLeft w:val="0"/>
          <w:marRight w:val="0"/>
          <w:marTop w:val="120"/>
          <w:marBottom w:val="120"/>
          <w:divBdr>
            <w:top w:val="none" w:sz="0" w:space="0" w:color="auto"/>
            <w:left w:val="none" w:sz="0" w:space="0" w:color="auto"/>
            <w:bottom w:val="none" w:sz="0" w:space="0" w:color="auto"/>
            <w:right w:val="none" w:sz="0" w:space="0" w:color="auto"/>
          </w:divBdr>
        </w:div>
        <w:div w:id="888340516">
          <w:marLeft w:val="0"/>
          <w:marRight w:val="0"/>
          <w:marTop w:val="120"/>
          <w:marBottom w:val="120"/>
          <w:divBdr>
            <w:top w:val="none" w:sz="0" w:space="0" w:color="auto"/>
            <w:left w:val="none" w:sz="0" w:space="0" w:color="auto"/>
            <w:bottom w:val="none" w:sz="0" w:space="0" w:color="auto"/>
            <w:right w:val="none" w:sz="0" w:space="0" w:color="auto"/>
          </w:divBdr>
        </w:div>
        <w:div w:id="2028173998">
          <w:marLeft w:val="0"/>
          <w:marRight w:val="0"/>
          <w:marTop w:val="120"/>
          <w:marBottom w:val="120"/>
          <w:divBdr>
            <w:top w:val="none" w:sz="0" w:space="0" w:color="auto"/>
            <w:left w:val="none" w:sz="0" w:space="0" w:color="auto"/>
            <w:bottom w:val="none" w:sz="0" w:space="0" w:color="auto"/>
            <w:right w:val="none" w:sz="0" w:space="0" w:color="auto"/>
          </w:divBdr>
        </w:div>
        <w:div w:id="220871210">
          <w:marLeft w:val="0"/>
          <w:marRight w:val="0"/>
          <w:marTop w:val="120"/>
          <w:marBottom w:val="120"/>
          <w:divBdr>
            <w:top w:val="none" w:sz="0" w:space="0" w:color="auto"/>
            <w:left w:val="none" w:sz="0" w:space="0" w:color="auto"/>
            <w:bottom w:val="none" w:sz="0" w:space="0" w:color="auto"/>
            <w:right w:val="none" w:sz="0" w:space="0" w:color="auto"/>
          </w:divBdr>
        </w:div>
        <w:div w:id="1981303578">
          <w:marLeft w:val="0"/>
          <w:marRight w:val="0"/>
          <w:marTop w:val="120"/>
          <w:marBottom w:val="120"/>
          <w:divBdr>
            <w:top w:val="none" w:sz="0" w:space="0" w:color="auto"/>
            <w:left w:val="none" w:sz="0" w:space="0" w:color="auto"/>
            <w:bottom w:val="none" w:sz="0" w:space="0" w:color="auto"/>
            <w:right w:val="none" w:sz="0" w:space="0" w:color="auto"/>
          </w:divBdr>
        </w:div>
        <w:div w:id="1256866913">
          <w:marLeft w:val="0"/>
          <w:marRight w:val="0"/>
          <w:marTop w:val="120"/>
          <w:marBottom w:val="120"/>
          <w:divBdr>
            <w:top w:val="none" w:sz="0" w:space="0" w:color="auto"/>
            <w:left w:val="none" w:sz="0" w:space="0" w:color="auto"/>
            <w:bottom w:val="none" w:sz="0" w:space="0" w:color="auto"/>
            <w:right w:val="none" w:sz="0" w:space="0" w:color="auto"/>
          </w:divBdr>
        </w:div>
        <w:div w:id="1696538649">
          <w:marLeft w:val="0"/>
          <w:marRight w:val="0"/>
          <w:marTop w:val="120"/>
          <w:marBottom w:val="120"/>
          <w:divBdr>
            <w:top w:val="none" w:sz="0" w:space="0" w:color="auto"/>
            <w:left w:val="none" w:sz="0" w:space="0" w:color="auto"/>
            <w:bottom w:val="none" w:sz="0" w:space="0" w:color="auto"/>
            <w:right w:val="none" w:sz="0" w:space="0" w:color="auto"/>
          </w:divBdr>
        </w:div>
        <w:div w:id="1800150352">
          <w:marLeft w:val="0"/>
          <w:marRight w:val="0"/>
          <w:marTop w:val="120"/>
          <w:marBottom w:val="120"/>
          <w:divBdr>
            <w:top w:val="none" w:sz="0" w:space="0" w:color="auto"/>
            <w:left w:val="none" w:sz="0" w:space="0" w:color="auto"/>
            <w:bottom w:val="none" w:sz="0" w:space="0" w:color="auto"/>
            <w:right w:val="none" w:sz="0" w:space="0" w:color="auto"/>
          </w:divBdr>
        </w:div>
        <w:div w:id="445665015">
          <w:marLeft w:val="0"/>
          <w:marRight w:val="0"/>
          <w:marTop w:val="120"/>
          <w:marBottom w:val="120"/>
          <w:divBdr>
            <w:top w:val="none" w:sz="0" w:space="0" w:color="auto"/>
            <w:left w:val="none" w:sz="0" w:space="0" w:color="auto"/>
            <w:bottom w:val="none" w:sz="0" w:space="0" w:color="auto"/>
            <w:right w:val="none" w:sz="0" w:space="0" w:color="auto"/>
          </w:divBdr>
        </w:div>
        <w:div w:id="169178688">
          <w:marLeft w:val="0"/>
          <w:marRight w:val="0"/>
          <w:marTop w:val="120"/>
          <w:marBottom w:val="120"/>
          <w:divBdr>
            <w:top w:val="none" w:sz="0" w:space="0" w:color="auto"/>
            <w:left w:val="none" w:sz="0" w:space="0" w:color="auto"/>
            <w:bottom w:val="none" w:sz="0" w:space="0" w:color="auto"/>
            <w:right w:val="none" w:sz="0" w:space="0" w:color="auto"/>
          </w:divBdr>
        </w:div>
        <w:div w:id="357051804">
          <w:marLeft w:val="0"/>
          <w:marRight w:val="0"/>
          <w:marTop w:val="120"/>
          <w:marBottom w:val="120"/>
          <w:divBdr>
            <w:top w:val="none" w:sz="0" w:space="0" w:color="auto"/>
            <w:left w:val="none" w:sz="0" w:space="0" w:color="auto"/>
            <w:bottom w:val="none" w:sz="0" w:space="0" w:color="auto"/>
            <w:right w:val="none" w:sz="0" w:space="0" w:color="auto"/>
          </w:divBdr>
        </w:div>
      </w:divsChild>
    </w:div>
    <w:div w:id="1822230379">
      <w:bodyDiv w:val="1"/>
      <w:marLeft w:val="0"/>
      <w:marRight w:val="0"/>
      <w:marTop w:val="0"/>
      <w:marBottom w:val="0"/>
      <w:divBdr>
        <w:top w:val="none" w:sz="0" w:space="0" w:color="auto"/>
        <w:left w:val="none" w:sz="0" w:space="0" w:color="auto"/>
        <w:bottom w:val="none" w:sz="0" w:space="0" w:color="auto"/>
        <w:right w:val="none" w:sz="0" w:space="0" w:color="auto"/>
      </w:divBdr>
      <w:divsChild>
        <w:div w:id="561602760">
          <w:marLeft w:val="0"/>
          <w:marRight w:val="0"/>
          <w:marTop w:val="120"/>
          <w:marBottom w:val="120"/>
          <w:divBdr>
            <w:top w:val="none" w:sz="0" w:space="0" w:color="auto"/>
            <w:left w:val="none" w:sz="0" w:space="0" w:color="auto"/>
            <w:bottom w:val="none" w:sz="0" w:space="0" w:color="auto"/>
            <w:right w:val="none" w:sz="0" w:space="0" w:color="auto"/>
          </w:divBdr>
        </w:div>
      </w:divsChild>
    </w:div>
    <w:div w:id="1896430215">
      <w:bodyDiv w:val="1"/>
      <w:marLeft w:val="0"/>
      <w:marRight w:val="0"/>
      <w:marTop w:val="0"/>
      <w:marBottom w:val="0"/>
      <w:divBdr>
        <w:top w:val="none" w:sz="0" w:space="0" w:color="auto"/>
        <w:left w:val="none" w:sz="0" w:space="0" w:color="auto"/>
        <w:bottom w:val="none" w:sz="0" w:space="0" w:color="auto"/>
        <w:right w:val="none" w:sz="0" w:space="0" w:color="auto"/>
      </w:divBdr>
      <w:divsChild>
        <w:div w:id="2091807268">
          <w:marLeft w:val="0"/>
          <w:marRight w:val="0"/>
          <w:marTop w:val="120"/>
          <w:marBottom w:val="120"/>
          <w:divBdr>
            <w:top w:val="none" w:sz="0" w:space="0" w:color="auto"/>
            <w:left w:val="none" w:sz="0" w:space="0" w:color="auto"/>
            <w:bottom w:val="none" w:sz="0" w:space="0" w:color="auto"/>
            <w:right w:val="none" w:sz="0" w:space="0" w:color="auto"/>
          </w:divBdr>
        </w:div>
        <w:div w:id="143861611">
          <w:marLeft w:val="0"/>
          <w:marRight w:val="0"/>
          <w:marTop w:val="120"/>
          <w:marBottom w:val="120"/>
          <w:divBdr>
            <w:top w:val="none" w:sz="0" w:space="0" w:color="auto"/>
            <w:left w:val="none" w:sz="0" w:space="0" w:color="auto"/>
            <w:bottom w:val="none" w:sz="0" w:space="0" w:color="auto"/>
            <w:right w:val="none" w:sz="0" w:space="0" w:color="auto"/>
          </w:divBdr>
        </w:div>
        <w:div w:id="1261331997">
          <w:marLeft w:val="0"/>
          <w:marRight w:val="0"/>
          <w:marTop w:val="120"/>
          <w:marBottom w:val="120"/>
          <w:divBdr>
            <w:top w:val="none" w:sz="0" w:space="0" w:color="auto"/>
            <w:left w:val="none" w:sz="0" w:space="0" w:color="auto"/>
            <w:bottom w:val="none" w:sz="0" w:space="0" w:color="auto"/>
            <w:right w:val="none" w:sz="0" w:space="0" w:color="auto"/>
          </w:divBdr>
        </w:div>
        <w:div w:id="329674925">
          <w:marLeft w:val="0"/>
          <w:marRight w:val="0"/>
          <w:marTop w:val="120"/>
          <w:marBottom w:val="120"/>
          <w:divBdr>
            <w:top w:val="none" w:sz="0" w:space="0" w:color="auto"/>
            <w:left w:val="none" w:sz="0" w:space="0" w:color="auto"/>
            <w:bottom w:val="none" w:sz="0" w:space="0" w:color="auto"/>
            <w:right w:val="none" w:sz="0" w:space="0" w:color="auto"/>
          </w:divBdr>
        </w:div>
        <w:div w:id="1479112631">
          <w:marLeft w:val="0"/>
          <w:marRight w:val="0"/>
          <w:marTop w:val="120"/>
          <w:marBottom w:val="120"/>
          <w:divBdr>
            <w:top w:val="none" w:sz="0" w:space="0" w:color="auto"/>
            <w:left w:val="none" w:sz="0" w:space="0" w:color="auto"/>
            <w:bottom w:val="none" w:sz="0" w:space="0" w:color="auto"/>
            <w:right w:val="none" w:sz="0" w:space="0" w:color="auto"/>
          </w:divBdr>
        </w:div>
        <w:div w:id="1356537093">
          <w:marLeft w:val="0"/>
          <w:marRight w:val="0"/>
          <w:marTop w:val="120"/>
          <w:marBottom w:val="120"/>
          <w:divBdr>
            <w:top w:val="none" w:sz="0" w:space="0" w:color="auto"/>
            <w:left w:val="none" w:sz="0" w:space="0" w:color="auto"/>
            <w:bottom w:val="none" w:sz="0" w:space="0" w:color="auto"/>
            <w:right w:val="none" w:sz="0" w:space="0" w:color="auto"/>
          </w:divBdr>
        </w:div>
        <w:div w:id="1228146412">
          <w:marLeft w:val="0"/>
          <w:marRight w:val="0"/>
          <w:marTop w:val="120"/>
          <w:marBottom w:val="120"/>
          <w:divBdr>
            <w:top w:val="none" w:sz="0" w:space="0" w:color="auto"/>
            <w:left w:val="none" w:sz="0" w:space="0" w:color="auto"/>
            <w:bottom w:val="none" w:sz="0" w:space="0" w:color="auto"/>
            <w:right w:val="none" w:sz="0" w:space="0" w:color="auto"/>
          </w:divBdr>
        </w:div>
        <w:div w:id="86384796">
          <w:marLeft w:val="0"/>
          <w:marRight w:val="0"/>
          <w:marTop w:val="120"/>
          <w:marBottom w:val="120"/>
          <w:divBdr>
            <w:top w:val="none" w:sz="0" w:space="0" w:color="auto"/>
            <w:left w:val="none" w:sz="0" w:space="0" w:color="auto"/>
            <w:bottom w:val="none" w:sz="0" w:space="0" w:color="auto"/>
            <w:right w:val="none" w:sz="0" w:space="0" w:color="auto"/>
          </w:divBdr>
        </w:div>
        <w:div w:id="406926542">
          <w:marLeft w:val="0"/>
          <w:marRight w:val="0"/>
          <w:marTop w:val="120"/>
          <w:marBottom w:val="120"/>
          <w:divBdr>
            <w:top w:val="none" w:sz="0" w:space="0" w:color="auto"/>
            <w:left w:val="none" w:sz="0" w:space="0" w:color="auto"/>
            <w:bottom w:val="none" w:sz="0" w:space="0" w:color="auto"/>
            <w:right w:val="none" w:sz="0" w:space="0" w:color="auto"/>
          </w:divBdr>
        </w:div>
        <w:div w:id="1765414229">
          <w:marLeft w:val="0"/>
          <w:marRight w:val="0"/>
          <w:marTop w:val="120"/>
          <w:marBottom w:val="120"/>
          <w:divBdr>
            <w:top w:val="none" w:sz="0" w:space="0" w:color="auto"/>
            <w:left w:val="none" w:sz="0" w:space="0" w:color="auto"/>
            <w:bottom w:val="none" w:sz="0" w:space="0" w:color="auto"/>
            <w:right w:val="none" w:sz="0" w:space="0" w:color="auto"/>
          </w:divBdr>
        </w:div>
      </w:divsChild>
    </w:div>
    <w:div w:id="2045058684">
      <w:bodyDiv w:val="1"/>
      <w:marLeft w:val="0"/>
      <w:marRight w:val="0"/>
      <w:marTop w:val="0"/>
      <w:marBottom w:val="0"/>
      <w:divBdr>
        <w:top w:val="none" w:sz="0" w:space="0" w:color="auto"/>
        <w:left w:val="none" w:sz="0" w:space="0" w:color="auto"/>
        <w:bottom w:val="none" w:sz="0" w:space="0" w:color="auto"/>
        <w:right w:val="none" w:sz="0" w:space="0" w:color="auto"/>
      </w:divBdr>
      <w:divsChild>
        <w:div w:id="780875577">
          <w:marLeft w:val="0"/>
          <w:marRight w:val="0"/>
          <w:marTop w:val="120"/>
          <w:marBottom w:val="120"/>
          <w:divBdr>
            <w:top w:val="none" w:sz="0" w:space="0" w:color="auto"/>
            <w:left w:val="none" w:sz="0" w:space="0" w:color="auto"/>
            <w:bottom w:val="none" w:sz="0" w:space="0" w:color="auto"/>
            <w:right w:val="none" w:sz="0" w:space="0" w:color="auto"/>
          </w:divBdr>
        </w:div>
        <w:div w:id="689338008">
          <w:marLeft w:val="0"/>
          <w:marRight w:val="0"/>
          <w:marTop w:val="120"/>
          <w:marBottom w:val="120"/>
          <w:divBdr>
            <w:top w:val="none" w:sz="0" w:space="0" w:color="auto"/>
            <w:left w:val="none" w:sz="0" w:space="0" w:color="auto"/>
            <w:bottom w:val="none" w:sz="0" w:space="0" w:color="auto"/>
            <w:right w:val="none" w:sz="0" w:space="0" w:color="auto"/>
          </w:divBdr>
        </w:div>
        <w:div w:id="1400905666">
          <w:marLeft w:val="0"/>
          <w:marRight w:val="0"/>
          <w:marTop w:val="120"/>
          <w:marBottom w:val="120"/>
          <w:divBdr>
            <w:top w:val="none" w:sz="0" w:space="0" w:color="auto"/>
            <w:left w:val="none" w:sz="0" w:space="0" w:color="auto"/>
            <w:bottom w:val="none" w:sz="0" w:space="0" w:color="auto"/>
            <w:right w:val="none" w:sz="0" w:space="0" w:color="auto"/>
          </w:divBdr>
        </w:div>
        <w:div w:id="1752114424">
          <w:marLeft w:val="0"/>
          <w:marRight w:val="0"/>
          <w:marTop w:val="120"/>
          <w:marBottom w:val="120"/>
          <w:divBdr>
            <w:top w:val="none" w:sz="0" w:space="0" w:color="auto"/>
            <w:left w:val="none" w:sz="0" w:space="0" w:color="auto"/>
            <w:bottom w:val="none" w:sz="0" w:space="0" w:color="auto"/>
            <w:right w:val="none" w:sz="0" w:space="0" w:color="auto"/>
          </w:divBdr>
        </w:div>
        <w:div w:id="1224483578">
          <w:marLeft w:val="0"/>
          <w:marRight w:val="0"/>
          <w:marTop w:val="120"/>
          <w:marBottom w:val="120"/>
          <w:divBdr>
            <w:top w:val="none" w:sz="0" w:space="0" w:color="auto"/>
            <w:left w:val="none" w:sz="0" w:space="0" w:color="auto"/>
            <w:bottom w:val="none" w:sz="0" w:space="0" w:color="auto"/>
            <w:right w:val="none" w:sz="0" w:space="0" w:color="auto"/>
          </w:divBdr>
        </w:div>
        <w:div w:id="1586912339">
          <w:marLeft w:val="0"/>
          <w:marRight w:val="0"/>
          <w:marTop w:val="120"/>
          <w:marBottom w:val="120"/>
          <w:divBdr>
            <w:top w:val="none" w:sz="0" w:space="0" w:color="auto"/>
            <w:left w:val="none" w:sz="0" w:space="0" w:color="auto"/>
            <w:bottom w:val="none" w:sz="0" w:space="0" w:color="auto"/>
            <w:right w:val="none" w:sz="0" w:space="0" w:color="auto"/>
          </w:divBdr>
        </w:div>
        <w:div w:id="1918200169">
          <w:marLeft w:val="0"/>
          <w:marRight w:val="0"/>
          <w:marTop w:val="120"/>
          <w:marBottom w:val="120"/>
          <w:divBdr>
            <w:top w:val="none" w:sz="0" w:space="0" w:color="auto"/>
            <w:left w:val="none" w:sz="0" w:space="0" w:color="auto"/>
            <w:bottom w:val="none" w:sz="0" w:space="0" w:color="auto"/>
            <w:right w:val="none" w:sz="0" w:space="0" w:color="auto"/>
          </w:divBdr>
        </w:div>
        <w:div w:id="275794308">
          <w:marLeft w:val="0"/>
          <w:marRight w:val="0"/>
          <w:marTop w:val="120"/>
          <w:marBottom w:val="120"/>
          <w:divBdr>
            <w:top w:val="none" w:sz="0" w:space="0" w:color="auto"/>
            <w:left w:val="none" w:sz="0" w:space="0" w:color="auto"/>
            <w:bottom w:val="none" w:sz="0" w:space="0" w:color="auto"/>
            <w:right w:val="none" w:sz="0" w:space="0" w:color="auto"/>
          </w:divBdr>
        </w:div>
        <w:div w:id="2082873863">
          <w:marLeft w:val="0"/>
          <w:marRight w:val="0"/>
          <w:marTop w:val="120"/>
          <w:marBottom w:val="120"/>
          <w:divBdr>
            <w:top w:val="none" w:sz="0" w:space="0" w:color="auto"/>
            <w:left w:val="none" w:sz="0" w:space="0" w:color="auto"/>
            <w:bottom w:val="none" w:sz="0" w:space="0" w:color="auto"/>
            <w:right w:val="none" w:sz="0" w:space="0" w:color="auto"/>
          </w:divBdr>
        </w:div>
        <w:div w:id="99418461">
          <w:marLeft w:val="0"/>
          <w:marRight w:val="0"/>
          <w:marTop w:val="120"/>
          <w:marBottom w:val="120"/>
          <w:divBdr>
            <w:top w:val="none" w:sz="0" w:space="0" w:color="auto"/>
            <w:left w:val="none" w:sz="0" w:space="0" w:color="auto"/>
            <w:bottom w:val="none" w:sz="0" w:space="0" w:color="auto"/>
            <w:right w:val="none" w:sz="0" w:space="0" w:color="auto"/>
          </w:divBdr>
        </w:div>
        <w:div w:id="1233387668">
          <w:marLeft w:val="0"/>
          <w:marRight w:val="0"/>
          <w:marTop w:val="120"/>
          <w:marBottom w:val="120"/>
          <w:divBdr>
            <w:top w:val="none" w:sz="0" w:space="0" w:color="auto"/>
            <w:left w:val="none" w:sz="0" w:space="0" w:color="auto"/>
            <w:bottom w:val="none" w:sz="0" w:space="0" w:color="auto"/>
            <w:right w:val="none" w:sz="0" w:space="0" w:color="auto"/>
          </w:divBdr>
        </w:div>
        <w:div w:id="1178428256">
          <w:marLeft w:val="0"/>
          <w:marRight w:val="0"/>
          <w:marTop w:val="120"/>
          <w:marBottom w:val="120"/>
          <w:divBdr>
            <w:top w:val="none" w:sz="0" w:space="0" w:color="auto"/>
            <w:left w:val="none" w:sz="0" w:space="0" w:color="auto"/>
            <w:bottom w:val="none" w:sz="0" w:space="0" w:color="auto"/>
            <w:right w:val="none" w:sz="0" w:space="0" w:color="auto"/>
          </w:divBdr>
        </w:div>
        <w:div w:id="2095396725">
          <w:marLeft w:val="0"/>
          <w:marRight w:val="0"/>
          <w:marTop w:val="120"/>
          <w:marBottom w:val="120"/>
          <w:divBdr>
            <w:top w:val="none" w:sz="0" w:space="0" w:color="auto"/>
            <w:left w:val="none" w:sz="0" w:space="0" w:color="auto"/>
            <w:bottom w:val="none" w:sz="0" w:space="0" w:color="auto"/>
            <w:right w:val="none" w:sz="0" w:space="0" w:color="auto"/>
          </w:divBdr>
        </w:div>
        <w:div w:id="665978778">
          <w:marLeft w:val="0"/>
          <w:marRight w:val="0"/>
          <w:marTop w:val="120"/>
          <w:marBottom w:val="120"/>
          <w:divBdr>
            <w:top w:val="none" w:sz="0" w:space="0" w:color="auto"/>
            <w:left w:val="none" w:sz="0" w:space="0" w:color="auto"/>
            <w:bottom w:val="none" w:sz="0" w:space="0" w:color="auto"/>
            <w:right w:val="none" w:sz="0" w:space="0" w:color="auto"/>
          </w:divBdr>
        </w:div>
        <w:div w:id="390009655">
          <w:marLeft w:val="0"/>
          <w:marRight w:val="0"/>
          <w:marTop w:val="120"/>
          <w:marBottom w:val="120"/>
          <w:divBdr>
            <w:top w:val="none" w:sz="0" w:space="0" w:color="auto"/>
            <w:left w:val="none" w:sz="0" w:space="0" w:color="auto"/>
            <w:bottom w:val="none" w:sz="0" w:space="0" w:color="auto"/>
            <w:right w:val="none" w:sz="0" w:space="0" w:color="auto"/>
          </w:divBdr>
        </w:div>
        <w:div w:id="1122575409">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f.org.uk/what-we-do/our-research/heart-statistics" TargetMode="External"/><Relationship Id="rId13" Type="http://schemas.openxmlformats.org/officeDocument/2006/relationships/hyperlink" Target="https://www.nice.org.uk/guidance/ng209" TargetMode="External"/><Relationship Id="rId18" Type="http://schemas.openxmlformats.org/officeDocument/2006/relationships/hyperlink" Target="https://www.ons.gov.uk" TargetMode="External"/><Relationship Id="rId3" Type="http://schemas.openxmlformats.org/officeDocument/2006/relationships/settings" Target="settings.xml"/><Relationship Id="rId21" Type="http://schemas.openxmlformats.org/officeDocument/2006/relationships/hyperlink" Target="https://www.whpa.org/publications" TargetMode="External"/><Relationship Id="rId7" Type="http://schemas.openxmlformats.org/officeDocument/2006/relationships/hyperlink" Target="https://doi.org/10.1002/14651858.CD001800.pub3" TargetMode="External"/><Relationship Id="rId12" Type="http://schemas.openxmlformats.org/officeDocument/2006/relationships/hyperlink" Target="https://www.nicor.org.uk" TargetMode="External"/><Relationship Id="rId17" Type="http://schemas.openxmlformats.org/officeDocument/2006/relationships/hyperlink" Target="https://fingertips.phe.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ice.org.uk/guidance/cg95" TargetMode="External"/><Relationship Id="rId20" Type="http://schemas.openxmlformats.org/officeDocument/2006/relationships/hyperlink" Target="https://world-heart-federation.org/world-heart-repor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ealth.org.uk/publications/reports/the-marmot-review-10-years-on"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ice.org.uk/guidance/cg181" TargetMode="External"/><Relationship Id="rId23" Type="http://schemas.openxmlformats.org/officeDocument/2006/relationships/footer" Target="footer1.xml"/><Relationship Id="rId10" Type="http://schemas.openxmlformats.org/officeDocument/2006/relationships/hyperlink" Target="https://doi.org/10.1016/j.ijcard.2018.09.060" TargetMode="External"/><Relationship Id="rId19" Type="http://schemas.openxmlformats.org/officeDocument/2006/relationships/hyperlink" Target="https://www.who.int/news-room/fact-sheets/detail/cardiovascular-diseases-(cvds)" TargetMode="External"/><Relationship Id="rId4" Type="http://schemas.openxmlformats.org/officeDocument/2006/relationships/webSettings" Target="webSettings.xml"/><Relationship Id="rId9" Type="http://schemas.openxmlformats.org/officeDocument/2006/relationships/hyperlink" Target="https://academic.oup.com/eurheartj" TargetMode="External"/><Relationship Id="rId14" Type="http://schemas.openxmlformats.org/officeDocument/2006/relationships/hyperlink" Target="https://www.nice.org.uk/guidance/ng222" TargetMode="External"/><Relationship Id="rId22" Type="http://schemas.openxmlformats.org/officeDocument/2006/relationships/hyperlink" Target="https://www.healthcheck.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78FDB-96F6-44DC-9ABB-7394E4798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2684</Words>
  <Characters>15301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USER</cp:lastModifiedBy>
  <cp:revision>2</cp:revision>
  <dcterms:created xsi:type="dcterms:W3CDTF">2026-08-04T14:13:00Z</dcterms:created>
  <dcterms:modified xsi:type="dcterms:W3CDTF">2026-08-04T14:13:00Z</dcterms:modified>
</cp:coreProperties>
</file>