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983384F" w14:textId="102161E7" w:rsidR="00585B64" w:rsidRPr="001618DD" w:rsidRDefault="009B480B" w:rsidP="001618DD">
      <w:pPr>
        <w:spacing w:after="200"/>
        <w:jc w:val="center"/>
        <w:rPr>
          <w:rFonts w:cs="Arial"/>
          <w:bCs/>
          <w:sz w:val="32"/>
          <w:szCs w:val="32"/>
        </w:rPr>
      </w:pPr>
      <w:r w:rsidRPr="00F30D0E">
        <w:rPr>
          <w:noProof/>
        </w:rPr>
        <w:drawing>
          <wp:inline distT="0" distB="0" distL="0" distR="0" wp14:anchorId="3831A560" wp14:editId="7D430B9C">
            <wp:extent cx="2945853" cy="1313093"/>
            <wp:effectExtent l="0" t="0" r="698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0638" cy="1324141"/>
                    </a:xfrm>
                    <a:prstGeom prst="rect">
                      <a:avLst/>
                    </a:prstGeom>
                    <a:noFill/>
                  </pic:spPr>
                </pic:pic>
              </a:graphicData>
            </a:graphic>
          </wp:inline>
        </w:drawing>
      </w:r>
    </w:p>
    <w:p w14:paraId="258602DB" w14:textId="38622DC9" w:rsidR="00A23C76" w:rsidRPr="00F30D0E" w:rsidRDefault="00A23C76">
      <w:pPr>
        <w:spacing w:after="200"/>
        <w:jc w:val="center"/>
        <w:rPr>
          <w:rFonts w:cs="Arial"/>
          <w:bCs/>
          <w:sz w:val="28"/>
          <w:szCs w:val="28"/>
        </w:rPr>
      </w:pPr>
      <w:r w:rsidRPr="00F30D0E">
        <w:rPr>
          <w:rFonts w:cs="Arial"/>
          <w:bCs/>
          <w:sz w:val="28"/>
          <w:szCs w:val="28"/>
        </w:rPr>
        <w:t>Programme: Master of Business Administration</w:t>
      </w:r>
    </w:p>
    <w:p w14:paraId="2128421C" w14:textId="77777777" w:rsidR="00A23C76" w:rsidRPr="00F30D0E" w:rsidRDefault="00A23C76">
      <w:pPr>
        <w:spacing w:after="200"/>
        <w:jc w:val="center"/>
        <w:rPr>
          <w:rFonts w:cs="Arial"/>
          <w:bCs/>
          <w:sz w:val="28"/>
          <w:szCs w:val="28"/>
        </w:rPr>
      </w:pPr>
      <w:r w:rsidRPr="00F30D0E">
        <w:rPr>
          <w:rFonts w:cs="Arial"/>
          <w:bCs/>
          <w:sz w:val="28"/>
          <w:szCs w:val="28"/>
        </w:rPr>
        <w:t>Module: International Marketing: Principles and Practices</w:t>
      </w:r>
    </w:p>
    <w:p w14:paraId="54D95717" w14:textId="6BB582B4" w:rsidR="00435652" w:rsidRPr="001618DD" w:rsidRDefault="00A23C76" w:rsidP="001618DD">
      <w:pPr>
        <w:spacing w:after="200"/>
        <w:jc w:val="center"/>
        <w:rPr>
          <w:rFonts w:cs="Arial"/>
          <w:bCs/>
          <w:sz w:val="28"/>
          <w:szCs w:val="28"/>
        </w:rPr>
      </w:pPr>
      <w:r w:rsidRPr="00F30D0E">
        <w:rPr>
          <w:rFonts w:cs="Arial"/>
          <w:bCs/>
          <w:sz w:val="28"/>
          <w:szCs w:val="28"/>
        </w:rPr>
        <w:t>Module code: LCMB7026</w:t>
      </w:r>
    </w:p>
    <w:p w14:paraId="6CFFDBF6" w14:textId="77777777" w:rsidR="005965B0" w:rsidRDefault="005965B0">
      <w:pPr>
        <w:spacing w:after="200"/>
        <w:jc w:val="center"/>
        <w:rPr>
          <w:rFonts w:cs="Arial"/>
          <w:b/>
          <w:bCs/>
          <w:sz w:val="28"/>
          <w:szCs w:val="28"/>
        </w:rPr>
      </w:pPr>
    </w:p>
    <w:p w14:paraId="30EEE240" w14:textId="639F2FF6" w:rsidR="00431436" w:rsidRPr="00F30D0E" w:rsidRDefault="00E8542F">
      <w:pPr>
        <w:spacing w:after="200"/>
        <w:jc w:val="center"/>
        <w:rPr>
          <w:rFonts w:cs="Arial"/>
          <w:sz w:val="28"/>
          <w:szCs w:val="28"/>
        </w:rPr>
      </w:pPr>
      <w:r w:rsidRPr="00F30D0E">
        <w:rPr>
          <w:rFonts w:cs="Arial"/>
          <w:b/>
          <w:bCs/>
          <w:sz w:val="28"/>
          <w:szCs w:val="28"/>
        </w:rPr>
        <w:t>International Market Entry Strategy and Marketing Mix</w:t>
      </w:r>
    </w:p>
    <w:p w14:paraId="576A835F" w14:textId="5EF8A130" w:rsidR="00431436" w:rsidRPr="00F30D0E" w:rsidRDefault="00E8542F">
      <w:pPr>
        <w:spacing w:after="400"/>
        <w:jc w:val="center"/>
        <w:rPr>
          <w:rFonts w:cs="Arial"/>
          <w:i/>
          <w:iCs/>
          <w:sz w:val="28"/>
          <w:szCs w:val="28"/>
        </w:rPr>
      </w:pPr>
      <w:r w:rsidRPr="00F30D0E">
        <w:rPr>
          <w:rFonts w:cs="Arial"/>
          <w:i/>
          <w:iCs/>
          <w:sz w:val="28"/>
          <w:szCs w:val="28"/>
        </w:rPr>
        <w:t>A Comparative Study of Pizza Hut in the United States and Australia</w:t>
      </w:r>
    </w:p>
    <w:p w14:paraId="1A468ECC" w14:textId="03EEF90C" w:rsidR="005965B0" w:rsidRDefault="005965B0" w:rsidP="009B480B">
      <w:pPr>
        <w:spacing w:after="400"/>
        <w:jc w:val="center"/>
        <w:rPr>
          <w:rFonts w:cs="Arial"/>
          <w:i/>
          <w:iCs/>
          <w:sz w:val="28"/>
          <w:szCs w:val="28"/>
        </w:rPr>
      </w:pPr>
      <w:bookmarkStart w:id="0" w:name="_Hlk235490860"/>
      <w:r>
        <w:rPr>
          <w:rFonts w:cs="Arial"/>
          <w:i/>
          <w:iCs/>
          <w:sz w:val="28"/>
          <w:szCs w:val="28"/>
        </w:rPr>
        <w:t xml:space="preserve">Lecturer: </w:t>
      </w:r>
      <w:r w:rsidRPr="005965B0">
        <w:rPr>
          <w:rFonts w:cs="Arial"/>
          <w:i/>
          <w:iCs/>
          <w:sz w:val="28"/>
          <w:szCs w:val="28"/>
        </w:rPr>
        <w:t>Tushara Balendran</w:t>
      </w:r>
    </w:p>
    <w:p w14:paraId="2A46CCEE" w14:textId="2EAF6871" w:rsidR="009B480B" w:rsidRPr="00F30D0E" w:rsidRDefault="009B480B" w:rsidP="009B480B">
      <w:pPr>
        <w:spacing w:after="400"/>
        <w:jc w:val="center"/>
        <w:rPr>
          <w:rFonts w:cs="Arial"/>
          <w:i/>
          <w:iCs/>
          <w:sz w:val="28"/>
          <w:szCs w:val="28"/>
        </w:rPr>
      </w:pPr>
      <w:r w:rsidRPr="00F30D0E">
        <w:rPr>
          <w:rFonts w:cs="Arial"/>
          <w:i/>
          <w:iCs/>
          <w:sz w:val="28"/>
          <w:szCs w:val="28"/>
        </w:rPr>
        <w:t>Name: Md Naeem Rezwan</w:t>
      </w:r>
    </w:p>
    <w:p w14:paraId="2C3EB059" w14:textId="79309EF3" w:rsidR="00A23C76" w:rsidRPr="00F30D0E" w:rsidRDefault="009B480B" w:rsidP="009B480B">
      <w:pPr>
        <w:spacing w:after="400"/>
        <w:jc w:val="center"/>
        <w:rPr>
          <w:rFonts w:cs="Arial"/>
          <w:i/>
          <w:iCs/>
          <w:sz w:val="28"/>
          <w:szCs w:val="28"/>
        </w:rPr>
      </w:pPr>
      <w:r w:rsidRPr="00F30D0E">
        <w:rPr>
          <w:rFonts w:cs="Arial"/>
          <w:i/>
          <w:iCs/>
          <w:sz w:val="28"/>
          <w:szCs w:val="28"/>
        </w:rPr>
        <w:t>ID: 2122417</w:t>
      </w:r>
    </w:p>
    <w:bookmarkEnd w:id="0"/>
    <w:p w14:paraId="7C002231" w14:textId="3C830411" w:rsidR="0011418B" w:rsidRDefault="0011418B">
      <w:pPr>
        <w:spacing w:line="240" w:lineRule="auto"/>
        <w:jc w:val="left"/>
        <w:rPr>
          <w:rFonts w:cs="Arial"/>
          <w:i/>
          <w:iCs/>
          <w:sz w:val="28"/>
          <w:szCs w:val="28"/>
        </w:rPr>
      </w:pPr>
      <w:r>
        <w:rPr>
          <w:rFonts w:cs="Arial"/>
          <w:i/>
          <w:iCs/>
          <w:sz w:val="28"/>
          <w:szCs w:val="28"/>
        </w:rPr>
        <w:br w:type="page"/>
      </w:r>
    </w:p>
    <w:p w14:paraId="33EC53FD" w14:textId="77777777" w:rsidR="0011418B" w:rsidRDefault="0011418B" w:rsidP="0011418B">
      <w:pPr>
        <w:jc w:val="center"/>
        <w:rPr>
          <w:rFonts w:eastAsia="Arial" w:cs="Arial"/>
          <w:b/>
          <w:bCs/>
          <w:color w:val="000000"/>
          <w:sz w:val="32"/>
          <w:szCs w:val="32"/>
          <w:lang w:bidi="hi-IN"/>
        </w:rPr>
      </w:pPr>
      <w:bookmarkStart w:id="1" w:name="_Hlk236936568"/>
      <w:r w:rsidRPr="007D00FC">
        <w:rPr>
          <w:rFonts w:eastAsia="Arial" w:cs="Arial"/>
          <w:b/>
          <w:bCs/>
          <w:color w:val="000000"/>
          <w:sz w:val="32"/>
          <w:szCs w:val="32"/>
          <w:lang w:bidi="hi-IN"/>
        </w:rPr>
        <w:lastRenderedPageBreak/>
        <w:t>Acknowledgment</w:t>
      </w:r>
    </w:p>
    <w:p w14:paraId="0C5ED759" w14:textId="77777777" w:rsidR="0011418B" w:rsidRDefault="0011418B" w:rsidP="0011418B">
      <w:pPr>
        <w:jc w:val="center"/>
        <w:rPr>
          <w:lang w:bidi="bn-BD"/>
        </w:rPr>
      </w:pPr>
      <w:r w:rsidRPr="007D00FC">
        <w:rPr>
          <w:rFonts w:eastAsia="Arial" w:cs="Arial"/>
          <w:noProof/>
          <w:sz w:val="20"/>
          <w:lang w:bidi="hi-IN"/>
        </w:rPr>
        <mc:AlternateContent>
          <mc:Choice Requires="wps">
            <w:drawing>
              <wp:inline distT="0" distB="0" distL="0" distR="0" wp14:anchorId="2D781AEB" wp14:editId="73AD7BF0">
                <wp:extent cx="5237390" cy="304800"/>
                <wp:effectExtent l="0" t="0" r="20955" b="19050"/>
                <wp:docPr id="617512644"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37390" cy="304800"/>
                        </a:xfrm>
                        <a:prstGeom prst="rect">
                          <a:avLst/>
                        </a:prstGeom>
                        <a:solidFill>
                          <a:srgbClr val="D8D8D8"/>
                        </a:solidFill>
                        <a:ln w="18288">
                          <a:solidFill>
                            <a:srgbClr val="000000"/>
                          </a:solidFill>
                          <a:prstDash val="solid"/>
                        </a:ln>
                      </wps:spPr>
                      <wps:txbx>
                        <w:txbxContent>
                          <w:p w14:paraId="404C60AC" w14:textId="77777777" w:rsidR="0011418B" w:rsidRDefault="0011418B" w:rsidP="0011418B">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wps:txbx>
                      <wps:bodyPr wrap="square" lIns="0" tIns="0" rIns="0" bIns="0" rtlCol="0">
                        <a:noAutofit/>
                      </wps:bodyPr>
                    </wps:wsp>
                  </a:graphicData>
                </a:graphic>
              </wp:inline>
            </w:drawing>
          </mc:Choice>
          <mc:Fallback>
            <w:pict>
              <v:shapetype w14:anchorId="2D781AEB" id="_x0000_t202" coordsize="21600,21600" o:spt="202" path="m,l,21600r21600,l21600,xe">
                <v:stroke joinstyle="miter"/>
                <v:path gradientshapeok="t" o:connecttype="rect"/>
              </v:shapetype>
              <v:shape id="Textbox 5" o:spid="_x0000_s1026" type="#_x0000_t202" style="width:41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" fillcolor="#d8d8d8" strokeweight="1.44pt">
                <v:path arrowok="t"/>
                <v:textbox inset="0,0,0,0">
                  <w:txbxContent>
                    <w:p w14:paraId="404C60AC" w14:textId="77777777" w:rsidR="0011418B" w:rsidRDefault="0011418B" w:rsidP="0011418B">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v:textbox>
                <w10:anchorlock/>
              </v:shape>
            </w:pict>
          </mc:Fallback>
        </mc:AlternateContent>
      </w:r>
    </w:p>
    <w:bookmarkEnd w:id="1"/>
    <w:p w14:paraId="093FCDBB" w14:textId="5DDBF6E1" w:rsidR="00A23C76" w:rsidRDefault="00A23C76" w:rsidP="0011418B"/>
    <w:tbl>
      <w:tblPr>
        <w:tblW w:w="9990" w:type="dxa"/>
        <w:tblInd w:w="3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070"/>
        <w:gridCol w:w="6002"/>
        <w:gridCol w:w="1918"/>
      </w:tblGrid>
      <w:tr w:rsidR="0011418B" w:rsidRPr="007D00FC" w14:paraId="5B294359" w14:textId="77777777" w:rsidTr="00245F18">
        <w:trPr>
          <w:trHeight w:val="912"/>
        </w:trPr>
        <w:tc>
          <w:tcPr>
            <w:tcW w:w="2070" w:type="dxa"/>
            <w:tcBorders>
              <w:bottom w:val="single" w:sz="4" w:space="0" w:color="000000"/>
              <w:right w:val="single" w:sz="4" w:space="0" w:color="000000"/>
            </w:tcBorders>
            <w:shd w:val="clear" w:color="auto" w:fill="91CF50"/>
          </w:tcPr>
          <w:p w14:paraId="26F292FC" w14:textId="77777777" w:rsidR="0011418B" w:rsidRPr="007D00FC" w:rsidRDefault="0011418B" w:rsidP="007C1861">
            <w:pPr>
              <w:widowControl w:val="0"/>
              <w:autoSpaceDE w:val="0"/>
              <w:autoSpaceDN w:val="0"/>
              <w:spacing w:line="253" w:lineRule="exact"/>
              <w:ind w:left="105"/>
              <w:rPr>
                <w:rFonts w:ascii="Arial MT" w:eastAsia="Arial MT" w:hAnsi="Arial MT" w:cs="Arial MT"/>
                <w:sz w:val="22"/>
                <w:szCs w:val="22"/>
              </w:rPr>
            </w:pPr>
            <w:bookmarkStart w:id="2" w:name="_Hlk236851328"/>
            <w:r w:rsidRPr="007D00FC">
              <w:rPr>
                <w:rFonts w:ascii="Arial MT" w:eastAsia="Arial MT" w:hAnsi="Arial MT" w:cs="Arial MT"/>
                <w:spacing w:val="-2"/>
                <w:sz w:val="22"/>
                <w:szCs w:val="22"/>
              </w:rPr>
              <w:t>RESEARCH</w:t>
            </w:r>
          </w:p>
        </w:tc>
        <w:tc>
          <w:tcPr>
            <w:tcW w:w="6002" w:type="dxa"/>
            <w:tcBorders>
              <w:left w:val="single" w:sz="4" w:space="0" w:color="000000"/>
              <w:bottom w:val="single" w:sz="4" w:space="0" w:color="000000"/>
              <w:right w:val="single" w:sz="4" w:space="0" w:color="000000"/>
            </w:tcBorders>
            <w:shd w:val="clear" w:color="auto" w:fill="91CF50"/>
          </w:tcPr>
          <w:p w14:paraId="42FD9135" w14:textId="77777777" w:rsidR="0011418B" w:rsidRPr="007D00FC" w:rsidRDefault="0011418B" w:rsidP="007C1861">
            <w:pPr>
              <w:widowControl w:val="0"/>
              <w:autoSpaceDE w:val="0"/>
              <w:autoSpaceDN w:val="0"/>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support you in research and data analysis.</w:t>
            </w:r>
          </w:p>
        </w:tc>
        <w:tc>
          <w:tcPr>
            <w:tcW w:w="1918" w:type="dxa"/>
            <w:tcBorders>
              <w:left w:val="single" w:sz="4" w:space="0" w:color="000000"/>
              <w:bottom w:val="single" w:sz="4" w:space="0" w:color="000000"/>
            </w:tcBorders>
            <w:shd w:val="clear" w:color="auto" w:fill="91CF50"/>
          </w:tcPr>
          <w:p w14:paraId="14B878EC" w14:textId="77777777" w:rsidR="0011418B" w:rsidRPr="007D00FC" w:rsidRDefault="0011418B"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1A431C84" w14:textId="77777777" w:rsidR="0011418B" w:rsidRPr="007D00FC" w:rsidRDefault="0011418B" w:rsidP="007C1861">
            <w:pPr>
              <w:widowControl w:val="0"/>
              <w:autoSpaceDE w:val="0"/>
              <w:autoSpaceDN w:val="0"/>
              <w:spacing w:before="18" w:line="240" w:lineRule="auto"/>
              <w:rPr>
                <w:rFonts w:ascii="Arial MT" w:eastAsia="Arial MT" w:hAnsi="Arial MT" w:cs="Arial MT"/>
                <w:sz w:val="22"/>
                <w:szCs w:val="22"/>
              </w:rPr>
            </w:pPr>
          </w:p>
          <w:p w14:paraId="1BA9C64D" w14:textId="77777777" w:rsidR="0011418B" w:rsidRPr="007D00FC" w:rsidRDefault="0011418B" w:rsidP="007C1861">
            <w:pPr>
              <w:widowControl w:val="0"/>
              <w:autoSpaceDE w:val="0"/>
              <w:autoSpaceDN w:val="0"/>
              <w:spacing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11418B" w:rsidRPr="007D00FC" w14:paraId="63557941" w14:textId="77777777" w:rsidTr="00245F18">
        <w:trPr>
          <w:trHeight w:val="1516"/>
        </w:trPr>
        <w:tc>
          <w:tcPr>
            <w:tcW w:w="2070" w:type="dxa"/>
            <w:tcBorders>
              <w:top w:val="single" w:sz="4" w:space="0" w:color="000000"/>
              <w:bottom w:val="single" w:sz="4" w:space="0" w:color="000000"/>
              <w:right w:val="single" w:sz="4" w:space="0" w:color="000000"/>
            </w:tcBorders>
          </w:tcPr>
          <w:p w14:paraId="5909A331" w14:textId="77777777" w:rsidR="0011418B" w:rsidRPr="007D00FC" w:rsidRDefault="0011418B"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STRUCTURE</w:t>
            </w:r>
          </w:p>
        </w:tc>
        <w:tc>
          <w:tcPr>
            <w:tcW w:w="6002" w:type="dxa"/>
            <w:tcBorders>
              <w:top w:val="single" w:sz="4" w:space="0" w:color="000000"/>
              <w:left w:val="single" w:sz="4" w:space="0" w:color="000000"/>
              <w:bottom w:val="single" w:sz="4" w:space="0" w:color="000000"/>
              <w:right w:val="single" w:sz="4" w:space="0" w:color="000000"/>
            </w:tcBorders>
          </w:tcPr>
          <w:p w14:paraId="61C68449" w14:textId="77777777" w:rsidR="0011418B" w:rsidRPr="007D00FC" w:rsidRDefault="0011418B" w:rsidP="007C1861">
            <w:pPr>
              <w:widowControl w:val="0"/>
              <w:autoSpaceDE w:val="0"/>
              <w:autoSpaceDN w:val="0"/>
              <w:ind w:left="108" w:hanging="1"/>
              <w:rPr>
                <w:rFonts w:ascii="Arial MT" w:eastAsia="Arial MT" w:hAnsi="Arial MT" w:cs="Arial MT"/>
                <w:sz w:val="22"/>
                <w:szCs w:val="22"/>
              </w:rPr>
            </w:pPr>
            <w:r w:rsidRPr="007D00FC">
              <w:rPr>
                <w:rFonts w:ascii="Arial MT" w:eastAsia="Arial MT" w:hAnsi="Arial MT" w:cs="Arial MT"/>
                <w:sz w:val="22"/>
                <w:szCs w:val="22"/>
              </w:rPr>
              <w:t>For this assessment, you can use Generative AI to support</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in</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structuring</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your</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submission,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including creating a draft argument structure, identifying parts</w:t>
            </w:r>
          </w:p>
          <w:p w14:paraId="17CDDD88" w14:textId="77777777" w:rsidR="0011418B" w:rsidRPr="007D00FC" w:rsidRDefault="0011418B"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and</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headings,</w:t>
            </w:r>
            <w:r w:rsidRPr="007D00FC">
              <w:rPr>
                <w:rFonts w:ascii="Arial MT" w:eastAsia="Arial MT" w:hAnsi="Arial MT" w:cs="Arial MT"/>
                <w:spacing w:val="-2"/>
                <w:sz w:val="22"/>
                <w:szCs w:val="22"/>
              </w:rPr>
              <w:t xml:space="preserve"> </w:t>
            </w:r>
            <w:r w:rsidRPr="007D00FC">
              <w:rPr>
                <w:rFonts w:ascii="Arial MT" w:eastAsia="Arial MT" w:hAnsi="Arial MT" w:cs="Arial MT"/>
                <w:spacing w:val="-4"/>
                <w:sz w:val="22"/>
                <w:szCs w:val="22"/>
              </w:rPr>
              <w:t>etc.</w:t>
            </w:r>
          </w:p>
        </w:tc>
        <w:tc>
          <w:tcPr>
            <w:tcW w:w="1918" w:type="dxa"/>
            <w:tcBorders>
              <w:top w:val="single" w:sz="4" w:space="0" w:color="000000"/>
              <w:left w:val="single" w:sz="4" w:space="0" w:color="000000"/>
              <w:bottom w:val="single" w:sz="4" w:space="0" w:color="000000"/>
            </w:tcBorders>
          </w:tcPr>
          <w:p w14:paraId="70F9019F" w14:textId="57E6E93F" w:rsidR="0011418B" w:rsidRPr="00245F18" w:rsidRDefault="0011418B" w:rsidP="00245F18">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1BC027C0" w14:textId="77777777" w:rsidR="0011418B" w:rsidRPr="007D00FC" w:rsidRDefault="0011418B" w:rsidP="007C1861">
            <w:pPr>
              <w:widowControl w:val="0"/>
              <w:autoSpaceDE w:val="0"/>
              <w:autoSpaceDN w:val="0"/>
              <w:spacing w:before="18" w:line="240" w:lineRule="auto"/>
              <w:rPr>
                <w:rFonts w:ascii="Arial MT" w:eastAsia="Arial MT" w:hAnsi="Arial MT" w:cs="Arial MT"/>
                <w:sz w:val="22"/>
                <w:szCs w:val="22"/>
              </w:rPr>
            </w:pPr>
          </w:p>
          <w:p w14:paraId="35C1B54F" w14:textId="77777777" w:rsidR="0011418B" w:rsidRPr="007D00FC" w:rsidRDefault="0011418B" w:rsidP="007C1861">
            <w:pPr>
              <w:widowControl w:val="0"/>
              <w:autoSpaceDE w:val="0"/>
              <w:autoSpaceDN w:val="0"/>
              <w:spacing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11418B" w:rsidRPr="007D00FC" w14:paraId="7AEE1163" w14:textId="77777777" w:rsidTr="00245F18">
        <w:trPr>
          <w:trHeight w:val="719"/>
        </w:trPr>
        <w:tc>
          <w:tcPr>
            <w:tcW w:w="2070" w:type="dxa"/>
            <w:tcBorders>
              <w:top w:val="single" w:sz="4" w:space="0" w:color="000000"/>
              <w:bottom w:val="single" w:sz="4" w:space="0" w:color="000000"/>
              <w:right w:val="single" w:sz="4" w:space="0" w:color="000000"/>
            </w:tcBorders>
            <w:shd w:val="clear" w:color="auto" w:fill="91CF50"/>
          </w:tcPr>
          <w:p w14:paraId="61199F7B" w14:textId="77777777" w:rsidR="0011418B" w:rsidRPr="007D00FC" w:rsidRDefault="0011418B" w:rsidP="007C1861">
            <w:pPr>
              <w:widowControl w:val="0"/>
              <w:autoSpaceDE w:val="0"/>
              <w:autoSpaceDN w:val="0"/>
              <w:spacing w:before="2"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PROOFREADING</w:t>
            </w:r>
          </w:p>
        </w:tc>
        <w:tc>
          <w:tcPr>
            <w:tcW w:w="6002" w:type="dxa"/>
            <w:tcBorders>
              <w:top w:val="single" w:sz="4" w:space="0" w:color="000000"/>
              <w:left w:val="single" w:sz="4" w:space="0" w:color="000000"/>
              <w:bottom w:val="single" w:sz="4" w:space="0" w:color="000000"/>
              <w:right w:val="single" w:sz="4" w:space="0" w:color="000000"/>
            </w:tcBorders>
            <w:shd w:val="clear" w:color="auto" w:fill="91CF50"/>
          </w:tcPr>
          <w:p w14:paraId="2F082EF7" w14:textId="77777777" w:rsidR="0011418B" w:rsidRPr="007D00FC" w:rsidRDefault="0011418B" w:rsidP="007C1861">
            <w:pPr>
              <w:widowControl w:val="0"/>
              <w:autoSpaceDE w:val="0"/>
              <w:autoSpaceDN w:val="0"/>
              <w:spacing w:before="2"/>
              <w:ind w:left="108"/>
              <w:rPr>
                <w:rFonts w:ascii="Arial MT" w:eastAsia="Arial MT" w:hAnsi="Arial MT" w:cs="Arial MT"/>
                <w:sz w:val="22"/>
                <w:szCs w:val="22"/>
              </w:rPr>
            </w:pPr>
            <w:r w:rsidRPr="007D00FC">
              <w:rPr>
                <w:rFonts w:ascii="Arial MT" w:eastAsia="Arial MT" w:hAnsi="Arial MT" w:cs="Arial MT"/>
                <w:sz w:val="22"/>
                <w:szCs w:val="22"/>
              </w:rPr>
              <w:t>For this assessment, you can use Generative AI to check your own text/creation for grammatical and syntactical</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mistakes,</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including</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getting</w:t>
            </w:r>
            <w:r w:rsidRPr="007D00FC">
              <w:rPr>
                <w:rFonts w:ascii="Arial MT" w:eastAsia="Arial MT" w:hAnsi="Arial MT" w:cs="Arial MT"/>
                <w:spacing w:val="-9"/>
                <w:sz w:val="22"/>
                <w:szCs w:val="22"/>
              </w:rPr>
              <w:t xml:space="preserve"> </w:t>
            </w:r>
            <w:r w:rsidRPr="007D00FC">
              <w:rPr>
                <w:rFonts w:ascii="Arial MT" w:eastAsia="Arial MT" w:hAnsi="Arial MT" w:cs="Arial MT"/>
                <w:sz w:val="22"/>
                <w:szCs w:val="22"/>
              </w:rPr>
              <w:t>suggestions</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to</w:t>
            </w:r>
          </w:p>
          <w:p w14:paraId="67FE882E" w14:textId="77777777" w:rsidR="0011418B" w:rsidRPr="007D00FC" w:rsidRDefault="0011418B"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rephrase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your</w:t>
            </w:r>
            <w:r w:rsidRPr="007D00FC">
              <w:rPr>
                <w:rFonts w:ascii="Arial MT" w:eastAsia="Arial MT" w:hAnsi="Arial MT" w:cs="Arial MT"/>
                <w:spacing w:val="-1"/>
                <w:sz w:val="22"/>
                <w:szCs w:val="22"/>
              </w:rPr>
              <w:t xml:space="preserve"> </w:t>
            </w:r>
            <w:r w:rsidRPr="007D00FC">
              <w:rPr>
                <w:rFonts w:ascii="Arial MT" w:eastAsia="Arial MT" w:hAnsi="Arial MT" w:cs="Arial MT"/>
                <w:spacing w:val="-4"/>
                <w:sz w:val="22"/>
                <w:szCs w:val="22"/>
              </w:rPr>
              <w:t>work.</w:t>
            </w:r>
          </w:p>
        </w:tc>
        <w:tc>
          <w:tcPr>
            <w:tcW w:w="1918" w:type="dxa"/>
            <w:tcBorders>
              <w:top w:val="single" w:sz="4" w:space="0" w:color="000000"/>
              <w:left w:val="single" w:sz="4" w:space="0" w:color="000000"/>
              <w:bottom w:val="single" w:sz="4" w:space="0" w:color="000000"/>
            </w:tcBorders>
            <w:shd w:val="clear" w:color="auto" w:fill="91CF50"/>
          </w:tcPr>
          <w:p w14:paraId="2ABB2D5F" w14:textId="77777777" w:rsidR="0011418B" w:rsidRPr="007D00FC" w:rsidRDefault="0011418B" w:rsidP="007C1861">
            <w:pPr>
              <w:widowControl w:val="0"/>
              <w:autoSpaceDE w:val="0"/>
              <w:autoSpaceDN w:val="0"/>
              <w:spacing w:before="5"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69C85520" w14:textId="77777777" w:rsidR="0011418B" w:rsidRPr="007D00FC" w:rsidRDefault="0011418B" w:rsidP="007C1861">
            <w:pPr>
              <w:widowControl w:val="0"/>
              <w:autoSpaceDE w:val="0"/>
              <w:autoSpaceDN w:val="0"/>
              <w:spacing w:line="240" w:lineRule="auto"/>
              <w:rPr>
                <w:rFonts w:ascii="Arial MT" w:eastAsia="Arial MT" w:hAnsi="Arial MT" w:cs="Arial MT"/>
                <w:sz w:val="22"/>
                <w:szCs w:val="22"/>
              </w:rPr>
            </w:pPr>
          </w:p>
          <w:p w14:paraId="45768EA2" w14:textId="77777777" w:rsidR="0011418B" w:rsidRPr="007D00FC" w:rsidRDefault="0011418B" w:rsidP="007C1861">
            <w:pPr>
              <w:widowControl w:val="0"/>
              <w:autoSpaceDE w:val="0"/>
              <w:autoSpaceDN w:val="0"/>
              <w:spacing w:before="18" w:line="240" w:lineRule="auto"/>
              <w:rPr>
                <w:rFonts w:ascii="Arial MT" w:eastAsia="Arial MT" w:hAnsi="Arial MT" w:cs="Arial MT"/>
                <w:sz w:val="22"/>
                <w:szCs w:val="22"/>
              </w:rPr>
            </w:pPr>
          </w:p>
          <w:p w14:paraId="704AA6CE" w14:textId="77777777" w:rsidR="0011418B" w:rsidRPr="007D00FC" w:rsidRDefault="0011418B" w:rsidP="007C1861">
            <w:pPr>
              <w:widowControl w:val="0"/>
              <w:autoSpaceDE w:val="0"/>
              <w:autoSpaceDN w:val="0"/>
              <w:spacing w:before="1"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11418B" w:rsidRPr="007D00FC" w14:paraId="1EC9F044" w14:textId="77777777" w:rsidTr="00245F18">
        <w:trPr>
          <w:trHeight w:val="926"/>
        </w:trPr>
        <w:tc>
          <w:tcPr>
            <w:tcW w:w="2070" w:type="dxa"/>
            <w:tcBorders>
              <w:top w:val="single" w:sz="4" w:space="0" w:color="000000"/>
              <w:bottom w:val="single" w:sz="4" w:space="0" w:color="000000"/>
              <w:right w:val="single" w:sz="4" w:space="0" w:color="000000"/>
            </w:tcBorders>
          </w:tcPr>
          <w:p w14:paraId="1A1DFA2E" w14:textId="77777777" w:rsidR="0011418B" w:rsidRPr="007D00FC" w:rsidRDefault="0011418B"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WRITING</w:t>
            </w:r>
          </w:p>
        </w:tc>
        <w:tc>
          <w:tcPr>
            <w:tcW w:w="6002" w:type="dxa"/>
            <w:tcBorders>
              <w:top w:val="single" w:sz="4" w:space="0" w:color="000000"/>
              <w:left w:val="single" w:sz="4" w:space="0" w:color="000000"/>
              <w:bottom w:val="single" w:sz="4" w:space="0" w:color="000000"/>
              <w:right w:val="single" w:sz="4" w:space="0" w:color="000000"/>
            </w:tcBorders>
          </w:tcPr>
          <w:p w14:paraId="0B1369E4" w14:textId="77777777" w:rsidR="0011418B" w:rsidRPr="007D00FC" w:rsidRDefault="0011418B" w:rsidP="007C1861">
            <w:pPr>
              <w:widowControl w:val="0"/>
              <w:autoSpaceDE w:val="0"/>
              <w:autoSpaceDN w:val="0"/>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to create text for submission.</w:t>
            </w:r>
          </w:p>
        </w:tc>
        <w:tc>
          <w:tcPr>
            <w:tcW w:w="1918" w:type="dxa"/>
            <w:tcBorders>
              <w:top w:val="single" w:sz="4" w:space="0" w:color="000000"/>
              <w:left w:val="single" w:sz="4" w:space="0" w:color="000000"/>
              <w:bottom w:val="single" w:sz="4" w:space="0" w:color="000000"/>
            </w:tcBorders>
          </w:tcPr>
          <w:p w14:paraId="4E2EB500" w14:textId="70A72943" w:rsidR="0011418B" w:rsidRPr="00245F18" w:rsidRDefault="0011418B" w:rsidP="00245F18">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70E28DBA" w14:textId="77777777" w:rsidR="0011418B" w:rsidRPr="007D00FC" w:rsidRDefault="0011418B" w:rsidP="007C1861">
            <w:pPr>
              <w:widowControl w:val="0"/>
              <w:autoSpaceDE w:val="0"/>
              <w:autoSpaceDN w:val="0"/>
              <w:spacing w:before="20" w:line="240" w:lineRule="auto"/>
              <w:rPr>
                <w:rFonts w:ascii="Arial MT" w:eastAsia="Arial MT" w:hAnsi="Arial MT" w:cs="Arial MT"/>
                <w:sz w:val="22"/>
                <w:szCs w:val="22"/>
              </w:rPr>
            </w:pPr>
          </w:p>
          <w:p w14:paraId="3E64096A" w14:textId="77777777" w:rsidR="0011418B" w:rsidRPr="007D00FC" w:rsidRDefault="0011418B" w:rsidP="007C1861">
            <w:pPr>
              <w:widowControl w:val="0"/>
              <w:autoSpaceDE w:val="0"/>
              <w:autoSpaceDN w:val="0"/>
              <w:spacing w:before="1"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11418B" w:rsidRPr="007D00FC" w14:paraId="4A76BE3D" w14:textId="77777777" w:rsidTr="00245F18">
        <w:trPr>
          <w:trHeight w:val="809"/>
        </w:trPr>
        <w:tc>
          <w:tcPr>
            <w:tcW w:w="2070" w:type="dxa"/>
            <w:tcBorders>
              <w:top w:val="single" w:sz="4" w:space="0" w:color="000000"/>
              <w:bottom w:val="single" w:sz="4" w:space="0" w:color="000000"/>
              <w:right w:val="single" w:sz="4" w:space="0" w:color="000000"/>
            </w:tcBorders>
            <w:shd w:val="clear" w:color="auto" w:fill="91CF50"/>
          </w:tcPr>
          <w:p w14:paraId="4413227E" w14:textId="77777777" w:rsidR="0011418B" w:rsidRPr="007D00FC" w:rsidRDefault="0011418B"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CREATIVE</w:t>
            </w:r>
          </w:p>
        </w:tc>
        <w:tc>
          <w:tcPr>
            <w:tcW w:w="6002" w:type="dxa"/>
            <w:tcBorders>
              <w:top w:val="single" w:sz="4" w:space="0" w:color="000000"/>
              <w:left w:val="single" w:sz="4" w:space="0" w:color="000000"/>
              <w:bottom w:val="single" w:sz="4" w:space="0" w:color="000000"/>
              <w:right w:val="single" w:sz="4" w:space="0" w:color="000000"/>
            </w:tcBorders>
            <w:shd w:val="clear" w:color="auto" w:fill="91CF50"/>
          </w:tcPr>
          <w:p w14:paraId="2D1F01AF" w14:textId="77777777" w:rsidR="0011418B" w:rsidRPr="007D00FC" w:rsidRDefault="0011418B" w:rsidP="007C1861">
            <w:pPr>
              <w:widowControl w:val="0"/>
              <w:autoSpaceDE w:val="0"/>
              <w:autoSpaceDN w:val="0"/>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create creative materials, such as images.</w:t>
            </w:r>
          </w:p>
        </w:tc>
        <w:tc>
          <w:tcPr>
            <w:tcW w:w="1918" w:type="dxa"/>
            <w:tcBorders>
              <w:top w:val="single" w:sz="4" w:space="0" w:color="000000"/>
              <w:left w:val="single" w:sz="4" w:space="0" w:color="000000"/>
              <w:bottom w:val="single" w:sz="4" w:space="0" w:color="000000"/>
            </w:tcBorders>
            <w:shd w:val="clear" w:color="auto" w:fill="91CF50"/>
          </w:tcPr>
          <w:p w14:paraId="19905C1C" w14:textId="77777777" w:rsidR="0011418B" w:rsidRPr="007D00FC" w:rsidRDefault="0011418B"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3FC6F9BB" w14:textId="77777777" w:rsidR="0011418B" w:rsidRPr="007D00FC" w:rsidRDefault="0011418B" w:rsidP="007C1861">
            <w:pPr>
              <w:widowControl w:val="0"/>
              <w:autoSpaceDE w:val="0"/>
              <w:autoSpaceDN w:val="0"/>
              <w:spacing w:before="20" w:line="240" w:lineRule="auto"/>
              <w:rPr>
                <w:rFonts w:ascii="Arial MT" w:eastAsia="Arial MT" w:hAnsi="Arial MT" w:cs="Arial MT"/>
                <w:sz w:val="22"/>
                <w:szCs w:val="22"/>
              </w:rPr>
            </w:pPr>
          </w:p>
          <w:p w14:paraId="4F6756B8" w14:textId="77777777" w:rsidR="0011418B" w:rsidRPr="007D00FC" w:rsidRDefault="0011418B" w:rsidP="007C1861">
            <w:pPr>
              <w:widowControl w:val="0"/>
              <w:autoSpaceDE w:val="0"/>
              <w:autoSpaceDN w:val="0"/>
              <w:spacing w:before="1"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11418B" w:rsidRPr="007D00FC" w14:paraId="79D38731" w14:textId="77777777" w:rsidTr="00245F18">
        <w:trPr>
          <w:trHeight w:val="926"/>
        </w:trPr>
        <w:tc>
          <w:tcPr>
            <w:tcW w:w="2070" w:type="dxa"/>
            <w:tcBorders>
              <w:top w:val="single" w:sz="4" w:space="0" w:color="000000"/>
              <w:bottom w:val="single" w:sz="4" w:space="0" w:color="000000"/>
              <w:right w:val="single" w:sz="4" w:space="0" w:color="000000"/>
            </w:tcBorders>
          </w:tcPr>
          <w:p w14:paraId="486D0B7E" w14:textId="77777777" w:rsidR="0011418B" w:rsidRPr="007D00FC" w:rsidRDefault="0011418B"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PROGRAMING</w:t>
            </w:r>
          </w:p>
        </w:tc>
        <w:tc>
          <w:tcPr>
            <w:tcW w:w="6002" w:type="dxa"/>
            <w:tcBorders>
              <w:top w:val="single" w:sz="4" w:space="0" w:color="000000"/>
              <w:left w:val="single" w:sz="4" w:space="0" w:color="000000"/>
              <w:bottom w:val="single" w:sz="4" w:space="0" w:color="000000"/>
              <w:right w:val="single" w:sz="4" w:space="0" w:color="000000"/>
            </w:tcBorders>
          </w:tcPr>
          <w:p w14:paraId="1A5EB8BE" w14:textId="77777777" w:rsidR="0011418B" w:rsidRPr="007D00FC" w:rsidRDefault="0011418B" w:rsidP="007C1861">
            <w:pPr>
              <w:widowControl w:val="0"/>
              <w:autoSpaceDE w:val="0"/>
              <w:autoSpaceDN w:val="0"/>
              <w:ind w:left="108" w:hanging="1"/>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create and check code.</w:t>
            </w:r>
          </w:p>
        </w:tc>
        <w:tc>
          <w:tcPr>
            <w:tcW w:w="1918" w:type="dxa"/>
            <w:tcBorders>
              <w:top w:val="single" w:sz="4" w:space="0" w:color="000000"/>
              <w:left w:val="single" w:sz="4" w:space="0" w:color="000000"/>
              <w:bottom w:val="single" w:sz="4" w:space="0" w:color="000000"/>
            </w:tcBorders>
          </w:tcPr>
          <w:p w14:paraId="3EE20DF1" w14:textId="77777777" w:rsidR="0011418B" w:rsidRPr="007D00FC" w:rsidRDefault="0011418B"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34C4B399" w14:textId="77777777" w:rsidR="0011418B" w:rsidRPr="007D00FC" w:rsidRDefault="0011418B" w:rsidP="007C1861">
            <w:pPr>
              <w:widowControl w:val="0"/>
              <w:autoSpaceDE w:val="0"/>
              <w:autoSpaceDN w:val="0"/>
              <w:spacing w:before="18" w:line="240" w:lineRule="auto"/>
              <w:rPr>
                <w:rFonts w:ascii="Arial MT" w:eastAsia="Arial MT" w:hAnsi="Arial MT" w:cs="Arial MT"/>
                <w:sz w:val="22"/>
                <w:szCs w:val="22"/>
              </w:rPr>
            </w:pPr>
          </w:p>
          <w:p w14:paraId="792ACBA6" w14:textId="77777777" w:rsidR="0011418B" w:rsidRPr="007D00FC" w:rsidRDefault="0011418B" w:rsidP="007C1861">
            <w:pPr>
              <w:widowControl w:val="0"/>
              <w:autoSpaceDE w:val="0"/>
              <w:autoSpaceDN w:val="0"/>
              <w:spacing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11418B" w:rsidRPr="007D00FC" w14:paraId="4363DC79" w14:textId="77777777" w:rsidTr="00245F18">
        <w:trPr>
          <w:trHeight w:val="1518"/>
        </w:trPr>
        <w:tc>
          <w:tcPr>
            <w:tcW w:w="2070" w:type="dxa"/>
            <w:tcBorders>
              <w:top w:val="single" w:sz="4" w:space="0" w:color="000000"/>
              <w:right w:val="single" w:sz="4" w:space="0" w:color="000000"/>
            </w:tcBorders>
          </w:tcPr>
          <w:p w14:paraId="42F649FA" w14:textId="77777777" w:rsidR="0011418B" w:rsidRPr="007D00FC" w:rsidRDefault="0011418B"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4"/>
                <w:sz w:val="22"/>
                <w:szCs w:val="22"/>
              </w:rPr>
              <w:t>NONE</w:t>
            </w:r>
          </w:p>
        </w:tc>
        <w:tc>
          <w:tcPr>
            <w:tcW w:w="6002" w:type="dxa"/>
            <w:tcBorders>
              <w:top w:val="single" w:sz="4" w:space="0" w:color="000000"/>
              <w:left w:val="single" w:sz="4" w:space="0" w:color="000000"/>
              <w:right w:val="single" w:sz="4" w:space="0" w:color="000000"/>
            </w:tcBorders>
          </w:tcPr>
          <w:p w14:paraId="7D80DA4D" w14:textId="77777777" w:rsidR="0011418B" w:rsidRPr="007D00FC" w:rsidRDefault="0011418B" w:rsidP="007C1861">
            <w:pPr>
              <w:widowControl w:val="0"/>
              <w:autoSpaceDE w:val="0"/>
              <w:autoSpaceDN w:val="0"/>
              <w:ind w:left="108" w:right="89" w:hanging="1"/>
              <w:rPr>
                <w:rFonts w:ascii="Arial MT" w:eastAsia="Arial MT" w:hAnsi="Arial MT" w:cs="Arial MT"/>
                <w:sz w:val="22"/>
                <w:szCs w:val="22"/>
              </w:rPr>
            </w:pPr>
            <w:r w:rsidRPr="007D00FC">
              <w:rPr>
                <w:rFonts w:ascii="Arial MT" w:eastAsia="Arial MT" w:hAnsi="Arial MT" w:cs="Arial MT"/>
                <w:sz w:val="22"/>
                <w:szCs w:val="22"/>
              </w:rPr>
              <w:t xml:space="preserve">For this assessment, you are not allowed to use </w:t>
            </w:r>
            <w:r w:rsidRPr="007D00FC">
              <w:rPr>
                <w:rFonts w:eastAsia="Arial MT" w:hAnsi="Arial MT" w:cs="Arial MT"/>
                <w:b/>
                <w:sz w:val="22"/>
                <w:szCs w:val="22"/>
              </w:rPr>
              <w:t xml:space="preserve">any </w:t>
            </w:r>
            <w:r w:rsidRPr="007D00FC">
              <w:rPr>
                <w:rFonts w:ascii="Arial MT" w:eastAsia="Arial MT" w:hAnsi="Arial MT" w:cs="Arial MT"/>
                <w:sz w:val="22"/>
                <w:szCs w:val="22"/>
              </w:rPr>
              <w:t>type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of</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support.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includes</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research support, structure support, writing/proofreading</w:t>
            </w:r>
          </w:p>
          <w:p w14:paraId="5343BE0C" w14:textId="77777777" w:rsidR="0011418B" w:rsidRPr="007D00FC" w:rsidRDefault="0011418B"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support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and</w:t>
            </w:r>
            <w:r w:rsidRPr="007D00FC">
              <w:rPr>
                <w:rFonts w:ascii="Arial MT" w:eastAsia="Arial MT" w:hAnsi="Arial MT" w:cs="Arial MT"/>
                <w:spacing w:val="-2"/>
                <w:sz w:val="22"/>
                <w:szCs w:val="22"/>
              </w:rPr>
              <w:t xml:space="preserve"> </w:t>
            </w:r>
            <w:r w:rsidRPr="007D00FC">
              <w:rPr>
                <w:rFonts w:ascii="Arial MT" w:eastAsia="Arial MT" w:hAnsi="Arial MT" w:cs="Arial MT"/>
                <w:sz w:val="22"/>
                <w:szCs w:val="22"/>
              </w:rPr>
              <w:t>creative</w:t>
            </w:r>
            <w:r w:rsidRPr="007D00FC">
              <w:rPr>
                <w:rFonts w:ascii="Arial MT" w:eastAsia="Arial MT" w:hAnsi="Arial MT" w:cs="Arial MT"/>
                <w:spacing w:val="-4"/>
                <w:sz w:val="22"/>
                <w:szCs w:val="22"/>
              </w:rPr>
              <w:t xml:space="preserve"> </w:t>
            </w:r>
            <w:r w:rsidRPr="007D00FC">
              <w:rPr>
                <w:rFonts w:ascii="Arial MT" w:eastAsia="Arial MT" w:hAnsi="Arial MT" w:cs="Arial MT"/>
                <w:spacing w:val="-2"/>
                <w:sz w:val="22"/>
                <w:szCs w:val="22"/>
              </w:rPr>
              <w:t>support.</w:t>
            </w:r>
          </w:p>
        </w:tc>
        <w:tc>
          <w:tcPr>
            <w:tcW w:w="1918" w:type="dxa"/>
            <w:tcBorders>
              <w:top w:val="single" w:sz="4" w:space="0" w:color="000000"/>
              <w:left w:val="single" w:sz="4" w:space="0" w:color="000000"/>
            </w:tcBorders>
          </w:tcPr>
          <w:p w14:paraId="68DEB8C9" w14:textId="77777777" w:rsidR="0011418B" w:rsidRPr="007D00FC" w:rsidRDefault="0011418B"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Segoe UI Symbol" w:eastAsia="Arial MT" w:hAnsi="Segoe UI Symbol" w:cs="Segoe UI Symbol"/>
                <w:spacing w:val="-10"/>
                <w:sz w:val="22"/>
                <w:szCs w:val="22"/>
              </w:rPr>
              <w:t>☐</w:t>
            </w:r>
          </w:p>
        </w:tc>
      </w:tr>
      <w:bookmarkEnd w:id="2"/>
    </w:tbl>
    <w:p w14:paraId="5A9B0C46" w14:textId="77777777" w:rsidR="0011418B" w:rsidRPr="00F30D0E" w:rsidRDefault="0011418B" w:rsidP="0011418B"/>
    <w:p w14:paraId="48A391CE" w14:textId="77777777" w:rsidR="00A23C76" w:rsidRPr="00F30D0E" w:rsidRDefault="00A23C76">
      <w:pPr>
        <w:spacing w:line="240" w:lineRule="auto"/>
        <w:jc w:val="left"/>
        <w:rPr>
          <w:rFonts w:cs="Arial"/>
          <w:iCs/>
          <w:sz w:val="28"/>
          <w:szCs w:val="28"/>
        </w:rPr>
      </w:pPr>
      <w:r w:rsidRPr="00F30D0E">
        <w:rPr>
          <w:rFonts w:cs="Arial"/>
          <w:iCs/>
          <w:sz w:val="28"/>
          <w:szCs w:val="28"/>
        </w:rPr>
        <w:br w:type="page"/>
      </w:r>
    </w:p>
    <w:sdt>
      <w:sdtPr>
        <w:rPr>
          <w:rFonts w:ascii="Arial" w:eastAsia="Times New Roman" w:hAnsi="Arial" w:cs="Arial"/>
          <w:b/>
          <w:bCs/>
          <w:color w:val="000000" w:themeColor="text1"/>
          <w:sz w:val="24"/>
          <w:szCs w:val="24"/>
          <w:lang w:val="en-GB" w:eastAsia="en-GB"/>
        </w:rPr>
        <w:id w:val="-1757825409"/>
        <w:docPartObj>
          <w:docPartGallery w:val="Table of Contents"/>
          <w:docPartUnique/>
        </w:docPartObj>
      </w:sdtPr>
      <w:sdtEndPr>
        <w:rPr>
          <w:noProof/>
          <w:color w:val="auto"/>
        </w:rPr>
      </w:sdtEndPr>
      <w:sdtContent>
        <w:p w14:paraId="461D6779" w14:textId="77777777" w:rsidR="00A23C76" w:rsidRPr="003233DE" w:rsidRDefault="00A23C76" w:rsidP="004C0FAB">
          <w:pPr>
            <w:pStyle w:val="TOCHeading"/>
            <w:rPr>
              <w:rFonts w:ascii="Arial" w:hAnsi="Arial" w:cs="Arial"/>
              <w:b/>
              <w:bCs/>
              <w:color w:val="000000" w:themeColor="text1"/>
            </w:rPr>
          </w:pPr>
          <w:r w:rsidRPr="003233DE">
            <w:rPr>
              <w:rFonts w:ascii="Arial" w:hAnsi="Arial" w:cs="Arial"/>
              <w:b/>
              <w:bCs/>
              <w:color w:val="000000" w:themeColor="text1"/>
            </w:rPr>
            <w:t>Table of Contents</w:t>
          </w:r>
        </w:p>
        <w:p w14:paraId="3E73D2C4" w14:textId="3FCB5E99" w:rsidR="0011418B" w:rsidRDefault="00A23C76">
          <w:pPr>
            <w:pStyle w:val="TOC1"/>
            <w:tabs>
              <w:tab w:val="right" w:leader="dot" w:pos="9016"/>
            </w:tabs>
            <w:rPr>
              <w:rFonts w:asciiTheme="minorHAnsi" w:eastAsiaTheme="minorEastAsia" w:hAnsiTheme="minorHAnsi" w:cstheme="minorBidi"/>
              <w:noProof/>
              <w:sz w:val="22"/>
              <w:szCs w:val="22"/>
            </w:rPr>
          </w:pPr>
          <w:r w:rsidRPr="00F30D0E">
            <w:rPr>
              <w:rFonts w:cs="Arial"/>
            </w:rPr>
            <w:fldChar w:fldCharType="begin"/>
          </w:r>
          <w:r w:rsidRPr="00F30D0E">
            <w:rPr>
              <w:rFonts w:cs="Arial"/>
            </w:rPr>
            <w:instrText xml:space="preserve"> TOC \o "1-3" \h \z \u </w:instrText>
          </w:r>
          <w:r w:rsidRPr="00F30D0E">
            <w:rPr>
              <w:rFonts w:cs="Arial"/>
            </w:rPr>
            <w:fldChar w:fldCharType="separate"/>
          </w:r>
          <w:hyperlink w:anchor="_Toc236940832" w:history="1">
            <w:r w:rsidR="0011418B" w:rsidRPr="00973221">
              <w:rPr>
                <w:rStyle w:val="Hyperlink"/>
                <w:noProof/>
              </w:rPr>
              <w:t>Section 1</w:t>
            </w:r>
            <w:r w:rsidR="0011418B">
              <w:rPr>
                <w:noProof/>
                <w:webHidden/>
              </w:rPr>
              <w:tab/>
            </w:r>
            <w:r w:rsidR="0011418B">
              <w:rPr>
                <w:noProof/>
                <w:webHidden/>
              </w:rPr>
              <w:fldChar w:fldCharType="begin"/>
            </w:r>
            <w:r w:rsidR="0011418B">
              <w:rPr>
                <w:noProof/>
                <w:webHidden/>
              </w:rPr>
              <w:instrText xml:space="preserve"> PAGEREF _Toc236940832 \h </w:instrText>
            </w:r>
            <w:r w:rsidR="0011418B">
              <w:rPr>
                <w:noProof/>
                <w:webHidden/>
              </w:rPr>
            </w:r>
            <w:r w:rsidR="0011418B">
              <w:rPr>
                <w:noProof/>
                <w:webHidden/>
              </w:rPr>
              <w:fldChar w:fldCharType="separate"/>
            </w:r>
            <w:r w:rsidR="003233DE">
              <w:rPr>
                <w:noProof/>
                <w:webHidden/>
              </w:rPr>
              <w:t>4</w:t>
            </w:r>
            <w:r w:rsidR="0011418B">
              <w:rPr>
                <w:noProof/>
                <w:webHidden/>
              </w:rPr>
              <w:fldChar w:fldCharType="end"/>
            </w:r>
          </w:hyperlink>
        </w:p>
        <w:p w14:paraId="7C69903A" w14:textId="2143963B" w:rsidR="0011418B" w:rsidRDefault="0011418B">
          <w:pPr>
            <w:pStyle w:val="TOC1"/>
            <w:tabs>
              <w:tab w:val="right" w:leader="dot" w:pos="9016"/>
            </w:tabs>
            <w:rPr>
              <w:rFonts w:asciiTheme="minorHAnsi" w:eastAsiaTheme="minorEastAsia" w:hAnsiTheme="minorHAnsi" w:cstheme="minorBidi"/>
              <w:noProof/>
              <w:sz w:val="22"/>
              <w:szCs w:val="22"/>
            </w:rPr>
          </w:pPr>
          <w:hyperlink w:anchor="_Toc236940833" w:history="1">
            <w:r w:rsidRPr="00973221">
              <w:rPr>
                <w:rStyle w:val="Hyperlink"/>
                <w:noProof/>
              </w:rPr>
              <w:t>1. Introduction</w:t>
            </w:r>
            <w:r>
              <w:rPr>
                <w:noProof/>
                <w:webHidden/>
              </w:rPr>
              <w:tab/>
            </w:r>
            <w:r>
              <w:rPr>
                <w:noProof/>
                <w:webHidden/>
              </w:rPr>
              <w:fldChar w:fldCharType="begin"/>
            </w:r>
            <w:r>
              <w:rPr>
                <w:noProof/>
                <w:webHidden/>
              </w:rPr>
              <w:instrText xml:space="preserve"> PAGEREF _Toc236940833 \h </w:instrText>
            </w:r>
            <w:r>
              <w:rPr>
                <w:noProof/>
                <w:webHidden/>
              </w:rPr>
            </w:r>
            <w:r>
              <w:rPr>
                <w:noProof/>
                <w:webHidden/>
              </w:rPr>
              <w:fldChar w:fldCharType="separate"/>
            </w:r>
            <w:r w:rsidR="003233DE">
              <w:rPr>
                <w:noProof/>
                <w:webHidden/>
              </w:rPr>
              <w:t>4</w:t>
            </w:r>
            <w:r>
              <w:rPr>
                <w:noProof/>
                <w:webHidden/>
              </w:rPr>
              <w:fldChar w:fldCharType="end"/>
            </w:r>
          </w:hyperlink>
        </w:p>
        <w:p w14:paraId="78CEF7E7" w14:textId="1544822D" w:rsidR="0011418B" w:rsidRDefault="0011418B">
          <w:pPr>
            <w:pStyle w:val="TOC1"/>
            <w:tabs>
              <w:tab w:val="right" w:leader="dot" w:pos="9016"/>
            </w:tabs>
            <w:rPr>
              <w:rFonts w:asciiTheme="minorHAnsi" w:eastAsiaTheme="minorEastAsia" w:hAnsiTheme="minorHAnsi" w:cstheme="minorBidi"/>
              <w:noProof/>
              <w:sz w:val="22"/>
              <w:szCs w:val="22"/>
            </w:rPr>
          </w:pPr>
          <w:hyperlink w:anchor="_Toc236940834" w:history="1">
            <w:r w:rsidRPr="00973221">
              <w:rPr>
                <w:rStyle w:val="Hyperlink"/>
                <w:noProof/>
              </w:rPr>
              <w:t>2. Background of the Company</w:t>
            </w:r>
            <w:r>
              <w:rPr>
                <w:noProof/>
                <w:webHidden/>
              </w:rPr>
              <w:tab/>
            </w:r>
            <w:r>
              <w:rPr>
                <w:noProof/>
                <w:webHidden/>
              </w:rPr>
              <w:fldChar w:fldCharType="begin"/>
            </w:r>
            <w:r>
              <w:rPr>
                <w:noProof/>
                <w:webHidden/>
              </w:rPr>
              <w:instrText xml:space="preserve"> PAGEREF _Toc236940834 \h </w:instrText>
            </w:r>
            <w:r>
              <w:rPr>
                <w:noProof/>
                <w:webHidden/>
              </w:rPr>
            </w:r>
            <w:r>
              <w:rPr>
                <w:noProof/>
                <w:webHidden/>
              </w:rPr>
              <w:fldChar w:fldCharType="separate"/>
            </w:r>
            <w:r w:rsidR="003233DE">
              <w:rPr>
                <w:noProof/>
                <w:webHidden/>
              </w:rPr>
              <w:t>4</w:t>
            </w:r>
            <w:r>
              <w:rPr>
                <w:noProof/>
                <w:webHidden/>
              </w:rPr>
              <w:fldChar w:fldCharType="end"/>
            </w:r>
          </w:hyperlink>
        </w:p>
        <w:p w14:paraId="37095C6B" w14:textId="1C6425AF" w:rsidR="0011418B" w:rsidRDefault="0011418B">
          <w:pPr>
            <w:pStyle w:val="TOC1"/>
            <w:tabs>
              <w:tab w:val="right" w:leader="dot" w:pos="9016"/>
            </w:tabs>
            <w:rPr>
              <w:rFonts w:asciiTheme="minorHAnsi" w:eastAsiaTheme="minorEastAsia" w:hAnsiTheme="minorHAnsi" w:cstheme="minorBidi"/>
              <w:noProof/>
              <w:sz w:val="22"/>
              <w:szCs w:val="22"/>
            </w:rPr>
          </w:pPr>
          <w:hyperlink w:anchor="_Toc236940835" w:history="1">
            <w:r w:rsidRPr="00973221">
              <w:rPr>
                <w:rStyle w:val="Hyperlink"/>
                <w:noProof/>
              </w:rPr>
              <w:t>3. The Macro Environment</w:t>
            </w:r>
            <w:r>
              <w:rPr>
                <w:noProof/>
                <w:webHidden/>
              </w:rPr>
              <w:tab/>
            </w:r>
            <w:r>
              <w:rPr>
                <w:noProof/>
                <w:webHidden/>
              </w:rPr>
              <w:fldChar w:fldCharType="begin"/>
            </w:r>
            <w:r>
              <w:rPr>
                <w:noProof/>
                <w:webHidden/>
              </w:rPr>
              <w:instrText xml:space="preserve"> PAGEREF _Toc236940835 \h </w:instrText>
            </w:r>
            <w:r>
              <w:rPr>
                <w:noProof/>
                <w:webHidden/>
              </w:rPr>
            </w:r>
            <w:r>
              <w:rPr>
                <w:noProof/>
                <w:webHidden/>
              </w:rPr>
              <w:fldChar w:fldCharType="separate"/>
            </w:r>
            <w:r w:rsidR="003233DE">
              <w:rPr>
                <w:noProof/>
                <w:webHidden/>
              </w:rPr>
              <w:t>5</w:t>
            </w:r>
            <w:r>
              <w:rPr>
                <w:noProof/>
                <w:webHidden/>
              </w:rPr>
              <w:fldChar w:fldCharType="end"/>
            </w:r>
          </w:hyperlink>
        </w:p>
        <w:p w14:paraId="7D2B4651" w14:textId="169D5E67" w:rsidR="0011418B" w:rsidRDefault="0011418B">
          <w:pPr>
            <w:pStyle w:val="TOC2"/>
            <w:tabs>
              <w:tab w:val="right" w:leader="dot" w:pos="9016"/>
            </w:tabs>
            <w:rPr>
              <w:rFonts w:asciiTheme="minorHAnsi" w:eastAsiaTheme="minorEastAsia" w:hAnsiTheme="minorHAnsi" w:cstheme="minorBidi"/>
              <w:noProof/>
              <w:sz w:val="22"/>
              <w:szCs w:val="22"/>
            </w:rPr>
          </w:pPr>
          <w:hyperlink w:anchor="_Toc236940836" w:history="1">
            <w:r w:rsidRPr="00973221">
              <w:rPr>
                <w:rStyle w:val="Hyperlink"/>
                <w:noProof/>
              </w:rPr>
              <w:t>3.1 PESTEL Analysis: Comparative Overview of the USA and Australia</w:t>
            </w:r>
            <w:r>
              <w:rPr>
                <w:noProof/>
                <w:webHidden/>
              </w:rPr>
              <w:tab/>
            </w:r>
            <w:r>
              <w:rPr>
                <w:noProof/>
                <w:webHidden/>
              </w:rPr>
              <w:fldChar w:fldCharType="begin"/>
            </w:r>
            <w:r>
              <w:rPr>
                <w:noProof/>
                <w:webHidden/>
              </w:rPr>
              <w:instrText xml:space="preserve"> PAGEREF _Toc236940836 \h </w:instrText>
            </w:r>
            <w:r>
              <w:rPr>
                <w:noProof/>
                <w:webHidden/>
              </w:rPr>
            </w:r>
            <w:r>
              <w:rPr>
                <w:noProof/>
                <w:webHidden/>
              </w:rPr>
              <w:fldChar w:fldCharType="separate"/>
            </w:r>
            <w:r w:rsidR="003233DE">
              <w:rPr>
                <w:noProof/>
                <w:webHidden/>
              </w:rPr>
              <w:t>5</w:t>
            </w:r>
            <w:r>
              <w:rPr>
                <w:noProof/>
                <w:webHidden/>
              </w:rPr>
              <w:fldChar w:fldCharType="end"/>
            </w:r>
          </w:hyperlink>
        </w:p>
        <w:p w14:paraId="00357C47" w14:textId="331D8E3A" w:rsidR="0011418B" w:rsidRDefault="0011418B">
          <w:pPr>
            <w:pStyle w:val="TOC1"/>
            <w:tabs>
              <w:tab w:val="right" w:leader="dot" w:pos="9016"/>
            </w:tabs>
            <w:rPr>
              <w:rFonts w:asciiTheme="minorHAnsi" w:eastAsiaTheme="minorEastAsia" w:hAnsiTheme="minorHAnsi" w:cstheme="minorBidi"/>
              <w:noProof/>
              <w:sz w:val="22"/>
              <w:szCs w:val="22"/>
            </w:rPr>
          </w:pPr>
          <w:hyperlink w:anchor="_Toc236940837" w:history="1">
            <w:r w:rsidRPr="00973221">
              <w:rPr>
                <w:rStyle w:val="Hyperlink"/>
                <w:noProof/>
              </w:rPr>
              <w:t>4. Comparative STP and 7Ps Analysis</w:t>
            </w:r>
            <w:r>
              <w:rPr>
                <w:noProof/>
                <w:webHidden/>
              </w:rPr>
              <w:tab/>
            </w:r>
            <w:r>
              <w:rPr>
                <w:noProof/>
                <w:webHidden/>
              </w:rPr>
              <w:fldChar w:fldCharType="begin"/>
            </w:r>
            <w:r>
              <w:rPr>
                <w:noProof/>
                <w:webHidden/>
              </w:rPr>
              <w:instrText xml:space="preserve"> PAGEREF _Toc236940837 \h </w:instrText>
            </w:r>
            <w:r>
              <w:rPr>
                <w:noProof/>
                <w:webHidden/>
              </w:rPr>
            </w:r>
            <w:r>
              <w:rPr>
                <w:noProof/>
                <w:webHidden/>
              </w:rPr>
              <w:fldChar w:fldCharType="separate"/>
            </w:r>
            <w:r w:rsidR="003233DE">
              <w:rPr>
                <w:noProof/>
                <w:webHidden/>
              </w:rPr>
              <w:t>11</w:t>
            </w:r>
            <w:r>
              <w:rPr>
                <w:noProof/>
                <w:webHidden/>
              </w:rPr>
              <w:fldChar w:fldCharType="end"/>
            </w:r>
          </w:hyperlink>
        </w:p>
        <w:p w14:paraId="1EED642C" w14:textId="09476ACE" w:rsidR="0011418B" w:rsidRDefault="0011418B">
          <w:pPr>
            <w:pStyle w:val="TOC2"/>
            <w:tabs>
              <w:tab w:val="right" w:leader="dot" w:pos="9016"/>
            </w:tabs>
            <w:rPr>
              <w:rFonts w:asciiTheme="minorHAnsi" w:eastAsiaTheme="minorEastAsia" w:hAnsiTheme="minorHAnsi" w:cstheme="minorBidi"/>
              <w:noProof/>
              <w:sz w:val="22"/>
              <w:szCs w:val="22"/>
            </w:rPr>
          </w:pPr>
          <w:hyperlink w:anchor="_Toc236940838" w:history="1">
            <w:r w:rsidRPr="00973221">
              <w:rPr>
                <w:rStyle w:val="Hyperlink"/>
                <w:noProof/>
              </w:rPr>
              <w:t>4.1 Segmentation, Targeting and Positioning</w:t>
            </w:r>
            <w:r>
              <w:rPr>
                <w:noProof/>
                <w:webHidden/>
              </w:rPr>
              <w:tab/>
            </w:r>
            <w:r>
              <w:rPr>
                <w:noProof/>
                <w:webHidden/>
              </w:rPr>
              <w:fldChar w:fldCharType="begin"/>
            </w:r>
            <w:r>
              <w:rPr>
                <w:noProof/>
                <w:webHidden/>
              </w:rPr>
              <w:instrText xml:space="preserve"> PAGEREF _Toc236940838 \h </w:instrText>
            </w:r>
            <w:r>
              <w:rPr>
                <w:noProof/>
                <w:webHidden/>
              </w:rPr>
            </w:r>
            <w:r>
              <w:rPr>
                <w:noProof/>
                <w:webHidden/>
              </w:rPr>
              <w:fldChar w:fldCharType="separate"/>
            </w:r>
            <w:r w:rsidR="003233DE">
              <w:rPr>
                <w:noProof/>
                <w:webHidden/>
              </w:rPr>
              <w:t>11</w:t>
            </w:r>
            <w:r>
              <w:rPr>
                <w:noProof/>
                <w:webHidden/>
              </w:rPr>
              <w:fldChar w:fldCharType="end"/>
            </w:r>
          </w:hyperlink>
        </w:p>
        <w:p w14:paraId="14289E31" w14:textId="0A09D172" w:rsidR="0011418B" w:rsidRDefault="0011418B">
          <w:pPr>
            <w:pStyle w:val="TOC2"/>
            <w:tabs>
              <w:tab w:val="right" w:leader="dot" w:pos="9016"/>
            </w:tabs>
            <w:rPr>
              <w:rFonts w:asciiTheme="minorHAnsi" w:eastAsiaTheme="minorEastAsia" w:hAnsiTheme="minorHAnsi" w:cstheme="minorBidi"/>
              <w:noProof/>
              <w:sz w:val="22"/>
              <w:szCs w:val="22"/>
            </w:rPr>
          </w:pPr>
          <w:hyperlink w:anchor="_Toc236940839" w:history="1">
            <w:r w:rsidRPr="00973221">
              <w:rPr>
                <w:rStyle w:val="Hyperlink"/>
                <w:noProof/>
              </w:rPr>
              <w:t>4.2 Marketing Mix (7Ps): Comparative Analysis</w:t>
            </w:r>
            <w:r>
              <w:rPr>
                <w:noProof/>
                <w:webHidden/>
              </w:rPr>
              <w:tab/>
            </w:r>
            <w:r>
              <w:rPr>
                <w:noProof/>
                <w:webHidden/>
              </w:rPr>
              <w:fldChar w:fldCharType="begin"/>
            </w:r>
            <w:r>
              <w:rPr>
                <w:noProof/>
                <w:webHidden/>
              </w:rPr>
              <w:instrText xml:space="preserve"> PAGEREF _Toc236940839 \h </w:instrText>
            </w:r>
            <w:r>
              <w:rPr>
                <w:noProof/>
                <w:webHidden/>
              </w:rPr>
            </w:r>
            <w:r>
              <w:rPr>
                <w:noProof/>
                <w:webHidden/>
              </w:rPr>
              <w:fldChar w:fldCharType="separate"/>
            </w:r>
            <w:r w:rsidR="003233DE">
              <w:rPr>
                <w:noProof/>
                <w:webHidden/>
              </w:rPr>
              <w:t>15</w:t>
            </w:r>
            <w:r>
              <w:rPr>
                <w:noProof/>
                <w:webHidden/>
              </w:rPr>
              <w:fldChar w:fldCharType="end"/>
            </w:r>
          </w:hyperlink>
        </w:p>
        <w:p w14:paraId="7549741F" w14:textId="70344330" w:rsidR="0011418B" w:rsidRDefault="0011418B">
          <w:pPr>
            <w:pStyle w:val="TOC1"/>
            <w:tabs>
              <w:tab w:val="right" w:leader="dot" w:pos="9016"/>
            </w:tabs>
            <w:rPr>
              <w:rFonts w:asciiTheme="minorHAnsi" w:eastAsiaTheme="minorEastAsia" w:hAnsiTheme="minorHAnsi" w:cstheme="minorBidi"/>
              <w:noProof/>
              <w:sz w:val="22"/>
              <w:szCs w:val="22"/>
            </w:rPr>
          </w:pPr>
          <w:hyperlink w:anchor="_Toc236940840" w:history="1">
            <w:r w:rsidRPr="00973221">
              <w:rPr>
                <w:rStyle w:val="Hyperlink"/>
                <w:noProof/>
              </w:rPr>
              <w:t>5. Market Entry Strategy in Australia</w:t>
            </w:r>
            <w:r>
              <w:rPr>
                <w:noProof/>
                <w:webHidden/>
              </w:rPr>
              <w:tab/>
            </w:r>
            <w:r>
              <w:rPr>
                <w:noProof/>
                <w:webHidden/>
              </w:rPr>
              <w:fldChar w:fldCharType="begin"/>
            </w:r>
            <w:r>
              <w:rPr>
                <w:noProof/>
                <w:webHidden/>
              </w:rPr>
              <w:instrText xml:space="preserve"> PAGEREF _Toc236940840 \h </w:instrText>
            </w:r>
            <w:r>
              <w:rPr>
                <w:noProof/>
                <w:webHidden/>
              </w:rPr>
            </w:r>
            <w:r>
              <w:rPr>
                <w:noProof/>
                <w:webHidden/>
              </w:rPr>
              <w:fldChar w:fldCharType="separate"/>
            </w:r>
            <w:r w:rsidR="003233DE">
              <w:rPr>
                <w:noProof/>
                <w:webHidden/>
              </w:rPr>
              <w:t>21</w:t>
            </w:r>
            <w:r>
              <w:rPr>
                <w:noProof/>
                <w:webHidden/>
              </w:rPr>
              <w:fldChar w:fldCharType="end"/>
            </w:r>
          </w:hyperlink>
        </w:p>
        <w:p w14:paraId="1DF8BD8E" w14:textId="1A9D2036" w:rsidR="0011418B" w:rsidRDefault="0011418B">
          <w:pPr>
            <w:pStyle w:val="TOC1"/>
            <w:tabs>
              <w:tab w:val="right" w:leader="dot" w:pos="9016"/>
            </w:tabs>
            <w:rPr>
              <w:rFonts w:asciiTheme="minorHAnsi" w:eastAsiaTheme="minorEastAsia" w:hAnsiTheme="minorHAnsi" w:cstheme="minorBidi"/>
              <w:noProof/>
              <w:sz w:val="22"/>
              <w:szCs w:val="22"/>
            </w:rPr>
          </w:pPr>
          <w:hyperlink w:anchor="_Toc236940841" w:history="1">
            <w:r w:rsidRPr="00973221">
              <w:rPr>
                <w:rStyle w:val="Hyperlink"/>
                <w:noProof/>
              </w:rPr>
              <w:t>6. Ethical Issues in Marketing: Australia</w:t>
            </w:r>
            <w:r>
              <w:rPr>
                <w:noProof/>
                <w:webHidden/>
              </w:rPr>
              <w:tab/>
            </w:r>
            <w:r>
              <w:rPr>
                <w:noProof/>
                <w:webHidden/>
              </w:rPr>
              <w:fldChar w:fldCharType="begin"/>
            </w:r>
            <w:r>
              <w:rPr>
                <w:noProof/>
                <w:webHidden/>
              </w:rPr>
              <w:instrText xml:space="preserve"> PAGEREF _Toc236940841 \h </w:instrText>
            </w:r>
            <w:r>
              <w:rPr>
                <w:noProof/>
                <w:webHidden/>
              </w:rPr>
            </w:r>
            <w:r>
              <w:rPr>
                <w:noProof/>
                <w:webHidden/>
              </w:rPr>
              <w:fldChar w:fldCharType="separate"/>
            </w:r>
            <w:r w:rsidR="003233DE">
              <w:rPr>
                <w:noProof/>
                <w:webHidden/>
              </w:rPr>
              <w:t>22</w:t>
            </w:r>
            <w:r>
              <w:rPr>
                <w:noProof/>
                <w:webHidden/>
              </w:rPr>
              <w:fldChar w:fldCharType="end"/>
            </w:r>
          </w:hyperlink>
        </w:p>
        <w:p w14:paraId="6A8CA076" w14:textId="4CE6B317" w:rsidR="0011418B" w:rsidRDefault="0011418B">
          <w:pPr>
            <w:pStyle w:val="TOC1"/>
            <w:tabs>
              <w:tab w:val="right" w:leader="dot" w:pos="9016"/>
            </w:tabs>
            <w:rPr>
              <w:rFonts w:asciiTheme="minorHAnsi" w:eastAsiaTheme="minorEastAsia" w:hAnsiTheme="minorHAnsi" w:cstheme="minorBidi"/>
              <w:noProof/>
              <w:sz w:val="22"/>
              <w:szCs w:val="22"/>
            </w:rPr>
          </w:pPr>
          <w:hyperlink w:anchor="_Toc236940842" w:history="1">
            <w:r w:rsidRPr="00973221">
              <w:rPr>
                <w:rStyle w:val="Hyperlink"/>
                <w:noProof/>
              </w:rPr>
              <w:t>7. Recommendations</w:t>
            </w:r>
            <w:r>
              <w:rPr>
                <w:noProof/>
                <w:webHidden/>
              </w:rPr>
              <w:tab/>
            </w:r>
            <w:r>
              <w:rPr>
                <w:noProof/>
                <w:webHidden/>
              </w:rPr>
              <w:fldChar w:fldCharType="begin"/>
            </w:r>
            <w:r>
              <w:rPr>
                <w:noProof/>
                <w:webHidden/>
              </w:rPr>
              <w:instrText xml:space="preserve"> PAGEREF _Toc236940842 \h </w:instrText>
            </w:r>
            <w:r>
              <w:rPr>
                <w:noProof/>
                <w:webHidden/>
              </w:rPr>
            </w:r>
            <w:r>
              <w:rPr>
                <w:noProof/>
                <w:webHidden/>
              </w:rPr>
              <w:fldChar w:fldCharType="separate"/>
            </w:r>
            <w:r w:rsidR="003233DE">
              <w:rPr>
                <w:noProof/>
                <w:webHidden/>
              </w:rPr>
              <w:t>23</w:t>
            </w:r>
            <w:r>
              <w:rPr>
                <w:noProof/>
                <w:webHidden/>
              </w:rPr>
              <w:fldChar w:fldCharType="end"/>
            </w:r>
          </w:hyperlink>
        </w:p>
        <w:p w14:paraId="2FF4D1B1" w14:textId="1BD393DD" w:rsidR="0011418B" w:rsidRDefault="0011418B">
          <w:pPr>
            <w:pStyle w:val="TOC1"/>
            <w:tabs>
              <w:tab w:val="right" w:leader="dot" w:pos="9016"/>
            </w:tabs>
            <w:rPr>
              <w:rFonts w:asciiTheme="minorHAnsi" w:eastAsiaTheme="minorEastAsia" w:hAnsiTheme="minorHAnsi" w:cstheme="minorBidi"/>
              <w:noProof/>
              <w:sz w:val="22"/>
              <w:szCs w:val="22"/>
            </w:rPr>
          </w:pPr>
          <w:hyperlink w:anchor="_Toc236940843" w:history="1">
            <w:r w:rsidRPr="00973221">
              <w:rPr>
                <w:rStyle w:val="Hyperlink"/>
                <w:noProof/>
              </w:rPr>
              <w:t>Section 2</w:t>
            </w:r>
            <w:r>
              <w:rPr>
                <w:noProof/>
                <w:webHidden/>
              </w:rPr>
              <w:tab/>
            </w:r>
            <w:r>
              <w:rPr>
                <w:noProof/>
                <w:webHidden/>
              </w:rPr>
              <w:fldChar w:fldCharType="begin"/>
            </w:r>
            <w:r>
              <w:rPr>
                <w:noProof/>
                <w:webHidden/>
              </w:rPr>
              <w:instrText xml:space="preserve"> PAGEREF _Toc236940843 \h </w:instrText>
            </w:r>
            <w:r>
              <w:rPr>
                <w:noProof/>
                <w:webHidden/>
              </w:rPr>
            </w:r>
            <w:r>
              <w:rPr>
                <w:noProof/>
                <w:webHidden/>
              </w:rPr>
              <w:fldChar w:fldCharType="separate"/>
            </w:r>
            <w:r w:rsidR="003233DE">
              <w:rPr>
                <w:noProof/>
                <w:webHidden/>
              </w:rPr>
              <w:t>24</w:t>
            </w:r>
            <w:r>
              <w:rPr>
                <w:noProof/>
                <w:webHidden/>
              </w:rPr>
              <w:fldChar w:fldCharType="end"/>
            </w:r>
          </w:hyperlink>
        </w:p>
        <w:p w14:paraId="5E1D52AF" w14:textId="0474203F" w:rsidR="0011418B" w:rsidRDefault="0011418B">
          <w:pPr>
            <w:pStyle w:val="TOC1"/>
            <w:tabs>
              <w:tab w:val="right" w:leader="dot" w:pos="9016"/>
            </w:tabs>
            <w:rPr>
              <w:rFonts w:asciiTheme="minorHAnsi" w:eastAsiaTheme="minorEastAsia" w:hAnsiTheme="minorHAnsi" w:cstheme="minorBidi"/>
              <w:noProof/>
              <w:sz w:val="22"/>
              <w:szCs w:val="22"/>
            </w:rPr>
          </w:pPr>
          <w:hyperlink w:anchor="_Toc236940844" w:history="1">
            <w:r w:rsidRPr="00973221">
              <w:rPr>
                <w:rStyle w:val="Hyperlink"/>
                <w:noProof/>
              </w:rPr>
              <w:t>Reflection</w:t>
            </w:r>
            <w:r>
              <w:rPr>
                <w:noProof/>
                <w:webHidden/>
              </w:rPr>
              <w:tab/>
            </w:r>
            <w:r>
              <w:rPr>
                <w:noProof/>
                <w:webHidden/>
              </w:rPr>
              <w:fldChar w:fldCharType="begin"/>
            </w:r>
            <w:r>
              <w:rPr>
                <w:noProof/>
                <w:webHidden/>
              </w:rPr>
              <w:instrText xml:space="preserve"> PAGEREF _Toc236940844 \h </w:instrText>
            </w:r>
            <w:r>
              <w:rPr>
                <w:noProof/>
                <w:webHidden/>
              </w:rPr>
            </w:r>
            <w:r>
              <w:rPr>
                <w:noProof/>
                <w:webHidden/>
              </w:rPr>
              <w:fldChar w:fldCharType="separate"/>
            </w:r>
            <w:r w:rsidR="003233DE">
              <w:rPr>
                <w:noProof/>
                <w:webHidden/>
              </w:rPr>
              <w:t>24</w:t>
            </w:r>
            <w:r>
              <w:rPr>
                <w:noProof/>
                <w:webHidden/>
              </w:rPr>
              <w:fldChar w:fldCharType="end"/>
            </w:r>
          </w:hyperlink>
        </w:p>
        <w:p w14:paraId="25F9E62F" w14:textId="538AB524" w:rsidR="0011418B" w:rsidRDefault="0011418B">
          <w:pPr>
            <w:pStyle w:val="TOC1"/>
            <w:tabs>
              <w:tab w:val="right" w:leader="dot" w:pos="9016"/>
            </w:tabs>
            <w:rPr>
              <w:rFonts w:asciiTheme="minorHAnsi" w:eastAsiaTheme="minorEastAsia" w:hAnsiTheme="minorHAnsi" w:cstheme="minorBidi"/>
              <w:noProof/>
              <w:sz w:val="22"/>
              <w:szCs w:val="22"/>
            </w:rPr>
          </w:pPr>
          <w:hyperlink w:anchor="_Toc236940845" w:history="1">
            <w:r w:rsidRPr="00973221">
              <w:rPr>
                <w:rStyle w:val="Hyperlink"/>
                <w:noProof/>
              </w:rPr>
              <w:t>References</w:t>
            </w:r>
            <w:r>
              <w:rPr>
                <w:noProof/>
                <w:webHidden/>
              </w:rPr>
              <w:tab/>
            </w:r>
            <w:r>
              <w:rPr>
                <w:noProof/>
                <w:webHidden/>
              </w:rPr>
              <w:fldChar w:fldCharType="begin"/>
            </w:r>
            <w:r>
              <w:rPr>
                <w:noProof/>
                <w:webHidden/>
              </w:rPr>
              <w:instrText xml:space="preserve"> PAGEREF _Toc236940845 \h </w:instrText>
            </w:r>
            <w:r>
              <w:rPr>
                <w:noProof/>
                <w:webHidden/>
              </w:rPr>
            </w:r>
            <w:r>
              <w:rPr>
                <w:noProof/>
                <w:webHidden/>
              </w:rPr>
              <w:fldChar w:fldCharType="separate"/>
            </w:r>
            <w:r w:rsidR="003233DE">
              <w:rPr>
                <w:noProof/>
                <w:webHidden/>
              </w:rPr>
              <w:t>27</w:t>
            </w:r>
            <w:r>
              <w:rPr>
                <w:noProof/>
                <w:webHidden/>
              </w:rPr>
              <w:fldChar w:fldCharType="end"/>
            </w:r>
          </w:hyperlink>
        </w:p>
        <w:p w14:paraId="5BB69DB6" w14:textId="7F004E0C" w:rsidR="00A23C76" w:rsidRPr="00F30D0E" w:rsidRDefault="00A23C76">
          <w:pPr>
            <w:rPr>
              <w:rFonts w:cs="Arial"/>
            </w:rPr>
          </w:pPr>
          <w:r w:rsidRPr="00F30D0E">
            <w:rPr>
              <w:rFonts w:cs="Arial"/>
              <w:b/>
              <w:bCs/>
              <w:noProof/>
            </w:rPr>
            <w:fldChar w:fldCharType="end"/>
          </w:r>
        </w:p>
      </w:sdtContent>
    </w:sdt>
    <w:p w14:paraId="07CD3ADE" w14:textId="77777777" w:rsidR="00A23C76" w:rsidRPr="00F30D0E" w:rsidRDefault="00A23C76" w:rsidP="00A23C76">
      <w:pPr>
        <w:rPr>
          <w:rFonts w:cs="Arial"/>
        </w:rPr>
      </w:pPr>
    </w:p>
    <w:p w14:paraId="675811C4" w14:textId="77777777" w:rsidR="00431436" w:rsidRPr="00F30D0E" w:rsidRDefault="00431436">
      <w:pPr>
        <w:spacing w:after="80"/>
        <w:rPr>
          <w:rFonts w:cs="Arial"/>
        </w:rPr>
      </w:pPr>
    </w:p>
    <w:p w14:paraId="38AE721B" w14:textId="77777777" w:rsidR="009A489C" w:rsidRPr="00F30D0E" w:rsidRDefault="009A489C">
      <w:pPr>
        <w:spacing w:line="240" w:lineRule="auto"/>
        <w:jc w:val="left"/>
        <w:rPr>
          <w:rFonts w:cs="Arial"/>
          <w:b/>
          <w:bCs/>
          <w:sz w:val="28"/>
          <w:szCs w:val="28"/>
        </w:rPr>
      </w:pPr>
      <w:r w:rsidRPr="00F30D0E">
        <w:rPr>
          <w:rFonts w:cs="Arial"/>
        </w:rPr>
        <w:br w:type="page"/>
      </w:r>
    </w:p>
    <w:p w14:paraId="175C50D9" w14:textId="77777777" w:rsidR="007171ED" w:rsidRPr="00472416" w:rsidRDefault="007171ED" w:rsidP="004C0FAB">
      <w:pPr>
        <w:pStyle w:val="Heading1"/>
      </w:pPr>
      <w:bookmarkStart w:id="3" w:name="_Toc236940832"/>
      <w:r w:rsidRPr="00472416">
        <w:lastRenderedPageBreak/>
        <w:t>Section 1</w:t>
      </w:r>
      <w:bookmarkEnd w:id="3"/>
    </w:p>
    <w:p w14:paraId="4B9662E8" w14:textId="77777777" w:rsidR="00431436" w:rsidRPr="00F30D0E" w:rsidRDefault="00E8542F" w:rsidP="004C0FAB">
      <w:pPr>
        <w:pStyle w:val="Heading1"/>
      </w:pPr>
      <w:bookmarkStart w:id="4" w:name="_Toc236940833"/>
      <w:r w:rsidRPr="00F30D0E">
        <w:t>1. Introduction</w:t>
      </w:r>
      <w:bookmarkEnd w:id="4"/>
    </w:p>
    <w:p w14:paraId="635D4275" w14:textId="5DD162C5" w:rsidR="00431436" w:rsidRPr="00F30D0E" w:rsidRDefault="003F2F49" w:rsidP="00043221">
      <w:pPr>
        <w:rPr>
          <w:rFonts w:cs="Arial"/>
        </w:rPr>
      </w:pPr>
      <w:r w:rsidRPr="00F30D0E">
        <w:rPr>
          <w:rFonts w:cs="Arial"/>
        </w:rPr>
        <w:t xml:space="preserve">The international marketing strategy of Pizza Hut </w:t>
      </w:r>
      <w:r w:rsidR="00B6499C" w:rsidRPr="00F30D0E">
        <w:rPr>
          <w:rFonts w:cs="Arial"/>
        </w:rPr>
        <w:t>analysed</w:t>
      </w:r>
      <w:r w:rsidRPr="00F30D0E">
        <w:rPr>
          <w:rFonts w:cs="Arial"/>
        </w:rPr>
        <w:t xml:space="preserve"> and compared with Pizza Hut operations in USA and Australia. It focuses on analysing how the company modifies its products and marketing to suit various markets while keeping the brand the same all over the world. The report assesses macro-environmental factors using frameworks like PESTEL, </w:t>
      </w:r>
      <w:r w:rsidR="00B6499C" w:rsidRPr="00F30D0E">
        <w:rPr>
          <w:rFonts w:cs="Arial"/>
        </w:rPr>
        <w:t>Hofstede’s</w:t>
      </w:r>
      <w:r w:rsidRPr="00F30D0E">
        <w:rPr>
          <w:rFonts w:cs="Arial"/>
        </w:rPr>
        <w:t xml:space="preserve"> Cultural Dimensions, customer segmentation and targeting, market entry to Australia and ethical marketing issues using the 7Ps marketing mix. Finally, it makes recommendations for Pizza Hut's future international marketing strategy. Section 2 is a reflection on the research, analysis and reporting process, which is guided by Gibbs' Reflective Cycle, and is an opportunity for reflection, thinking and learning to improve.</w:t>
      </w:r>
    </w:p>
    <w:p w14:paraId="0BCB7D17" w14:textId="77777777" w:rsidR="00431436" w:rsidRPr="00F30D0E" w:rsidRDefault="00E8542F" w:rsidP="004C0FAB">
      <w:pPr>
        <w:pStyle w:val="Heading1"/>
      </w:pPr>
      <w:bookmarkStart w:id="5" w:name="_Toc236940834"/>
      <w:r w:rsidRPr="00F30D0E">
        <w:t>2. Background of the Company</w:t>
      </w:r>
      <w:bookmarkEnd w:id="5"/>
    </w:p>
    <w:p w14:paraId="16933014" w14:textId="29A3A718" w:rsidR="003F2F49" w:rsidRPr="00F30D0E" w:rsidRDefault="006E774B" w:rsidP="003F2F49">
      <w:pPr>
        <w:spacing w:after="160"/>
        <w:rPr>
          <w:rFonts w:cs="Arial"/>
        </w:rPr>
      </w:pPr>
      <w:r w:rsidRPr="00F30D0E">
        <w:rPr>
          <w:rFonts w:cs="Arial"/>
        </w:rPr>
        <w:t>Pizza Hut opened its first restaurant on 31 May 1958 in Wichita, Kansas, United States, by the Carney brothers Dan and Frank. The brothers were then attending Wichita State University and took out a $600 loan from their mother to start their first outlet. As of 2025, Pizza Hut has a total of 19,974 restaurants spanning 104 countries (Kaye 2025). Pizza Hut was one of the earliest and most important international markets in Australia, and in April 1970, they opened their first Pizza Hut dine-in restaurant in Belfield (Bolles, 2018).</w:t>
      </w:r>
    </w:p>
    <w:p w14:paraId="57BA7F67" w14:textId="0BD8C892" w:rsidR="00B50885" w:rsidRPr="00F30D0E" w:rsidRDefault="00B50885" w:rsidP="003F2F49">
      <w:pPr>
        <w:spacing w:after="160"/>
        <w:rPr>
          <w:rFonts w:cs="Arial"/>
        </w:rPr>
      </w:pPr>
      <w:r w:rsidRPr="00F30D0E">
        <w:rPr>
          <w:rFonts w:cs="Arial"/>
          <w:b/>
          <w:bCs/>
        </w:rPr>
        <w:t>Pizza Hut Mission Statement</w:t>
      </w:r>
    </w:p>
    <w:p w14:paraId="1787C831" w14:textId="6DE5A553" w:rsidR="009A489C" w:rsidRPr="00F30D0E" w:rsidRDefault="00B50885" w:rsidP="00500CB9">
      <w:pPr>
        <w:spacing w:after="160"/>
        <w:rPr>
          <w:rFonts w:cs="Arial"/>
        </w:rPr>
      </w:pPr>
      <w:r w:rsidRPr="00F30D0E">
        <w:rPr>
          <w:rFonts w:cs="Arial"/>
        </w:rPr>
        <w:t>We take pride in making a perfect pizza and providing courteous and helpful service on time all the time. Every customer says, "I'll be back! We are the employer of choice offering team members opportunities for growth, advancement, and rewarding careers in a fun, safe working environment. We are accountable for profitability in everything we do, providing our shareholders with value growth" (Pizza Hut, 2026).</w:t>
      </w:r>
    </w:p>
    <w:p w14:paraId="747BBC7F" w14:textId="77777777" w:rsidR="007679F5" w:rsidRPr="00F30D0E" w:rsidRDefault="007679F5" w:rsidP="007679F5">
      <w:pPr>
        <w:spacing w:after="160"/>
        <w:rPr>
          <w:rFonts w:cs="Arial"/>
          <w:b/>
          <w:bCs/>
        </w:rPr>
      </w:pPr>
      <w:r w:rsidRPr="00F30D0E">
        <w:rPr>
          <w:rFonts w:cs="Arial"/>
          <w:b/>
          <w:bCs/>
        </w:rPr>
        <w:t>Pizza Hut Vision Statement</w:t>
      </w:r>
    </w:p>
    <w:p w14:paraId="39739945" w14:textId="78B7C355" w:rsidR="00844B13" w:rsidRPr="00F30D0E" w:rsidRDefault="007679F5" w:rsidP="00783B1E">
      <w:pPr>
        <w:spacing w:after="160"/>
        <w:rPr>
          <w:rFonts w:cs="Arial"/>
        </w:rPr>
      </w:pPr>
      <w:r w:rsidRPr="00F30D0E">
        <w:rPr>
          <w:rFonts w:cs="Arial"/>
        </w:rPr>
        <w:t>The vision of the PIZZA HUT is that reach on the top of the peak to provide best service and taste &amp; To see Yum on customer s face (Pizza Hut, 2026).</w:t>
      </w:r>
    </w:p>
    <w:p w14:paraId="4F17B1ED" w14:textId="6C0C9316" w:rsidR="00431436" w:rsidRPr="00F30D0E" w:rsidRDefault="00E8542F" w:rsidP="004C0FAB">
      <w:pPr>
        <w:pStyle w:val="Heading1"/>
      </w:pPr>
      <w:bookmarkStart w:id="6" w:name="_Toc236940835"/>
      <w:r w:rsidRPr="00F30D0E">
        <w:lastRenderedPageBreak/>
        <w:t>3. The Macro Environment</w:t>
      </w:r>
      <w:bookmarkEnd w:id="6"/>
    </w:p>
    <w:p w14:paraId="5B11BECB" w14:textId="77777777" w:rsidR="00431436" w:rsidRPr="00F30D0E" w:rsidRDefault="00E8542F" w:rsidP="004C0FAB">
      <w:pPr>
        <w:pStyle w:val="Heading2"/>
      </w:pPr>
      <w:bookmarkStart w:id="7" w:name="_Toc234341395"/>
      <w:bookmarkStart w:id="8" w:name="_Toc236940836"/>
      <w:r w:rsidRPr="00F30D0E">
        <w:t>3.1 PESTEL Analysis: Comparative Overview of the USA and Australia</w:t>
      </w:r>
      <w:bookmarkEnd w:id="7"/>
      <w:bookmarkEnd w:id="8"/>
    </w:p>
    <w:p w14:paraId="52D14896" w14:textId="008018C3" w:rsidR="006E774B" w:rsidRPr="00F30D0E" w:rsidRDefault="006E774B" w:rsidP="006E774B">
      <w:pPr>
        <w:spacing w:after="240"/>
        <w:rPr>
          <w:rStyle w:val="animating6ta1u10"/>
          <w:rFonts w:cs="Arial"/>
        </w:rPr>
      </w:pPr>
      <w:r w:rsidRPr="00F30D0E">
        <w:rPr>
          <w:rStyle w:val="animating6ta1u10"/>
          <w:rFonts w:cs="Arial"/>
        </w:rPr>
        <w:t>PESTEL is a strategic analysis tool that is used for analysing the macro environment that affects a business</w:t>
      </w:r>
      <w:r w:rsidR="00783B1E" w:rsidRPr="00F30D0E">
        <w:rPr>
          <w:rStyle w:val="animating6ta1u10"/>
          <w:rFonts w:cs="Arial"/>
        </w:rPr>
        <w:t xml:space="preserve"> </w:t>
      </w:r>
      <w:r w:rsidRPr="00F30D0E">
        <w:rPr>
          <w:rStyle w:val="animating6ta1u10"/>
          <w:rFonts w:cs="Arial"/>
        </w:rPr>
        <w:t>(</w:t>
      </w:r>
      <w:proofErr w:type="spellStart"/>
      <w:r w:rsidRPr="00F30D0E">
        <w:rPr>
          <w:rStyle w:val="animating6ta1u10"/>
          <w:rFonts w:cs="Arial"/>
        </w:rPr>
        <w:t>Karadzhov</w:t>
      </w:r>
      <w:proofErr w:type="spellEnd"/>
      <w:r w:rsidRPr="00F30D0E">
        <w:rPr>
          <w:rStyle w:val="animating6ta1u10"/>
          <w:rFonts w:cs="Arial"/>
        </w:rPr>
        <w:t xml:space="preserve"> and Patarchanova, 2025).</w:t>
      </w:r>
    </w:p>
    <w:p w14:paraId="089D1468" w14:textId="23013AC5" w:rsidR="00BC5386" w:rsidRPr="00F30D0E" w:rsidRDefault="00BC5386" w:rsidP="00384A5F">
      <w:pPr>
        <w:jc w:val="center"/>
        <w:rPr>
          <w:rStyle w:val="animating6ta1u10"/>
          <w:rFonts w:cs="Arial"/>
        </w:rPr>
      </w:pPr>
      <w:r w:rsidRPr="00F30D0E">
        <w:rPr>
          <w:rFonts w:cs="Arial"/>
          <w:noProof/>
        </w:rPr>
        <w:drawing>
          <wp:inline distT="0" distB="0" distL="0" distR="0" wp14:anchorId="57C2CCB9" wp14:editId="732841E9">
            <wp:extent cx="3037303" cy="2463800"/>
            <wp:effectExtent l="0" t="0" r="0" b="0"/>
            <wp:docPr id="2" name="Picture 2"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The CEO's Guide to Future-Proofing a Business | by Asif  Iqbal | Techno-Preneurship | Medi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46766" cy="2471476"/>
                    </a:xfrm>
                    <a:prstGeom prst="rect">
                      <a:avLst/>
                    </a:prstGeom>
                    <a:noFill/>
                    <a:ln>
                      <a:noFill/>
                    </a:ln>
                  </pic:spPr>
                </pic:pic>
              </a:graphicData>
            </a:graphic>
          </wp:inline>
        </w:drawing>
      </w:r>
    </w:p>
    <w:p w14:paraId="013863C6" w14:textId="7E2D9F8E" w:rsidR="002E68C5" w:rsidRDefault="002E68C5" w:rsidP="00384A5F">
      <w:pPr>
        <w:jc w:val="center"/>
        <w:rPr>
          <w:rStyle w:val="animating6ta1u10"/>
          <w:rFonts w:cs="Arial"/>
          <w:i/>
          <w:iCs/>
          <w:sz w:val="20"/>
          <w:szCs w:val="20"/>
        </w:rPr>
      </w:pPr>
      <w:r w:rsidRPr="00F30D0E">
        <w:rPr>
          <w:rStyle w:val="animating6ta1u10"/>
          <w:rFonts w:cs="Arial"/>
          <w:i/>
          <w:iCs/>
          <w:sz w:val="20"/>
          <w:szCs w:val="20"/>
        </w:rPr>
        <w:t>Figure:</w:t>
      </w:r>
      <w:r w:rsidRPr="00F30D0E">
        <w:rPr>
          <w:rFonts w:cs="Arial"/>
          <w:i/>
          <w:iCs/>
          <w:sz w:val="20"/>
          <w:szCs w:val="20"/>
        </w:rPr>
        <w:t xml:space="preserve"> </w:t>
      </w:r>
      <w:r w:rsidRPr="00F30D0E">
        <w:rPr>
          <w:rStyle w:val="animating6ta1u10"/>
          <w:rFonts w:cs="Arial"/>
          <w:i/>
          <w:iCs/>
          <w:sz w:val="20"/>
          <w:szCs w:val="20"/>
        </w:rPr>
        <w:t>PESTEL Framework; Source: (Iqbal, 2025)</w:t>
      </w:r>
    </w:p>
    <w:p w14:paraId="41DA9056" w14:textId="77777777" w:rsidR="006E774B" w:rsidRPr="00F30D0E" w:rsidRDefault="006E774B" w:rsidP="006E774B">
      <w:pPr>
        <w:spacing w:after="240"/>
        <w:rPr>
          <w:rStyle w:val="animating6ta1u10"/>
          <w:rFonts w:cs="Arial"/>
          <w:b/>
        </w:rPr>
      </w:pPr>
      <w:r w:rsidRPr="00F30D0E">
        <w:rPr>
          <w:rStyle w:val="animating6ta1u10"/>
          <w:rFonts w:cs="Arial"/>
          <w:b/>
        </w:rPr>
        <w:t>Political Factors</w:t>
      </w:r>
    </w:p>
    <w:p w14:paraId="3A9AA48B" w14:textId="001DAAE0" w:rsidR="00783B1E" w:rsidRDefault="006E774B" w:rsidP="00783B1E">
      <w:pPr>
        <w:spacing w:after="240"/>
        <w:rPr>
          <w:rStyle w:val="animating6ta1u10"/>
          <w:rFonts w:cs="Arial"/>
        </w:rPr>
      </w:pPr>
      <w:r w:rsidRPr="00F30D0E">
        <w:rPr>
          <w:rStyle w:val="animating6ta1u10"/>
          <w:rFonts w:cs="Arial"/>
        </w:rPr>
        <w:t xml:space="preserve">Political situation is stable and democratic in both countries. The governments have clear regulatory frameworks which are conducive to foreign investments and franchising (Kotler and Armstrong, 2021). The lack of a national minimum wage in the USA also makes it difficult to run an operation as different states have different minimum wage rates (Federal Trade Commission, 2026). The Fair Work Commission in Australia establishes a minimum wage which applies across the nation, offering predictability, but also having the disadvantage of higher minimum wage compensation. One key difference is that Australia has a more robust “Franchising Code of Conduct”, which has disclosure requirements that are more stringent than those at the federal level in the U.S. </w:t>
      </w:r>
    </w:p>
    <w:p w14:paraId="79DAA0F7" w14:textId="48CE9B0E" w:rsidR="00206641" w:rsidRPr="00764360" w:rsidRDefault="00206641" w:rsidP="00783B1E">
      <w:pPr>
        <w:spacing w:after="240"/>
        <w:rPr>
          <w:rStyle w:val="animating6ta1u10"/>
          <w:rFonts w:cs="Arial"/>
          <w:i/>
          <w:iCs/>
        </w:rPr>
      </w:pPr>
      <w:r w:rsidRPr="003233DE">
        <w:rPr>
          <w:rStyle w:val="animating6ta1u10"/>
          <w:rFonts w:cs="Arial"/>
          <w:b/>
          <w:bCs/>
          <w:i/>
          <w:iCs/>
        </w:rPr>
        <w:t>Overall Assessment:</w:t>
      </w:r>
      <w:r w:rsidRPr="00764360">
        <w:rPr>
          <w:rStyle w:val="animating6ta1u10"/>
          <w:rFonts w:cs="Arial"/>
          <w:i/>
          <w:iCs/>
        </w:rPr>
        <w:t xml:space="preserve"> Pizza Hut is </w:t>
      </w:r>
      <w:r w:rsidRPr="00764360">
        <w:rPr>
          <w:rStyle w:val="animating6ta1u10"/>
          <w:rFonts w:cs="Arial"/>
          <w:b/>
          <w:bCs/>
          <w:i/>
          <w:iCs/>
        </w:rPr>
        <w:t>favoured</w:t>
      </w:r>
      <w:r w:rsidRPr="00764360">
        <w:rPr>
          <w:rStyle w:val="animating6ta1u10"/>
          <w:rFonts w:cs="Arial"/>
          <w:i/>
          <w:iCs/>
        </w:rPr>
        <w:t xml:space="preserve"> by stable governments and franchise-friendly regulations in both countries, but complying with the stricter Franchising Code of Conduct in Australia places additional burdens.</w:t>
      </w:r>
    </w:p>
    <w:p w14:paraId="48065D6B" w14:textId="0CB9450C" w:rsidR="006E774B" w:rsidRPr="00F30D0E" w:rsidRDefault="006E774B" w:rsidP="00783B1E">
      <w:pPr>
        <w:spacing w:after="240"/>
        <w:rPr>
          <w:rStyle w:val="animating6ta1u10"/>
          <w:rFonts w:cs="Arial"/>
        </w:rPr>
      </w:pPr>
      <w:r w:rsidRPr="00F30D0E">
        <w:rPr>
          <w:rStyle w:val="animating6ta1u10"/>
          <w:rFonts w:cs="Arial"/>
          <w:b/>
        </w:rPr>
        <w:lastRenderedPageBreak/>
        <w:t>Economic Factors</w:t>
      </w:r>
    </w:p>
    <w:p w14:paraId="373AB766" w14:textId="7FFFE974" w:rsidR="006E774B" w:rsidRDefault="006E774B" w:rsidP="006E774B">
      <w:pPr>
        <w:spacing w:after="240"/>
        <w:rPr>
          <w:rStyle w:val="animating6ta1u10"/>
          <w:rFonts w:cs="Arial"/>
        </w:rPr>
      </w:pPr>
      <w:r w:rsidRPr="00F30D0E">
        <w:rPr>
          <w:rStyle w:val="animating6ta1u10"/>
          <w:rFonts w:cs="Arial"/>
        </w:rPr>
        <w:t>The USA is the largest economy in the world with a GDP of more than $27 trillion (World Bank, 2025). Consumers have a very high level of disposable income and food service expenditure is considerable. Australia's GDP of around $1.7 trillion is also high, and per-capita incomes are high (World Bank, 2025). Inflation rate of USA and Australia are 3.5% and 4% respectively till June 2026 (Trading Economics, 2026). In America, it is all but essential for competitive pricing, as Domino's and Papa John's are giving them plenty of competition. Australia's labour and supply chain costs reduce the flexibility to act on prices.</w:t>
      </w:r>
    </w:p>
    <w:p w14:paraId="17AC1116" w14:textId="7C787304" w:rsidR="00206641" w:rsidRPr="00764360" w:rsidRDefault="00206641" w:rsidP="006E774B">
      <w:pPr>
        <w:spacing w:after="240"/>
        <w:rPr>
          <w:rStyle w:val="animating6ta1u10"/>
          <w:rFonts w:cs="Arial"/>
          <w:i/>
          <w:iCs/>
        </w:rPr>
      </w:pPr>
      <w:r w:rsidRPr="003233DE">
        <w:rPr>
          <w:rStyle w:val="animating6ta1u10"/>
          <w:rFonts w:cs="Arial"/>
          <w:b/>
          <w:bCs/>
          <w:i/>
          <w:iCs/>
        </w:rPr>
        <w:t>Overall Assessment:</w:t>
      </w:r>
      <w:r w:rsidRPr="00764360">
        <w:rPr>
          <w:i/>
          <w:iCs/>
        </w:rPr>
        <w:t xml:space="preserve"> </w:t>
      </w:r>
      <w:r w:rsidR="00764360" w:rsidRPr="00764360">
        <w:rPr>
          <w:rStyle w:val="animating6ta1u10"/>
          <w:rFonts w:cs="Arial"/>
          <w:b/>
          <w:bCs/>
          <w:i/>
          <w:iCs/>
        </w:rPr>
        <w:t>Favourable</w:t>
      </w:r>
      <w:r w:rsidR="00764360" w:rsidRPr="00764360">
        <w:rPr>
          <w:rStyle w:val="animating6ta1u10"/>
          <w:rFonts w:cs="Arial"/>
          <w:i/>
          <w:iCs/>
        </w:rPr>
        <w:t xml:space="preserve"> </w:t>
      </w:r>
      <w:r w:rsidRPr="00764360">
        <w:rPr>
          <w:rStyle w:val="animating6ta1u10"/>
          <w:rFonts w:cs="Arial"/>
          <w:i/>
          <w:iCs/>
        </w:rPr>
        <w:t xml:space="preserve">in both markets as consumers' spending is strong, </w:t>
      </w:r>
      <w:r w:rsidR="00764360" w:rsidRPr="00764360">
        <w:rPr>
          <w:rStyle w:val="animating6ta1u10"/>
          <w:rFonts w:cs="Arial"/>
          <w:b/>
          <w:bCs/>
          <w:i/>
          <w:iCs/>
        </w:rPr>
        <w:t>Less Favourable</w:t>
      </w:r>
      <w:r w:rsidR="00764360" w:rsidRPr="00764360">
        <w:rPr>
          <w:rStyle w:val="animating6ta1u10"/>
          <w:rFonts w:cs="Arial"/>
          <w:i/>
          <w:iCs/>
        </w:rPr>
        <w:t xml:space="preserve"> </w:t>
      </w:r>
      <w:r w:rsidRPr="00764360">
        <w:rPr>
          <w:rStyle w:val="animating6ta1u10"/>
          <w:rFonts w:cs="Arial"/>
          <w:i/>
          <w:iCs/>
        </w:rPr>
        <w:t>in Australia because of rising labour costs and inflation, which provide less pricing flexibility.</w:t>
      </w:r>
    </w:p>
    <w:p w14:paraId="28FAAF8F" w14:textId="6D4329F9" w:rsidR="00A819D4" w:rsidRPr="00F30D0E" w:rsidRDefault="00A819D4" w:rsidP="00F37F7B">
      <w:pPr>
        <w:spacing w:after="240"/>
        <w:jc w:val="center"/>
        <w:rPr>
          <w:rStyle w:val="animating6ta1u10"/>
          <w:rFonts w:cs="Arial"/>
        </w:rPr>
      </w:pPr>
      <w:r w:rsidRPr="00F30D0E">
        <w:rPr>
          <w:rStyle w:val="animating6ta1u10"/>
          <w:rFonts w:cs="Arial"/>
          <w:noProof/>
        </w:rPr>
        <w:drawing>
          <wp:inline distT="0" distB="0" distL="0" distR="0" wp14:anchorId="44B340C6" wp14:editId="0C23A3CC">
            <wp:extent cx="6046733" cy="1111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49881" cy="1111829"/>
                    </a:xfrm>
                    <a:prstGeom prst="rect">
                      <a:avLst/>
                    </a:prstGeom>
                  </pic:spPr>
                </pic:pic>
              </a:graphicData>
            </a:graphic>
          </wp:inline>
        </w:drawing>
      </w:r>
    </w:p>
    <w:p w14:paraId="44AE2999" w14:textId="580F546F" w:rsidR="000C24F1" w:rsidRPr="00F30D0E" w:rsidRDefault="000C24F1" w:rsidP="001F6D2E">
      <w:pPr>
        <w:spacing w:after="240"/>
        <w:jc w:val="center"/>
        <w:rPr>
          <w:rStyle w:val="animating6ta1u10"/>
          <w:rFonts w:cs="Arial"/>
          <w:i/>
          <w:iCs/>
          <w:sz w:val="20"/>
          <w:szCs w:val="20"/>
        </w:rPr>
      </w:pPr>
      <w:r w:rsidRPr="00F30D0E">
        <w:rPr>
          <w:rStyle w:val="animating6ta1u10"/>
          <w:rFonts w:cs="Arial"/>
          <w:i/>
          <w:iCs/>
          <w:sz w:val="20"/>
          <w:szCs w:val="20"/>
        </w:rPr>
        <w:t>Figure: Inflation Rate of USA and Australia; Source: (Trading Economics, 2026)</w:t>
      </w:r>
    </w:p>
    <w:p w14:paraId="629AA29D" w14:textId="77777777" w:rsidR="006E774B" w:rsidRPr="00F30D0E" w:rsidRDefault="006E774B" w:rsidP="006E774B">
      <w:pPr>
        <w:spacing w:after="240"/>
        <w:rPr>
          <w:rStyle w:val="animating6ta1u10"/>
          <w:rFonts w:cs="Arial"/>
          <w:b/>
          <w:u w:val="single"/>
        </w:rPr>
      </w:pPr>
      <w:r w:rsidRPr="00F30D0E">
        <w:rPr>
          <w:rStyle w:val="animating6ta1u10"/>
          <w:rFonts w:cs="Arial"/>
          <w:b/>
          <w:u w:val="single"/>
        </w:rPr>
        <w:t>Social Factors</w:t>
      </w:r>
    </w:p>
    <w:p w14:paraId="3E5740E0" w14:textId="77777777" w:rsidR="00764360" w:rsidRDefault="006E774B" w:rsidP="00764360">
      <w:pPr>
        <w:spacing w:after="240"/>
        <w:rPr>
          <w:rStyle w:val="animating6ta1u10"/>
          <w:rFonts w:cs="Arial"/>
        </w:rPr>
      </w:pPr>
      <w:r w:rsidRPr="00F30D0E">
        <w:rPr>
          <w:rStyle w:val="animating6ta1u10"/>
          <w:rFonts w:cs="Arial"/>
        </w:rPr>
        <w:t>The USA and Australia are both a multicultural society and a city-dwelling population who have high demand for convenience dining meals (Koppes, 2025). Rising health awareness has led to Pizza Hut's healthier choices, which include both low-calorie and vegetarian items, in both regions. In the USA, there is a greater need for diversity in menus when there is more ethnic diversity. Australia has seen a trend towards more local ingredients and sustainability of food over the years. One similarity is that both markets have high family dining rates. One of the main distinctions is that of the rate of lifestyle change. Consumers in Australia have grown faster toward a delivery-first meal experience, whereas there has been a stronger connection with the dine-in experience amongst US consumers.</w:t>
      </w:r>
    </w:p>
    <w:p w14:paraId="4B6E6EA0" w14:textId="77777777" w:rsidR="00764360" w:rsidRDefault="00764360" w:rsidP="00783B1E">
      <w:pPr>
        <w:spacing w:after="240"/>
        <w:rPr>
          <w:rStyle w:val="animating6ta1u10"/>
          <w:rFonts w:cs="Arial"/>
          <w:b/>
          <w:bCs/>
          <w:i/>
          <w:iCs/>
        </w:rPr>
      </w:pPr>
      <w:r w:rsidRPr="003233DE">
        <w:rPr>
          <w:rStyle w:val="animating6ta1u10"/>
          <w:rFonts w:cs="Arial"/>
          <w:b/>
          <w:bCs/>
          <w:i/>
          <w:iCs/>
        </w:rPr>
        <w:lastRenderedPageBreak/>
        <w:t>Overall Assessment:</w:t>
      </w:r>
      <w:r w:rsidRPr="00764360">
        <w:rPr>
          <w:rStyle w:val="animating6ta1u10"/>
          <w:rFonts w:cs="Arial"/>
          <w:i/>
          <w:iCs/>
        </w:rPr>
        <w:t xml:space="preserve">  </w:t>
      </w:r>
      <w:r w:rsidRPr="00764360">
        <w:rPr>
          <w:rStyle w:val="animating6ta1u10"/>
          <w:rFonts w:cs="Arial"/>
          <w:b/>
          <w:bCs/>
          <w:i/>
          <w:iCs/>
        </w:rPr>
        <w:t>Partially Favourable</w:t>
      </w:r>
      <w:r w:rsidRPr="00764360">
        <w:rPr>
          <w:rStyle w:val="animating6ta1u10"/>
          <w:rFonts w:cs="Arial"/>
          <w:i/>
          <w:iCs/>
        </w:rPr>
        <w:t xml:space="preserve">, as the strong family dining culture will help Pizza Hut, but the trend of health consciousness is </w:t>
      </w:r>
      <w:r w:rsidRPr="00764360">
        <w:rPr>
          <w:rStyle w:val="animating6ta1u10"/>
          <w:rFonts w:cs="Arial"/>
          <w:b/>
          <w:bCs/>
          <w:i/>
          <w:iCs/>
        </w:rPr>
        <w:t>Unfavourable</w:t>
      </w:r>
      <w:r w:rsidRPr="00764360">
        <w:rPr>
          <w:rStyle w:val="animating6ta1u10"/>
          <w:rFonts w:cs="Arial"/>
          <w:i/>
          <w:iCs/>
        </w:rPr>
        <w:t xml:space="preserve"> as the core menu is not regarded as healthy. </w:t>
      </w:r>
    </w:p>
    <w:p w14:paraId="1E3A6D95" w14:textId="3C7ABB41" w:rsidR="00AD3B43" w:rsidRPr="00B6499C" w:rsidRDefault="00AD3B43" w:rsidP="00783B1E">
      <w:pPr>
        <w:spacing w:after="240"/>
        <w:rPr>
          <w:rStyle w:val="animating6ta1u10"/>
          <w:rFonts w:cs="Arial"/>
          <w:i/>
          <w:iCs/>
          <w:sz w:val="28"/>
          <w:szCs w:val="28"/>
        </w:rPr>
      </w:pPr>
      <w:r w:rsidRPr="00B6499C">
        <w:rPr>
          <w:rStyle w:val="animating6ta1u10"/>
          <w:rFonts w:cs="Arial"/>
          <w:b/>
          <w:bCs/>
          <w:sz w:val="28"/>
          <w:szCs w:val="28"/>
        </w:rPr>
        <w:t>Cultural Factors</w:t>
      </w:r>
    </w:p>
    <w:p w14:paraId="6A16A125" w14:textId="4956CF63" w:rsidR="00F76DE9" w:rsidRPr="00472416" w:rsidRDefault="00F76DE9" w:rsidP="00783B1E">
      <w:pPr>
        <w:spacing w:after="240"/>
        <w:rPr>
          <w:rFonts w:cs="Arial"/>
          <w:b/>
          <w:bCs/>
          <w:lang w:val="en-US"/>
        </w:rPr>
      </w:pPr>
      <w:r w:rsidRPr="00472416">
        <w:rPr>
          <w:rFonts w:cs="Arial"/>
          <w:b/>
          <w:bCs/>
          <w:i/>
          <w:iCs/>
          <w:lang w:val="en-US"/>
        </w:rPr>
        <w:t>Hofstede Cultural Dimensions: USA and Australia</w:t>
      </w:r>
    </w:p>
    <w:p w14:paraId="013104C0" w14:textId="6AFD07E0" w:rsidR="00F76DE9" w:rsidRPr="00F30D0E" w:rsidRDefault="00F76DE9" w:rsidP="00F76DE9">
      <w:pPr>
        <w:spacing w:after="240"/>
        <w:rPr>
          <w:rFonts w:cs="Arial"/>
        </w:rPr>
      </w:pPr>
      <w:r w:rsidRPr="00F30D0E">
        <w:rPr>
          <w:rFonts w:cs="Arial"/>
        </w:rPr>
        <w:t>Hofstede Cultural Dimensions model is one of the most widely used models to compare cultures across countries in the field of international marketing</w:t>
      </w:r>
      <w:r w:rsidR="00783B1E" w:rsidRPr="00F30D0E">
        <w:rPr>
          <w:rFonts w:cs="Arial"/>
        </w:rPr>
        <w:t xml:space="preserve"> </w:t>
      </w:r>
      <w:r w:rsidRPr="00F30D0E">
        <w:rPr>
          <w:rFonts w:cs="Arial"/>
        </w:rPr>
        <w:t>(Hofstede et al., 2010).</w:t>
      </w:r>
    </w:p>
    <w:p w14:paraId="508FFA56" w14:textId="77777777" w:rsidR="00F76DE9" w:rsidRPr="00F30D0E" w:rsidRDefault="00F76DE9" w:rsidP="00F76DE9">
      <w:pPr>
        <w:jc w:val="center"/>
        <w:rPr>
          <w:rFonts w:cs="Arial"/>
        </w:rPr>
      </w:pPr>
      <w:r w:rsidRPr="00F30D0E">
        <w:rPr>
          <w:rFonts w:cs="Arial"/>
          <w:noProof/>
        </w:rPr>
        <w:drawing>
          <wp:inline distT="0" distB="0" distL="0" distR="0" wp14:anchorId="5252357C" wp14:editId="36DAC8FD">
            <wp:extent cx="5029200" cy="2740819"/>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32455" cy="2742593"/>
                    </a:xfrm>
                    <a:prstGeom prst="rect">
                      <a:avLst/>
                    </a:prstGeom>
                  </pic:spPr>
                </pic:pic>
              </a:graphicData>
            </a:graphic>
          </wp:inline>
        </w:drawing>
      </w:r>
    </w:p>
    <w:p w14:paraId="3E83A51D" w14:textId="77777777" w:rsidR="00F76DE9" w:rsidRPr="00F30D0E" w:rsidRDefault="00F76DE9" w:rsidP="00F76DE9">
      <w:pPr>
        <w:spacing w:after="240"/>
        <w:jc w:val="center"/>
        <w:rPr>
          <w:rFonts w:cs="Arial"/>
          <w:i/>
          <w:sz w:val="20"/>
          <w:szCs w:val="22"/>
        </w:rPr>
      </w:pPr>
      <w:r w:rsidRPr="00F30D0E">
        <w:rPr>
          <w:rFonts w:cs="Arial"/>
          <w:i/>
          <w:sz w:val="20"/>
          <w:szCs w:val="22"/>
        </w:rPr>
        <w:t>Figure: 3.2 Hofstede Cultural Dimensions: USA and Australia; Source: (Geert Hofstede, 2025).</w:t>
      </w:r>
    </w:p>
    <w:p w14:paraId="5C02CD6E" w14:textId="0823FB9D" w:rsidR="00F76DE9" w:rsidRPr="00F30D0E" w:rsidRDefault="00F76DE9" w:rsidP="00F76DE9">
      <w:pPr>
        <w:spacing w:after="240"/>
        <w:rPr>
          <w:rFonts w:cs="Arial"/>
          <w:b/>
          <w:i/>
          <w:sz w:val="22"/>
        </w:rPr>
      </w:pPr>
      <w:r w:rsidRPr="00F30D0E">
        <w:rPr>
          <w:rFonts w:cs="Arial"/>
          <w:b/>
        </w:rPr>
        <w:t>Power Distance</w:t>
      </w:r>
      <w:r w:rsidR="00EE5460" w:rsidRPr="00F30D0E">
        <w:rPr>
          <w:rFonts w:cs="Arial"/>
          <w:b/>
          <w:i/>
          <w:sz w:val="22"/>
        </w:rPr>
        <w:t xml:space="preserve">: </w:t>
      </w:r>
      <w:r w:rsidRPr="00F30D0E">
        <w:rPr>
          <w:rFonts w:cs="Arial"/>
          <w:bCs/>
        </w:rPr>
        <w:t xml:space="preserve">In terms of Power Distance, the less powerful members of society are tolerant of unequal power distribution (Hofstede et al., 2010). The USA has a power distance of 40 and Australia has a power distance of 38, both of which are low (Geert Hofstede, 2025). Both countries' consumers are seeking direct and informal brand communication messages in an open and transparent way. Pizza Hut's easy price points, and easy promotion messaging, dovetail nicely with this expectation in both markets. </w:t>
      </w:r>
    </w:p>
    <w:p w14:paraId="12C0D75A" w14:textId="594BE518" w:rsidR="00F76DE9" w:rsidRPr="00F30D0E" w:rsidRDefault="00F76DE9" w:rsidP="00F76DE9">
      <w:pPr>
        <w:spacing w:after="240"/>
        <w:rPr>
          <w:rFonts w:cs="Arial"/>
          <w:b/>
          <w:bCs/>
        </w:rPr>
      </w:pPr>
      <w:r w:rsidRPr="00F30D0E">
        <w:rPr>
          <w:rFonts w:cs="Arial"/>
          <w:b/>
          <w:bCs/>
        </w:rPr>
        <w:t>Individualism versus Collectivism</w:t>
      </w:r>
      <w:r w:rsidR="00EE5460" w:rsidRPr="00F30D0E">
        <w:rPr>
          <w:rFonts w:cs="Arial"/>
          <w:b/>
          <w:bCs/>
        </w:rPr>
        <w:t xml:space="preserve">: </w:t>
      </w:r>
      <w:r w:rsidRPr="00F30D0E">
        <w:rPr>
          <w:rFonts w:cs="Arial"/>
          <w:bCs/>
        </w:rPr>
        <w:t xml:space="preserve">The dimension indicates the importance of individual vs. group goals (Hofstede et al., 2010). The USA and Australia both have scores of 91, amongst the most individualistic cultures in the world (Geert Hofstede, </w:t>
      </w:r>
      <w:r w:rsidRPr="00F30D0E">
        <w:rPr>
          <w:rFonts w:cs="Arial"/>
          <w:bCs/>
        </w:rPr>
        <w:lastRenderedPageBreak/>
        <w:t>2025). Consumers in both markets judge and make their own purchasing decisions and appreciate personalisation and customisation in promotions and menus.</w:t>
      </w:r>
    </w:p>
    <w:p w14:paraId="5BCE7B22" w14:textId="28A9555F" w:rsidR="00F76DE9" w:rsidRPr="00F30D0E" w:rsidRDefault="00F76DE9" w:rsidP="00F76DE9">
      <w:pPr>
        <w:spacing w:after="240"/>
        <w:rPr>
          <w:rFonts w:cs="Arial"/>
          <w:b/>
          <w:bCs/>
        </w:rPr>
      </w:pPr>
      <w:r w:rsidRPr="00F30D0E">
        <w:rPr>
          <w:rFonts w:cs="Arial"/>
          <w:b/>
          <w:bCs/>
        </w:rPr>
        <w:t>Masculinity versus Femininity</w:t>
      </w:r>
      <w:r w:rsidR="00EE5460" w:rsidRPr="00F30D0E">
        <w:rPr>
          <w:rFonts w:cs="Arial"/>
          <w:b/>
          <w:bCs/>
        </w:rPr>
        <w:t xml:space="preserve">: </w:t>
      </w:r>
      <w:r w:rsidRPr="00F30D0E">
        <w:rPr>
          <w:rFonts w:cs="Arial"/>
          <w:bCs/>
        </w:rPr>
        <w:t>The masculine cultures are achievement and competitor, whilst the feminine cultures are cooperative (Hofstede et al., 2010). The USA (moderately masculine, 62) and Australia (moderately masculine, 61) both fall in the middle. Value for money and competitive pricing are drivers for both countries' consumers. Marketing on the basis of deals works well for Pizza Hut in both markets.</w:t>
      </w:r>
    </w:p>
    <w:p w14:paraId="66755AD5" w14:textId="40D1F4D1" w:rsidR="00F76DE9" w:rsidRPr="00F30D0E" w:rsidRDefault="00F76DE9" w:rsidP="00F76DE9">
      <w:pPr>
        <w:spacing w:after="240"/>
        <w:rPr>
          <w:rFonts w:cs="Arial"/>
          <w:b/>
        </w:rPr>
      </w:pPr>
      <w:r w:rsidRPr="00F30D0E">
        <w:rPr>
          <w:rFonts w:cs="Arial"/>
          <w:b/>
        </w:rPr>
        <w:t>Uncertainty Avoidance</w:t>
      </w:r>
      <w:r w:rsidR="00EE5460" w:rsidRPr="00F30D0E">
        <w:rPr>
          <w:rFonts w:cs="Arial"/>
          <w:b/>
        </w:rPr>
        <w:t xml:space="preserve">: </w:t>
      </w:r>
      <w:r w:rsidRPr="00F30D0E">
        <w:rPr>
          <w:rFonts w:cs="Arial"/>
          <w:bCs/>
        </w:rPr>
        <w:t>Uncertainty Avoidance is a discomfort with ambiguity (Hofstede et al., 2010). Australia has a score of 51 and the USA a score of 46 (Geert Hofstede, 2025). There is a slight tendency towards risk aversion in Australia. Consumers in Australia might need more reassurance of the quality of food and the source of ingredients before consuming new product. The consumers in the USA are more accepting of novelty. Pizza Hut should adopt phased product rollouts and provide detailed product information in Australia, and a faster and bolder approach to a rollout in the USA may be more appropriate.</w:t>
      </w:r>
    </w:p>
    <w:p w14:paraId="5D03DBCE" w14:textId="32A32D9A" w:rsidR="00F76DE9" w:rsidRPr="00F30D0E" w:rsidRDefault="00F76DE9" w:rsidP="00F76DE9">
      <w:pPr>
        <w:spacing w:after="240"/>
        <w:rPr>
          <w:rFonts w:cs="Arial"/>
          <w:b/>
          <w:bCs/>
        </w:rPr>
      </w:pPr>
      <w:r w:rsidRPr="00F30D0E">
        <w:rPr>
          <w:rFonts w:cs="Arial"/>
          <w:b/>
          <w:bCs/>
        </w:rPr>
        <w:t>Long-Term Orientation</w:t>
      </w:r>
      <w:r w:rsidR="00EE5460" w:rsidRPr="00F30D0E">
        <w:rPr>
          <w:rFonts w:cs="Arial"/>
          <w:b/>
          <w:bCs/>
        </w:rPr>
        <w:t xml:space="preserve">: </w:t>
      </w:r>
      <w:r w:rsidRPr="00F30D0E">
        <w:rPr>
          <w:rFonts w:cs="Arial"/>
          <w:bCs/>
        </w:rPr>
        <w:t>This dimension reflects the attitudes of the society either towards future-oriented virtues or towards short-term results (Hofstede et al., 2010). The USA has a strong short-term orientation with a score of 26 and Australia's score is 21, (Geert Hofstede, 2025). The two cultures are reward oriented. This helps Pizza Hut's strategy to use time-limited offers and instant loyalty rewards and short-term promotions in both markets.</w:t>
      </w:r>
    </w:p>
    <w:p w14:paraId="3F30B0F3" w14:textId="5EF6FA8D" w:rsidR="00F76DE9" w:rsidRPr="00F30D0E" w:rsidRDefault="00F76DE9" w:rsidP="00F76DE9">
      <w:pPr>
        <w:spacing w:after="240"/>
        <w:rPr>
          <w:rFonts w:cs="Arial"/>
          <w:b/>
          <w:bCs/>
        </w:rPr>
      </w:pPr>
      <w:r w:rsidRPr="00F30D0E">
        <w:rPr>
          <w:rFonts w:cs="Arial"/>
          <w:b/>
          <w:bCs/>
        </w:rPr>
        <w:t>Indulgence versus Restraint</w:t>
      </w:r>
      <w:r w:rsidR="00EE5460" w:rsidRPr="00F30D0E">
        <w:rPr>
          <w:rFonts w:cs="Arial"/>
          <w:b/>
          <w:bCs/>
        </w:rPr>
        <w:t xml:space="preserve">: </w:t>
      </w:r>
      <w:r w:rsidRPr="00F30D0E">
        <w:rPr>
          <w:rFonts w:cs="Arial"/>
          <w:bCs/>
        </w:rPr>
        <w:t>Indulgence is the degree to which people indulge themselves in enjoying life (Hofstede et al., 2010). The USA has a score of 68 and Australia has a score of 71 (Geert Hofstede, 2025). Both are pretty foodie cultures. Both markets offer food, leisure and social dining to their consumers. This is good for those serving fast food. Positioning comfort food and celebrating with a message is an effective strategy for Pizza Hut in both countries.</w:t>
      </w:r>
    </w:p>
    <w:p w14:paraId="28CC5082" w14:textId="3C1749A5" w:rsidR="00F76DE9" w:rsidRPr="00F30D0E" w:rsidRDefault="00F76DE9" w:rsidP="00F76DE9">
      <w:pPr>
        <w:spacing w:after="240"/>
        <w:rPr>
          <w:rFonts w:cs="Arial"/>
        </w:rPr>
      </w:pPr>
      <w:r w:rsidRPr="00F30D0E">
        <w:rPr>
          <w:rFonts w:cs="Arial"/>
          <w:b/>
          <w:bCs/>
        </w:rPr>
        <w:t>Advantages of the Hofstede Model</w:t>
      </w:r>
      <w:r w:rsidR="00EE5460" w:rsidRPr="00F30D0E">
        <w:rPr>
          <w:rFonts w:cs="Arial"/>
        </w:rPr>
        <w:t xml:space="preserve">: </w:t>
      </w:r>
      <w:r w:rsidRPr="00F30D0E">
        <w:rPr>
          <w:rFonts w:cs="Arial"/>
        </w:rPr>
        <w:t>The model is quantitative and allows for cross-cultural comparisons. It allows making decisions based on the evidence of positioning, communication and promotional strategy (Soares et al., 2007).</w:t>
      </w:r>
    </w:p>
    <w:p w14:paraId="594FD38B" w14:textId="61453E42" w:rsidR="00F76DE9" w:rsidRPr="00F30D0E" w:rsidRDefault="00F76DE9" w:rsidP="00F76DE9">
      <w:pPr>
        <w:spacing w:after="240"/>
        <w:rPr>
          <w:rFonts w:cs="Arial"/>
        </w:rPr>
      </w:pPr>
      <w:r w:rsidRPr="00F30D0E">
        <w:rPr>
          <w:rFonts w:cs="Arial"/>
          <w:b/>
          <w:bCs/>
        </w:rPr>
        <w:lastRenderedPageBreak/>
        <w:t>Disadvantages of the Hofstede Model</w:t>
      </w:r>
      <w:r w:rsidR="00EE5460" w:rsidRPr="00F30D0E">
        <w:rPr>
          <w:rFonts w:cs="Arial"/>
        </w:rPr>
        <w:t xml:space="preserve">: </w:t>
      </w:r>
      <w:r w:rsidRPr="00F30D0E">
        <w:rPr>
          <w:rFonts w:cs="Arial"/>
        </w:rPr>
        <w:t xml:space="preserve">The model assumes a uniformity of national cultures, which fails to acknowledge that there </w:t>
      </w:r>
      <w:r w:rsidR="001618DD" w:rsidRPr="00F30D0E">
        <w:rPr>
          <w:rFonts w:cs="Arial"/>
        </w:rPr>
        <w:t>are</w:t>
      </w:r>
      <w:r w:rsidRPr="00F30D0E">
        <w:rPr>
          <w:rFonts w:cs="Arial"/>
        </w:rPr>
        <w:t xml:space="preserve"> substantial differences within each culture (McSweeney, 2002). The study, a descriptive study, was limited to IBM employees, which makes it difficult to generalize the findings. The cultural values are also somewhat static as compared to the dynamic nature of real-world values.</w:t>
      </w:r>
    </w:p>
    <w:p w14:paraId="51FBA5C9" w14:textId="36864D4A" w:rsidR="006E774B" w:rsidRPr="00F30D0E" w:rsidRDefault="006E774B" w:rsidP="00F76DE9">
      <w:pPr>
        <w:spacing w:after="240"/>
        <w:rPr>
          <w:rStyle w:val="animating6ta1u10"/>
          <w:rFonts w:cs="Arial"/>
          <w:u w:val="single"/>
        </w:rPr>
      </w:pPr>
      <w:r w:rsidRPr="00F30D0E">
        <w:rPr>
          <w:rStyle w:val="animating6ta1u10"/>
          <w:rFonts w:cs="Arial"/>
          <w:b/>
          <w:u w:val="single"/>
        </w:rPr>
        <w:t>Technological Factors</w:t>
      </w:r>
    </w:p>
    <w:p w14:paraId="00000001" w14:textId="127101FF" w:rsidR="000B6853" w:rsidRPr="00F30D0E" w:rsidRDefault="00BB1993">
      <w:pPr>
        <w:spacing w:after="240"/>
        <w:rPr>
          <w:rFonts w:cs="Arial"/>
        </w:rPr>
      </w:pPr>
      <w:r w:rsidRPr="00F30D0E">
        <w:rPr>
          <w:rFonts w:cs="Arial"/>
        </w:rPr>
        <w:t xml:space="preserve">Trendy foods are changing the eating habits of the people in USA and Australia. Today, consumers are increasingly looking for food that is healthy, transparent and has a sustainable origin (Koppes, 2025). Pizza Hut's root menu is not known as healthy food and this is not </w:t>
      </w:r>
      <w:proofErr w:type="spellStart"/>
      <w:r w:rsidRPr="00F30D0E">
        <w:rPr>
          <w:rFonts w:cs="Arial"/>
        </w:rPr>
        <w:t>favorable</w:t>
      </w:r>
      <w:proofErr w:type="spellEnd"/>
      <w:r w:rsidRPr="00F30D0E">
        <w:rPr>
          <w:rFonts w:cs="Arial"/>
        </w:rPr>
        <w:t xml:space="preserve"> to them. In the USA, the demand for plant-based, lower carb and lower calorie menus has led to menu changes. Likewise, Australian consumers are also interested in clean eating and locally sourced ingredients, especially the younger urban consumers.</w:t>
      </w:r>
    </w:p>
    <w:p w14:paraId="3E13F5D9" w14:textId="6696CAF0" w:rsidR="00246A0A" w:rsidRDefault="006E774B" w:rsidP="006E774B">
      <w:pPr>
        <w:spacing w:after="240"/>
        <w:rPr>
          <w:rStyle w:val="animating6ta1u10"/>
          <w:rFonts w:cs="Arial"/>
        </w:rPr>
      </w:pPr>
      <w:r w:rsidRPr="00F30D0E">
        <w:rPr>
          <w:rStyle w:val="animating6ta1u10"/>
          <w:rFonts w:cs="Arial"/>
        </w:rPr>
        <w:t>Both countries have high levels of digitally driven food businesses, and have good digital infrastructure and high smartphone penetration rates (Verhoef et al., 2021). In the USA, Pizza Hut is betting on AI personalisation and voice ordering. Pizza Hut is looking to AI personalisation and voice ordering in the USA. The brand's success in Australia depends on third parties like Uber Eats and Door Dash (IMARC, 2026). This results in a dependency which impacts on margins and allows access to customer data. Technology is favourable on both markets.</w:t>
      </w:r>
    </w:p>
    <w:p w14:paraId="41F438B9" w14:textId="2AC1C103" w:rsidR="00764360" w:rsidRPr="00F30D0E" w:rsidRDefault="00764360" w:rsidP="006E774B">
      <w:pPr>
        <w:spacing w:after="240"/>
        <w:rPr>
          <w:rFonts w:cs="Arial"/>
        </w:rPr>
      </w:pPr>
      <w:r w:rsidRPr="003233DE">
        <w:rPr>
          <w:rStyle w:val="animating6ta1u10"/>
          <w:rFonts w:cs="Arial"/>
          <w:b/>
          <w:bCs/>
          <w:i/>
          <w:iCs/>
        </w:rPr>
        <w:t>Overall Assessment:</w:t>
      </w:r>
      <w:r>
        <w:rPr>
          <w:rStyle w:val="animating6ta1u10"/>
          <w:rFonts w:cs="Arial"/>
          <w:i/>
          <w:iCs/>
        </w:rPr>
        <w:t xml:space="preserve"> </w:t>
      </w:r>
      <w:r w:rsidRPr="00764360">
        <w:rPr>
          <w:rStyle w:val="animating6ta1u10"/>
          <w:rFonts w:cs="Arial"/>
          <w:b/>
          <w:bCs/>
          <w:i/>
          <w:iCs/>
        </w:rPr>
        <w:t>Favourable</w:t>
      </w:r>
      <w:r w:rsidRPr="00764360">
        <w:rPr>
          <w:rStyle w:val="animating6ta1u10"/>
          <w:rFonts w:cs="Arial"/>
          <w:i/>
          <w:iCs/>
        </w:rPr>
        <w:t xml:space="preserve"> in both markets because of high smartphone penetration and digital infrastructure which makes Pizza Hut's app ordering and delivery model.</w:t>
      </w:r>
    </w:p>
    <w:p w14:paraId="1ECB59E7" w14:textId="77777777" w:rsidR="006E774B" w:rsidRPr="00F30D0E" w:rsidRDefault="006E774B" w:rsidP="006E774B">
      <w:pPr>
        <w:spacing w:after="240"/>
        <w:rPr>
          <w:rStyle w:val="animating6ta1u10"/>
          <w:rFonts w:cs="Arial"/>
          <w:b/>
          <w:bCs/>
          <w:u w:val="single"/>
        </w:rPr>
      </w:pPr>
      <w:r w:rsidRPr="00F30D0E">
        <w:rPr>
          <w:rStyle w:val="animating6ta1u10"/>
          <w:rFonts w:cs="Arial"/>
          <w:b/>
          <w:bCs/>
          <w:u w:val="single"/>
        </w:rPr>
        <w:t>Environmental Factors</w:t>
      </w:r>
    </w:p>
    <w:p w14:paraId="12595061" w14:textId="66164C08" w:rsidR="00844B13" w:rsidRDefault="006E774B" w:rsidP="00844B13">
      <w:pPr>
        <w:spacing w:after="240"/>
        <w:rPr>
          <w:rStyle w:val="animating6ta1u10"/>
          <w:rFonts w:cs="Arial"/>
          <w:bCs/>
        </w:rPr>
      </w:pPr>
      <w:r w:rsidRPr="00F30D0E">
        <w:rPr>
          <w:rStyle w:val="animating6ta1u10"/>
          <w:rFonts w:cs="Arial"/>
          <w:bCs/>
        </w:rPr>
        <w:t xml:space="preserve">There has been increased awareness of the environmental sustainability needs in both markets. Single-use plastic bags are in effect in a number of states in Australia, creating a more challenging environment for Pizza Hut than the USA where federal environmental policy is less prescriptive. There is a need to invest in sustainable packaging and responsible sourcing for both markets. Australia has a relatively high </w:t>
      </w:r>
      <w:r w:rsidRPr="00F30D0E">
        <w:rPr>
          <w:rStyle w:val="animating6ta1u10"/>
          <w:rFonts w:cs="Arial"/>
          <w:bCs/>
        </w:rPr>
        <w:lastRenderedPageBreak/>
        <w:t>level of regulation, leading to broadly unfavourable environmental forces. Pressure in the USA is not particularly regulatory, but rather consumer-based.</w:t>
      </w:r>
    </w:p>
    <w:p w14:paraId="006FB4BD" w14:textId="134A6CB8" w:rsidR="00764360" w:rsidRPr="00F30D0E" w:rsidRDefault="00764360" w:rsidP="00844B13">
      <w:pPr>
        <w:spacing w:after="240"/>
        <w:rPr>
          <w:rStyle w:val="animating6ta1u10"/>
          <w:rFonts w:cs="Arial"/>
          <w:bCs/>
        </w:rPr>
      </w:pPr>
      <w:r w:rsidRPr="003233DE">
        <w:rPr>
          <w:rStyle w:val="animating6ta1u10"/>
          <w:rFonts w:cs="Arial"/>
          <w:b/>
          <w:bCs/>
          <w:i/>
          <w:iCs/>
        </w:rPr>
        <w:t>Overall Assessment:</w:t>
      </w:r>
      <w:r w:rsidRPr="00764360">
        <w:t xml:space="preserve"> </w:t>
      </w:r>
      <w:r w:rsidRPr="00764360">
        <w:rPr>
          <w:rStyle w:val="animating6ta1u10"/>
          <w:rFonts w:cs="Arial"/>
          <w:b/>
          <w:bCs/>
          <w:i/>
          <w:iCs/>
        </w:rPr>
        <w:t>Unfavourable</w:t>
      </w:r>
      <w:r w:rsidRPr="00764360">
        <w:rPr>
          <w:rStyle w:val="animating6ta1u10"/>
          <w:rFonts w:cs="Arial"/>
          <w:i/>
          <w:iCs/>
        </w:rPr>
        <w:t xml:space="preserve"> in Australia because often times facing active single use plastic bags, which put costs on compliance; </w:t>
      </w:r>
      <w:r w:rsidRPr="00764360">
        <w:rPr>
          <w:rStyle w:val="animating6ta1u10"/>
          <w:rFonts w:cs="Arial"/>
          <w:b/>
          <w:bCs/>
          <w:i/>
          <w:iCs/>
        </w:rPr>
        <w:t>Partially Unfavourable</w:t>
      </w:r>
      <w:r w:rsidRPr="00764360">
        <w:rPr>
          <w:rStyle w:val="animating6ta1u10"/>
          <w:rFonts w:cs="Arial"/>
          <w:i/>
          <w:iCs/>
        </w:rPr>
        <w:t xml:space="preserve"> in the USA as there is increasing pressure from consumer to be sustainable.</w:t>
      </w:r>
    </w:p>
    <w:p w14:paraId="3FB45A59" w14:textId="6D84951C" w:rsidR="006E774B" w:rsidRPr="00F30D0E" w:rsidRDefault="006E774B" w:rsidP="00844B13">
      <w:pPr>
        <w:spacing w:after="240"/>
        <w:rPr>
          <w:rStyle w:val="animating6ta1u10"/>
          <w:rFonts w:cs="Arial"/>
          <w:bCs/>
          <w:u w:val="single"/>
        </w:rPr>
      </w:pPr>
      <w:r w:rsidRPr="00F30D0E">
        <w:rPr>
          <w:rStyle w:val="animating6ta1u10"/>
          <w:rFonts w:cs="Arial"/>
          <w:b/>
          <w:bCs/>
          <w:u w:val="single"/>
        </w:rPr>
        <w:t>Legal Factors</w:t>
      </w:r>
    </w:p>
    <w:p w14:paraId="6BDE9306" w14:textId="29399A86" w:rsidR="00245F18" w:rsidRDefault="006E774B" w:rsidP="00245F18">
      <w:pPr>
        <w:spacing w:after="240"/>
        <w:rPr>
          <w:rStyle w:val="animating6ta1u10"/>
          <w:rFonts w:cs="Arial"/>
          <w:bCs/>
        </w:rPr>
      </w:pPr>
      <w:r w:rsidRPr="00F30D0E">
        <w:rPr>
          <w:rStyle w:val="animating6ta1u10"/>
          <w:rFonts w:cs="Arial"/>
          <w:bCs/>
        </w:rPr>
        <w:t>The Federal Trade Commission (Federal Trade Commission, 2026) is the entity that regulates franchise operations in the USA. Australian Consumer Law, 2026, enforces the consumer protection and advertising standards in Australia as strictly as possible. In 2024, the Australian Communications and Media Authority (ACMA) fined Pizza Pan Group AUD 2.5 million for spam marketing offences (ACMA, 2024). Commercial operation is favourable in both countries, legally. But it's tougher and more active in Australia, so compliance is more of an operational priority for Pizza Hut in Australia.</w:t>
      </w:r>
    </w:p>
    <w:p w14:paraId="21E9CBB1" w14:textId="14C2C9EB" w:rsidR="00764360" w:rsidRDefault="00764360" w:rsidP="00245F18">
      <w:pPr>
        <w:spacing w:after="240"/>
        <w:rPr>
          <w:rStyle w:val="animating6ta1u10"/>
          <w:rFonts w:cs="Arial"/>
          <w:bCs/>
        </w:rPr>
      </w:pPr>
      <w:r w:rsidRPr="003233DE">
        <w:rPr>
          <w:rStyle w:val="animating6ta1u10"/>
          <w:rFonts w:cs="Arial"/>
          <w:b/>
          <w:bCs/>
          <w:i/>
          <w:iCs/>
        </w:rPr>
        <w:t>Overall Assessment:</w:t>
      </w:r>
      <w:r w:rsidRPr="00764360">
        <w:t xml:space="preserve"> </w:t>
      </w:r>
      <w:r w:rsidRPr="00764360">
        <w:rPr>
          <w:rStyle w:val="animating6ta1u10"/>
          <w:rFonts w:cs="Arial"/>
          <w:i/>
          <w:iCs/>
        </w:rPr>
        <w:t xml:space="preserve">It is broadly </w:t>
      </w:r>
      <w:r w:rsidRPr="00764360">
        <w:rPr>
          <w:rStyle w:val="animating6ta1u10"/>
          <w:rFonts w:cs="Arial"/>
          <w:b/>
          <w:bCs/>
          <w:i/>
          <w:iCs/>
        </w:rPr>
        <w:t>favourable</w:t>
      </w:r>
      <w:r w:rsidRPr="00764360">
        <w:rPr>
          <w:rStyle w:val="animating6ta1u10"/>
          <w:rFonts w:cs="Arial"/>
          <w:i/>
          <w:iCs/>
        </w:rPr>
        <w:t xml:space="preserve"> for commercial operation in both countries, but </w:t>
      </w:r>
      <w:r w:rsidRPr="00764360">
        <w:rPr>
          <w:rStyle w:val="animating6ta1u10"/>
          <w:rFonts w:cs="Arial"/>
          <w:b/>
          <w:bCs/>
          <w:i/>
          <w:iCs/>
        </w:rPr>
        <w:t>More Unfavourable</w:t>
      </w:r>
      <w:r w:rsidRPr="00764360">
        <w:rPr>
          <w:rStyle w:val="animating6ta1u10"/>
          <w:rFonts w:cs="Arial"/>
          <w:i/>
          <w:iCs/>
        </w:rPr>
        <w:t xml:space="preserve"> in Australia, due to the heightened legal risk of active enforcement, as demonstrated by the AU$2.5 million spam fine.</w:t>
      </w:r>
    </w:p>
    <w:p w14:paraId="00000003" w14:textId="4F708893" w:rsidR="000B6853" w:rsidRPr="006533C8" w:rsidRDefault="009401AF" w:rsidP="0069121E">
      <w:pPr>
        <w:spacing w:before="240" w:line="240" w:lineRule="auto"/>
        <w:jc w:val="left"/>
        <w:rPr>
          <w:rFonts w:cs="Arial"/>
          <w:b/>
          <w:bCs/>
          <w:u w:val="single"/>
        </w:rPr>
      </w:pPr>
      <w:r w:rsidRPr="006533C8">
        <w:rPr>
          <w:rFonts w:cs="Arial"/>
          <w:b/>
          <w:bCs/>
          <w:u w:val="single"/>
        </w:rPr>
        <w:t>Similarities and Differences: PESTEL Summary</w:t>
      </w:r>
    </w:p>
    <w:p w14:paraId="3E99C0C7" w14:textId="3DD46E48" w:rsidR="006533C8" w:rsidRPr="006533C8" w:rsidRDefault="006533C8" w:rsidP="006533C8">
      <w:pPr>
        <w:spacing w:before="240"/>
        <w:rPr>
          <w:b/>
          <w:bCs/>
        </w:rPr>
      </w:pPr>
      <w:r w:rsidRPr="006533C8">
        <w:rPr>
          <w:b/>
          <w:bCs/>
        </w:rPr>
        <w:t>Similarities:</w:t>
      </w:r>
      <w:r>
        <w:rPr>
          <w:b/>
          <w:bCs/>
        </w:rPr>
        <w:t xml:space="preserve"> </w:t>
      </w:r>
      <w:r w:rsidRPr="006533C8">
        <w:t xml:space="preserve">The two countries are both politically stable with established governments, have strong economies, advanced digital infrastructure and a developing focus on sustainability </w:t>
      </w:r>
      <w:r>
        <w:t>-</w:t>
      </w:r>
      <w:r w:rsidRPr="006533C8">
        <w:t xml:space="preserve"> all of which is broadly supportive of Pizza Hut's operations.</w:t>
      </w:r>
    </w:p>
    <w:p w14:paraId="2B88F70A" w14:textId="05B0CE90" w:rsidR="00F30D0E" w:rsidRPr="006533C8" w:rsidRDefault="006533C8" w:rsidP="006533C8">
      <w:pPr>
        <w:spacing w:before="240"/>
        <w:rPr>
          <w:b/>
          <w:bCs/>
        </w:rPr>
      </w:pPr>
      <w:r w:rsidRPr="006533C8">
        <w:rPr>
          <w:b/>
          <w:bCs/>
        </w:rPr>
        <w:t>Differences:</w:t>
      </w:r>
      <w:r>
        <w:rPr>
          <w:b/>
          <w:bCs/>
        </w:rPr>
        <w:t xml:space="preserve"> </w:t>
      </w:r>
      <w:r w:rsidRPr="006533C8">
        <w:t>Legally, Australia has a stricter enforcement on spamming (AU$ 2.5m fine) and state level plastic ban, along with higher labour costs (Franchising Code of Conduct). The USA is more flexible regarding commercial models, has lower operating costs, and larger economies of scale.</w:t>
      </w:r>
      <w:r w:rsidR="00F30D0E" w:rsidRPr="00F30D0E">
        <w:br w:type="page"/>
      </w:r>
    </w:p>
    <w:p w14:paraId="67AA196F" w14:textId="2CEA1734" w:rsidR="00FF74B2" w:rsidRPr="00F30D0E" w:rsidRDefault="00E8542F" w:rsidP="004C0FAB">
      <w:pPr>
        <w:pStyle w:val="Heading1"/>
      </w:pPr>
      <w:bookmarkStart w:id="9" w:name="_Toc236940837"/>
      <w:r w:rsidRPr="00F30D0E">
        <w:lastRenderedPageBreak/>
        <w:t>4. Comparative STP and 7Ps Analysis</w:t>
      </w:r>
      <w:bookmarkEnd w:id="9"/>
    </w:p>
    <w:p w14:paraId="2A54B608" w14:textId="77777777" w:rsidR="00431436" w:rsidRPr="00F30D0E" w:rsidRDefault="00E8542F" w:rsidP="004C0FAB">
      <w:pPr>
        <w:pStyle w:val="Heading2"/>
      </w:pPr>
      <w:bookmarkStart w:id="10" w:name="_Toc234341398"/>
      <w:bookmarkStart w:id="11" w:name="_Toc236940838"/>
      <w:r w:rsidRPr="00F30D0E">
        <w:t>4.1 Segmentation, Targeting and Positioning</w:t>
      </w:r>
      <w:bookmarkEnd w:id="10"/>
      <w:bookmarkEnd w:id="11"/>
    </w:p>
    <w:p w14:paraId="0ED811F3" w14:textId="4CC82366" w:rsidR="00431436" w:rsidRPr="00F30D0E" w:rsidRDefault="00775D78" w:rsidP="00D45DB5">
      <w:pPr>
        <w:spacing w:after="240"/>
        <w:rPr>
          <w:rFonts w:cs="Arial"/>
        </w:rPr>
      </w:pPr>
      <w:r w:rsidRPr="00F30D0E">
        <w:rPr>
          <w:rFonts w:cs="Arial"/>
        </w:rPr>
        <w:t>STP is a strategic marketing concept that is also known as Segmentation, Targeting and Positioning. Segmentation is the process of dividing the mass market into smaller segments in which consumers have some common characteristics, needs or behaviours (Kotler and Keller, 2016).</w:t>
      </w:r>
    </w:p>
    <w:p w14:paraId="12353DDE" w14:textId="77777777" w:rsidR="00431436" w:rsidRPr="00F30D0E" w:rsidRDefault="00E8542F" w:rsidP="00D45DB5">
      <w:pPr>
        <w:spacing w:after="240"/>
        <w:rPr>
          <w:rFonts w:cs="Arial"/>
          <w:b/>
          <w:bCs/>
        </w:rPr>
      </w:pPr>
      <w:r w:rsidRPr="00F30D0E">
        <w:rPr>
          <w:rFonts w:cs="Arial"/>
          <w:b/>
          <w:bCs/>
        </w:rPr>
        <w:t>Segmentation in the USA</w:t>
      </w:r>
    </w:p>
    <w:p w14:paraId="1F933608" w14:textId="4BFD5A60" w:rsidR="00236186" w:rsidRPr="00F30D0E" w:rsidRDefault="00236186" w:rsidP="00236186">
      <w:pPr>
        <w:spacing w:after="240"/>
        <w:rPr>
          <w:rFonts w:cs="Arial"/>
        </w:rPr>
      </w:pPr>
      <w:r w:rsidRPr="00F30D0E">
        <w:rPr>
          <w:rFonts w:cs="Arial"/>
        </w:rPr>
        <w:t xml:space="preserve">Pizza Hut is using multi-dimensional segmentation strategy in the United States. The brand caters to families with children; young adults (18-34 years) and college students (Pereira, 2025). These groups are the most consuming </w:t>
      </w:r>
      <w:r w:rsidR="00BF7859" w:rsidRPr="00F30D0E">
        <w:rPr>
          <w:rFonts w:cs="Arial"/>
        </w:rPr>
        <w:t>fast-food</w:t>
      </w:r>
      <w:r w:rsidRPr="00F30D0E">
        <w:rPr>
          <w:rFonts w:cs="Arial"/>
        </w:rPr>
        <w:t xml:space="preserve"> groups. Psychographically, the brand is for value for money users who are also convenience seeking, who value convenience and affordability. Pizza Hut's target audience behaviorally are repeat take-out and delivery customers, especially those who order via a mobile app or online. Whereas the US population is very diverse, Pizza Hut also segments at the micro-level to cater to different regional and cultural communities by creating menu options and marketing messages that appeal to each.</w:t>
      </w:r>
    </w:p>
    <w:p w14:paraId="2C717721" w14:textId="365B8BEF" w:rsidR="00576F74" w:rsidRPr="00F30D0E" w:rsidRDefault="00576F74" w:rsidP="00576F74">
      <w:pPr>
        <w:spacing w:before="240"/>
      </w:pPr>
      <w:r w:rsidRPr="001618DD">
        <w:rPr>
          <w:b/>
          <w:bCs/>
        </w:rPr>
        <w:t>Demographic Segmentation (USA):</w:t>
      </w:r>
      <w:r w:rsidRPr="00F30D0E">
        <w:t xml:space="preserve"> Pizza Hut aims at the 18 – 4</w:t>
      </w:r>
      <w:r w:rsidR="007B4F87">
        <w:t>4</w:t>
      </w:r>
      <w:r w:rsidRPr="00F30D0E">
        <w:t xml:space="preserve"> age group and specifically children and their families. Income targeting is focused on the low to mid-income group, who have a special interest in value deals</w:t>
      </w:r>
      <w:r w:rsidR="007B4F87" w:rsidRPr="007B4F87">
        <w:t xml:space="preserve"> (</w:t>
      </w:r>
      <w:proofErr w:type="spellStart"/>
      <w:r w:rsidR="007B4F87" w:rsidRPr="007B4F87">
        <w:t>pizzahutproject</w:t>
      </w:r>
      <w:proofErr w:type="spellEnd"/>
      <w:r w:rsidR="007B4F87" w:rsidRPr="007B4F87">
        <w:t>, 20</w:t>
      </w:r>
      <w:r w:rsidR="007B4F87">
        <w:t>2</w:t>
      </w:r>
      <w:r w:rsidR="007B4F87" w:rsidRPr="007B4F87">
        <w:t>4)</w:t>
      </w:r>
      <w:r w:rsidRPr="00F30D0E">
        <w:t>. Gender has not been used as a primary variable, although there is a lot of family imagery in the promotional campaigns.</w:t>
      </w:r>
    </w:p>
    <w:p w14:paraId="149A7FFC" w14:textId="77777777" w:rsidR="006533C8" w:rsidRDefault="00576F74" w:rsidP="006533C8">
      <w:pPr>
        <w:spacing w:before="240"/>
      </w:pPr>
      <w:r w:rsidRPr="001618DD">
        <w:rPr>
          <w:b/>
          <w:bCs/>
        </w:rPr>
        <w:t>Geographic Segmentation (USA):</w:t>
      </w:r>
      <w:r w:rsidRPr="00F30D0E">
        <w:t xml:space="preserve"> Pizza Hut is found in all 50 states with the maximum in the suburban and urban areas. Geographical variations in cuisine are also reflected in regional menu variations, such as adding more spices to topping</w:t>
      </w:r>
      <w:r w:rsidR="007B4F87">
        <w:t xml:space="preserve"> </w:t>
      </w:r>
      <w:r w:rsidRPr="00F30D0E">
        <w:t>choices in the Southwest and Southern regions</w:t>
      </w:r>
      <w:r w:rsidR="00C831D1" w:rsidRPr="00C831D1">
        <w:t xml:space="preserve"> </w:t>
      </w:r>
      <w:r w:rsidR="00C831D1">
        <w:t>(</w:t>
      </w:r>
      <w:r w:rsidR="00C831D1" w:rsidRPr="00C831D1">
        <w:t>Yayla</w:t>
      </w:r>
      <w:r w:rsidR="00C831D1">
        <w:t xml:space="preserve"> </w:t>
      </w:r>
      <w:r w:rsidR="00C831D1" w:rsidRPr="00C831D1">
        <w:t>and Akta</w:t>
      </w:r>
      <w:r w:rsidR="00C831D1">
        <w:t>s</w:t>
      </w:r>
      <w:r w:rsidR="00C831D1" w:rsidRPr="00C831D1">
        <w:t>, 2021</w:t>
      </w:r>
      <w:r w:rsidR="00C831D1">
        <w:t>)</w:t>
      </w:r>
      <w:r w:rsidR="007B4F87">
        <w:t>.</w:t>
      </w:r>
    </w:p>
    <w:p w14:paraId="00000009" w14:textId="5DD0214D" w:rsidR="000B6853" w:rsidRPr="006533C8" w:rsidRDefault="009401AF" w:rsidP="006533C8">
      <w:pPr>
        <w:spacing w:before="240"/>
      </w:pPr>
      <w:r w:rsidRPr="00F30D0E">
        <w:rPr>
          <w:rFonts w:cs="Arial"/>
          <w:b/>
          <w:bCs/>
        </w:rPr>
        <w:t>Psychographic Segmentation and the VALS Framework</w:t>
      </w:r>
    </w:p>
    <w:p w14:paraId="0000000B" w14:textId="69E4407B" w:rsidR="000B6853" w:rsidRPr="00F30D0E" w:rsidRDefault="00BB1993">
      <w:pPr>
        <w:spacing w:after="240"/>
        <w:rPr>
          <w:rFonts w:cs="Arial"/>
        </w:rPr>
      </w:pPr>
      <w:r w:rsidRPr="00F30D0E">
        <w:rPr>
          <w:rFonts w:cs="Arial"/>
        </w:rPr>
        <w:t xml:space="preserve">VALS (Values and Lifestyles) is a classification system of eight personalities based on motivations and resources of consumers (SBI, 2023). Pizza Hut's primary target customers in the USA are </w:t>
      </w:r>
      <w:proofErr w:type="spellStart"/>
      <w:r w:rsidRPr="00F30D0E">
        <w:rPr>
          <w:rFonts w:cs="Arial"/>
        </w:rPr>
        <w:t>Strivers</w:t>
      </w:r>
      <w:proofErr w:type="spellEnd"/>
      <w:r w:rsidRPr="00F30D0E">
        <w:rPr>
          <w:rFonts w:cs="Arial"/>
        </w:rPr>
        <w:t xml:space="preserve"> and Experiencers. </w:t>
      </w:r>
      <w:proofErr w:type="spellStart"/>
      <w:r w:rsidRPr="00F30D0E">
        <w:rPr>
          <w:rFonts w:cs="Arial"/>
        </w:rPr>
        <w:t>Strivers</w:t>
      </w:r>
      <w:proofErr w:type="spellEnd"/>
      <w:r w:rsidRPr="00F30D0E">
        <w:rPr>
          <w:rFonts w:cs="Arial"/>
        </w:rPr>
        <w:t xml:space="preserve"> are looking for value </w:t>
      </w:r>
      <w:r w:rsidRPr="00F30D0E">
        <w:rPr>
          <w:rFonts w:cs="Arial"/>
        </w:rPr>
        <w:lastRenderedPageBreak/>
        <w:t xml:space="preserve">and ease, and Experiencers are young, variety-seeking customers who are drawn to promotions and digital engagement. Pizza Hut is a brand that appeals to </w:t>
      </w:r>
      <w:proofErr w:type="spellStart"/>
      <w:r w:rsidRPr="00F30D0E">
        <w:rPr>
          <w:rFonts w:cs="Arial"/>
        </w:rPr>
        <w:t>Strivers</w:t>
      </w:r>
      <w:proofErr w:type="spellEnd"/>
      <w:r w:rsidRPr="00F30D0E">
        <w:rPr>
          <w:rFonts w:cs="Arial"/>
        </w:rPr>
        <w:t xml:space="preserve"> and Believers in Australia. Consumers who believe in the brand are family-oriented and prefer quality and trusted brands, which aligns with the brand's family meal offer.</w:t>
      </w:r>
    </w:p>
    <w:p w14:paraId="6D8C9636" w14:textId="77777777" w:rsidR="00236186" w:rsidRPr="00F30D0E" w:rsidRDefault="00236186" w:rsidP="00236186">
      <w:pPr>
        <w:spacing w:after="240"/>
        <w:rPr>
          <w:rFonts w:cs="Arial"/>
          <w:b/>
        </w:rPr>
      </w:pPr>
      <w:r w:rsidRPr="00F30D0E">
        <w:rPr>
          <w:rFonts w:cs="Arial"/>
          <w:b/>
        </w:rPr>
        <w:t>Segmentation in Australia</w:t>
      </w:r>
    </w:p>
    <w:p w14:paraId="456B967E" w14:textId="77777777" w:rsidR="00431436" w:rsidRPr="00F30D0E" w:rsidRDefault="00236186" w:rsidP="00236186">
      <w:pPr>
        <w:spacing w:after="240"/>
        <w:rPr>
          <w:rFonts w:cs="Arial"/>
        </w:rPr>
      </w:pPr>
      <w:r w:rsidRPr="00F30D0E">
        <w:rPr>
          <w:rFonts w:cs="Arial"/>
        </w:rPr>
        <w:t>A similar segmentation technique is used in Australia by Pizza Hut, but on a smaller scale. The demographic targeting is targeted at suburban middle-income families, and young urban professionals (IBISWorld, 2023). Psychographic segmentation is done for the convenience and affordability of consumers. The Australian market is less ethnically diverse than the USA although there is a multicultural population in the major cities, especially Sydney and Melbourne. By the way, behavioural segmentation in Australia focuses heavily on delivery users, due to the fact that the ‘dine-in' model is in the process of being phased out. Segmentation focuses on geographic segment, in which most of Pizza Hut's 260 Australian outlets are located, namely in the suburbs.</w:t>
      </w:r>
    </w:p>
    <w:p w14:paraId="30180A87" w14:textId="77777777" w:rsidR="00431436" w:rsidRPr="00F30D0E" w:rsidRDefault="00E8542F" w:rsidP="00D45DB5">
      <w:pPr>
        <w:spacing w:after="240"/>
        <w:rPr>
          <w:rFonts w:cs="Arial"/>
        </w:rPr>
      </w:pPr>
      <w:r w:rsidRPr="00F30D0E">
        <w:rPr>
          <w:rFonts w:cs="Arial"/>
          <w:b/>
          <w:bCs/>
        </w:rPr>
        <w:t>Targeting in the USA</w:t>
      </w:r>
    </w:p>
    <w:p w14:paraId="2558AF77" w14:textId="77777777" w:rsidR="00431436" w:rsidRPr="00F30D0E" w:rsidRDefault="00236186" w:rsidP="00D45DB5">
      <w:pPr>
        <w:spacing w:after="240"/>
        <w:rPr>
          <w:rFonts w:cs="Arial"/>
        </w:rPr>
      </w:pPr>
      <w:r w:rsidRPr="00F30D0E">
        <w:rPr>
          <w:rFonts w:cs="Arial"/>
        </w:rPr>
        <w:t>Pizza Hut USA uses a differentiated targeting approach, that is, different products to various groups of consumers. The brand shows parallel delivery, carryout and dine-in, enabling the brand to tap into a large customer base. This mass market differentiation strategy is indicative of the size and the diversity of the consumer market in the U.S. The brand's digital targeting is another big investment, with the digital team relying on data analytics to deliver targeted promotions to various customer segments, depending on their previous purchase history.</w:t>
      </w:r>
    </w:p>
    <w:p w14:paraId="56503A93" w14:textId="77777777" w:rsidR="00431436" w:rsidRPr="00F30D0E" w:rsidRDefault="00E8542F" w:rsidP="00D45DB5">
      <w:pPr>
        <w:spacing w:after="240"/>
        <w:rPr>
          <w:rFonts w:cs="Arial"/>
        </w:rPr>
      </w:pPr>
      <w:r w:rsidRPr="00F30D0E">
        <w:rPr>
          <w:rFonts w:cs="Arial"/>
          <w:b/>
          <w:bCs/>
        </w:rPr>
        <w:t>Targeting in Australia</w:t>
      </w:r>
    </w:p>
    <w:p w14:paraId="5EE40B24" w14:textId="77777777" w:rsidR="00236186" w:rsidRPr="00F30D0E" w:rsidRDefault="00236186" w:rsidP="00236186">
      <w:pPr>
        <w:spacing w:after="240"/>
        <w:rPr>
          <w:rFonts w:cs="Arial"/>
        </w:rPr>
      </w:pPr>
      <w:r w:rsidRPr="00F30D0E">
        <w:rPr>
          <w:rFonts w:cs="Arial"/>
        </w:rPr>
        <w:t>In Australia Pizza Hut targets a narrower market. The brand targets suburban homes and young adults that live in dense urban areas with about 255 stores (Choose Franchise, 2026). The main targets are the delivery and take away segment. Eagle Boys was recently acquired by Pizza Hut in 2016 which helped the company greatly increase its addressable target market in Australia, especially in suburban and regional locations, which was not being catered for.</w:t>
      </w:r>
    </w:p>
    <w:p w14:paraId="6D8C59F0" w14:textId="77777777" w:rsidR="00236186" w:rsidRPr="00F30D0E" w:rsidRDefault="00236186" w:rsidP="00236186">
      <w:pPr>
        <w:spacing w:after="240"/>
        <w:rPr>
          <w:rFonts w:cs="Arial"/>
          <w:b/>
        </w:rPr>
      </w:pPr>
      <w:r w:rsidRPr="00F30D0E">
        <w:rPr>
          <w:rFonts w:cs="Arial"/>
          <w:b/>
        </w:rPr>
        <w:lastRenderedPageBreak/>
        <w:t>Positioning in Australia and US</w:t>
      </w:r>
    </w:p>
    <w:p w14:paraId="46DB5C7E" w14:textId="22C1F52F" w:rsidR="00431436" w:rsidRPr="00F30D0E" w:rsidRDefault="00236186" w:rsidP="00006543">
      <w:pPr>
        <w:spacing w:after="240"/>
        <w:rPr>
          <w:rFonts w:cs="Arial"/>
        </w:rPr>
      </w:pPr>
      <w:r w:rsidRPr="00F30D0E">
        <w:rPr>
          <w:rFonts w:cs="Arial"/>
        </w:rPr>
        <w:t>Pizza Hut's vision is to be a family pizza heritage brand in the USA that is “Variety, value and convenient”. (Kotler and Armstrong, 2021). In 2019, the red roof logo was reinstated, giving it classic brand associations. The situation in Australia has changed significantly since the 2010s. The brand shifted its focus from dine-in to become a contemporary, delivery value pizza brand. The drivers of this repositioning were the new dynamics in the market and the new consumer behaviour. The emotional heritage associations held by the US market differ markedly from those exhibited by the Australian market, where Pizza Hut is more ‘functionally' seen as a quick and cheap delivery service.</w:t>
      </w:r>
    </w:p>
    <w:p w14:paraId="0000000D" w14:textId="0000000E" w:rsidR="000B6853" w:rsidRPr="00F30D0E" w:rsidRDefault="009401AF">
      <w:pPr>
        <w:spacing w:after="240"/>
        <w:rPr>
          <w:rFonts w:cs="Arial"/>
          <w:b/>
          <w:bCs/>
        </w:rPr>
      </w:pPr>
      <w:r w:rsidRPr="00F30D0E">
        <w:rPr>
          <w:rFonts w:cs="Arial"/>
          <w:b/>
          <w:bCs/>
        </w:rPr>
        <w:t>Perceptual Map: Pizza Hut in Australia</w:t>
      </w:r>
    </w:p>
    <w:p w14:paraId="72A89A94" w14:textId="02109AF8" w:rsidR="0069121E" w:rsidRPr="00F30D0E" w:rsidRDefault="002A678F" w:rsidP="00834833">
      <w:pPr>
        <w:jc w:val="center"/>
        <w:rPr>
          <w:rFonts w:cs="Arial"/>
        </w:rPr>
      </w:pPr>
      <w:r w:rsidRPr="00F30D0E">
        <w:rPr>
          <w:rFonts w:cs="Arial"/>
          <w:noProof/>
        </w:rPr>
        <w:drawing>
          <wp:inline distT="0" distB="0" distL="0" distR="0" wp14:anchorId="63EEBCB8" wp14:editId="0A16393E">
            <wp:extent cx="3898900" cy="2659380"/>
            <wp:effectExtent l="0" t="0" r="635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03844" cy="2662752"/>
                    </a:xfrm>
                    <a:prstGeom prst="rect">
                      <a:avLst/>
                    </a:prstGeom>
                  </pic:spPr>
                </pic:pic>
              </a:graphicData>
            </a:graphic>
          </wp:inline>
        </w:drawing>
      </w:r>
    </w:p>
    <w:p w14:paraId="5215D02B" w14:textId="29D8C319" w:rsidR="00834833" w:rsidRPr="00F30D0E" w:rsidRDefault="00834833" w:rsidP="00834833">
      <w:pPr>
        <w:jc w:val="center"/>
        <w:rPr>
          <w:rFonts w:cs="Arial"/>
        </w:rPr>
      </w:pPr>
      <w:r w:rsidRPr="00F30D0E">
        <w:rPr>
          <w:rFonts w:cs="Arial"/>
        </w:rPr>
        <w:t>Figure: Perceptual Map; Source:  Self-made</w:t>
      </w:r>
    </w:p>
    <w:p w14:paraId="20289B78" w14:textId="1A05223C" w:rsidR="00D74F9B" w:rsidRPr="00F30D0E" w:rsidRDefault="00BB1993">
      <w:pPr>
        <w:spacing w:after="240"/>
        <w:rPr>
          <w:rFonts w:cs="Arial"/>
        </w:rPr>
      </w:pPr>
      <w:r w:rsidRPr="00F30D0E">
        <w:rPr>
          <w:rFonts w:cs="Arial"/>
        </w:rPr>
        <w:t>The perceptual map shows that Pizza Hut is in a middle market segment in Australia, with superior perceived quality to Domino's and Eagle Boys, yet at a price comparable to them, but much lower than that of premium brands like Crust Pizza. This is indicative of its strategic repositioning since 2016 as a value first delivery brand. Pizza Hut will need to distinguish themselves distinctly from Domino's, as this brand already sells pizza in a low-cost space and is the dominant brand in the Australian pizza delivery market based on the number of stores</w:t>
      </w:r>
      <w:r w:rsidR="00D74F9B" w:rsidRPr="00F30D0E">
        <w:rPr>
          <w:rFonts w:cs="Arial"/>
        </w:rPr>
        <w:t>.</w:t>
      </w:r>
    </w:p>
    <w:p w14:paraId="7A2032B3" w14:textId="77777777" w:rsidR="006533C8" w:rsidRDefault="006533C8">
      <w:pPr>
        <w:spacing w:after="240"/>
        <w:rPr>
          <w:rFonts w:cs="Arial"/>
          <w:b/>
          <w:bCs/>
        </w:rPr>
      </w:pPr>
    </w:p>
    <w:p w14:paraId="00000015" w14:textId="062CA770" w:rsidR="000B6853" w:rsidRPr="006533C8" w:rsidRDefault="009401AF">
      <w:pPr>
        <w:spacing w:after="240"/>
        <w:rPr>
          <w:rFonts w:cs="Arial"/>
          <w:b/>
          <w:bCs/>
          <w:u w:val="single"/>
        </w:rPr>
      </w:pPr>
      <w:r w:rsidRPr="006533C8">
        <w:rPr>
          <w:rFonts w:cs="Arial"/>
          <w:b/>
          <w:bCs/>
          <w:u w:val="single"/>
        </w:rPr>
        <w:lastRenderedPageBreak/>
        <w:t>Similarities and Differences: STP Summary</w:t>
      </w:r>
    </w:p>
    <w:p w14:paraId="6D2FFE2C" w14:textId="58D7A521" w:rsidR="006533C8" w:rsidRPr="006533C8" w:rsidRDefault="006533C8" w:rsidP="006533C8">
      <w:pPr>
        <w:spacing w:before="240"/>
        <w:rPr>
          <w:b/>
          <w:bCs/>
        </w:rPr>
      </w:pPr>
      <w:bookmarkStart w:id="12" w:name="_Toc234341399"/>
      <w:r w:rsidRPr="006533C8">
        <w:rPr>
          <w:b/>
          <w:bCs/>
        </w:rPr>
        <w:t>Similarities:</w:t>
      </w:r>
      <w:r>
        <w:rPr>
          <w:b/>
          <w:bCs/>
        </w:rPr>
        <w:t xml:space="preserve"> </w:t>
      </w:r>
      <w:r>
        <w:t>They both aim at value conscious and convenience-oriented consumers with a view to positioning Pizza Hut as a low-priced family pizza brand through demographic, psychographic and behavioural segmentation.</w:t>
      </w:r>
    </w:p>
    <w:p w14:paraId="1CA94CB7" w14:textId="229CA40A" w:rsidR="006311AF" w:rsidRPr="006533C8" w:rsidRDefault="006533C8" w:rsidP="006533C8">
      <w:pPr>
        <w:spacing w:before="240"/>
        <w:rPr>
          <w:b/>
          <w:bCs/>
        </w:rPr>
      </w:pPr>
      <w:r w:rsidRPr="006533C8">
        <w:rPr>
          <w:b/>
          <w:bCs/>
        </w:rPr>
        <w:t>Differences:</w:t>
      </w:r>
      <w:r>
        <w:rPr>
          <w:b/>
          <w:bCs/>
        </w:rPr>
        <w:t xml:space="preserve"> </w:t>
      </w:r>
      <w:r>
        <w:t>Differentiated targeting with a larger and more diversified consumer base is used throughout the USA for dine-in, delivery, and carryout. Australia has a smaller and more homogenous market, and narrower targeting, as it focuses on suburban delivery users.</w:t>
      </w:r>
    </w:p>
    <w:p w14:paraId="12ED0EA6" w14:textId="77777777" w:rsidR="006533C8" w:rsidRDefault="006533C8">
      <w:pPr>
        <w:spacing w:line="240" w:lineRule="auto"/>
        <w:jc w:val="left"/>
        <w:rPr>
          <w:rFonts w:cs="Arial"/>
          <w:b/>
          <w:bCs/>
          <w:color w:val="000000" w:themeColor="text1"/>
          <w:sz w:val="28"/>
          <w:szCs w:val="26"/>
        </w:rPr>
      </w:pPr>
      <w:bookmarkStart w:id="13" w:name="_Toc236940839"/>
      <w:r>
        <w:br w:type="page"/>
      </w:r>
    </w:p>
    <w:p w14:paraId="00000019" w14:textId="56AF0203" w:rsidR="000B6853" w:rsidRPr="004C0FAB" w:rsidRDefault="009401AF" w:rsidP="004C0FAB">
      <w:pPr>
        <w:pStyle w:val="Heading2"/>
      </w:pPr>
      <w:r w:rsidRPr="004C0FAB">
        <w:lastRenderedPageBreak/>
        <w:t>4.2 Marketing Mix (7Ps): Comparative Analysis</w:t>
      </w:r>
      <w:bookmarkEnd w:id="12"/>
      <w:bookmarkEnd w:id="13"/>
    </w:p>
    <w:p w14:paraId="68783506" w14:textId="7FFD8FCB" w:rsidR="00236186" w:rsidRPr="00F30D0E" w:rsidRDefault="00236186" w:rsidP="00236186">
      <w:pPr>
        <w:spacing w:after="240"/>
        <w:rPr>
          <w:rFonts w:cs="Arial"/>
        </w:rPr>
      </w:pPr>
      <w:r w:rsidRPr="00F30D0E">
        <w:rPr>
          <w:rFonts w:cs="Arial"/>
        </w:rPr>
        <w:t>The 7Ps is an extension of the 4Ps, with the inclusion of the 'people', the 'process' and the 'physical evidence'</w:t>
      </w:r>
      <w:r w:rsidR="00F30D0E" w:rsidRPr="00F30D0E">
        <w:rPr>
          <w:rFonts w:cs="Arial"/>
        </w:rPr>
        <w:t xml:space="preserve"> </w:t>
      </w:r>
      <w:r w:rsidRPr="00F30D0E">
        <w:rPr>
          <w:rFonts w:cs="Arial"/>
        </w:rPr>
        <w:t xml:space="preserve">(Kotler and Keller, 2016). </w:t>
      </w:r>
    </w:p>
    <w:p w14:paraId="38F35600" w14:textId="2F5531B3" w:rsidR="00FF74B2" w:rsidRPr="00F30D0E" w:rsidRDefault="00CD6E10" w:rsidP="00CD6E10">
      <w:pPr>
        <w:spacing w:after="240"/>
        <w:jc w:val="center"/>
        <w:rPr>
          <w:rFonts w:cs="Arial"/>
        </w:rPr>
      </w:pPr>
      <w:r w:rsidRPr="00F30D0E">
        <w:rPr>
          <w:rFonts w:cs="Arial"/>
          <w:noProof/>
        </w:rPr>
        <w:drawing>
          <wp:inline distT="0" distB="0" distL="0" distR="0" wp14:anchorId="4DB96360" wp14:editId="2411AE70">
            <wp:extent cx="2914459" cy="2791011"/>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20021" cy="2796337"/>
                    </a:xfrm>
                    <a:prstGeom prst="rect">
                      <a:avLst/>
                    </a:prstGeom>
                  </pic:spPr>
                </pic:pic>
              </a:graphicData>
            </a:graphic>
          </wp:inline>
        </w:drawing>
      </w:r>
    </w:p>
    <w:p w14:paraId="72606662" w14:textId="3536909C" w:rsidR="00CD6E10" w:rsidRPr="00F30D0E" w:rsidRDefault="00CD6E10" w:rsidP="00CD6E10">
      <w:pPr>
        <w:spacing w:after="240"/>
        <w:jc w:val="center"/>
        <w:rPr>
          <w:rFonts w:cs="Arial"/>
          <w:i/>
          <w:iCs/>
          <w:sz w:val="22"/>
          <w:szCs w:val="22"/>
        </w:rPr>
      </w:pPr>
      <w:r w:rsidRPr="00F30D0E">
        <w:rPr>
          <w:rFonts w:cs="Arial"/>
          <w:i/>
          <w:iCs/>
          <w:sz w:val="22"/>
          <w:szCs w:val="22"/>
        </w:rPr>
        <w:t>Figure: Marketing Mix (7Ps): Source: (Human Owl, 2021)</w:t>
      </w:r>
    </w:p>
    <w:p w14:paraId="66970C8E" w14:textId="77777777" w:rsidR="00236186" w:rsidRPr="00F30D0E" w:rsidRDefault="00236186" w:rsidP="00236186">
      <w:pPr>
        <w:spacing w:after="240"/>
        <w:rPr>
          <w:rFonts w:cs="Arial"/>
          <w:b/>
        </w:rPr>
      </w:pPr>
      <w:r w:rsidRPr="00F30D0E">
        <w:rPr>
          <w:rFonts w:cs="Arial"/>
          <w:b/>
        </w:rPr>
        <w:t>Product</w:t>
      </w:r>
    </w:p>
    <w:p w14:paraId="4BC99A92" w14:textId="22E16BA1" w:rsidR="00236186" w:rsidRPr="00F30D0E" w:rsidRDefault="00236186" w:rsidP="00236186">
      <w:pPr>
        <w:spacing w:after="240"/>
        <w:rPr>
          <w:rFonts w:cs="Arial"/>
        </w:rPr>
      </w:pPr>
      <w:r w:rsidRPr="00F30D0E">
        <w:rPr>
          <w:rFonts w:cs="Arial"/>
        </w:rPr>
        <w:t>All pizzas, sides, desserts and beverages are available in both markets. The menu is much wider in the USA and includes “speciality” pizzas, “stuffed crust” pizzas and seasonal “limited edition” pizzas (Pizza Hut USA, 2024). The menu is simplified in Australia, but also features local variations such as Australian meat toppings and BBQ inspired flavours. Both markets have provided plant-based alternatives, as well as calorie-lableled menus, due to health trends. A major similarity is the main menu. A key difference is depth of product range</w:t>
      </w:r>
      <w:r w:rsidR="00F30D0E" w:rsidRPr="00F30D0E">
        <w:rPr>
          <w:rFonts w:cs="Arial"/>
        </w:rPr>
        <w:t xml:space="preserve">, </w:t>
      </w:r>
      <w:r w:rsidRPr="00F30D0E">
        <w:rPr>
          <w:rFonts w:cs="Arial"/>
        </w:rPr>
        <w:t>this is because the US is larger, and more willing and able to invest in it.</w:t>
      </w:r>
    </w:p>
    <w:p w14:paraId="0000001B" w14:textId="0000001C" w:rsidR="000B6853" w:rsidRPr="00F30D0E" w:rsidRDefault="009401AF">
      <w:pPr>
        <w:spacing w:after="240"/>
        <w:rPr>
          <w:rFonts w:cs="Arial"/>
          <w:b/>
          <w:bCs/>
        </w:rPr>
      </w:pPr>
      <w:r w:rsidRPr="00F30D0E">
        <w:rPr>
          <w:rFonts w:cs="Arial"/>
          <w:b/>
          <w:bCs/>
        </w:rPr>
        <w:t>Product Depth</w:t>
      </w:r>
    </w:p>
    <w:p w14:paraId="0000001D" w14:textId="41C86ED8" w:rsidR="000B6853" w:rsidRDefault="00BB1993">
      <w:pPr>
        <w:spacing w:after="240"/>
        <w:rPr>
          <w:rFonts w:cs="Arial"/>
          <w:color w:val="2E74B5" w:themeColor="accent1" w:themeShade="BF"/>
          <w:sz w:val="32"/>
          <w:szCs w:val="32"/>
        </w:rPr>
      </w:pPr>
      <w:r w:rsidRPr="00F30D0E">
        <w:rPr>
          <w:rFonts w:cs="Arial"/>
        </w:rPr>
        <w:t xml:space="preserve">The depth of a product line is the number of different items in it. Pizza Hut has more pizza varieties in the USA, such as Stuffed Crust, Original Pan, Thin N Crispy, Hand Tossed, BBQ Chicken and Bacon, Supreme, speciality and other varieties of pizzas. The variety of foods available is more limited in Australia with Classic Crust, New </w:t>
      </w:r>
      <w:r w:rsidRPr="00F30D0E">
        <w:rPr>
          <w:rFonts w:cs="Arial"/>
        </w:rPr>
        <w:lastRenderedPageBreak/>
        <w:t>Yorker, Cheesy Bites and limited local options like Aussie Barbecue and Beef and Onion.</w:t>
      </w:r>
      <w:r w:rsidR="00AD3B43">
        <w:rPr>
          <w:rFonts w:cs="Arial"/>
        </w:rPr>
        <w:t xml:space="preserve"> </w:t>
      </w:r>
    </w:p>
    <w:p w14:paraId="41513AD2" w14:textId="5B115874" w:rsidR="00866A78" w:rsidRDefault="00866A78" w:rsidP="00B65594">
      <w:pPr>
        <w:jc w:val="center"/>
        <w:rPr>
          <w:rFonts w:cs="Arial"/>
        </w:rPr>
      </w:pPr>
      <w:r>
        <w:rPr>
          <w:noProof/>
        </w:rPr>
        <w:drawing>
          <wp:inline distT="0" distB="0" distL="0" distR="0" wp14:anchorId="089D290C" wp14:editId="015F8084">
            <wp:extent cx="3512744" cy="2468917"/>
            <wp:effectExtent l="0" t="0" r="0" b="7620"/>
            <wp:docPr id="10" name="Picture 10" descr="Calorie Count of Pizza Hut Pizzas | Crispy Pizza, Breaded Chicken Wings,  Chicken Supreme | Pizza hut calorie chart, Dominos calories, Pizza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lorie Count of Pizza Hut Pizzas | Crispy Pizza, Breaded Chicken Wings,  Chicken Supreme | Pizza hut calorie chart, Dominos calories, Pizza you"/>
                    <pic:cNvPicPr>
                      <a:picLocks noChangeAspect="1" noChangeArrowheads="1"/>
                    </pic:cNvPicPr>
                  </pic:nvPicPr>
                  <pic:blipFill rotWithShape="1">
                    <a:blip r:embed="rId14">
                      <a:extLst>
                        <a:ext uri="{28A0092B-C50C-407E-A947-70E740481C1C}">
                          <a14:useLocalDpi xmlns:a14="http://schemas.microsoft.com/office/drawing/2010/main" val="0"/>
                        </a:ext>
                      </a:extLst>
                    </a:blip>
                    <a:srcRect b="18237"/>
                    <a:stretch/>
                  </pic:blipFill>
                  <pic:spPr bwMode="auto">
                    <a:xfrm>
                      <a:off x="0" y="0"/>
                      <a:ext cx="3536210" cy="2485410"/>
                    </a:xfrm>
                    <a:prstGeom prst="rect">
                      <a:avLst/>
                    </a:prstGeom>
                    <a:noFill/>
                    <a:ln>
                      <a:noFill/>
                    </a:ln>
                    <a:extLst>
                      <a:ext uri="{53640926-AAD7-44D8-BBD7-CCE9431645EC}">
                        <a14:shadowObscured xmlns:a14="http://schemas.microsoft.com/office/drawing/2010/main"/>
                      </a:ext>
                    </a:extLst>
                  </pic:spPr>
                </pic:pic>
              </a:graphicData>
            </a:graphic>
          </wp:inline>
        </w:drawing>
      </w:r>
    </w:p>
    <w:p w14:paraId="437B4AE8" w14:textId="1912E8A8" w:rsidR="00B65594" w:rsidRPr="00B65594" w:rsidRDefault="00B65594" w:rsidP="00B65594">
      <w:pPr>
        <w:jc w:val="center"/>
        <w:rPr>
          <w:rFonts w:cs="Arial"/>
          <w:i/>
          <w:iCs/>
          <w:sz w:val="20"/>
          <w:szCs w:val="20"/>
        </w:rPr>
      </w:pPr>
      <w:r w:rsidRPr="00B65594">
        <w:rPr>
          <w:rFonts w:cs="Arial"/>
          <w:i/>
          <w:iCs/>
          <w:sz w:val="20"/>
          <w:szCs w:val="20"/>
        </w:rPr>
        <w:t>Figure: Product Variety of Pizza; Source: (Pinterest, 2026)</w:t>
      </w:r>
    </w:p>
    <w:p w14:paraId="0000001F" w14:textId="00000020" w:rsidR="000B6853" w:rsidRPr="00F30D0E" w:rsidRDefault="009401AF">
      <w:pPr>
        <w:spacing w:after="240"/>
        <w:rPr>
          <w:rFonts w:cs="Arial"/>
          <w:b/>
          <w:bCs/>
        </w:rPr>
      </w:pPr>
      <w:r w:rsidRPr="00F30D0E">
        <w:rPr>
          <w:rFonts w:cs="Arial"/>
          <w:b/>
          <w:bCs/>
        </w:rPr>
        <w:t>Product Width (Brand Extension)</w:t>
      </w:r>
    </w:p>
    <w:p w14:paraId="00000021" w14:textId="5446BEB2" w:rsidR="000B6853" w:rsidRPr="00F30D0E" w:rsidRDefault="00BB1993">
      <w:pPr>
        <w:spacing w:after="240"/>
        <w:rPr>
          <w:rFonts w:cs="Arial"/>
          <w:color w:val="FF0000"/>
        </w:rPr>
      </w:pPr>
      <w:r w:rsidRPr="00F30D0E">
        <w:rPr>
          <w:rFonts w:cs="Arial"/>
        </w:rPr>
        <w:t xml:space="preserve">Product width - the number of product lines outside pizza. Pizza Hut has diversified into other areas including </w:t>
      </w:r>
      <w:r w:rsidR="000B7656" w:rsidRPr="00F30D0E">
        <w:rPr>
          <w:rFonts w:cs="Arial"/>
        </w:rPr>
        <w:t>Wing Street</w:t>
      </w:r>
      <w:r w:rsidRPr="00F30D0E">
        <w:rPr>
          <w:rFonts w:cs="Arial"/>
        </w:rPr>
        <w:t xml:space="preserve"> chicken products, pastas and desserts, such as Hershey's Chocolate Chip Cookie and Cinnabon Mini Rolls, in the USA. Australia has less variety of extensions: mostly pizza, sides and drinks.</w:t>
      </w:r>
    </w:p>
    <w:p w14:paraId="1B7A48F0" w14:textId="7365A71A" w:rsidR="00C74347" w:rsidRPr="00F30D0E" w:rsidRDefault="00C74347" w:rsidP="00C74347">
      <w:pPr>
        <w:spacing w:after="240"/>
        <w:jc w:val="center"/>
        <w:rPr>
          <w:rFonts w:cs="Arial"/>
        </w:rPr>
      </w:pPr>
      <w:r w:rsidRPr="00F30D0E">
        <w:rPr>
          <w:rFonts w:cs="Arial"/>
          <w:noProof/>
        </w:rPr>
        <w:drawing>
          <wp:inline distT="0" distB="0" distL="0" distR="0" wp14:anchorId="0D00FAE6" wp14:editId="07C1AB0C">
            <wp:extent cx="4562946" cy="173600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6455" cy="1741142"/>
                    </a:xfrm>
                    <a:prstGeom prst="rect">
                      <a:avLst/>
                    </a:prstGeom>
                  </pic:spPr>
                </pic:pic>
              </a:graphicData>
            </a:graphic>
          </wp:inline>
        </w:drawing>
      </w:r>
    </w:p>
    <w:p w14:paraId="1DC89658" w14:textId="6630BBB2" w:rsidR="00951443" w:rsidRPr="00F30D0E" w:rsidRDefault="00951443" w:rsidP="00951443">
      <w:pPr>
        <w:spacing w:line="240" w:lineRule="auto"/>
        <w:jc w:val="center"/>
        <w:rPr>
          <w:rFonts w:ascii="Times New Roman" w:hAnsi="Times New Roman"/>
          <w:i/>
          <w:iCs/>
          <w:sz w:val="20"/>
          <w:szCs w:val="20"/>
        </w:rPr>
      </w:pPr>
      <w:r w:rsidRPr="00F30D0E">
        <w:rPr>
          <w:rFonts w:cs="Arial"/>
          <w:i/>
          <w:iCs/>
          <w:sz w:val="20"/>
          <w:szCs w:val="20"/>
        </w:rPr>
        <w:t xml:space="preserve">Figure: </w:t>
      </w:r>
      <w:r w:rsidRPr="00F30D0E">
        <w:rPr>
          <w:i/>
          <w:iCs/>
          <w:sz w:val="20"/>
          <w:szCs w:val="20"/>
        </w:rPr>
        <w:t xml:space="preserve">(Pizza Hut, 2022); </w:t>
      </w:r>
      <w:r w:rsidRPr="00F30D0E">
        <w:rPr>
          <w:rFonts w:cs="Arial"/>
          <w:i/>
          <w:iCs/>
          <w:sz w:val="20"/>
          <w:szCs w:val="20"/>
        </w:rPr>
        <w:t xml:space="preserve">Source: Pizza Hut New </w:t>
      </w:r>
      <w:r w:rsidR="000B7656" w:rsidRPr="00F30D0E">
        <w:rPr>
          <w:rFonts w:cs="Arial"/>
          <w:i/>
          <w:iCs/>
          <w:sz w:val="20"/>
          <w:szCs w:val="20"/>
        </w:rPr>
        <w:t>Wing Street</w:t>
      </w:r>
    </w:p>
    <w:p w14:paraId="103BBDF7" w14:textId="77777777" w:rsidR="00236186" w:rsidRPr="00F30D0E" w:rsidRDefault="00236186" w:rsidP="00236186">
      <w:pPr>
        <w:spacing w:after="240"/>
        <w:rPr>
          <w:rFonts w:cs="Arial"/>
          <w:b/>
        </w:rPr>
      </w:pPr>
      <w:r w:rsidRPr="00F30D0E">
        <w:rPr>
          <w:rFonts w:cs="Arial"/>
          <w:b/>
        </w:rPr>
        <w:t>Price</w:t>
      </w:r>
    </w:p>
    <w:p w14:paraId="5EF367EC" w14:textId="42BD70AD" w:rsidR="00236186" w:rsidRPr="00F30D0E" w:rsidRDefault="00236186" w:rsidP="00236186">
      <w:pPr>
        <w:spacing w:after="240"/>
        <w:rPr>
          <w:rFonts w:cs="Arial"/>
        </w:rPr>
      </w:pPr>
      <w:r w:rsidRPr="00F30D0E">
        <w:rPr>
          <w:rFonts w:cs="Arial"/>
        </w:rPr>
        <w:t>Lower price points are possible due to economies of scale. Labor costs and import duties are higher in Australia and there are fewer consumers in the country (IBISWorld, 2023). Promotional offers are a regular occurrence in Australian stores as a way of making them competitive. The two markets have a structural price difference due to economic reasons.</w:t>
      </w:r>
    </w:p>
    <w:p w14:paraId="27EBBFD6" w14:textId="67DAB4A6" w:rsidR="002822AA" w:rsidRPr="00F30D0E" w:rsidRDefault="00592A3C">
      <w:pPr>
        <w:spacing w:after="240"/>
        <w:rPr>
          <w:rFonts w:cs="Arial"/>
        </w:rPr>
      </w:pPr>
      <w:r w:rsidRPr="00F30D0E">
        <w:rPr>
          <w:rFonts w:cs="Arial"/>
        </w:rPr>
        <w:lastRenderedPageBreak/>
        <w:t xml:space="preserve">The macro-economic determinants of the prices in the two markets should be taken into account before analysing pricing strategies. Pizza Hut can keep the prices competitive due to the strong demand for pizzas in the USA, and the competition with Domino's and Papa John's. Operating costs have risen due to inflation in both countries, as inflation in the United States is 3.5% and in Australia is 4% in mid-2026 (Trading Economics, 2026). Australia's operating costs are also higher due to the minimum wage and the cost of imports. </w:t>
      </w:r>
    </w:p>
    <w:p w14:paraId="3931D109" w14:textId="77777777" w:rsidR="00F30D0E" w:rsidRDefault="00576F74" w:rsidP="00F30D0E">
      <w:pPr>
        <w:rPr>
          <w:rFonts w:cs="Arial"/>
          <w:b/>
          <w:bCs/>
          <w:sz w:val="28"/>
          <w:szCs w:val="28"/>
        </w:rPr>
      </w:pPr>
      <w:r w:rsidRPr="00F30D0E">
        <w:rPr>
          <w:rStyle w:val="cursor-pointer"/>
          <w:rFonts w:cs="Arial"/>
        </w:rPr>
        <w:t>Pizza Hut has three primary pricing strategies in both markets: value-based pricing, reflecting the customer-perceived value in the form of meal packages; promotional pricing, based on limited-time and app-exclusive discounts that increase sales; and competitive pricing, which maintains prices against its competitors such as Domino's.</w:t>
      </w:r>
      <w:r w:rsidRPr="00F30D0E">
        <w:rPr>
          <w:rFonts w:cs="Arial"/>
          <w:sz w:val="28"/>
          <w:szCs w:val="28"/>
        </w:rPr>
        <w:t xml:space="preserve"> </w:t>
      </w:r>
      <w:r w:rsidRPr="00F30D0E">
        <w:rPr>
          <w:rStyle w:val="cursor-pointer"/>
          <w:rFonts w:cs="Arial"/>
        </w:rPr>
        <w:t>It also has a premium offset strategy in Australia and bases higher base prices on quality and bundle value.</w:t>
      </w:r>
      <w:r w:rsidRPr="00F30D0E">
        <w:rPr>
          <w:rFonts w:cs="Arial"/>
          <w:sz w:val="28"/>
          <w:szCs w:val="28"/>
        </w:rPr>
        <w:t> </w:t>
      </w:r>
      <w:r w:rsidRPr="00F30D0E">
        <w:rPr>
          <w:rFonts w:cs="Arial"/>
          <w:sz w:val="28"/>
          <w:szCs w:val="28"/>
        </w:rPr>
        <w:t xml:space="preserve"> </w:t>
      </w:r>
    </w:p>
    <w:p w14:paraId="00000023" w14:textId="1A2FDCAE" w:rsidR="000B6853" w:rsidRPr="00F30D0E" w:rsidRDefault="009401AF" w:rsidP="00F30D0E">
      <w:pPr>
        <w:rPr>
          <w:rFonts w:cs="Arial"/>
          <w:b/>
          <w:bCs/>
          <w:sz w:val="28"/>
          <w:szCs w:val="28"/>
        </w:rPr>
      </w:pPr>
      <w:r w:rsidRPr="00F30D0E">
        <w:rPr>
          <w:rFonts w:cs="Arial"/>
          <w:b/>
          <w:bCs/>
        </w:rPr>
        <w:t>Macro-Economic Factors Influencing Price</w:t>
      </w:r>
    </w:p>
    <w:p w14:paraId="3AE6B59B" w14:textId="77777777" w:rsidR="00236186" w:rsidRPr="00F30D0E" w:rsidRDefault="00236186" w:rsidP="00236186">
      <w:pPr>
        <w:spacing w:after="240"/>
        <w:rPr>
          <w:rFonts w:cs="Arial"/>
          <w:b/>
        </w:rPr>
      </w:pPr>
      <w:r w:rsidRPr="00F30D0E">
        <w:rPr>
          <w:rFonts w:cs="Arial"/>
          <w:b/>
        </w:rPr>
        <w:t>Place</w:t>
      </w:r>
    </w:p>
    <w:p w14:paraId="2FC7602A" w14:textId="46F59709" w:rsidR="00B70569" w:rsidRPr="00F30D0E" w:rsidRDefault="00236186" w:rsidP="00236186">
      <w:pPr>
        <w:spacing w:after="240"/>
        <w:rPr>
          <w:rFonts w:cs="Arial"/>
        </w:rPr>
      </w:pPr>
      <w:r w:rsidRPr="00F30D0E">
        <w:rPr>
          <w:rFonts w:cs="Arial"/>
        </w:rPr>
        <w:t>Pizza Hut has thousands of Pizza Hut Delivery, Carryout and Dine-in stores in the USA. There are about 255 suburban outlets throughout Australia. Since the Eagle Boys takeover in 2016, Pizza Hut has greatly increased its presence in Australia. Australia has moved towards a delivery-first business model, and dine-in is rarely seen. Digital ordering is crucial to both markets. The only thing that really matters is the size of the physical network, and the ongoing vitality of the dine-in channel in the USA.</w:t>
      </w:r>
      <w:r w:rsidR="005A602E" w:rsidRPr="00F30D0E">
        <w:rPr>
          <w:rFonts w:cs="Arial"/>
        </w:rPr>
        <w:t xml:space="preserve"> </w:t>
      </w:r>
    </w:p>
    <w:p w14:paraId="56B01C59" w14:textId="48A559E8" w:rsidR="00975ADA" w:rsidRPr="00F30D0E" w:rsidRDefault="00576F74" w:rsidP="00236186">
      <w:pPr>
        <w:spacing w:after="240"/>
        <w:rPr>
          <w:rFonts w:cs="Arial"/>
        </w:rPr>
      </w:pPr>
      <w:r w:rsidRPr="00F30D0E">
        <w:rPr>
          <w:rFonts w:cs="Arial"/>
        </w:rPr>
        <w:t xml:space="preserve">Distribution channels used were: company stores, franchised stores, third party delivery services (Uber Eats, DoorDash, and </w:t>
      </w:r>
      <w:proofErr w:type="spellStart"/>
      <w:r w:rsidRPr="00F30D0E">
        <w:rPr>
          <w:rFonts w:cs="Arial"/>
        </w:rPr>
        <w:t>Menulog</w:t>
      </w:r>
      <w:proofErr w:type="spellEnd"/>
      <w:r w:rsidRPr="00F30D0E">
        <w:rPr>
          <w:rFonts w:cs="Arial"/>
        </w:rPr>
        <w:t xml:space="preserve"> in Australia), company website, and Pizza Hut mobile app. A direct carryout model is also popular in the USA.</w:t>
      </w:r>
    </w:p>
    <w:p w14:paraId="51A0391A" w14:textId="10A34B78" w:rsidR="00B70569" w:rsidRPr="005965B0" w:rsidRDefault="00B70569" w:rsidP="006533C8">
      <w:pPr>
        <w:rPr>
          <w:rFonts w:cs="Arial"/>
          <w:lang w:val="it-IT"/>
        </w:rPr>
      </w:pPr>
      <w:r w:rsidRPr="00F30D0E">
        <w:rPr>
          <w:noProof/>
        </w:rPr>
        <w:drawing>
          <wp:inline distT="0" distB="0" distL="0" distR="0" wp14:anchorId="7F58C059" wp14:editId="7AA26BB4">
            <wp:extent cx="2802443" cy="1575093"/>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21872" cy="1586013"/>
                    </a:xfrm>
                    <a:prstGeom prst="rect">
                      <a:avLst/>
                    </a:prstGeom>
                    <a:noFill/>
                    <a:ln>
                      <a:noFill/>
                    </a:ln>
                  </pic:spPr>
                </pic:pic>
              </a:graphicData>
            </a:graphic>
          </wp:inline>
        </w:drawing>
      </w:r>
      <w:r w:rsidR="00407879" w:rsidRPr="005965B0">
        <w:rPr>
          <w:rFonts w:cs="Arial"/>
          <w:lang w:val="it-IT"/>
        </w:rPr>
        <w:t xml:space="preserve"> </w:t>
      </w:r>
      <w:r w:rsidR="00407879" w:rsidRPr="00F30D0E">
        <w:rPr>
          <w:rFonts w:cs="Arial"/>
          <w:noProof/>
        </w:rPr>
        <w:drawing>
          <wp:inline distT="0" distB="0" distL="0" distR="0" wp14:anchorId="6392E42D" wp14:editId="3EFE2436">
            <wp:extent cx="2862775" cy="158362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2679" cy="1605702"/>
                    </a:xfrm>
                    <a:prstGeom prst="rect">
                      <a:avLst/>
                    </a:prstGeom>
                  </pic:spPr>
                </pic:pic>
              </a:graphicData>
            </a:graphic>
          </wp:inline>
        </w:drawing>
      </w:r>
    </w:p>
    <w:p w14:paraId="1E0A2077" w14:textId="4DCBCBB6" w:rsidR="00B70569" w:rsidRPr="005965B0" w:rsidRDefault="00407879" w:rsidP="006533C8">
      <w:pPr>
        <w:rPr>
          <w:rFonts w:cs="Arial"/>
          <w:lang w:val="it-IT"/>
        </w:rPr>
      </w:pPr>
      <w:r w:rsidRPr="005965B0">
        <w:rPr>
          <w:rFonts w:cs="Arial"/>
          <w:lang w:val="it-IT"/>
        </w:rPr>
        <w:lastRenderedPageBreak/>
        <w:t xml:space="preserve">       Figure: Pizza Hut in USA</w:t>
      </w:r>
      <w:r w:rsidRPr="005965B0">
        <w:rPr>
          <w:rFonts w:cs="Arial"/>
          <w:lang w:val="it-IT"/>
        </w:rPr>
        <w:tab/>
      </w:r>
      <w:r w:rsidRPr="005965B0">
        <w:rPr>
          <w:rFonts w:cs="Arial"/>
          <w:lang w:val="it-IT"/>
        </w:rPr>
        <w:tab/>
      </w:r>
      <w:r w:rsidRPr="005965B0">
        <w:rPr>
          <w:rFonts w:cs="Arial"/>
          <w:lang w:val="it-IT"/>
        </w:rPr>
        <w:tab/>
      </w:r>
      <w:r w:rsidRPr="005965B0">
        <w:rPr>
          <w:rFonts w:cs="Arial"/>
          <w:lang w:val="it-IT"/>
        </w:rPr>
        <w:tab/>
        <w:t>Figure: Pizza Hut in Australia</w:t>
      </w:r>
    </w:p>
    <w:p w14:paraId="1E52DC43" w14:textId="44E817CD" w:rsidR="00407879" w:rsidRPr="00F30D0E" w:rsidRDefault="00407879" w:rsidP="006533C8">
      <w:pPr>
        <w:rPr>
          <w:rFonts w:cs="Arial"/>
        </w:rPr>
      </w:pPr>
      <w:r w:rsidRPr="005965B0">
        <w:rPr>
          <w:rFonts w:cs="Arial"/>
          <w:lang w:val="it-IT"/>
        </w:rPr>
        <w:t xml:space="preserve">       </w:t>
      </w:r>
      <w:r w:rsidRPr="00F30D0E">
        <w:rPr>
          <w:rFonts w:cs="Arial"/>
        </w:rPr>
        <w:t>Source: (Yum.com, 2026)</w:t>
      </w:r>
      <w:r w:rsidRPr="00F30D0E">
        <w:rPr>
          <w:rFonts w:cs="Arial"/>
        </w:rPr>
        <w:tab/>
      </w:r>
      <w:r w:rsidRPr="00F30D0E">
        <w:rPr>
          <w:rFonts w:cs="Arial"/>
        </w:rPr>
        <w:tab/>
      </w:r>
      <w:r w:rsidRPr="00F30D0E">
        <w:rPr>
          <w:rFonts w:cs="Arial"/>
        </w:rPr>
        <w:tab/>
      </w:r>
      <w:r w:rsidRPr="00F30D0E">
        <w:rPr>
          <w:rFonts w:cs="Arial"/>
        </w:rPr>
        <w:tab/>
        <w:t xml:space="preserve">Source: </w:t>
      </w:r>
      <w:r w:rsidR="00975ADA" w:rsidRPr="00F30D0E">
        <w:rPr>
          <w:rFonts w:cs="Arial"/>
        </w:rPr>
        <w:t>(QSR Media, 2024)</w:t>
      </w:r>
    </w:p>
    <w:p w14:paraId="6F7AC985" w14:textId="77777777" w:rsidR="00236186" w:rsidRPr="00F30D0E" w:rsidRDefault="00236186" w:rsidP="00236186">
      <w:pPr>
        <w:spacing w:after="240"/>
        <w:rPr>
          <w:rFonts w:cs="Arial"/>
          <w:b/>
        </w:rPr>
      </w:pPr>
      <w:r w:rsidRPr="00F30D0E">
        <w:rPr>
          <w:rFonts w:cs="Arial"/>
          <w:b/>
        </w:rPr>
        <w:t>Promotion</w:t>
      </w:r>
    </w:p>
    <w:p w14:paraId="5491D3F9" w14:textId="6ECFEB1B" w:rsidR="00236186" w:rsidRPr="00F30D0E" w:rsidRDefault="00576F74" w:rsidP="00236186">
      <w:pPr>
        <w:spacing w:after="240"/>
        <w:rPr>
          <w:rFonts w:cs="Arial"/>
        </w:rPr>
      </w:pPr>
      <w:r w:rsidRPr="00F30D0E">
        <w:rPr>
          <w:rFonts w:cs="Arial"/>
          <w:bCs/>
          <w:color w:val="000000" w:themeColor="text1"/>
        </w:rPr>
        <w:t>Integrated Marketing Communications (IMC) can be defined as the coordination and integration of all marketing communication tools, channels and sources of information into one unified programme to maximize the impact on consumers, or other end-users (Kotler and Armstrong, 2021).</w:t>
      </w:r>
      <w:r w:rsidRPr="00F30D0E">
        <w:rPr>
          <w:rFonts w:cs="Arial"/>
          <w:b/>
          <w:color w:val="000000" w:themeColor="text1"/>
        </w:rPr>
        <w:t xml:space="preserve"> </w:t>
      </w:r>
      <w:r w:rsidR="00236186" w:rsidRPr="00F30D0E">
        <w:rPr>
          <w:rFonts w:cs="Arial"/>
          <w:color w:val="000000" w:themeColor="text1"/>
        </w:rPr>
        <w:t xml:space="preserve">Digital ads and social media and app ads are both areas of investment for both markets. Promotions in the USA are closely related to big sporting events such as the </w:t>
      </w:r>
      <w:r w:rsidR="00236186" w:rsidRPr="00F30D0E">
        <w:rPr>
          <w:rFonts w:cs="Arial"/>
        </w:rPr>
        <w:t>NFL and Super Bowl (Kotler and Armstrong, 2021). In Australia, the emphasis of promotions is on family meal offers and seasonal promotions. The U.S. digital marketing spend is much higher. In both markets there is a loyalty program. One cultural likeness is that both nations are extremely individualistic, and in both cases personalised promotions have proven to be effective. The main difference is in the amount and level of investment in marketing.</w:t>
      </w:r>
      <w:r w:rsidR="005A602E" w:rsidRPr="00F30D0E">
        <w:rPr>
          <w:rFonts w:cs="Arial"/>
        </w:rPr>
        <w:t xml:space="preserve"> </w:t>
      </w:r>
    </w:p>
    <w:p w14:paraId="00000027" w14:textId="00000028" w:rsidR="000B6853" w:rsidRPr="00F30D0E" w:rsidRDefault="009401AF">
      <w:pPr>
        <w:spacing w:after="240"/>
        <w:rPr>
          <w:rFonts w:cs="Arial"/>
          <w:b/>
          <w:bCs/>
        </w:rPr>
      </w:pPr>
      <w:r w:rsidRPr="00F30D0E">
        <w:rPr>
          <w:rFonts w:cs="Arial"/>
          <w:b/>
          <w:bCs/>
        </w:rPr>
        <w:t>Media Channels and Creative Appeals</w:t>
      </w:r>
    </w:p>
    <w:p w14:paraId="00000029" w14:textId="41441147" w:rsidR="000B6853" w:rsidRPr="00F30D0E" w:rsidRDefault="00592A3C">
      <w:pPr>
        <w:spacing w:after="240"/>
        <w:rPr>
          <w:rFonts w:cs="Arial"/>
        </w:rPr>
      </w:pPr>
      <w:r w:rsidRPr="00F30D0E">
        <w:rPr>
          <w:rFonts w:cs="Arial"/>
        </w:rPr>
        <w:t xml:space="preserve">In the USA, Pizza Hut uses television, social media, email marketing and notifications through their loyalty app to market their products. The NFL's sponsorships and social media platforms like Instagram, TikTok, Facebook and YouTube support younger consumers. A more digital approach to promotion is used in Australia, with the main platforms being Facebook and Instagram; and food delivery apps like Uber Eats and </w:t>
      </w:r>
      <w:proofErr w:type="spellStart"/>
      <w:r w:rsidRPr="00F30D0E">
        <w:rPr>
          <w:rFonts w:cs="Arial"/>
        </w:rPr>
        <w:t>Menulog</w:t>
      </w:r>
      <w:proofErr w:type="spellEnd"/>
      <w:r w:rsidRPr="00F30D0E">
        <w:rPr>
          <w:rFonts w:cs="Arial"/>
        </w:rPr>
        <w:t xml:space="preserve"> (Pizza Hut Australia, 2023). Rational appeals of value-for-money and combo deals are paired with emotional appeals focused on family and celebration in both markets. But humour and memories are commonly employed in US campaigns, and the emphasis in Australian advertising is on affordability and convenience.</w:t>
      </w:r>
    </w:p>
    <w:p w14:paraId="797DDD95" w14:textId="77777777" w:rsidR="00236186" w:rsidRPr="00F30D0E" w:rsidRDefault="00236186" w:rsidP="00236186">
      <w:pPr>
        <w:spacing w:after="240"/>
        <w:rPr>
          <w:rFonts w:cs="Arial"/>
          <w:b/>
        </w:rPr>
      </w:pPr>
      <w:r w:rsidRPr="00F30D0E">
        <w:rPr>
          <w:rFonts w:cs="Arial"/>
          <w:b/>
        </w:rPr>
        <w:t>People</w:t>
      </w:r>
    </w:p>
    <w:p w14:paraId="0E877630" w14:textId="77777777" w:rsidR="003411A2" w:rsidRPr="00F30D0E" w:rsidRDefault="00236186" w:rsidP="00BF7859">
      <w:pPr>
        <w:spacing w:after="240"/>
        <w:rPr>
          <w:rFonts w:cs="Arial"/>
        </w:rPr>
      </w:pPr>
      <w:r w:rsidRPr="00F30D0E">
        <w:rPr>
          <w:rFonts w:cs="Arial"/>
        </w:rPr>
        <w:t xml:space="preserve">In both markets Pizza Hut invests in training its employees and providing procedures for its franchise partners. In the USA, standardised training is included in the national franchise system. Since the changes in ownership in 2016 and 2023, workforce management in Australia has been more difficult. Part-time and casual staff members are employed in both markets which brings in the usual problems with quality of service. One of the main differences is that Australia's more rigid employment </w:t>
      </w:r>
      <w:r w:rsidRPr="00F30D0E">
        <w:rPr>
          <w:rFonts w:cs="Arial"/>
        </w:rPr>
        <w:lastRenderedPageBreak/>
        <w:t>legislation imposes greater responsibilities with regard to staff entitlements and working conditions.</w:t>
      </w:r>
      <w:r w:rsidR="005A602E" w:rsidRPr="00F30D0E">
        <w:rPr>
          <w:rFonts w:cs="Arial"/>
        </w:rPr>
        <w:t xml:space="preserve"> </w:t>
      </w:r>
    </w:p>
    <w:p w14:paraId="1432B916" w14:textId="2BCBA8BA" w:rsidR="000B7656" w:rsidRPr="00B65594" w:rsidRDefault="00576F74" w:rsidP="00F30D0E">
      <w:pPr>
        <w:spacing w:after="240"/>
        <w:rPr>
          <w:rFonts w:cs="Arial"/>
        </w:rPr>
      </w:pPr>
      <w:r w:rsidRPr="00F30D0E">
        <w:t>Yum! In 2023, Brands, Pizza Hut's parent company, had around 36,000 employees working all over the world as part of its corporate team. It is estimated that Pizza Hut and franchisees have a total of 150,000 to 180,000 employees across all outlets in the USA. In Australia, the total number of employees is around 5,000 to 7,000 with most workers working part-time and casually (IBISWorld, 2026).</w:t>
      </w:r>
    </w:p>
    <w:p w14:paraId="65F2D3C3" w14:textId="769D8636" w:rsidR="00CC5691" w:rsidRPr="00F30D0E" w:rsidRDefault="00CC5691" w:rsidP="00F30D0E">
      <w:pPr>
        <w:spacing w:after="240"/>
        <w:rPr>
          <w:rFonts w:cs="Arial"/>
        </w:rPr>
      </w:pPr>
      <w:r w:rsidRPr="00F30D0E">
        <w:rPr>
          <w:rFonts w:cs="Arial"/>
          <w:b/>
        </w:rPr>
        <w:t>Process</w:t>
      </w:r>
    </w:p>
    <w:p w14:paraId="2FB2D328" w14:textId="26016CDD" w:rsidR="00236186" w:rsidRPr="00F30D0E" w:rsidRDefault="00236186" w:rsidP="00236186">
      <w:pPr>
        <w:spacing w:after="240"/>
        <w:rPr>
          <w:rFonts w:cs="Arial"/>
          <w:bCs/>
        </w:rPr>
      </w:pPr>
      <w:r w:rsidRPr="00F30D0E">
        <w:rPr>
          <w:rFonts w:cs="Arial"/>
          <w:bCs/>
        </w:rPr>
        <w:t>In both markets, ordering and fulfilment is now largely digital. Pizza Hut's application and website enable customers to customize their orders, follow delivery status and access promotions (Verhoef et al., 2021). In the USA, AI is being leveraged to tailor recommendations and to simplify ordering. In Australia, the process heavily depends on Uber Eats and Menulog causing margin and customer data dependency. Speed is the most important aspect of both markets, as is convenience.</w:t>
      </w:r>
    </w:p>
    <w:p w14:paraId="74A93EF2" w14:textId="773BCDE2" w:rsidR="003411A2" w:rsidRPr="00F30D0E" w:rsidRDefault="00576F74" w:rsidP="00236186">
      <w:pPr>
        <w:spacing w:after="240"/>
        <w:rPr>
          <w:rFonts w:cs="Arial"/>
          <w:bCs/>
          <w:color w:val="FF0000"/>
        </w:rPr>
      </w:pPr>
      <w:r w:rsidRPr="00F30D0E">
        <w:t>People in the USA are able to report a complaint through the customer service hotline, online, the mobile application, or social media. If you are in Australia, you can report any problems on the Pizza Hut website, in the Pizza Hut Rewards app, or via any delivery services such as Uber Eats.</w:t>
      </w:r>
    </w:p>
    <w:p w14:paraId="7A5B6DE9" w14:textId="77777777" w:rsidR="00236186" w:rsidRPr="00F30D0E" w:rsidRDefault="00236186" w:rsidP="00236186">
      <w:pPr>
        <w:spacing w:after="240"/>
        <w:rPr>
          <w:rFonts w:cs="Arial"/>
          <w:b/>
          <w:bCs/>
        </w:rPr>
      </w:pPr>
      <w:r w:rsidRPr="00F30D0E">
        <w:rPr>
          <w:rFonts w:cs="Arial"/>
          <w:b/>
          <w:bCs/>
        </w:rPr>
        <w:t>Physical Evidence</w:t>
      </w:r>
    </w:p>
    <w:p w14:paraId="1076E6D3" w14:textId="1B0104E4" w:rsidR="00915813" w:rsidRDefault="00236186" w:rsidP="00915813">
      <w:pPr>
        <w:spacing w:after="240"/>
        <w:rPr>
          <w:rFonts w:cs="Arial"/>
          <w:b/>
          <w:color w:val="0070C0"/>
        </w:rPr>
      </w:pPr>
      <w:r w:rsidRPr="00F30D0E">
        <w:rPr>
          <w:rFonts w:cs="Arial"/>
          <w:bCs/>
        </w:rPr>
        <w:t>Physical evidence includes physical signals that convey quality of the brand (Kotler and Keller, 2016). In the USA, this feature has been rebranded with the iconic red roof design, in-store branding and packaging, backed by the 2019 logo reintroduction (Pizza Hut USA, 2024). With a delivery-first approach, in-store physical evidence has decreased in importance in Australia. Primary touch points are branded packaging, delivery boxes and driver uniforms. The global brand colours and typography are consistent across both markets.</w:t>
      </w:r>
    </w:p>
    <w:p w14:paraId="11255A66" w14:textId="6BFC45B6" w:rsidR="00747F9A" w:rsidRPr="0069415C" w:rsidRDefault="00747F9A" w:rsidP="0069415C">
      <w:pPr>
        <w:jc w:val="center"/>
        <w:rPr>
          <w:rFonts w:cs="Arial"/>
          <w:bCs/>
          <w:i/>
          <w:iCs/>
          <w:sz w:val="20"/>
          <w:szCs w:val="20"/>
        </w:rPr>
      </w:pPr>
      <w:r w:rsidRPr="0069415C">
        <w:rPr>
          <w:rFonts w:cs="Arial"/>
          <w:bCs/>
          <w:i/>
          <w:iCs/>
          <w:noProof/>
          <w:sz w:val="20"/>
          <w:szCs w:val="20"/>
        </w:rPr>
        <w:lastRenderedPageBreak/>
        <w:drawing>
          <wp:inline distT="0" distB="0" distL="0" distR="0" wp14:anchorId="671098FF" wp14:editId="787F6D1B">
            <wp:extent cx="2927929" cy="1560631"/>
            <wp:effectExtent l="0" t="0" r="635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56069" cy="1575630"/>
                    </a:xfrm>
                    <a:prstGeom prst="rect">
                      <a:avLst/>
                    </a:prstGeom>
                  </pic:spPr>
                </pic:pic>
              </a:graphicData>
            </a:graphic>
          </wp:inline>
        </w:drawing>
      </w:r>
      <w:r w:rsidR="0069415C" w:rsidRPr="0069415C">
        <w:rPr>
          <w:rFonts w:cs="Arial"/>
          <w:bCs/>
          <w:i/>
          <w:iCs/>
          <w:noProof/>
          <w:sz w:val="20"/>
          <w:szCs w:val="20"/>
        </w:rPr>
        <w:drawing>
          <wp:inline distT="0" distB="0" distL="0" distR="0" wp14:anchorId="19F0FC34" wp14:editId="5EF197ED">
            <wp:extent cx="2586355" cy="1546849"/>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04873" cy="1557924"/>
                    </a:xfrm>
                    <a:prstGeom prst="rect">
                      <a:avLst/>
                    </a:prstGeom>
                  </pic:spPr>
                </pic:pic>
              </a:graphicData>
            </a:graphic>
          </wp:inline>
        </w:drawing>
      </w:r>
    </w:p>
    <w:p w14:paraId="7988A7B9" w14:textId="11AE401A" w:rsidR="0069415C" w:rsidRPr="0069415C" w:rsidRDefault="0069415C" w:rsidP="0069415C">
      <w:pPr>
        <w:jc w:val="center"/>
        <w:rPr>
          <w:rFonts w:cs="Arial"/>
          <w:bCs/>
          <w:i/>
          <w:iCs/>
          <w:sz w:val="20"/>
          <w:szCs w:val="20"/>
        </w:rPr>
      </w:pPr>
      <w:r w:rsidRPr="0069415C">
        <w:rPr>
          <w:rFonts w:cs="Arial"/>
          <w:bCs/>
          <w:i/>
          <w:iCs/>
          <w:sz w:val="20"/>
          <w:szCs w:val="20"/>
        </w:rPr>
        <w:t xml:space="preserve">Figure: Pizza Hut Australia Website </w:t>
      </w:r>
      <w:r w:rsidRPr="0069415C">
        <w:rPr>
          <w:rFonts w:cs="Arial"/>
          <w:bCs/>
          <w:i/>
          <w:iCs/>
          <w:sz w:val="20"/>
          <w:szCs w:val="20"/>
        </w:rPr>
        <w:tab/>
      </w:r>
      <w:r w:rsidRPr="0069415C">
        <w:rPr>
          <w:rFonts w:cs="Arial"/>
          <w:bCs/>
          <w:i/>
          <w:iCs/>
          <w:sz w:val="20"/>
          <w:szCs w:val="20"/>
        </w:rPr>
        <w:tab/>
        <w:t>Figure: Pizza Hut USA Website</w:t>
      </w:r>
    </w:p>
    <w:p w14:paraId="6A91CEB6" w14:textId="02748939" w:rsidR="00747F9A" w:rsidRPr="0069415C" w:rsidRDefault="0069415C" w:rsidP="0069415C">
      <w:pPr>
        <w:jc w:val="center"/>
        <w:rPr>
          <w:rFonts w:cs="Arial"/>
          <w:bCs/>
          <w:i/>
          <w:iCs/>
          <w:sz w:val="20"/>
          <w:szCs w:val="20"/>
        </w:rPr>
      </w:pPr>
      <w:r w:rsidRPr="0069415C">
        <w:rPr>
          <w:rFonts w:cs="Arial"/>
          <w:bCs/>
          <w:i/>
          <w:iCs/>
          <w:sz w:val="20"/>
          <w:szCs w:val="20"/>
        </w:rPr>
        <w:t xml:space="preserve">Source: </w:t>
      </w:r>
      <w:r w:rsidR="00747F9A" w:rsidRPr="0069415C">
        <w:rPr>
          <w:rFonts w:cs="Arial"/>
          <w:bCs/>
          <w:i/>
          <w:iCs/>
          <w:sz w:val="20"/>
          <w:szCs w:val="20"/>
        </w:rPr>
        <w:t>(Pizzahut.com.au, 2026)</w:t>
      </w:r>
      <w:r w:rsidR="00747F9A" w:rsidRPr="0069415C">
        <w:rPr>
          <w:rFonts w:cs="Arial"/>
          <w:bCs/>
          <w:i/>
          <w:iCs/>
          <w:sz w:val="20"/>
          <w:szCs w:val="20"/>
        </w:rPr>
        <w:tab/>
      </w:r>
      <w:r w:rsidR="00747F9A" w:rsidRPr="0069415C">
        <w:rPr>
          <w:rFonts w:cs="Arial"/>
          <w:bCs/>
          <w:i/>
          <w:iCs/>
          <w:sz w:val="20"/>
          <w:szCs w:val="20"/>
        </w:rPr>
        <w:tab/>
      </w:r>
      <w:r w:rsidRPr="0069415C">
        <w:rPr>
          <w:rFonts w:cs="Arial"/>
          <w:bCs/>
          <w:i/>
          <w:iCs/>
          <w:sz w:val="20"/>
          <w:szCs w:val="20"/>
        </w:rPr>
        <w:t xml:space="preserve">Source: </w:t>
      </w:r>
      <w:r w:rsidR="00747F9A" w:rsidRPr="0069415C">
        <w:rPr>
          <w:rFonts w:cs="Arial"/>
          <w:bCs/>
          <w:i/>
          <w:iCs/>
          <w:sz w:val="20"/>
          <w:szCs w:val="20"/>
        </w:rPr>
        <w:t>(Pizzahut.co.in, 2026)</w:t>
      </w:r>
    </w:p>
    <w:p w14:paraId="65C8113F" w14:textId="691973A8" w:rsidR="00E950CC" w:rsidRPr="00F30D0E" w:rsidRDefault="00E950CC" w:rsidP="0069415C">
      <w:pPr>
        <w:jc w:val="center"/>
        <w:rPr>
          <w:rFonts w:cs="Arial"/>
          <w:bCs/>
          <w:color w:val="FF0000"/>
        </w:rPr>
      </w:pPr>
      <w:r w:rsidRPr="00F30D0E">
        <w:rPr>
          <w:noProof/>
        </w:rPr>
        <w:drawing>
          <wp:inline distT="0" distB="0" distL="0" distR="0" wp14:anchorId="452F3271" wp14:editId="4EC02226">
            <wp:extent cx="2578873" cy="1445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88633" cy="1451367"/>
                    </a:xfrm>
                    <a:prstGeom prst="rect">
                      <a:avLst/>
                    </a:prstGeom>
                    <a:noFill/>
                    <a:ln>
                      <a:noFill/>
                    </a:ln>
                  </pic:spPr>
                </pic:pic>
              </a:graphicData>
            </a:graphic>
          </wp:inline>
        </w:drawing>
      </w:r>
    </w:p>
    <w:p w14:paraId="0070D98C" w14:textId="0CF18381" w:rsidR="00BD04C6" w:rsidRPr="00F30D0E" w:rsidRDefault="00E950CC" w:rsidP="0069415C">
      <w:pPr>
        <w:jc w:val="center"/>
        <w:rPr>
          <w:rFonts w:cs="Arial"/>
          <w:i/>
          <w:iCs/>
          <w:sz w:val="20"/>
          <w:szCs w:val="20"/>
        </w:rPr>
      </w:pPr>
      <w:r w:rsidRPr="00F30D0E">
        <w:rPr>
          <w:rFonts w:cs="Arial"/>
          <w:i/>
          <w:iCs/>
          <w:sz w:val="20"/>
          <w:szCs w:val="20"/>
        </w:rPr>
        <w:t>Figure: Pizza Hut box that can be converted into a table; Source: (Packaging Gateway, 2024)</w:t>
      </w:r>
    </w:p>
    <w:p w14:paraId="0000002B" w14:textId="0C56FE92" w:rsidR="000B6853" w:rsidRPr="006533C8" w:rsidRDefault="009401AF" w:rsidP="0069415C">
      <w:pPr>
        <w:spacing w:before="240" w:after="240"/>
        <w:rPr>
          <w:rFonts w:cs="Arial"/>
          <w:b/>
          <w:bCs/>
          <w:u w:val="single"/>
        </w:rPr>
      </w:pPr>
      <w:r w:rsidRPr="006533C8">
        <w:rPr>
          <w:rFonts w:cs="Arial"/>
          <w:b/>
          <w:bCs/>
          <w:u w:val="single"/>
        </w:rPr>
        <w:t>Similarities and Differences: 7Ps Summary</w:t>
      </w:r>
    </w:p>
    <w:p w14:paraId="493C07F0" w14:textId="4E6BA9BF" w:rsidR="00B82700" w:rsidRPr="00B82700" w:rsidRDefault="00B82700" w:rsidP="00B82700">
      <w:pPr>
        <w:spacing w:before="240"/>
        <w:rPr>
          <w:b/>
          <w:bCs/>
        </w:rPr>
      </w:pPr>
      <w:r w:rsidRPr="00B82700">
        <w:rPr>
          <w:b/>
          <w:bCs/>
        </w:rPr>
        <w:t>Similarities:</w:t>
      </w:r>
      <w:r>
        <w:rPr>
          <w:b/>
          <w:bCs/>
        </w:rPr>
        <w:t xml:space="preserve"> </w:t>
      </w:r>
      <w:r w:rsidRPr="00B82700">
        <w:t>They have similar product ranges, value-based pricing, online ordering, loyalty schemes, part-time working and brand uniformity across the world.</w:t>
      </w:r>
    </w:p>
    <w:p w14:paraId="355BBA22" w14:textId="4729C014" w:rsidR="005122D7" w:rsidRPr="00B82700" w:rsidRDefault="00B82700" w:rsidP="00B82700">
      <w:pPr>
        <w:spacing w:before="240"/>
        <w:rPr>
          <w:b/>
          <w:bCs/>
        </w:rPr>
      </w:pPr>
      <w:r w:rsidRPr="00B82700">
        <w:rPr>
          <w:b/>
          <w:bCs/>
        </w:rPr>
        <w:t>Differences:</w:t>
      </w:r>
      <w:r>
        <w:rPr>
          <w:b/>
          <w:bCs/>
        </w:rPr>
        <w:t xml:space="preserve"> </w:t>
      </w:r>
      <w:r w:rsidRPr="00B82700">
        <w:t>The USA own more products, charge lower prices, have more stores with dine in, spend more on promotions and has more proprietary technology. Australia is delivery first, has higher prices, a smaller choice, price transparency, and relies on third party aggregators.</w:t>
      </w:r>
      <w:r w:rsidR="005122D7" w:rsidRPr="00F30D0E">
        <w:br w:type="page"/>
      </w:r>
    </w:p>
    <w:p w14:paraId="797F5103" w14:textId="4D2F945E" w:rsidR="00246A0A" w:rsidRPr="00F30D0E" w:rsidRDefault="00246A0A" w:rsidP="004C0FAB">
      <w:pPr>
        <w:pStyle w:val="Heading1"/>
      </w:pPr>
      <w:bookmarkStart w:id="14" w:name="_Toc236940840"/>
      <w:r w:rsidRPr="00F30D0E">
        <w:lastRenderedPageBreak/>
        <w:t>5. Market Entry Strategy in Australia</w:t>
      </w:r>
      <w:bookmarkEnd w:id="14"/>
    </w:p>
    <w:p w14:paraId="2453D115" w14:textId="77777777" w:rsidR="00CC5691" w:rsidRPr="00F30D0E" w:rsidRDefault="00043221" w:rsidP="00CC5691">
      <w:pPr>
        <w:rPr>
          <w:rFonts w:cs="Arial"/>
        </w:rPr>
      </w:pPr>
      <w:r w:rsidRPr="00F30D0E">
        <w:rPr>
          <w:rFonts w:cs="Arial"/>
        </w:rPr>
        <w:t>Bolles (2018) states that Pizza Hut's Australian expansion was in April 1970, in the form of a Pizza Hut franchise. Franchising is an option for market entry that involves giving the rights to an independent operator to market the parent company's brand, systems and products for fees and royalties (Alon, 2006). This enabled Pizza Hut to roll out quickly and without the equivalent of owning outlets in Australia. The brand was managed through a master franchise agreement with Yum. The master franchise rights were held by brands until 2016 when the firm Allegro Funds, a private equity group, took ownership. The business was sold to US based Flynn Restaurant Group in 2023.</w:t>
      </w:r>
    </w:p>
    <w:p w14:paraId="3E88E92C" w14:textId="77777777" w:rsidR="00043221" w:rsidRPr="00F30D0E" w:rsidRDefault="00043221" w:rsidP="00CC5691">
      <w:pPr>
        <w:spacing w:before="240" w:after="240"/>
        <w:rPr>
          <w:rFonts w:cs="Arial"/>
          <w:b/>
        </w:rPr>
      </w:pPr>
      <w:r w:rsidRPr="00F30D0E">
        <w:rPr>
          <w:rFonts w:cs="Arial"/>
          <w:b/>
        </w:rPr>
        <w:t>Advantages of Franchising</w:t>
      </w:r>
    </w:p>
    <w:p w14:paraId="25660EF5" w14:textId="77777777" w:rsidR="00043221" w:rsidRPr="00F30D0E" w:rsidRDefault="00043221" w:rsidP="00CC5691">
      <w:pPr>
        <w:spacing w:before="240" w:after="240"/>
        <w:rPr>
          <w:rFonts w:cs="Arial"/>
        </w:rPr>
      </w:pPr>
      <w:r w:rsidRPr="00F30D0E">
        <w:rPr>
          <w:rFonts w:cs="Arial"/>
        </w:rPr>
        <w:t>The advantages of franchising to the parent firm are that it lowers the financial risks involved in the investment into the operation of the business to the local franchise partner (Alon, 2006). It helps in quick expansion of the market with minimal investment. Franchisees have knowledge about local market, which makes their cultural adaptation better. It also offers a stable profit source, via charges and royalties (Kotler and Armstrong, 2021).</w:t>
      </w:r>
    </w:p>
    <w:p w14:paraId="57589BE7" w14:textId="77777777" w:rsidR="00043221" w:rsidRPr="00F30D0E" w:rsidRDefault="00043221" w:rsidP="00CC5691">
      <w:pPr>
        <w:spacing w:before="240" w:after="240"/>
        <w:rPr>
          <w:rFonts w:cs="Arial"/>
          <w:b/>
          <w:bCs/>
        </w:rPr>
      </w:pPr>
      <w:r w:rsidRPr="00F30D0E">
        <w:rPr>
          <w:rFonts w:cs="Arial"/>
          <w:b/>
          <w:bCs/>
        </w:rPr>
        <w:t>Disadvantages of Franchising</w:t>
      </w:r>
    </w:p>
    <w:p w14:paraId="7D61D105" w14:textId="3BEADE14" w:rsidR="00246A0A" w:rsidRPr="00F30D0E" w:rsidRDefault="00043221" w:rsidP="00CC5691">
      <w:pPr>
        <w:spacing w:before="240" w:after="240"/>
        <w:rPr>
          <w:rFonts w:cs="Arial"/>
          <w:bCs/>
        </w:rPr>
      </w:pPr>
      <w:r w:rsidRPr="00F30D0E">
        <w:rPr>
          <w:rFonts w:cs="Arial"/>
          <w:bCs/>
        </w:rPr>
        <w:t>Consistency of brand standards at franchise partners is a major problem (Dant and Grünhagen, 2014). It is hard to perform quality control with decentralised operations. An AU$2.5 million fine levied on a Pizza Hut franchisee for spam marketing is a warning about reputational consequences of franchising (Australian Communications and Media Authority, 2024).</w:t>
      </w:r>
    </w:p>
    <w:p w14:paraId="2C9CA06F" w14:textId="77777777" w:rsidR="00246A0A" w:rsidRPr="00F30D0E" w:rsidRDefault="00246A0A" w:rsidP="00CC5691">
      <w:pPr>
        <w:spacing w:before="240" w:after="240"/>
        <w:rPr>
          <w:rFonts w:cs="Arial"/>
          <w:bCs/>
        </w:rPr>
      </w:pPr>
    </w:p>
    <w:p w14:paraId="322E29C3" w14:textId="77777777" w:rsidR="005122D7" w:rsidRPr="00F30D0E" w:rsidRDefault="005122D7">
      <w:pPr>
        <w:spacing w:line="240" w:lineRule="auto"/>
        <w:jc w:val="left"/>
        <w:rPr>
          <w:rFonts w:cs="Arial"/>
          <w:b/>
          <w:bCs/>
          <w:sz w:val="32"/>
          <w:szCs w:val="28"/>
        </w:rPr>
      </w:pPr>
      <w:r w:rsidRPr="00F30D0E">
        <w:rPr>
          <w:rFonts w:cs="Arial"/>
        </w:rPr>
        <w:br w:type="page"/>
      </w:r>
    </w:p>
    <w:p w14:paraId="0FC3804B" w14:textId="5DFC469F" w:rsidR="00246A0A" w:rsidRPr="00F30D0E" w:rsidRDefault="00246A0A" w:rsidP="004C0FAB">
      <w:pPr>
        <w:pStyle w:val="Heading1"/>
      </w:pPr>
      <w:bookmarkStart w:id="15" w:name="_Toc236940841"/>
      <w:r w:rsidRPr="00F30D0E">
        <w:lastRenderedPageBreak/>
        <w:t>6. Ethical Issues in Marketing: Australia</w:t>
      </w:r>
      <w:bookmarkEnd w:id="15"/>
    </w:p>
    <w:p w14:paraId="37B94C86" w14:textId="77777777" w:rsidR="00043221" w:rsidRPr="00F30D0E" w:rsidRDefault="00043221" w:rsidP="00CC5691">
      <w:pPr>
        <w:spacing w:before="240" w:after="240"/>
        <w:rPr>
          <w:rFonts w:cs="Arial"/>
          <w:b/>
          <w:bCs/>
        </w:rPr>
      </w:pPr>
      <w:r w:rsidRPr="00F30D0E">
        <w:rPr>
          <w:rFonts w:cs="Arial"/>
          <w:b/>
          <w:bCs/>
        </w:rPr>
        <w:t>Ethical Marketing Practices</w:t>
      </w:r>
    </w:p>
    <w:p w14:paraId="5AB98CFD" w14:textId="77777777" w:rsidR="00043221" w:rsidRPr="00F30D0E" w:rsidRDefault="00043221" w:rsidP="00CC5691">
      <w:pPr>
        <w:spacing w:before="240" w:after="240"/>
        <w:rPr>
          <w:rFonts w:cs="Arial"/>
          <w:bCs/>
        </w:rPr>
      </w:pPr>
      <w:r w:rsidRPr="00F30D0E">
        <w:rPr>
          <w:rFonts w:cs="Arial"/>
          <w:bCs/>
        </w:rPr>
        <w:t>First, the Pizza Hut Australia has ensured transparent allergen and nutritional labelling of their menus and website. This is in line with the Australian Consumer Law and to assist consumers in making informed choice (Australian Consumer Law 2026). Second, the brand has also added plant-based pizza options to meet the demand of plant-based eating choices among consumers. It is an example of sensitivity to ethical consumption trends, as it offers the vegetarian and vegan consumer options.</w:t>
      </w:r>
    </w:p>
    <w:p w14:paraId="1B62BDB9" w14:textId="77777777" w:rsidR="00043221" w:rsidRPr="00F30D0E" w:rsidRDefault="00043221" w:rsidP="00CC5691">
      <w:pPr>
        <w:spacing w:before="240" w:after="240"/>
        <w:rPr>
          <w:rFonts w:cs="Arial"/>
          <w:b/>
          <w:bCs/>
        </w:rPr>
      </w:pPr>
      <w:r w:rsidRPr="00F30D0E">
        <w:rPr>
          <w:rFonts w:cs="Arial"/>
          <w:b/>
          <w:bCs/>
        </w:rPr>
        <w:t>Unethical Marketing Practices</w:t>
      </w:r>
    </w:p>
    <w:p w14:paraId="361526B1" w14:textId="3C5669AD" w:rsidR="00246A0A" w:rsidRPr="00F30D0E" w:rsidRDefault="00043221" w:rsidP="00CC5691">
      <w:pPr>
        <w:spacing w:before="240" w:after="240"/>
        <w:rPr>
          <w:rFonts w:cs="Arial"/>
          <w:bCs/>
        </w:rPr>
      </w:pPr>
      <w:r w:rsidRPr="00F30D0E">
        <w:rPr>
          <w:rFonts w:cs="Arial"/>
          <w:bCs/>
        </w:rPr>
        <w:t>The initial incident occurred in May of 2024, when the Australian Franchisee Pizza Pan Group was fined AU$2.5 million for sending around 10 million spam marketing messages in four months, which violated Australian Spam Laws (Australian Communications and Media Authority, 2024). This is a grave violation of the Spam Act 2003 and privacy. Second, there's been some concerns about deceptive pricing promotions in Australia, particularly as discounted offers made online weren't always available across all stores.</w:t>
      </w:r>
    </w:p>
    <w:p w14:paraId="647A2EE3" w14:textId="77777777" w:rsidR="00246A0A" w:rsidRPr="00F30D0E" w:rsidRDefault="00246A0A" w:rsidP="00CC5691">
      <w:pPr>
        <w:spacing w:before="240" w:after="240"/>
        <w:rPr>
          <w:rFonts w:cs="Arial"/>
          <w:bCs/>
        </w:rPr>
      </w:pPr>
    </w:p>
    <w:p w14:paraId="3E65AB75" w14:textId="77777777" w:rsidR="00CC5691" w:rsidRPr="00F30D0E" w:rsidRDefault="00CC5691">
      <w:pPr>
        <w:spacing w:line="240" w:lineRule="auto"/>
        <w:jc w:val="left"/>
        <w:rPr>
          <w:rFonts w:cs="Arial"/>
          <w:bCs/>
        </w:rPr>
      </w:pPr>
      <w:r w:rsidRPr="00F30D0E">
        <w:rPr>
          <w:rFonts w:cs="Arial"/>
          <w:bCs/>
        </w:rPr>
        <w:br w:type="page"/>
      </w:r>
    </w:p>
    <w:p w14:paraId="5D6F7E0B" w14:textId="77777777" w:rsidR="00246A0A" w:rsidRDefault="00246A0A" w:rsidP="004C0FAB">
      <w:pPr>
        <w:pStyle w:val="Heading1"/>
      </w:pPr>
      <w:bookmarkStart w:id="16" w:name="_Toc236940842"/>
      <w:r w:rsidRPr="00F30D0E">
        <w:lastRenderedPageBreak/>
        <w:t>7. Recommendations</w:t>
      </w:r>
      <w:bookmarkEnd w:id="16"/>
    </w:p>
    <w:p w14:paraId="138E2471" w14:textId="7842F003" w:rsidR="00B82700" w:rsidRPr="00B82700" w:rsidRDefault="00B82700" w:rsidP="00C63689">
      <w:pPr>
        <w:spacing w:before="240"/>
        <w:rPr>
          <w:b/>
          <w:bCs/>
          <w:i/>
          <w:iCs/>
        </w:rPr>
      </w:pPr>
      <w:r w:rsidRPr="00B82700">
        <w:rPr>
          <w:b/>
          <w:bCs/>
          <w:i/>
          <w:iCs/>
        </w:rPr>
        <w:t>Recommendations for USA:</w:t>
      </w:r>
    </w:p>
    <w:p w14:paraId="7C68AE6B" w14:textId="77777777" w:rsidR="00B82700" w:rsidRPr="00B82700" w:rsidRDefault="00B82700" w:rsidP="00B82700">
      <w:pPr>
        <w:pStyle w:val="ListParagraph"/>
        <w:numPr>
          <w:ilvl w:val="0"/>
          <w:numId w:val="2"/>
        </w:numPr>
        <w:spacing w:before="240" w:line="360" w:lineRule="auto"/>
        <w:rPr>
          <w:rFonts w:ascii="Arial" w:hAnsi="Arial" w:cs="Arial"/>
        </w:rPr>
      </w:pPr>
      <w:r w:rsidRPr="00B82700">
        <w:rPr>
          <w:rFonts w:ascii="Arial" w:hAnsi="Arial" w:cs="Arial"/>
        </w:rPr>
        <w:t>Invest in AI-powered personalisation features in the loyalty app to boost retention and order value.</w:t>
      </w:r>
    </w:p>
    <w:p w14:paraId="6FEBBD3E" w14:textId="036E1736" w:rsidR="00B82700" w:rsidRDefault="00B82700" w:rsidP="00B82700">
      <w:pPr>
        <w:pStyle w:val="ListParagraph"/>
        <w:numPr>
          <w:ilvl w:val="0"/>
          <w:numId w:val="2"/>
        </w:numPr>
        <w:spacing w:before="240" w:line="360" w:lineRule="auto"/>
        <w:rPr>
          <w:rFonts w:ascii="Arial" w:hAnsi="Arial" w:cs="Arial"/>
        </w:rPr>
      </w:pPr>
      <w:r w:rsidRPr="00B82700">
        <w:rPr>
          <w:rFonts w:ascii="Arial" w:hAnsi="Arial" w:cs="Arial"/>
        </w:rPr>
        <w:t>Strengthen dine-in tradition by reviving restaurant openings and reinvigorating NFL campaigns to beat Domino's in a retro format.</w:t>
      </w:r>
    </w:p>
    <w:p w14:paraId="0C1FD316" w14:textId="31CF11D4" w:rsidR="00B82700" w:rsidRPr="00B82700" w:rsidRDefault="00B82700" w:rsidP="00B82700">
      <w:pPr>
        <w:pStyle w:val="ListParagraph"/>
        <w:numPr>
          <w:ilvl w:val="0"/>
          <w:numId w:val="2"/>
        </w:numPr>
        <w:spacing w:before="240" w:line="360" w:lineRule="auto"/>
        <w:rPr>
          <w:rFonts w:ascii="Arial" w:hAnsi="Arial" w:cs="Arial"/>
        </w:rPr>
      </w:pPr>
      <w:r w:rsidRPr="00B82700">
        <w:rPr>
          <w:rFonts w:ascii="Arial" w:hAnsi="Arial" w:cs="Arial"/>
        </w:rPr>
        <w:t>Offer more plant-based and low-calorie options to cater for the health-conscious population.</w:t>
      </w:r>
    </w:p>
    <w:p w14:paraId="3BF19A41" w14:textId="77777777" w:rsidR="00B82700" w:rsidRPr="00B82700" w:rsidRDefault="00B82700" w:rsidP="00B82700">
      <w:pPr>
        <w:spacing w:before="240"/>
        <w:rPr>
          <w:b/>
          <w:bCs/>
          <w:i/>
          <w:iCs/>
        </w:rPr>
      </w:pPr>
      <w:r w:rsidRPr="00B82700">
        <w:rPr>
          <w:b/>
          <w:bCs/>
          <w:i/>
          <w:iCs/>
        </w:rPr>
        <w:t>Recommendations for Australia:</w:t>
      </w:r>
    </w:p>
    <w:p w14:paraId="3EB79059" w14:textId="77777777" w:rsidR="00B82700" w:rsidRPr="00B82700" w:rsidRDefault="00B82700" w:rsidP="00B82700">
      <w:pPr>
        <w:pStyle w:val="ListParagraph"/>
        <w:numPr>
          <w:ilvl w:val="0"/>
          <w:numId w:val="3"/>
        </w:numPr>
        <w:spacing w:before="240" w:line="360" w:lineRule="auto"/>
        <w:rPr>
          <w:rFonts w:ascii="Arial" w:hAnsi="Arial" w:cs="Arial"/>
        </w:rPr>
      </w:pPr>
      <w:r w:rsidRPr="00B82700">
        <w:rPr>
          <w:rFonts w:ascii="Arial" w:hAnsi="Arial" w:cs="Arial"/>
        </w:rPr>
        <w:t>Open more delivery first stores in underserved suburban areas to expand beyond 260 stores.</w:t>
      </w:r>
    </w:p>
    <w:p w14:paraId="23296CEB" w14:textId="3D0C4E09" w:rsidR="00B82700" w:rsidRPr="00B82700" w:rsidRDefault="00B82700" w:rsidP="00B82700">
      <w:pPr>
        <w:pStyle w:val="ListParagraph"/>
        <w:numPr>
          <w:ilvl w:val="0"/>
          <w:numId w:val="3"/>
        </w:numPr>
        <w:spacing w:before="240" w:line="360" w:lineRule="auto"/>
        <w:rPr>
          <w:rFonts w:ascii="Arial" w:hAnsi="Arial" w:cs="Arial"/>
        </w:rPr>
      </w:pPr>
      <w:r w:rsidRPr="00B82700">
        <w:rPr>
          <w:rFonts w:ascii="Arial" w:hAnsi="Arial" w:cs="Arial"/>
        </w:rPr>
        <w:t>Improve the tracking of compliance in the franchise sector to prevent reoccurring incidents such as the 2024 Spam fine for its franchisee of almost $2.5million.</w:t>
      </w:r>
    </w:p>
    <w:p w14:paraId="05F91E5C" w14:textId="5086C5C6" w:rsidR="00B82700" w:rsidRPr="00B82700" w:rsidRDefault="00B82700" w:rsidP="00B82700">
      <w:pPr>
        <w:pStyle w:val="ListParagraph"/>
        <w:numPr>
          <w:ilvl w:val="0"/>
          <w:numId w:val="3"/>
        </w:numPr>
        <w:spacing w:before="240" w:line="360" w:lineRule="auto"/>
        <w:rPr>
          <w:rFonts w:ascii="Arial" w:hAnsi="Arial" w:cs="Arial"/>
        </w:rPr>
      </w:pPr>
      <w:r w:rsidRPr="00B82700">
        <w:rPr>
          <w:rFonts w:ascii="Arial" w:hAnsi="Arial" w:cs="Arial"/>
        </w:rPr>
        <w:t>Create campaigns that are localised in Australia, targeting local culture and using sustainability language.</w:t>
      </w:r>
    </w:p>
    <w:p w14:paraId="565651ED" w14:textId="77777777" w:rsidR="00B82700" w:rsidRDefault="00B82700">
      <w:pPr>
        <w:spacing w:line="240" w:lineRule="auto"/>
        <w:jc w:val="left"/>
        <w:rPr>
          <w:rFonts w:cs="Arial"/>
          <w:b/>
          <w:bCs/>
          <w:color w:val="000000" w:themeColor="text1"/>
          <w:sz w:val="28"/>
          <w:szCs w:val="28"/>
        </w:rPr>
      </w:pPr>
      <w:bookmarkStart w:id="17" w:name="_Toc236940843"/>
      <w:r>
        <w:br w:type="page"/>
      </w:r>
    </w:p>
    <w:p w14:paraId="05F37E7B" w14:textId="777ECB9E" w:rsidR="0012222F" w:rsidRPr="00F30D0E" w:rsidRDefault="0012222F" w:rsidP="004C0FAB">
      <w:pPr>
        <w:pStyle w:val="Heading1"/>
      </w:pPr>
      <w:r w:rsidRPr="00F30D0E">
        <w:lastRenderedPageBreak/>
        <w:t>Section 2</w:t>
      </w:r>
      <w:bookmarkEnd w:id="17"/>
    </w:p>
    <w:p w14:paraId="6E51F609" w14:textId="3A42045B" w:rsidR="0012222F" w:rsidRPr="00F30D0E" w:rsidRDefault="0012222F" w:rsidP="004C0FAB">
      <w:pPr>
        <w:pStyle w:val="Heading1"/>
      </w:pPr>
      <w:bookmarkStart w:id="18" w:name="_Toc236940844"/>
      <w:r w:rsidRPr="00F30D0E">
        <w:t>Reflection</w:t>
      </w:r>
      <w:bookmarkEnd w:id="18"/>
    </w:p>
    <w:p w14:paraId="125BCD96" w14:textId="64C68E0E" w:rsidR="00F634D7" w:rsidRDefault="00F634D7" w:rsidP="00F634D7">
      <w:pPr>
        <w:spacing w:before="240"/>
      </w:pPr>
      <w:r w:rsidRPr="00F30D0E">
        <w:t>In this reflection, I reflect on the work that I did to complete the International Marketing assignment for the Pizza Hut brand. This report examined the Pizza Hut in the USA's and Australian's approach to the international market entry and marketing mix. This reflection is guided by Gibbs Reflective Cycle. There are 6 phases to the model. These are description, feelings, evaluation, analysis and action plan (</w:t>
      </w:r>
      <w:proofErr w:type="spellStart"/>
      <w:r w:rsidRPr="00F30D0E">
        <w:t>Ezezika</w:t>
      </w:r>
      <w:proofErr w:type="spellEnd"/>
      <w:r w:rsidRPr="00F30D0E">
        <w:t xml:space="preserve"> and Johnston, 2023).</w:t>
      </w:r>
    </w:p>
    <w:p w14:paraId="304490DE" w14:textId="0A5FEEF1" w:rsidR="008D54E6" w:rsidRDefault="008D54E6" w:rsidP="008D54E6">
      <w:pPr>
        <w:spacing w:before="240" w:after="240"/>
        <w:jc w:val="center"/>
      </w:pPr>
      <w:r w:rsidRPr="008D54E6">
        <w:rPr>
          <w:noProof/>
        </w:rPr>
        <w:drawing>
          <wp:inline distT="0" distB="0" distL="0" distR="0" wp14:anchorId="0FF498A7" wp14:editId="13BB0FF5">
            <wp:extent cx="4007457" cy="303363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012007" cy="3037078"/>
                    </a:xfrm>
                    <a:prstGeom prst="rect">
                      <a:avLst/>
                    </a:prstGeom>
                  </pic:spPr>
                </pic:pic>
              </a:graphicData>
            </a:graphic>
          </wp:inline>
        </w:drawing>
      </w:r>
    </w:p>
    <w:p w14:paraId="1D5E4B3A" w14:textId="33D6C4EA" w:rsidR="008D54E6" w:rsidRPr="00F30D0E" w:rsidRDefault="008D54E6" w:rsidP="008D54E6">
      <w:pPr>
        <w:spacing w:before="240" w:after="240"/>
        <w:jc w:val="center"/>
      </w:pPr>
      <w:r>
        <w:t xml:space="preserve">Figure: </w:t>
      </w:r>
      <w:r w:rsidRPr="008D54E6">
        <w:t>Gibbs Reflective Cycle</w:t>
      </w:r>
      <w:r>
        <w:t xml:space="preserve">; Source: </w:t>
      </w:r>
      <w:r w:rsidRPr="008D54E6">
        <w:t>(Hughes, 2024)</w:t>
      </w:r>
    </w:p>
    <w:p w14:paraId="66EA9B80" w14:textId="77777777" w:rsidR="00F634D7" w:rsidRPr="00F30D0E" w:rsidRDefault="00F634D7" w:rsidP="00F634D7">
      <w:pPr>
        <w:spacing w:before="240"/>
        <w:rPr>
          <w:b/>
          <w:bCs/>
          <w:i/>
          <w:iCs/>
        </w:rPr>
      </w:pPr>
      <w:r w:rsidRPr="00F30D0E">
        <w:rPr>
          <w:b/>
          <w:bCs/>
          <w:i/>
          <w:iCs/>
        </w:rPr>
        <w:t>Description</w:t>
      </w:r>
    </w:p>
    <w:p w14:paraId="64497452" w14:textId="53DC15B8" w:rsidR="00F634D7" w:rsidRPr="00F30D0E" w:rsidRDefault="00F634D7" w:rsidP="00F634D7">
      <w:pPr>
        <w:spacing w:before="240"/>
      </w:pPr>
      <w:r w:rsidRPr="00F30D0E">
        <w:t xml:space="preserve">The assignment was to compare and contrast Pizza Hut, PESTEL, Hofstede Cultural Dimensions, STP, 7Ps marketing mix, market entry strategy and ethical issues. The first thing I did was find out about the history of Pizza Hut and its history in both countries. I then collected data on the political, economic, social, technological, environmental and legal factors for each market. I correlated the countries according to Hofstede scores and mentioned the advantages and disadvantages of Hofstede's model. Following this I went on to analyse Segmentation, Targeting and Positioning, then the marketing mix with Product, Price, Place, Promotion, People, Process and </w:t>
      </w:r>
      <w:r w:rsidRPr="00F30D0E">
        <w:lastRenderedPageBreak/>
        <w:t>Physical Evidence. I also looked at the Australian model of franchising and found some ethical issues associated with a spam marketing fine. The report culminated in recommendations based on the findings from a range of current resources such as government reports, industry reports, journal articles etc.</w:t>
      </w:r>
    </w:p>
    <w:p w14:paraId="71004F6B" w14:textId="77777777" w:rsidR="00F634D7" w:rsidRPr="00F30D0E" w:rsidRDefault="00F634D7" w:rsidP="00F634D7">
      <w:pPr>
        <w:spacing w:before="240"/>
        <w:rPr>
          <w:b/>
          <w:bCs/>
          <w:i/>
          <w:iCs/>
        </w:rPr>
      </w:pPr>
      <w:r w:rsidRPr="00F30D0E">
        <w:rPr>
          <w:b/>
          <w:bCs/>
          <w:i/>
          <w:iCs/>
        </w:rPr>
        <w:t>Feelings</w:t>
      </w:r>
    </w:p>
    <w:p w14:paraId="26A8AC11" w14:textId="10D198B5" w:rsidR="00F634D7" w:rsidRPr="00F30D0E" w:rsidRDefault="00F634D7" w:rsidP="00F634D7">
      <w:pPr>
        <w:spacing w:before="240"/>
      </w:pPr>
      <w:r w:rsidRPr="00F30D0E">
        <w:t>I began with confidence as it was a familiar topic from lectures. I had a bit of a challenge when I started comparing two markets in detail as I had to keep the length of the sections within certain word limits and they had to be deep enough. The PESTEL and Hofstede sections made me feel good when they were put together and it was evident that there were differences between the two countries. I didn't feel too happy when I was looking for enough recent and reliable data on the Australian pizza market; many sources concentrated primarily on the United States. I was feeling more settled towards the end as the structure of the report was closely based on the brief and I felt a sense of achievement when the recommendations were connected to the previous assessments.</w:t>
      </w:r>
    </w:p>
    <w:p w14:paraId="2FDDBE93" w14:textId="77777777" w:rsidR="00F634D7" w:rsidRPr="00F30D0E" w:rsidRDefault="00F634D7" w:rsidP="00F634D7">
      <w:pPr>
        <w:spacing w:before="240"/>
        <w:rPr>
          <w:b/>
          <w:bCs/>
          <w:i/>
          <w:iCs/>
        </w:rPr>
      </w:pPr>
      <w:r w:rsidRPr="00F30D0E">
        <w:rPr>
          <w:b/>
          <w:bCs/>
          <w:i/>
          <w:iCs/>
        </w:rPr>
        <w:t>Evaluation</w:t>
      </w:r>
    </w:p>
    <w:p w14:paraId="7C660DFC" w14:textId="68E4E24B" w:rsidR="0012222F" w:rsidRPr="00F30D0E" w:rsidRDefault="00F634D7" w:rsidP="00F634D7">
      <w:pPr>
        <w:spacing w:before="240"/>
      </w:pPr>
      <w:r w:rsidRPr="00F30D0E">
        <w:t>The best aspect of the work was the comparative structure. Having the USA and Australia in each section is useful to highlight similarities and differences. Linking to Harvard referencing made with a variety of sources such as journal articles added creditability to the analysis. Although the quantitative comparison using the Hofstede model proved useful, the model was recognized as having some limitations. However, Hofstede treats national culture as being static and homogeneous, which becomes problematic in some cases (McSweeney 2002). It's a failing I did see when coming up with that section – Pizza Hut's Australian and American customers are not monolithic, but rather diverse groups.</w:t>
      </w:r>
    </w:p>
    <w:p w14:paraId="3613C970" w14:textId="2917CAF3" w:rsidR="00F634D7" w:rsidRPr="00F30D0E" w:rsidRDefault="00F634D7" w:rsidP="00F634D7">
      <w:pPr>
        <w:spacing w:before="240"/>
      </w:pPr>
      <w:r w:rsidRPr="00F30D0E">
        <w:t xml:space="preserve">Another constraint was the issue of franchise. Few sources were used to detail Pizza Hut's ownership history in Australia. As Dant and </w:t>
      </w:r>
      <w:proofErr w:type="spellStart"/>
      <w:r w:rsidRPr="00F30D0E">
        <w:t>Grünhagen</w:t>
      </w:r>
      <w:proofErr w:type="spellEnd"/>
      <w:r w:rsidRPr="00F30D0E">
        <w:t xml:space="preserve"> (2014) point out, many studies on franchising are lacking in terms of detailed case data, and when I tried to verify information on the number of franchisees and staff, this was the case.</w:t>
      </w:r>
    </w:p>
    <w:p w14:paraId="1CDB2296" w14:textId="77777777" w:rsidR="00B82700" w:rsidRDefault="00B82700">
      <w:pPr>
        <w:spacing w:line="240" w:lineRule="auto"/>
        <w:jc w:val="left"/>
        <w:rPr>
          <w:b/>
          <w:bCs/>
          <w:i/>
          <w:iCs/>
        </w:rPr>
      </w:pPr>
      <w:r>
        <w:rPr>
          <w:b/>
          <w:bCs/>
          <w:i/>
          <w:iCs/>
        </w:rPr>
        <w:br w:type="page"/>
      </w:r>
    </w:p>
    <w:p w14:paraId="30239C70" w14:textId="4891CFBB" w:rsidR="00F634D7" w:rsidRPr="00F30D0E" w:rsidRDefault="00F634D7" w:rsidP="00F634D7">
      <w:pPr>
        <w:spacing w:before="240"/>
        <w:rPr>
          <w:b/>
          <w:bCs/>
          <w:i/>
          <w:iCs/>
        </w:rPr>
      </w:pPr>
      <w:r w:rsidRPr="00F30D0E">
        <w:rPr>
          <w:b/>
          <w:bCs/>
          <w:i/>
          <w:iCs/>
        </w:rPr>
        <w:lastRenderedPageBreak/>
        <w:t>Analysis</w:t>
      </w:r>
    </w:p>
    <w:p w14:paraId="3DAACAC7" w14:textId="77777777" w:rsidR="008D54E6" w:rsidRDefault="00F634D7" w:rsidP="008D54E6">
      <w:pPr>
        <w:spacing w:before="240"/>
      </w:pPr>
      <w:r w:rsidRPr="00F30D0E">
        <w:t>In retrospect, the comparative PESTEL and 7Ps sections were successful as they were structured in a similar manner in both countries. This facilitated the identification of the differences, including the stricter Franchising Code of Conduct in Australia and its delivery first model. Estimated data, such as workforce numbers, for which exact data was not published, were used by the weaker sections. This required some changes to the statement of the claims, specifically making some claims qualified instead of stated as fact. Time management was also a factor. I found myself spending more time on the PESTEL and Hofstede sections than expected, and didn't have as much time as I wanted to put into the ethical marketing section. The distribution of the research time between the sections would have benefited from being more even, thus giving room for a more in-depth discussion of the Australian spam-marketing case.</w:t>
      </w:r>
    </w:p>
    <w:p w14:paraId="21E79B3B" w14:textId="4978E30A" w:rsidR="00F634D7" w:rsidRPr="008D54E6" w:rsidRDefault="00F634D7" w:rsidP="008D54E6">
      <w:pPr>
        <w:spacing w:before="240"/>
      </w:pPr>
      <w:r w:rsidRPr="00F30D0E">
        <w:rPr>
          <w:b/>
          <w:bCs/>
          <w:i/>
          <w:iCs/>
        </w:rPr>
        <w:t>Conclusion</w:t>
      </w:r>
    </w:p>
    <w:p w14:paraId="4D3AE24D" w14:textId="77777777" w:rsidR="00F634D7" w:rsidRPr="00F30D0E" w:rsidRDefault="00F634D7" w:rsidP="00F634D7">
      <w:pPr>
        <w:spacing w:before="240"/>
      </w:pPr>
      <w:r w:rsidRPr="00F30D0E">
        <w:t>Overall, the assignment helped me to understand the marketing mix and the way a global company adapts the marketing mix to national markets. It also gave me an insight into the strength and weaknesses of existing models such as Hofstede and PESTEL. For future work, I need to take cultural models as a point of reference for comparison instead of an exhaustive explanation and include additional country specific consumer research to support the cultural models. I also realize that starting off by planning time per section is necessary rather than trying to fill in additional time after a section has taken longer than intended.</w:t>
      </w:r>
    </w:p>
    <w:p w14:paraId="670882D4" w14:textId="77777777" w:rsidR="00F634D7" w:rsidRPr="00F30D0E" w:rsidRDefault="00F634D7" w:rsidP="00F634D7">
      <w:pPr>
        <w:spacing w:before="240"/>
        <w:rPr>
          <w:b/>
          <w:bCs/>
          <w:i/>
          <w:iCs/>
        </w:rPr>
      </w:pPr>
      <w:r w:rsidRPr="00F30D0E">
        <w:rPr>
          <w:b/>
          <w:bCs/>
          <w:i/>
          <w:iCs/>
        </w:rPr>
        <w:t>Action Plan</w:t>
      </w:r>
    </w:p>
    <w:p w14:paraId="050CAC12" w14:textId="4B0B2E3F" w:rsidR="0012222F" w:rsidRPr="00F30D0E" w:rsidRDefault="00F634D7" w:rsidP="00F634D7">
      <w:pPr>
        <w:spacing w:before="240"/>
      </w:pPr>
      <w:r w:rsidRPr="00F30D0E">
        <w:t>In future reports, I will complete a time-budgeting task on each section before beginning the writing task. I will make sure to look for at least 2 sources per major sub section early in the process to avoid a last-minute scramble for sources. I will also be using a critical lens on any framework I employ, recognizing the limitations and constraints of that framework as well as the results it provides, as recommended by McSweeney (2002). Lastly, I will check word counts with the assignment brief after writing each part of the assignment, not just at the end, to help stay in balance throughout the assignment.</w:t>
      </w:r>
    </w:p>
    <w:p w14:paraId="087A387D" w14:textId="1DCA8C51" w:rsidR="008D54E6" w:rsidRDefault="008D54E6">
      <w:pPr>
        <w:spacing w:line="240" w:lineRule="auto"/>
        <w:jc w:val="left"/>
        <w:rPr>
          <w:rFonts w:cs="Arial"/>
          <w:b/>
          <w:bCs/>
          <w:color w:val="000000" w:themeColor="text1"/>
          <w:sz w:val="28"/>
          <w:szCs w:val="28"/>
        </w:rPr>
      </w:pPr>
      <w:bookmarkStart w:id="19" w:name="_Toc236940845"/>
    </w:p>
    <w:p w14:paraId="07FE6F19" w14:textId="4AFA8983" w:rsidR="00431436" w:rsidRPr="00F30D0E" w:rsidRDefault="00E8542F" w:rsidP="004C0FAB">
      <w:pPr>
        <w:pStyle w:val="Heading1"/>
      </w:pPr>
      <w:r w:rsidRPr="00F30D0E">
        <w:lastRenderedPageBreak/>
        <w:t>References</w:t>
      </w:r>
      <w:bookmarkEnd w:id="19"/>
    </w:p>
    <w:p w14:paraId="062FB941" w14:textId="77777777" w:rsidR="008D54E6" w:rsidRPr="00F30D0E" w:rsidRDefault="008D54E6" w:rsidP="00E950CC">
      <w:pPr>
        <w:spacing w:before="240"/>
        <w:rPr>
          <w:rFonts w:cs="Arial"/>
          <w:shd w:val="clear" w:color="auto" w:fill="FFFFFF"/>
        </w:rPr>
      </w:pPr>
      <w:r w:rsidRPr="00F30D0E">
        <w:rPr>
          <w:rFonts w:cs="Arial"/>
          <w:shd w:val="clear" w:color="auto" w:fill="FFFFFF"/>
        </w:rPr>
        <w:t>Alon, I., (2006). </w:t>
      </w:r>
      <w:r w:rsidRPr="00F30D0E">
        <w:rPr>
          <w:rFonts w:cs="Arial"/>
          <w:i/>
          <w:iCs/>
          <w:shd w:val="clear" w:color="auto" w:fill="FFFFFF"/>
        </w:rPr>
        <w:t>Service franchising: A global perspective</w:t>
      </w:r>
      <w:r w:rsidRPr="00F30D0E">
        <w:rPr>
          <w:rFonts w:cs="Arial"/>
          <w:shd w:val="clear" w:color="auto" w:fill="FFFFFF"/>
        </w:rPr>
        <w:t xml:space="preserve">. </w:t>
      </w:r>
      <w:r w:rsidRPr="00F30D0E">
        <w:rPr>
          <w:rFonts w:cs="Arial"/>
          <w:i/>
          <w:shd w:val="clear" w:color="auto" w:fill="FFFFFF"/>
        </w:rPr>
        <w:t>Springer Science &amp; Business Media</w:t>
      </w:r>
      <w:r w:rsidRPr="00F30D0E">
        <w:rPr>
          <w:rFonts w:cs="Arial"/>
          <w:shd w:val="clear" w:color="auto" w:fill="FFFFFF"/>
        </w:rPr>
        <w:t>.</w:t>
      </w:r>
    </w:p>
    <w:p w14:paraId="6FE29CB8" w14:textId="77777777" w:rsidR="008D54E6" w:rsidRPr="00F30D0E" w:rsidRDefault="008D54E6" w:rsidP="00E950CC">
      <w:pPr>
        <w:spacing w:before="240"/>
        <w:rPr>
          <w:rFonts w:cs="Arial"/>
        </w:rPr>
      </w:pPr>
      <w:r w:rsidRPr="00F30D0E">
        <w:rPr>
          <w:rFonts w:cs="Arial"/>
        </w:rPr>
        <w:t>Australian Communications and Media Authority (2024). </w:t>
      </w:r>
      <w:r w:rsidRPr="00F30D0E">
        <w:rPr>
          <w:rFonts w:cs="Arial"/>
          <w:i/>
          <w:iCs/>
        </w:rPr>
        <w:t>Australian Communications and Media Authority</w:t>
      </w:r>
      <w:r w:rsidRPr="00F30D0E">
        <w:rPr>
          <w:rFonts w:cs="Arial"/>
        </w:rPr>
        <w:t xml:space="preserve">. [online] Acma.gov.au. Available at: </w:t>
      </w:r>
      <w:hyperlink r:id="rId22" w:history="1">
        <w:r w:rsidRPr="00F30D0E">
          <w:rPr>
            <w:rStyle w:val="Hyperlink"/>
            <w:rFonts w:cs="Arial"/>
            <w:color w:val="auto"/>
          </w:rPr>
          <w:t>https://www.acma.gov.au/articles/2024-05/pizza-hut-australia-pays-25-million-penalty-spam</w:t>
        </w:r>
      </w:hyperlink>
      <w:r w:rsidRPr="00F30D0E">
        <w:rPr>
          <w:rFonts w:cs="Arial"/>
        </w:rPr>
        <w:t xml:space="preserve">  [Accessed 7 July 2026].</w:t>
      </w:r>
    </w:p>
    <w:p w14:paraId="63A34231" w14:textId="77777777" w:rsidR="008D54E6" w:rsidRPr="00F30D0E" w:rsidRDefault="008D54E6" w:rsidP="00E950CC">
      <w:pPr>
        <w:spacing w:before="240"/>
        <w:rPr>
          <w:rFonts w:cs="Arial"/>
        </w:rPr>
      </w:pPr>
      <w:r w:rsidRPr="00F30D0E">
        <w:rPr>
          <w:rFonts w:cs="Arial"/>
        </w:rPr>
        <w:t>Australian Consumer Law (2026). </w:t>
      </w:r>
      <w:r w:rsidRPr="00F30D0E">
        <w:rPr>
          <w:rFonts w:cs="Arial"/>
          <w:i/>
          <w:iCs/>
        </w:rPr>
        <w:t>A guide to competition and consumer law</w:t>
      </w:r>
      <w:r w:rsidRPr="00F30D0E">
        <w:rPr>
          <w:rFonts w:cs="Arial"/>
        </w:rPr>
        <w:t xml:space="preserve">. [online] Available at: </w:t>
      </w:r>
      <w:hyperlink r:id="rId23" w:history="1">
        <w:r w:rsidRPr="00F30D0E">
          <w:rPr>
            <w:rStyle w:val="Hyperlink"/>
            <w:rFonts w:cs="Arial"/>
            <w:color w:val="auto"/>
          </w:rPr>
          <w:t>https://www.accc.gov.au/system/files/1543_A%20guide%20to%20competition%20and%20consumer%20law_FA3.pdf</w:t>
        </w:r>
      </w:hyperlink>
      <w:proofErr w:type="gramStart"/>
      <w:r w:rsidRPr="00F30D0E">
        <w:rPr>
          <w:rFonts w:cs="Arial"/>
        </w:rPr>
        <w:t>/[</w:t>
      </w:r>
      <w:proofErr w:type="gramEnd"/>
      <w:r w:rsidRPr="00F30D0E">
        <w:rPr>
          <w:rFonts w:cs="Arial"/>
        </w:rPr>
        <w:t>Accessed 7 July 2026].</w:t>
      </w:r>
    </w:p>
    <w:p w14:paraId="092F3BAE" w14:textId="77777777" w:rsidR="008D54E6" w:rsidRPr="00F30D0E" w:rsidRDefault="008D54E6" w:rsidP="00E950CC">
      <w:pPr>
        <w:spacing w:before="240"/>
        <w:rPr>
          <w:rFonts w:cs="Arial"/>
        </w:rPr>
      </w:pPr>
      <w:r w:rsidRPr="00F30D0E">
        <w:rPr>
          <w:rFonts w:cs="Arial"/>
        </w:rPr>
        <w:t>‌Bolles, S. (2018). </w:t>
      </w:r>
      <w:r w:rsidRPr="00F30D0E">
        <w:rPr>
          <w:rFonts w:cs="Arial"/>
          <w:i/>
          <w:iCs/>
        </w:rPr>
        <w:t>Australia’s first Pizza Hut bulldozed in Belfield</w:t>
      </w:r>
      <w:r w:rsidRPr="00F30D0E">
        <w:rPr>
          <w:rFonts w:cs="Arial"/>
        </w:rPr>
        <w:t xml:space="preserve">. [online] The Age Good Food. Available at: </w:t>
      </w:r>
      <w:hyperlink r:id="rId24" w:history="1">
        <w:r w:rsidRPr="00F30D0E">
          <w:rPr>
            <w:rStyle w:val="Hyperlink"/>
            <w:rFonts w:cs="Arial"/>
            <w:color w:val="auto"/>
          </w:rPr>
          <w:t>https://www.theage.com.au/goodfood/eating-out/australias-first-pizza-hut-bulldozed-20180525-h10ju2.html</w:t>
        </w:r>
      </w:hyperlink>
      <w:r w:rsidRPr="00F30D0E">
        <w:rPr>
          <w:rFonts w:cs="Arial"/>
        </w:rPr>
        <w:t xml:space="preserve">  [Accessed 22 June 2026].</w:t>
      </w:r>
    </w:p>
    <w:p w14:paraId="74112892" w14:textId="77777777" w:rsidR="008D54E6" w:rsidRPr="00F30D0E" w:rsidRDefault="008D54E6" w:rsidP="00E950CC">
      <w:pPr>
        <w:spacing w:before="240"/>
        <w:rPr>
          <w:rFonts w:cs="Arial"/>
        </w:rPr>
      </w:pPr>
      <w:r w:rsidRPr="00F30D0E">
        <w:rPr>
          <w:rFonts w:cs="Arial"/>
        </w:rPr>
        <w:t>Choose Franchise (2026). </w:t>
      </w:r>
      <w:proofErr w:type="spellStart"/>
      <w:r w:rsidRPr="00F30D0E">
        <w:rPr>
          <w:rFonts w:cs="Arial"/>
          <w:i/>
          <w:iCs/>
        </w:rPr>
        <w:t>ChooseFranchise</w:t>
      </w:r>
      <w:proofErr w:type="spellEnd"/>
      <w:r w:rsidRPr="00F30D0E">
        <w:rPr>
          <w:rFonts w:cs="Arial"/>
        </w:rPr>
        <w:t xml:space="preserve">. [online] ChooseFranchise. Available at: </w:t>
      </w:r>
      <w:hyperlink r:id="rId25" w:history="1">
        <w:r w:rsidRPr="00F30D0E">
          <w:rPr>
            <w:rStyle w:val="Hyperlink"/>
            <w:rFonts w:cs="Arial"/>
            <w:color w:val="auto"/>
          </w:rPr>
          <w:t>https://www.choosefranchise.com/au/post/pizza-hut-hits-a-50-year-milestone-in-australia-1f168932</w:t>
        </w:r>
      </w:hyperlink>
      <w:r w:rsidRPr="00F30D0E">
        <w:rPr>
          <w:rFonts w:cs="Arial"/>
        </w:rPr>
        <w:t xml:space="preserve">  [Accessed 7 July 2026].</w:t>
      </w:r>
    </w:p>
    <w:p w14:paraId="514E693E" w14:textId="77777777" w:rsidR="008D54E6" w:rsidRPr="00F30D0E" w:rsidRDefault="008D54E6" w:rsidP="00E950CC">
      <w:pPr>
        <w:spacing w:before="240"/>
        <w:rPr>
          <w:rFonts w:cs="Arial"/>
        </w:rPr>
      </w:pPr>
      <w:r w:rsidRPr="00F30D0E">
        <w:rPr>
          <w:rFonts w:cs="Arial"/>
          <w:shd w:val="clear" w:color="auto" w:fill="FFFFFF"/>
        </w:rPr>
        <w:t xml:space="preserve">Dant, R.P. and </w:t>
      </w:r>
      <w:proofErr w:type="spellStart"/>
      <w:r w:rsidRPr="00F30D0E">
        <w:rPr>
          <w:rFonts w:cs="Arial"/>
          <w:shd w:val="clear" w:color="auto" w:fill="FFFFFF"/>
        </w:rPr>
        <w:t>Grünhagen</w:t>
      </w:r>
      <w:proofErr w:type="spellEnd"/>
      <w:r w:rsidRPr="00F30D0E">
        <w:rPr>
          <w:rFonts w:cs="Arial"/>
          <w:shd w:val="clear" w:color="auto" w:fill="FFFFFF"/>
        </w:rPr>
        <w:t>, M., (2014). International franchising research: Some thoughts on the what, where, when, and how. </w:t>
      </w:r>
      <w:r w:rsidRPr="00F30D0E">
        <w:rPr>
          <w:rFonts w:cs="Arial"/>
          <w:i/>
          <w:iCs/>
          <w:shd w:val="clear" w:color="auto" w:fill="FFFFFF"/>
        </w:rPr>
        <w:t>Journal of marketing channels</w:t>
      </w:r>
      <w:r w:rsidRPr="00F30D0E">
        <w:rPr>
          <w:rFonts w:cs="Arial"/>
          <w:shd w:val="clear" w:color="auto" w:fill="FFFFFF"/>
        </w:rPr>
        <w:t>, </w:t>
      </w:r>
      <w:r w:rsidRPr="00F30D0E">
        <w:rPr>
          <w:rFonts w:cs="Arial"/>
          <w:i/>
          <w:iCs/>
          <w:shd w:val="clear" w:color="auto" w:fill="FFFFFF"/>
        </w:rPr>
        <w:t>21</w:t>
      </w:r>
      <w:r w:rsidRPr="00F30D0E">
        <w:rPr>
          <w:rFonts w:cs="Arial"/>
          <w:shd w:val="clear" w:color="auto" w:fill="FFFFFF"/>
        </w:rPr>
        <w:t>(3), pp.124-132.</w:t>
      </w:r>
    </w:p>
    <w:p w14:paraId="48284145" w14:textId="77777777" w:rsidR="008D54E6" w:rsidRPr="00F30D0E" w:rsidRDefault="008D54E6" w:rsidP="00E950CC">
      <w:pPr>
        <w:spacing w:before="240"/>
        <w:rPr>
          <w:rFonts w:cs="Arial"/>
        </w:rPr>
      </w:pPr>
      <w:r w:rsidRPr="00F30D0E">
        <w:rPr>
          <w:rFonts w:cs="Arial"/>
        </w:rPr>
        <w:t>Federal Trade Commission. (2026). </w:t>
      </w:r>
      <w:r w:rsidRPr="00F30D0E">
        <w:rPr>
          <w:rFonts w:cs="Arial"/>
          <w:i/>
          <w:iCs/>
        </w:rPr>
        <w:t>Federal Trade Commission</w:t>
      </w:r>
      <w:r w:rsidRPr="00F30D0E">
        <w:rPr>
          <w:rFonts w:cs="Arial"/>
        </w:rPr>
        <w:t xml:space="preserve">. [online] Available at: </w:t>
      </w:r>
      <w:hyperlink r:id="rId26" w:history="1">
        <w:r w:rsidRPr="00F30D0E">
          <w:rPr>
            <w:rStyle w:val="Hyperlink"/>
            <w:rFonts w:cs="Arial"/>
            <w:color w:val="auto"/>
          </w:rPr>
          <w:t>https://www.ftc.gov/</w:t>
        </w:r>
      </w:hyperlink>
      <w:r w:rsidRPr="00F30D0E">
        <w:rPr>
          <w:rFonts w:cs="Arial"/>
        </w:rPr>
        <w:t xml:space="preserve">  [Accessed 7 July 2026].</w:t>
      </w:r>
    </w:p>
    <w:p w14:paraId="4B5CD46C" w14:textId="77777777" w:rsidR="008D54E6" w:rsidRPr="00F30D0E" w:rsidRDefault="008D54E6" w:rsidP="00E950CC">
      <w:pPr>
        <w:spacing w:before="240"/>
        <w:rPr>
          <w:rFonts w:cs="Arial"/>
        </w:rPr>
      </w:pPr>
      <w:r w:rsidRPr="00F30D0E">
        <w:rPr>
          <w:rFonts w:cs="Arial"/>
        </w:rPr>
        <w:t>Geert Hofstede. (2025). </w:t>
      </w:r>
      <w:r w:rsidRPr="00F30D0E">
        <w:rPr>
          <w:rFonts w:cs="Arial"/>
          <w:i/>
          <w:iCs/>
        </w:rPr>
        <w:t>Country Comparison Bar Charts - Geert Hofstede</w:t>
      </w:r>
      <w:r w:rsidRPr="00F30D0E">
        <w:rPr>
          <w:rFonts w:cs="Arial"/>
        </w:rPr>
        <w:t xml:space="preserve">. [online] Available at: </w:t>
      </w:r>
      <w:hyperlink r:id="rId27" w:history="1">
        <w:r w:rsidRPr="00F30D0E">
          <w:rPr>
            <w:rStyle w:val="Hyperlink"/>
            <w:rFonts w:cs="Arial"/>
            <w:color w:val="auto"/>
          </w:rPr>
          <w:t>https://geerthofstede.com/country-comparison-bar-charts/</w:t>
        </w:r>
      </w:hyperlink>
      <w:r w:rsidRPr="00F30D0E">
        <w:rPr>
          <w:rFonts w:cs="Arial"/>
        </w:rPr>
        <w:t xml:space="preserve">  [Accessed 7 July 2026].</w:t>
      </w:r>
    </w:p>
    <w:p w14:paraId="434E23B4" w14:textId="77777777" w:rsidR="008D54E6" w:rsidRPr="00F30D0E" w:rsidRDefault="008D54E6" w:rsidP="00E950CC">
      <w:pPr>
        <w:pStyle w:val="NormalWeb"/>
        <w:spacing w:before="240" w:beforeAutospacing="0" w:after="0" w:afterAutospacing="0" w:line="360" w:lineRule="auto"/>
        <w:jc w:val="both"/>
        <w:rPr>
          <w:rFonts w:cs="Arial"/>
        </w:rPr>
      </w:pPr>
      <w:r w:rsidRPr="00F30D0E">
        <w:rPr>
          <w:rFonts w:cs="Arial"/>
        </w:rPr>
        <w:t>‌</w:t>
      </w:r>
      <w:proofErr w:type="spellStart"/>
      <w:r w:rsidRPr="00F30D0E">
        <w:rPr>
          <w:rFonts w:cs="Arial"/>
          <w:shd w:val="clear" w:color="auto" w:fill="FFFFFF"/>
        </w:rPr>
        <w:t>Hoftede</w:t>
      </w:r>
      <w:proofErr w:type="spellEnd"/>
      <w:r w:rsidRPr="00F30D0E">
        <w:rPr>
          <w:rFonts w:cs="Arial"/>
          <w:shd w:val="clear" w:color="auto" w:fill="FFFFFF"/>
        </w:rPr>
        <w:t>, G., Hofstede, G.J. and Minkov, M., (2010). </w:t>
      </w:r>
      <w:r w:rsidRPr="00F30D0E">
        <w:rPr>
          <w:rFonts w:cs="Arial"/>
          <w:i/>
          <w:iCs/>
          <w:shd w:val="clear" w:color="auto" w:fill="FFFFFF"/>
        </w:rPr>
        <w:t>Cultures and organizations: software of the mind: intercultural cooperation and its importance for survival</w:t>
      </w:r>
      <w:r w:rsidRPr="00F30D0E">
        <w:rPr>
          <w:rFonts w:cs="Arial"/>
          <w:shd w:val="clear" w:color="auto" w:fill="FFFFFF"/>
        </w:rPr>
        <w:t>. McGraw-Hill.</w:t>
      </w:r>
    </w:p>
    <w:p w14:paraId="27BC7C85" w14:textId="77777777" w:rsidR="008D54E6" w:rsidRDefault="008D54E6" w:rsidP="008D54E6">
      <w:pPr>
        <w:spacing w:before="240"/>
        <w:rPr>
          <w:rFonts w:cs="Arial"/>
          <w:color w:val="000000"/>
        </w:rPr>
      </w:pPr>
      <w:r w:rsidRPr="008D54E6">
        <w:rPr>
          <w:rFonts w:cs="Arial"/>
        </w:rPr>
        <w:lastRenderedPageBreak/>
        <w:t>Hughes, M. (2024). </w:t>
      </w:r>
      <w:r w:rsidRPr="008D54E6">
        <w:rPr>
          <w:rFonts w:cs="Arial"/>
          <w:i/>
          <w:iCs/>
        </w:rPr>
        <w:t>Gibbs’ Reflective Cycle</w:t>
      </w:r>
      <w:r w:rsidRPr="008D54E6">
        <w:rPr>
          <w:rFonts w:cs="Arial"/>
        </w:rPr>
        <w:t>. [online] Mindtools Membership. Available at: https://www.mindtools.com/ano9qiu/gibbs-reflective-cycle/ [Accessed 7 Aug. 2026].</w:t>
      </w:r>
    </w:p>
    <w:p w14:paraId="0501C2C7" w14:textId="77777777" w:rsidR="008D54E6" w:rsidRPr="00F30D0E" w:rsidRDefault="008D54E6" w:rsidP="00E950CC">
      <w:pPr>
        <w:spacing w:before="240"/>
        <w:rPr>
          <w:rFonts w:cs="Arial"/>
        </w:rPr>
      </w:pPr>
      <w:r w:rsidRPr="00F30D0E">
        <w:rPr>
          <w:rFonts w:cs="Arial"/>
        </w:rPr>
        <w:t>Human Owl (2021). </w:t>
      </w:r>
      <w:r w:rsidRPr="00F30D0E">
        <w:rPr>
          <w:rFonts w:cs="Arial"/>
          <w:i/>
          <w:iCs/>
        </w:rPr>
        <w:t>7P’s of Marketing Mix</w:t>
      </w:r>
      <w:r w:rsidRPr="00F30D0E">
        <w:rPr>
          <w:rFonts w:cs="Arial"/>
        </w:rPr>
        <w:t xml:space="preserve">. [online] Human Owl - Digital Marketing &amp; Website Development Company in Delhi-NCR, Noida, </w:t>
      </w:r>
      <w:proofErr w:type="gramStart"/>
      <w:r w:rsidRPr="00F30D0E">
        <w:rPr>
          <w:rFonts w:cs="Arial"/>
        </w:rPr>
        <w:t>Ghaziabad,Gurgaon</w:t>
      </w:r>
      <w:proofErr w:type="gramEnd"/>
      <w:r w:rsidRPr="00F30D0E">
        <w:rPr>
          <w:rFonts w:cs="Arial"/>
        </w:rPr>
        <w:t xml:space="preserve">. Available at: </w:t>
      </w:r>
      <w:hyperlink r:id="rId28" w:history="1">
        <w:r w:rsidRPr="00F30D0E">
          <w:rPr>
            <w:rStyle w:val="Hyperlink"/>
            <w:rFonts w:cs="Arial"/>
            <w:color w:val="auto"/>
          </w:rPr>
          <w:t>https://humanowl.com/information/7ps-of-marketing-mix/</w:t>
        </w:r>
      </w:hyperlink>
      <w:r w:rsidRPr="00F30D0E">
        <w:rPr>
          <w:rFonts w:cs="Arial"/>
        </w:rPr>
        <w:t xml:space="preserve">  [Accessed 18 July 2026].</w:t>
      </w:r>
    </w:p>
    <w:p w14:paraId="2F99F235" w14:textId="77777777" w:rsidR="008D54E6" w:rsidRPr="00F30D0E" w:rsidRDefault="008D54E6" w:rsidP="00E950CC">
      <w:pPr>
        <w:spacing w:before="240"/>
        <w:rPr>
          <w:rFonts w:cs="Arial"/>
        </w:rPr>
      </w:pPr>
      <w:r w:rsidRPr="00F30D0E">
        <w:rPr>
          <w:rFonts w:cs="Arial"/>
        </w:rPr>
        <w:t>IBISWorld (2026). </w:t>
      </w:r>
      <w:r w:rsidRPr="00F30D0E">
        <w:rPr>
          <w:rFonts w:cs="Arial"/>
          <w:i/>
          <w:iCs/>
        </w:rPr>
        <w:t>Pizza Restaurants &amp; Takeaways in Australia - Market Research Report (2016-2031)</w:t>
      </w:r>
      <w:r w:rsidRPr="00F30D0E">
        <w:rPr>
          <w:rFonts w:cs="Arial"/>
        </w:rPr>
        <w:t xml:space="preserve">. [online] ibisworld. Available at: </w:t>
      </w:r>
      <w:hyperlink r:id="rId29" w:history="1">
        <w:r w:rsidRPr="00F30D0E">
          <w:rPr>
            <w:rStyle w:val="Hyperlink"/>
            <w:rFonts w:cs="Arial"/>
            <w:color w:val="auto"/>
          </w:rPr>
          <w:t>https://www.ibisworld.com/australia/industry/pizza-restaurants-takeaways/4025/</w:t>
        </w:r>
      </w:hyperlink>
      <w:r w:rsidRPr="00F30D0E">
        <w:rPr>
          <w:rFonts w:cs="Arial"/>
        </w:rPr>
        <w:t xml:space="preserve">  [Accessed 7 July 2026].</w:t>
      </w:r>
    </w:p>
    <w:p w14:paraId="3FEDB1A6" w14:textId="77777777" w:rsidR="008D54E6" w:rsidRPr="00F30D0E" w:rsidRDefault="008D54E6" w:rsidP="00E950CC">
      <w:pPr>
        <w:spacing w:before="240"/>
        <w:rPr>
          <w:rFonts w:cs="Arial"/>
        </w:rPr>
      </w:pPr>
      <w:r w:rsidRPr="00F30D0E">
        <w:rPr>
          <w:rFonts w:cs="Arial"/>
        </w:rPr>
        <w:t>‌Iqbal, A. (2025). </w:t>
      </w:r>
      <w:r w:rsidRPr="00F30D0E">
        <w:rPr>
          <w:rFonts w:cs="Arial"/>
          <w:i/>
          <w:iCs/>
        </w:rPr>
        <w:t>PESTLE Analysis: The CEO’s Guide to Future-Proofing a Business</w:t>
      </w:r>
      <w:r w:rsidRPr="00F30D0E">
        <w:rPr>
          <w:rFonts w:cs="Arial"/>
        </w:rPr>
        <w:t xml:space="preserve">. [online] Medium. Available at: </w:t>
      </w:r>
      <w:hyperlink r:id="rId30" w:history="1">
        <w:r w:rsidRPr="00F30D0E">
          <w:rPr>
            <w:rStyle w:val="Hyperlink"/>
            <w:rFonts w:cs="Arial"/>
            <w:color w:val="auto"/>
          </w:rPr>
          <w:t>https://medium.com/techno-preneurship/pestle-analysis-the-ceos-guide-to-future-proofing-a-business-877e6c4e20ea</w:t>
        </w:r>
      </w:hyperlink>
      <w:r w:rsidRPr="00F30D0E">
        <w:rPr>
          <w:rFonts w:cs="Arial"/>
        </w:rPr>
        <w:t xml:space="preserve">  [Accessed 18 July 2026].</w:t>
      </w:r>
    </w:p>
    <w:p w14:paraId="1CC4F158" w14:textId="77777777" w:rsidR="008D54E6" w:rsidRPr="00F30D0E" w:rsidRDefault="008D54E6" w:rsidP="00E950CC">
      <w:pPr>
        <w:spacing w:before="240"/>
        <w:rPr>
          <w:rFonts w:cs="Arial"/>
        </w:rPr>
      </w:pPr>
      <w:r w:rsidRPr="00F30D0E">
        <w:rPr>
          <w:rFonts w:cs="Arial"/>
        </w:rPr>
        <w:t>‌</w:t>
      </w:r>
      <w:proofErr w:type="spellStart"/>
      <w:r w:rsidRPr="00F30D0E">
        <w:rPr>
          <w:rFonts w:cs="Arial"/>
          <w:shd w:val="clear" w:color="auto" w:fill="FFFFFF"/>
        </w:rPr>
        <w:t>Karadzhov</w:t>
      </w:r>
      <w:proofErr w:type="spellEnd"/>
      <w:r w:rsidRPr="00F30D0E">
        <w:rPr>
          <w:rFonts w:cs="Arial"/>
          <w:shd w:val="clear" w:color="auto" w:fill="FFFFFF"/>
        </w:rPr>
        <w:t>, V. and Patarchanova, E., (2025). How to create the best PESTEL analysis. </w:t>
      </w:r>
      <w:r w:rsidRPr="00F30D0E">
        <w:rPr>
          <w:rFonts w:cs="Arial"/>
          <w:i/>
          <w:iCs/>
          <w:shd w:val="clear" w:color="auto" w:fill="FFFFFF"/>
        </w:rPr>
        <w:t>International Journal of Digital Research</w:t>
      </w:r>
      <w:r w:rsidRPr="00F30D0E">
        <w:rPr>
          <w:rFonts w:cs="Arial"/>
          <w:shd w:val="clear" w:color="auto" w:fill="FFFFFF"/>
        </w:rPr>
        <w:t>, </w:t>
      </w:r>
      <w:r w:rsidRPr="00F30D0E">
        <w:rPr>
          <w:rFonts w:cs="Arial"/>
          <w:i/>
          <w:iCs/>
          <w:shd w:val="clear" w:color="auto" w:fill="FFFFFF"/>
        </w:rPr>
        <w:t>1</w:t>
      </w:r>
      <w:r w:rsidRPr="00F30D0E">
        <w:rPr>
          <w:rFonts w:cs="Arial"/>
          <w:shd w:val="clear" w:color="auto" w:fill="FFFFFF"/>
        </w:rPr>
        <w:t>(3), pp.8-20.</w:t>
      </w:r>
    </w:p>
    <w:p w14:paraId="4A6B6DBF" w14:textId="77777777" w:rsidR="008D54E6" w:rsidRPr="00F30D0E" w:rsidRDefault="008D54E6" w:rsidP="00E950CC">
      <w:pPr>
        <w:spacing w:before="240"/>
        <w:rPr>
          <w:rFonts w:cs="Arial"/>
        </w:rPr>
      </w:pPr>
      <w:proofErr w:type="spellStart"/>
      <w:r w:rsidRPr="00F30D0E">
        <w:rPr>
          <w:rFonts w:cs="Arial"/>
        </w:rPr>
        <w:t>Karadzhov</w:t>
      </w:r>
      <w:proofErr w:type="spellEnd"/>
      <w:r w:rsidRPr="00F30D0E">
        <w:rPr>
          <w:rFonts w:cs="Arial"/>
        </w:rPr>
        <w:t>, V. and Patarchanova, E., (2025). How to create the best PESTEL analysis. </w:t>
      </w:r>
      <w:r w:rsidRPr="00F30D0E">
        <w:rPr>
          <w:rFonts w:cs="Arial"/>
          <w:i/>
          <w:iCs/>
        </w:rPr>
        <w:t>International Journal of Digital Research</w:t>
      </w:r>
      <w:r w:rsidRPr="00F30D0E">
        <w:rPr>
          <w:rFonts w:cs="Arial"/>
        </w:rPr>
        <w:t>, </w:t>
      </w:r>
      <w:r w:rsidRPr="00F30D0E">
        <w:rPr>
          <w:rFonts w:cs="Arial"/>
          <w:i/>
          <w:iCs/>
        </w:rPr>
        <w:t>1</w:t>
      </w:r>
      <w:r w:rsidRPr="00F30D0E">
        <w:rPr>
          <w:rFonts w:cs="Arial"/>
        </w:rPr>
        <w:t>(3), pp.8-20.</w:t>
      </w:r>
    </w:p>
    <w:p w14:paraId="165E1BBF" w14:textId="77777777" w:rsidR="008D54E6" w:rsidRPr="00F30D0E" w:rsidRDefault="008D54E6" w:rsidP="00E950CC">
      <w:pPr>
        <w:spacing w:before="240"/>
        <w:rPr>
          <w:rFonts w:cs="Arial"/>
        </w:rPr>
      </w:pPr>
      <w:r w:rsidRPr="00F30D0E">
        <w:rPr>
          <w:rFonts w:cs="Arial"/>
        </w:rPr>
        <w:t>Kaye, D. (2025). </w:t>
      </w:r>
      <w:r w:rsidRPr="00F30D0E">
        <w:rPr>
          <w:rFonts w:cs="Arial"/>
          <w:i/>
          <w:iCs/>
        </w:rPr>
        <w:t>Pizza Hut’s parent explores sale of struggling chain</w:t>
      </w:r>
      <w:r w:rsidRPr="00F30D0E">
        <w:rPr>
          <w:rFonts w:cs="Arial"/>
        </w:rPr>
        <w:t xml:space="preserve">. [online] Bbc.com. Available at: </w:t>
      </w:r>
      <w:hyperlink r:id="rId31" w:history="1">
        <w:r w:rsidRPr="00F30D0E">
          <w:rPr>
            <w:rStyle w:val="Hyperlink"/>
            <w:rFonts w:cs="Arial"/>
            <w:color w:val="auto"/>
          </w:rPr>
          <w:t>https://www.bbc.com/news/articles/c751xrz6wq7o</w:t>
        </w:r>
      </w:hyperlink>
      <w:r w:rsidRPr="00F30D0E">
        <w:rPr>
          <w:rFonts w:cs="Arial"/>
        </w:rPr>
        <w:t xml:space="preserve">  Accessed 22 June 2026].</w:t>
      </w:r>
    </w:p>
    <w:p w14:paraId="335B1C52" w14:textId="77777777" w:rsidR="008D54E6" w:rsidRPr="00F30D0E" w:rsidRDefault="008D54E6" w:rsidP="00E950CC">
      <w:pPr>
        <w:spacing w:before="240"/>
        <w:rPr>
          <w:rFonts w:cs="Arial"/>
        </w:rPr>
      </w:pPr>
      <w:r w:rsidRPr="00F30D0E">
        <w:rPr>
          <w:rFonts w:cs="Arial"/>
        </w:rPr>
        <w:t>Koppes, S. (2025). </w:t>
      </w:r>
      <w:r w:rsidRPr="00F30D0E">
        <w:rPr>
          <w:rFonts w:cs="Arial"/>
          <w:i/>
          <w:iCs/>
        </w:rPr>
        <w:t>Survey compares consumer food insights between U.S. and Australia</w:t>
      </w:r>
      <w:r w:rsidRPr="00F30D0E">
        <w:rPr>
          <w:rFonts w:cs="Arial"/>
        </w:rPr>
        <w:t xml:space="preserve">. [online] Purdue University - College of Agriculture. Available at: </w:t>
      </w:r>
      <w:hyperlink r:id="rId32" w:history="1">
        <w:r w:rsidRPr="00F30D0E">
          <w:rPr>
            <w:rStyle w:val="Hyperlink"/>
            <w:rFonts w:cs="Arial"/>
            <w:color w:val="auto"/>
          </w:rPr>
          <w:t>https://ag.purdue.edu/news/2025/11/survey-compares-consumer-food-insights-between-u.s-and-australia.html</w:t>
        </w:r>
      </w:hyperlink>
      <w:r w:rsidRPr="00F30D0E">
        <w:rPr>
          <w:rFonts w:cs="Arial"/>
        </w:rPr>
        <w:t xml:space="preserve">  [Accessed 7 July 2026].</w:t>
      </w:r>
    </w:p>
    <w:p w14:paraId="495A3687" w14:textId="77777777" w:rsidR="008D54E6" w:rsidRPr="00F30D0E" w:rsidRDefault="008D54E6" w:rsidP="00E950CC">
      <w:pPr>
        <w:spacing w:before="240"/>
        <w:rPr>
          <w:rFonts w:cs="Arial"/>
          <w:shd w:val="clear" w:color="auto" w:fill="FFFFFF"/>
        </w:rPr>
      </w:pPr>
      <w:r w:rsidRPr="00F30D0E">
        <w:rPr>
          <w:rFonts w:cs="Arial"/>
          <w:shd w:val="clear" w:color="auto" w:fill="FFFFFF"/>
        </w:rPr>
        <w:t xml:space="preserve">Kotler, P. and Armstrong, G., (2021). Principles of Marketing 18th </w:t>
      </w:r>
      <w:proofErr w:type="gramStart"/>
      <w:r w:rsidRPr="00F30D0E">
        <w:rPr>
          <w:rFonts w:cs="Arial"/>
          <w:shd w:val="clear" w:color="auto" w:fill="FFFFFF"/>
        </w:rPr>
        <w:t>ed.(</w:t>
      </w:r>
      <w:proofErr w:type="gramEnd"/>
      <w:r w:rsidRPr="00F30D0E">
        <w:rPr>
          <w:rFonts w:cs="Arial"/>
          <w:shd w:val="clear" w:color="auto" w:fill="FFFFFF"/>
        </w:rPr>
        <w:t>Global Ed.) Harlow.</w:t>
      </w:r>
    </w:p>
    <w:p w14:paraId="24EAB07C" w14:textId="77777777" w:rsidR="008D54E6" w:rsidRPr="00F30D0E" w:rsidRDefault="008D54E6" w:rsidP="00E950CC">
      <w:pPr>
        <w:spacing w:before="240"/>
        <w:rPr>
          <w:rFonts w:cs="Arial"/>
          <w:shd w:val="clear" w:color="auto" w:fill="FFFFFF"/>
        </w:rPr>
      </w:pPr>
      <w:r w:rsidRPr="00F30D0E">
        <w:rPr>
          <w:rFonts w:cs="Arial"/>
          <w:shd w:val="clear" w:color="auto" w:fill="FFFFFF"/>
        </w:rPr>
        <w:t>Kotler, P. and Keller, K.L., (2016). A Framework for Marketing Management-6/E.</w:t>
      </w:r>
    </w:p>
    <w:p w14:paraId="5A815DE9" w14:textId="77777777" w:rsidR="008D54E6" w:rsidRPr="00F30D0E" w:rsidRDefault="008D54E6" w:rsidP="00E950CC">
      <w:pPr>
        <w:spacing w:before="240"/>
        <w:rPr>
          <w:rFonts w:cs="Arial"/>
        </w:rPr>
      </w:pPr>
      <w:r w:rsidRPr="00F30D0E">
        <w:rPr>
          <w:rFonts w:cs="Arial"/>
        </w:rPr>
        <w:lastRenderedPageBreak/>
        <w:t>Maze, J. (2025). </w:t>
      </w:r>
      <w:r w:rsidRPr="00F30D0E">
        <w:rPr>
          <w:rFonts w:cs="Arial"/>
          <w:i/>
          <w:iCs/>
        </w:rPr>
        <w:t>Yum Brands waves the white flag on Pizza Hut</w:t>
      </w:r>
      <w:r w:rsidRPr="00F30D0E">
        <w:rPr>
          <w:rFonts w:cs="Arial"/>
        </w:rPr>
        <w:t xml:space="preserve">. [online] Restaurant Business. Available at: </w:t>
      </w:r>
      <w:hyperlink r:id="rId33" w:history="1">
        <w:r w:rsidRPr="00F30D0E">
          <w:rPr>
            <w:rStyle w:val="Hyperlink"/>
            <w:rFonts w:cs="Arial"/>
            <w:color w:val="auto"/>
          </w:rPr>
          <w:t>https://www.restaurantbusinessonline.com/financing/yum-brands-waves-white-flag-pizza-hut</w:t>
        </w:r>
      </w:hyperlink>
      <w:r w:rsidRPr="00F30D0E">
        <w:rPr>
          <w:rFonts w:cs="Arial"/>
        </w:rPr>
        <w:t xml:space="preserve">  [Accessed 7 July 2026].</w:t>
      </w:r>
    </w:p>
    <w:p w14:paraId="2FFC9DD2" w14:textId="77777777" w:rsidR="008D54E6" w:rsidRPr="00F30D0E" w:rsidRDefault="008D54E6" w:rsidP="00E950CC">
      <w:pPr>
        <w:spacing w:before="240"/>
        <w:rPr>
          <w:rFonts w:cs="Arial"/>
          <w:shd w:val="clear" w:color="auto" w:fill="FFFFFF"/>
        </w:rPr>
      </w:pPr>
      <w:r w:rsidRPr="00F30D0E">
        <w:rPr>
          <w:rFonts w:cs="Arial"/>
          <w:shd w:val="clear" w:color="auto" w:fill="FFFFFF"/>
        </w:rPr>
        <w:t>McSweeney, B., 2002. Hofstede’s model of national cultural differences and their consequences: A triumph of faith-a failure of analysis. </w:t>
      </w:r>
      <w:r w:rsidRPr="00F30D0E">
        <w:rPr>
          <w:rFonts w:cs="Arial"/>
          <w:i/>
          <w:iCs/>
          <w:shd w:val="clear" w:color="auto" w:fill="FFFFFF"/>
        </w:rPr>
        <w:t>Human relations</w:t>
      </w:r>
      <w:r w:rsidRPr="00F30D0E">
        <w:rPr>
          <w:rFonts w:cs="Arial"/>
          <w:shd w:val="clear" w:color="auto" w:fill="FFFFFF"/>
        </w:rPr>
        <w:t>, </w:t>
      </w:r>
      <w:r w:rsidRPr="00F30D0E">
        <w:rPr>
          <w:rFonts w:cs="Arial"/>
          <w:i/>
          <w:iCs/>
          <w:shd w:val="clear" w:color="auto" w:fill="FFFFFF"/>
        </w:rPr>
        <w:t>55</w:t>
      </w:r>
      <w:r w:rsidRPr="00F30D0E">
        <w:rPr>
          <w:rFonts w:cs="Arial"/>
          <w:shd w:val="clear" w:color="auto" w:fill="FFFFFF"/>
        </w:rPr>
        <w:t>(1), pp.89-118.</w:t>
      </w:r>
    </w:p>
    <w:p w14:paraId="093F4388" w14:textId="77777777" w:rsidR="008D54E6" w:rsidRPr="005034B2" w:rsidRDefault="008D54E6" w:rsidP="00E950CC">
      <w:pPr>
        <w:spacing w:before="240"/>
        <w:rPr>
          <w:rFonts w:cs="Arial"/>
          <w:color w:val="000000"/>
        </w:rPr>
      </w:pPr>
      <w:r w:rsidRPr="005034B2">
        <w:rPr>
          <w:rFonts w:cs="Arial"/>
          <w:color w:val="000000"/>
        </w:rPr>
        <w:t>Packaging Gateway (2024). </w:t>
      </w:r>
      <w:r w:rsidRPr="005034B2">
        <w:rPr>
          <w:rFonts w:cs="Arial"/>
          <w:i/>
          <w:iCs/>
          <w:color w:val="000000"/>
        </w:rPr>
        <w:t>Pizza Hut introduces new box that turns into mini table</w:t>
      </w:r>
      <w:r w:rsidRPr="005034B2">
        <w:rPr>
          <w:rFonts w:cs="Arial"/>
          <w:color w:val="000000"/>
        </w:rPr>
        <w:t>. [online] Packaging Gateway. Available at: https://www.packaging-gateway.com/news/pizza-hut-packaging-box-table/?cf-view [Accessed 24 July 2026].</w:t>
      </w:r>
    </w:p>
    <w:p w14:paraId="5B0E5B65" w14:textId="77777777" w:rsidR="008D54E6" w:rsidRPr="00F30D0E" w:rsidRDefault="008D54E6" w:rsidP="00E950CC">
      <w:pPr>
        <w:spacing w:before="240"/>
        <w:rPr>
          <w:rFonts w:cs="Arial"/>
        </w:rPr>
      </w:pPr>
      <w:r w:rsidRPr="00F30D0E">
        <w:rPr>
          <w:rFonts w:cs="Arial"/>
        </w:rPr>
        <w:t>Pereira, D. (2025). </w:t>
      </w:r>
      <w:r w:rsidRPr="00F30D0E">
        <w:rPr>
          <w:rFonts w:cs="Arial"/>
          <w:i/>
          <w:iCs/>
        </w:rPr>
        <w:t>Pizza Hut Target Market Analysis</w:t>
      </w:r>
      <w:r w:rsidRPr="00F30D0E">
        <w:rPr>
          <w:rFonts w:cs="Arial"/>
        </w:rPr>
        <w:t xml:space="preserve">. [online] Business Model Analyst. Available at: </w:t>
      </w:r>
      <w:hyperlink r:id="rId34" w:history="1">
        <w:r w:rsidRPr="00F30D0E">
          <w:rPr>
            <w:rStyle w:val="Hyperlink"/>
            <w:rFonts w:cs="Arial"/>
            <w:color w:val="auto"/>
          </w:rPr>
          <w:t>https://businessmodelanalyst.com/pizza-hut-target-market-analysis/?srsltid=AfmBOoqAmIZlyscPHVmZq8EXvKUn1LGuUldrst_bDwhb00a9XrJYXSEk</w:t>
        </w:r>
      </w:hyperlink>
      <w:r w:rsidRPr="00F30D0E">
        <w:rPr>
          <w:rFonts w:cs="Arial"/>
        </w:rPr>
        <w:t xml:space="preserve">  [Accessed 7 July 2026].</w:t>
      </w:r>
    </w:p>
    <w:p w14:paraId="50D52B39" w14:textId="77777777" w:rsidR="008D54E6" w:rsidRDefault="008D54E6" w:rsidP="008D54E6">
      <w:pPr>
        <w:spacing w:before="240"/>
        <w:rPr>
          <w:rFonts w:cs="Arial"/>
          <w:color w:val="000000"/>
        </w:rPr>
      </w:pPr>
      <w:r w:rsidRPr="008D54E6">
        <w:rPr>
          <w:rFonts w:cs="Arial"/>
        </w:rPr>
        <w:t>Pinterest. (2026). [online] Available at: https://fr.pinterest.com/pin/calorie-count-of-pizza-hut-pizzas--1040824163860099977/ [Accessed 7 Aug. 2026].</w:t>
      </w:r>
    </w:p>
    <w:p w14:paraId="1CE81B60" w14:textId="77777777" w:rsidR="008D54E6" w:rsidRPr="00F30D0E" w:rsidRDefault="008D54E6" w:rsidP="00E950CC">
      <w:pPr>
        <w:spacing w:before="240"/>
        <w:rPr>
          <w:rFonts w:cs="Arial"/>
        </w:rPr>
      </w:pPr>
      <w:r w:rsidRPr="00F30D0E">
        <w:rPr>
          <w:rFonts w:cs="Arial"/>
        </w:rPr>
        <w:t>Pizza Hut (2026). </w:t>
      </w:r>
      <w:r w:rsidRPr="00F30D0E">
        <w:rPr>
          <w:rFonts w:cs="Arial"/>
          <w:i/>
          <w:iCs/>
        </w:rPr>
        <w:t>Pizza Hut Mission, Vision &amp; Values</w:t>
      </w:r>
      <w:r w:rsidRPr="00F30D0E">
        <w:rPr>
          <w:rFonts w:cs="Arial"/>
        </w:rPr>
        <w:t xml:space="preserve">. [online] Comparably. Available at: </w:t>
      </w:r>
      <w:hyperlink r:id="rId35" w:history="1">
        <w:r w:rsidRPr="00F30D0E">
          <w:rPr>
            <w:rStyle w:val="Hyperlink"/>
            <w:rFonts w:cs="Arial"/>
            <w:color w:val="auto"/>
          </w:rPr>
          <w:t>https://www.comparably.com/companies/pizza-hut/mission</w:t>
        </w:r>
      </w:hyperlink>
      <w:r w:rsidRPr="00F30D0E">
        <w:rPr>
          <w:rFonts w:cs="Arial"/>
        </w:rPr>
        <w:t xml:space="preserve">  [Accessed 18 July 2026].</w:t>
      </w:r>
    </w:p>
    <w:p w14:paraId="0F6EFA69" w14:textId="77777777" w:rsidR="008D54E6" w:rsidRPr="005965B0" w:rsidRDefault="008D54E6" w:rsidP="00E950CC">
      <w:pPr>
        <w:pStyle w:val="NormalWeb"/>
        <w:spacing w:before="240" w:beforeAutospacing="0" w:after="0" w:afterAutospacing="0" w:line="360" w:lineRule="auto"/>
        <w:rPr>
          <w:rFonts w:cs="Arial"/>
          <w:lang w:val="it-IT"/>
        </w:rPr>
      </w:pPr>
      <w:r w:rsidRPr="00F30D0E">
        <w:rPr>
          <w:rFonts w:cs="Arial"/>
        </w:rPr>
        <w:t xml:space="preserve">Pizza Hut. (2022). Wings: Flavors this bold deserve wings this big. </w:t>
      </w:r>
      <w:r w:rsidRPr="005965B0">
        <w:rPr>
          <w:rFonts w:cs="Arial"/>
          <w:lang w:val="it-IT"/>
        </w:rPr>
        <w:t xml:space="preserve">In </w:t>
      </w:r>
      <w:r w:rsidRPr="005965B0">
        <w:rPr>
          <w:rFonts w:cs="Arial"/>
          <w:i/>
          <w:iCs/>
          <w:lang w:val="it-IT"/>
        </w:rPr>
        <w:t>Pizzahut.com</w:t>
      </w:r>
      <w:r w:rsidRPr="005965B0">
        <w:rPr>
          <w:rFonts w:cs="Arial"/>
          <w:lang w:val="it-IT"/>
        </w:rPr>
        <w:t>. https://www.pizzahut.com/menu/wings</w:t>
      </w:r>
    </w:p>
    <w:p w14:paraId="2F893B07" w14:textId="77777777" w:rsidR="008D54E6" w:rsidRDefault="008D54E6" w:rsidP="008D54E6">
      <w:pPr>
        <w:spacing w:before="240"/>
        <w:rPr>
          <w:rFonts w:cs="Arial"/>
          <w:color w:val="000000"/>
        </w:rPr>
      </w:pPr>
      <w:proofErr w:type="spellStart"/>
      <w:r w:rsidRPr="00B6499C">
        <w:rPr>
          <w:rFonts w:cs="Arial"/>
          <w:lang w:val="it-IT"/>
        </w:rPr>
        <w:t>Pizzahut.co.in</w:t>
      </w:r>
      <w:proofErr w:type="spellEnd"/>
      <w:r w:rsidRPr="00B6499C">
        <w:rPr>
          <w:rFonts w:cs="Arial"/>
          <w:lang w:val="it-IT"/>
        </w:rPr>
        <w:t>. (2026). </w:t>
      </w:r>
      <w:r w:rsidRPr="008D54E6">
        <w:rPr>
          <w:rFonts w:cs="Arial"/>
          <w:i/>
          <w:iCs/>
        </w:rPr>
        <w:t>Order Pizza for Delivery from Pizza Hut India | Pizza Hut IN</w:t>
      </w:r>
      <w:r w:rsidRPr="008D54E6">
        <w:rPr>
          <w:rFonts w:cs="Arial"/>
        </w:rPr>
        <w:t>. [online] Available at: https://www.pizzahut.co.in/menu/pizzas [Accessed 7 Aug. 2026].</w:t>
      </w:r>
    </w:p>
    <w:p w14:paraId="3EAA4DD1" w14:textId="77777777" w:rsidR="008D54E6" w:rsidRDefault="008D54E6" w:rsidP="008D54E6">
      <w:pPr>
        <w:spacing w:before="240"/>
        <w:rPr>
          <w:rFonts w:cs="Arial"/>
          <w:color w:val="000000"/>
        </w:rPr>
      </w:pPr>
      <w:r w:rsidRPr="008D54E6">
        <w:rPr>
          <w:rFonts w:cs="Arial"/>
        </w:rPr>
        <w:t>Pizzahut.com.au. (2026). [online] Available at: https://www.pizzahut.com.au/ [Accessed 7 Aug. 2026].</w:t>
      </w:r>
    </w:p>
    <w:p w14:paraId="26780F56" w14:textId="77777777" w:rsidR="008D54E6" w:rsidRDefault="008D54E6" w:rsidP="008D54E6">
      <w:pPr>
        <w:spacing w:before="240"/>
        <w:rPr>
          <w:rFonts w:cs="Arial"/>
          <w:color w:val="000000"/>
        </w:rPr>
      </w:pPr>
      <w:proofErr w:type="spellStart"/>
      <w:r w:rsidRPr="008D54E6">
        <w:rPr>
          <w:rFonts w:cs="Arial"/>
        </w:rPr>
        <w:t>pizzahutproject</w:t>
      </w:r>
      <w:proofErr w:type="spellEnd"/>
      <w:r w:rsidRPr="008D54E6">
        <w:rPr>
          <w:rFonts w:cs="Arial"/>
        </w:rPr>
        <w:t xml:space="preserve"> (2024). </w:t>
      </w:r>
      <w:r w:rsidRPr="008D54E6">
        <w:rPr>
          <w:rFonts w:cs="Arial"/>
          <w:i/>
          <w:iCs/>
        </w:rPr>
        <w:t>Post by @pizzahutproject</w:t>
      </w:r>
      <w:r w:rsidRPr="008D54E6">
        <w:rPr>
          <w:rFonts w:cs="Arial"/>
        </w:rPr>
        <w:t>. [online] Tumblr. Available at: https://www.tumblr.com/pizzahutproject/102296946115/pizza-huts-targetswot-analysis [Accessed 7 Aug. 2026].</w:t>
      </w:r>
    </w:p>
    <w:p w14:paraId="66F129DC" w14:textId="77777777" w:rsidR="008D54E6" w:rsidRPr="00134B09" w:rsidRDefault="008D54E6" w:rsidP="00E950CC">
      <w:pPr>
        <w:spacing w:before="240"/>
        <w:rPr>
          <w:rFonts w:cs="Arial"/>
          <w:color w:val="000000"/>
        </w:rPr>
      </w:pPr>
      <w:r w:rsidRPr="00B6499C">
        <w:rPr>
          <w:rFonts w:cs="Arial"/>
          <w:color w:val="000000"/>
          <w:lang w:val="en-US"/>
        </w:rPr>
        <w:lastRenderedPageBreak/>
        <w:t>QSR Media (2024). </w:t>
      </w:r>
      <w:r w:rsidRPr="00134B09">
        <w:rPr>
          <w:rFonts w:cs="Arial"/>
          <w:i/>
          <w:iCs/>
          <w:color w:val="000000"/>
        </w:rPr>
        <w:t>What Pizza Hut’s restaurant of the future may look like</w:t>
      </w:r>
      <w:r w:rsidRPr="00134B09">
        <w:rPr>
          <w:rFonts w:cs="Arial"/>
          <w:color w:val="000000"/>
        </w:rPr>
        <w:t>. [online] QSR Media Australia. Available at: https://qsrmedia.com.au/international/news/what-pizza-huts-restaurant-future-may-look [Accessed 24 July 2026].</w:t>
      </w:r>
    </w:p>
    <w:p w14:paraId="4CDFD209" w14:textId="77777777" w:rsidR="008D54E6" w:rsidRPr="00F30D0E" w:rsidRDefault="008D54E6" w:rsidP="00E950CC">
      <w:pPr>
        <w:pStyle w:val="NormalWeb"/>
        <w:spacing w:before="240" w:beforeAutospacing="0" w:after="0" w:afterAutospacing="0" w:line="360" w:lineRule="auto"/>
        <w:jc w:val="both"/>
        <w:rPr>
          <w:rFonts w:cs="Arial"/>
        </w:rPr>
      </w:pPr>
      <w:r w:rsidRPr="00F30D0E">
        <w:rPr>
          <w:rFonts w:cs="Arial"/>
        </w:rPr>
        <w:t>‌</w:t>
      </w:r>
      <w:r w:rsidRPr="00F30D0E">
        <w:rPr>
          <w:rFonts w:cs="Arial"/>
          <w:shd w:val="clear" w:color="auto" w:fill="FFFFFF"/>
        </w:rPr>
        <w:t xml:space="preserve">Soares, A.M., </w:t>
      </w:r>
      <w:proofErr w:type="spellStart"/>
      <w:r w:rsidRPr="00F30D0E">
        <w:rPr>
          <w:rFonts w:cs="Arial"/>
          <w:shd w:val="clear" w:color="auto" w:fill="FFFFFF"/>
        </w:rPr>
        <w:t>Farhangmehr</w:t>
      </w:r>
      <w:proofErr w:type="spellEnd"/>
      <w:r w:rsidRPr="00F30D0E">
        <w:rPr>
          <w:rFonts w:cs="Arial"/>
          <w:shd w:val="clear" w:color="auto" w:fill="FFFFFF"/>
        </w:rPr>
        <w:t>, M. and Shoham, A., (2007). Hofstede's dimensions of culture in international marketing studies. </w:t>
      </w:r>
      <w:r w:rsidRPr="00F30D0E">
        <w:rPr>
          <w:rFonts w:cs="Arial"/>
          <w:i/>
          <w:iCs/>
          <w:shd w:val="clear" w:color="auto" w:fill="FFFFFF"/>
        </w:rPr>
        <w:t>Journal of business research</w:t>
      </w:r>
      <w:r w:rsidRPr="00F30D0E">
        <w:rPr>
          <w:rFonts w:cs="Arial"/>
          <w:shd w:val="clear" w:color="auto" w:fill="FFFFFF"/>
        </w:rPr>
        <w:t>, </w:t>
      </w:r>
      <w:r w:rsidRPr="00F30D0E">
        <w:rPr>
          <w:rFonts w:cs="Arial"/>
          <w:i/>
          <w:iCs/>
          <w:shd w:val="clear" w:color="auto" w:fill="FFFFFF"/>
        </w:rPr>
        <w:t>60</w:t>
      </w:r>
      <w:r w:rsidRPr="00F30D0E">
        <w:rPr>
          <w:rFonts w:cs="Arial"/>
          <w:shd w:val="clear" w:color="auto" w:fill="FFFFFF"/>
        </w:rPr>
        <w:t>(3), pp.277-284.</w:t>
      </w:r>
    </w:p>
    <w:p w14:paraId="41897970" w14:textId="77777777" w:rsidR="008D54E6" w:rsidRPr="00F30D0E" w:rsidRDefault="008D54E6" w:rsidP="00E950CC">
      <w:pPr>
        <w:spacing w:before="240"/>
        <w:rPr>
          <w:rFonts w:cs="Arial"/>
        </w:rPr>
      </w:pPr>
      <w:r w:rsidRPr="00F30D0E">
        <w:rPr>
          <w:rFonts w:cs="Arial"/>
        </w:rPr>
        <w:t>Trading Economics (2026). </w:t>
      </w:r>
      <w:r w:rsidRPr="00F30D0E">
        <w:rPr>
          <w:rFonts w:cs="Arial"/>
          <w:i/>
          <w:iCs/>
        </w:rPr>
        <w:t>INFLATION RATE by Country in G20</w:t>
      </w:r>
      <w:r w:rsidRPr="00F30D0E">
        <w:rPr>
          <w:rFonts w:cs="Arial"/>
        </w:rPr>
        <w:t xml:space="preserve">. [online] Tradingeconomics.com. Available at: </w:t>
      </w:r>
      <w:hyperlink r:id="rId36" w:history="1">
        <w:r w:rsidRPr="00F30D0E">
          <w:rPr>
            <w:rStyle w:val="Hyperlink"/>
            <w:rFonts w:cs="Arial"/>
            <w:color w:val="auto"/>
          </w:rPr>
          <w:t>https://tradingeconomics.com/country-list/inflation-rate</w:t>
        </w:r>
      </w:hyperlink>
      <w:r w:rsidRPr="00F30D0E">
        <w:rPr>
          <w:rFonts w:cs="Arial"/>
        </w:rPr>
        <w:t xml:space="preserve">  [Accessed 18 July 2026].</w:t>
      </w:r>
    </w:p>
    <w:p w14:paraId="5204932E" w14:textId="77777777" w:rsidR="008D54E6" w:rsidRPr="00F30D0E" w:rsidRDefault="008D54E6" w:rsidP="00E950CC">
      <w:pPr>
        <w:spacing w:before="240"/>
        <w:rPr>
          <w:rFonts w:cs="Arial"/>
          <w:shd w:val="clear" w:color="auto" w:fill="FFFFFF"/>
        </w:rPr>
      </w:pPr>
      <w:r w:rsidRPr="00F30D0E">
        <w:rPr>
          <w:rFonts w:cs="Arial"/>
          <w:shd w:val="clear" w:color="auto" w:fill="FFFFFF"/>
        </w:rPr>
        <w:t>Verhoef, P.C., Broekhuizen, T., Bart, Y., Bhattacharya, A., Dong, J.Q., Fabian, N. and Haenlein, M., (2021). Digital transformation: A multidisciplinary reflection and research agenda. </w:t>
      </w:r>
      <w:r w:rsidRPr="00F30D0E">
        <w:rPr>
          <w:rFonts w:cs="Arial"/>
          <w:i/>
          <w:iCs/>
          <w:shd w:val="clear" w:color="auto" w:fill="FFFFFF"/>
        </w:rPr>
        <w:t>Journal of business research</w:t>
      </w:r>
      <w:r w:rsidRPr="00F30D0E">
        <w:rPr>
          <w:rFonts w:cs="Arial"/>
          <w:shd w:val="clear" w:color="auto" w:fill="FFFFFF"/>
        </w:rPr>
        <w:t>, </w:t>
      </w:r>
      <w:r w:rsidRPr="00F30D0E">
        <w:rPr>
          <w:rFonts w:cs="Arial"/>
          <w:i/>
          <w:iCs/>
          <w:shd w:val="clear" w:color="auto" w:fill="FFFFFF"/>
        </w:rPr>
        <w:t>122</w:t>
      </w:r>
      <w:r w:rsidRPr="00F30D0E">
        <w:rPr>
          <w:rFonts w:cs="Arial"/>
          <w:shd w:val="clear" w:color="auto" w:fill="FFFFFF"/>
        </w:rPr>
        <w:t>, pp.889-901.</w:t>
      </w:r>
    </w:p>
    <w:p w14:paraId="148F2F38" w14:textId="77777777" w:rsidR="008D54E6" w:rsidRPr="00F30D0E" w:rsidRDefault="008D54E6" w:rsidP="00E950CC">
      <w:pPr>
        <w:spacing w:before="240"/>
        <w:rPr>
          <w:rFonts w:cs="Arial"/>
        </w:rPr>
      </w:pPr>
      <w:r w:rsidRPr="00F30D0E">
        <w:rPr>
          <w:rFonts w:cs="Arial"/>
        </w:rPr>
        <w:t>‌World Bank (2025). </w:t>
      </w:r>
      <w:r w:rsidRPr="00F30D0E">
        <w:rPr>
          <w:rFonts w:cs="Arial"/>
          <w:i/>
          <w:iCs/>
        </w:rPr>
        <w:t>World Bank Open Data</w:t>
      </w:r>
      <w:r w:rsidRPr="00F30D0E">
        <w:rPr>
          <w:rFonts w:cs="Arial"/>
        </w:rPr>
        <w:t xml:space="preserve">. [online] World Bank Open Data. Available at: </w:t>
      </w:r>
      <w:hyperlink r:id="rId37" w:history="1">
        <w:r w:rsidRPr="00F30D0E">
          <w:rPr>
            <w:rStyle w:val="Hyperlink"/>
            <w:rFonts w:cs="Arial"/>
            <w:color w:val="auto"/>
          </w:rPr>
          <w:t>https://data.worldbank.org/indicator/NY.GDP.MKTP.CD</w:t>
        </w:r>
      </w:hyperlink>
      <w:r w:rsidRPr="00F30D0E">
        <w:rPr>
          <w:rFonts w:cs="Arial"/>
        </w:rPr>
        <w:t xml:space="preserve">  [Accessed 7 July 2026].</w:t>
      </w:r>
    </w:p>
    <w:p w14:paraId="54133336" w14:textId="77777777" w:rsidR="008D54E6" w:rsidRPr="008D54E6" w:rsidRDefault="008D54E6" w:rsidP="008D54E6">
      <w:pPr>
        <w:spacing w:before="240"/>
        <w:rPr>
          <w:rFonts w:cs="Arial"/>
          <w:color w:val="000000"/>
        </w:rPr>
      </w:pPr>
      <w:r w:rsidRPr="008D54E6">
        <w:rPr>
          <w:rFonts w:cs="Arial"/>
        </w:rPr>
        <w:t xml:space="preserve">Yayla, Ö. and Aktaş, S.G., 2021. Mise </w:t>
      </w:r>
      <w:proofErr w:type="spellStart"/>
      <w:r w:rsidRPr="008D54E6">
        <w:rPr>
          <w:rFonts w:cs="Arial"/>
        </w:rPr>
        <w:t>en</w:t>
      </w:r>
      <w:proofErr w:type="spellEnd"/>
      <w:r w:rsidRPr="008D54E6">
        <w:rPr>
          <w:rFonts w:cs="Arial"/>
        </w:rPr>
        <w:t xml:space="preserve"> place for gastronomy geography through food: </w:t>
      </w:r>
      <w:proofErr w:type="spellStart"/>
      <w:r w:rsidRPr="008D54E6">
        <w:rPr>
          <w:rFonts w:cs="Arial"/>
        </w:rPr>
        <w:t>Flavor</w:t>
      </w:r>
      <w:proofErr w:type="spellEnd"/>
      <w:r w:rsidRPr="008D54E6">
        <w:rPr>
          <w:rFonts w:cs="Arial"/>
        </w:rPr>
        <w:t xml:space="preserve"> regions in Turkey. </w:t>
      </w:r>
      <w:r w:rsidRPr="008D54E6">
        <w:rPr>
          <w:rFonts w:cs="Arial"/>
          <w:i/>
          <w:iCs/>
        </w:rPr>
        <w:t>International Journal of Gastronomy and Food Science</w:t>
      </w:r>
      <w:r w:rsidRPr="008D54E6">
        <w:rPr>
          <w:rFonts w:cs="Arial"/>
        </w:rPr>
        <w:t>, </w:t>
      </w:r>
      <w:r w:rsidRPr="008D54E6">
        <w:rPr>
          <w:rFonts w:cs="Arial"/>
          <w:i/>
          <w:iCs/>
        </w:rPr>
        <w:t>26</w:t>
      </w:r>
      <w:r w:rsidRPr="008D54E6">
        <w:rPr>
          <w:rFonts w:cs="Arial"/>
        </w:rPr>
        <w:t>, p.100384.</w:t>
      </w:r>
    </w:p>
    <w:p w14:paraId="7FA07D79" w14:textId="77777777" w:rsidR="008D54E6" w:rsidRDefault="008D54E6" w:rsidP="008D54E6">
      <w:pPr>
        <w:spacing w:before="240"/>
        <w:rPr>
          <w:rFonts w:cs="Arial"/>
          <w:color w:val="000000"/>
        </w:rPr>
      </w:pPr>
      <w:r w:rsidRPr="00870C46">
        <w:rPr>
          <w:rFonts w:cs="Arial"/>
          <w:color w:val="000000"/>
        </w:rPr>
        <w:t>Yum.com. (2026). </w:t>
      </w:r>
      <w:r w:rsidRPr="00870C46">
        <w:rPr>
          <w:rFonts w:cs="Arial"/>
          <w:i/>
          <w:iCs/>
          <w:color w:val="000000"/>
        </w:rPr>
        <w:t>Retro Pizza Hut locations bring back red roofs, red cups and nostalgic dining experiences</w:t>
      </w:r>
      <w:r w:rsidRPr="00870C46">
        <w:rPr>
          <w:rFonts w:cs="Arial"/>
          <w:color w:val="000000"/>
        </w:rPr>
        <w:t>. [online] Available at: https://www.yum.com/wps/portal/yumbrands/Yumbrands/news/company-stories-article/retro+pizza+hut+locations+bring+back+red+roofs+red+cups+and+nostalgic+dining+experiences [Accessed 24 July 2026].</w:t>
      </w:r>
    </w:p>
    <w:p w14:paraId="065ED01B" w14:textId="77777777" w:rsidR="00E950CC" w:rsidRPr="00BD04C6" w:rsidRDefault="00E950CC" w:rsidP="00BD04C6">
      <w:pPr>
        <w:spacing w:after="240"/>
        <w:rPr>
          <w:rFonts w:cs="Arial"/>
        </w:rPr>
      </w:pPr>
    </w:p>
    <w:sectPr w:rsidR="00E950CC" w:rsidRPr="00BD04C6">
      <w:footerReference w:type="default" r:id="rId3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AFE17A0" w14:textId="77777777" w:rsidR="00244F26" w:rsidRDefault="00244F26" w:rsidP="00A23C76">
      <w:pPr>
        <w:spacing w:line="240" w:lineRule="auto"/>
      </w:pPr>
      <w:r>
        <w:separator/>
      </w:r>
    </w:p>
  </w:endnote>
  <w:endnote w:type="continuationSeparator" w:id="0">
    <w:p w14:paraId="43A6E5B7" w14:textId="77777777" w:rsidR="00244F26" w:rsidRDefault="00244F26" w:rsidP="00A23C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rial MT">
    <w:altName w:val="Arial"/>
    <w:panose1 w:val="020B0604020202020204"/>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07765747"/>
      <w:docPartObj>
        <w:docPartGallery w:val="Page Numbers (Bottom of Page)"/>
        <w:docPartUnique/>
      </w:docPartObj>
    </w:sdtPr>
    <w:sdtEndPr>
      <w:rPr>
        <w:noProof/>
      </w:rPr>
    </w:sdtEndPr>
    <w:sdtContent>
      <w:p w14:paraId="04C7BF3F" w14:textId="77777777" w:rsidR="00A23C76" w:rsidRDefault="00A23C76" w:rsidP="00A23C76">
        <w:pPr>
          <w:pStyle w:val="Footer"/>
          <w:jc w:val="right"/>
        </w:pPr>
        <w:r>
          <w:fldChar w:fldCharType="begin"/>
        </w:r>
        <w:r>
          <w:instrText xml:space="preserve"> PAGE   \* MERGEFORMAT </w:instrText>
        </w:r>
        <w:r>
          <w:fldChar w:fldCharType="separate"/>
        </w:r>
        <w:r w:rsidR="007304E4">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9CA87D9" w14:textId="77777777" w:rsidR="00244F26" w:rsidRDefault="00244F26" w:rsidP="00A23C76">
      <w:pPr>
        <w:spacing w:line="240" w:lineRule="auto"/>
      </w:pPr>
      <w:r>
        <w:separator/>
      </w:r>
    </w:p>
  </w:footnote>
  <w:footnote w:type="continuationSeparator" w:id="0">
    <w:p w14:paraId="317C08BE" w14:textId="77777777" w:rsidR="00244F26" w:rsidRDefault="00244F26" w:rsidP="00A23C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E9438C6"/>
    <w:multiLevelType w:val="hybridMultilevel"/>
    <w:tmpl w:val="79566B8E"/>
    <w:lvl w:ilvl="0" w:tplc="AF469F20">
      <w:start w:val="1"/>
      <w:numFmt w:val="bullet"/>
      <w:lvlText w:val="●"/>
      <w:lvlJc w:val="left"/>
      <w:pPr>
        <w:ind w:left="720" w:hanging="360"/>
      </w:pPr>
    </w:lvl>
    <w:lvl w:ilvl="1" w:tplc="1152B4C8">
      <w:start w:val="1"/>
      <w:numFmt w:val="bullet"/>
      <w:lvlText w:val="○"/>
      <w:lvlJc w:val="left"/>
      <w:pPr>
        <w:ind w:left="1440" w:hanging="360"/>
      </w:pPr>
    </w:lvl>
    <w:lvl w:ilvl="2" w:tplc="FE524760">
      <w:start w:val="1"/>
      <w:numFmt w:val="bullet"/>
      <w:lvlText w:val="■"/>
      <w:lvlJc w:val="left"/>
      <w:pPr>
        <w:ind w:left="2160" w:hanging="360"/>
      </w:pPr>
    </w:lvl>
    <w:lvl w:ilvl="3" w:tplc="8FD0C63E">
      <w:start w:val="1"/>
      <w:numFmt w:val="bullet"/>
      <w:lvlText w:val="●"/>
      <w:lvlJc w:val="left"/>
      <w:pPr>
        <w:ind w:left="2880" w:hanging="360"/>
      </w:pPr>
    </w:lvl>
    <w:lvl w:ilvl="4" w:tplc="E18C44DA">
      <w:start w:val="1"/>
      <w:numFmt w:val="bullet"/>
      <w:lvlText w:val="○"/>
      <w:lvlJc w:val="left"/>
      <w:pPr>
        <w:ind w:left="3600" w:hanging="360"/>
      </w:pPr>
    </w:lvl>
    <w:lvl w:ilvl="5" w:tplc="E3502D92">
      <w:start w:val="1"/>
      <w:numFmt w:val="bullet"/>
      <w:lvlText w:val="■"/>
      <w:lvlJc w:val="left"/>
      <w:pPr>
        <w:ind w:left="4320" w:hanging="360"/>
      </w:pPr>
    </w:lvl>
    <w:lvl w:ilvl="6" w:tplc="8C56378A">
      <w:start w:val="1"/>
      <w:numFmt w:val="bullet"/>
      <w:lvlText w:val="●"/>
      <w:lvlJc w:val="left"/>
      <w:pPr>
        <w:ind w:left="5040" w:hanging="360"/>
      </w:pPr>
    </w:lvl>
    <w:lvl w:ilvl="7" w:tplc="2C74EBE0">
      <w:start w:val="1"/>
      <w:numFmt w:val="bullet"/>
      <w:lvlText w:val="●"/>
      <w:lvlJc w:val="left"/>
      <w:pPr>
        <w:ind w:left="5760" w:hanging="360"/>
      </w:pPr>
    </w:lvl>
    <w:lvl w:ilvl="8" w:tplc="A5568882">
      <w:start w:val="1"/>
      <w:numFmt w:val="bullet"/>
      <w:lvlText w:val="●"/>
      <w:lvlJc w:val="left"/>
      <w:pPr>
        <w:ind w:left="6480" w:hanging="360"/>
      </w:pPr>
    </w:lvl>
  </w:abstractNum>
  <w:abstractNum w:abstractNumId="1" w15:restartNumberingAfterBreak="0">
    <w:nsid w:val="317C2B9D"/>
    <w:multiLevelType w:val="hybridMultilevel"/>
    <w:tmpl w:val="C428D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FE5751"/>
    <w:multiLevelType w:val="hybridMultilevel"/>
    <w:tmpl w:val="0F626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365164">
    <w:abstractNumId w:val="0"/>
    <w:lvlOverride w:ilvl="0">
      <w:startOverride w:val="1"/>
    </w:lvlOverride>
  </w:num>
  <w:num w:numId="2" w16cid:durableId="1451778037">
    <w:abstractNumId w:val="2"/>
  </w:num>
  <w:num w:numId="3" w16cid:durableId="217205363">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9"/>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436"/>
    <w:rsid w:val="00006543"/>
    <w:rsid w:val="00043221"/>
    <w:rsid w:val="00075ACB"/>
    <w:rsid w:val="000B6853"/>
    <w:rsid w:val="000B7656"/>
    <w:rsid w:val="000C24F1"/>
    <w:rsid w:val="000C4D6A"/>
    <w:rsid w:val="000D6BA9"/>
    <w:rsid w:val="000E4403"/>
    <w:rsid w:val="000F04F0"/>
    <w:rsid w:val="0011418B"/>
    <w:rsid w:val="0012222F"/>
    <w:rsid w:val="00125365"/>
    <w:rsid w:val="001618DD"/>
    <w:rsid w:val="00166383"/>
    <w:rsid w:val="001B16E6"/>
    <w:rsid w:val="001C459F"/>
    <w:rsid w:val="001F2DEE"/>
    <w:rsid w:val="001F6D2E"/>
    <w:rsid w:val="00206641"/>
    <w:rsid w:val="00226336"/>
    <w:rsid w:val="00236186"/>
    <w:rsid w:val="00244F26"/>
    <w:rsid w:val="00245F18"/>
    <w:rsid w:val="00246A0A"/>
    <w:rsid w:val="002822AA"/>
    <w:rsid w:val="002871B3"/>
    <w:rsid w:val="00294E9F"/>
    <w:rsid w:val="002A678F"/>
    <w:rsid w:val="002D137C"/>
    <w:rsid w:val="002E2345"/>
    <w:rsid w:val="002E68C5"/>
    <w:rsid w:val="0032330C"/>
    <w:rsid w:val="003233DE"/>
    <w:rsid w:val="003411A2"/>
    <w:rsid w:val="003569DD"/>
    <w:rsid w:val="00384A5F"/>
    <w:rsid w:val="003B7BAF"/>
    <w:rsid w:val="003C7329"/>
    <w:rsid w:val="003E33FA"/>
    <w:rsid w:val="003F2F49"/>
    <w:rsid w:val="00407879"/>
    <w:rsid w:val="00431436"/>
    <w:rsid w:val="00435652"/>
    <w:rsid w:val="00444074"/>
    <w:rsid w:val="00472416"/>
    <w:rsid w:val="00485A4D"/>
    <w:rsid w:val="00492C12"/>
    <w:rsid w:val="004C0FAB"/>
    <w:rsid w:val="004D0A45"/>
    <w:rsid w:val="004D2BA2"/>
    <w:rsid w:val="004E3699"/>
    <w:rsid w:val="004E6A68"/>
    <w:rsid w:val="004F4198"/>
    <w:rsid w:val="00500CB9"/>
    <w:rsid w:val="005122D7"/>
    <w:rsid w:val="0053657A"/>
    <w:rsid w:val="00537D0F"/>
    <w:rsid w:val="00574C21"/>
    <w:rsid w:val="00576F74"/>
    <w:rsid w:val="00585B64"/>
    <w:rsid w:val="00592565"/>
    <w:rsid w:val="00592A3C"/>
    <w:rsid w:val="005965B0"/>
    <w:rsid w:val="005A1893"/>
    <w:rsid w:val="005A602E"/>
    <w:rsid w:val="005A6A2A"/>
    <w:rsid w:val="005D5846"/>
    <w:rsid w:val="005E1640"/>
    <w:rsid w:val="00623C3A"/>
    <w:rsid w:val="006311AF"/>
    <w:rsid w:val="00651F48"/>
    <w:rsid w:val="006533C8"/>
    <w:rsid w:val="0069121E"/>
    <w:rsid w:val="0069415C"/>
    <w:rsid w:val="006E774B"/>
    <w:rsid w:val="00707433"/>
    <w:rsid w:val="00716639"/>
    <w:rsid w:val="007171ED"/>
    <w:rsid w:val="00722291"/>
    <w:rsid w:val="007304E4"/>
    <w:rsid w:val="00747F9A"/>
    <w:rsid w:val="00752478"/>
    <w:rsid w:val="00764360"/>
    <w:rsid w:val="007679F5"/>
    <w:rsid w:val="00775D78"/>
    <w:rsid w:val="00783B1E"/>
    <w:rsid w:val="00787945"/>
    <w:rsid w:val="007B3D2D"/>
    <w:rsid w:val="007B4F87"/>
    <w:rsid w:val="007C416B"/>
    <w:rsid w:val="00834833"/>
    <w:rsid w:val="00844B13"/>
    <w:rsid w:val="008563BC"/>
    <w:rsid w:val="00856C09"/>
    <w:rsid w:val="00866A78"/>
    <w:rsid w:val="0089475C"/>
    <w:rsid w:val="00895B3D"/>
    <w:rsid w:val="008A076D"/>
    <w:rsid w:val="008D0C27"/>
    <w:rsid w:val="008D54E6"/>
    <w:rsid w:val="00915813"/>
    <w:rsid w:val="009401AF"/>
    <w:rsid w:val="00951443"/>
    <w:rsid w:val="00951EB2"/>
    <w:rsid w:val="00975ADA"/>
    <w:rsid w:val="00982512"/>
    <w:rsid w:val="009A489C"/>
    <w:rsid w:val="009B41D0"/>
    <w:rsid w:val="009B480B"/>
    <w:rsid w:val="009E62DA"/>
    <w:rsid w:val="00A23C76"/>
    <w:rsid w:val="00A819D4"/>
    <w:rsid w:val="00A81A68"/>
    <w:rsid w:val="00A869CA"/>
    <w:rsid w:val="00A87080"/>
    <w:rsid w:val="00AA38F6"/>
    <w:rsid w:val="00AB0AC1"/>
    <w:rsid w:val="00AD3B43"/>
    <w:rsid w:val="00AD5DA2"/>
    <w:rsid w:val="00AF35A1"/>
    <w:rsid w:val="00B027AB"/>
    <w:rsid w:val="00B50885"/>
    <w:rsid w:val="00B6499C"/>
    <w:rsid w:val="00B65594"/>
    <w:rsid w:val="00B70569"/>
    <w:rsid w:val="00B82700"/>
    <w:rsid w:val="00BB1993"/>
    <w:rsid w:val="00BC5386"/>
    <w:rsid w:val="00BD04C6"/>
    <w:rsid w:val="00BE1CED"/>
    <w:rsid w:val="00BF7859"/>
    <w:rsid w:val="00C14724"/>
    <w:rsid w:val="00C63689"/>
    <w:rsid w:val="00C74347"/>
    <w:rsid w:val="00C80454"/>
    <w:rsid w:val="00C82E78"/>
    <w:rsid w:val="00C831D1"/>
    <w:rsid w:val="00CC2BD8"/>
    <w:rsid w:val="00CC5691"/>
    <w:rsid w:val="00CD6E10"/>
    <w:rsid w:val="00CE100C"/>
    <w:rsid w:val="00D273F4"/>
    <w:rsid w:val="00D41504"/>
    <w:rsid w:val="00D45DB5"/>
    <w:rsid w:val="00D61702"/>
    <w:rsid w:val="00D74F9B"/>
    <w:rsid w:val="00D96686"/>
    <w:rsid w:val="00DA5441"/>
    <w:rsid w:val="00DA71F5"/>
    <w:rsid w:val="00DD38EF"/>
    <w:rsid w:val="00DD6359"/>
    <w:rsid w:val="00DF751F"/>
    <w:rsid w:val="00E1721F"/>
    <w:rsid w:val="00E8542F"/>
    <w:rsid w:val="00E950CC"/>
    <w:rsid w:val="00EE5460"/>
    <w:rsid w:val="00F30D0E"/>
    <w:rsid w:val="00F37F7B"/>
    <w:rsid w:val="00F42E20"/>
    <w:rsid w:val="00F573C8"/>
    <w:rsid w:val="00F634D7"/>
    <w:rsid w:val="00F76DE9"/>
    <w:rsid w:val="00F935E7"/>
    <w:rsid w:val="00F93A63"/>
    <w:rsid w:val="00FC4160"/>
    <w:rsid w:val="00FC723F"/>
    <w:rsid w:val="00FE0537"/>
    <w:rsid w:val="00FE509E"/>
    <w:rsid w:val="00FE679C"/>
    <w:rsid w:val="00FF74B2"/>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F57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700"/>
    <w:pPr>
      <w:spacing w:line="360" w:lineRule="auto"/>
      <w:jc w:val="both"/>
    </w:pPr>
    <w:rPr>
      <w:rFonts w:ascii="Arial" w:hAnsi="Arial"/>
    </w:rPr>
  </w:style>
  <w:style w:type="paragraph" w:styleId="Heading1">
    <w:name w:val="heading 1"/>
    <w:autoRedefine/>
    <w:qFormat/>
    <w:rsid w:val="003233DE"/>
    <w:pPr>
      <w:spacing w:before="320" w:after="160" w:line="360" w:lineRule="auto"/>
      <w:outlineLvl w:val="0"/>
    </w:pPr>
    <w:rPr>
      <w:rFonts w:ascii="Arial" w:hAnsi="Arial" w:cs="Arial"/>
      <w:b/>
      <w:bCs/>
      <w:color w:val="000000" w:themeColor="text1"/>
      <w:sz w:val="30"/>
      <w:szCs w:val="28"/>
    </w:rPr>
  </w:style>
  <w:style w:type="paragraph" w:styleId="Heading2">
    <w:name w:val="heading 2"/>
    <w:link w:val="Heading2Char"/>
    <w:autoRedefine/>
    <w:qFormat/>
    <w:rsid w:val="004C0FAB"/>
    <w:pPr>
      <w:spacing w:before="240" w:after="120" w:line="360" w:lineRule="auto"/>
      <w:outlineLvl w:val="1"/>
    </w:pPr>
    <w:rPr>
      <w:rFonts w:ascii="Arial" w:hAnsi="Arial" w:cs="Arial"/>
      <w:b/>
      <w:bCs/>
      <w:color w:val="000000" w:themeColor="text1"/>
      <w:sz w:val="28"/>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font-claude-response-body">
    <w:name w:val="font-claude-response-body"/>
    <w:basedOn w:val="Normal"/>
    <w:rsid w:val="00246A0A"/>
    <w:pPr>
      <w:spacing w:before="100" w:beforeAutospacing="1" w:after="100" w:afterAutospacing="1"/>
    </w:pPr>
  </w:style>
  <w:style w:type="character" w:customStyle="1" w:styleId="animating6ta1u10">
    <w:name w:val="_animating_6ta1u_10"/>
    <w:basedOn w:val="DefaultParagraphFont"/>
    <w:rsid w:val="00246A0A"/>
  </w:style>
  <w:style w:type="character" w:styleId="FollowedHyperlink">
    <w:name w:val="FollowedHyperlink"/>
    <w:basedOn w:val="DefaultParagraphFont"/>
    <w:uiPriority w:val="99"/>
    <w:semiHidden/>
    <w:unhideWhenUsed/>
    <w:rsid w:val="00D45DB5"/>
    <w:rPr>
      <w:color w:val="954F72" w:themeColor="followedHyperlink"/>
      <w:u w:val="single"/>
    </w:rPr>
  </w:style>
  <w:style w:type="paragraph" w:styleId="NormalWeb">
    <w:name w:val="Normal (Web)"/>
    <w:basedOn w:val="Normal"/>
    <w:uiPriority w:val="99"/>
    <w:unhideWhenUsed/>
    <w:rsid w:val="00AD5DA2"/>
    <w:pPr>
      <w:spacing w:before="100" w:beforeAutospacing="1" w:after="100" w:afterAutospacing="1" w:line="240" w:lineRule="auto"/>
      <w:jc w:val="left"/>
    </w:pPr>
  </w:style>
  <w:style w:type="paragraph" w:styleId="Header">
    <w:name w:val="header"/>
    <w:basedOn w:val="Normal"/>
    <w:link w:val="HeaderChar"/>
    <w:uiPriority w:val="99"/>
    <w:unhideWhenUsed/>
    <w:rsid w:val="00A23C76"/>
    <w:pPr>
      <w:tabs>
        <w:tab w:val="center" w:pos="4513"/>
        <w:tab w:val="right" w:pos="9026"/>
      </w:tabs>
      <w:spacing w:line="240" w:lineRule="auto"/>
    </w:pPr>
  </w:style>
  <w:style w:type="character" w:customStyle="1" w:styleId="HeaderChar">
    <w:name w:val="Header Char"/>
    <w:basedOn w:val="DefaultParagraphFont"/>
    <w:link w:val="Header"/>
    <w:uiPriority w:val="99"/>
    <w:rsid w:val="00A23C76"/>
  </w:style>
  <w:style w:type="paragraph" w:styleId="Footer">
    <w:name w:val="footer"/>
    <w:basedOn w:val="Normal"/>
    <w:link w:val="FooterChar"/>
    <w:uiPriority w:val="99"/>
    <w:unhideWhenUsed/>
    <w:rsid w:val="00A23C76"/>
    <w:pPr>
      <w:tabs>
        <w:tab w:val="center" w:pos="4513"/>
        <w:tab w:val="right" w:pos="9026"/>
      </w:tabs>
      <w:spacing w:line="240" w:lineRule="auto"/>
    </w:pPr>
  </w:style>
  <w:style w:type="character" w:customStyle="1" w:styleId="FooterChar">
    <w:name w:val="Footer Char"/>
    <w:basedOn w:val="DefaultParagraphFont"/>
    <w:link w:val="Footer"/>
    <w:uiPriority w:val="99"/>
    <w:rsid w:val="00A23C76"/>
  </w:style>
  <w:style w:type="paragraph" w:styleId="TOCHeading">
    <w:name w:val="TOC Heading"/>
    <w:basedOn w:val="Heading1"/>
    <w:next w:val="Normal"/>
    <w:uiPriority w:val="39"/>
    <w:unhideWhenUsed/>
    <w:qFormat/>
    <w:rsid w:val="00A23C76"/>
    <w:pPr>
      <w:keepNext/>
      <w:keepLines/>
      <w:spacing w:before="240" w:after="0" w:line="259" w:lineRule="auto"/>
      <w:outlineLvl w:val="9"/>
    </w:pPr>
    <w:rPr>
      <w:rFonts w:asciiTheme="majorHAnsi" w:eastAsiaTheme="majorEastAsia" w:hAnsiTheme="majorHAnsi" w:cstheme="majorBidi"/>
      <w:b w:val="0"/>
      <w:bCs w:val="0"/>
      <w:color w:val="2E74B5" w:themeColor="accent1" w:themeShade="BF"/>
      <w:szCs w:val="32"/>
      <w:lang w:val="en-US" w:eastAsia="en-US"/>
    </w:rPr>
  </w:style>
  <w:style w:type="paragraph" w:styleId="TOC1">
    <w:name w:val="toc 1"/>
    <w:basedOn w:val="Normal"/>
    <w:next w:val="Normal"/>
    <w:autoRedefine/>
    <w:uiPriority w:val="39"/>
    <w:unhideWhenUsed/>
    <w:rsid w:val="00A23C76"/>
    <w:pPr>
      <w:spacing w:after="100"/>
    </w:pPr>
  </w:style>
  <w:style w:type="paragraph" w:styleId="TOC2">
    <w:name w:val="toc 2"/>
    <w:basedOn w:val="Normal"/>
    <w:next w:val="Normal"/>
    <w:autoRedefine/>
    <w:uiPriority w:val="39"/>
    <w:unhideWhenUsed/>
    <w:rsid w:val="00A23C76"/>
    <w:pPr>
      <w:spacing w:after="100"/>
      <w:ind w:left="240"/>
    </w:pPr>
  </w:style>
  <w:style w:type="character" w:styleId="Strong">
    <w:name w:val="Strong"/>
    <w:basedOn w:val="DefaultParagraphFont"/>
    <w:uiPriority w:val="22"/>
    <w:qFormat/>
    <w:rsid w:val="00A869CA"/>
    <w:rPr>
      <w:b/>
      <w:bCs/>
    </w:rPr>
  </w:style>
  <w:style w:type="table" w:styleId="GridTable4-Accent1">
    <w:name w:val="Grid Table 4 Accent 1"/>
    <w:basedOn w:val="TableNormal"/>
    <w:uiPriority w:val="49"/>
    <w:rsid w:val="00A869CA"/>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UnresolvedMention">
    <w:name w:val="Unresolved Mention"/>
    <w:basedOn w:val="DefaultParagraphFont"/>
    <w:uiPriority w:val="99"/>
    <w:semiHidden/>
    <w:unhideWhenUsed/>
    <w:rsid w:val="005A6A2A"/>
    <w:rPr>
      <w:color w:val="605E5C"/>
      <w:shd w:val="clear" w:color="auto" w:fill="E1DFDD"/>
    </w:rPr>
  </w:style>
  <w:style w:type="character" w:customStyle="1" w:styleId="Heading2Char">
    <w:name w:val="Heading 2 Char"/>
    <w:basedOn w:val="DefaultParagraphFont"/>
    <w:link w:val="Heading2"/>
    <w:rsid w:val="004C0FAB"/>
    <w:rPr>
      <w:rFonts w:ascii="Arial" w:hAnsi="Arial" w:cs="Arial"/>
      <w:b/>
      <w:bCs/>
      <w:color w:val="000000" w:themeColor="text1"/>
      <w:sz w:val="28"/>
      <w:szCs w:val="26"/>
    </w:rPr>
  </w:style>
  <w:style w:type="character" w:customStyle="1" w:styleId="cursor-pointer">
    <w:name w:val="cursor-pointer"/>
    <w:basedOn w:val="DefaultParagraphFont"/>
    <w:rsid w:val="00576F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827745">
      <w:bodyDiv w:val="1"/>
      <w:marLeft w:val="0"/>
      <w:marRight w:val="0"/>
      <w:marTop w:val="0"/>
      <w:marBottom w:val="0"/>
      <w:divBdr>
        <w:top w:val="none" w:sz="0" w:space="0" w:color="auto"/>
        <w:left w:val="none" w:sz="0" w:space="0" w:color="auto"/>
        <w:bottom w:val="none" w:sz="0" w:space="0" w:color="auto"/>
        <w:right w:val="none" w:sz="0" w:space="0" w:color="auto"/>
      </w:divBdr>
      <w:divsChild>
        <w:div w:id="1328166145">
          <w:marLeft w:val="0"/>
          <w:marRight w:val="0"/>
          <w:marTop w:val="0"/>
          <w:marBottom w:val="0"/>
          <w:divBdr>
            <w:top w:val="none" w:sz="0" w:space="0" w:color="auto"/>
            <w:left w:val="none" w:sz="0" w:space="0" w:color="auto"/>
            <w:bottom w:val="none" w:sz="0" w:space="0" w:color="auto"/>
            <w:right w:val="none" w:sz="0" w:space="0" w:color="auto"/>
          </w:divBdr>
          <w:divsChild>
            <w:div w:id="180704180">
              <w:marLeft w:val="0"/>
              <w:marRight w:val="0"/>
              <w:marTop w:val="0"/>
              <w:marBottom w:val="0"/>
              <w:divBdr>
                <w:top w:val="none" w:sz="0" w:space="0" w:color="auto"/>
                <w:left w:val="none" w:sz="0" w:space="0" w:color="auto"/>
                <w:bottom w:val="none" w:sz="0" w:space="0" w:color="auto"/>
                <w:right w:val="none" w:sz="0" w:space="0" w:color="auto"/>
              </w:divBdr>
              <w:divsChild>
                <w:div w:id="508954151">
                  <w:marLeft w:val="0"/>
                  <w:marRight w:val="0"/>
                  <w:marTop w:val="0"/>
                  <w:marBottom w:val="0"/>
                  <w:divBdr>
                    <w:top w:val="none" w:sz="0" w:space="0" w:color="auto"/>
                    <w:left w:val="none" w:sz="0" w:space="0" w:color="auto"/>
                    <w:bottom w:val="none" w:sz="0" w:space="0" w:color="auto"/>
                    <w:right w:val="none" w:sz="0" w:space="0" w:color="auto"/>
                  </w:divBdr>
                  <w:divsChild>
                    <w:div w:id="973674588">
                      <w:marLeft w:val="0"/>
                      <w:marRight w:val="0"/>
                      <w:marTop w:val="0"/>
                      <w:marBottom w:val="0"/>
                      <w:divBdr>
                        <w:top w:val="none" w:sz="0" w:space="0" w:color="auto"/>
                        <w:left w:val="none" w:sz="0" w:space="0" w:color="auto"/>
                        <w:bottom w:val="none" w:sz="0" w:space="0" w:color="auto"/>
                        <w:right w:val="none" w:sz="0" w:space="0" w:color="auto"/>
                      </w:divBdr>
                      <w:divsChild>
                        <w:div w:id="917907657">
                          <w:marLeft w:val="0"/>
                          <w:marRight w:val="0"/>
                          <w:marTop w:val="0"/>
                          <w:marBottom w:val="0"/>
                          <w:divBdr>
                            <w:top w:val="none" w:sz="0" w:space="0" w:color="auto"/>
                            <w:left w:val="none" w:sz="0" w:space="0" w:color="auto"/>
                            <w:bottom w:val="none" w:sz="0" w:space="0" w:color="auto"/>
                            <w:right w:val="none" w:sz="0" w:space="0" w:color="auto"/>
                          </w:divBdr>
                          <w:divsChild>
                            <w:div w:id="232161264">
                              <w:marLeft w:val="0"/>
                              <w:marRight w:val="0"/>
                              <w:marTop w:val="0"/>
                              <w:marBottom w:val="0"/>
                              <w:divBdr>
                                <w:top w:val="none" w:sz="0" w:space="0" w:color="auto"/>
                                <w:left w:val="none" w:sz="0" w:space="0" w:color="auto"/>
                                <w:bottom w:val="none" w:sz="0" w:space="0" w:color="auto"/>
                                <w:right w:val="none" w:sz="0" w:space="0" w:color="auto"/>
                              </w:divBdr>
                              <w:divsChild>
                                <w:div w:id="2133934755">
                                  <w:marLeft w:val="0"/>
                                  <w:marRight w:val="0"/>
                                  <w:marTop w:val="0"/>
                                  <w:marBottom w:val="0"/>
                                  <w:divBdr>
                                    <w:top w:val="none" w:sz="0" w:space="0" w:color="auto"/>
                                    <w:left w:val="none" w:sz="0" w:space="0" w:color="auto"/>
                                    <w:bottom w:val="none" w:sz="0" w:space="0" w:color="auto"/>
                                    <w:right w:val="none" w:sz="0" w:space="0" w:color="auto"/>
                                  </w:divBdr>
                                  <w:divsChild>
                                    <w:div w:id="554120849">
                                      <w:marLeft w:val="0"/>
                                      <w:marRight w:val="0"/>
                                      <w:marTop w:val="0"/>
                                      <w:marBottom w:val="0"/>
                                      <w:divBdr>
                                        <w:top w:val="none" w:sz="0" w:space="0" w:color="auto"/>
                                        <w:left w:val="none" w:sz="0" w:space="0" w:color="auto"/>
                                        <w:bottom w:val="none" w:sz="0" w:space="0" w:color="auto"/>
                                        <w:right w:val="none" w:sz="0" w:space="0" w:color="auto"/>
                                      </w:divBdr>
                                      <w:divsChild>
                                        <w:div w:id="377315129">
                                          <w:marLeft w:val="0"/>
                                          <w:marRight w:val="0"/>
                                          <w:marTop w:val="0"/>
                                          <w:marBottom w:val="0"/>
                                          <w:divBdr>
                                            <w:top w:val="none" w:sz="0" w:space="0" w:color="auto"/>
                                            <w:left w:val="none" w:sz="0" w:space="0" w:color="auto"/>
                                            <w:bottom w:val="none" w:sz="0" w:space="0" w:color="auto"/>
                                            <w:right w:val="none" w:sz="0" w:space="0" w:color="auto"/>
                                          </w:divBdr>
                                          <w:divsChild>
                                            <w:div w:id="1612662159">
                                              <w:marLeft w:val="0"/>
                                              <w:marRight w:val="0"/>
                                              <w:marTop w:val="0"/>
                                              <w:marBottom w:val="0"/>
                                              <w:divBdr>
                                                <w:top w:val="none" w:sz="0" w:space="0" w:color="auto"/>
                                                <w:left w:val="none" w:sz="0" w:space="0" w:color="auto"/>
                                                <w:bottom w:val="none" w:sz="0" w:space="0" w:color="auto"/>
                                                <w:right w:val="none" w:sz="0" w:space="0" w:color="auto"/>
                                              </w:divBdr>
                                              <w:divsChild>
                                                <w:div w:id="25606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033348">
      <w:bodyDiv w:val="1"/>
      <w:marLeft w:val="0"/>
      <w:marRight w:val="0"/>
      <w:marTop w:val="0"/>
      <w:marBottom w:val="0"/>
      <w:divBdr>
        <w:top w:val="none" w:sz="0" w:space="0" w:color="auto"/>
        <w:left w:val="none" w:sz="0" w:space="0" w:color="auto"/>
        <w:bottom w:val="none" w:sz="0" w:space="0" w:color="auto"/>
        <w:right w:val="none" w:sz="0" w:space="0" w:color="auto"/>
      </w:divBdr>
      <w:divsChild>
        <w:div w:id="246154204">
          <w:marLeft w:val="0"/>
          <w:marRight w:val="0"/>
          <w:marTop w:val="0"/>
          <w:marBottom w:val="240"/>
          <w:divBdr>
            <w:top w:val="none" w:sz="0" w:space="0" w:color="auto"/>
            <w:left w:val="none" w:sz="0" w:space="0" w:color="auto"/>
            <w:bottom w:val="none" w:sz="0" w:space="0" w:color="auto"/>
            <w:right w:val="none" w:sz="0" w:space="0" w:color="auto"/>
          </w:divBdr>
        </w:div>
      </w:divsChild>
    </w:div>
    <w:div w:id="329066494">
      <w:bodyDiv w:val="1"/>
      <w:marLeft w:val="0"/>
      <w:marRight w:val="0"/>
      <w:marTop w:val="0"/>
      <w:marBottom w:val="0"/>
      <w:divBdr>
        <w:top w:val="none" w:sz="0" w:space="0" w:color="auto"/>
        <w:left w:val="none" w:sz="0" w:space="0" w:color="auto"/>
        <w:bottom w:val="none" w:sz="0" w:space="0" w:color="auto"/>
        <w:right w:val="none" w:sz="0" w:space="0" w:color="auto"/>
      </w:divBdr>
      <w:divsChild>
        <w:div w:id="585044090">
          <w:marLeft w:val="0"/>
          <w:marRight w:val="0"/>
          <w:marTop w:val="0"/>
          <w:marBottom w:val="0"/>
          <w:divBdr>
            <w:top w:val="none" w:sz="0" w:space="0" w:color="auto"/>
            <w:left w:val="none" w:sz="0" w:space="0" w:color="auto"/>
            <w:bottom w:val="none" w:sz="0" w:space="0" w:color="auto"/>
            <w:right w:val="none" w:sz="0" w:space="0" w:color="auto"/>
          </w:divBdr>
          <w:divsChild>
            <w:div w:id="97756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282021">
      <w:bodyDiv w:val="1"/>
      <w:marLeft w:val="0"/>
      <w:marRight w:val="0"/>
      <w:marTop w:val="0"/>
      <w:marBottom w:val="0"/>
      <w:divBdr>
        <w:top w:val="none" w:sz="0" w:space="0" w:color="auto"/>
        <w:left w:val="none" w:sz="0" w:space="0" w:color="auto"/>
        <w:bottom w:val="none" w:sz="0" w:space="0" w:color="auto"/>
        <w:right w:val="none" w:sz="0" w:space="0" w:color="auto"/>
      </w:divBdr>
      <w:divsChild>
        <w:div w:id="658463603">
          <w:marLeft w:val="0"/>
          <w:marRight w:val="0"/>
          <w:marTop w:val="0"/>
          <w:marBottom w:val="0"/>
          <w:divBdr>
            <w:top w:val="none" w:sz="0" w:space="0" w:color="auto"/>
            <w:left w:val="none" w:sz="0" w:space="0" w:color="auto"/>
            <w:bottom w:val="none" w:sz="0" w:space="0" w:color="auto"/>
            <w:right w:val="none" w:sz="0" w:space="0" w:color="auto"/>
          </w:divBdr>
        </w:div>
        <w:div w:id="2134669541">
          <w:marLeft w:val="0"/>
          <w:marRight w:val="0"/>
          <w:marTop w:val="0"/>
          <w:marBottom w:val="0"/>
          <w:divBdr>
            <w:top w:val="none" w:sz="0" w:space="0" w:color="auto"/>
            <w:left w:val="none" w:sz="0" w:space="0" w:color="auto"/>
            <w:bottom w:val="none" w:sz="0" w:space="0" w:color="auto"/>
            <w:right w:val="none" w:sz="0" w:space="0" w:color="auto"/>
          </w:divBdr>
        </w:div>
        <w:div w:id="468742708">
          <w:marLeft w:val="0"/>
          <w:marRight w:val="0"/>
          <w:marTop w:val="0"/>
          <w:marBottom w:val="0"/>
          <w:divBdr>
            <w:top w:val="none" w:sz="0" w:space="0" w:color="auto"/>
            <w:left w:val="none" w:sz="0" w:space="0" w:color="auto"/>
            <w:bottom w:val="none" w:sz="0" w:space="0" w:color="auto"/>
            <w:right w:val="none" w:sz="0" w:space="0" w:color="auto"/>
          </w:divBdr>
        </w:div>
        <w:div w:id="1477795583">
          <w:marLeft w:val="0"/>
          <w:marRight w:val="0"/>
          <w:marTop w:val="0"/>
          <w:marBottom w:val="0"/>
          <w:divBdr>
            <w:top w:val="none" w:sz="0" w:space="0" w:color="auto"/>
            <w:left w:val="none" w:sz="0" w:space="0" w:color="auto"/>
            <w:bottom w:val="none" w:sz="0" w:space="0" w:color="auto"/>
            <w:right w:val="none" w:sz="0" w:space="0" w:color="auto"/>
          </w:divBdr>
        </w:div>
        <w:div w:id="46995964">
          <w:marLeft w:val="0"/>
          <w:marRight w:val="0"/>
          <w:marTop w:val="0"/>
          <w:marBottom w:val="0"/>
          <w:divBdr>
            <w:top w:val="none" w:sz="0" w:space="0" w:color="auto"/>
            <w:left w:val="none" w:sz="0" w:space="0" w:color="auto"/>
            <w:bottom w:val="none" w:sz="0" w:space="0" w:color="auto"/>
            <w:right w:val="none" w:sz="0" w:space="0" w:color="auto"/>
          </w:divBdr>
        </w:div>
        <w:div w:id="1759521511">
          <w:marLeft w:val="0"/>
          <w:marRight w:val="0"/>
          <w:marTop w:val="0"/>
          <w:marBottom w:val="0"/>
          <w:divBdr>
            <w:top w:val="none" w:sz="0" w:space="0" w:color="auto"/>
            <w:left w:val="none" w:sz="0" w:space="0" w:color="auto"/>
            <w:bottom w:val="none" w:sz="0" w:space="0" w:color="auto"/>
            <w:right w:val="none" w:sz="0" w:space="0" w:color="auto"/>
          </w:divBdr>
        </w:div>
        <w:div w:id="2052685380">
          <w:marLeft w:val="0"/>
          <w:marRight w:val="0"/>
          <w:marTop w:val="0"/>
          <w:marBottom w:val="0"/>
          <w:divBdr>
            <w:top w:val="none" w:sz="0" w:space="0" w:color="auto"/>
            <w:left w:val="none" w:sz="0" w:space="0" w:color="auto"/>
            <w:bottom w:val="none" w:sz="0" w:space="0" w:color="auto"/>
            <w:right w:val="none" w:sz="0" w:space="0" w:color="auto"/>
          </w:divBdr>
        </w:div>
        <w:div w:id="392394107">
          <w:marLeft w:val="0"/>
          <w:marRight w:val="0"/>
          <w:marTop w:val="0"/>
          <w:marBottom w:val="0"/>
          <w:divBdr>
            <w:top w:val="none" w:sz="0" w:space="0" w:color="auto"/>
            <w:left w:val="none" w:sz="0" w:space="0" w:color="auto"/>
            <w:bottom w:val="none" w:sz="0" w:space="0" w:color="auto"/>
            <w:right w:val="none" w:sz="0" w:space="0" w:color="auto"/>
          </w:divBdr>
        </w:div>
      </w:divsChild>
    </w:div>
    <w:div w:id="513809661">
      <w:bodyDiv w:val="1"/>
      <w:marLeft w:val="0"/>
      <w:marRight w:val="0"/>
      <w:marTop w:val="0"/>
      <w:marBottom w:val="0"/>
      <w:divBdr>
        <w:top w:val="none" w:sz="0" w:space="0" w:color="auto"/>
        <w:left w:val="none" w:sz="0" w:space="0" w:color="auto"/>
        <w:bottom w:val="none" w:sz="0" w:space="0" w:color="auto"/>
        <w:right w:val="none" w:sz="0" w:space="0" w:color="auto"/>
      </w:divBdr>
      <w:divsChild>
        <w:div w:id="1019968818">
          <w:marLeft w:val="0"/>
          <w:marRight w:val="0"/>
          <w:marTop w:val="0"/>
          <w:marBottom w:val="240"/>
          <w:divBdr>
            <w:top w:val="none" w:sz="0" w:space="0" w:color="auto"/>
            <w:left w:val="none" w:sz="0" w:space="0" w:color="auto"/>
            <w:bottom w:val="none" w:sz="0" w:space="0" w:color="auto"/>
            <w:right w:val="none" w:sz="0" w:space="0" w:color="auto"/>
          </w:divBdr>
        </w:div>
      </w:divsChild>
    </w:div>
    <w:div w:id="579293714">
      <w:bodyDiv w:val="1"/>
      <w:marLeft w:val="0"/>
      <w:marRight w:val="0"/>
      <w:marTop w:val="0"/>
      <w:marBottom w:val="0"/>
      <w:divBdr>
        <w:top w:val="none" w:sz="0" w:space="0" w:color="auto"/>
        <w:left w:val="none" w:sz="0" w:space="0" w:color="auto"/>
        <w:bottom w:val="none" w:sz="0" w:space="0" w:color="auto"/>
        <w:right w:val="none" w:sz="0" w:space="0" w:color="auto"/>
      </w:divBdr>
      <w:divsChild>
        <w:div w:id="354580990">
          <w:marLeft w:val="0"/>
          <w:marRight w:val="0"/>
          <w:marTop w:val="0"/>
          <w:marBottom w:val="240"/>
          <w:divBdr>
            <w:top w:val="none" w:sz="0" w:space="0" w:color="auto"/>
            <w:left w:val="none" w:sz="0" w:space="0" w:color="auto"/>
            <w:bottom w:val="none" w:sz="0" w:space="0" w:color="auto"/>
            <w:right w:val="none" w:sz="0" w:space="0" w:color="auto"/>
          </w:divBdr>
        </w:div>
      </w:divsChild>
    </w:div>
    <w:div w:id="825630497">
      <w:bodyDiv w:val="1"/>
      <w:marLeft w:val="0"/>
      <w:marRight w:val="0"/>
      <w:marTop w:val="0"/>
      <w:marBottom w:val="0"/>
      <w:divBdr>
        <w:top w:val="none" w:sz="0" w:space="0" w:color="auto"/>
        <w:left w:val="none" w:sz="0" w:space="0" w:color="auto"/>
        <w:bottom w:val="none" w:sz="0" w:space="0" w:color="auto"/>
        <w:right w:val="none" w:sz="0" w:space="0" w:color="auto"/>
      </w:divBdr>
      <w:divsChild>
        <w:div w:id="404302438">
          <w:marLeft w:val="0"/>
          <w:marRight w:val="0"/>
          <w:marTop w:val="0"/>
          <w:marBottom w:val="240"/>
          <w:divBdr>
            <w:top w:val="none" w:sz="0" w:space="0" w:color="auto"/>
            <w:left w:val="none" w:sz="0" w:space="0" w:color="auto"/>
            <w:bottom w:val="none" w:sz="0" w:space="0" w:color="auto"/>
            <w:right w:val="none" w:sz="0" w:space="0" w:color="auto"/>
          </w:divBdr>
        </w:div>
      </w:divsChild>
    </w:div>
    <w:div w:id="860240456">
      <w:bodyDiv w:val="1"/>
      <w:marLeft w:val="0"/>
      <w:marRight w:val="0"/>
      <w:marTop w:val="0"/>
      <w:marBottom w:val="0"/>
      <w:divBdr>
        <w:top w:val="none" w:sz="0" w:space="0" w:color="auto"/>
        <w:left w:val="none" w:sz="0" w:space="0" w:color="auto"/>
        <w:bottom w:val="none" w:sz="0" w:space="0" w:color="auto"/>
        <w:right w:val="none" w:sz="0" w:space="0" w:color="auto"/>
      </w:divBdr>
      <w:divsChild>
        <w:div w:id="85924337">
          <w:marLeft w:val="0"/>
          <w:marRight w:val="0"/>
          <w:marTop w:val="0"/>
          <w:marBottom w:val="240"/>
          <w:divBdr>
            <w:top w:val="none" w:sz="0" w:space="0" w:color="auto"/>
            <w:left w:val="none" w:sz="0" w:space="0" w:color="auto"/>
            <w:bottom w:val="none" w:sz="0" w:space="0" w:color="auto"/>
            <w:right w:val="none" w:sz="0" w:space="0" w:color="auto"/>
          </w:divBdr>
        </w:div>
      </w:divsChild>
    </w:div>
    <w:div w:id="1078748516">
      <w:bodyDiv w:val="1"/>
      <w:marLeft w:val="0"/>
      <w:marRight w:val="0"/>
      <w:marTop w:val="0"/>
      <w:marBottom w:val="0"/>
      <w:divBdr>
        <w:top w:val="none" w:sz="0" w:space="0" w:color="auto"/>
        <w:left w:val="none" w:sz="0" w:space="0" w:color="auto"/>
        <w:bottom w:val="none" w:sz="0" w:space="0" w:color="auto"/>
        <w:right w:val="none" w:sz="0" w:space="0" w:color="auto"/>
      </w:divBdr>
      <w:divsChild>
        <w:div w:id="1471970911">
          <w:marLeft w:val="0"/>
          <w:marRight w:val="0"/>
          <w:marTop w:val="0"/>
          <w:marBottom w:val="240"/>
          <w:divBdr>
            <w:top w:val="none" w:sz="0" w:space="0" w:color="auto"/>
            <w:left w:val="none" w:sz="0" w:space="0" w:color="auto"/>
            <w:bottom w:val="none" w:sz="0" w:space="0" w:color="auto"/>
            <w:right w:val="none" w:sz="0" w:space="0" w:color="auto"/>
          </w:divBdr>
        </w:div>
      </w:divsChild>
    </w:div>
    <w:div w:id="1144274105">
      <w:bodyDiv w:val="1"/>
      <w:marLeft w:val="0"/>
      <w:marRight w:val="0"/>
      <w:marTop w:val="0"/>
      <w:marBottom w:val="0"/>
      <w:divBdr>
        <w:top w:val="none" w:sz="0" w:space="0" w:color="auto"/>
        <w:left w:val="none" w:sz="0" w:space="0" w:color="auto"/>
        <w:bottom w:val="none" w:sz="0" w:space="0" w:color="auto"/>
        <w:right w:val="none" w:sz="0" w:space="0" w:color="auto"/>
      </w:divBdr>
    </w:div>
    <w:div w:id="1601989529">
      <w:bodyDiv w:val="1"/>
      <w:marLeft w:val="0"/>
      <w:marRight w:val="0"/>
      <w:marTop w:val="0"/>
      <w:marBottom w:val="0"/>
      <w:divBdr>
        <w:top w:val="none" w:sz="0" w:space="0" w:color="auto"/>
        <w:left w:val="none" w:sz="0" w:space="0" w:color="auto"/>
        <w:bottom w:val="none" w:sz="0" w:space="0" w:color="auto"/>
        <w:right w:val="none" w:sz="0" w:space="0" w:color="auto"/>
      </w:divBdr>
      <w:divsChild>
        <w:div w:id="1038045445">
          <w:marLeft w:val="0"/>
          <w:marRight w:val="0"/>
          <w:marTop w:val="0"/>
          <w:marBottom w:val="0"/>
          <w:divBdr>
            <w:top w:val="none" w:sz="0" w:space="0" w:color="auto"/>
            <w:left w:val="none" w:sz="0" w:space="0" w:color="auto"/>
            <w:bottom w:val="none" w:sz="0" w:space="0" w:color="auto"/>
            <w:right w:val="none" w:sz="0" w:space="0" w:color="auto"/>
          </w:divBdr>
          <w:divsChild>
            <w:div w:id="552238150">
              <w:marLeft w:val="0"/>
              <w:marRight w:val="0"/>
              <w:marTop w:val="0"/>
              <w:marBottom w:val="0"/>
              <w:divBdr>
                <w:top w:val="none" w:sz="0" w:space="0" w:color="auto"/>
                <w:left w:val="none" w:sz="0" w:space="0" w:color="auto"/>
                <w:bottom w:val="none" w:sz="0" w:space="0" w:color="auto"/>
                <w:right w:val="none" w:sz="0" w:space="0" w:color="auto"/>
              </w:divBdr>
              <w:divsChild>
                <w:div w:id="478808639">
                  <w:marLeft w:val="0"/>
                  <w:marRight w:val="0"/>
                  <w:marTop w:val="0"/>
                  <w:marBottom w:val="0"/>
                  <w:divBdr>
                    <w:top w:val="none" w:sz="0" w:space="0" w:color="auto"/>
                    <w:left w:val="none" w:sz="0" w:space="0" w:color="auto"/>
                    <w:bottom w:val="none" w:sz="0" w:space="0" w:color="auto"/>
                    <w:right w:val="none" w:sz="0" w:space="0" w:color="auto"/>
                  </w:divBdr>
                  <w:divsChild>
                    <w:div w:id="70273527">
                      <w:marLeft w:val="0"/>
                      <w:marRight w:val="0"/>
                      <w:marTop w:val="0"/>
                      <w:marBottom w:val="0"/>
                      <w:divBdr>
                        <w:top w:val="none" w:sz="0" w:space="0" w:color="auto"/>
                        <w:left w:val="none" w:sz="0" w:space="0" w:color="auto"/>
                        <w:bottom w:val="none" w:sz="0" w:space="0" w:color="auto"/>
                        <w:right w:val="none" w:sz="0" w:space="0" w:color="auto"/>
                      </w:divBdr>
                      <w:divsChild>
                        <w:div w:id="2038307859">
                          <w:marLeft w:val="0"/>
                          <w:marRight w:val="0"/>
                          <w:marTop w:val="0"/>
                          <w:marBottom w:val="0"/>
                          <w:divBdr>
                            <w:top w:val="none" w:sz="0" w:space="0" w:color="auto"/>
                            <w:left w:val="none" w:sz="0" w:space="0" w:color="auto"/>
                            <w:bottom w:val="none" w:sz="0" w:space="0" w:color="auto"/>
                            <w:right w:val="none" w:sz="0" w:space="0" w:color="auto"/>
                          </w:divBdr>
                          <w:divsChild>
                            <w:div w:id="315451442">
                              <w:marLeft w:val="0"/>
                              <w:marRight w:val="0"/>
                              <w:marTop w:val="0"/>
                              <w:marBottom w:val="0"/>
                              <w:divBdr>
                                <w:top w:val="none" w:sz="0" w:space="0" w:color="auto"/>
                                <w:left w:val="none" w:sz="0" w:space="0" w:color="auto"/>
                                <w:bottom w:val="none" w:sz="0" w:space="0" w:color="auto"/>
                                <w:right w:val="none" w:sz="0" w:space="0" w:color="auto"/>
                              </w:divBdr>
                              <w:divsChild>
                                <w:div w:id="266305001">
                                  <w:marLeft w:val="0"/>
                                  <w:marRight w:val="0"/>
                                  <w:marTop w:val="0"/>
                                  <w:marBottom w:val="0"/>
                                  <w:divBdr>
                                    <w:top w:val="none" w:sz="0" w:space="0" w:color="auto"/>
                                    <w:left w:val="none" w:sz="0" w:space="0" w:color="auto"/>
                                    <w:bottom w:val="none" w:sz="0" w:space="0" w:color="auto"/>
                                    <w:right w:val="none" w:sz="0" w:space="0" w:color="auto"/>
                                  </w:divBdr>
                                  <w:divsChild>
                                    <w:div w:id="658459810">
                                      <w:marLeft w:val="0"/>
                                      <w:marRight w:val="0"/>
                                      <w:marTop w:val="0"/>
                                      <w:marBottom w:val="0"/>
                                      <w:divBdr>
                                        <w:top w:val="none" w:sz="0" w:space="0" w:color="auto"/>
                                        <w:left w:val="none" w:sz="0" w:space="0" w:color="auto"/>
                                        <w:bottom w:val="none" w:sz="0" w:space="0" w:color="auto"/>
                                        <w:right w:val="none" w:sz="0" w:space="0" w:color="auto"/>
                                      </w:divBdr>
                                      <w:divsChild>
                                        <w:div w:id="1079406824">
                                          <w:marLeft w:val="0"/>
                                          <w:marRight w:val="0"/>
                                          <w:marTop w:val="0"/>
                                          <w:marBottom w:val="0"/>
                                          <w:divBdr>
                                            <w:top w:val="none" w:sz="0" w:space="0" w:color="auto"/>
                                            <w:left w:val="none" w:sz="0" w:space="0" w:color="auto"/>
                                            <w:bottom w:val="none" w:sz="0" w:space="0" w:color="auto"/>
                                            <w:right w:val="none" w:sz="0" w:space="0" w:color="auto"/>
                                          </w:divBdr>
                                          <w:divsChild>
                                            <w:div w:id="86070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32907343">
      <w:bodyDiv w:val="1"/>
      <w:marLeft w:val="0"/>
      <w:marRight w:val="0"/>
      <w:marTop w:val="0"/>
      <w:marBottom w:val="0"/>
      <w:divBdr>
        <w:top w:val="none" w:sz="0" w:space="0" w:color="auto"/>
        <w:left w:val="none" w:sz="0" w:space="0" w:color="auto"/>
        <w:bottom w:val="none" w:sz="0" w:space="0" w:color="auto"/>
        <w:right w:val="none" w:sz="0" w:space="0" w:color="auto"/>
      </w:divBdr>
    </w:div>
    <w:div w:id="1797337240">
      <w:bodyDiv w:val="1"/>
      <w:marLeft w:val="0"/>
      <w:marRight w:val="0"/>
      <w:marTop w:val="0"/>
      <w:marBottom w:val="0"/>
      <w:divBdr>
        <w:top w:val="none" w:sz="0" w:space="0" w:color="auto"/>
        <w:left w:val="none" w:sz="0" w:space="0" w:color="auto"/>
        <w:bottom w:val="none" w:sz="0" w:space="0" w:color="auto"/>
        <w:right w:val="none" w:sz="0" w:space="0" w:color="auto"/>
      </w:divBdr>
    </w:div>
    <w:div w:id="1922173252">
      <w:bodyDiv w:val="1"/>
      <w:marLeft w:val="0"/>
      <w:marRight w:val="0"/>
      <w:marTop w:val="0"/>
      <w:marBottom w:val="0"/>
      <w:divBdr>
        <w:top w:val="none" w:sz="0" w:space="0" w:color="auto"/>
        <w:left w:val="none" w:sz="0" w:space="0" w:color="auto"/>
        <w:bottom w:val="none" w:sz="0" w:space="0" w:color="auto"/>
        <w:right w:val="none" w:sz="0" w:space="0" w:color="auto"/>
      </w:divBdr>
      <w:divsChild>
        <w:div w:id="1296764288">
          <w:marLeft w:val="0"/>
          <w:marRight w:val="0"/>
          <w:marTop w:val="0"/>
          <w:marBottom w:val="240"/>
          <w:divBdr>
            <w:top w:val="none" w:sz="0" w:space="0" w:color="auto"/>
            <w:left w:val="none" w:sz="0" w:space="0" w:color="auto"/>
            <w:bottom w:val="none" w:sz="0" w:space="0" w:color="auto"/>
            <w:right w:val="none" w:sz="0" w:space="0" w:color="auto"/>
          </w:divBdr>
        </w:div>
      </w:divsChild>
    </w:div>
    <w:div w:id="1982495654">
      <w:bodyDiv w:val="1"/>
      <w:marLeft w:val="0"/>
      <w:marRight w:val="0"/>
      <w:marTop w:val="0"/>
      <w:marBottom w:val="0"/>
      <w:divBdr>
        <w:top w:val="none" w:sz="0" w:space="0" w:color="auto"/>
        <w:left w:val="none" w:sz="0" w:space="0" w:color="auto"/>
        <w:bottom w:val="none" w:sz="0" w:space="0" w:color="auto"/>
        <w:right w:val="none" w:sz="0" w:space="0" w:color="auto"/>
      </w:divBdr>
      <w:divsChild>
        <w:div w:id="165828157">
          <w:marLeft w:val="0"/>
          <w:marRight w:val="0"/>
          <w:marTop w:val="0"/>
          <w:marBottom w:val="24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ftc.gov/" TargetMode="External"/><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businessmodelanalyst.com/pizza-hut-target-market-analysis/?srsltid=AfmBOoqAmIZlyscPHVmZq8EXvKUn1LGuUldrst_bDwhb00a9XrJYXSE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hoosefranchise.com/au/post/pizza-hut-hits-a-50-year-milestone-in-australia-1f168932" TargetMode="External"/><Relationship Id="rId33" Type="http://schemas.openxmlformats.org/officeDocument/2006/relationships/hyperlink" Target="https://www.restaurantbusinessonline.com/financing/yum-brands-waves-white-flag-pizza-hut"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www.ibisworld.com/australia/industry/pizza-restaurants-takeaways/4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age.com.au/goodfood/eating-out/australias-first-pizza-hut-bulldozed-20180525-h10ju2.html" TargetMode="External"/><Relationship Id="rId32" Type="http://schemas.openxmlformats.org/officeDocument/2006/relationships/hyperlink" Target="https://ag.purdue.edu/news/2025/11/survey-compares-consumer-food-insights-between-u.s-and-australia.html" TargetMode="External"/><Relationship Id="rId37" Type="http://schemas.openxmlformats.org/officeDocument/2006/relationships/hyperlink" Target="https://data.worldbank.org/indicator/NY.GDP.MKTP.CD"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ccc.gov.au/system/files/1543_A%20guide%20to%20competition%20and%20consumer%20law_FA3.pdf" TargetMode="External"/><Relationship Id="rId28" Type="http://schemas.openxmlformats.org/officeDocument/2006/relationships/hyperlink" Target="https://humanowl.com/information/7ps-of-marketing-mix/" TargetMode="External"/><Relationship Id="rId36" Type="http://schemas.openxmlformats.org/officeDocument/2006/relationships/hyperlink" Target="https://tradingeconomics.com/country-list/inflation-rate"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bbc.com/news/articles/c751xrz6wq7o"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acma.gov.au/articles/2024-05/pizza-hut-australia-pays-25-million-penalty-spam" TargetMode="External"/><Relationship Id="rId27" Type="http://schemas.openxmlformats.org/officeDocument/2006/relationships/hyperlink" Target="https://geerthofstede.com/country-comparison-bar-charts/" TargetMode="External"/><Relationship Id="rId30" Type="http://schemas.openxmlformats.org/officeDocument/2006/relationships/hyperlink" Target="https://medium.com/techno-preneurship/pestle-analysis-the-ceos-guide-to-future-proofing-a-business-877e6c4e20ea" TargetMode="External"/><Relationship Id="rId35" Type="http://schemas.openxmlformats.org/officeDocument/2006/relationships/hyperlink" Target="https://www.comparably.com/companies/pizza-hut/mission"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402286-798C-4DA7-8264-8C9FE9BBE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7088</Words>
  <Characters>40406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2026-08-04T11:23:00Z</dcterms:created>
  <dcterms:modified xsi:type="dcterms:W3CDTF">2026-08-09T20:02:00Z</dcterms:modified>
</cp:coreProperties>
</file>