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0547271"/>
        <w:docPartObj>
          <w:docPartGallery w:val="Cover Pages"/>
          <w:docPartUnique/>
        </w:docPartObj>
      </w:sdtPr>
      <w:sdtEndPr>
        <w:rPr>
          <w:b/>
          <w:bCs/>
          <w:sz w:val="28"/>
          <w:szCs w:val="28"/>
        </w:rPr>
      </w:sdtEndPr>
      <w:sdtContent>
        <w:p w14:paraId="17C8050B" w14:textId="4B7F793B" w:rsidR="00144BED" w:rsidRPr="00144BED" w:rsidRDefault="00144BED">
          <w:pPr>
            <w:rPr>
              <w:b/>
              <w:bCs/>
              <w:sz w:val="28"/>
              <w:szCs w:val="28"/>
            </w:rPr>
          </w:pPr>
          <w:r>
            <w:rPr>
              <w:noProof/>
            </w:rPr>
            <mc:AlternateContent>
              <mc:Choice Requires="wps">
                <w:drawing>
                  <wp:anchor distT="0" distB="0" distL="114300" distR="114300" simplePos="0" relativeHeight="251659264" behindDoc="0" locked="0" layoutInCell="1" allowOverlap="1" wp14:anchorId="735AB3D8" wp14:editId="780DBB7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520CC80" w14:textId="24E8829A" w:rsidR="00144BED" w:rsidRDefault="00144BED">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735AB3D8" id="_x0000_t202" coordsize="21600,21600" o:spt="202" path="m,l,21600r21600,l21600,xe">
                    <v:stroke joinstyle="miter"/>
                    <v:path gradientshapeok="t" o:connecttype="rect"/>
                  </v:shapetype>
                  <v:shape id="Text Box 163"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520CC80" w14:textId="24E8829A" w:rsidR="00144BED" w:rsidRDefault="00144BED">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Pr>
              <w:b/>
              <w:bCs/>
              <w:sz w:val="28"/>
              <w:szCs w:val="28"/>
            </w:rPr>
            <w:br w:type="page"/>
          </w:r>
        </w:p>
      </w:sdtContent>
    </w:sdt>
    <w:p w14:paraId="605A6E76" w14:textId="3F1E0C39" w:rsidR="009E464E" w:rsidRPr="00E92797" w:rsidRDefault="009E464E" w:rsidP="00E92797">
      <w:pPr>
        <w:pStyle w:val="Heading1"/>
        <w:jc w:val="center"/>
        <w:rPr>
          <w:rFonts w:ascii="Arial" w:hAnsi="Arial" w:cs="Arial"/>
          <w:b/>
          <w:bCs/>
          <w:sz w:val="28"/>
          <w:szCs w:val="28"/>
        </w:rPr>
        <w:sectPr w:rsidR="009E464E" w:rsidRPr="00E92797" w:rsidSect="00144BED">
          <w:pgSz w:w="11906" w:h="16838"/>
          <w:pgMar w:top="1440" w:right="1440" w:bottom="1440" w:left="1440" w:header="708" w:footer="708" w:gutter="0"/>
          <w:pgBorders w:display="notFirstPage" w:offsetFrom="page">
            <w:top w:val="twistedLines1" w:sz="18" w:space="24" w:color="auto"/>
            <w:left w:val="twistedLines1" w:sz="18" w:space="24" w:color="auto"/>
            <w:bottom w:val="twistedLines1" w:sz="18" w:space="24" w:color="auto"/>
            <w:right w:val="twistedLines1" w:sz="18" w:space="24" w:color="auto"/>
          </w:pgBorders>
          <w:pgNumType w:start="0"/>
          <w:cols w:space="708"/>
          <w:titlePg/>
          <w:docGrid w:linePitch="360"/>
        </w:sectPr>
      </w:pPr>
      <w:r w:rsidRPr="00144BED">
        <w:rPr>
          <w:rFonts w:ascii="Arial" w:hAnsi="Arial" w:cs="Arial"/>
          <w:b/>
          <w:bCs/>
          <w:sz w:val="28"/>
          <w:szCs w:val="28"/>
        </w:rPr>
        <w:lastRenderedPageBreak/>
        <w:t>Understanding Binge Eating Disorder: ICD-11 Classification, Historical Treatment, and Social Perspective</w:t>
      </w:r>
      <w:r w:rsidR="00E92797">
        <w:rPr>
          <w:rFonts w:ascii="Arial" w:hAnsi="Arial" w:cs="Arial"/>
          <w:b/>
          <w:bCs/>
          <w:sz w:val="28"/>
          <w:szCs w:val="28"/>
        </w:rPr>
        <w:t>S</w:t>
      </w:r>
    </w:p>
    <w:p w14:paraId="3C3C3C6E" w14:textId="77777777" w:rsidR="009E464E" w:rsidRDefault="009E464E"/>
    <w:p w14:paraId="764937EE" w14:textId="2D89588F" w:rsidR="00E92797" w:rsidRPr="00E92797" w:rsidRDefault="009E464E" w:rsidP="00144BED">
      <w:pPr>
        <w:pStyle w:val="Heading2"/>
        <w:rPr>
          <w:rFonts w:ascii="Arial" w:hAnsi="Arial" w:cs="Arial"/>
          <w:b/>
          <w:bCs/>
          <w:sz w:val="22"/>
          <w:szCs w:val="22"/>
        </w:rPr>
      </w:pPr>
      <w:r w:rsidRPr="00144BED">
        <w:rPr>
          <w:rFonts w:ascii="Arial" w:hAnsi="Arial" w:cs="Arial"/>
          <w:b/>
          <w:bCs/>
          <w:sz w:val="22"/>
          <w:szCs w:val="22"/>
        </w:rPr>
        <w:t>INTRODUCTION</w:t>
      </w:r>
    </w:p>
    <w:p w14:paraId="13FD8423" w14:textId="7B5F0FB2" w:rsidR="00E92797" w:rsidRPr="00E92797" w:rsidRDefault="00E92797" w:rsidP="00E92797">
      <w:pPr>
        <w:spacing w:line="360" w:lineRule="auto"/>
        <w:rPr>
          <w:rFonts w:ascii="Arial" w:hAnsi="Arial" w:cs="Arial"/>
          <w:b/>
          <w:bCs/>
          <w:sz w:val="22"/>
          <w:szCs w:val="22"/>
        </w:rPr>
      </w:pPr>
      <w:r w:rsidRPr="00E92797">
        <w:rPr>
          <w:rFonts w:ascii="Arial" w:hAnsi="Arial" w:cs="Arial"/>
          <w:sz w:val="22"/>
          <w:szCs w:val="22"/>
        </w:rPr>
        <w:t>The diagnosis of an eating disorder has been hampered in the past by a rather black-and-white approach, as epitomized by the DSM-IV and the ICD-10, with a strong emphasis on symptomology (Hay et al., 2012). Binge Eating Disorder (BED) has been relegated to the ‘residual’ category, as highlighted by Hilbert et al. (2019) and the WHO (2019). This poster will briefly reveal the past and current approach to BED, as well as the impact of society, culture, and history, and</w:t>
      </w:r>
      <w:r>
        <w:rPr>
          <w:rFonts w:ascii="Arial" w:hAnsi="Arial" w:cs="Arial"/>
          <w:sz w:val="22"/>
          <w:szCs w:val="22"/>
        </w:rPr>
        <w:t xml:space="preserve"> recommendations.</w:t>
      </w:r>
    </w:p>
    <w:p w14:paraId="1C71F253" w14:textId="61C66AD6" w:rsidR="009E464E" w:rsidRPr="00144BED" w:rsidRDefault="00E92797" w:rsidP="00144BED">
      <w:pPr>
        <w:pStyle w:val="Heading2"/>
        <w:rPr>
          <w:rFonts w:ascii="Arial" w:hAnsi="Arial" w:cs="Arial"/>
          <w:b/>
          <w:bCs/>
          <w:sz w:val="22"/>
          <w:szCs w:val="22"/>
        </w:rPr>
      </w:pPr>
      <w:r w:rsidRPr="00144BED">
        <w:rPr>
          <w:rFonts w:ascii="Arial" w:hAnsi="Arial" w:cs="Arial"/>
          <w:b/>
          <w:bCs/>
          <w:sz w:val="22"/>
          <w:szCs w:val="22"/>
        </w:rPr>
        <w:t>HISTORICAL</w:t>
      </w:r>
      <w:r w:rsidR="00144BED" w:rsidRPr="00144BED">
        <w:rPr>
          <w:rFonts w:ascii="Arial" w:hAnsi="Arial" w:cs="Arial"/>
          <w:b/>
          <w:bCs/>
          <w:sz w:val="22"/>
          <w:szCs w:val="22"/>
        </w:rPr>
        <w:t xml:space="preserve"> and Contemporary Background</w:t>
      </w:r>
    </w:p>
    <w:p w14:paraId="434B8FB5" w14:textId="77777777" w:rsidR="00E92797" w:rsidRDefault="00E92797" w:rsidP="00E92797">
      <w:pPr>
        <w:spacing w:line="360" w:lineRule="auto"/>
        <w:rPr>
          <w:rFonts w:ascii="Arial" w:hAnsi="Arial" w:cs="Arial"/>
          <w:sz w:val="22"/>
          <w:szCs w:val="22"/>
        </w:rPr>
      </w:pPr>
      <w:r w:rsidRPr="00E92797">
        <w:rPr>
          <w:rFonts w:ascii="Arial" w:hAnsi="Arial" w:cs="Arial"/>
          <w:sz w:val="22"/>
          <w:szCs w:val="22"/>
        </w:rPr>
        <w:t xml:space="preserve">In the past, eating disorder diagnosis has been constrained by classification systems such as ICD-10 and DSM-IV, which have been considered too narrow to cover the diversity of presentations (Hay et al., 2012). In the past, classification systems such as ICD-10 and DSM-IV have been considered too narrow, as they do not cover the diversity of eating disorder presentations (Hay et al., 2012). Many people have been classified under broad categories such as Eating Disorder Not Otherwise Specified (EDNOS), which has been considered inadequate for guiding diagnosis and ensuring access to effective </w:t>
      </w:r>
    </w:p>
    <w:p w14:paraId="36B65E34" w14:textId="77777777" w:rsidR="00E92797" w:rsidRDefault="00E92797" w:rsidP="00E92797">
      <w:pPr>
        <w:spacing w:line="360" w:lineRule="auto"/>
        <w:rPr>
          <w:rFonts w:ascii="Arial" w:hAnsi="Arial" w:cs="Arial"/>
          <w:sz w:val="22"/>
          <w:szCs w:val="22"/>
        </w:rPr>
      </w:pPr>
    </w:p>
    <w:p w14:paraId="5FB592DC" w14:textId="53CFFBFB" w:rsidR="00E92797" w:rsidRPr="00E92797" w:rsidRDefault="00E92797" w:rsidP="00E92797">
      <w:pPr>
        <w:spacing w:line="360" w:lineRule="auto"/>
        <w:rPr>
          <w:rFonts w:ascii="Arial" w:hAnsi="Arial" w:cs="Arial"/>
          <w:sz w:val="22"/>
          <w:szCs w:val="22"/>
        </w:rPr>
      </w:pPr>
      <w:r w:rsidRPr="00E92797">
        <w:rPr>
          <w:rFonts w:ascii="Arial" w:hAnsi="Arial" w:cs="Arial"/>
          <w:sz w:val="22"/>
          <w:szCs w:val="22"/>
        </w:rPr>
        <w:t>treatments (Hilbert et al., 2019). Binge Eating Disorder has been classified under unspecified eating disorders, which has been considered inadequate for guiding diagnosis and ensuring access to effective treatments (WHO, 2019; Wilfley et al., 2013). In contrast, current classification systems such as DSM-5 and ICD-11 have formally recognized BED and ARFID, with a focus on loss of control in binge eating, which has been considered effective for guiding diagnosis and ensuring access to effective treatments such as CBT and IPT (Treasure et al., 2020; Hilbert et al., 2019).</w:t>
      </w:r>
    </w:p>
    <w:p w14:paraId="3112913D" w14:textId="3F9A6767" w:rsidR="009E464E" w:rsidRPr="00144BED" w:rsidRDefault="00144BED" w:rsidP="00144BED">
      <w:pPr>
        <w:pStyle w:val="Heading2"/>
        <w:rPr>
          <w:rFonts w:ascii="Arial" w:hAnsi="Arial" w:cs="Arial"/>
          <w:b/>
          <w:bCs/>
          <w:sz w:val="22"/>
          <w:szCs w:val="22"/>
        </w:rPr>
      </w:pPr>
      <w:r w:rsidRPr="00144BED">
        <w:rPr>
          <w:rFonts w:ascii="Arial" w:hAnsi="Arial" w:cs="Arial"/>
          <w:b/>
          <w:bCs/>
          <w:sz w:val="22"/>
          <w:szCs w:val="22"/>
        </w:rPr>
        <w:t>SOCIAL, CULTURAL AND POLITICAL CONTEXT</w:t>
      </w:r>
    </w:p>
    <w:p w14:paraId="773BB0D2" w14:textId="01B460A2" w:rsidR="009E464E" w:rsidRDefault="00E92797" w:rsidP="00E92797">
      <w:pPr>
        <w:spacing w:line="360" w:lineRule="auto"/>
      </w:pPr>
      <w:r w:rsidRPr="00E92797">
        <w:rPr>
          <w:rFonts w:ascii="Arial" w:hAnsi="Arial" w:cs="Arial"/>
          <w:sz w:val="22"/>
          <w:szCs w:val="22"/>
        </w:rPr>
        <w:t xml:space="preserve">The diagnosis and treatment of eating disorders are also influenced by social, cultural, and political factors, in addition to clinical factors. For instance, cultural factors have been shown to affect the presentation of eating disorders in different populations (Hay et al., 2012). Previous studies and diagnostic tools were based on a white population, with a thin ideal model and the lack of consideration of cultural diversity (Mitchison and Hay, 2014; Hay et al., 2012). In addition, there was a lack of consideration and diagnosis of binge eating disorder in the past, as was the case with the ICD and DSM </w:t>
      </w:r>
      <w:r w:rsidRPr="00E92797">
        <w:rPr>
          <w:rFonts w:ascii="Arial" w:hAnsi="Arial" w:cs="Arial"/>
          <w:sz w:val="22"/>
          <w:szCs w:val="22"/>
        </w:rPr>
        <w:lastRenderedPageBreak/>
        <w:t>systems (WHO, 2019; Mitchison et al., 2017). However, the ICD-11 has recognized the diagnosis of BED and has helped in the creation of a pathway towards diagnosis and treatment (Hay et al., 2012; Hilbert et al., 2019; Treasure et al., 2020).</w:t>
      </w:r>
    </w:p>
    <w:p w14:paraId="11F8C621" w14:textId="7847EBE3" w:rsidR="009E464E" w:rsidRPr="00273276" w:rsidRDefault="00E92797" w:rsidP="00E92797">
      <w:pPr>
        <w:pStyle w:val="Heading2"/>
        <w:rPr>
          <w:rFonts w:ascii="Arial" w:hAnsi="Arial" w:cs="Arial"/>
          <w:b/>
          <w:bCs/>
          <w:sz w:val="22"/>
          <w:szCs w:val="22"/>
        </w:rPr>
      </w:pPr>
      <w:r w:rsidRPr="00273276">
        <w:rPr>
          <w:rFonts w:ascii="Arial" w:hAnsi="Arial" w:cs="Arial"/>
          <w:b/>
          <w:bCs/>
          <w:sz w:val="22"/>
          <w:szCs w:val="22"/>
        </w:rPr>
        <w:t>STIGMA AND DISCRIMINATION</w:t>
      </w:r>
    </w:p>
    <w:p w14:paraId="09077922" w14:textId="578B41D4" w:rsidR="00E92797" w:rsidRPr="00E92797" w:rsidRDefault="00E92797" w:rsidP="00E92797">
      <w:pPr>
        <w:spacing w:line="360" w:lineRule="auto"/>
        <w:rPr>
          <w:rFonts w:ascii="Arial" w:hAnsi="Arial" w:cs="Arial"/>
          <w:sz w:val="22"/>
          <w:szCs w:val="22"/>
        </w:rPr>
      </w:pPr>
      <w:r w:rsidRPr="00E92797">
        <w:rPr>
          <w:rFonts w:ascii="Arial" w:hAnsi="Arial" w:cs="Arial"/>
          <w:sz w:val="22"/>
          <w:szCs w:val="22"/>
        </w:rPr>
        <w:t xml:space="preserve">Diagnostic stigma has also played a role in the diagnosis and treatment of </w:t>
      </w:r>
      <w:proofErr w:type="spellStart"/>
      <w:r w:rsidRPr="00E92797">
        <w:rPr>
          <w:rFonts w:ascii="Arial" w:hAnsi="Arial" w:cs="Arial"/>
          <w:sz w:val="22"/>
          <w:szCs w:val="22"/>
        </w:rPr>
        <w:t>EDs</w:t>
      </w:r>
      <w:proofErr w:type="spellEnd"/>
      <w:r w:rsidRPr="00E92797">
        <w:rPr>
          <w:rFonts w:ascii="Arial" w:hAnsi="Arial" w:cs="Arial"/>
          <w:sz w:val="22"/>
          <w:szCs w:val="22"/>
        </w:rPr>
        <w:t xml:space="preserve"> over the years. The existence of residual categories, such as ED NOS, indicated that the symptoms were less severe, leading to low recognition (Hay et al., 2012). Binge Eating Disorder (BED) symptoms were also viewed as a lack of self-control rather than a mental disorder due to the lack of inclusion in earlier classification systems (WHO, 2019; Mitchison et al., 2017). The updated classification systems, ICD-11 and DSM-5, have clear criteria and recognition of BED, enhancing the legitimacy of the diagnosis and treatment (Hilbert et al., 2019).</w:t>
      </w:r>
    </w:p>
    <w:p w14:paraId="52427A75" w14:textId="165EE480" w:rsidR="00E92797" w:rsidRPr="00273276" w:rsidRDefault="00E92797" w:rsidP="00E92797">
      <w:pPr>
        <w:pStyle w:val="Heading2"/>
        <w:rPr>
          <w:rFonts w:ascii="Arial" w:hAnsi="Arial" w:cs="Arial"/>
          <w:b/>
          <w:bCs/>
          <w:sz w:val="22"/>
          <w:szCs w:val="22"/>
        </w:rPr>
      </w:pPr>
      <w:r w:rsidRPr="00273276">
        <w:rPr>
          <w:rFonts w:ascii="Arial" w:hAnsi="Arial" w:cs="Arial"/>
          <w:b/>
          <w:bCs/>
          <w:sz w:val="22"/>
          <w:szCs w:val="22"/>
        </w:rPr>
        <w:t>eVOLUTION OF ATTITUDES</w:t>
      </w:r>
    </w:p>
    <w:p w14:paraId="48117BAE" w14:textId="07D14F65" w:rsidR="00273276" w:rsidRPr="00273276" w:rsidRDefault="00273276" w:rsidP="00273276">
      <w:pPr>
        <w:spacing w:line="360" w:lineRule="auto"/>
        <w:rPr>
          <w:rFonts w:ascii="Arial" w:hAnsi="Arial" w:cs="Arial"/>
          <w:caps/>
          <w:sz w:val="22"/>
          <w:szCs w:val="22"/>
        </w:rPr>
      </w:pPr>
      <w:r w:rsidRPr="00273276">
        <w:rPr>
          <w:rFonts w:ascii="Arial" w:hAnsi="Arial" w:cs="Arial"/>
          <w:sz w:val="22"/>
          <w:szCs w:val="22"/>
        </w:rPr>
        <w:t xml:space="preserve">There has been a shift in the way in which eating disorders are classified, moving from a rigid system like the DSM-IV and ICD-10, which focused on strict </w:t>
      </w:r>
      <w:r w:rsidRPr="00273276">
        <w:rPr>
          <w:rFonts w:ascii="Arial" w:hAnsi="Arial" w:cs="Arial"/>
          <w:sz w:val="22"/>
          <w:szCs w:val="22"/>
        </w:rPr>
        <w:t>behavioural</w:t>
      </w:r>
      <w:r w:rsidRPr="00273276">
        <w:rPr>
          <w:rFonts w:ascii="Arial" w:hAnsi="Arial" w:cs="Arial"/>
          <w:sz w:val="22"/>
          <w:szCs w:val="22"/>
        </w:rPr>
        <w:t xml:space="preserve"> criteria and a large residual diagnosis of EDNOS, towards a more open system like the DSM-5 and ICD-11 (Fairburn &amp; Cooper, 2011; WHO, 2019; Mitchison &amp; Hay, 2017). In these systems, </w:t>
      </w:r>
      <w:r w:rsidRPr="00273276">
        <w:rPr>
          <w:rFonts w:ascii="Arial" w:hAnsi="Arial" w:cs="Arial"/>
          <w:sz w:val="22"/>
          <w:szCs w:val="22"/>
        </w:rPr>
        <w:t>there is a formal recognition of the diagnosis of binge eating disorder (BED), and this has a number of positive consequences, leading to a reframing of the way in which this diagnosis is perceived, with it now being a legitimate psychiatric diagnosis, (Hilbert et al., 2017; Grilo, 2019; Treasure et al., 2020).</w:t>
      </w:r>
    </w:p>
    <w:p w14:paraId="6CB44179" w14:textId="0D9FD740" w:rsidR="00E92797" w:rsidRPr="00273276" w:rsidRDefault="00E92797" w:rsidP="00E92797">
      <w:pPr>
        <w:pStyle w:val="Heading2"/>
        <w:rPr>
          <w:rFonts w:ascii="Arial" w:hAnsi="Arial" w:cs="Arial"/>
          <w:b/>
          <w:bCs/>
          <w:sz w:val="22"/>
          <w:szCs w:val="22"/>
        </w:rPr>
      </w:pPr>
      <w:r w:rsidRPr="00273276">
        <w:rPr>
          <w:rFonts w:ascii="Arial" w:hAnsi="Arial" w:cs="Arial"/>
          <w:b/>
          <w:bCs/>
          <w:sz w:val="22"/>
          <w:szCs w:val="22"/>
        </w:rPr>
        <w:t>RECOMMENDATIONS</w:t>
      </w:r>
    </w:p>
    <w:p w14:paraId="6626DAB0" w14:textId="224D0E1F" w:rsidR="00E92797" w:rsidRPr="00E92797" w:rsidRDefault="00E92797" w:rsidP="00E92797">
      <w:pPr>
        <w:spacing w:line="360" w:lineRule="auto"/>
        <w:rPr>
          <w:rFonts w:ascii="Arial" w:hAnsi="Arial" w:cs="Arial"/>
          <w:sz w:val="22"/>
          <w:szCs w:val="22"/>
        </w:rPr>
      </w:pPr>
      <w:r w:rsidRPr="00E92797">
        <w:rPr>
          <w:rFonts w:ascii="Arial" w:hAnsi="Arial" w:cs="Arial"/>
          <w:sz w:val="22"/>
          <w:szCs w:val="22"/>
        </w:rPr>
        <w:t>For the treatment of BED, it is necessary to increase detection, provide education on ICD-11 criteria among clinicians, and provide culturally sensitive care to account for different expressions of the disorder (Hay et al., 2012; Mitchison &amp; Hay, 2014; WHO, 2019; Hilbert et al., 2019). Associating it with funded evidence-based interventions like CBT and IPT will help, and ongoing research will provide responsive and sensitive care (Wilfley et al., 2013; Treasure et al., 2020).</w:t>
      </w:r>
    </w:p>
    <w:p w14:paraId="6AC546C3" w14:textId="2568FA3A" w:rsidR="00E92797" w:rsidRPr="00273276" w:rsidRDefault="00E92797" w:rsidP="00E92797">
      <w:pPr>
        <w:pStyle w:val="Heading2"/>
        <w:rPr>
          <w:rFonts w:ascii="Arial" w:hAnsi="Arial" w:cs="Arial"/>
          <w:b/>
          <w:bCs/>
          <w:sz w:val="22"/>
          <w:szCs w:val="22"/>
        </w:rPr>
      </w:pPr>
      <w:r w:rsidRPr="00273276">
        <w:rPr>
          <w:rFonts w:ascii="Arial" w:hAnsi="Arial" w:cs="Arial"/>
          <w:b/>
          <w:bCs/>
          <w:sz w:val="22"/>
          <w:szCs w:val="22"/>
        </w:rPr>
        <w:t>CONCLUSION</w:t>
      </w:r>
    </w:p>
    <w:p w14:paraId="0F676F54" w14:textId="186DDA21" w:rsidR="009E464E" w:rsidRPr="00273276" w:rsidRDefault="00273276" w:rsidP="00273276">
      <w:pPr>
        <w:spacing w:line="360" w:lineRule="auto"/>
        <w:rPr>
          <w:rFonts w:ascii="Arial" w:hAnsi="Arial" w:cs="Arial"/>
          <w:sz w:val="22"/>
          <w:szCs w:val="22"/>
        </w:rPr>
      </w:pPr>
      <w:r w:rsidRPr="00273276">
        <w:rPr>
          <w:rFonts w:ascii="Arial" w:hAnsi="Arial" w:cs="Arial"/>
          <w:sz w:val="22"/>
          <w:szCs w:val="22"/>
        </w:rPr>
        <w:t>In the evolution of the classification of eating disorders, including the DSM-5 and ICD-11, the accuracy of diagnosis has been enhanced, the presence of BED has been recognized, and evidence-based treatment has been made accessible (Hilbert et al., 2019; WHO, 2019). The focus of the classification on the presence of functional impairments, loss of control, and cultural sensitivity has minimized inequity in the past (Mitchison &amp; Hay, 2017; Puhl &amp; Suh, 2015).</w:t>
      </w:r>
    </w:p>
    <w:p w14:paraId="0105BC2C" w14:textId="77777777" w:rsidR="00273276" w:rsidRDefault="00273276">
      <w:pPr>
        <w:sectPr w:rsidR="00273276" w:rsidSect="009E464E">
          <w:type w:val="continuous"/>
          <w:pgSz w:w="11906" w:h="16838"/>
          <w:pgMar w:top="1440" w:right="1440" w:bottom="1440" w:left="1440" w:header="708" w:footer="708" w:gutter="0"/>
          <w:pgBorders w:offsetFrom="page">
            <w:top w:val="twistedLines1" w:sz="18" w:space="24" w:color="auto"/>
            <w:left w:val="twistedLines1" w:sz="18" w:space="24" w:color="auto"/>
            <w:bottom w:val="twistedLines1" w:sz="18" w:space="24" w:color="auto"/>
            <w:right w:val="twistedLines1" w:sz="18" w:space="24" w:color="auto"/>
          </w:pgBorders>
          <w:cols w:num="2" w:space="708"/>
          <w:docGrid w:linePitch="360"/>
        </w:sectPr>
      </w:pPr>
    </w:p>
    <w:p w14:paraId="7B5BA2B1" w14:textId="58E368F1" w:rsidR="009E464E" w:rsidRPr="00273276" w:rsidRDefault="00273276" w:rsidP="00273276">
      <w:pPr>
        <w:pStyle w:val="Heading1"/>
        <w:jc w:val="center"/>
        <w:rPr>
          <w:rFonts w:ascii="Arial" w:hAnsi="Arial" w:cs="Arial"/>
          <w:b/>
          <w:bCs/>
          <w:sz w:val="24"/>
          <w:szCs w:val="24"/>
        </w:rPr>
      </w:pPr>
      <w:r w:rsidRPr="00273276">
        <w:rPr>
          <w:rFonts w:ascii="Arial" w:hAnsi="Arial" w:cs="Arial"/>
          <w:b/>
          <w:bCs/>
          <w:sz w:val="24"/>
          <w:szCs w:val="24"/>
        </w:rPr>
        <w:lastRenderedPageBreak/>
        <w:t>REFERENCE LIST</w:t>
      </w:r>
    </w:p>
    <w:p w14:paraId="33DDFE34" w14:textId="77777777" w:rsidR="009E464E" w:rsidRDefault="009E464E"/>
    <w:p w14:paraId="358D435D" w14:textId="77777777" w:rsidR="00BC1BB7" w:rsidRPr="00BC1BB7" w:rsidRDefault="00BC1BB7" w:rsidP="00BC1BB7">
      <w:pPr>
        <w:spacing w:line="360" w:lineRule="auto"/>
        <w:rPr>
          <w:rFonts w:ascii="Arial" w:hAnsi="Arial" w:cs="Arial"/>
          <w:sz w:val="22"/>
          <w:szCs w:val="22"/>
        </w:rPr>
      </w:pPr>
      <w:r w:rsidRPr="00BC1BB7">
        <w:rPr>
          <w:rFonts w:ascii="Arial" w:hAnsi="Arial" w:cs="Arial"/>
          <w:sz w:val="22"/>
          <w:szCs w:val="22"/>
        </w:rPr>
        <w:t xml:space="preserve">American Psychiatric Association (APA) (2022) </w:t>
      </w:r>
      <w:r w:rsidRPr="00BC1BB7">
        <w:rPr>
          <w:rFonts w:ascii="Arial" w:hAnsi="Arial" w:cs="Arial"/>
          <w:i/>
          <w:iCs/>
          <w:sz w:val="22"/>
          <w:szCs w:val="22"/>
        </w:rPr>
        <w:t>Overview of the treatment of binge-eating disorder</w:t>
      </w:r>
      <w:r w:rsidRPr="00BC1BB7">
        <w:rPr>
          <w:rFonts w:ascii="Arial" w:hAnsi="Arial" w:cs="Arial"/>
          <w:sz w:val="22"/>
          <w:szCs w:val="22"/>
        </w:rPr>
        <w:t xml:space="preserve">. Cambridge: Cambridge University Press. Available at: </w:t>
      </w:r>
      <w:hyperlink r:id="rId5" w:tgtFrame="_new" w:history="1">
        <w:r w:rsidRPr="00BC1BB7">
          <w:rPr>
            <w:rStyle w:val="Hyperlink"/>
            <w:rFonts w:ascii="Arial" w:hAnsi="Arial" w:cs="Arial"/>
            <w:sz w:val="22"/>
            <w:szCs w:val="22"/>
          </w:rPr>
          <w:t>https://www.cambridge.org/core/journals/cns-spectrums/article/abs/overview-of-the-treatment-of-binge-eating-disorder/AFA81AEC09F49D3D34FCB2CA0300EB75</w:t>
        </w:r>
      </w:hyperlink>
    </w:p>
    <w:p w14:paraId="075E06B4" w14:textId="77777777" w:rsidR="00BC1BB7" w:rsidRPr="00BC1BB7" w:rsidRDefault="00BC1BB7" w:rsidP="00BC1BB7">
      <w:pPr>
        <w:spacing w:line="360" w:lineRule="auto"/>
        <w:rPr>
          <w:rFonts w:ascii="Arial" w:hAnsi="Arial" w:cs="Arial"/>
          <w:sz w:val="22"/>
          <w:szCs w:val="22"/>
        </w:rPr>
      </w:pPr>
      <w:r w:rsidRPr="00BC1BB7">
        <w:rPr>
          <w:rFonts w:ascii="Arial" w:hAnsi="Arial" w:cs="Arial"/>
          <w:sz w:val="22"/>
          <w:szCs w:val="22"/>
        </w:rPr>
        <w:t xml:space="preserve">Hay, P., Mitchison, D. and Brown, W. (2012) ‘Prevalence and burden of eating disorders’, </w:t>
      </w:r>
      <w:r w:rsidRPr="00BC1BB7">
        <w:rPr>
          <w:rFonts w:ascii="Arial" w:hAnsi="Arial" w:cs="Arial"/>
          <w:i/>
          <w:iCs/>
          <w:sz w:val="22"/>
          <w:szCs w:val="22"/>
        </w:rPr>
        <w:t>International Journal of Eating Disorders</w:t>
      </w:r>
      <w:r w:rsidRPr="00BC1BB7">
        <w:rPr>
          <w:rFonts w:ascii="Arial" w:hAnsi="Arial" w:cs="Arial"/>
          <w:sz w:val="22"/>
          <w:szCs w:val="22"/>
        </w:rPr>
        <w:t xml:space="preserve">, 45(4), pp. 415–427. Available at: </w:t>
      </w:r>
      <w:hyperlink r:id="rId6" w:tgtFrame="_new" w:history="1">
        <w:r w:rsidRPr="00BC1BB7">
          <w:rPr>
            <w:rStyle w:val="Hyperlink"/>
            <w:rFonts w:ascii="Arial" w:hAnsi="Arial" w:cs="Arial"/>
            <w:sz w:val="22"/>
            <w:szCs w:val="22"/>
          </w:rPr>
          <w:t>https://www.sciencedirect.com/science/article/abs/pii/S1723861712000561</w:t>
        </w:r>
      </w:hyperlink>
    </w:p>
    <w:p w14:paraId="3D33D88B" w14:textId="77777777" w:rsidR="00BC1BB7" w:rsidRPr="00BC1BB7" w:rsidRDefault="00BC1BB7" w:rsidP="00BC1BB7">
      <w:pPr>
        <w:spacing w:line="360" w:lineRule="auto"/>
        <w:rPr>
          <w:rFonts w:ascii="Arial" w:hAnsi="Arial" w:cs="Arial"/>
          <w:sz w:val="22"/>
          <w:szCs w:val="22"/>
        </w:rPr>
      </w:pPr>
      <w:r w:rsidRPr="00BC1BB7">
        <w:rPr>
          <w:rFonts w:ascii="Arial" w:hAnsi="Arial" w:cs="Arial"/>
          <w:sz w:val="22"/>
          <w:szCs w:val="22"/>
        </w:rPr>
        <w:t xml:space="preserve">Hilbert, A. et al. (2019) ‘Loss of control eating and binge-eating disorder’, </w:t>
      </w:r>
      <w:r w:rsidRPr="00BC1BB7">
        <w:rPr>
          <w:rFonts w:ascii="Arial" w:hAnsi="Arial" w:cs="Arial"/>
          <w:i/>
          <w:iCs/>
          <w:sz w:val="22"/>
          <w:szCs w:val="22"/>
        </w:rPr>
        <w:t>BMC Medicine</w:t>
      </w:r>
      <w:r w:rsidRPr="00BC1BB7">
        <w:rPr>
          <w:rFonts w:ascii="Arial" w:hAnsi="Arial" w:cs="Arial"/>
          <w:sz w:val="22"/>
          <w:szCs w:val="22"/>
        </w:rPr>
        <w:t xml:space="preserve">, 17, 120. Available at: </w:t>
      </w:r>
      <w:hyperlink r:id="rId7" w:tgtFrame="_new" w:history="1">
        <w:r w:rsidRPr="00BC1BB7">
          <w:rPr>
            <w:rStyle w:val="Hyperlink"/>
            <w:rFonts w:ascii="Arial" w:hAnsi="Arial" w:cs="Arial"/>
            <w:sz w:val="22"/>
            <w:szCs w:val="22"/>
          </w:rPr>
          <w:t>https://link.springer.com/article/10.1186/s12916-019-1327-4</w:t>
        </w:r>
      </w:hyperlink>
    </w:p>
    <w:p w14:paraId="09072C55" w14:textId="77777777" w:rsidR="00BC1BB7" w:rsidRPr="00BC1BB7" w:rsidRDefault="00BC1BB7" w:rsidP="00BC1BB7">
      <w:pPr>
        <w:spacing w:line="360" w:lineRule="auto"/>
        <w:rPr>
          <w:rFonts w:ascii="Arial" w:hAnsi="Arial" w:cs="Arial"/>
          <w:sz w:val="22"/>
          <w:szCs w:val="22"/>
        </w:rPr>
      </w:pPr>
      <w:r w:rsidRPr="00BC1BB7">
        <w:rPr>
          <w:rFonts w:ascii="Arial" w:hAnsi="Arial" w:cs="Arial"/>
          <w:sz w:val="22"/>
          <w:szCs w:val="22"/>
        </w:rPr>
        <w:t xml:space="preserve">Mitchison, D. and Hay, P. (2014) ‘The changing demographic profile of binge-eating disorder’, </w:t>
      </w:r>
      <w:r w:rsidRPr="00BC1BB7">
        <w:rPr>
          <w:rFonts w:ascii="Arial" w:hAnsi="Arial" w:cs="Arial"/>
          <w:i/>
          <w:iCs/>
          <w:sz w:val="22"/>
          <w:szCs w:val="22"/>
        </w:rPr>
        <w:t>Psychiatric Clinics of North America</w:t>
      </w:r>
      <w:r w:rsidRPr="00BC1BB7">
        <w:rPr>
          <w:rFonts w:ascii="Arial" w:hAnsi="Arial" w:cs="Arial"/>
          <w:sz w:val="22"/>
          <w:szCs w:val="22"/>
        </w:rPr>
        <w:t xml:space="preserve">, 37(3), pp. 301–312. Available at: </w:t>
      </w:r>
      <w:hyperlink r:id="rId8" w:tgtFrame="_new" w:history="1">
        <w:r w:rsidRPr="00BC1BB7">
          <w:rPr>
            <w:rStyle w:val="Hyperlink"/>
            <w:rFonts w:ascii="Arial" w:hAnsi="Arial" w:cs="Arial"/>
            <w:sz w:val="22"/>
            <w:szCs w:val="22"/>
          </w:rPr>
          <w:t>https://www.sciencedirect.com/science/article/abs/pii/S0195666313002122</w:t>
        </w:r>
      </w:hyperlink>
    </w:p>
    <w:p w14:paraId="733C7891" w14:textId="77777777" w:rsidR="00BC1BB7" w:rsidRPr="00BC1BB7" w:rsidRDefault="00BC1BB7" w:rsidP="00BC1BB7">
      <w:pPr>
        <w:spacing w:line="360" w:lineRule="auto"/>
        <w:rPr>
          <w:rFonts w:ascii="Arial" w:hAnsi="Arial" w:cs="Arial"/>
          <w:sz w:val="22"/>
          <w:szCs w:val="22"/>
        </w:rPr>
      </w:pPr>
      <w:r w:rsidRPr="00BC1BB7">
        <w:rPr>
          <w:rFonts w:ascii="Arial" w:hAnsi="Arial" w:cs="Arial"/>
          <w:sz w:val="22"/>
          <w:szCs w:val="22"/>
        </w:rPr>
        <w:t xml:space="preserve">Mitchison, D. et al. (2017) ‘The changing demographic profile of BED’, </w:t>
      </w:r>
      <w:r w:rsidRPr="00BC1BB7">
        <w:rPr>
          <w:rFonts w:ascii="Arial" w:hAnsi="Arial" w:cs="Arial"/>
          <w:i/>
          <w:iCs/>
          <w:sz w:val="22"/>
          <w:szCs w:val="22"/>
        </w:rPr>
        <w:t>Nutrients</w:t>
      </w:r>
      <w:r w:rsidRPr="00BC1BB7">
        <w:rPr>
          <w:rFonts w:ascii="Arial" w:hAnsi="Arial" w:cs="Arial"/>
          <w:sz w:val="22"/>
          <w:szCs w:val="22"/>
        </w:rPr>
        <w:t xml:space="preserve">, 9(11), 1267. Available at: </w:t>
      </w:r>
      <w:hyperlink r:id="rId9" w:tgtFrame="_new" w:history="1">
        <w:r w:rsidRPr="00BC1BB7">
          <w:rPr>
            <w:rStyle w:val="Hyperlink"/>
            <w:rFonts w:ascii="Arial" w:hAnsi="Arial" w:cs="Arial"/>
            <w:sz w:val="22"/>
            <w:szCs w:val="22"/>
          </w:rPr>
          <w:t>https://www.mdpi.com/2072-6643/9/11/1267</w:t>
        </w:r>
      </w:hyperlink>
    </w:p>
    <w:p w14:paraId="71EA3BA6" w14:textId="77777777" w:rsidR="00BC1BB7" w:rsidRPr="00BC1BB7" w:rsidRDefault="00BC1BB7" w:rsidP="00BC1BB7">
      <w:pPr>
        <w:spacing w:line="360" w:lineRule="auto"/>
        <w:rPr>
          <w:rFonts w:ascii="Arial" w:hAnsi="Arial" w:cs="Arial"/>
          <w:sz w:val="22"/>
          <w:szCs w:val="22"/>
        </w:rPr>
      </w:pPr>
      <w:r w:rsidRPr="00BC1BB7">
        <w:rPr>
          <w:rFonts w:ascii="Arial" w:hAnsi="Arial" w:cs="Arial"/>
          <w:sz w:val="22"/>
          <w:szCs w:val="22"/>
        </w:rPr>
        <w:t xml:space="preserve">Pearl, </w:t>
      </w:r>
      <w:proofErr w:type="spellStart"/>
      <w:r w:rsidRPr="00BC1BB7">
        <w:rPr>
          <w:rFonts w:ascii="Arial" w:hAnsi="Arial" w:cs="Arial"/>
          <w:sz w:val="22"/>
          <w:szCs w:val="22"/>
        </w:rPr>
        <w:t>R.L</w:t>
      </w:r>
      <w:proofErr w:type="spellEnd"/>
      <w:r w:rsidRPr="00BC1BB7">
        <w:rPr>
          <w:rFonts w:ascii="Arial" w:hAnsi="Arial" w:cs="Arial"/>
          <w:sz w:val="22"/>
          <w:szCs w:val="22"/>
        </w:rPr>
        <w:t xml:space="preserve">. and Puhl, </w:t>
      </w:r>
      <w:proofErr w:type="spellStart"/>
      <w:r w:rsidRPr="00BC1BB7">
        <w:rPr>
          <w:rFonts w:ascii="Arial" w:hAnsi="Arial" w:cs="Arial"/>
          <w:sz w:val="22"/>
          <w:szCs w:val="22"/>
        </w:rPr>
        <w:t>R.M</w:t>
      </w:r>
      <w:proofErr w:type="spellEnd"/>
      <w:r w:rsidRPr="00BC1BB7">
        <w:rPr>
          <w:rFonts w:ascii="Arial" w:hAnsi="Arial" w:cs="Arial"/>
          <w:sz w:val="22"/>
          <w:szCs w:val="22"/>
        </w:rPr>
        <w:t xml:space="preserve">. (2018) ‘Weight bias and stigma’, </w:t>
      </w:r>
      <w:r w:rsidRPr="00BC1BB7">
        <w:rPr>
          <w:rFonts w:ascii="Arial" w:hAnsi="Arial" w:cs="Arial"/>
          <w:i/>
          <w:iCs/>
          <w:sz w:val="22"/>
          <w:szCs w:val="22"/>
        </w:rPr>
        <w:t>Journal of Clinical Psychology</w:t>
      </w:r>
      <w:r w:rsidRPr="00BC1BB7">
        <w:rPr>
          <w:rFonts w:ascii="Arial" w:hAnsi="Arial" w:cs="Arial"/>
          <w:sz w:val="22"/>
          <w:szCs w:val="22"/>
        </w:rPr>
        <w:t xml:space="preserve">, 74(10), pp. 1722–1738. Available at: </w:t>
      </w:r>
      <w:hyperlink r:id="rId10" w:tgtFrame="_new" w:history="1">
        <w:r w:rsidRPr="00BC1BB7">
          <w:rPr>
            <w:rStyle w:val="Hyperlink"/>
            <w:rFonts w:ascii="Arial" w:hAnsi="Arial" w:cs="Arial"/>
            <w:sz w:val="22"/>
            <w:szCs w:val="22"/>
          </w:rPr>
          <w:t>https://onlinelibrary.wiley.com/doi/abs/10.1002/jclp.22782</w:t>
        </w:r>
      </w:hyperlink>
    </w:p>
    <w:p w14:paraId="41FF3B94" w14:textId="77777777" w:rsidR="00BC1BB7" w:rsidRPr="00BC1BB7" w:rsidRDefault="00BC1BB7" w:rsidP="00BC1BB7">
      <w:pPr>
        <w:spacing w:line="360" w:lineRule="auto"/>
        <w:rPr>
          <w:rFonts w:ascii="Arial" w:hAnsi="Arial" w:cs="Arial"/>
          <w:sz w:val="22"/>
          <w:szCs w:val="22"/>
        </w:rPr>
      </w:pPr>
      <w:r w:rsidRPr="00BC1BB7">
        <w:rPr>
          <w:rFonts w:ascii="Arial" w:hAnsi="Arial" w:cs="Arial"/>
          <w:sz w:val="22"/>
          <w:szCs w:val="22"/>
        </w:rPr>
        <w:t xml:space="preserve">Puhl, </w:t>
      </w:r>
      <w:proofErr w:type="spellStart"/>
      <w:r w:rsidRPr="00BC1BB7">
        <w:rPr>
          <w:rFonts w:ascii="Arial" w:hAnsi="Arial" w:cs="Arial"/>
          <w:sz w:val="22"/>
          <w:szCs w:val="22"/>
        </w:rPr>
        <w:t>R.M</w:t>
      </w:r>
      <w:proofErr w:type="spellEnd"/>
      <w:r w:rsidRPr="00BC1BB7">
        <w:rPr>
          <w:rFonts w:ascii="Arial" w:hAnsi="Arial" w:cs="Arial"/>
          <w:sz w:val="22"/>
          <w:szCs w:val="22"/>
        </w:rPr>
        <w:t xml:space="preserve">. et al. (2015) ‘Stigma and eating disorders’, </w:t>
      </w:r>
      <w:r w:rsidRPr="00BC1BB7">
        <w:rPr>
          <w:rFonts w:ascii="Arial" w:hAnsi="Arial" w:cs="Arial"/>
          <w:i/>
          <w:iCs/>
          <w:sz w:val="22"/>
          <w:szCs w:val="22"/>
        </w:rPr>
        <w:t>Current Psychiatry Reports</w:t>
      </w:r>
      <w:r w:rsidRPr="00BC1BB7">
        <w:rPr>
          <w:rFonts w:ascii="Arial" w:hAnsi="Arial" w:cs="Arial"/>
          <w:sz w:val="22"/>
          <w:szCs w:val="22"/>
        </w:rPr>
        <w:t xml:space="preserve">, 17, 552. Available at: </w:t>
      </w:r>
      <w:hyperlink r:id="rId11" w:tgtFrame="_new" w:history="1">
        <w:r w:rsidRPr="00BC1BB7">
          <w:rPr>
            <w:rStyle w:val="Hyperlink"/>
            <w:rFonts w:ascii="Arial" w:hAnsi="Arial" w:cs="Arial"/>
            <w:sz w:val="22"/>
            <w:szCs w:val="22"/>
          </w:rPr>
          <w:t>https://link.springer.com/article/10.1007/s11920-015-0552-6</w:t>
        </w:r>
      </w:hyperlink>
    </w:p>
    <w:p w14:paraId="779D625F" w14:textId="77777777" w:rsidR="00BC1BB7" w:rsidRPr="00BC1BB7" w:rsidRDefault="00BC1BB7" w:rsidP="00BC1BB7">
      <w:pPr>
        <w:spacing w:line="360" w:lineRule="auto"/>
        <w:rPr>
          <w:rFonts w:ascii="Arial" w:hAnsi="Arial" w:cs="Arial"/>
          <w:sz w:val="22"/>
          <w:szCs w:val="22"/>
        </w:rPr>
      </w:pPr>
      <w:r w:rsidRPr="00BC1BB7">
        <w:rPr>
          <w:rFonts w:ascii="Arial" w:hAnsi="Arial" w:cs="Arial"/>
          <w:sz w:val="22"/>
          <w:szCs w:val="22"/>
        </w:rPr>
        <w:t xml:space="preserve">Treasure, J. et al. (2020) ‘Advances in eating disorder research’, </w:t>
      </w:r>
      <w:r w:rsidRPr="00BC1BB7">
        <w:rPr>
          <w:rFonts w:ascii="Arial" w:hAnsi="Arial" w:cs="Arial"/>
          <w:i/>
          <w:iCs/>
          <w:sz w:val="22"/>
          <w:szCs w:val="22"/>
        </w:rPr>
        <w:t>Journal of Eating Disorders</w:t>
      </w:r>
      <w:r w:rsidRPr="00BC1BB7">
        <w:rPr>
          <w:rFonts w:ascii="Arial" w:hAnsi="Arial" w:cs="Arial"/>
          <w:sz w:val="22"/>
          <w:szCs w:val="22"/>
        </w:rPr>
        <w:t xml:space="preserve">, 8, 42. Available at: </w:t>
      </w:r>
      <w:hyperlink r:id="rId12" w:tgtFrame="_new" w:history="1">
        <w:r w:rsidRPr="00BC1BB7">
          <w:rPr>
            <w:rStyle w:val="Hyperlink"/>
            <w:rFonts w:ascii="Arial" w:hAnsi="Arial" w:cs="Arial"/>
            <w:sz w:val="22"/>
            <w:szCs w:val="22"/>
          </w:rPr>
          <w:t>https://link.springer.com/article/10.1186/s40337-020-00342-z</w:t>
        </w:r>
      </w:hyperlink>
    </w:p>
    <w:p w14:paraId="6BD3CCE5" w14:textId="77777777" w:rsidR="00BC1BB7" w:rsidRPr="00BC1BB7" w:rsidRDefault="00BC1BB7" w:rsidP="00BC1BB7">
      <w:pPr>
        <w:spacing w:line="360" w:lineRule="auto"/>
        <w:rPr>
          <w:rFonts w:ascii="Arial" w:hAnsi="Arial" w:cs="Arial"/>
          <w:sz w:val="22"/>
          <w:szCs w:val="22"/>
        </w:rPr>
      </w:pPr>
      <w:r w:rsidRPr="00BC1BB7">
        <w:rPr>
          <w:rFonts w:ascii="Arial" w:hAnsi="Arial" w:cs="Arial"/>
          <w:sz w:val="22"/>
          <w:szCs w:val="22"/>
        </w:rPr>
        <w:t xml:space="preserve">Wilfley, D.E. et al. (2013) ‘Overview of the treatment of binge-eating disorder’, </w:t>
      </w:r>
      <w:r w:rsidRPr="00BC1BB7">
        <w:rPr>
          <w:rFonts w:ascii="Arial" w:hAnsi="Arial" w:cs="Arial"/>
          <w:i/>
          <w:iCs/>
          <w:sz w:val="22"/>
          <w:szCs w:val="22"/>
        </w:rPr>
        <w:t>CNS Spectrums</w:t>
      </w:r>
      <w:r w:rsidRPr="00BC1BB7">
        <w:rPr>
          <w:rFonts w:ascii="Arial" w:hAnsi="Arial" w:cs="Arial"/>
          <w:sz w:val="22"/>
          <w:szCs w:val="22"/>
        </w:rPr>
        <w:t xml:space="preserve">, 18(1), pp. 1–10. Available at: </w:t>
      </w:r>
      <w:hyperlink r:id="rId13" w:tgtFrame="_new" w:history="1">
        <w:r w:rsidRPr="00BC1BB7">
          <w:rPr>
            <w:rStyle w:val="Hyperlink"/>
            <w:rFonts w:ascii="Arial" w:hAnsi="Arial" w:cs="Arial"/>
            <w:sz w:val="22"/>
            <w:szCs w:val="22"/>
          </w:rPr>
          <w:t>https://www.cambridge.org/core/journals/cns-spectrums/article/abs/overview-of-the-treatment-of-binge-eating-disorder/AFA81AEC09F49D3D34FCB2CA0300EB75</w:t>
        </w:r>
      </w:hyperlink>
    </w:p>
    <w:p w14:paraId="37686D18" w14:textId="77777777" w:rsidR="00BC1BB7" w:rsidRPr="00BC1BB7" w:rsidRDefault="00BC1BB7" w:rsidP="00BC1BB7">
      <w:pPr>
        <w:spacing w:line="360" w:lineRule="auto"/>
        <w:rPr>
          <w:rFonts w:ascii="Arial" w:hAnsi="Arial" w:cs="Arial"/>
          <w:sz w:val="22"/>
          <w:szCs w:val="22"/>
        </w:rPr>
      </w:pPr>
      <w:r w:rsidRPr="00BC1BB7">
        <w:rPr>
          <w:rFonts w:ascii="Arial" w:hAnsi="Arial" w:cs="Arial"/>
          <w:sz w:val="22"/>
          <w:szCs w:val="22"/>
        </w:rPr>
        <w:t xml:space="preserve">World Health Organization (WHO) (2019) </w:t>
      </w:r>
      <w:r w:rsidRPr="00BC1BB7">
        <w:rPr>
          <w:rFonts w:ascii="Arial" w:hAnsi="Arial" w:cs="Arial"/>
          <w:i/>
          <w:iCs/>
          <w:sz w:val="22"/>
          <w:szCs w:val="22"/>
        </w:rPr>
        <w:t>ICD-11: Binge-eating disorder</w:t>
      </w:r>
      <w:r w:rsidRPr="00BC1BB7">
        <w:rPr>
          <w:rFonts w:ascii="Arial" w:hAnsi="Arial" w:cs="Arial"/>
          <w:sz w:val="22"/>
          <w:szCs w:val="22"/>
        </w:rPr>
        <w:t xml:space="preserve">. Available at: </w:t>
      </w:r>
      <w:hyperlink r:id="rId14" w:tgtFrame="_new" w:history="1">
        <w:r w:rsidRPr="00BC1BB7">
          <w:rPr>
            <w:rStyle w:val="Hyperlink"/>
            <w:rFonts w:ascii="Arial" w:hAnsi="Arial" w:cs="Arial"/>
            <w:sz w:val="22"/>
            <w:szCs w:val="22"/>
          </w:rPr>
          <w:t>https://www.findacode.com/icd-11/code-1673294767.html</w:t>
        </w:r>
      </w:hyperlink>
    </w:p>
    <w:p w14:paraId="1ECE0F03" w14:textId="77777777" w:rsidR="009E464E" w:rsidRDefault="009E464E"/>
    <w:sectPr w:rsidR="009E464E" w:rsidSect="00273276">
      <w:type w:val="continuous"/>
      <w:pgSz w:w="11906" w:h="16838"/>
      <w:pgMar w:top="1440" w:right="1440" w:bottom="1440" w:left="1440" w:header="708" w:footer="708" w:gutter="0"/>
      <w:pgBorders w:offsetFrom="page">
        <w:top w:val="twistedLines1" w:sz="18" w:space="24" w:color="auto"/>
        <w:left w:val="twistedLines1" w:sz="18" w:space="24" w:color="auto"/>
        <w:bottom w:val="twistedLines1" w:sz="18" w:space="24" w:color="auto"/>
        <w:right w:val="twistedLines1" w:sz="1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64E"/>
    <w:rsid w:val="00004DAC"/>
    <w:rsid w:val="00144BED"/>
    <w:rsid w:val="001D7412"/>
    <w:rsid w:val="00273276"/>
    <w:rsid w:val="00581D91"/>
    <w:rsid w:val="009E464E"/>
    <w:rsid w:val="00BC1BB7"/>
    <w:rsid w:val="00E927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95F8E"/>
  <w15:chartTrackingRefBased/>
  <w15:docId w15:val="{6EDC3682-DC87-4269-877F-5B9AD203F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64E"/>
  </w:style>
  <w:style w:type="paragraph" w:styleId="Heading1">
    <w:name w:val="heading 1"/>
    <w:basedOn w:val="Normal"/>
    <w:next w:val="Normal"/>
    <w:link w:val="Heading1Char"/>
    <w:uiPriority w:val="9"/>
    <w:qFormat/>
    <w:rsid w:val="009E464E"/>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9E464E"/>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9E464E"/>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9E464E"/>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9E464E"/>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9E464E"/>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9E464E"/>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9E464E"/>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9E464E"/>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464E"/>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rsid w:val="009E464E"/>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9E464E"/>
    <w:rPr>
      <w:caps/>
      <w:color w:val="0A2F40" w:themeColor="accent1" w:themeShade="7F"/>
      <w:spacing w:val="15"/>
    </w:rPr>
  </w:style>
  <w:style w:type="character" w:customStyle="1" w:styleId="Heading4Char">
    <w:name w:val="Heading 4 Char"/>
    <w:basedOn w:val="DefaultParagraphFont"/>
    <w:link w:val="Heading4"/>
    <w:uiPriority w:val="9"/>
    <w:semiHidden/>
    <w:rsid w:val="009E464E"/>
    <w:rPr>
      <w:caps/>
      <w:color w:val="0F4761" w:themeColor="accent1" w:themeShade="BF"/>
      <w:spacing w:val="10"/>
    </w:rPr>
  </w:style>
  <w:style w:type="character" w:customStyle="1" w:styleId="Heading5Char">
    <w:name w:val="Heading 5 Char"/>
    <w:basedOn w:val="DefaultParagraphFont"/>
    <w:link w:val="Heading5"/>
    <w:uiPriority w:val="9"/>
    <w:semiHidden/>
    <w:rsid w:val="009E464E"/>
    <w:rPr>
      <w:caps/>
      <w:color w:val="0F4761" w:themeColor="accent1" w:themeShade="BF"/>
      <w:spacing w:val="10"/>
    </w:rPr>
  </w:style>
  <w:style w:type="character" w:customStyle="1" w:styleId="Heading6Char">
    <w:name w:val="Heading 6 Char"/>
    <w:basedOn w:val="DefaultParagraphFont"/>
    <w:link w:val="Heading6"/>
    <w:uiPriority w:val="9"/>
    <w:semiHidden/>
    <w:rsid w:val="009E464E"/>
    <w:rPr>
      <w:caps/>
      <w:color w:val="0F4761" w:themeColor="accent1" w:themeShade="BF"/>
      <w:spacing w:val="10"/>
    </w:rPr>
  </w:style>
  <w:style w:type="character" w:customStyle="1" w:styleId="Heading7Char">
    <w:name w:val="Heading 7 Char"/>
    <w:basedOn w:val="DefaultParagraphFont"/>
    <w:link w:val="Heading7"/>
    <w:uiPriority w:val="9"/>
    <w:semiHidden/>
    <w:rsid w:val="009E464E"/>
    <w:rPr>
      <w:caps/>
      <w:color w:val="0F4761" w:themeColor="accent1" w:themeShade="BF"/>
      <w:spacing w:val="10"/>
    </w:rPr>
  </w:style>
  <w:style w:type="character" w:customStyle="1" w:styleId="Heading8Char">
    <w:name w:val="Heading 8 Char"/>
    <w:basedOn w:val="DefaultParagraphFont"/>
    <w:link w:val="Heading8"/>
    <w:uiPriority w:val="9"/>
    <w:semiHidden/>
    <w:rsid w:val="009E464E"/>
    <w:rPr>
      <w:caps/>
      <w:spacing w:val="10"/>
      <w:sz w:val="18"/>
      <w:szCs w:val="18"/>
    </w:rPr>
  </w:style>
  <w:style w:type="character" w:customStyle="1" w:styleId="Heading9Char">
    <w:name w:val="Heading 9 Char"/>
    <w:basedOn w:val="DefaultParagraphFont"/>
    <w:link w:val="Heading9"/>
    <w:uiPriority w:val="9"/>
    <w:semiHidden/>
    <w:rsid w:val="009E464E"/>
    <w:rPr>
      <w:i/>
      <w:iCs/>
      <w:caps/>
      <w:spacing w:val="10"/>
      <w:sz w:val="18"/>
      <w:szCs w:val="18"/>
    </w:rPr>
  </w:style>
  <w:style w:type="paragraph" w:styleId="Title">
    <w:name w:val="Title"/>
    <w:basedOn w:val="Normal"/>
    <w:next w:val="Normal"/>
    <w:link w:val="TitleChar"/>
    <w:uiPriority w:val="10"/>
    <w:qFormat/>
    <w:rsid w:val="009E464E"/>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9E464E"/>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9E464E"/>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9E464E"/>
    <w:rPr>
      <w:caps/>
      <w:color w:val="595959" w:themeColor="text1" w:themeTint="A6"/>
      <w:spacing w:val="10"/>
      <w:sz w:val="21"/>
      <w:szCs w:val="21"/>
    </w:rPr>
  </w:style>
  <w:style w:type="paragraph" w:styleId="Quote">
    <w:name w:val="Quote"/>
    <w:basedOn w:val="Normal"/>
    <w:next w:val="Normal"/>
    <w:link w:val="QuoteChar"/>
    <w:uiPriority w:val="29"/>
    <w:qFormat/>
    <w:rsid w:val="009E464E"/>
    <w:rPr>
      <w:i/>
      <w:iCs/>
      <w:sz w:val="24"/>
      <w:szCs w:val="24"/>
    </w:rPr>
  </w:style>
  <w:style w:type="character" w:customStyle="1" w:styleId="QuoteChar">
    <w:name w:val="Quote Char"/>
    <w:basedOn w:val="DefaultParagraphFont"/>
    <w:link w:val="Quote"/>
    <w:uiPriority w:val="29"/>
    <w:rsid w:val="009E464E"/>
    <w:rPr>
      <w:i/>
      <w:iCs/>
      <w:sz w:val="24"/>
      <w:szCs w:val="24"/>
    </w:rPr>
  </w:style>
  <w:style w:type="paragraph" w:styleId="ListParagraph">
    <w:name w:val="List Paragraph"/>
    <w:basedOn w:val="Normal"/>
    <w:uiPriority w:val="34"/>
    <w:qFormat/>
    <w:rsid w:val="009E464E"/>
    <w:pPr>
      <w:ind w:left="720"/>
      <w:contextualSpacing/>
    </w:pPr>
  </w:style>
  <w:style w:type="character" w:styleId="IntenseEmphasis">
    <w:name w:val="Intense Emphasis"/>
    <w:uiPriority w:val="21"/>
    <w:qFormat/>
    <w:rsid w:val="009E464E"/>
    <w:rPr>
      <w:b/>
      <w:bCs/>
      <w:caps/>
      <w:color w:val="0A2F40" w:themeColor="accent1" w:themeShade="7F"/>
      <w:spacing w:val="10"/>
    </w:rPr>
  </w:style>
  <w:style w:type="paragraph" w:styleId="IntenseQuote">
    <w:name w:val="Intense Quote"/>
    <w:basedOn w:val="Normal"/>
    <w:next w:val="Normal"/>
    <w:link w:val="IntenseQuoteChar"/>
    <w:uiPriority w:val="30"/>
    <w:qFormat/>
    <w:rsid w:val="009E464E"/>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9E464E"/>
    <w:rPr>
      <w:color w:val="156082" w:themeColor="accent1"/>
      <w:sz w:val="24"/>
      <w:szCs w:val="24"/>
    </w:rPr>
  </w:style>
  <w:style w:type="character" w:styleId="IntenseReference">
    <w:name w:val="Intense Reference"/>
    <w:uiPriority w:val="32"/>
    <w:qFormat/>
    <w:rsid w:val="009E464E"/>
    <w:rPr>
      <w:b/>
      <w:bCs/>
      <w:i/>
      <w:iCs/>
      <w:caps/>
      <w:color w:val="156082" w:themeColor="accent1"/>
    </w:rPr>
  </w:style>
  <w:style w:type="paragraph" w:styleId="Caption">
    <w:name w:val="caption"/>
    <w:basedOn w:val="Normal"/>
    <w:next w:val="Normal"/>
    <w:uiPriority w:val="35"/>
    <w:semiHidden/>
    <w:unhideWhenUsed/>
    <w:qFormat/>
    <w:rsid w:val="009E464E"/>
    <w:rPr>
      <w:b/>
      <w:bCs/>
      <w:color w:val="0F4761" w:themeColor="accent1" w:themeShade="BF"/>
      <w:sz w:val="16"/>
      <w:szCs w:val="16"/>
    </w:rPr>
  </w:style>
  <w:style w:type="character" w:styleId="Strong">
    <w:name w:val="Strong"/>
    <w:uiPriority w:val="22"/>
    <w:qFormat/>
    <w:rsid w:val="009E464E"/>
    <w:rPr>
      <w:b/>
      <w:bCs/>
    </w:rPr>
  </w:style>
  <w:style w:type="character" w:styleId="Emphasis">
    <w:name w:val="Emphasis"/>
    <w:uiPriority w:val="20"/>
    <w:qFormat/>
    <w:rsid w:val="009E464E"/>
    <w:rPr>
      <w:caps/>
      <w:color w:val="0A2F40" w:themeColor="accent1" w:themeShade="7F"/>
      <w:spacing w:val="5"/>
    </w:rPr>
  </w:style>
  <w:style w:type="paragraph" w:styleId="NoSpacing">
    <w:name w:val="No Spacing"/>
    <w:link w:val="NoSpacingChar"/>
    <w:uiPriority w:val="1"/>
    <w:qFormat/>
    <w:rsid w:val="009E464E"/>
    <w:pPr>
      <w:spacing w:after="0" w:line="240" w:lineRule="auto"/>
    </w:pPr>
  </w:style>
  <w:style w:type="character" w:styleId="SubtleEmphasis">
    <w:name w:val="Subtle Emphasis"/>
    <w:uiPriority w:val="19"/>
    <w:qFormat/>
    <w:rsid w:val="009E464E"/>
    <w:rPr>
      <w:i/>
      <w:iCs/>
      <w:color w:val="0A2F40" w:themeColor="accent1" w:themeShade="7F"/>
    </w:rPr>
  </w:style>
  <w:style w:type="character" w:styleId="SubtleReference">
    <w:name w:val="Subtle Reference"/>
    <w:uiPriority w:val="31"/>
    <w:qFormat/>
    <w:rsid w:val="009E464E"/>
    <w:rPr>
      <w:b/>
      <w:bCs/>
      <w:color w:val="156082" w:themeColor="accent1"/>
    </w:rPr>
  </w:style>
  <w:style w:type="character" w:styleId="BookTitle">
    <w:name w:val="Book Title"/>
    <w:uiPriority w:val="33"/>
    <w:qFormat/>
    <w:rsid w:val="009E464E"/>
    <w:rPr>
      <w:b/>
      <w:bCs/>
      <w:i/>
      <w:iCs/>
      <w:spacing w:val="0"/>
    </w:rPr>
  </w:style>
  <w:style w:type="paragraph" w:styleId="TOCHeading">
    <w:name w:val="TOC Heading"/>
    <w:basedOn w:val="Heading1"/>
    <w:next w:val="Normal"/>
    <w:uiPriority w:val="39"/>
    <w:semiHidden/>
    <w:unhideWhenUsed/>
    <w:qFormat/>
    <w:rsid w:val="009E464E"/>
    <w:pPr>
      <w:outlineLvl w:val="9"/>
    </w:pPr>
  </w:style>
  <w:style w:type="character" w:customStyle="1" w:styleId="NoSpacingChar">
    <w:name w:val="No Spacing Char"/>
    <w:basedOn w:val="DefaultParagraphFont"/>
    <w:link w:val="NoSpacing"/>
    <w:uiPriority w:val="1"/>
    <w:rsid w:val="00144BED"/>
  </w:style>
  <w:style w:type="character" w:styleId="Hyperlink">
    <w:name w:val="Hyperlink"/>
    <w:basedOn w:val="DefaultParagraphFont"/>
    <w:uiPriority w:val="99"/>
    <w:unhideWhenUsed/>
    <w:rsid w:val="00BC1BB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0195666313002122" TargetMode="External"/><Relationship Id="rId13" Type="http://schemas.openxmlformats.org/officeDocument/2006/relationships/hyperlink" Target="https://www.cambridge.org/core/journals/cns-spectrums/article/abs/overview-of-the-treatment-of-binge-eating-disorder/AFA81AEC09F49D3D34FCB2CA0300EB75" TargetMode="External"/><Relationship Id="rId3" Type="http://schemas.openxmlformats.org/officeDocument/2006/relationships/settings" Target="settings.xml"/><Relationship Id="rId7" Type="http://schemas.openxmlformats.org/officeDocument/2006/relationships/hyperlink" Target="https://link.springer.com/article/10.1186/s12916-019-1327-4" TargetMode="External"/><Relationship Id="rId12" Type="http://schemas.openxmlformats.org/officeDocument/2006/relationships/hyperlink" Target="https://link.springer.com/article/10.1186/s40337-020-00342-z"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sciencedirect.com/science/article/abs/pii/S1723861712000561" TargetMode="External"/><Relationship Id="rId11" Type="http://schemas.openxmlformats.org/officeDocument/2006/relationships/hyperlink" Target="https://link.springer.com/article/10.1007/s11920-015-0552-6" TargetMode="External"/><Relationship Id="rId5" Type="http://schemas.openxmlformats.org/officeDocument/2006/relationships/hyperlink" Target="https://www.cambridge.org/core/journals/cns-spectrums/article/abs/overview-of-the-treatment-of-binge-eating-disorder/AFA81AEC09F49D3D34FCB2CA0300EB75" TargetMode="External"/><Relationship Id="rId15" Type="http://schemas.openxmlformats.org/officeDocument/2006/relationships/fontTable" Target="fontTable.xml"/><Relationship Id="rId10" Type="http://schemas.openxmlformats.org/officeDocument/2006/relationships/hyperlink" Target="https://onlinelibrary.wiley.com/doi/abs/10.1002/jclp.22782" TargetMode="External"/><Relationship Id="rId4" Type="http://schemas.openxmlformats.org/officeDocument/2006/relationships/webSettings" Target="webSettings.xml"/><Relationship Id="rId9" Type="http://schemas.openxmlformats.org/officeDocument/2006/relationships/hyperlink" Target="https://www.mdpi.com/2072-6643/9/11/1267" TargetMode="External"/><Relationship Id="rId14" Type="http://schemas.openxmlformats.org/officeDocument/2006/relationships/hyperlink" Target="https://www.findacode.com/icd-11/code-1673294767.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51A4E-E49E-4C72-8F73-9E2C23F982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4</Pages>
  <Words>1214</Words>
  <Characters>6922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Hassana Allaiouti</dc:creator>
  <cp:keywords/>
  <dc:description/>
  <cp:lastModifiedBy>Dounia Allaiouti</cp:lastModifiedBy>
  <cp:revision>1</cp:revision>
  <dcterms:created xsi:type="dcterms:W3CDTF">2026-03-06T09:57:00Z</dcterms:created>
  <dcterms:modified xsi:type="dcterms:W3CDTF">2026-03-06T10:48:00Z</dcterms:modified>
</cp:coreProperties>
</file>