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C19C4" w14:textId="7D2DA212" w:rsidR="00045B93" w:rsidRDefault="00045B93" w:rsidP="00045B93">
      <w:pPr>
        <w:jc w:val="center"/>
        <w:rPr>
          <w:b/>
          <w:u w:val="single"/>
        </w:rPr>
      </w:pPr>
      <w:bookmarkStart w:id="0" w:name="_GoBack"/>
      <w:r w:rsidRPr="00045B93">
        <w:rPr>
          <w:b/>
          <w:u w:val="single"/>
        </w:rPr>
        <w:t>Did the decline of traditional heavy industries in Wales change the role and attitudes of women within Welsh society?</w:t>
      </w:r>
    </w:p>
    <w:p w14:paraId="5AAF77FC" w14:textId="77777777" w:rsidR="00DE6821" w:rsidRPr="00DE6821" w:rsidRDefault="00DE6821" w:rsidP="00DE6821"/>
    <w:p w14:paraId="0A8A1493" w14:textId="03F74879" w:rsidR="001347A8" w:rsidRDefault="00226C95">
      <w:r>
        <w:t>Wales</w:t>
      </w:r>
      <w:r w:rsidR="00EF5DE4">
        <w:t>, until around 1750 was an “overwhelmingly rural country”</w:t>
      </w:r>
      <w:r w:rsidR="00894C08">
        <w:t xml:space="preserve"> with an estimated population of 500,000</w:t>
      </w:r>
      <w:r w:rsidR="00EF5DE4">
        <w:rPr>
          <w:rStyle w:val="FootnoteReference"/>
        </w:rPr>
        <w:footnoteReference w:id="1"/>
      </w:r>
      <w:r w:rsidR="00894C08">
        <w:t xml:space="preserve">. However, this would soon change. By 1851, a hundred years later, </w:t>
      </w:r>
      <w:r w:rsidR="001E1FE4">
        <w:t>two</w:t>
      </w:r>
      <w:r w:rsidR="00894C08">
        <w:t>-thirds of families in wales were supported by</w:t>
      </w:r>
      <w:r w:rsidR="001E1FE4">
        <w:t xml:space="preserve"> </w:t>
      </w:r>
      <w:r w:rsidR="00DA5DFD">
        <w:t xml:space="preserve">‘heavy’ </w:t>
      </w:r>
      <w:r w:rsidR="001E1FE4">
        <w:t>industry, whether it was iron-making in Pontypool, silver and lead mining in Cardiganshire, smelting of copper in Swansea, or coalmining in Glamorgan</w:t>
      </w:r>
      <w:r w:rsidR="001E1FE4">
        <w:rPr>
          <w:rStyle w:val="FootnoteReference"/>
        </w:rPr>
        <w:footnoteReference w:id="2"/>
      </w:r>
      <w:r w:rsidR="00D94176">
        <w:t>.</w:t>
      </w:r>
      <w:r w:rsidR="003D741C">
        <w:t xml:space="preserve"> Th</w:t>
      </w:r>
      <w:r w:rsidR="009E3E9F">
        <w:t xml:space="preserve">ese heavy industries </w:t>
      </w:r>
      <w:r w:rsidR="00953E97">
        <w:t xml:space="preserve">continued to grow until </w:t>
      </w:r>
      <w:r w:rsidR="00882505">
        <w:t>they</w:t>
      </w:r>
      <w:r w:rsidR="00953E97">
        <w:t xml:space="preserve"> reached </w:t>
      </w:r>
      <w:r w:rsidR="00882505">
        <w:t>their</w:t>
      </w:r>
      <w:r w:rsidR="00953E97">
        <w:t xml:space="preserve"> peak in </w:t>
      </w:r>
      <w:r w:rsidR="00EC4662">
        <w:t>1913, however the industry began to collapse</w:t>
      </w:r>
      <w:r w:rsidR="00D90CE8">
        <w:t xml:space="preserve"> just after the war</w:t>
      </w:r>
      <w:r w:rsidR="00EC4662">
        <w:t xml:space="preserve"> in </w:t>
      </w:r>
      <w:r w:rsidR="00D90CE8">
        <w:t>1921</w:t>
      </w:r>
      <w:r w:rsidR="000714F1">
        <w:t xml:space="preserve"> which spiralled into a </w:t>
      </w:r>
      <w:r w:rsidR="00A615CD">
        <w:t>quarter century of decline</w:t>
      </w:r>
      <w:r w:rsidR="0080688B">
        <w:t xml:space="preserve"> which only exaggerated the effects of the Wall Street Crash and the Great Depression</w:t>
      </w:r>
      <w:r w:rsidR="00557391">
        <w:rPr>
          <w:rStyle w:val="FootnoteReference"/>
        </w:rPr>
        <w:footnoteReference w:id="3"/>
      </w:r>
      <w:r w:rsidR="0080688B">
        <w:t>.</w:t>
      </w:r>
    </w:p>
    <w:p w14:paraId="40A404ED" w14:textId="7F1B130D" w:rsidR="0088572C" w:rsidRDefault="00844C45">
      <w:r>
        <w:t xml:space="preserve">In order to answer the question above, it is important to first understand what women’s roles and attitudes were during the era of the heavy industries. </w:t>
      </w:r>
      <w:r w:rsidR="008E1EA3">
        <w:t>It is difficult to delve deep into women’s history, especially in Wales since some would argue they were intentionally written out of it</w:t>
      </w:r>
      <w:r w:rsidR="008E1EA3">
        <w:rPr>
          <w:rStyle w:val="FootnoteReference"/>
        </w:rPr>
        <w:footnoteReference w:id="4"/>
      </w:r>
      <w:r w:rsidR="00D156F8">
        <w:t xml:space="preserve">, </w:t>
      </w:r>
      <w:r w:rsidR="0038457F">
        <w:t>but</w:t>
      </w:r>
      <w:r w:rsidR="00597EDE">
        <w:t xml:space="preserve"> it is not impossible</w:t>
      </w:r>
      <w:r w:rsidR="00771B5D">
        <w:t>. A newspaper article published in 1862 listed several ‘rights’ women had at the time, though I don’t think right is the correct word:</w:t>
      </w:r>
    </w:p>
    <w:p w14:paraId="7E351975" w14:textId="40FCEAE3" w:rsidR="00771B5D" w:rsidRDefault="00871DD6" w:rsidP="00771B5D">
      <w:pPr>
        <w:pStyle w:val="IntenseQuote"/>
        <w:rPr>
          <w:color w:val="auto"/>
        </w:rPr>
      </w:pPr>
      <w:r>
        <w:rPr>
          <w:color w:val="auto"/>
        </w:rPr>
        <w:t>“</w:t>
      </w:r>
      <w:r w:rsidRPr="00871DD6">
        <w:rPr>
          <w:color w:val="auto"/>
        </w:rPr>
        <w:t>It is a woman’s right to stay at home. For what other reason did her husband marry her? It is woman’s right to have her home in order whenever her husband returns from business. It is woman’s right to be kind and forbearing whenever her husband is annoyed</w:t>
      </w:r>
      <w:r>
        <w:rPr>
          <w:color w:val="auto"/>
        </w:rPr>
        <w:t>”</w:t>
      </w:r>
      <w:r w:rsidR="007418B3">
        <w:rPr>
          <w:rStyle w:val="FootnoteReference"/>
          <w:color w:val="auto"/>
        </w:rPr>
        <w:footnoteReference w:id="5"/>
      </w:r>
    </w:p>
    <w:p w14:paraId="58A362D0" w14:textId="67D0DCBA" w:rsidR="000504DF" w:rsidRDefault="003306EC" w:rsidP="00313291">
      <w:r>
        <w:t xml:space="preserve">From this short extract </w:t>
      </w:r>
      <w:proofErr w:type="gramStart"/>
      <w:r>
        <w:t>it is clear that women</w:t>
      </w:r>
      <w:proofErr w:type="gramEnd"/>
      <w:r>
        <w:t xml:space="preserve"> signed on for a life of never-ending, pay free work</w:t>
      </w:r>
      <w:r w:rsidR="007418B3">
        <w:t xml:space="preserve">. To obey and serve her husband and </w:t>
      </w:r>
      <w:r w:rsidR="00D34BD8">
        <w:t>family’s needs</w:t>
      </w:r>
      <w:r w:rsidR="007418B3">
        <w:t>.</w:t>
      </w:r>
    </w:p>
    <w:p w14:paraId="52B0A70F" w14:textId="2D341983" w:rsidR="001A270B" w:rsidRDefault="00FE75D0" w:rsidP="00313291">
      <w:r>
        <w:t xml:space="preserve">A </w:t>
      </w:r>
      <w:r w:rsidR="001F57F4">
        <w:t>documentary</w:t>
      </w:r>
      <w:r w:rsidR="00D64C92">
        <w:t xml:space="preserve"> focusing on the women of the Rhondda</w:t>
      </w:r>
      <w:r>
        <w:t xml:space="preserve"> features women’s accounts of their lives being miner’s wives. One woman said that being the daughter of a miner she was always raised to believe that any “woman in a miner’s home was a slave to the home” and that there were no exceptions to this</w:t>
      </w:r>
      <w:r>
        <w:rPr>
          <w:rStyle w:val="FootnoteReference"/>
        </w:rPr>
        <w:footnoteReference w:id="6"/>
      </w:r>
      <w:r w:rsidR="008312F7">
        <w:t xml:space="preserve">. </w:t>
      </w:r>
      <w:r w:rsidR="001F57F4">
        <w:t xml:space="preserve"> Another woman in the documentary </w:t>
      </w:r>
      <w:r w:rsidR="00220D3C">
        <w:t>describes her weekly schedule</w:t>
      </w:r>
    </w:p>
    <w:tbl>
      <w:tblPr>
        <w:tblStyle w:val="TableGrid"/>
        <w:tblW w:w="0" w:type="auto"/>
        <w:tblLook w:val="04A0" w:firstRow="1" w:lastRow="0" w:firstColumn="1" w:lastColumn="0" w:noHBand="0" w:noVBand="1"/>
      </w:tblPr>
      <w:tblGrid>
        <w:gridCol w:w="1271"/>
        <w:gridCol w:w="7745"/>
      </w:tblGrid>
      <w:tr w:rsidR="00924B80" w14:paraId="54AC2999" w14:textId="77777777" w:rsidTr="00924B80">
        <w:tc>
          <w:tcPr>
            <w:tcW w:w="1271" w:type="dxa"/>
          </w:tcPr>
          <w:p w14:paraId="271DD5D8" w14:textId="1C85777C" w:rsidR="00924B80" w:rsidRDefault="00924B80" w:rsidP="00313291">
            <w:r>
              <w:t>Monday</w:t>
            </w:r>
          </w:p>
        </w:tc>
        <w:tc>
          <w:tcPr>
            <w:tcW w:w="7745" w:type="dxa"/>
          </w:tcPr>
          <w:p w14:paraId="3EA17FAF" w14:textId="2AA409D6" w:rsidR="00924B80" w:rsidRDefault="00924B80" w:rsidP="00313291">
            <w:r>
              <w:t>Washing day, including husband’s</w:t>
            </w:r>
            <w:r w:rsidR="007653D8">
              <w:t xml:space="preserve"> work clothes</w:t>
            </w:r>
          </w:p>
        </w:tc>
      </w:tr>
      <w:tr w:rsidR="00924B80" w14:paraId="25718926" w14:textId="77777777" w:rsidTr="00924B80">
        <w:tc>
          <w:tcPr>
            <w:tcW w:w="1271" w:type="dxa"/>
          </w:tcPr>
          <w:p w14:paraId="6BC4C84B" w14:textId="51E70797" w:rsidR="00924B80" w:rsidRDefault="00924B80" w:rsidP="00313291">
            <w:r>
              <w:t>Tuesday</w:t>
            </w:r>
          </w:p>
        </w:tc>
        <w:tc>
          <w:tcPr>
            <w:tcW w:w="7745" w:type="dxa"/>
          </w:tcPr>
          <w:p w14:paraId="7744CCCB" w14:textId="5F4CA6B9" w:rsidR="00924B80" w:rsidRDefault="007653D8" w:rsidP="00313291">
            <w:r>
              <w:t>If the clothes dried, it was time to iron them all</w:t>
            </w:r>
          </w:p>
        </w:tc>
      </w:tr>
      <w:tr w:rsidR="00924B80" w14:paraId="57EF287B" w14:textId="77777777" w:rsidTr="00924B80">
        <w:tc>
          <w:tcPr>
            <w:tcW w:w="1271" w:type="dxa"/>
          </w:tcPr>
          <w:p w14:paraId="0FA744F5" w14:textId="73262FA9" w:rsidR="00924B80" w:rsidRDefault="00924B80" w:rsidP="00313291">
            <w:r>
              <w:t>Wednesday</w:t>
            </w:r>
          </w:p>
        </w:tc>
        <w:tc>
          <w:tcPr>
            <w:tcW w:w="7745" w:type="dxa"/>
          </w:tcPr>
          <w:p w14:paraId="1F0D2FCA" w14:textId="2C071708" w:rsidR="00924B80" w:rsidRDefault="007653D8" w:rsidP="00313291">
            <w:r>
              <w:t>Cleaned all the bedrooms of the house</w:t>
            </w:r>
          </w:p>
        </w:tc>
      </w:tr>
      <w:tr w:rsidR="00924B80" w14:paraId="5150045A" w14:textId="77777777" w:rsidTr="00924B80">
        <w:tc>
          <w:tcPr>
            <w:tcW w:w="1271" w:type="dxa"/>
          </w:tcPr>
          <w:p w14:paraId="0CF0D732" w14:textId="6EE1B0C8" w:rsidR="00924B80" w:rsidRDefault="00924B80" w:rsidP="00313291">
            <w:r>
              <w:t>Thursday</w:t>
            </w:r>
          </w:p>
        </w:tc>
        <w:tc>
          <w:tcPr>
            <w:tcW w:w="7745" w:type="dxa"/>
          </w:tcPr>
          <w:p w14:paraId="0E7C4AD8" w14:textId="4FDC9CE0" w:rsidR="00924B80" w:rsidRDefault="007653D8" w:rsidP="00313291">
            <w:r>
              <w:t>Cleaned upstairs</w:t>
            </w:r>
          </w:p>
        </w:tc>
      </w:tr>
      <w:tr w:rsidR="00924B80" w14:paraId="1E10ABBC" w14:textId="77777777" w:rsidTr="00924B80">
        <w:tc>
          <w:tcPr>
            <w:tcW w:w="1271" w:type="dxa"/>
          </w:tcPr>
          <w:p w14:paraId="05C3E044" w14:textId="14A3F0C0" w:rsidR="00924B80" w:rsidRDefault="00924B80" w:rsidP="00313291">
            <w:r>
              <w:t>Friday</w:t>
            </w:r>
          </w:p>
        </w:tc>
        <w:tc>
          <w:tcPr>
            <w:tcW w:w="7745" w:type="dxa"/>
          </w:tcPr>
          <w:p w14:paraId="467F55F0" w14:textId="0180A163" w:rsidR="00924B80" w:rsidRDefault="007653D8" w:rsidP="00313291">
            <w:r>
              <w:t>Cleaned downstairs</w:t>
            </w:r>
          </w:p>
        </w:tc>
      </w:tr>
      <w:tr w:rsidR="00924B80" w14:paraId="7250DCB4" w14:textId="77777777" w:rsidTr="00924B80">
        <w:tc>
          <w:tcPr>
            <w:tcW w:w="1271" w:type="dxa"/>
          </w:tcPr>
          <w:p w14:paraId="00991315" w14:textId="666DC53F" w:rsidR="00924B80" w:rsidRDefault="00924B80" w:rsidP="00313291">
            <w:r>
              <w:lastRenderedPageBreak/>
              <w:t>Saturday</w:t>
            </w:r>
          </w:p>
        </w:tc>
        <w:tc>
          <w:tcPr>
            <w:tcW w:w="7745" w:type="dxa"/>
          </w:tcPr>
          <w:p w14:paraId="0B7DC08F" w14:textId="53E06B13" w:rsidR="00924B80" w:rsidRDefault="007653D8" w:rsidP="00313291">
            <w:r>
              <w:t>Shopping</w:t>
            </w:r>
          </w:p>
        </w:tc>
      </w:tr>
      <w:tr w:rsidR="00924B80" w14:paraId="7A2ADBF9" w14:textId="77777777" w:rsidTr="001F6D1C">
        <w:trPr>
          <w:trHeight w:val="58"/>
        </w:trPr>
        <w:tc>
          <w:tcPr>
            <w:tcW w:w="1271" w:type="dxa"/>
          </w:tcPr>
          <w:p w14:paraId="232FD7EC" w14:textId="538502B1" w:rsidR="00924B80" w:rsidRDefault="00924B80" w:rsidP="00313291">
            <w:r>
              <w:t>Sunday</w:t>
            </w:r>
          </w:p>
        </w:tc>
        <w:tc>
          <w:tcPr>
            <w:tcW w:w="7745" w:type="dxa"/>
          </w:tcPr>
          <w:p w14:paraId="7D7B319A" w14:textId="12733365" w:rsidR="00924B80" w:rsidRDefault="007653D8" w:rsidP="00313291">
            <w:r>
              <w:t>Rest day</w:t>
            </w:r>
          </w:p>
        </w:tc>
      </w:tr>
    </w:tbl>
    <w:p w14:paraId="06BFA2F0" w14:textId="77777777" w:rsidR="001A5DC4" w:rsidRDefault="001A5DC4" w:rsidP="000A28E5"/>
    <w:p w14:paraId="0403637D" w14:textId="2EFBA397" w:rsidR="000A28E5" w:rsidRDefault="007653D8" w:rsidP="000A28E5">
      <w:r>
        <w:t xml:space="preserve">Although, </w:t>
      </w:r>
      <w:r w:rsidR="00CE20FA">
        <w:t>she said rest day as thought it was anything but, I suppose taking the entire family to chapel would have been a task in itself</w:t>
      </w:r>
      <w:r w:rsidR="00CE20FA">
        <w:rPr>
          <w:rStyle w:val="FootnoteReference"/>
        </w:rPr>
        <w:footnoteReference w:id="7"/>
      </w:r>
      <w:r w:rsidR="00CE20FA">
        <w:t>.</w:t>
      </w:r>
      <w:r w:rsidR="00AA4BD3">
        <w:t xml:space="preserve"> If food went scarce, the mother was the first to miss out, she always ensured her family had a food before she fed herself</w:t>
      </w:r>
      <w:r w:rsidR="000B3CFF">
        <w:t>, and since a woman had no help to deal with the stress or troubles of the home, her anxiety was always through the roo</w:t>
      </w:r>
      <w:r w:rsidR="000A28E5">
        <w:t>f</w:t>
      </w:r>
      <w:r w:rsidR="000A28E5">
        <w:rPr>
          <w:rStyle w:val="FootnoteReference"/>
        </w:rPr>
        <w:footnoteReference w:id="8"/>
      </w:r>
      <w:r w:rsidR="000A28E5">
        <w:t>.</w:t>
      </w:r>
    </w:p>
    <w:p w14:paraId="06494B3C" w14:textId="25A1B0A3" w:rsidR="00282F54" w:rsidRDefault="00282F54" w:rsidP="000A28E5">
      <w:r>
        <w:t xml:space="preserve">The lives of </w:t>
      </w:r>
      <w:r w:rsidR="00CD2F2A">
        <w:t>miner’s</w:t>
      </w:r>
      <w:r>
        <w:t xml:space="preserve"> wives </w:t>
      </w:r>
      <w:r w:rsidR="0068172F">
        <w:t xml:space="preserve">truly </w:t>
      </w:r>
      <w:r>
        <w:t>seemed to be a</w:t>
      </w:r>
      <w:r w:rsidR="0068172F">
        <w:t xml:space="preserve">n exhausting, never-ending load. </w:t>
      </w:r>
      <w:r w:rsidR="00CD2F2A">
        <w:t xml:space="preserve">But it doesn’t stop at that, it wasn’t only a woman’s responsibility to look after her </w:t>
      </w:r>
      <w:r w:rsidR="00CF0BC8">
        <w:t>husband and children, she also had to look after her extended family, whether this meant helping her sister with the laundry, or looking after her ill father-in-law</w:t>
      </w:r>
      <w:r w:rsidR="00CB6F89">
        <w:rPr>
          <w:rStyle w:val="FootnoteReference"/>
        </w:rPr>
        <w:footnoteReference w:id="9"/>
      </w:r>
      <w:r w:rsidR="00CF0BC8">
        <w:t>.</w:t>
      </w:r>
      <w:r w:rsidR="00AB25C5">
        <w:t xml:space="preserve"> I also think it’s important to mention that women were apparently “proud</w:t>
      </w:r>
      <w:r w:rsidR="002D1578">
        <w:t>”,</w:t>
      </w:r>
      <w:r w:rsidR="00AB25C5">
        <w:t xml:space="preserve"> and </w:t>
      </w:r>
      <w:r w:rsidR="00250258">
        <w:t>it was socially expected for women to have “eight or nine or ten children”</w:t>
      </w:r>
      <w:r w:rsidR="002D1578">
        <w:rPr>
          <w:rStyle w:val="FootnoteReference"/>
        </w:rPr>
        <w:footnoteReference w:id="10"/>
      </w:r>
      <w:r w:rsidR="00250258">
        <w:t xml:space="preserve"> which would not have been an easy </w:t>
      </w:r>
      <w:r w:rsidR="00A0534F">
        <w:t xml:space="preserve">task at all. </w:t>
      </w:r>
      <w:r w:rsidR="007E4E4B">
        <w:t xml:space="preserve">An account by a woman from Treorchy demonstrates that </w:t>
      </w:r>
      <w:r w:rsidR="0087797C">
        <w:t>mothers were to be feared and respected when telling the story of staying out later than “half past nine”, her mother was stood in her nightie at the end of the road shouting “</w:t>
      </w:r>
      <w:proofErr w:type="spellStart"/>
      <w:r w:rsidR="0087797C">
        <w:t>Dewch</w:t>
      </w:r>
      <w:proofErr w:type="spellEnd"/>
      <w:r w:rsidR="0087797C">
        <w:t xml:space="preserve"> </w:t>
      </w:r>
      <w:proofErr w:type="spellStart"/>
      <w:r w:rsidR="0087797C">
        <w:t>Mewn</w:t>
      </w:r>
      <w:proofErr w:type="spellEnd"/>
      <w:r w:rsidR="0087797C">
        <w:t xml:space="preserve"> </w:t>
      </w:r>
      <w:proofErr w:type="spellStart"/>
      <w:r w:rsidR="0087797C">
        <w:t>I’r</w:t>
      </w:r>
      <w:proofErr w:type="spellEnd"/>
      <w:r w:rsidR="0087797C">
        <w:t xml:space="preserve"> Ty”, the woman continues to say “I had the finest clip across the ear,”</w:t>
      </w:r>
      <w:r w:rsidR="005F3727">
        <w:rPr>
          <w:rStyle w:val="FootnoteReference"/>
        </w:rPr>
        <w:footnoteReference w:id="11"/>
      </w:r>
      <w:r w:rsidR="005F3727">
        <w:t>. Mothers truly did “rule the roost”</w:t>
      </w:r>
      <w:r w:rsidR="005F3727">
        <w:rPr>
          <w:rStyle w:val="FootnoteReference"/>
        </w:rPr>
        <w:footnoteReference w:id="12"/>
      </w:r>
      <w:r w:rsidR="00633ACC">
        <w:t xml:space="preserve">. </w:t>
      </w:r>
      <w:r w:rsidR="005F3727">
        <w:t>Women were meant to straddle the line of fierce and foreboding with their children and kind and forbearing with their husbands.</w:t>
      </w:r>
    </w:p>
    <w:p w14:paraId="47021C14" w14:textId="7EC5563A" w:rsidR="000A28E5" w:rsidRDefault="00471A9E" w:rsidP="00AB567F">
      <w:r>
        <w:t>Of course, there were women across Britain who broke away from these rule</w:t>
      </w:r>
      <w:r w:rsidR="00FF416B">
        <w:t xml:space="preserve">s, </w:t>
      </w:r>
      <w:r w:rsidR="00C05DBC">
        <w:t>there had always been a great exodus of women leaving home and becoming domestic servants</w:t>
      </w:r>
      <w:r w:rsidR="00AB567F">
        <w:t>, usually in England</w:t>
      </w:r>
      <w:r w:rsidR="00AB567F">
        <w:rPr>
          <w:rStyle w:val="FootnoteReference"/>
        </w:rPr>
        <w:footnoteReference w:id="13"/>
      </w:r>
      <w:r w:rsidR="00AB567F">
        <w:t xml:space="preserve">. But some women broke the rules completely and </w:t>
      </w:r>
      <w:r w:rsidR="00FF416B">
        <w:t>were referred to as pit brow women and were a “direct contradiction to the deification of the home” and were an example of “degraded womanhood”</w:t>
      </w:r>
      <w:r w:rsidR="00642A46">
        <w:t xml:space="preserve"> and torn from her “natural sphere” of her home</w:t>
      </w:r>
      <w:r w:rsidR="00642A46">
        <w:rPr>
          <w:rStyle w:val="FootnoteReference"/>
        </w:rPr>
        <w:footnoteReference w:id="14"/>
      </w:r>
      <w:r w:rsidR="009E25CB">
        <w:t xml:space="preserve"> However this was blocked in 1842 when the Report of the Children’s Employment Commission decided that the terrors women and children faced in the mines were</w:t>
      </w:r>
      <w:r w:rsidR="00844C45">
        <w:t xml:space="preserve"> too bad, and legislation came into place to block women and boys under ten from working</w:t>
      </w:r>
      <w:r w:rsidR="00E9356A">
        <w:t xml:space="preserve"> underground</w:t>
      </w:r>
      <w:r w:rsidR="00844C45">
        <w:t xml:space="preserve"> within the mines</w:t>
      </w:r>
      <w:r w:rsidR="00844C45">
        <w:rPr>
          <w:rStyle w:val="FootnoteReference"/>
        </w:rPr>
        <w:footnoteReference w:id="15"/>
      </w:r>
      <w:r w:rsidR="00844C45">
        <w:t>.</w:t>
      </w:r>
    </w:p>
    <w:p w14:paraId="386F856B" w14:textId="295E3B0E" w:rsidR="00B007BC" w:rsidRDefault="00B007BC">
      <w:pPr>
        <w:rPr>
          <w:b/>
          <w:color w:val="FF0000"/>
        </w:rPr>
      </w:pPr>
    </w:p>
    <w:p w14:paraId="50E529E9" w14:textId="77777777" w:rsidR="008207D3" w:rsidRDefault="008207D3">
      <w:pPr>
        <w:rPr>
          <w:b/>
          <w:color w:val="FF0000"/>
        </w:rPr>
      </w:pPr>
    </w:p>
    <w:p w14:paraId="6016A570" w14:textId="77777777" w:rsidR="008207D3" w:rsidRDefault="008207D3">
      <w:pPr>
        <w:rPr>
          <w:b/>
          <w:color w:val="FF0000"/>
        </w:rPr>
      </w:pPr>
    </w:p>
    <w:p w14:paraId="20A33E0C" w14:textId="77777777" w:rsidR="008207D3" w:rsidRDefault="008207D3">
      <w:pPr>
        <w:rPr>
          <w:b/>
          <w:color w:val="FF0000"/>
        </w:rPr>
      </w:pPr>
    </w:p>
    <w:p w14:paraId="7E87458A" w14:textId="77777777" w:rsidR="008207D3" w:rsidRDefault="008207D3">
      <w:pPr>
        <w:rPr>
          <w:b/>
          <w:color w:val="FF0000"/>
        </w:rPr>
      </w:pPr>
    </w:p>
    <w:p w14:paraId="4257BA71" w14:textId="77777777" w:rsidR="008207D3" w:rsidRDefault="008207D3"/>
    <w:p w14:paraId="00BE7BB2" w14:textId="77777777" w:rsidR="008207D3" w:rsidRDefault="008207D3"/>
    <w:p w14:paraId="4BAD2D5F" w14:textId="600843A4" w:rsidR="008207D3" w:rsidRDefault="008207D3"/>
    <w:p w14:paraId="5B907DFC" w14:textId="3817D74D" w:rsidR="008207D3" w:rsidRDefault="006A428B" w:rsidP="008207D3">
      <w:r w:rsidRPr="008207D3">
        <w:rPr>
          <w:noProof/>
        </w:rPr>
        <w:drawing>
          <wp:anchor distT="0" distB="0" distL="114300" distR="114300" simplePos="0" relativeHeight="251655168" behindDoc="1" locked="0" layoutInCell="1" allowOverlap="1" wp14:anchorId="513E22A2" wp14:editId="1C2DECD0">
            <wp:simplePos x="0" y="0"/>
            <wp:positionH relativeFrom="margin">
              <wp:posOffset>1078865</wp:posOffset>
            </wp:positionH>
            <wp:positionV relativeFrom="paragraph">
              <wp:posOffset>205740</wp:posOffset>
            </wp:positionV>
            <wp:extent cx="4147820" cy="2523802"/>
            <wp:effectExtent l="0" t="0" r="5080" b="0"/>
            <wp:wrapTight wrapText="bothSides">
              <wp:wrapPolygon edited="0">
                <wp:start x="0" y="0"/>
                <wp:lineTo x="0" y="21361"/>
                <wp:lineTo x="21527" y="21361"/>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47820" cy="2523802"/>
                    </a:xfrm>
                    <a:prstGeom prst="rect">
                      <a:avLst/>
                    </a:prstGeom>
                  </pic:spPr>
                </pic:pic>
              </a:graphicData>
            </a:graphic>
            <wp14:sizeRelH relativeFrom="page">
              <wp14:pctWidth>0</wp14:pctWidth>
            </wp14:sizeRelH>
            <wp14:sizeRelV relativeFrom="page">
              <wp14:pctHeight>0</wp14:pctHeight>
            </wp14:sizeRelV>
          </wp:anchor>
        </w:drawing>
      </w:r>
    </w:p>
    <w:p w14:paraId="531A1DD0" w14:textId="2BF686E9" w:rsidR="008207D3" w:rsidRDefault="008207D3"/>
    <w:p w14:paraId="2BA26406" w14:textId="0FE409AF" w:rsidR="008207D3" w:rsidRDefault="008207D3"/>
    <w:p w14:paraId="3A542756" w14:textId="0818D200" w:rsidR="008207D3" w:rsidRDefault="008207D3">
      <w:r w:rsidRPr="008207D3">
        <w:t>Figure</w:t>
      </w:r>
      <w:r>
        <w:t xml:space="preserve"> 1</w:t>
      </w:r>
      <w:r>
        <w:rPr>
          <w:rStyle w:val="FootnoteReference"/>
        </w:rPr>
        <w:footnoteReference w:id="16"/>
      </w:r>
    </w:p>
    <w:p w14:paraId="4A414BB7" w14:textId="460290DC" w:rsidR="008207D3" w:rsidRDefault="008207D3"/>
    <w:p w14:paraId="6B7C188B" w14:textId="12C6776C" w:rsidR="008207D3" w:rsidRDefault="008207D3"/>
    <w:p w14:paraId="62E02580" w14:textId="4C0B9357" w:rsidR="008207D3" w:rsidRDefault="008207D3"/>
    <w:p w14:paraId="73204366" w14:textId="37C6953E" w:rsidR="008207D3" w:rsidRDefault="008207D3"/>
    <w:p w14:paraId="585848A8" w14:textId="4DE84CC4" w:rsidR="008207D3" w:rsidRDefault="008207D3"/>
    <w:p w14:paraId="7334BECA" w14:textId="77777777" w:rsidR="00B73815" w:rsidRDefault="00B73815"/>
    <w:p w14:paraId="63D5DF15" w14:textId="0D8362C3" w:rsidR="008207D3" w:rsidRDefault="00E9356A">
      <w:r>
        <w:t>Figure 1 above, shows that although women were blocked from working underground in the mines, some found other forms of employment. Such as pulling metal tubs of coal</w:t>
      </w:r>
      <w:r w:rsidR="00B73815">
        <w:t xml:space="preserve"> to the surface </w:t>
      </w:r>
      <w:r w:rsidR="00B73815">
        <w:rPr>
          <w:rStyle w:val="FootnoteReference"/>
        </w:rPr>
        <w:footnoteReference w:id="17"/>
      </w:r>
      <w:r w:rsidR="00B73815">
        <w:t>.</w:t>
      </w:r>
    </w:p>
    <w:p w14:paraId="0470868B" w14:textId="2EEF2E63" w:rsidR="00B73815" w:rsidRDefault="00B73815">
      <w:r>
        <w:t>Now that we have an idea of what life was like for women in industrial Wales, we can</w:t>
      </w:r>
      <w:r w:rsidR="00BA2942">
        <w:t xml:space="preserve"> begin to answer the question above. </w:t>
      </w:r>
      <w:r w:rsidR="006A428B">
        <w:t>While mining and heavy industries were restricted to women (whether through law or social constrictions) many women were happy to work. In larger towns women worked in factories and as said above in whatever jobs they could get away with having in the mines or quarries</w:t>
      </w:r>
      <w:r w:rsidR="006A428B">
        <w:rPr>
          <w:rStyle w:val="FootnoteReference"/>
        </w:rPr>
        <w:footnoteReference w:id="18"/>
      </w:r>
      <w:r w:rsidR="006A428B">
        <w:t>. One woman in Rhondda said she worked her whole life in factories and “thoroughly enjoyed it” she enjoyed the feeling of having her own money which gave her a sense of freedom and having a mind of her own</w:t>
      </w:r>
      <w:r w:rsidR="006A428B">
        <w:rPr>
          <w:rStyle w:val="FootnoteReference"/>
        </w:rPr>
        <w:footnoteReference w:id="19"/>
      </w:r>
      <w:r w:rsidR="003E3797">
        <w:t xml:space="preserve">. Other women in the documentary shared dreams of going to college and getting jobs as teachers or </w:t>
      </w:r>
      <w:r w:rsidR="003E3797" w:rsidRPr="003E3797">
        <w:t>veterinarian</w:t>
      </w:r>
      <w:r w:rsidR="003E3797">
        <w:t>s but not having the money to pursue this dream</w:t>
      </w:r>
      <w:r w:rsidR="00CA0EB6">
        <w:t xml:space="preserve"> though they didn’t envy their brothers or husbands who had to work in the mines</w:t>
      </w:r>
      <w:r w:rsidR="003E3797">
        <w:rPr>
          <w:rStyle w:val="FootnoteReference"/>
        </w:rPr>
        <w:footnoteReference w:id="20"/>
      </w:r>
      <w:r w:rsidR="003E3797">
        <w:t>.</w:t>
      </w:r>
    </w:p>
    <w:p w14:paraId="1EA01CD7" w14:textId="77777777" w:rsidR="001F6D1C" w:rsidRPr="001F6D1C" w:rsidRDefault="001F6D1C" w:rsidP="001F6D1C">
      <w:pPr>
        <w:pStyle w:val="IntenseQuote"/>
        <w:rPr>
          <w:i w:val="0"/>
          <w:color w:val="auto"/>
        </w:rPr>
      </w:pPr>
      <w:r>
        <w:rPr>
          <w:color w:val="auto"/>
        </w:rPr>
        <w:t>“</w:t>
      </w:r>
      <w:r w:rsidRPr="001F6D1C">
        <w:rPr>
          <w:color w:val="auto"/>
        </w:rPr>
        <w:t xml:space="preserve">Historical and sociological research on women’s professional employment shows that women were excluded from professional society </w:t>
      </w:r>
      <w:proofErr w:type="gramStart"/>
      <w:r w:rsidRPr="001F6D1C">
        <w:rPr>
          <w:color w:val="auto"/>
        </w:rPr>
        <w:t>as a consequence of</w:t>
      </w:r>
      <w:proofErr w:type="gramEnd"/>
      <w:r w:rsidRPr="001F6D1C">
        <w:rPr>
          <w:color w:val="auto"/>
        </w:rPr>
        <w:t xml:space="preserve"> the increasing institutionalisation of professional practices in the nineteenth century.</w:t>
      </w:r>
      <w:r>
        <w:rPr>
          <w:color w:val="auto"/>
        </w:rPr>
        <w:t xml:space="preserve"> </w:t>
      </w:r>
      <w:r w:rsidRPr="001F6D1C">
        <w:rPr>
          <w:color w:val="auto"/>
        </w:rPr>
        <w:t xml:space="preserve">But few studies explicitly acknowledge that women also deliberately adopted the </w:t>
      </w:r>
      <w:r w:rsidRPr="001F6D1C">
        <w:rPr>
          <w:color w:val="auto"/>
        </w:rPr>
        <w:lastRenderedPageBreak/>
        <w:t>practices of professionalisation which had been used to exclude them, in order to build their own organisations and to construct professional identities</w:t>
      </w:r>
      <w:r>
        <w:rPr>
          <w:i w:val="0"/>
          <w:color w:val="auto"/>
        </w:rPr>
        <w:t>”</w:t>
      </w:r>
      <w:r>
        <w:rPr>
          <w:rStyle w:val="FootnoteReference"/>
          <w:i w:val="0"/>
          <w:color w:val="auto"/>
        </w:rPr>
        <w:footnoteReference w:id="21"/>
      </w:r>
    </w:p>
    <w:p w14:paraId="1801B9B1" w14:textId="02CCAA2F" w:rsidR="003E3797" w:rsidRDefault="001F6D1C">
      <w:r>
        <w:t>The extract above demonstrates that women always wanted to work, traditional gender roles and expectations and professional practices or no.</w:t>
      </w:r>
      <w:r>
        <w:t xml:space="preserve"> </w:t>
      </w:r>
      <w:r w:rsidR="003E3797">
        <w:t>It seems from these extracts that the attitudes of women didn’t change over the years, they wanted to work, sometimes they would even be excited for strikes which would break up the monotony of their everyday life and give them something to do outside the home.</w:t>
      </w:r>
      <w:r w:rsidR="00A70BE9">
        <w:t xml:space="preserve"> </w:t>
      </w:r>
      <w:r w:rsidR="000C68C1">
        <w:t>Jenkins argued that women created jobs for themselves in society through exploiting the gender roles they were expected to fill, through creating a “feminine professional identity” that highlighted their “natural skills” such as sewing, cooking, and caring</w:t>
      </w:r>
      <w:r w:rsidR="000C68C1">
        <w:rPr>
          <w:rStyle w:val="FootnoteReference"/>
        </w:rPr>
        <w:footnoteReference w:id="22"/>
      </w:r>
      <w:r w:rsidR="000C68C1">
        <w:t xml:space="preserve">. </w:t>
      </w:r>
      <w:r>
        <w:t>Jenkins also argues that women exploited societies need to teach the younger generation morals and argued that educated women would improve the amount of morals that was passed down</w:t>
      </w:r>
      <w:r>
        <w:rPr>
          <w:rStyle w:val="FootnoteReference"/>
        </w:rPr>
        <w:footnoteReference w:id="23"/>
      </w:r>
      <w:r>
        <w:t xml:space="preserve">. </w:t>
      </w:r>
      <w:r w:rsidR="00E2781B">
        <w:t>Places like Cardiff, Swansea and Newport offered more employment opportunities than less commercial centres since there was a more “diverse range of professions” than Mining and rural districts offered</w:t>
      </w:r>
      <w:r w:rsidR="00E2781B">
        <w:rPr>
          <w:rStyle w:val="FootnoteReference"/>
        </w:rPr>
        <w:footnoteReference w:id="24"/>
      </w:r>
      <w:r w:rsidR="00E01EFA">
        <w:t>However,</w:t>
      </w:r>
      <w:r w:rsidR="00A70BE9">
        <w:t xml:space="preserve"> it wasn’t until Wales became a </w:t>
      </w:r>
      <w:r w:rsidR="00E01EFA">
        <w:t xml:space="preserve">post-industrial nation that jobs for women really </w:t>
      </w:r>
      <w:r w:rsidR="000C68C1">
        <w:t>blossomed</w:t>
      </w:r>
      <w:r w:rsidR="00E01EFA">
        <w:rPr>
          <w:rStyle w:val="FootnoteReference"/>
        </w:rPr>
        <w:footnoteReference w:id="25"/>
      </w:r>
      <w:r w:rsidR="00E01EFA">
        <w:t xml:space="preserve">. </w:t>
      </w:r>
    </w:p>
    <w:p w14:paraId="6A44D503" w14:textId="4F0A64E3" w:rsidR="00E01EFA" w:rsidRDefault="00E01EFA">
      <w:r>
        <w:t xml:space="preserve">It was during this time </w:t>
      </w:r>
      <w:r w:rsidR="00E2781B">
        <w:t>that the new Welsh “post-industrial economy” and its “expanding service sector” gave women the opportunity to participate in a larger area of the economy</w:t>
      </w:r>
      <w:r w:rsidR="00E2781B">
        <w:rPr>
          <w:rStyle w:val="FootnoteReference"/>
        </w:rPr>
        <w:footnoteReference w:id="26"/>
      </w:r>
      <w:r w:rsidR="00E2781B">
        <w:t>. During this time</w:t>
      </w:r>
      <w:r>
        <w:t xml:space="preserve"> jobs in steel works and other heavy industries began to accept women. </w:t>
      </w:r>
      <w:r w:rsidR="00E2781B">
        <w:t>although</w:t>
      </w:r>
      <w:r>
        <w:t xml:space="preserve"> they </w:t>
      </w:r>
      <w:r w:rsidR="00191CD7">
        <w:t>weren’t ever</w:t>
      </w:r>
      <w:r w:rsidR="00E2781B">
        <w:t xml:space="preserve"> </w:t>
      </w:r>
      <w:r>
        <w:t>working in the heavy part of the job, they were employed in clerical roles or in the canteen</w:t>
      </w:r>
      <w:r>
        <w:rPr>
          <w:rStyle w:val="FootnoteReference"/>
        </w:rPr>
        <w:footnoteReference w:id="27"/>
      </w:r>
      <w:r w:rsidR="000C68C1">
        <w:t xml:space="preserve">, So even at this point women weren’t really expected or allowed to fulfil traditional ‘men’s </w:t>
      </w:r>
      <w:proofErr w:type="gramStart"/>
      <w:r w:rsidR="000C68C1">
        <w:t>roles’</w:t>
      </w:r>
      <w:proofErr w:type="gramEnd"/>
      <w:r w:rsidR="000C68C1">
        <w:t xml:space="preserve">. </w:t>
      </w:r>
      <w:r w:rsidR="00191CD7">
        <w:t>Other jobs that were available to women were termed “light industries” and included working at clothing or goods, and eventually munitions, factories which could include being laboratory assistants</w:t>
      </w:r>
      <w:r w:rsidR="00191CD7">
        <w:rPr>
          <w:rStyle w:val="FootnoteReference"/>
        </w:rPr>
        <w:footnoteReference w:id="28"/>
      </w:r>
    </w:p>
    <w:p w14:paraId="28045D9C" w14:textId="7230B2FC" w:rsidR="001231EB" w:rsidRDefault="00F80429" w:rsidP="00F80429">
      <w:r>
        <w:t>It is almost impossible to “pinpoint dramatic shifts” in society around a wartime, it’s hard to decipher what exactly caused each change</w:t>
      </w:r>
      <w:r>
        <w:rPr>
          <w:rStyle w:val="FootnoteReference"/>
        </w:rPr>
        <w:footnoteReference w:id="29"/>
      </w:r>
      <w:r>
        <w:t>, Flynn argues that the war brought “a shuddering halt to the buoyancy, optimism and self-confidence” that Wales had possessed during the Edwardian period, and left Wales questioning what, if anything would remain the same after the war</w:t>
      </w:r>
      <w:r>
        <w:rPr>
          <w:rStyle w:val="FootnoteReference"/>
        </w:rPr>
        <w:footnoteReference w:id="30"/>
      </w:r>
      <w:r>
        <w:t xml:space="preserve">. </w:t>
      </w:r>
      <w:r w:rsidR="006371AB">
        <w:t xml:space="preserve"> </w:t>
      </w:r>
      <w:r w:rsidR="003E7CE6">
        <w:t>This included the traditional gender roles that had policed society for so many years</w:t>
      </w:r>
      <w:r w:rsidR="003E7CE6">
        <w:t xml:space="preserve">. </w:t>
      </w:r>
      <w:r w:rsidR="006371AB">
        <w:t>During World War One women were called upon to fill the gaps in the industrial world left by men going off to war</w:t>
      </w:r>
      <w:r w:rsidR="00370D4D">
        <w:t>: the</w:t>
      </w:r>
      <w:r w:rsidR="003E7CE6">
        <w:t>y</w:t>
      </w:r>
      <w:r w:rsidR="00370D4D">
        <w:t xml:space="preserve"> stepped up into a traditionally masculine world and began to work</w:t>
      </w:r>
      <w:r w:rsidR="006F28F1">
        <w:t xml:space="preserve"> in munition factories, “drove </w:t>
      </w:r>
      <w:r w:rsidR="006F28F1">
        <w:lastRenderedPageBreak/>
        <w:t>trams, worked on the land and on the railways, cleaned chimneys” and acted as clerks</w:t>
      </w:r>
      <w:r w:rsidR="006F28F1">
        <w:rPr>
          <w:rStyle w:val="FootnoteReference"/>
        </w:rPr>
        <w:footnoteReference w:id="31"/>
      </w:r>
      <w:r w:rsidR="006F28F1">
        <w:t>.</w:t>
      </w:r>
      <w:r w:rsidR="00AF23A7">
        <w:t xml:space="preserve"> But </w:t>
      </w:r>
      <w:r w:rsidR="00F8111B">
        <w:t xml:space="preserve">the Restoration of Pre-War Practices Act ensured that the jobs were returned to men at the end of the war </w:t>
      </w:r>
      <w:r w:rsidR="00867F1C">
        <w:t xml:space="preserve">and 1919 </w:t>
      </w:r>
      <w:r w:rsidR="00892956">
        <w:t>sparked a period of substantial female unemployment</w:t>
      </w:r>
      <w:r w:rsidR="00545F01">
        <w:t xml:space="preserve"> and a </w:t>
      </w:r>
      <w:r w:rsidR="00864BAE">
        <w:t>nationwide media exposition of the tradition ideal of a woman’s place: her home</w:t>
      </w:r>
      <w:r w:rsidR="00864BAE">
        <w:rPr>
          <w:rStyle w:val="FootnoteReference"/>
        </w:rPr>
        <w:footnoteReference w:id="32"/>
      </w:r>
      <w:r w:rsidR="00C933C0">
        <w:t xml:space="preserve"> </w:t>
      </w:r>
      <w:r w:rsidR="00237E22">
        <w:t>In the interwar years, women who had not married because of the war</w:t>
      </w:r>
      <w:r w:rsidR="00C933C0">
        <w:t xml:space="preserve"> and their employment in the previous years</w:t>
      </w:r>
      <w:r w:rsidR="00237E22">
        <w:t xml:space="preserve">, were left </w:t>
      </w:r>
      <w:r w:rsidR="00C933C0">
        <w:t>desperate</w:t>
      </w:r>
      <w:r w:rsidR="00237E22">
        <w:t xml:space="preserve"> for jobs and the only training and jobs that were available were </w:t>
      </w:r>
      <w:r w:rsidR="00C933C0">
        <w:t>the severely low paid jobs in domestic services</w:t>
      </w:r>
      <w:r w:rsidR="006E400F">
        <w:t>, and if she refused these jobs that were offered to her she would lose her unemployment benefits</w:t>
      </w:r>
      <w:r w:rsidR="00C933C0">
        <w:rPr>
          <w:rStyle w:val="FootnoteReference"/>
        </w:rPr>
        <w:footnoteReference w:id="33"/>
      </w:r>
      <w:r w:rsidR="008F402E">
        <w:t>.</w:t>
      </w:r>
      <w:r w:rsidR="008C5005">
        <w:t xml:space="preserve"> But, in some places women could also do heavy, traditionally masculine, </w:t>
      </w:r>
      <w:r w:rsidR="000F2C8C">
        <w:t xml:space="preserve">industrial work, </w:t>
      </w:r>
      <w:r w:rsidR="008273E9">
        <w:t xml:space="preserve">for example, </w:t>
      </w:r>
      <w:r w:rsidR="000F2C8C">
        <w:t xml:space="preserve">women in Llanelli could work in the tin-plate </w:t>
      </w:r>
      <w:r w:rsidR="00D623E1">
        <w:t>industry</w:t>
      </w:r>
      <w:r w:rsidR="00886CF4">
        <w:t xml:space="preserve">, however, this wasn’t a common </w:t>
      </w:r>
      <w:r w:rsidR="003E7CE6">
        <w:t>occurrence</w:t>
      </w:r>
      <w:r w:rsidR="00D623E1">
        <w:rPr>
          <w:rStyle w:val="FootnoteReference"/>
        </w:rPr>
        <w:footnoteReference w:id="34"/>
      </w:r>
      <w:r w:rsidR="003E7CE6">
        <w:t>.</w:t>
      </w:r>
    </w:p>
    <w:p w14:paraId="41BDDF03" w14:textId="0DD644FE" w:rsidR="008004FD" w:rsidRDefault="003E7CE6" w:rsidP="00F80429">
      <w:r>
        <w:t>I</w:t>
      </w:r>
      <w:r w:rsidR="002C5560">
        <w:t xml:space="preserve">t is doubly difficult to measure </w:t>
      </w:r>
      <w:r w:rsidR="00AD5467">
        <w:t>changes in Wales in the 1930’s because there was no census recorded in 1941 due to the war</w:t>
      </w:r>
      <w:r w:rsidR="00AD5467">
        <w:rPr>
          <w:rStyle w:val="FootnoteReference"/>
        </w:rPr>
        <w:footnoteReference w:id="35"/>
      </w:r>
      <w:r w:rsidR="00003CFB">
        <w:t xml:space="preserve"> </w:t>
      </w:r>
      <w:r w:rsidR="003F174B">
        <w:t>which leaves us at a disadvantage in statistical evidence of the period.</w:t>
      </w:r>
      <w:r w:rsidR="00EA52F6">
        <w:t xml:space="preserve"> At the beginning of the second world war, only 39 women for employed for every 100 men</w:t>
      </w:r>
      <w:r w:rsidR="00C51331">
        <w:t>, and this dropped to 16</w:t>
      </w:r>
      <w:r w:rsidR="00091280">
        <w:t xml:space="preserve"> in the “industrial belt of South Wales”</w:t>
      </w:r>
      <w:r w:rsidR="00091280">
        <w:rPr>
          <w:rStyle w:val="FootnoteReference"/>
        </w:rPr>
        <w:footnoteReference w:id="36"/>
      </w:r>
      <w:r w:rsidR="00D467F2">
        <w:t xml:space="preserve">. During the war years however </w:t>
      </w:r>
      <w:r w:rsidR="001A2C00">
        <w:t>what was 90,000 employed women skyrocketed to</w:t>
      </w:r>
      <w:r w:rsidR="00C52BF4">
        <w:t xml:space="preserve"> “well over 200,000 by 1945”</w:t>
      </w:r>
      <w:r w:rsidR="00C52BF4">
        <w:rPr>
          <w:rStyle w:val="FootnoteReference"/>
        </w:rPr>
        <w:footnoteReference w:id="37"/>
      </w:r>
      <w:r w:rsidR="00FB2527">
        <w:t xml:space="preserve"> Harry </w:t>
      </w:r>
      <w:proofErr w:type="spellStart"/>
      <w:r w:rsidR="004E31BE">
        <w:t>H</w:t>
      </w:r>
      <w:r w:rsidR="00FB2527">
        <w:t>ighman</w:t>
      </w:r>
      <w:proofErr w:type="spellEnd"/>
      <w:r w:rsidR="004E31BE">
        <w:t>, an apprentice at the Royal Nav</w:t>
      </w:r>
      <w:r w:rsidR="00507857">
        <w:t xml:space="preserve">al Propellant factory in </w:t>
      </w:r>
      <w:proofErr w:type="spellStart"/>
      <w:r w:rsidR="00507857">
        <w:t>Caerwent</w:t>
      </w:r>
      <w:proofErr w:type="spellEnd"/>
      <w:r w:rsidR="00507857">
        <w:t xml:space="preserve"> during the war,</w:t>
      </w:r>
      <w:r w:rsidR="00FB2527">
        <w:t xml:space="preserve"> remarks that it was</w:t>
      </w:r>
      <w:r w:rsidR="004E31BE">
        <w:t xml:space="preserve"> unusual for women to go to work in the factories before the war, but during the war there “were a lot of women working there then, a lot of women”</w:t>
      </w:r>
      <w:r w:rsidR="00746800">
        <w:rPr>
          <w:rStyle w:val="FootnoteReference"/>
        </w:rPr>
        <w:footnoteReference w:id="38"/>
      </w:r>
      <w:r w:rsidR="00746800">
        <w:t xml:space="preserve">. </w:t>
      </w:r>
      <w:r w:rsidR="00EA47E9">
        <w:t xml:space="preserve"> Linda </w:t>
      </w:r>
      <w:proofErr w:type="spellStart"/>
      <w:r w:rsidR="00EA47E9">
        <w:t>Westerman</w:t>
      </w:r>
      <w:proofErr w:type="spellEnd"/>
      <w:r w:rsidR="00EA47E9">
        <w:t xml:space="preserve"> remarks that she was forced out of her job in a hotel in Bournemouth because it wasn’t work “of </w:t>
      </w:r>
      <w:r w:rsidR="00E3189C">
        <w:t>national</w:t>
      </w:r>
      <w:r w:rsidR="00EA47E9">
        <w:t xml:space="preserve"> importance”</w:t>
      </w:r>
      <w:r w:rsidR="00E3189C">
        <w:t xml:space="preserve"> so she went home and had to work at a dump in </w:t>
      </w:r>
      <w:proofErr w:type="spellStart"/>
      <w:r w:rsidR="00E3189C">
        <w:t>Glascoed</w:t>
      </w:r>
      <w:proofErr w:type="spellEnd"/>
      <w:r w:rsidR="00E3189C">
        <w:rPr>
          <w:rStyle w:val="FootnoteReference"/>
        </w:rPr>
        <w:footnoteReference w:id="39"/>
      </w:r>
      <w:r w:rsidR="00E3189C">
        <w:t>.</w:t>
      </w:r>
      <w:r w:rsidR="00280730">
        <w:t xml:space="preserve"> The conditions these women had to work in must have made it impossible to slip back into </w:t>
      </w:r>
      <w:r w:rsidR="005548B0">
        <w:t>the role of a forbearing wife.</w:t>
      </w:r>
    </w:p>
    <w:p w14:paraId="70218861" w14:textId="0F54BB9B" w:rsidR="005548B0" w:rsidRDefault="008E6DEA" w:rsidP="00F80429">
      <w:r>
        <w:t>Maisie Williams remarks that “there were some very nasty accide</w:t>
      </w:r>
      <w:r w:rsidR="00364BDD">
        <w:t xml:space="preserve">nts” and details the happenings of a “terrific explosion” </w:t>
      </w:r>
      <w:r w:rsidR="00F116A3">
        <w:t>while working in a factory making shells, and about how one little mistake could cause an explosion and that</w:t>
      </w:r>
      <w:r w:rsidR="00390947">
        <w:t xml:space="preserve"> a few people were killed in this particular explosion</w:t>
      </w:r>
      <w:r w:rsidR="00A26093">
        <w:rPr>
          <w:rStyle w:val="FootnoteReference"/>
        </w:rPr>
        <w:footnoteReference w:id="40"/>
      </w:r>
      <w:r w:rsidR="0030772F">
        <w:t xml:space="preserve"> She also said that this</w:t>
      </w:r>
      <w:r w:rsidR="00C1455C">
        <w:t xml:space="preserve"> due to these new experiences “Our lives changed. We had a different outlook on things</w:t>
      </w:r>
      <w:r w:rsidR="00E77B3B">
        <w:t>” and “you lived for the day because you didn’t know what was going to happen”</w:t>
      </w:r>
      <w:r w:rsidR="00E77B3B">
        <w:rPr>
          <w:rStyle w:val="FootnoteReference"/>
        </w:rPr>
        <w:footnoteReference w:id="41"/>
      </w:r>
      <w:r w:rsidR="00C96E68">
        <w:t xml:space="preserve">. By 1942 over half the </w:t>
      </w:r>
      <w:r w:rsidR="00AB7A3A">
        <w:t>war workers in Wales were women, and many of them were on much higher pay than the men in the mines had ever been on, and of course this angered men, one miner complained that he was “unemployable” since his “old woman</w:t>
      </w:r>
      <w:r w:rsidR="00EB21C5">
        <w:t>’s been working” and Vera Smith accounts that her father was less than impressed with the money she was earning in the factories since her job “was easy compared to what he was doing”</w:t>
      </w:r>
      <w:r w:rsidR="00EB21C5">
        <w:rPr>
          <w:rStyle w:val="FootnoteReference"/>
        </w:rPr>
        <w:footnoteReference w:id="42"/>
      </w:r>
      <w:r w:rsidR="007B7699">
        <w:t xml:space="preserve"> However, socially women who worked in factories were </w:t>
      </w:r>
      <w:r w:rsidR="00C20E11">
        <w:t xml:space="preserve">regarded as “having low moral standards” and the factories were rumoured to </w:t>
      </w:r>
      <w:proofErr w:type="spellStart"/>
      <w:r w:rsidR="00C20E11">
        <w:t>to</w:t>
      </w:r>
      <w:proofErr w:type="spellEnd"/>
      <w:r w:rsidR="00C20E11">
        <w:t xml:space="preserve"> a place where “all manner of debauchery went on”</w:t>
      </w:r>
      <w:r w:rsidR="00C20E11">
        <w:rPr>
          <w:rStyle w:val="FootnoteReference"/>
        </w:rPr>
        <w:footnoteReference w:id="43"/>
      </w:r>
      <w:r w:rsidR="008821C0">
        <w:t xml:space="preserve"> women, of course during this period </w:t>
      </w:r>
      <w:r w:rsidR="00681842">
        <w:t>signed up to work in the Women’s Land Army</w:t>
      </w:r>
      <w:r w:rsidR="0073387B">
        <w:t xml:space="preserve"> which boasted that it was a “healthy, happy job,” (which can be seen below in Figure 2)</w:t>
      </w:r>
      <w:r w:rsidR="00D2367E">
        <w:t xml:space="preserve">. These </w:t>
      </w:r>
      <w:r w:rsidR="00D2367E">
        <w:lastRenderedPageBreak/>
        <w:t xml:space="preserve">jobs were set up during world war </w:t>
      </w:r>
      <w:proofErr w:type="gramStart"/>
      <w:r w:rsidR="00D2367E">
        <w:t>one, but</w:t>
      </w:r>
      <w:proofErr w:type="gramEnd"/>
      <w:r w:rsidR="00D2367E">
        <w:t xml:space="preserve"> was disbanded shortly after armistice and came back when food once again became scarce in the second world war</w:t>
      </w:r>
      <w:r w:rsidR="00616F09">
        <w:t>, since 70% of our food at this time came from imports</w:t>
      </w:r>
      <w:r w:rsidR="00616F09">
        <w:rPr>
          <w:rStyle w:val="FootnoteReference"/>
        </w:rPr>
        <w:footnoteReference w:id="44"/>
      </w:r>
      <w:r w:rsidR="001C2765">
        <w:t>. By the end of the war, “four-and-a-half thousand young women” were working on farms throughout Britain</w:t>
      </w:r>
      <w:r w:rsidR="001C2765">
        <w:rPr>
          <w:rStyle w:val="FootnoteReference"/>
        </w:rPr>
        <w:footnoteReference w:id="45"/>
      </w:r>
      <w:r w:rsidR="0092794C">
        <w:t xml:space="preserve">. This was not an ideal job, and on top of the </w:t>
      </w:r>
      <w:r w:rsidR="00FF204E">
        <w:t xml:space="preserve">heavy workload that was expected of these women, may were also forced to live in hostels with terrible food and strict wardens that controlled </w:t>
      </w:r>
      <w:r w:rsidR="00E17BA1">
        <w:t>everything that went on within and set a curfew of 10 o clock</w:t>
      </w:r>
      <w:r w:rsidR="00E17BA1">
        <w:rPr>
          <w:rStyle w:val="FootnoteReference"/>
        </w:rPr>
        <w:footnoteReference w:id="46"/>
      </w:r>
    </w:p>
    <w:p w14:paraId="218031ED" w14:textId="0CE00CCC" w:rsidR="00753770" w:rsidRDefault="00753770" w:rsidP="00F80429"/>
    <w:p w14:paraId="3E133EB6" w14:textId="29BADE6C" w:rsidR="00753770" w:rsidRDefault="00753770" w:rsidP="00F80429"/>
    <w:p w14:paraId="2149194A" w14:textId="00F3A350" w:rsidR="00753770" w:rsidRDefault="0073387B" w:rsidP="00F80429">
      <w:r>
        <w:rPr>
          <w:noProof/>
        </w:rPr>
        <w:drawing>
          <wp:anchor distT="0" distB="0" distL="114300" distR="114300" simplePos="0" relativeHeight="251659264" behindDoc="1" locked="0" layoutInCell="1" allowOverlap="1" wp14:anchorId="30DD4B47" wp14:editId="1DCCF1E1">
            <wp:simplePos x="0" y="0"/>
            <wp:positionH relativeFrom="margin">
              <wp:align>right</wp:align>
            </wp:positionH>
            <wp:positionV relativeFrom="paragraph">
              <wp:posOffset>213360</wp:posOffset>
            </wp:positionV>
            <wp:extent cx="4337050" cy="3093720"/>
            <wp:effectExtent l="0" t="6985" r="0" b="0"/>
            <wp:wrapTight wrapText="bothSides">
              <wp:wrapPolygon edited="0">
                <wp:start x="21635" y="49"/>
                <wp:lineTo x="98" y="49"/>
                <wp:lineTo x="98" y="21463"/>
                <wp:lineTo x="21635" y="21463"/>
                <wp:lineTo x="21635" y="4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9200" t="16033" r="20519" b="7524"/>
                    <a:stretch/>
                  </pic:blipFill>
                  <pic:spPr bwMode="auto">
                    <a:xfrm rot="16200000">
                      <a:off x="0" y="0"/>
                      <a:ext cx="4337050" cy="309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68D1FE" w14:textId="3DB0E402" w:rsidR="00753770" w:rsidRDefault="00753770" w:rsidP="00F80429"/>
    <w:p w14:paraId="27F34D8B" w14:textId="77777777" w:rsidR="00753770" w:rsidRDefault="00753770" w:rsidP="00F80429"/>
    <w:p w14:paraId="63306C45" w14:textId="77777777" w:rsidR="00753770" w:rsidRDefault="00753770" w:rsidP="00F80429"/>
    <w:p w14:paraId="1D483ABC" w14:textId="38BF5E37" w:rsidR="00753770" w:rsidRDefault="00753770" w:rsidP="00F80429">
      <w:r>
        <w:t>Figure 2</w:t>
      </w:r>
      <w:r>
        <w:rPr>
          <w:rStyle w:val="FootnoteReference"/>
        </w:rPr>
        <w:footnoteReference w:id="47"/>
      </w:r>
    </w:p>
    <w:p w14:paraId="215462B7" w14:textId="77777777" w:rsidR="00753770" w:rsidRDefault="00753770" w:rsidP="00F80429"/>
    <w:p w14:paraId="057DA0B6" w14:textId="77777777" w:rsidR="00753770" w:rsidRDefault="00753770" w:rsidP="00F80429"/>
    <w:p w14:paraId="55F472CE" w14:textId="77777777" w:rsidR="00753770" w:rsidRDefault="00753770" w:rsidP="00F80429"/>
    <w:p w14:paraId="7AD793DC" w14:textId="77777777" w:rsidR="00753770" w:rsidRDefault="00753770" w:rsidP="00F80429"/>
    <w:p w14:paraId="1610585B" w14:textId="77777777" w:rsidR="00753770" w:rsidRDefault="00753770" w:rsidP="00F80429"/>
    <w:p w14:paraId="6B31EDAF" w14:textId="77777777" w:rsidR="00753770" w:rsidRDefault="00753770" w:rsidP="00F80429"/>
    <w:p w14:paraId="23C4915A" w14:textId="15C9A64B" w:rsidR="00753770" w:rsidRDefault="00753770" w:rsidP="00F80429"/>
    <w:p w14:paraId="73FD5892" w14:textId="1EF99AEE" w:rsidR="00753770" w:rsidRDefault="00753770" w:rsidP="00F80429"/>
    <w:p w14:paraId="68B95D32" w14:textId="77777777" w:rsidR="00753770" w:rsidRDefault="00753770" w:rsidP="00F80429"/>
    <w:p w14:paraId="7D5BFC9D" w14:textId="594ACF93" w:rsidR="00774B52" w:rsidRDefault="00774B52" w:rsidP="00F80429">
      <w:r>
        <w:t>Women were also conscripted to work in the army</w:t>
      </w:r>
      <w:r w:rsidR="00B14DE4">
        <w:t xml:space="preserve">, working in the Auxiliary Territorial Service, </w:t>
      </w:r>
      <w:r w:rsidR="009A5104">
        <w:t>the Women’s Auxiliary Air Force, or the Women’s Royal Naval Services during the war</w:t>
      </w:r>
      <w:r w:rsidR="00DB3381">
        <w:t xml:space="preserve"> which, once again, exposed women to a world of work and fear unlike anything they’d felt before, worrying about their own lives as well as that of the men they </w:t>
      </w:r>
      <w:r w:rsidR="00FE61B9">
        <w:t>knew in the mines</w:t>
      </w:r>
      <w:r w:rsidR="00FE61B9">
        <w:rPr>
          <w:rStyle w:val="FootnoteReference"/>
        </w:rPr>
        <w:footnoteReference w:id="48"/>
      </w:r>
    </w:p>
    <w:p w14:paraId="610AEA77" w14:textId="07C2A3B5" w:rsidR="00524C1F" w:rsidRPr="00F80429" w:rsidRDefault="00524C1F" w:rsidP="00524C1F">
      <w:r>
        <w:t>Between 1965 and 1974</w:t>
      </w:r>
      <w:r w:rsidR="009F41D4">
        <w:t xml:space="preserve"> over 15,000 women entered the manufacturing workforce in Wales</w:t>
      </w:r>
      <w:r w:rsidR="005E01C0">
        <w:t xml:space="preserve"> which can ben attributed to the fact that many women were job-searching at this time,</w:t>
      </w:r>
      <w:r w:rsidR="00B83B08">
        <w:t xml:space="preserve"> which had been reasonably uncommon in the past</w:t>
      </w:r>
      <w:r w:rsidR="00B83B08">
        <w:rPr>
          <w:rStyle w:val="FootnoteReference"/>
        </w:rPr>
        <w:footnoteReference w:id="49"/>
      </w:r>
      <w:r w:rsidR="00537327">
        <w:t xml:space="preserve">. Which shows that attitudes and </w:t>
      </w:r>
      <w:r w:rsidR="003E5C96">
        <w:t>roles of women had continued to change over the decades that passed.</w:t>
      </w:r>
    </w:p>
    <w:p w14:paraId="18EEBB44" w14:textId="081E549F" w:rsidR="00B826CC" w:rsidRDefault="00B826CC" w:rsidP="00F80429">
      <w:r>
        <w:lastRenderedPageBreak/>
        <w:t xml:space="preserve">It would be too easy </w:t>
      </w:r>
      <w:r w:rsidR="00824F47">
        <w:t>to overlook feminism</w:t>
      </w:r>
      <w:r w:rsidR="00F2379C">
        <w:t>’s influence on women in the working sphere</w:t>
      </w:r>
      <w:r w:rsidR="00FE6E1A">
        <w:t xml:space="preserve"> but after the first world war </w:t>
      </w:r>
      <w:r w:rsidR="00F52443">
        <w:t xml:space="preserve">but many women like Lady Rhondda, who “was without a doubt the leading </w:t>
      </w:r>
      <w:r w:rsidR="004D7B28">
        <w:t>and most influential feminist of the inter-war period”</w:t>
      </w:r>
      <w:r w:rsidR="004D7B28">
        <w:rPr>
          <w:rStyle w:val="FootnoteReference"/>
        </w:rPr>
        <w:footnoteReference w:id="50"/>
      </w:r>
      <w:r w:rsidR="00CE28F4">
        <w:t xml:space="preserve">, who represented “old feminism” </w:t>
      </w:r>
      <w:r w:rsidR="000C1F15">
        <w:t>and pushed for equality in employment and education</w:t>
      </w:r>
      <w:r w:rsidR="0042369B">
        <w:t xml:space="preserve"> for women and girls (whereas ‘new </w:t>
      </w:r>
      <w:r w:rsidR="00807798">
        <w:t>feminism</w:t>
      </w:r>
      <w:r w:rsidR="0042369B">
        <w:t>’ focused on rights of women in the home and as mothers)</w:t>
      </w:r>
      <w:r w:rsidR="0042369B">
        <w:rPr>
          <w:rStyle w:val="FootnoteReference"/>
        </w:rPr>
        <w:footnoteReference w:id="51"/>
      </w:r>
      <w:r w:rsidR="00B0372D">
        <w:t xml:space="preserve"> However, feminism didn’t have as large an effect on improving jobs offered to women, they succeeded in </w:t>
      </w:r>
      <w:r w:rsidR="009249BE">
        <w:t>changing the laws around sexual discrimination but campaigning for the removal of the Sex Disqualification Act, but the changes were not put into practice, stigma and prejudice were still in the mind of employers</w:t>
      </w:r>
      <w:r w:rsidR="00A65A22">
        <w:rPr>
          <w:rStyle w:val="FootnoteReference"/>
        </w:rPr>
        <w:footnoteReference w:id="52"/>
      </w:r>
      <w:r w:rsidR="009249BE">
        <w:t>.</w:t>
      </w:r>
      <w:r w:rsidR="006D3295">
        <w:t xml:space="preserve"> </w:t>
      </w:r>
    </w:p>
    <w:p w14:paraId="19BC51E9" w14:textId="6DDA032B" w:rsidR="001C3128" w:rsidRDefault="003E5C96">
      <w:r>
        <w:t xml:space="preserve">In conclusion, </w:t>
      </w:r>
      <w:r w:rsidR="00C00AE5">
        <w:t xml:space="preserve">I think </w:t>
      </w:r>
      <w:r w:rsidR="001C3128">
        <w:t xml:space="preserve">that the decline of the heavy industry in Wales did change the role and attitudes of women within Welsh society, to a certain extent. Obviously having the option to work in a way that had been </w:t>
      </w:r>
      <w:r w:rsidR="009316F7">
        <w:t xml:space="preserve">impossible before, has encouraged women to step into the working world. But it wasn’t the only factor, it would be </w:t>
      </w:r>
      <w:r w:rsidR="00CD50AF">
        <w:t xml:space="preserve">foolish to discount any other reason, such as leaps forward in feminism and women’s rights, the changing of attitudes during both world wars, and the </w:t>
      </w:r>
      <w:r w:rsidR="00826EE2">
        <w:t>rollercoaster ride the economy has been throughout the whole 20</w:t>
      </w:r>
      <w:r w:rsidR="00826EE2" w:rsidRPr="00826EE2">
        <w:rPr>
          <w:vertAlign w:val="superscript"/>
        </w:rPr>
        <w:t>th</w:t>
      </w:r>
      <w:r w:rsidR="00826EE2">
        <w:t xml:space="preserve"> and 21</w:t>
      </w:r>
      <w:r w:rsidR="00826EE2" w:rsidRPr="00826EE2">
        <w:rPr>
          <w:vertAlign w:val="superscript"/>
        </w:rPr>
        <w:t>st</w:t>
      </w:r>
      <w:r w:rsidR="00826EE2">
        <w:t xml:space="preserve"> century meaning men’s jobs weren’t always secure and sometimes women needed to step up and </w:t>
      </w:r>
      <w:r w:rsidR="00F60978">
        <w:t>provide for their families. There were other influences as well, like divorce rates increasing, meaning women didn’t always have a husband to rely on</w:t>
      </w:r>
      <w:r w:rsidR="001A2663">
        <w:t xml:space="preserve">. So, while the decline of heavy industry was a factor in changing the roles and attitudes of women, I don’t think it was the only factor that </w:t>
      </w:r>
      <w:r w:rsidR="007D5D28">
        <w:t>lead to the world and economy being the way it is today.</w:t>
      </w:r>
    </w:p>
    <w:p w14:paraId="380D51DA" w14:textId="77777777" w:rsidR="001C3128" w:rsidRDefault="001C3128"/>
    <w:bookmarkEnd w:id="0"/>
    <w:p w14:paraId="0983B73C" w14:textId="5FB885C0" w:rsidR="00B95C5A" w:rsidRPr="00F80429" w:rsidRDefault="00B95C5A"/>
    <w:sectPr w:rsidR="00B95C5A" w:rsidRPr="00F804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E5EFC" w14:textId="77777777" w:rsidR="00822FDD" w:rsidRDefault="00822FDD" w:rsidP="00EF5DE4">
      <w:pPr>
        <w:spacing w:after="0" w:line="240" w:lineRule="auto"/>
      </w:pPr>
      <w:r>
        <w:separator/>
      </w:r>
    </w:p>
  </w:endnote>
  <w:endnote w:type="continuationSeparator" w:id="0">
    <w:p w14:paraId="7A44FAF5" w14:textId="77777777" w:rsidR="00822FDD" w:rsidRDefault="00822FDD" w:rsidP="00EF5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40DA5" w14:textId="77777777" w:rsidR="00822FDD" w:rsidRDefault="00822FDD" w:rsidP="00EF5DE4">
      <w:pPr>
        <w:spacing w:after="0" w:line="240" w:lineRule="auto"/>
      </w:pPr>
      <w:r>
        <w:separator/>
      </w:r>
    </w:p>
  </w:footnote>
  <w:footnote w:type="continuationSeparator" w:id="0">
    <w:p w14:paraId="053AC1AE" w14:textId="77777777" w:rsidR="00822FDD" w:rsidRDefault="00822FDD" w:rsidP="00EF5DE4">
      <w:pPr>
        <w:spacing w:after="0" w:line="240" w:lineRule="auto"/>
      </w:pPr>
      <w:r>
        <w:continuationSeparator/>
      </w:r>
    </w:p>
  </w:footnote>
  <w:footnote w:id="1">
    <w:p w14:paraId="3F3DE5E6" w14:textId="71F3AAC7" w:rsidR="00497D93" w:rsidRDefault="00EF5DE4" w:rsidP="00497D93">
      <w:pPr>
        <w:pStyle w:val="FootnoteText"/>
      </w:pPr>
      <w:r>
        <w:rPr>
          <w:rStyle w:val="FootnoteReference"/>
        </w:rPr>
        <w:footnoteRef/>
      </w:r>
      <w:r>
        <w:t xml:space="preserve"> </w:t>
      </w:r>
      <w:r w:rsidR="00497D93">
        <w:t xml:space="preserve">BBC, </w:t>
      </w:r>
      <w:r w:rsidR="00497D93">
        <w:rPr>
          <w:i/>
        </w:rPr>
        <w:t>Wales History</w:t>
      </w:r>
      <w:r w:rsidR="00C24E7F">
        <w:rPr>
          <w:i/>
        </w:rPr>
        <w:t xml:space="preserve">: </w:t>
      </w:r>
      <w:bookmarkStart w:id="1" w:name="_Hlk536640768"/>
      <w:r w:rsidR="00C24E7F">
        <w:rPr>
          <w:i/>
        </w:rPr>
        <w:t>The Industrial Revolution</w:t>
      </w:r>
      <w:r w:rsidR="00497D93">
        <w:rPr>
          <w:i/>
        </w:rPr>
        <w:t xml:space="preserve"> </w:t>
      </w:r>
      <w:bookmarkEnd w:id="1"/>
      <w:r w:rsidR="00497D93">
        <w:t>(2014)</w:t>
      </w:r>
    </w:p>
    <w:p w14:paraId="5189B1EA" w14:textId="25451BE9" w:rsidR="00EF5DE4" w:rsidRPr="00755CDC" w:rsidRDefault="00F5149E">
      <w:pPr>
        <w:pStyle w:val="FootnoteText"/>
      </w:pPr>
      <w:r>
        <w:t>&lt;</w:t>
      </w:r>
      <w:hyperlink r:id="rId1" w:history="1">
        <w:r w:rsidRPr="00677F2F">
          <w:rPr>
            <w:rStyle w:val="Hyperlink"/>
          </w:rPr>
          <w:t>http://www.bbc.co.uk/wales/history/sites/themes/guide/ch15_industrial_revolution.shtml</w:t>
        </w:r>
      </w:hyperlink>
      <w:r>
        <w:t>&gt; [Accessed 30</w:t>
      </w:r>
      <w:r w:rsidRPr="00F5149E">
        <w:rPr>
          <w:vertAlign w:val="superscript"/>
        </w:rPr>
        <w:t>th</w:t>
      </w:r>
      <w:r>
        <w:t xml:space="preserve"> January 2019]</w:t>
      </w:r>
    </w:p>
  </w:footnote>
  <w:footnote w:id="2">
    <w:p w14:paraId="48D9E185" w14:textId="0950D377" w:rsidR="001E1FE4" w:rsidRDefault="001E1FE4">
      <w:pPr>
        <w:pStyle w:val="FootnoteText"/>
      </w:pPr>
      <w:r>
        <w:rPr>
          <w:rStyle w:val="FootnoteReference"/>
        </w:rPr>
        <w:footnoteRef/>
      </w:r>
      <w:r>
        <w:t xml:space="preserve"> BBC, </w:t>
      </w:r>
      <w:r>
        <w:rPr>
          <w:i/>
        </w:rPr>
        <w:t>Wales History</w:t>
      </w:r>
      <w:r w:rsidR="00461798">
        <w:rPr>
          <w:i/>
        </w:rPr>
        <w:t>:</w:t>
      </w:r>
      <w:r w:rsidR="00461798" w:rsidRPr="00461798">
        <w:rPr>
          <w:i/>
        </w:rPr>
        <w:t xml:space="preserve"> </w:t>
      </w:r>
      <w:r w:rsidR="00461798">
        <w:rPr>
          <w:i/>
        </w:rPr>
        <w:t>The Industrial Revolution</w:t>
      </w:r>
      <w:r>
        <w:rPr>
          <w:i/>
        </w:rPr>
        <w:t xml:space="preserve"> </w:t>
      </w:r>
      <w:r>
        <w:t>(2014)</w:t>
      </w:r>
    </w:p>
  </w:footnote>
  <w:footnote w:id="3">
    <w:p w14:paraId="358FF39F" w14:textId="719426DC" w:rsidR="00557391" w:rsidRPr="00ED1EE9" w:rsidRDefault="00557391">
      <w:pPr>
        <w:pStyle w:val="FootnoteText"/>
      </w:pPr>
      <w:r>
        <w:rPr>
          <w:rStyle w:val="FootnoteReference"/>
        </w:rPr>
        <w:footnoteRef/>
      </w:r>
      <w:r>
        <w:t xml:space="preserve"> </w:t>
      </w:r>
      <w:r w:rsidR="00ED3C8B">
        <w:t xml:space="preserve">Jessica Flynn, ‘Word War One Centenary: How Wales Reported the Start of the Great War’, </w:t>
      </w:r>
      <w:r w:rsidR="00ED3C8B">
        <w:rPr>
          <w:i/>
        </w:rPr>
        <w:t>Wales Online</w:t>
      </w:r>
      <w:r w:rsidR="00ED1EE9">
        <w:rPr>
          <w:i/>
        </w:rPr>
        <w:t xml:space="preserve">, </w:t>
      </w:r>
      <w:r w:rsidR="00ED1EE9">
        <w:t>4</w:t>
      </w:r>
      <w:r w:rsidR="00ED1EE9" w:rsidRPr="00ED1EE9">
        <w:rPr>
          <w:vertAlign w:val="superscript"/>
        </w:rPr>
        <w:t>th</w:t>
      </w:r>
      <w:r w:rsidR="00ED1EE9">
        <w:t xml:space="preserve"> August 2014, </w:t>
      </w:r>
      <w:r w:rsidR="00400FFC">
        <w:t>&lt;</w:t>
      </w:r>
      <w:hyperlink r:id="rId2" w:history="1">
        <w:r w:rsidR="00400FFC" w:rsidRPr="00677F2F">
          <w:rPr>
            <w:rStyle w:val="Hyperlink"/>
          </w:rPr>
          <w:t>https://www.walesonline.co.uk/news/wales-news/world-war-one-centenary-how-7555809</w:t>
        </w:r>
      </w:hyperlink>
      <w:r w:rsidR="00400FFC">
        <w:t>&gt; [Accessed 30</w:t>
      </w:r>
      <w:r w:rsidR="00400FFC" w:rsidRPr="00400FFC">
        <w:rPr>
          <w:vertAlign w:val="superscript"/>
        </w:rPr>
        <w:t>th</w:t>
      </w:r>
      <w:r w:rsidR="00400FFC">
        <w:t xml:space="preserve"> January 2019] </w:t>
      </w:r>
    </w:p>
  </w:footnote>
  <w:footnote w:id="4">
    <w:p w14:paraId="33FDF6D3" w14:textId="1FB7B532" w:rsidR="008E1EA3" w:rsidRPr="00DC3F14" w:rsidRDefault="008E1EA3">
      <w:pPr>
        <w:pStyle w:val="FootnoteText"/>
      </w:pPr>
      <w:r>
        <w:rPr>
          <w:rStyle w:val="FootnoteReference"/>
        </w:rPr>
        <w:footnoteRef/>
      </w:r>
      <w:r>
        <w:t xml:space="preserve"> Wales Online</w:t>
      </w:r>
      <w:r w:rsidR="00DC3F14">
        <w:t xml:space="preserve">, ‘The Role of Welsh Women in our Diverse History’, </w:t>
      </w:r>
      <w:r w:rsidR="00DC3F14">
        <w:rPr>
          <w:i/>
        </w:rPr>
        <w:t xml:space="preserve">Wales Online, </w:t>
      </w:r>
      <w:r w:rsidR="00DC3F14">
        <w:t>7</w:t>
      </w:r>
      <w:r w:rsidR="00DC3F14" w:rsidRPr="00DC3F14">
        <w:rPr>
          <w:vertAlign w:val="superscript"/>
        </w:rPr>
        <w:t>th</w:t>
      </w:r>
      <w:r w:rsidR="00DC3F14">
        <w:t xml:space="preserve"> January 2017</w:t>
      </w:r>
      <w:r w:rsidR="007554A7">
        <w:t xml:space="preserve"> &lt;</w:t>
      </w:r>
      <w:hyperlink r:id="rId3" w:history="1">
        <w:r w:rsidR="007554A7" w:rsidRPr="00677F2F">
          <w:rPr>
            <w:rStyle w:val="Hyperlink"/>
          </w:rPr>
          <w:t>https://www.walesonline.co.uk/lifestyle/lifestyle-opinion/role-welsh-women-diverse-history-12416820</w:t>
        </w:r>
      </w:hyperlink>
      <w:r w:rsidR="007554A7">
        <w:t>&gt; [Accessed 30</w:t>
      </w:r>
      <w:r w:rsidR="007554A7" w:rsidRPr="007554A7">
        <w:rPr>
          <w:vertAlign w:val="superscript"/>
        </w:rPr>
        <w:t>th</w:t>
      </w:r>
      <w:r w:rsidR="007554A7">
        <w:t xml:space="preserve"> January 2019]</w:t>
      </w:r>
    </w:p>
  </w:footnote>
  <w:footnote w:id="5">
    <w:p w14:paraId="01DF84D6" w14:textId="6C5762F4" w:rsidR="007418B3" w:rsidRDefault="007418B3">
      <w:pPr>
        <w:pStyle w:val="FootnoteText"/>
      </w:pPr>
      <w:r>
        <w:rPr>
          <w:rStyle w:val="FootnoteReference"/>
        </w:rPr>
        <w:footnoteRef/>
      </w:r>
      <w:r>
        <w:t xml:space="preserve"> </w:t>
      </w:r>
      <w:r w:rsidR="004F3D08" w:rsidRPr="004F3D08">
        <w:t>Punch as published in Haverfordwest and Milford Telegraph, 1862.</w:t>
      </w:r>
    </w:p>
  </w:footnote>
  <w:footnote w:id="6">
    <w:p w14:paraId="5B9D3DB5" w14:textId="37DABE97" w:rsidR="00FE75D0" w:rsidRPr="004601ED" w:rsidRDefault="00FE75D0">
      <w:pPr>
        <w:pStyle w:val="FootnoteText"/>
      </w:pPr>
      <w:r>
        <w:rPr>
          <w:rStyle w:val="FootnoteReference"/>
        </w:rPr>
        <w:footnoteRef/>
      </w:r>
      <w:r>
        <w:t xml:space="preserve"> </w:t>
      </w:r>
      <w:r w:rsidR="004601ED" w:rsidRPr="004601ED">
        <w:rPr>
          <w:i/>
        </w:rPr>
        <w:t>Women of The Rhondda</w:t>
      </w:r>
      <w:r w:rsidR="004601ED">
        <w:rPr>
          <w:i/>
        </w:rPr>
        <w:t xml:space="preserve">, </w:t>
      </w:r>
      <w:r w:rsidR="00396BE4">
        <w:t>dir. by Mary Capps and Mary Kelley</w:t>
      </w:r>
      <w:r w:rsidR="00011541">
        <w:t xml:space="preserve"> (Channel 4, </w:t>
      </w:r>
      <w:r w:rsidR="001F57F4">
        <w:t>1973)</w:t>
      </w:r>
    </w:p>
  </w:footnote>
  <w:footnote w:id="7">
    <w:p w14:paraId="54464584" w14:textId="49C16220" w:rsidR="00CE20FA" w:rsidRPr="003E3797" w:rsidRDefault="00CE20FA">
      <w:pPr>
        <w:pStyle w:val="FootnoteText"/>
      </w:pPr>
      <w:r>
        <w:rPr>
          <w:rStyle w:val="FootnoteReference"/>
        </w:rPr>
        <w:footnoteRef/>
      </w:r>
      <w:r>
        <w:t xml:space="preserve"> </w:t>
      </w:r>
      <w:r w:rsidRPr="004601ED">
        <w:rPr>
          <w:i/>
        </w:rPr>
        <w:t>Women of The Rhondda</w:t>
      </w:r>
      <w:r w:rsidR="003E3797">
        <w:t xml:space="preserve"> </w:t>
      </w:r>
      <w:r w:rsidR="003E3797" w:rsidRPr="003E3797">
        <w:t>(1973)</w:t>
      </w:r>
    </w:p>
  </w:footnote>
  <w:footnote w:id="8">
    <w:p w14:paraId="35C0FA15" w14:textId="3F0A1A7F" w:rsidR="000A28E5" w:rsidRPr="003E3797" w:rsidRDefault="000A28E5">
      <w:pPr>
        <w:pStyle w:val="FootnoteText"/>
      </w:pPr>
      <w:r>
        <w:rPr>
          <w:rStyle w:val="FootnoteReference"/>
        </w:rPr>
        <w:footnoteRef/>
      </w:r>
      <w:r>
        <w:t xml:space="preserve"> </w:t>
      </w:r>
      <w:r w:rsidRPr="004601ED">
        <w:rPr>
          <w:i/>
        </w:rPr>
        <w:t>Women of The Rhondda</w:t>
      </w:r>
      <w:r w:rsidR="003E3797">
        <w:rPr>
          <w:i/>
        </w:rPr>
        <w:t xml:space="preserve"> </w:t>
      </w:r>
      <w:r w:rsidR="003E3797" w:rsidRPr="003E3797">
        <w:rPr>
          <w:i/>
        </w:rPr>
        <w:t>(1973)</w:t>
      </w:r>
    </w:p>
  </w:footnote>
  <w:footnote w:id="9">
    <w:p w14:paraId="53242084" w14:textId="6D41B8DA" w:rsidR="00CB6F89" w:rsidRPr="00BE302D" w:rsidRDefault="00CB6F89">
      <w:pPr>
        <w:pStyle w:val="FootnoteText"/>
      </w:pPr>
      <w:r>
        <w:rPr>
          <w:rStyle w:val="FootnoteReference"/>
        </w:rPr>
        <w:footnoteRef/>
      </w:r>
      <w:r w:rsidR="006A7626">
        <w:t>T</w:t>
      </w:r>
      <w:r w:rsidR="006A7626" w:rsidRPr="00BE302D">
        <w:rPr>
          <w:i/>
        </w:rPr>
        <w:t xml:space="preserve">he Long Street: Road to </w:t>
      </w:r>
      <w:proofErr w:type="spellStart"/>
      <w:r w:rsidR="006A7626" w:rsidRPr="00BE302D">
        <w:rPr>
          <w:i/>
        </w:rPr>
        <w:t>Pandy</w:t>
      </w:r>
      <w:proofErr w:type="spellEnd"/>
      <w:r w:rsidR="006A7626" w:rsidRPr="00BE302D">
        <w:rPr>
          <w:i/>
        </w:rPr>
        <w:t xml:space="preserve"> Square</w:t>
      </w:r>
      <w:r w:rsidR="00BE302D">
        <w:t xml:space="preserve">, dir. </w:t>
      </w:r>
      <w:r w:rsidR="00B47F07">
        <w:t>b</w:t>
      </w:r>
      <w:r w:rsidR="00BE302D">
        <w:t xml:space="preserve">y </w:t>
      </w:r>
      <w:r w:rsidR="00B47F07">
        <w:t xml:space="preserve">Gethyn </w:t>
      </w:r>
      <w:proofErr w:type="spellStart"/>
      <w:r w:rsidR="00B47F07">
        <w:t>Stoodley</w:t>
      </w:r>
      <w:proofErr w:type="spellEnd"/>
      <w:r w:rsidR="00B47F07">
        <w:t xml:space="preserve"> Thomas</w:t>
      </w:r>
      <w:r w:rsidR="00FD3ACA">
        <w:t xml:space="preserve">, (BBC Wales, </w:t>
      </w:r>
      <w:r w:rsidR="00D46640">
        <w:t>2012)</w:t>
      </w:r>
      <w:r w:rsidR="00151E75">
        <w:t xml:space="preserve"> &lt;</w:t>
      </w:r>
      <w:hyperlink r:id="rId4" w:history="1">
        <w:r w:rsidR="00151E75" w:rsidRPr="00990051">
          <w:rPr>
            <w:rStyle w:val="Hyperlink"/>
          </w:rPr>
          <w:t>https://www.youtube.com/watch?v=XoLr-Exr0I0&amp;feature=youtu.be</w:t>
        </w:r>
      </w:hyperlink>
      <w:r w:rsidR="00151E75">
        <w:t xml:space="preserve">&gt; [Accessed: </w:t>
      </w:r>
      <w:r w:rsidR="00AB25C5">
        <w:t>21</w:t>
      </w:r>
      <w:r w:rsidR="00AB25C5" w:rsidRPr="00AB25C5">
        <w:rPr>
          <w:vertAlign w:val="superscript"/>
        </w:rPr>
        <w:t>st</w:t>
      </w:r>
      <w:r w:rsidR="00AB25C5">
        <w:t xml:space="preserve"> January 2019]</w:t>
      </w:r>
    </w:p>
  </w:footnote>
  <w:footnote w:id="10">
    <w:p w14:paraId="07EFC758" w14:textId="2CB84067" w:rsidR="002D1578" w:rsidRDefault="002D1578">
      <w:pPr>
        <w:pStyle w:val="FootnoteText"/>
      </w:pPr>
      <w:r>
        <w:rPr>
          <w:rStyle w:val="FootnoteReference"/>
        </w:rPr>
        <w:footnoteRef/>
      </w:r>
      <w:r>
        <w:t xml:space="preserve"> T</w:t>
      </w:r>
      <w:r w:rsidRPr="00BE302D">
        <w:rPr>
          <w:i/>
        </w:rPr>
        <w:t xml:space="preserve">he Long Street: Road to </w:t>
      </w:r>
      <w:proofErr w:type="spellStart"/>
      <w:r w:rsidRPr="00BE302D">
        <w:rPr>
          <w:i/>
        </w:rPr>
        <w:t>Pandy</w:t>
      </w:r>
      <w:proofErr w:type="spellEnd"/>
      <w:r w:rsidRPr="00BE302D">
        <w:rPr>
          <w:i/>
        </w:rPr>
        <w:t xml:space="preserve"> Square</w:t>
      </w:r>
    </w:p>
  </w:footnote>
  <w:footnote w:id="11">
    <w:p w14:paraId="72A04E6E" w14:textId="117FC4BD" w:rsidR="005F3727" w:rsidRDefault="005F3727">
      <w:pPr>
        <w:pStyle w:val="FootnoteText"/>
      </w:pPr>
      <w:r>
        <w:rPr>
          <w:rStyle w:val="FootnoteReference"/>
        </w:rPr>
        <w:footnoteRef/>
      </w:r>
      <w:r>
        <w:t xml:space="preserve"> </w:t>
      </w:r>
      <w:r w:rsidR="00A63D0E" w:rsidRPr="00A63D0E">
        <w:rPr>
          <w:lang w:val="en-US"/>
        </w:rPr>
        <w:t xml:space="preserve">R. Cook, </w:t>
      </w:r>
      <w:r w:rsidR="00A63D0E" w:rsidRPr="00A63D0E">
        <w:rPr>
          <w:i/>
          <w:iCs/>
          <w:lang w:val="en-US"/>
        </w:rPr>
        <w:t>Women of the Rhondda, 1980</w:t>
      </w:r>
    </w:p>
  </w:footnote>
  <w:footnote w:id="12">
    <w:p w14:paraId="7029EF4F" w14:textId="17098C76" w:rsidR="005F3727" w:rsidRPr="00816926" w:rsidRDefault="005F3727">
      <w:pPr>
        <w:pStyle w:val="FootnoteText"/>
      </w:pPr>
      <w:r>
        <w:rPr>
          <w:rStyle w:val="FootnoteReference"/>
        </w:rPr>
        <w:footnoteRef/>
      </w:r>
      <w:r>
        <w:t xml:space="preserve"> </w:t>
      </w:r>
      <w:proofErr w:type="spellStart"/>
      <w:r w:rsidR="006643E2">
        <w:t>Matin</w:t>
      </w:r>
      <w:proofErr w:type="spellEnd"/>
      <w:r w:rsidR="006643E2">
        <w:t xml:space="preserve"> </w:t>
      </w:r>
      <w:proofErr w:type="spellStart"/>
      <w:r w:rsidR="006643E2">
        <w:t>Johnes</w:t>
      </w:r>
      <w:proofErr w:type="spellEnd"/>
      <w:r w:rsidR="006643E2">
        <w:t xml:space="preserve">, </w:t>
      </w:r>
      <w:r w:rsidR="006643E2">
        <w:rPr>
          <w:i/>
        </w:rPr>
        <w:t>Wales Since 1939</w:t>
      </w:r>
      <w:r w:rsidR="00816926">
        <w:rPr>
          <w:i/>
        </w:rPr>
        <w:t xml:space="preserve"> </w:t>
      </w:r>
      <w:r w:rsidR="00816926">
        <w:t>(</w:t>
      </w:r>
      <w:proofErr w:type="gramStart"/>
      <w:r w:rsidR="00CA78E2">
        <w:t>London :</w:t>
      </w:r>
      <w:proofErr w:type="gramEnd"/>
      <w:r w:rsidR="00CA78E2">
        <w:t xml:space="preserve"> Oxford University Press</w:t>
      </w:r>
      <w:r w:rsidR="009E22D9">
        <w:t xml:space="preserve">, </w:t>
      </w:r>
      <w:r w:rsidR="009B2961">
        <w:t>2012)</w:t>
      </w:r>
    </w:p>
  </w:footnote>
  <w:footnote w:id="13">
    <w:p w14:paraId="7389DE30" w14:textId="147CF6A4" w:rsidR="00AB567F" w:rsidRPr="00296F3A" w:rsidRDefault="00AB567F">
      <w:pPr>
        <w:pStyle w:val="FootnoteText"/>
      </w:pPr>
      <w:r>
        <w:rPr>
          <w:rStyle w:val="FootnoteReference"/>
        </w:rPr>
        <w:footnoteRef/>
      </w:r>
      <w:r>
        <w:t xml:space="preserve"> </w:t>
      </w:r>
      <w:r w:rsidR="00296F3A">
        <w:t xml:space="preserve">Raymond Williams, </w:t>
      </w:r>
      <w:r w:rsidR="00296F3A">
        <w:rPr>
          <w:i/>
        </w:rPr>
        <w:t>Who Speaks for Wales: Nation Culture, Identity,</w:t>
      </w:r>
      <w:r w:rsidR="00296F3A">
        <w:t xml:space="preserve"> </w:t>
      </w:r>
      <w:r w:rsidR="003253D6">
        <w:t>(</w:t>
      </w:r>
      <w:proofErr w:type="gramStart"/>
      <w:r w:rsidR="003253D6">
        <w:t>Cardiff :</w:t>
      </w:r>
      <w:proofErr w:type="gramEnd"/>
      <w:r w:rsidR="003253D6">
        <w:t xml:space="preserve"> University of Wales Press, 2003) </w:t>
      </w:r>
      <w:r w:rsidR="00993C08">
        <w:t>p. 147</w:t>
      </w:r>
    </w:p>
  </w:footnote>
  <w:footnote w:id="14">
    <w:p w14:paraId="65259495" w14:textId="44DEC857" w:rsidR="00642A46" w:rsidRPr="00D779B8" w:rsidRDefault="00642A46">
      <w:pPr>
        <w:pStyle w:val="FootnoteText"/>
      </w:pPr>
      <w:r>
        <w:rPr>
          <w:rStyle w:val="FootnoteReference"/>
        </w:rPr>
        <w:footnoteRef/>
      </w:r>
      <w:r>
        <w:t xml:space="preserve"> Angela V. John, </w:t>
      </w:r>
      <w:r>
        <w:rPr>
          <w:i/>
        </w:rPr>
        <w:t>By the Sweat of their Brow: Women workers at Victorian Coal Mines</w:t>
      </w:r>
      <w:r w:rsidR="00D86054">
        <w:rPr>
          <w:i/>
        </w:rPr>
        <w:t xml:space="preserve"> </w:t>
      </w:r>
      <w:r w:rsidR="00D779B8">
        <w:t>(</w:t>
      </w:r>
      <w:proofErr w:type="gramStart"/>
      <w:r w:rsidR="00D779B8">
        <w:t>London :</w:t>
      </w:r>
      <w:proofErr w:type="gramEnd"/>
      <w:r w:rsidR="00D779B8">
        <w:t xml:space="preserve"> Routledge, 1980) </w:t>
      </w:r>
    </w:p>
  </w:footnote>
  <w:footnote w:id="15">
    <w:p w14:paraId="3BD1F44E" w14:textId="2A2E3BE3" w:rsidR="00844C45" w:rsidRDefault="00844C45">
      <w:pPr>
        <w:pStyle w:val="FootnoteText"/>
      </w:pPr>
      <w:r>
        <w:rPr>
          <w:rStyle w:val="FootnoteReference"/>
        </w:rPr>
        <w:footnoteRef/>
      </w:r>
      <w:r>
        <w:t xml:space="preserve"> Angela V. John, </w:t>
      </w:r>
      <w:r>
        <w:rPr>
          <w:i/>
        </w:rPr>
        <w:t>By the Sweat of their Brow</w:t>
      </w:r>
    </w:p>
  </w:footnote>
  <w:footnote w:id="16">
    <w:p w14:paraId="3B3CF0BD" w14:textId="319F228B" w:rsidR="008207D3" w:rsidRPr="00BE4E62" w:rsidRDefault="008207D3" w:rsidP="008207D3">
      <w:pPr>
        <w:pStyle w:val="FootnoteText"/>
      </w:pPr>
      <w:r>
        <w:rPr>
          <w:rStyle w:val="FootnoteReference"/>
        </w:rPr>
        <w:footnoteRef/>
      </w:r>
      <w:r>
        <w:t xml:space="preserve"> </w:t>
      </w:r>
      <w:r w:rsidR="00BE4E62">
        <w:t xml:space="preserve">Ancestry,  </w:t>
      </w:r>
      <w:r w:rsidR="00BE4E62">
        <w:rPr>
          <w:i/>
        </w:rPr>
        <w:t xml:space="preserve">Coal Mining in South Wales </w:t>
      </w:r>
      <w:r w:rsidR="00BE4E62">
        <w:t>(Picture is from 1848)</w:t>
      </w:r>
      <w:r w:rsidR="00E9356A">
        <w:t xml:space="preserve"> &lt;</w:t>
      </w:r>
      <w:r w:rsidR="00E9356A" w:rsidRPr="00E9356A">
        <w:t xml:space="preserve"> </w:t>
      </w:r>
      <w:hyperlink r:id="rId5" w:history="1">
        <w:r w:rsidR="00E9356A" w:rsidRPr="00990051">
          <w:rPr>
            <w:rStyle w:val="Hyperlink"/>
          </w:rPr>
          <w:t>https://www.ancestry.co.uk/contextux/historicalinsights/coal-mining-wales</w:t>
        </w:r>
      </w:hyperlink>
      <w:r w:rsidR="00E9356A">
        <w:t>&gt; [Accessed 29</w:t>
      </w:r>
      <w:r w:rsidR="00E9356A" w:rsidRPr="00E9356A">
        <w:rPr>
          <w:vertAlign w:val="superscript"/>
        </w:rPr>
        <w:t>th</w:t>
      </w:r>
      <w:r w:rsidR="00E9356A">
        <w:t xml:space="preserve">  January 1029]  </w:t>
      </w:r>
    </w:p>
  </w:footnote>
  <w:footnote w:id="17">
    <w:p w14:paraId="522675C9" w14:textId="6F007510" w:rsidR="00B73815" w:rsidRDefault="00B73815">
      <w:pPr>
        <w:pStyle w:val="FootnoteText"/>
      </w:pPr>
      <w:r>
        <w:rPr>
          <w:rStyle w:val="FootnoteReference"/>
        </w:rPr>
        <w:footnoteRef/>
      </w:r>
      <w:r>
        <w:t xml:space="preserve"> </w:t>
      </w:r>
      <w:r w:rsidR="00993C08">
        <w:t>Ancestry, Coal</w:t>
      </w:r>
      <w:r>
        <w:rPr>
          <w:i/>
        </w:rPr>
        <w:t xml:space="preserve"> Mining in South Wales</w:t>
      </w:r>
    </w:p>
  </w:footnote>
  <w:footnote w:id="18">
    <w:p w14:paraId="0A4B6DBC" w14:textId="54698471" w:rsidR="006A428B" w:rsidRPr="006A428B" w:rsidRDefault="006A428B">
      <w:pPr>
        <w:pStyle w:val="FootnoteText"/>
      </w:pPr>
      <w:r>
        <w:rPr>
          <w:rStyle w:val="FootnoteReference"/>
        </w:rPr>
        <w:footnoteRef/>
      </w:r>
      <w:r>
        <w:t xml:space="preserve"> Peter Ackers, </w:t>
      </w:r>
      <w:r>
        <w:rPr>
          <w:i/>
        </w:rPr>
        <w:t xml:space="preserve">Life after Death: Mining History without a Coal Industry </w:t>
      </w:r>
      <w:r>
        <w:t>(1996) &lt;</w:t>
      </w:r>
      <w:hyperlink r:id="rId6" w:history="1">
        <w:r w:rsidRPr="004B75F3">
          <w:rPr>
            <w:rStyle w:val="Hyperlink"/>
          </w:rPr>
          <w:t>https://online.liverpooluniversitypress.co.uk/doi/pdf/10.3828/hsir.1996.1.8</w:t>
        </w:r>
      </w:hyperlink>
      <w:r>
        <w:t>&gt;  [Accessed: 31</w:t>
      </w:r>
      <w:r w:rsidRPr="006A428B">
        <w:rPr>
          <w:vertAlign w:val="superscript"/>
        </w:rPr>
        <w:t>st</w:t>
      </w:r>
      <w:r>
        <w:t xml:space="preserve"> January 2019]</w:t>
      </w:r>
    </w:p>
  </w:footnote>
  <w:footnote w:id="19">
    <w:p w14:paraId="0A21E867" w14:textId="16E66DB0" w:rsidR="006A428B" w:rsidRDefault="006A428B" w:rsidP="003E3797">
      <w:r>
        <w:rPr>
          <w:rStyle w:val="FootnoteReference"/>
        </w:rPr>
        <w:footnoteRef/>
      </w:r>
      <w:r>
        <w:t xml:space="preserve"> </w:t>
      </w:r>
      <w:r w:rsidR="003E3797" w:rsidRPr="004601ED">
        <w:rPr>
          <w:i/>
        </w:rPr>
        <w:t>Women of The Rhondda</w:t>
      </w:r>
      <w:r w:rsidR="003E3797">
        <w:t xml:space="preserve"> </w:t>
      </w:r>
      <w:bookmarkStart w:id="2" w:name="_Hlk536706453"/>
      <w:r w:rsidR="003E3797">
        <w:t>(</w:t>
      </w:r>
      <w:r w:rsidR="003E3797">
        <w:t>1973</w:t>
      </w:r>
      <w:r w:rsidR="003E3797">
        <w:t>)</w:t>
      </w:r>
      <w:bookmarkEnd w:id="2"/>
    </w:p>
  </w:footnote>
  <w:footnote w:id="20">
    <w:p w14:paraId="73758100" w14:textId="0870664A" w:rsidR="003E3797" w:rsidRDefault="003E3797">
      <w:pPr>
        <w:pStyle w:val="FootnoteText"/>
      </w:pPr>
      <w:r>
        <w:rPr>
          <w:rStyle w:val="FootnoteReference"/>
        </w:rPr>
        <w:footnoteRef/>
      </w:r>
      <w:r>
        <w:t xml:space="preserve"> </w:t>
      </w:r>
      <w:r w:rsidRPr="003E3797">
        <w:t>Women of The Rhondda (1973)</w:t>
      </w:r>
    </w:p>
  </w:footnote>
  <w:footnote w:id="21">
    <w:p w14:paraId="492E8702" w14:textId="232758A8" w:rsidR="001F6D1C" w:rsidRDefault="001F6D1C" w:rsidP="001F6D1C">
      <w:pPr>
        <w:pStyle w:val="FootnoteText"/>
      </w:pPr>
      <w:r>
        <w:rPr>
          <w:rStyle w:val="FootnoteReference"/>
        </w:rPr>
        <w:footnoteRef/>
      </w:r>
      <w:r>
        <w:t xml:space="preserve"> </w:t>
      </w:r>
      <w:bookmarkStart w:id="3" w:name="_Hlk536785321"/>
      <w:r>
        <w:t xml:space="preserve">Beth Jenkins, Women’s Professional Employment in Wales </w:t>
      </w:r>
      <w:bookmarkEnd w:id="3"/>
      <w:r>
        <w:rPr>
          <w:i/>
        </w:rPr>
        <w:t xml:space="preserve">1800-1939, </w:t>
      </w:r>
      <w:r>
        <w:t>(2016) &lt;</w:t>
      </w:r>
      <w:hyperlink r:id="rId7" w:history="1">
        <w:r w:rsidRPr="002A357A">
          <w:rPr>
            <w:rStyle w:val="Hyperlink"/>
          </w:rPr>
          <w:t>https://orca.cf.ac.uk/97598/1/2017jenkinsbphd.pdf</w:t>
        </w:r>
      </w:hyperlink>
      <w:r>
        <w:t>&gt; [Accessed 26</w:t>
      </w:r>
      <w:r w:rsidRPr="000C68C1">
        <w:rPr>
          <w:vertAlign w:val="superscript"/>
        </w:rPr>
        <w:t>th</w:t>
      </w:r>
      <w:r>
        <w:t xml:space="preserve"> January 2019]</w:t>
      </w:r>
    </w:p>
  </w:footnote>
  <w:footnote w:id="22">
    <w:p w14:paraId="2B201F72" w14:textId="3780F907" w:rsidR="000C68C1" w:rsidRPr="000C68C1" w:rsidRDefault="000C68C1">
      <w:pPr>
        <w:pStyle w:val="FootnoteText"/>
      </w:pPr>
      <w:r>
        <w:rPr>
          <w:rStyle w:val="FootnoteReference"/>
        </w:rPr>
        <w:footnoteRef/>
      </w:r>
      <w:r>
        <w:t xml:space="preserve"> </w:t>
      </w:r>
      <w:r w:rsidR="001F6D1C">
        <w:t>Beth Jenkins, Women’s Professional Employment in Wales</w:t>
      </w:r>
    </w:p>
  </w:footnote>
  <w:footnote w:id="23">
    <w:p w14:paraId="7084B2FE" w14:textId="1310634E" w:rsidR="001F6D1C" w:rsidRDefault="001F6D1C">
      <w:pPr>
        <w:pStyle w:val="FootnoteText"/>
      </w:pPr>
      <w:r>
        <w:rPr>
          <w:rStyle w:val="FootnoteReference"/>
        </w:rPr>
        <w:footnoteRef/>
      </w:r>
      <w:r>
        <w:t xml:space="preserve"> </w:t>
      </w:r>
      <w:r w:rsidR="00E2781B">
        <w:t>Beth Jenkins, Women’s Professional Employment in Wales</w:t>
      </w:r>
    </w:p>
  </w:footnote>
  <w:footnote w:id="24">
    <w:p w14:paraId="61A2B181" w14:textId="76BE5DF5" w:rsidR="00E2781B" w:rsidRDefault="00E2781B" w:rsidP="00E2781B">
      <w:pPr>
        <w:pStyle w:val="FootnoteText"/>
      </w:pPr>
      <w:r>
        <w:rPr>
          <w:rStyle w:val="FootnoteReference"/>
        </w:rPr>
        <w:footnoteRef/>
      </w:r>
      <w:r>
        <w:t xml:space="preserve"> Beth Jenkins, Women’s Professional Employment in Wales</w:t>
      </w:r>
    </w:p>
  </w:footnote>
  <w:footnote w:id="25">
    <w:p w14:paraId="0F514785" w14:textId="25E7FB0E" w:rsidR="00E01EFA" w:rsidRPr="00E01EFA" w:rsidRDefault="00E01EFA">
      <w:pPr>
        <w:pStyle w:val="FootnoteText"/>
      </w:pPr>
      <w:r>
        <w:rPr>
          <w:rStyle w:val="FootnoteReference"/>
        </w:rPr>
        <w:footnoteRef/>
      </w:r>
      <w:r>
        <w:t xml:space="preserve"> Open University, </w:t>
      </w:r>
      <w:r>
        <w:rPr>
          <w:i/>
        </w:rPr>
        <w:t>Contemporary Wales: Thinking about Gender and Wales</w:t>
      </w:r>
      <w:r>
        <w:t xml:space="preserve"> (</w:t>
      </w:r>
      <w:proofErr w:type="gramStart"/>
      <w:r>
        <w:t>N.A..</w:t>
      </w:r>
      <w:proofErr w:type="gramEnd"/>
      <w:r>
        <w:t>) &lt;</w:t>
      </w:r>
      <w:hyperlink r:id="rId8" w:history="1">
        <w:r w:rsidR="000C68C1" w:rsidRPr="002A357A">
          <w:rPr>
            <w:rStyle w:val="Hyperlink"/>
          </w:rPr>
          <w:t>https://www.open.edu/openlearn/people-politics-law/politics-policy-people/sociology/contemporary-wales/content-section-4.2</w:t>
        </w:r>
      </w:hyperlink>
      <w:r>
        <w:t>&gt; [Accessed 1</w:t>
      </w:r>
      <w:r w:rsidRPr="00E01EFA">
        <w:rPr>
          <w:vertAlign w:val="superscript"/>
        </w:rPr>
        <w:t>st</w:t>
      </w:r>
      <w:r>
        <w:t xml:space="preserve"> </w:t>
      </w:r>
      <w:r w:rsidR="00F80429">
        <w:t>February</w:t>
      </w:r>
      <w:r>
        <w:t xml:space="preserve"> 2019]</w:t>
      </w:r>
    </w:p>
  </w:footnote>
  <w:footnote w:id="26">
    <w:p w14:paraId="740C2682" w14:textId="7B029962" w:rsidR="00E2781B" w:rsidRDefault="00E2781B">
      <w:pPr>
        <w:pStyle w:val="FootnoteText"/>
      </w:pPr>
      <w:r>
        <w:rPr>
          <w:rStyle w:val="FootnoteReference"/>
        </w:rPr>
        <w:footnoteRef/>
      </w:r>
      <w:r>
        <w:t xml:space="preserve"> </w:t>
      </w:r>
      <w:r>
        <w:t xml:space="preserve">Open University, </w:t>
      </w:r>
      <w:r>
        <w:rPr>
          <w:i/>
        </w:rPr>
        <w:t>Contemporary Wales</w:t>
      </w:r>
    </w:p>
  </w:footnote>
  <w:footnote w:id="27">
    <w:p w14:paraId="454E3216" w14:textId="4D336317" w:rsidR="00E01EFA" w:rsidRPr="00F80429" w:rsidRDefault="00E01EFA">
      <w:pPr>
        <w:pStyle w:val="FootnoteText"/>
      </w:pPr>
      <w:r>
        <w:rPr>
          <w:rStyle w:val="FootnoteReference"/>
        </w:rPr>
        <w:footnoteRef/>
      </w:r>
      <w:r>
        <w:t xml:space="preserve"> Bleddyn Penny, ‘A New Independence for Women as they Forged a New Future in Welsh Steel Industry</w:t>
      </w:r>
      <w:r w:rsidR="00F80429">
        <w:t xml:space="preserve">’, </w:t>
      </w:r>
      <w:r w:rsidR="00F80429">
        <w:rPr>
          <w:i/>
        </w:rPr>
        <w:t xml:space="preserve">Wales Online </w:t>
      </w:r>
      <w:r w:rsidR="00F80429">
        <w:t>1</w:t>
      </w:r>
      <w:r w:rsidR="00F80429" w:rsidRPr="00F80429">
        <w:rPr>
          <w:vertAlign w:val="superscript"/>
        </w:rPr>
        <w:t>st</w:t>
      </w:r>
      <w:r w:rsidR="00F80429">
        <w:t xml:space="preserve"> March 2017, &lt;</w:t>
      </w:r>
      <w:r w:rsidR="00F80429" w:rsidRPr="00F80429">
        <w:t xml:space="preserve"> </w:t>
      </w:r>
      <w:hyperlink r:id="rId9" w:history="1">
        <w:r w:rsidR="00F80429" w:rsidRPr="002A357A">
          <w:rPr>
            <w:rStyle w:val="Hyperlink"/>
          </w:rPr>
          <w:t>https://www.walesonline.co.uk/lifestyle/nostalgia/new-independence-women-forged-new-12577853</w:t>
        </w:r>
      </w:hyperlink>
      <w:r w:rsidR="00F80429">
        <w:t>&gt; [Accessed 30</w:t>
      </w:r>
      <w:r w:rsidR="00F80429" w:rsidRPr="00F80429">
        <w:rPr>
          <w:vertAlign w:val="superscript"/>
        </w:rPr>
        <w:t>th</w:t>
      </w:r>
      <w:r w:rsidR="00F80429">
        <w:t xml:space="preserve"> January 2019] </w:t>
      </w:r>
    </w:p>
  </w:footnote>
  <w:footnote w:id="28">
    <w:p w14:paraId="0AE0C06C" w14:textId="656B3E3D" w:rsidR="00191CD7" w:rsidRPr="00191CD7" w:rsidRDefault="00191CD7">
      <w:pPr>
        <w:pStyle w:val="FootnoteText"/>
      </w:pPr>
      <w:r>
        <w:rPr>
          <w:rStyle w:val="FootnoteReference"/>
        </w:rPr>
        <w:footnoteRef/>
      </w:r>
      <w:r>
        <w:t xml:space="preserve"> </w:t>
      </w:r>
      <w:proofErr w:type="spellStart"/>
      <w:r>
        <w:t>Catrin</w:t>
      </w:r>
      <w:proofErr w:type="spellEnd"/>
      <w:r>
        <w:t xml:space="preserve"> Stevens, </w:t>
      </w:r>
      <w:r>
        <w:rPr>
          <w:i/>
        </w:rPr>
        <w:t xml:space="preserve">Voices </w:t>
      </w:r>
      <w:proofErr w:type="spellStart"/>
      <w:r>
        <w:rPr>
          <w:i/>
        </w:rPr>
        <w:t>Fom</w:t>
      </w:r>
      <w:proofErr w:type="spellEnd"/>
      <w:r>
        <w:rPr>
          <w:i/>
        </w:rPr>
        <w:t xml:space="preserve"> the Factory Floor: The Experiences of Women who Worked in the </w:t>
      </w:r>
      <w:r w:rsidR="006702AA">
        <w:rPr>
          <w:i/>
        </w:rPr>
        <w:t>Manufacturing</w:t>
      </w:r>
      <w:r>
        <w:rPr>
          <w:i/>
        </w:rPr>
        <w:t xml:space="preserve"> Industries in Wales, 1945-75, </w:t>
      </w:r>
      <w:r>
        <w:t>(Gloucestershire: Amberley Publishing, 2017)</w:t>
      </w:r>
    </w:p>
  </w:footnote>
  <w:footnote w:id="29">
    <w:p w14:paraId="7F53A180" w14:textId="296AC3D2" w:rsidR="00F80429" w:rsidRDefault="00F80429">
      <w:pPr>
        <w:pStyle w:val="FootnoteText"/>
      </w:pPr>
      <w:r>
        <w:rPr>
          <w:rStyle w:val="FootnoteReference"/>
        </w:rPr>
        <w:footnoteRef/>
      </w:r>
      <w:r>
        <w:t xml:space="preserve"> </w:t>
      </w:r>
      <w:r w:rsidRPr="00F80429">
        <w:t>Jessica Flynn, ‘Word War One Centenary</w:t>
      </w:r>
    </w:p>
  </w:footnote>
  <w:footnote w:id="30">
    <w:p w14:paraId="06DDAF62" w14:textId="6869E1E3" w:rsidR="00F80429" w:rsidRDefault="00F80429">
      <w:pPr>
        <w:pStyle w:val="FootnoteText"/>
      </w:pPr>
      <w:r>
        <w:rPr>
          <w:rStyle w:val="FootnoteReference"/>
        </w:rPr>
        <w:footnoteRef/>
      </w:r>
      <w:r>
        <w:t xml:space="preserve"> </w:t>
      </w:r>
      <w:r w:rsidRPr="00F80429">
        <w:t>Jessica Flynn, ‘Word War One Centenary</w:t>
      </w:r>
    </w:p>
  </w:footnote>
  <w:footnote w:id="31">
    <w:p w14:paraId="1178D00C" w14:textId="061AB820" w:rsidR="006F28F1" w:rsidRDefault="006F28F1">
      <w:pPr>
        <w:pStyle w:val="FootnoteText"/>
      </w:pPr>
      <w:r>
        <w:rPr>
          <w:rStyle w:val="FootnoteReference"/>
        </w:rPr>
        <w:footnoteRef/>
      </w:r>
      <w:r>
        <w:t xml:space="preserve"> </w:t>
      </w:r>
      <w:r w:rsidRPr="00D5320B">
        <w:rPr>
          <w:i/>
        </w:rPr>
        <w:t>Wales Between The Wars</w:t>
      </w:r>
      <w:r>
        <w:rPr>
          <w:i/>
        </w:rPr>
        <w:t xml:space="preserve">, </w:t>
      </w:r>
      <w:r>
        <w:t>e. by Trevor Herbert and Gareth Elwyn Jones (</w:t>
      </w:r>
      <w:proofErr w:type="gramStart"/>
      <w:r>
        <w:t>Cardiff :</w:t>
      </w:r>
      <w:proofErr w:type="gramEnd"/>
      <w:r>
        <w:t xml:space="preserve"> University of Wales Press, 1988), p.130</w:t>
      </w:r>
    </w:p>
  </w:footnote>
  <w:footnote w:id="32">
    <w:p w14:paraId="3DF02832" w14:textId="2EB7452F" w:rsidR="00864BAE" w:rsidRDefault="00864BAE">
      <w:pPr>
        <w:pStyle w:val="FootnoteText"/>
      </w:pPr>
      <w:r>
        <w:rPr>
          <w:rStyle w:val="FootnoteReference"/>
        </w:rPr>
        <w:footnoteRef/>
      </w:r>
      <w:r>
        <w:t xml:space="preserve"> </w:t>
      </w:r>
      <w:r w:rsidRPr="00D5320B">
        <w:rPr>
          <w:i/>
        </w:rPr>
        <w:t xml:space="preserve">Wales Between </w:t>
      </w:r>
      <w:proofErr w:type="gramStart"/>
      <w:r w:rsidRPr="00D5320B">
        <w:rPr>
          <w:i/>
        </w:rPr>
        <w:t>The</w:t>
      </w:r>
      <w:proofErr w:type="gramEnd"/>
      <w:r w:rsidRPr="00D5320B">
        <w:rPr>
          <w:i/>
        </w:rPr>
        <w:t xml:space="preserve"> Wars</w:t>
      </w:r>
      <w:r>
        <w:rPr>
          <w:i/>
        </w:rPr>
        <w:t xml:space="preserve">, </w:t>
      </w:r>
      <w:r>
        <w:t>e. by Trevor Herbert</w:t>
      </w:r>
      <w:r w:rsidR="00435A56">
        <w:t>. P.30</w:t>
      </w:r>
    </w:p>
  </w:footnote>
  <w:footnote w:id="33">
    <w:p w14:paraId="2B30D5C4" w14:textId="6CBF37F4" w:rsidR="00C933C0" w:rsidRDefault="00C933C0">
      <w:pPr>
        <w:pStyle w:val="FootnoteText"/>
      </w:pPr>
      <w:r>
        <w:rPr>
          <w:rStyle w:val="FootnoteReference"/>
        </w:rPr>
        <w:footnoteRef/>
      </w:r>
      <w:r>
        <w:t xml:space="preserve"> </w:t>
      </w:r>
      <w:r w:rsidRPr="00D5320B">
        <w:rPr>
          <w:i/>
        </w:rPr>
        <w:t xml:space="preserve">Wales Between </w:t>
      </w:r>
      <w:proofErr w:type="gramStart"/>
      <w:r w:rsidRPr="00D5320B">
        <w:rPr>
          <w:i/>
        </w:rPr>
        <w:t>The</w:t>
      </w:r>
      <w:proofErr w:type="gramEnd"/>
      <w:r w:rsidRPr="00D5320B">
        <w:rPr>
          <w:i/>
        </w:rPr>
        <w:t xml:space="preserve"> Wars</w:t>
      </w:r>
      <w:r>
        <w:rPr>
          <w:i/>
        </w:rPr>
        <w:t xml:space="preserve">, </w:t>
      </w:r>
      <w:r>
        <w:t>e. by Trevor Herbert</w:t>
      </w:r>
      <w:r w:rsidR="00435A56">
        <w:t>. p.30</w:t>
      </w:r>
    </w:p>
  </w:footnote>
  <w:footnote w:id="34">
    <w:p w14:paraId="2BB42AE1" w14:textId="4746FB11" w:rsidR="00D623E1" w:rsidRDefault="00D623E1">
      <w:pPr>
        <w:pStyle w:val="FootnoteText"/>
      </w:pPr>
      <w:r>
        <w:rPr>
          <w:rStyle w:val="FootnoteReference"/>
        </w:rPr>
        <w:footnoteRef/>
      </w:r>
      <w:r>
        <w:t xml:space="preserve"> </w:t>
      </w:r>
      <w:r w:rsidRPr="00D5320B">
        <w:rPr>
          <w:i/>
        </w:rPr>
        <w:t xml:space="preserve">Wales Between </w:t>
      </w:r>
      <w:proofErr w:type="gramStart"/>
      <w:r w:rsidRPr="00D5320B">
        <w:rPr>
          <w:i/>
        </w:rPr>
        <w:t>The</w:t>
      </w:r>
      <w:proofErr w:type="gramEnd"/>
      <w:r w:rsidRPr="00D5320B">
        <w:rPr>
          <w:i/>
        </w:rPr>
        <w:t xml:space="preserve"> Wars</w:t>
      </w:r>
      <w:r>
        <w:rPr>
          <w:i/>
        </w:rPr>
        <w:t xml:space="preserve">, </w:t>
      </w:r>
      <w:r>
        <w:t>e. by Trevor Herbert</w:t>
      </w:r>
      <w:r>
        <w:t>. P.135</w:t>
      </w:r>
    </w:p>
  </w:footnote>
  <w:footnote w:id="35">
    <w:p w14:paraId="5956A7FB" w14:textId="6D71390B" w:rsidR="00AD5467" w:rsidRPr="00D5320B" w:rsidRDefault="00AD5467">
      <w:pPr>
        <w:pStyle w:val="FootnoteText"/>
      </w:pPr>
      <w:r>
        <w:rPr>
          <w:rStyle w:val="FootnoteReference"/>
        </w:rPr>
        <w:footnoteRef/>
      </w:r>
      <w:r>
        <w:t xml:space="preserve"> </w:t>
      </w:r>
      <w:r w:rsidR="00D5320B" w:rsidRPr="00D5320B">
        <w:rPr>
          <w:i/>
        </w:rPr>
        <w:t xml:space="preserve">Wales Between </w:t>
      </w:r>
      <w:proofErr w:type="gramStart"/>
      <w:r w:rsidR="00D5320B" w:rsidRPr="00D5320B">
        <w:rPr>
          <w:i/>
        </w:rPr>
        <w:t>The</w:t>
      </w:r>
      <w:proofErr w:type="gramEnd"/>
      <w:r w:rsidR="00D5320B" w:rsidRPr="00D5320B">
        <w:rPr>
          <w:i/>
        </w:rPr>
        <w:t xml:space="preserve"> Wars</w:t>
      </w:r>
      <w:r w:rsidR="00D5320B">
        <w:rPr>
          <w:i/>
        </w:rPr>
        <w:t xml:space="preserve">, </w:t>
      </w:r>
      <w:r w:rsidR="00CB779A">
        <w:t>e. by Trevor Herbert</w:t>
      </w:r>
      <w:r w:rsidR="00435A56">
        <w:t>. P. 30</w:t>
      </w:r>
    </w:p>
  </w:footnote>
  <w:footnote w:id="36">
    <w:p w14:paraId="699919A5" w14:textId="2B38B6AC" w:rsidR="00091280" w:rsidRPr="001D3789" w:rsidRDefault="00091280">
      <w:pPr>
        <w:pStyle w:val="FootnoteText"/>
      </w:pPr>
      <w:r>
        <w:rPr>
          <w:rStyle w:val="FootnoteReference"/>
        </w:rPr>
        <w:footnoteRef/>
      </w:r>
      <w:r>
        <w:t xml:space="preserve"> </w:t>
      </w:r>
      <w:r w:rsidR="000731F7">
        <w:t xml:space="preserve">Phil </w:t>
      </w:r>
      <w:proofErr w:type="spellStart"/>
      <w:r w:rsidR="000731F7">
        <w:t>Carradice</w:t>
      </w:r>
      <w:proofErr w:type="spellEnd"/>
      <w:r w:rsidR="000731F7">
        <w:t xml:space="preserve">, </w:t>
      </w:r>
      <w:r w:rsidR="000731F7">
        <w:rPr>
          <w:i/>
        </w:rPr>
        <w:t>Wales at War</w:t>
      </w:r>
      <w:r w:rsidR="001D3789">
        <w:rPr>
          <w:i/>
        </w:rPr>
        <w:t xml:space="preserve"> </w:t>
      </w:r>
      <w:r w:rsidR="001D3789">
        <w:t>(</w:t>
      </w:r>
      <w:proofErr w:type="spellStart"/>
      <w:proofErr w:type="gramStart"/>
      <w:r w:rsidR="001D3789">
        <w:t>Ceridigion</w:t>
      </w:r>
      <w:proofErr w:type="spellEnd"/>
      <w:r w:rsidR="001D3789">
        <w:t xml:space="preserve"> :</w:t>
      </w:r>
      <w:proofErr w:type="gramEnd"/>
      <w:r w:rsidR="001D3789">
        <w:t xml:space="preserve"> Gomer P</w:t>
      </w:r>
      <w:r w:rsidR="009F58B3">
        <w:t>ress, 2003) p.78</w:t>
      </w:r>
    </w:p>
  </w:footnote>
  <w:footnote w:id="37">
    <w:p w14:paraId="6E9B7A2E" w14:textId="03D7C381" w:rsidR="00C52BF4" w:rsidRPr="00042C25" w:rsidRDefault="00C52BF4">
      <w:pPr>
        <w:pStyle w:val="FootnoteText"/>
      </w:pPr>
      <w:r>
        <w:rPr>
          <w:rStyle w:val="FootnoteReference"/>
        </w:rPr>
        <w:footnoteRef/>
      </w:r>
      <w:r>
        <w:t xml:space="preserve"> </w:t>
      </w:r>
      <w:bookmarkStart w:id="4" w:name="_Hlk536810838"/>
      <w:r>
        <w:t xml:space="preserve">Phil </w:t>
      </w:r>
      <w:proofErr w:type="spellStart"/>
      <w:r>
        <w:t>Carradice</w:t>
      </w:r>
      <w:proofErr w:type="spellEnd"/>
      <w:r>
        <w:t xml:space="preserve">, </w:t>
      </w:r>
      <w:r>
        <w:rPr>
          <w:i/>
        </w:rPr>
        <w:t>Wales</w:t>
      </w:r>
      <w:r w:rsidR="00042C25">
        <w:rPr>
          <w:i/>
        </w:rPr>
        <w:t xml:space="preserve"> at War, </w:t>
      </w:r>
      <w:r w:rsidR="00042C25">
        <w:t>p.78</w:t>
      </w:r>
      <w:bookmarkEnd w:id="4"/>
    </w:p>
  </w:footnote>
  <w:footnote w:id="38">
    <w:p w14:paraId="6AD25A74" w14:textId="2FCDDEAC" w:rsidR="00746800" w:rsidRDefault="00746800">
      <w:pPr>
        <w:pStyle w:val="FootnoteText"/>
      </w:pPr>
      <w:r>
        <w:rPr>
          <w:rStyle w:val="FootnoteReference"/>
        </w:rPr>
        <w:footnoteRef/>
      </w:r>
      <w:r>
        <w:t xml:space="preserve"> </w:t>
      </w:r>
      <w:r w:rsidR="00E3189C">
        <w:t xml:space="preserve">Phil </w:t>
      </w:r>
      <w:proofErr w:type="spellStart"/>
      <w:r w:rsidR="00E3189C">
        <w:t>Carradice</w:t>
      </w:r>
      <w:proofErr w:type="spellEnd"/>
      <w:r w:rsidR="00E3189C">
        <w:t xml:space="preserve">, </w:t>
      </w:r>
      <w:r w:rsidR="00E3189C">
        <w:rPr>
          <w:i/>
        </w:rPr>
        <w:t xml:space="preserve">Wales at War, </w:t>
      </w:r>
      <w:r w:rsidR="00E3189C">
        <w:t>p.78</w:t>
      </w:r>
    </w:p>
  </w:footnote>
  <w:footnote w:id="39">
    <w:p w14:paraId="18CFFC1A" w14:textId="59A0A1C1" w:rsidR="00E3189C" w:rsidRDefault="00E3189C">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p.7</w:t>
      </w:r>
      <w:r w:rsidR="00A26093">
        <w:t>9</w:t>
      </w:r>
    </w:p>
  </w:footnote>
  <w:footnote w:id="40">
    <w:p w14:paraId="45015460" w14:textId="0100F921" w:rsidR="00A26093" w:rsidRDefault="00A26093">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p.7</w:t>
      </w:r>
      <w:r>
        <w:t>9</w:t>
      </w:r>
    </w:p>
  </w:footnote>
  <w:footnote w:id="41">
    <w:p w14:paraId="6BF87157" w14:textId="15F6C514" w:rsidR="00E77B3B" w:rsidRDefault="00E77B3B">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w:t>
      </w:r>
      <w:r>
        <w:t>p.80.81</w:t>
      </w:r>
    </w:p>
  </w:footnote>
  <w:footnote w:id="42">
    <w:p w14:paraId="7EC23FAE" w14:textId="6095EACC" w:rsidR="00EB21C5" w:rsidRDefault="00EB21C5">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w:t>
      </w:r>
      <w:r>
        <w:t>81</w:t>
      </w:r>
    </w:p>
  </w:footnote>
  <w:footnote w:id="43">
    <w:p w14:paraId="763567D2" w14:textId="418501F1" w:rsidR="00C20E11" w:rsidRDefault="00C20E11">
      <w:pPr>
        <w:pStyle w:val="FootnoteText"/>
      </w:pPr>
      <w:r>
        <w:rPr>
          <w:rStyle w:val="FootnoteReference"/>
        </w:rPr>
        <w:footnoteRef/>
      </w:r>
      <w:r>
        <w:t xml:space="preserve"> </w:t>
      </w:r>
      <w:bookmarkStart w:id="5" w:name="_Hlk536813185"/>
      <w:r>
        <w:t xml:space="preserve">Phil </w:t>
      </w:r>
      <w:proofErr w:type="spellStart"/>
      <w:r>
        <w:t>Carradice</w:t>
      </w:r>
      <w:proofErr w:type="spellEnd"/>
      <w:r>
        <w:t xml:space="preserve">, </w:t>
      </w:r>
      <w:r>
        <w:rPr>
          <w:i/>
        </w:rPr>
        <w:t xml:space="preserve">Wales at War, </w:t>
      </w:r>
      <w:r>
        <w:t>p.</w:t>
      </w:r>
      <w:r>
        <w:t>81</w:t>
      </w:r>
      <w:bookmarkEnd w:id="5"/>
    </w:p>
  </w:footnote>
  <w:footnote w:id="44">
    <w:p w14:paraId="3CBAD457" w14:textId="03EE85FB" w:rsidR="00616F09" w:rsidRDefault="00616F09">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p.8</w:t>
      </w:r>
      <w:r>
        <w:t>4</w:t>
      </w:r>
    </w:p>
  </w:footnote>
  <w:footnote w:id="45">
    <w:p w14:paraId="3270B06A" w14:textId="0E85023B" w:rsidR="001C2765" w:rsidRDefault="001C2765">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p.8</w:t>
      </w:r>
      <w:r>
        <w:t>4</w:t>
      </w:r>
    </w:p>
  </w:footnote>
  <w:footnote w:id="46">
    <w:p w14:paraId="40ADDA17" w14:textId="554F2D71" w:rsidR="00E17BA1" w:rsidRDefault="00E17BA1">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p.8</w:t>
      </w:r>
      <w:r w:rsidR="005E4F9C">
        <w:t>7</w:t>
      </w:r>
    </w:p>
  </w:footnote>
  <w:footnote w:id="47">
    <w:p w14:paraId="208E440A" w14:textId="303665C6" w:rsidR="00753770" w:rsidRDefault="00753770">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p.8</w:t>
      </w:r>
      <w:r>
        <w:t>4</w:t>
      </w:r>
    </w:p>
  </w:footnote>
  <w:footnote w:id="48">
    <w:p w14:paraId="260A2C72" w14:textId="4D09B2D4" w:rsidR="00FE61B9" w:rsidRDefault="00FE61B9">
      <w:pPr>
        <w:pStyle w:val="FootnoteText"/>
      </w:pPr>
      <w:r>
        <w:rPr>
          <w:rStyle w:val="FootnoteReference"/>
        </w:rPr>
        <w:footnoteRef/>
      </w:r>
      <w:r>
        <w:t xml:space="preserve"> </w:t>
      </w:r>
      <w:r>
        <w:t xml:space="preserve">Phil </w:t>
      </w:r>
      <w:proofErr w:type="spellStart"/>
      <w:r>
        <w:t>Carradice</w:t>
      </w:r>
      <w:proofErr w:type="spellEnd"/>
      <w:r>
        <w:t xml:space="preserve">, </w:t>
      </w:r>
      <w:r>
        <w:rPr>
          <w:i/>
        </w:rPr>
        <w:t xml:space="preserve">Wales at War, </w:t>
      </w:r>
      <w:r>
        <w:t>p</w:t>
      </w:r>
      <w:r>
        <w:t xml:space="preserve">p. </w:t>
      </w:r>
      <w:r w:rsidR="00B242B2">
        <w:t>93-98</w:t>
      </w:r>
    </w:p>
  </w:footnote>
  <w:footnote w:id="49">
    <w:p w14:paraId="08A9AA32" w14:textId="541B5000" w:rsidR="00B83B08" w:rsidRPr="00730996" w:rsidRDefault="00B83B08">
      <w:pPr>
        <w:pStyle w:val="FootnoteText"/>
      </w:pPr>
      <w:r>
        <w:rPr>
          <w:rStyle w:val="FootnoteReference"/>
        </w:rPr>
        <w:footnoteRef/>
      </w:r>
      <w:r>
        <w:t xml:space="preserve"> </w:t>
      </w:r>
      <w:r w:rsidR="00F263BC" w:rsidRPr="00730996">
        <w:rPr>
          <w:i/>
        </w:rPr>
        <w:t>Annual Review of Economic and Social Research</w:t>
      </w:r>
      <w:r w:rsidR="00730996" w:rsidRPr="00730996">
        <w:rPr>
          <w:i/>
        </w:rPr>
        <w:t>: Contemporary Wales</w:t>
      </w:r>
      <w:r w:rsidR="00730996">
        <w:rPr>
          <w:i/>
        </w:rPr>
        <w:t xml:space="preserve">, </w:t>
      </w:r>
      <w:r w:rsidR="00F36DD6">
        <w:t>ed. by Graham Day, Gareth Rees (</w:t>
      </w:r>
      <w:proofErr w:type="gramStart"/>
      <w:r w:rsidR="00D50653">
        <w:t>Cardiff :</w:t>
      </w:r>
      <w:proofErr w:type="gramEnd"/>
      <w:r w:rsidR="00D50653">
        <w:t xml:space="preserve"> University of Wales Press, 1987) p. 55</w:t>
      </w:r>
    </w:p>
  </w:footnote>
  <w:footnote w:id="50">
    <w:p w14:paraId="0E440975" w14:textId="7D04CB75" w:rsidR="004D7B28" w:rsidRDefault="004D7B28">
      <w:pPr>
        <w:pStyle w:val="FootnoteText"/>
      </w:pPr>
      <w:r>
        <w:rPr>
          <w:rStyle w:val="FootnoteReference"/>
        </w:rPr>
        <w:footnoteRef/>
      </w:r>
      <w:r>
        <w:t xml:space="preserve"> </w:t>
      </w:r>
      <w:r w:rsidR="00573D52">
        <w:rPr>
          <w:i/>
        </w:rPr>
        <w:t>Wales Be</w:t>
      </w:r>
      <w:r w:rsidR="002A589D" w:rsidRPr="00D5320B">
        <w:rPr>
          <w:i/>
        </w:rPr>
        <w:t xml:space="preserve">tween </w:t>
      </w:r>
      <w:proofErr w:type="gramStart"/>
      <w:r w:rsidR="002A589D" w:rsidRPr="00D5320B">
        <w:rPr>
          <w:i/>
        </w:rPr>
        <w:t>The</w:t>
      </w:r>
      <w:proofErr w:type="gramEnd"/>
      <w:r w:rsidR="002A589D" w:rsidRPr="00D5320B">
        <w:rPr>
          <w:i/>
        </w:rPr>
        <w:t xml:space="preserve"> Wars</w:t>
      </w:r>
      <w:r w:rsidR="002A589D">
        <w:rPr>
          <w:i/>
        </w:rPr>
        <w:t xml:space="preserve">, </w:t>
      </w:r>
      <w:r w:rsidR="002A589D">
        <w:t>e. by Trevor Herbert</w:t>
      </w:r>
      <w:r w:rsidR="00435A56">
        <w:t>. P.31</w:t>
      </w:r>
    </w:p>
  </w:footnote>
  <w:footnote w:id="51">
    <w:p w14:paraId="7E64E39C" w14:textId="703A7FA1" w:rsidR="0042369B" w:rsidRDefault="0042369B">
      <w:pPr>
        <w:pStyle w:val="FootnoteText"/>
      </w:pPr>
      <w:r>
        <w:rPr>
          <w:rStyle w:val="FootnoteReference"/>
        </w:rPr>
        <w:footnoteRef/>
      </w:r>
      <w:r>
        <w:t xml:space="preserve"> </w:t>
      </w:r>
      <w:r w:rsidRPr="00D5320B">
        <w:rPr>
          <w:i/>
        </w:rPr>
        <w:t xml:space="preserve">Wales Between </w:t>
      </w:r>
      <w:proofErr w:type="gramStart"/>
      <w:r w:rsidRPr="00D5320B">
        <w:rPr>
          <w:i/>
        </w:rPr>
        <w:t>The</w:t>
      </w:r>
      <w:proofErr w:type="gramEnd"/>
      <w:r w:rsidRPr="00D5320B">
        <w:rPr>
          <w:i/>
        </w:rPr>
        <w:t xml:space="preserve"> Wars</w:t>
      </w:r>
      <w:r>
        <w:rPr>
          <w:i/>
        </w:rPr>
        <w:t xml:space="preserve">, </w:t>
      </w:r>
      <w:r>
        <w:t>e. by Trevor Herbert</w:t>
      </w:r>
      <w:r w:rsidR="00435A56">
        <w:t>. P.31</w:t>
      </w:r>
    </w:p>
  </w:footnote>
  <w:footnote w:id="52">
    <w:p w14:paraId="14C32220" w14:textId="7955BBEE" w:rsidR="00A65A22" w:rsidRDefault="00A65A22">
      <w:pPr>
        <w:pStyle w:val="FootnoteText"/>
      </w:pPr>
      <w:r>
        <w:rPr>
          <w:rStyle w:val="FootnoteReference"/>
        </w:rPr>
        <w:footnoteRef/>
      </w:r>
      <w:r>
        <w:t xml:space="preserve"> </w:t>
      </w:r>
      <w:r w:rsidRPr="00D5320B">
        <w:rPr>
          <w:i/>
        </w:rPr>
        <w:t xml:space="preserve">Wales Between </w:t>
      </w:r>
      <w:proofErr w:type="gramStart"/>
      <w:r w:rsidRPr="00D5320B">
        <w:rPr>
          <w:i/>
        </w:rPr>
        <w:t>The</w:t>
      </w:r>
      <w:proofErr w:type="gramEnd"/>
      <w:r w:rsidRPr="00D5320B">
        <w:rPr>
          <w:i/>
        </w:rPr>
        <w:t xml:space="preserve"> Wars</w:t>
      </w:r>
      <w:r>
        <w:rPr>
          <w:i/>
        </w:rPr>
        <w:t xml:space="preserve">, </w:t>
      </w:r>
      <w:r>
        <w:t>e. by Trevor Herbert</w:t>
      </w:r>
      <w:r w:rsidR="00435A56">
        <w:t>. P.31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3404C"/>
    <w:multiLevelType w:val="hybridMultilevel"/>
    <w:tmpl w:val="C0AAF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27FB1"/>
    <w:multiLevelType w:val="hybridMultilevel"/>
    <w:tmpl w:val="C9520964"/>
    <w:lvl w:ilvl="0" w:tplc="B4021FF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A5211"/>
    <w:multiLevelType w:val="hybridMultilevel"/>
    <w:tmpl w:val="2278A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B1D41"/>
    <w:multiLevelType w:val="hybridMultilevel"/>
    <w:tmpl w:val="EB060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4621F"/>
    <w:multiLevelType w:val="hybridMultilevel"/>
    <w:tmpl w:val="56C08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8FA"/>
    <w:rsid w:val="00003CFB"/>
    <w:rsid w:val="00011541"/>
    <w:rsid w:val="00042C25"/>
    <w:rsid w:val="00045B93"/>
    <w:rsid w:val="000504DF"/>
    <w:rsid w:val="0007072A"/>
    <w:rsid w:val="000714F1"/>
    <w:rsid w:val="000731F7"/>
    <w:rsid w:val="00082680"/>
    <w:rsid w:val="00091280"/>
    <w:rsid w:val="00091423"/>
    <w:rsid w:val="000A28E5"/>
    <w:rsid w:val="000A5ED1"/>
    <w:rsid w:val="000B3CFF"/>
    <w:rsid w:val="000B5493"/>
    <w:rsid w:val="000C1F15"/>
    <w:rsid w:val="000C36A0"/>
    <w:rsid w:val="000C68C1"/>
    <w:rsid w:val="000E381F"/>
    <w:rsid w:val="000E3A9F"/>
    <w:rsid w:val="000F2C8C"/>
    <w:rsid w:val="001231EB"/>
    <w:rsid w:val="001347A8"/>
    <w:rsid w:val="00151E75"/>
    <w:rsid w:val="00152984"/>
    <w:rsid w:val="0019088B"/>
    <w:rsid w:val="00191CD7"/>
    <w:rsid w:val="001A264C"/>
    <w:rsid w:val="001A2663"/>
    <w:rsid w:val="001A270B"/>
    <w:rsid w:val="001A2C00"/>
    <w:rsid w:val="001A5DC4"/>
    <w:rsid w:val="001C2765"/>
    <w:rsid w:val="001C3128"/>
    <w:rsid w:val="001C72DA"/>
    <w:rsid w:val="001D3789"/>
    <w:rsid w:val="001E1FE4"/>
    <w:rsid w:val="001F57F4"/>
    <w:rsid w:val="001F6D1C"/>
    <w:rsid w:val="002110AF"/>
    <w:rsid w:val="00217ACA"/>
    <w:rsid w:val="00220D3C"/>
    <w:rsid w:val="00222F59"/>
    <w:rsid w:val="00226C95"/>
    <w:rsid w:val="002308FA"/>
    <w:rsid w:val="00237E22"/>
    <w:rsid w:val="00250258"/>
    <w:rsid w:val="00256A85"/>
    <w:rsid w:val="00280730"/>
    <w:rsid w:val="00282F54"/>
    <w:rsid w:val="00296F3A"/>
    <w:rsid w:val="002A589D"/>
    <w:rsid w:val="002B4717"/>
    <w:rsid w:val="002B67BE"/>
    <w:rsid w:val="002C5560"/>
    <w:rsid w:val="002D1578"/>
    <w:rsid w:val="002D7825"/>
    <w:rsid w:val="002F036E"/>
    <w:rsid w:val="002F7144"/>
    <w:rsid w:val="0030772F"/>
    <w:rsid w:val="00313291"/>
    <w:rsid w:val="003253D6"/>
    <w:rsid w:val="003306EC"/>
    <w:rsid w:val="0036412D"/>
    <w:rsid w:val="00364BDD"/>
    <w:rsid w:val="00370D4D"/>
    <w:rsid w:val="00371619"/>
    <w:rsid w:val="00371FBF"/>
    <w:rsid w:val="0038457F"/>
    <w:rsid w:val="0038782A"/>
    <w:rsid w:val="00390947"/>
    <w:rsid w:val="00391174"/>
    <w:rsid w:val="00396BE4"/>
    <w:rsid w:val="003B151F"/>
    <w:rsid w:val="003C0DB4"/>
    <w:rsid w:val="003D741C"/>
    <w:rsid w:val="003E3797"/>
    <w:rsid w:val="003E5C96"/>
    <w:rsid w:val="003E7CE6"/>
    <w:rsid w:val="003F174B"/>
    <w:rsid w:val="003F1E34"/>
    <w:rsid w:val="00400FFC"/>
    <w:rsid w:val="004047B0"/>
    <w:rsid w:val="0042369B"/>
    <w:rsid w:val="00435A56"/>
    <w:rsid w:val="00443EEE"/>
    <w:rsid w:val="00453EA1"/>
    <w:rsid w:val="004601ED"/>
    <w:rsid w:val="00461798"/>
    <w:rsid w:val="00462876"/>
    <w:rsid w:val="00471A9E"/>
    <w:rsid w:val="004863C8"/>
    <w:rsid w:val="004900AB"/>
    <w:rsid w:val="00494DAD"/>
    <w:rsid w:val="00497D93"/>
    <w:rsid w:val="004A1235"/>
    <w:rsid w:val="004C48ED"/>
    <w:rsid w:val="004D7B28"/>
    <w:rsid w:val="004E31BE"/>
    <w:rsid w:val="004E553C"/>
    <w:rsid w:val="004F3D08"/>
    <w:rsid w:val="00507857"/>
    <w:rsid w:val="005141D8"/>
    <w:rsid w:val="00517C9E"/>
    <w:rsid w:val="00520B69"/>
    <w:rsid w:val="005229E2"/>
    <w:rsid w:val="00524C1F"/>
    <w:rsid w:val="00531325"/>
    <w:rsid w:val="00537327"/>
    <w:rsid w:val="00545F01"/>
    <w:rsid w:val="005548B0"/>
    <w:rsid w:val="00557391"/>
    <w:rsid w:val="00573D52"/>
    <w:rsid w:val="00582451"/>
    <w:rsid w:val="00597EDE"/>
    <w:rsid w:val="005A0BCF"/>
    <w:rsid w:val="005C6247"/>
    <w:rsid w:val="005D2105"/>
    <w:rsid w:val="005E01C0"/>
    <w:rsid w:val="005E144B"/>
    <w:rsid w:val="005E472C"/>
    <w:rsid w:val="005E4F9C"/>
    <w:rsid w:val="005E5F6C"/>
    <w:rsid w:val="005F267F"/>
    <w:rsid w:val="005F3727"/>
    <w:rsid w:val="0060333C"/>
    <w:rsid w:val="00606DBE"/>
    <w:rsid w:val="00614BEE"/>
    <w:rsid w:val="00616F09"/>
    <w:rsid w:val="00624D87"/>
    <w:rsid w:val="00633ACC"/>
    <w:rsid w:val="006371AB"/>
    <w:rsid w:val="00642A46"/>
    <w:rsid w:val="006643E2"/>
    <w:rsid w:val="006702AA"/>
    <w:rsid w:val="00676785"/>
    <w:rsid w:val="0068172F"/>
    <w:rsid w:val="00681842"/>
    <w:rsid w:val="006A345D"/>
    <w:rsid w:val="006A428B"/>
    <w:rsid w:val="006A7626"/>
    <w:rsid w:val="006B226F"/>
    <w:rsid w:val="006C4FE8"/>
    <w:rsid w:val="006D3295"/>
    <w:rsid w:val="006E400F"/>
    <w:rsid w:val="006E503A"/>
    <w:rsid w:val="006F28F1"/>
    <w:rsid w:val="00702347"/>
    <w:rsid w:val="007105FA"/>
    <w:rsid w:val="0071606C"/>
    <w:rsid w:val="00723FEB"/>
    <w:rsid w:val="007251E6"/>
    <w:rsid w:val="00730996"/>
    <w:rsid w:val="00732A29"/>
    <w:rsid w:val="0073387B"/>
    <w:rsid w:val="00734E89"/>
    <w:rsid w:val="007418B3"/>
    <w:rsid w:val="00746800"/>
    <w:rsid w:val="00753770"/>
    <w:rsid w:val="007554A7"/>
    <w:rsid w:val="00755CDC"/>
    <w:rsid w:val="007653D8"/>
    <w:rsid w:val="00771B5D"/>
    <w:rsid w:val="00774B52"/>
    <w:rsid w:val="00790F35"/>
    <w:rsid w:val="007B07CA"/>
    <w:rsid w:val="007B7699"/>
    <w:rsid w:val="007B7CE2"/>
    <w:rsid w:val="007C0667"/>
    <w:rsid w:val="007D0A22"/>
    <w:rsid w:val="007D2686"/>
    <w:rsid w:val="007D5D28"/>
    <w:rsid w:val="007E1AF3"/>
    <w:rsid w:val="007E4E4B"/>
    <w:rsid w:val="007F0D53"/>
    <w:rsid w:val="008004FD"/>
    <w:rsid w:val="00800FD0"/>
    <w:rsid w:val="0080688B"/>
    <w:rsid w:val="00807798"/>
    <w:rsid w:val="0081394D"/>
    <w:rsid w:val="00816926"/>
    <w:rsid w:val="008207D3"/>
    <w:rsid w:val="00822FDD"/>
    <w:rsid w:val="00824F47"/>
    <w:rsid w:val="00826EE2"/>
    <w:rsid w:val="008273E9"/>
    <w:rsid w:val="008312F7"/>
    <w:rsid w:val="00841E08"/>
    <w:rsid w:val="00844C45"/>
    <w:rsid w:val="0084524F"/>
    <w:rsid w:val="008469E2"/>
    <w:rsid w:val="00856E80"/>
    <w:rsid w:val="00864BAE"/>
    <w:rsid w:val="00867F1C"/>
    <w:rsid w:val="00871DD6"/>
    <w:rsid w:val="0087797C"/>
    <w:rsid w:val="00880DCB"/>
    <w:rsid w:val="008821C0"/>
    <w:rsid w:val="00882505"/>
    <w:rsid w:val="0088572C"/>
    <w:rsid w:val="00886CF4"/>
    <w:rsid w:val="00892956"/>
    <w:rsid w:val="0089338C"/>
    <w:rsid w:val="00894C08"/>
    <w:rsid w:val="008A02B8"/>
    <w:rsid w:val="008B3F94"/>
    <w:rsid w:val="008C0200"/>
    <w:rsid w:val="008C5005"/>
    <w:rsid w:val="008C60DE"/>
    <w:rsid w:val="008E1EA3"/>
    <w:rsid w:val="008E6DEA"/>
    <w:rsid w:val="008F402E"/>
    <w:rsid w:val="00905E45"/>
    <w:rsid w:val="00912656"/>
    <w:rsid w:val="00916202"/>
    <w:rsid w:val="00922E97"/>
    <w:rsid w:val="009249BE"/>
    <w:rsid w:val="00924B80"/>
    <w:rsid w:val="0092794C"/>
    <w:rsid w:val="00927AFE"/>
    <w:rsid w:val="009316F7"/>
    <w:rsid w:val="009339F6"/>
    <w:rsid w:val="009374B2"/>
    <w:rsid w:val="00953E97"/>
    <w:rsid w:val="009625D6"/>
    <w:rsid w:val="00993C08"/>
    <w:rsid w:val="009A414B"/>
    <w:rsid w:val="009A5104"/>
    <w:rsid w:val="009B2961"/>
    <w:rsid w:val="009B62E5"/>
    <w:rsid w:val="009C586C"/>
    <w:rsid w:val="009E22D9"/>
    <w:rsid w:val="009E25CB"/>
    <w:rsid w:val="009E3E9F"/>
    <w:rsid w:val="009F2E53"/>
    <w:rsid w:val="009F41D4"/>
    <w:rsid w:val="009F58B3"/>
    <w:rsid w:val="00A0534F"/>
    <w:rsid w:val="00A26093"/>
    <w:rsid w:val="00A31419"/>
    <w:rsid w:val="00A4591A"/>
    <w:rsid w:val="00A615CD"/>
    <w:rsid w:val="00A63D0E"/>
    <w:rsid w:val="00A65A22"/>
    <w:rsid w:val="00A666FA"/>
    <w:rsid w:val="00A66BBB"/>
    <w:rsid w:val="00A70BE9"/>
    <w:rsid w:val="00A72538"/>
    <w:rsid w:val="00A801A4"/>
    <w:rsid w:val="00A83015"/>
    <w:rsid w:val="00AA4BD3"/>
    <w:rsid w:val="00AB25C5"/>
    <w:rsid w:val="00AB35EC"/>
    <w:rsid w:val="00AB567F"/>
    <w:rsid w:val="00AB7A3A"/>
    <w:rsid w:val="00AD5467"/>
    <w:rsid w:val="00AF23A7"/>
    <w:rsid w:val="00AF4884"/>
    <w:rsid w:val="00B007BC"/>
    <w:rsid w:val="00B0372D"/>
    <w:rsid w:val="00B14DE4"/>
    <w:rsid w:val="00B242B2"/>
    <w:rsid w:val="00B26D1F"/>
    <w:rsid w:val="00B47F07"/>
    <w:rsid w:val="00B72CA5"/>
    <w:rsid w:val="00B73815"/>
    <w:rsid w:val="00B80A72"/>
    <w:rsid w:val="00B8142D"/>
    <w:rsid w:val="00B826CC"/>
    <w:rsid w:val="00B83B08"/>
    <w:rsid w:val="00B95C5A"/>
    <w:rsid w:val="00BA1E00"/>
    <w:rsid w:val="00BA2942"/>
    <w:rsid w:val="00BA3AC3"/>
    <w:rsid w:val="00BB28ED"/>
    <w:rsid w:val="00BB3081"/>
    <w:rsid w:val="00BC1B98"/>
    <w:rsid w:val="00BC63B2"/>
    <w:rsid w:val="00BE302D"/>
    <w:rsid w:val="00BE4E62"/>
    <w:rsid w:val="00C00AE5"/>
    <w:rsid w:val="00C05DBC"/>
    <w:rsid w:val="00C071E1"/>
    <w:rsid w:val="00C1455C"/>
    <w:rsid w:val="00C20E11"/>
    <w:rsid w:val="00C24E7F"/>
    <w:rsid w:val="00C2533D"/>
    <w:rsid w:val="00C51331"/>
    <w:rsid w:val="00C52BF4"/>
    <w:rsid w:val="00C534E6"/>
    <w:rsid w:val="00C65A69"/>
    <w:rsid w:val="00C871C7"/>
    <w:rsid w:val="00C87B39"/>
    <w:rsid w:val="00C933C0"/>
    <w:rsid w:val="00C94A26"/>
    <w:rsid w:val="00C96E68"/>
    <w:rsid w:val="00CA0EB6"/>
    <w:rsid w:val="00CA78E2"/>
    <w:rsid w:val="00CB38E7"/>
    <w:rsid w:val="00CB6F89"/>
    <w:rsid w:val="00CB779A"/>
    <w:rsid w:val="00CD2F2A"/>
    <w:rsid w:val="00CD50AF"/>
    <w:rsid w:val="00CE20FA"/>
    <w:rsid w:val="00CE28F4"/>
    <w:rsid w:val="00CF0BC8"/>
    <w:rsid w:val="00D07733"/>
    <w:rsid w:val="00D156F8"/>
    <w:rsid w:val="00D2367E"/>
    <w:rsid w:val="00D23A1A"/>
    <w:rsid w:val="00D25DE7"/>
    <w:rsid w:val="00D34BD8"/>
    <w:rsid w:val="00D46640"/>
    <w:rsid w:val="00D467F2"/>
    <w:rsid w:val="00D50653"/>
    <w:rsid w:val="00D50863"/>
    <w:rsid w:val="00D5320B"/>
    <w:rsid w:val="00D623E1"/>
    <w:rsid w:val="00D633C8"/>
    <w:rsid w:val="00D64C92"/>
    <w:rsid w:val="00D779B8"/>
    <w:rsid w:val="00D86054"/>
    <w:rsid w:val="00D90CE8"/>
    <w:rsid w:val="00D94176"/>
    <w:rsid w:val="00DA332D"/>
    <w:rsid w:val="00DA5DFD"/>
    <w:rsid w:val="00DB3381"/>
    <w:rsid w:val="00DC3F14"/>
    <w:rsid w:val="00DD1828"/>
    <w:rsid w:val="00DE6821"/>
    <w:rsid w:val="00E01EFA"/>
    <w:rsid w:val="00E04504"/>
    <w:rsid w:val="00E1076D"/>
    <w:rsid w:val="00E17BA1"/>
    <w:rsid w:val="00E2116A"/>
    <w:rsid w:val="00E2781B"/>
    <w:rsid w:val="00E3189C"/>
    <w:rsid w:val="00E41F1D"/>
    <w:rsid w:val="00E5416B"/>
    <w:rsid w:val="00E56207"/>
    <w:rsid w:val="00E77B3B"/>
    <w:rsid w:val="00E847BE"/>
    <w:rsid w:val="00E9356A"/>
    <w:rsid w:val="00E94BF1"/>
    <w:rsid w:val="00EA47E9"/>
    <w:rsid w:val="00EA52F6"/>
    <w:rsid w:val="00EB21C5"/>
    <w:rsid w:val="00EC4662"/>
    <w:rsid w:val="00ED02CD"/>
    <w:rsid w:val="00ED1EE9"/>
    <w:rsid w:val="00ED3C8B"/>
    <w:rsid w:val="00ED59F6"/>
    <w:rsid w:val="00EF0A28"/>
    <w:rsid w:val="00EF5DE4"/>
    <w:rsid w:val="00F052E3"/>
    <w:rsid w:val="00F116A3"/>
    <w:rsid w:val="00F2379C"/>
    <w:rsid w:val="00F263BC"/>
    <w:rsid w:val="00F36DD6"/>
    <w:rsid w:val="00F37C37"/>
    <w:rsid w:val="00F5149E"/>
    <w:rsid w:val="00F52443"/>
    <w:rsid w:val="00F60978"/>
    <w:rsid w:val="00F700E7"/>
    <w:rsid w:val="00F80429"/>
    <w:rsid w:val="00F8111B"/>
    <w:rsid w:val="00FB2527"/>
    <w:rsid w:val="00FC3965"/>
    <w:rsid w:val="00FC6262"/>
    <w:rsid w:val="00FD3ACA"/>
    <w:rsid w:val="00FE5B13"/>
    <w:rsid w:val="00FE61B9"/>
    <w:rsid w:val="00FE6E1A"/>
    <w:rsid w:val="00FE75D0"/>
    <w:rsid w:val="00FF204E"/>
    <w:rsid w:val="00FF416B"/>
    <w:rsid w:val="00FF6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FD91F"/>
  <w15:chartTrackingRefBased/>
  <w15:docId w15:val="{EFC2615F-42CF-4B14-B769-10E8FD417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B93"/>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EF5D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5DE4"/>
    <w:rPr>
      <w:sz w:val="20"/>
      <w:szCs w:val="20"/>
    </w:rPr>
  </w:style>
  <w:style w:type="character" w:styleId="FootnoteReference">
    <w:name w:val="footnote reference"/>
    <w:basedOn w:val="DefaultParagraphFont"/>
    <w:uiPriority w:val="99"/>
    <w:semiHidden/>
    <w:unhideWhenUsed/>
    <w:rsid w:val="00EF5DE4"/>
    <w:rPr>
      <w:vertAlign w:val="superscript"/>
    </w:rPr>
  </w:style>
  <w:style w:type="character" w:styleId="Hyperlink">
    <w:name w:val="Hyperlink"/>
    <w:basedOn w:val="DefaultParagraphFont"/>
    <w:uiPriority w:val="99"/>
    <w:unhideWhenUsed/>
    <w:rsid w:val="00F5149E"/>
    <w:rPr>
      <w:color w:val="0563C1" w:themeColor="hyperlink"/>
      <w:u w:val="single"/>
    </w:rPr>
  </w:style>
  <w:style w:type="character" w:styleId="UnresolvedMention">
    <w:name w:val="Unresolved Mention"/>
    <w:basedOn w:val="DefaultParagraphFont"/>
    <w:uiPriority w:val="99"/>
    <w:semiHidden/>
    <w:unhideWhenUsed/>
    <w:rsid w:val="00F5149E"/>
    <w:rPr>
      <w:color w:val="605E5C"/>
      <w:shd w:val="clear" w:color="auto" w:fill="E1DFDD"/>
    </w:rPr>
  </w:style>
  <w:style w:type="paragraph" w:styleId="IntenseQuote">
    <w:name w:val="Intense Quote"/>
    <w:basedOn w:val="Normal"/>
    <w:next w:val="Normal"/>
    <w:link w:val="IntenseQuoteChar"/>
    <w:uiPriority w:val="30"/>
    <w:qFormat/>
    <w:rsid w:val="00771B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71B5D"/>
    <w:rPr>
      <w:i/>
      <w:iCs/>
      <w:color w:val="4472C4" w:themeColor="accent1"/>
    </w:rPr>
  </w:style>
  <w:style w:type="table" w:styleId="TableGrid">
    <w:name w:val="Table Grid"/>
    <w:basedOn w:val="TableNormal"/>
    <w:uiPriority w:val="39"/>
    <w:rsid w:val="00924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38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8" Type="http://schemas.openxmlformats.org/officeDocument/2006/relationships/hyperlink" Target="https://www.open.edu/openlearn/people-politics-law/politics-policy-people/sociology/contemporary-wales/content-section-4.2" TargetMode="External"/><Relationship Id="rId3" Type="http://schemas.openxmlformats.org/officeDocument/2006/relationships/hyperlink" Target="https://www.walesonline.co.uk/lifestyle/lifestyle-opinion/role-welsh-women-diverse-history-12416820" TargetMode="External"/><Relationship Id="rId7" Type="http://schemas.openxmlformats.org/officeDocument/2006/relationships/hyperlink" Target="https://orca.cf.ac.uk/97598/1/2017jenkinsbphd.pdf" TargetMode="External"/><Relationship Id="rId2" Type="http://schemas.openxmlformats.org/officeDocument/2006/relationships/hyperlink" Target="https://www.walesonline.co.uk/news/wales-news/world-war-one-centenary-how-7555809" TargetMode="External"/><Relationship Id="rId1" Type="http://schemas.openxmlformats.org/officeDocument/2006/relationships/hyperlink" Target="http://www.bbc.co.uk/wales/history/sites/themes/guide/ch15_industrial_revolution.shtml" TargetMode="External"/><Relationship Id="rId6" Type="http://schemas.openxmlformats.org/officeDocument/2006/relationships/hyperlink" Target="https://online.liverpooluniversitypress.co.uk/doi/pdf/10.3828/hsir.1996.1.8" TargetMode="External"/><Relationship Id="rId5" Type="http://schemas.openxmlformats.org/officeDocument/2006/relationships/hyperlink" Target="https://www.ancestry.co.uk/contextux/historicalinsights/coal-mining-wales" TargetMode="External"/><Relationship Id="rId4" Type="http://schemas.openxmlformats.org/officeDocument/2006/relationships/hyperlink" Target="https://www.youtube.com/watch?v=XoLr-Exr0I0&amp;feature=youtu.be" TargetMode="External"/><Relationship Id="rId9" Type="http://schemas.openxmlformats.org/officeDocument/2006/relationships/hyperlink" Target="https://www.walesonline.co.uk/lifestyle/nostalgia/new-independence-women-forged-new-125778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E9221-9D1A-4F2D-816B-FA7B4AF00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2512</Words>
  <Characters>12088</Characters>
  <Application>Microsoft Office Word</Application>
  <DocSecurity>0</DocSecurity>
  <Lines>212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2</cp:revision>
  <dcterms:created xsi:type="dcterms:W3CDTF">2019-02-01T21:15:00Z</dcterms:created>
  <dcterms:modified xsi:type="dcterms:W3CDTF">2019-02-01T21:15:00Z</dcterms:modified>
</cp:coreProperties>
</file>