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796A" w:rsidRDefault="00A6796A" w:rsidP="00A6796A">
      <w:pPr>
        <w:pStyle w:val="NormalWeb"/>
        <w:spacing w:before="0" w:beforeAutospacing="0" w:after="0" w:afterAutospacing="0"/>
        <w:ind w:left="-180" w:right="-334"/>
        <w:jc w:val="center"/>
        <w:rPr>
          <w:rFonts w:ascii="Trebuchet MS" w:hAnsi="Trebuchet MS" w:cs="Tahoma"/>
          <w:sz w:val="24"/>
          <w:szCs w:val="24"/>
        </w:rPr>
      </w:pPr>
      <w:r>
        <w:rPr>
          <w:noProof/>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A6796A" w:rsidRDefault="00A6796A" w:rsidP="00A6796A">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A6796A" w:rsidRPr="001E50BB" w:rsidRDefault="00A6796A" w:rsidP="00A6796A">
      <w:pPr>
        <w:jc w:val="center"/>
        <w:rPr>
          <w:rFonts w:ascii="Arial" w:hAnsi="Arial" w:cs="Arial"/>
          <w:b/>
          <w:lang w:val="cy-GB"/>
        </w:rPr>
      </w:pPr>
      <w:r w:rsidRPr="001E50BB">
        <w:rPr>
          <w:rFonts w:ascii="Arial" w:hAnsi="Arial" w:cs="Arial"/>
          <w:b/>
          <w:lang w:val="cy-GB"/>
        </w:rPr>
        <w:t>(to be completed by marker)</w:t>
      </w:r>
    </w:p>
    <w:p w:rsidR="00A6796A" w:rsidRPr="001E50BB" w:rsidRDefault="00A6796A" w:rsidP="00A6796A">
      <w:pPr>
        <w:jc w:val="center"/>
        <w:rPr>
          <w:rFonts w:ascii="Arial" w:hAnsi="Arial" w:cs="Arial"/>
          <w:b/>
          <w:lang w:val="cy-GB"/>
        </w:rPr>
      </w:pPr>
    </w:p>
    <w:p w:rsidR="00A6796A" w:rsidRDefault="00A6796A" w:rsidP="00A6796A">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A6796A" w:rsidRPr="0065654E" w:rsidTr="007C3DAD">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A6796A" w:rsidRDefault="00A6796A" w:rsidP="007C3DAD">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Jade Anna Davies</w:t>
            </w:r>
          </w:p>
          <w:p w:rsidR="00A6796A" w:rsidRPr="0065654E" w:rsidRDefault="00A6796A" w:rsidP="007C3DAD">
            <w:pPr>
              <w:pStyle w:val="NormalWeb"/>
              <w:spacing w:before="0" w:beforeAutospacing="0" w:after="0" w:afterAutospacing="0"/>
              <w:ind w:right="34"/>
              <w:rPr>
                <w:rFonts w:ascii="Calibri" w:hAnsi="Calibri" w:cs="Tahoma"/>
                <w:i/>
                <w:sz w:val="24"/>
                <w:szCs w:val="24"/>
              </w:rPr>
            </w:pPr>
          </w:p>
        </w:tc>
      </w:tr>
      <w:tr w:rsidR="00A6796A" w:rsidRPr="0065654E" w:rsidTr="007C3DAD">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A6796A" w:rsidRDefault="00A6796A" w:rsidP="007C3DA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CSEN4012</w:t>
            </w:r>
          </w:p>
          <w:p w:rsidR="00A6796A" w:rsidRDefault="00A6796A" w:rsidP="007C3DAD">
            <w:pPr>
              <w:pStyle w:val="NormalWeb"/>
              <w:spacing w:before="0" w:beforeAutospacing="0" w:after="0" w:afterAutospacing="0"/>
              <w:ind w:right="34"/>
              <w:rPr>
                <w:rFonts w:ascii="Calibri" w:hAnsi="Calibri" w:cs="Tahoma"/>
                <w:i/>
                <w:sz w:val="24"/>
                <w:szCs w:val="24"/>
              </w:rPr>
            </w:pPr>
          </w:p>
          <w:p w:rsidR="00A6796A" w:rsidRDefault="00A6796A" w:rsidP="007C3DA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Interpreting Texts</w:t>
            </w:r>
          </w:p>
          <w:p w:rsidR="00A6796A" w:rsidRPr="0065654E" w:rsidRDefault="00A6796A" w:rsidP="007C3DAD">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A6796A" w:rsidRPr="0065654E" w:rsidRDefault="00A6796A" w:rsidP="007C3DA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1702321</w:t>
            </w:r>
          </w:p>
        </w:tc>
      </w:tr>
      <w:tr w:rsidR="00A6796A" w:rsidRPr="0065654E" w:rsidTr="007C3DAD">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A6796A" w:rsidRPr="0065654E" w:rsidRDefault="00A6796A" w:rsidP="007C3DAD">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A6796A" w:rsidRDefault="00A6796A" w:rsidP="007C3DAD">
            <w:pPr>
              <w:pStyle w:val="NormalWeb"/>
              <w:rPr>
                <w:rFonts w:ascii="Calibri" w:hAnsi="Calibri" w:cs="Tahoma"/>
                <w:i/>
                <w:sz w:val="24"/>
                <w:szCs w:val="24"/>
              </w:rPr>
            </w:pPr>
            <w:r w:rsidRPr="0065654E">
              <w:rPr>
                <w:rFonts w:ascii="Calibri" w:hAnsi="Calibri" w:cs="Tahoma"/>
                <w:i/>
                <w:sz w:val="24"/>
                <w:szCs w:val="24"/>
              </w:rPr>
              <w:t>Comments:</w:t>
            </w:r>
          </w:p>
          <w:p w:rsidR="00A6796A" w:rsidRDefault="00A6796A" w:rsidP="007C3DAD">
            <w:pPr>
              <w:pStyle w:val="NormalWeb"/>
              <w:rPr>
                <w:rFonts w:ascii="Calibri" w:hAnsi="Calibri" w:cs="Tahoma"/>
                <w:i/>
                <w:sz w:val="24"/>
                <w:szCs w:val="24"/>
              </w:rPr>
            </w:pPr>
          </w:p>
          <w:p w:rsidR="00A6796A" w:rsidRDefault="00A6796A" w:rsidP="007C3DAD">
            <w:pPr>
              <w:pStyle w:val="NormalWeb"/>
              <w:rPr>
                <w:rFonts w:ascii="Calibri" w:hAnsi="Calibri" w:cs="Tahoma"/>
                <w:i/>
                <w:sz w:val="24"/>
                <w:szCs w:val="24"/>
              </w:rPr>
            </w:pPr>
          </w:p>
          <w:p w:rsidR="00A6796A" w:rsidRDefault="00A6796A" w:rsidP="007C3DAD">
            <w:pPr>
              <w:pStyle w:val="NormalWeb"/>
              <w:rPr>
                <w:rFonts w:ascii="Calibri" w:hAnsi="Calibri" w:cs="Tahoma"/>
                <w:i/>
                <w:sz w:val="24"/>
                <w:szCs w:val="24"/>
              </w:rPr>
            </w:pPr>
          </w:p>
          <w:p w:rsidR="00A6796A" w:rsidRDefault="00A6796A" w:rsidP="007C3DAD">
            <w:pPr>
              <w:pStyle w:val="NormalWeb"/>
              <w:rPr>
                <w:rFonts w:ascii="Calibri" w:hAnsi="Calibri" w:cs="Tahoma"/>
                <w:i/>
                <w:sz w:val="24"/>
                <w:szCs w:val="24"/>
              </w:rPr>
            </w:pPr>
          </w:p>
          <w:p w:rsidR="00A6796A" w:rsidRDefault="00A6796A" w:rsidP="007C3DAD">
            <w:pPr>
              <w:pStyle w:val="NormalWeb"/>
              <w:rPr>
                <w:rFonts w:ascii="Calibri" w:hAnsi="Calibri" w:cs="Tahoma"/>
                <w:i/>
                <w:sz w:val="24"/>
                <w:szCs w:val="24"/>
              </w:rPr>
            </w:pPr>
          </w:p>
          <w:p w:rsidR="00A6796A" w:rsidRDefault="00A6796A" w:rsidP="007C3DAD">
            <w:pPr>
              <w:pStyle w:val="NormalWeb"/>
              <w:rPr>
                <w:rFonts w:ascii="Calibri" w:hAnsi="Calibri" w:cs="Tahoma"/>
                <w:i/>
                <w:sz w:val="24"/>
                <w:szCs w:val="24"/>
              </w:rPr>
            </w:pPr>
          </w:p>
          <w:p w:rsidR="00A6796A" w:rsidRDefault="00A6796A" w:rsidP="007C3DAD">
            <w:pPr>
              <w:pStyle w:val="NormalWeb"/>
              <w:rPr>
                <w:rFonts w:ascii="Calibri" w:hAnsi="Calibri" w:cs="Tahoma"/>
                <w:i/>
                <w:sz w:val="24"/>
                <w:szCs w:val="24"/>
              </w:rPr>
            </w:pPr>
          </w:p>
          <w:p w:rsidR="00A6796A" w:rsidRDefault="00A6796A" w:rsidP="007C3DAD">
            <w:pPr>
              <w:pStyle w:val="NormalWeb"/>
              <w:rPr>
                <w:rFonts w:ascii="Calibri" w:hAnsi="Calibri" w:cs="Tahoma"/>
                <w:i/>
                <w:sz w:val="24"/>
                <w:szCs w:val="24"/>
              </w:rPr>
            </w:pPr>
          </w:p>
          <w:p w:rsidR="00A6796A" w:rsidRDefault="00A6796A" w:rsidP="007C3DAD">
            <w:pPr>
              <w:pStyle w:val="NormalWeb"/>
              <w:rPr>
                <w:rFonts w:ascii="Calibri" w:hAnsi="Calibri" w:cs="Tahoma"/>
                <w:i/>
                <w:sz w:val="24"/>
                <w:szCs w:val="24"/>
              </w:rPr>
            </w:pPr>
          </w:p>
          <w:p w:rsidR="00A6796A" w:rsidRDefault="00A6796A" w:rsidP="007C3DAD">
            <w:pPr>
              <w:pStyle w:val="NormalWeb"/>
              <w:rPr>
                <w:rFonts w:ascii="Calibri" w:hAnsi="Calibri" w:cs="Tahoma"/>
                <w:i/>
                <w:sz w:val="24"/>
                <w:szCs w:val="24"/>
              </w:rPr>
            </w:pPr>
          </w:p>
          <w:p w:rsidR="00A6796A" w:rsidRPr="0065654E" w:rsidRDefault="00A6796A" w:rsidP="007C3DAD">
            <w:pPr>
              <w:pStyle w:val="NormalWeb"/>
              <w:rPr>
                <w:rFonts w:ascii="Calibri" w:hAnsi="Calibri" w:cs="Tahoma"/>
                <w:i/>
                <w:sz w:val="24"/>
                <w:szCs w:val="24"/>
              </w:rPr>
            </w:pPr>
          </w:p>
        </w:tc>
      </w:tr>
      <w:tr w:rsidR="00A6796A" w:rsidRPr="0065654E" w:rsidTr="007C3DAD">
        <w:trPr>
          <w:trHeight w:val="492"/>
        </w:trPr>
        <w:tc>
          <w:tcPr>
            <w:tcW w:w="6768" w:type="dxa"/>
            <w:gridSpan w:val="2"/>
            <w:tcBorders>
              <w:top w:val="single" w:sz="4" w:space="0" w:color="auto"/>
            </w:tcBorders>
            <w:vAlign w:val="center"/>
          </w:tcPr>
          <w:p w:rsidR="00A6796A" w:rsidRPr="0065654E" w:rsidRDefault="00A6796A" w:rsidP="007C3DAD">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A6796A" w:rsidRPr="0065654E" w:rsidRDefault="00A6796A" w:rsidP="007C3DAD">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A6796A" w:rsidRPr="0065654E" w:rsidTr="007C3DAD">
        <w:tc>
          <w:tcPr>
            <w:tcW w:w="8755" w:type="dxa"/>
            <w:gridSpan w:val="3"/>
            <w:vAlign w:val="center"/>
          </w:tcPr>
          <w:p w:rsidR="00A6796A" w:rsidRDefault="00A6796A" w:rsidP="007C3DAD">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A6796A" w:rsidRPr="0065654E" w:rsidRDefault="00A6796A" w:rsidP="007C3DAD">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A6796A" w:rsidRPr="0065654E" w:rsidRDefault="00A6796A" w:rsidP="00A6796A">
      <w:pPr>
        <w:pStyle w:val="NormalWeb"/>
        <w:spacing w:before="0" w:beforeAutospacing="0" w:after="0" w:afterAutospacing="0"/>
        <w:ind w:right="-334"/>
        <w:rPr>
          <w:rFonts w:ascii="Trebuchet MS" w:hAnsi="Trebuchet MS" w:cs="Tahoma"/>
          <w:b/>
          <w:bCs/>
          <w:sz w:val="24"/>
          <w:szCs w:val="24"/>
        </w:rPr>
      </w:pPr>
    </w:p>
    <w:p w:rsidR="00A6796A" w:rsidRDefault="00A6796A" w:rsidP="004536A9">
      <w:pPr>
        <w:pStyle w:val="NoSpacing"/>
        <w:spacing w:line="360" w:lineRule="auto"/>
      </w:pPr>
    </w:p>
    <w:p w:rsidR="00A6796A" w:rsidRPr="00A6796A" w:rsidRDefault="00A6796A" w:rsidP="00A6796A">
      <w:pPr>
        <w:pStyle w:val="NoSpacing"/>
        <w:rPr>
          <w:u w:val="single"/>
        </w:rPr>
      </w:pPr>
      <w:r w:rsidRPr="00A6796A">
        <w:rPr>
          <w:u w:val="single"/>
        </w:rPr>
        <w:lastRenderedPageBreak/>
        <w:t xml:space="preserve">Provide an account of the kinds of competence, knowledge and values that </w:t>
      </w:r>
      <w:r w:rsidRPr="00A6796A">
        <w:rPr>
          <w:i/>
          <w:u w:val="single"/>
        </w:rPr>
        <w:t>Things Fall Apart</w:t>
      </w:r>
      <w:r w:rsidRPr="00A6796A">
        <w:rPr>
          <w:u w:val="single"/>
        </w:rPr>
        <w:t xml:space="preserve"> seems to require of its reader.</w:t>
      </w:r>
    </w:p>
    <w:p w:rsidR="00A6796A" w:rsidRDefault="00A6796A" w:rsidP="00A6796A">
      <w:pPr>
        <w:pStyle w:val="NoSpacing"/>
      </w:pPr>
    </w:p>
    <w:p w:rsidR="00A6796A" w:rsidRDefault="00A6796A" w:rsidP="00A6796A">
      <w:pPr>
        <w:pStyle w:val="NoSpacing"/>
      </w:pPr>
    </w:p>
    <w:p w:rsidR="004536A9" w:rsidRPr="004536A9" w:rsidRDefault="008F149E" w:rsidP="004536A9">
      <w:pPr>
        <w:pStyle w:val="NoSpacing"/>
        <w:spacing w:line="360" w:lineRule="auto"/>
      </w:pPr>
      <w:r>
        <w:t xml:space="preserve">In order for the reader to </w:t>
      </w:r>
      <w:r w:rsidR="00EF1795">
        <w:t xml:space="preserve">connect with the novel, </w:t>
      </w:r>
      <w:r w:rsidR="00EF1795" w:rsidRPr="008F149E">
        <w:rPr>
          <w:i/>
        </w:rPr>
        <w:t>Things Fall Apart,</w:t>
      </w:r>
      <w:r w:rsidR="00EF1795">
        <w:t xml:space="preserve"> there is a certain level of competence, knowledge and values Chinua Achebe expects his reader to demonstrate. The reader must be aware of the techniques an author uses to inspire and shape the readers thoughts and understanding. With this in mind, the readers response will be greatly influenced by the authors methods</w:t>
      </w:r>
      <w:r w:rsidR="00AB0EED">
        <w:t xml:space="preserve"> of telling the story</w:t>
      </w:r>
      <w:r w:rsidR="00EF1795">
        <w:t>, and the authors expectations of the reader. Shlomith Rimmon-Kenan describes this relationship as the reader representing an ‘image of certain competence brought to the text and a structuring of such competence within the text’.</w:t>
      </w:r>
      <w:r w:rsidR="00EF1795">
        <w:rPr>
          <w:rStyle w:val="FootnoteReference"/>
        </w:rPr>
        <w:footnoteReference w:id="1"/>
      </w:r>
      <w:r w:rsidR="00AB0EED">
        <w:t xml:space="preserve"> This demonstrates the competence and knowledge the text requires of its reader, but</w:t>
      </w:r>
      <w:r w:rsidR="000B37FB">
        <w:t xml:space="preserve"> also insinuates</w:t>
      </w:r>
      <w:r w:rsidR="00AB0EED">
        <w:t xml:space="preserve"> the </w:t>
      </w:r>
      <w:r w:rsidR="000B37FB">
        <w:t xml:space="preserve">importance of the </w:t>
      </w:r>
      <w:r w:rsidR="00AB0EED">
        <w:t xml:space="preserve">values a reader possesses </w:t>
      </w:r>
      <w:r w:rsidR="000B37FB">
        <w:t xml:space="preserve">which </w:t>
      </w:r>
      <w:r w:rsidR="00AB0EED">
        <w:t xml:space="preserve">are based on </w:t>
      </w:r>
      <w:r w:rsidR="000B37FB">
        <w:t xml:space="preserve">personal </w:t>
      </w:r>
      <w:r w:rsidR="00AB0EED">
        <w:t>e</w:t>
      </w:r>
      <w:r w:rsidR="000B37FB">
        <w:t>xperiences the reader has, and consequently the ways</w:t>
      </w:r>
      <w:r w:rsidR="00AB0EED">
        <w:t xml:space="preserve"> they can relate to the text in order to offer their own interpretation.</w:t>
      </w:r>
    </w:p>
    <w:p w:rsidR="0075656E" w:rsidRDefault="000117FD" w:rsidP="001D287B">
      <w:pPr>
        <w:pStyle w:val="NoSpacing"/>
        <w:spacing w:line="360" w:lineRule="auto"/>
        <w:ind w:firstLine="720"/>
      </w:pPr>
      <w:r w:rsidRPr="00420AF0">
        <w:rPr>
          <w:i/>
        </w:rPr>
        <w:t>Things Fall Apart</w:t>
      </w:r>
      <w:r w:rsidR="000B37FB">
        <w:t xml:space="preserve"> requires its reader to express confidence in their competence and knowledge in order to associate their experiences</w:t>
      </w:r>
      <w:r w:rsidR="00025957">
        <w:t xml:space="preserve"> with the text. In this sense, the reader must be familiar with the order of conventions. For example, Chinua Achebe assumes the reader will recognise and respond to the literary allusions within the novel. In the last paragraph of the final chapter, there i</w:t>
      </w:r>
      <w:r w:rsidR="00D90BB3">
        <w:t>s an explicit fictional allusion</w:t>
      </w:r>
      <w:r w:rsidR="00025957">
        <w:t xml:space="preserve"> to ‘The Pacification of the Primitive Tribes </w:t>
      </w:r>
      <w:r w:rsidR="00B75832">
        <w:t>of the Lower Niger’</w:t>
      </w:r>
      <w:r w:rsidR="008F566F">
        <w:rPr>
          <w:rStyle w:val="FootnoteReference"/>
        </w:rPr>
        <w:footnoteReference w:id="2"/>
      </w:r>
      <w:r w:rsidR="00B75832">
        <w:t>, a satirical ending in mockery to the whole canon of Western literature written about Africa’s history and cultures, which alienates the art and culture of Africa</w:t>
      </w:r>
      <w:r w:rsidR="000B37FB">
        <w:t xml:space="preserve"> and Ibo values</w:t>
      </w:r>
      <w:r w:rsidR="00B75832">
        <w:t xml:space="preserve">. </w:t>
      </w:r>
      <w:r w:rsidR="00A04D89">
        <w:t>In regards to the novel as a whole, t</w:t>
      </w:r>
      <w:r w:rsidR="00833AF4">
        <w:t>he title of the wor</w:t>
      </w:r>
      <w:r w:rsidR="00A04D89">
        <w:t>k has an ironic significance</w:t>
      </w:r>
      <w:r w:rsidR="00F669D5">
        <w:t>, where the District Commissioner is a representative of the European colonisation of Africa, indicating the uncivilised, barbaric nature of authority, where positions of power and domination holds arrogance by characterising the people of African society as ‘Primitive’</w:t>
      </w:r>
      <w:r w:rsidR="00B62BB3">
        <w:t>.</w:t>
      </w:r>
      <w:r w:rsidR="00B62BB3">
        <w:rPr>
          <w:rStyle w:val="FootnoteReference"/>
        </w:rPr>
        <w:footnoteReference w:id="3"/>
      </w:r>
      <w:r w:rsidR="007D38C6">
        <w:t xml:space="preserve"> </w:t>
      </w:r>
      <w:r w:rsidR="00A04D89">
        <w:t xml:space="preserve">Additionally, the title is highly offensive to the Ibo culture with the condescending insult ‘Pacification’ indicating a term used to infantilise the tribe’s intelligence, </w:t>
      </w:r>
      <w:r w:rsidR="005F07BD">
        <w:t>in regards</w:t>
      </w:r>
      <w:r w:rsidR="00A04D89">
        <w:t xml:space="preserve"> to the District Commissioners cultural ignorance.</w:t>
      </w:r>
      <w:r w:rsidR="00A04D89">
        <w:rPr>
          <w:rStyle w:val="FootnoteReference"/>
        </w:rPr>
        <w:footnoteReference w:id="4"/>
      </w:r>
      <w:r w:rsidR="00A04D89">
        <w:t xml:space="preserve"> </w:t>
      </w:r>
      <w:r w:rsidR="00E361FF">
        <w:t>The kinds of competence, knowledge and values is subtly reinforced in the novel during Chapter 20, ‘</w:t>
      </w:r>
      <w:r w:rsidR="00E361FF" w:rsidRPr="00D90BB3">
        <w:t>“Does the white man understand our custom about land?” “How can he when he does not even speak our tongue?</w:t>
      </w:r>
      <w:r w:rsidR="00E361FF">
        <w:t>”’</w:t>
      </w:r>
      <w:r w:rsidR="00DE49C7">
        <w:rPr>
          <w:rStyle w:val="FootnoteReference"/>
        </w:rPr>
        <w:footnoteReference w:id="5"/>
      </w:r>
      <w:r w:rsidR="00E361FF">
        <w:t>. Chinua Achebe’s per</w:t>
      </w:r>
      <w:r w:rsidR="00361723">
        <w:t>sonal thoughts on colonialism are</w:t>
      </w:r>
      <w:r w:rsidR="00E361FF">
        <w:t xml:space="preserve"> voiced here by Obierika, with the recurring theme of the white </w:t>
      </w:r>
      <w:r w:rsidR="00E361FF">
        <w:lastRenderedPageBreak/>
        <w:t xml:space="preserve">men’s complete disregard and lack of understanding for Ibo civilisation. </w:t>
      </w:r>
      <w:r w:rsidR="009E1A6F">
        <w:t>A useful interpretation</w:t>
      </w:r>
      <w:r w:rsidR="00361723">
        <w:t xml:space="preserve"> to consider</w:t>
      </w:r>
      <w:r w:rsidR="009E1A6F">
        <w:t xml:space="preserve"> here comes from </w:t>
      </w:r>
      <w:r w:rsidR="00361723">
        <w:t xml:space="preserve">Seymour </w:t>
      </w:r>
      <w:r w:rsidR="009E1A6F">
        <w:t>Chatman</w:t>
      </w:r>
      <w:r w:rsidR="00F31007">
        <w:t>: ‘Unlike the narrator, the implied author can tell us nothing. He, or better, it has no voice, no direct means of communicating.’</w:t>
      </w:r>
      <w:r w:rsidR="00F31007">
        <w:rPr>
          <w:rStyle w:val="FootnoteReference"/>
        </w:rPr>
        <w:footnoteReference w:id="6"/>
      </w:r>
      <w:r w:rsidR="00F31007">
        <w:t xml:space="preserve"> Therefore, the reader constructs the implied author from the text</w:t>
      </w:r>
      <w:r w:rsidR="006478C4">
        <w:t xml:space="preserve">, and </w:t>
      </w:r>
      <w:r w:rsidR="00361723">
        <w:t>the implied author becomes a source for the reader to communicate with, thus</w:t>
      </w:r>
      <w:r w:rsidR="00F31007">
        <w:t xml:space="preserve"> heightening the power and control the author has over the reader</w:t>
      </w:r>
      <w:r w:rsidR="00361723">
        <w:t>, which further suggests</w:t>
      </w:r>
      <w:r w:rsidR="00F31007">
        <w:t xml:space="preserve"> the response Chinua Achebe expects from his readers.</w:t>
      </w:r>
    </w:p>
    <w:p w:rsidR="0070638B" w:rsidRDefault="008635E5" w:rsidP="001D287B">
      <w:pPr>
        <w:pStyle w:val="NoSpacing"/>
        <w:spacing w:line="360" w:lineRule="auto"/>
        <w:ind w:firstLine="720"/>
      </w:pPr>
      <w:r>
        <w:t xml:space="preserve">This can be related to the models of intelligibility, </w:t>
      </w:r>
      <w:r w:rsidR="00C2467E">
        <w:t xml:space="preserve">where in order to </w:t>
      </w:r>
      <w:r w:rsidR="005B70F6">
        <w:t xml:space="preserve">truly </w:t>
      </w:r>
      <w:r w:rsidR="00C2467E">
        <w:t xml:space="preserve">connect with the novel, </w:t>
      </w:r>
      <w:r w:rsidR="0075656E">
        <w:t>Chinua Achebe has an</w:t>
      </w:r>
      <w:r w:rsidR="00C2467E">
        <w:t xml:space="preserve"> implied reader</w:t>
      </w:r>
      <w:r w:rsidR="0075656E">
        <w:t xml:space="preserve"> in mind</w:t>
      </w:r>
      <w:r w:rsidR="005B70F6">
        <w:t>,</w:t>
      </w:r>
      <w:r w:rsidR="0075656E">
        <w:t xml:space="preserve"> of which they</w:t>
      </w:r>
      <w:r w:rsidR="00C2467E">
        <w:t xml:space="preserve"> must have a certain level of understanding about the history o</w:t>
      </w:r>
      <w:r w:rsidR="0075656E">
        <w:t>f African culture.</w:t>
      </w:r>
      <w:r w:rsidR="007F3156">
        <w:t xml:space="preserve"> It is essential for the implied reader to convey their own experience and knowledge from other texts as well as</w:t>
      </w:r>
      <w:r w:rsidR="00C2467E">
        <w:t xml:space="preserve"> </w:t>
      </w:r>
      <w:r w:rsidR="006478C4">
        <w:t xml:space="preserve">to </w:t>
      </w:r>
      <w:r w:rsidR="00C2467E">
        <w:t>be able to r</w:t>
      </w:r>
      <w:r w:rsidR="00622836">
        <w:t>espond and learn from the</w:t>
      </w:r>
      <w:r w:rsidR="00361723">
        <w:t xml:space="preserve"> given</w:t>
      </w:r>
      <w:r w:rsidR="00622836">
        <w:t xml:space="preserve"> text,</w:t>
      </w:r>
      <w:r w:rsidR="00361723">
        <w:t xml:space="preserve"> consequently</w:t>
      </w:r>
      <w:r w:rsidR="00622836">
        <w:t xml:space="preserve"> a ‘specific competence’</w:t>
      </w:r>
      <w:r w:rsidR="005B70F6">
        <w:rPr>
          <w:rStyle w:val="FootnoteReference"/>
        </w:rPr>
        <w:footnoteReference w:id="7"/>
      </w:r>
      <w:r w:rsidR="00622836">
        <w:t xml:space="preserve"> is needed by the reader for them to understand the novel, but their mind must be open to interpretation</w:t>
      </w:r>
      <w:r w:rsidR="005B70F6">
        <w:t xml:space="preserve">. </w:t>
      </w:r>
      <w:r w:rsidR="007F3156">
        <w:t>With this is mind,</w:t>
      </w:r>
      <w:r w:rsidR="0075656E">
        <w:t xml:space="preserve"> the reader does not have the liberty to make the text mean exactly what they want it to mean</w:t>
      </w:r>
      <w:r w:rsidR="007F3156">
        <w:t>, but rather the author has control over what information is shared and when it is shared with the reader</w:t>
      </w:r>
      <w:r w:rsidR="0075656E">
        <w:t xml:space="preserve">. </w:t>
      </w:r>
      <w:r w:rsidR="00C2467E">
        <w:t>To a certain extent, the r</w:t>
      </w:r>
      <w:r w:rsidR="001E7047">
        <w:t>eader has freedom within the scope</w:t>
      </w:r>
      <w:r w:rsidR="00267892">
        <w:t xml:space="preserve"> to explore and express their own ideas and concerns as well as relate their own </w:t>
      </w:r>
      <w:r w:rsidR="005F07BD">
        <w:t>understanding towards</w:t>
      </w:r>
      <w:r w:rsidR="001E7047">
        <w:t xml:space="preserve"> the text</w:t>
      </w:r>
      <w:r w:rsidR="00C2467E">
        <w:t>, but this freedom is also con</w:t>
      </w:r>
      <w:r w:rsidR="006478C4">
        <w:t>s</w:t>
      </w:r>
      <w:r w:rsidR="00C2467E">
        <w:t>t</w:t>
      </w:r>
      <w:r w:rsidR="006478C4">
        <w:t>r</w:t>
      </w:r>
      <w:r w:rsidR="00C2467E">
        <w:t xml:space="preserve">ained by </w:t>
      </w:r>
      <w:r w:rsidR="0075656E">
        <w:t xml:space="preserve">the authors techniques, </w:t>
      </w:r>
      <w:r w:rsidR="005F07BD">
        <w:t>as seen in C</w:t>
      </w:r>
      <w:r w:rsidR="007F3156">
        <w:t>hapter 5 of Things Fall Apart. Chinua Achebe con</w:t>
      </w:r>
      <w:r w:rsidR="006478C4">
        <w:t>s</w:t>
      </w:r>
      <w:r w:rsidR="007F3156">
        <w:t>t</w:t>
      </w:r>
      <w:r w:rsidR="006478C4">
        <w:t>r</w:t>
      </w:r>
      <w:r w:rsidR="007F3156">
        <w:t>ains the notion of storytelling in this chapter by using future-oriented delay with the repetition of the wrestling match that is yet to happen, reinforced by the constant</w:t>
      </w:r>
      <w:r w:rsidR="00267892">
        <w:t xml:space="preserve"> perennial reminder </w:t>
      </w:r>
      <w:r w:rsidR="007248A4">
        <w:t>of the ‘distant beating of drums’</w:t>
      </w:r>
      <w:r w:rsidR="007248A4">
        <w:rPr>
          <w:rStyle w:val="FootnoteReference"/>
        </w:rPr>
        <w:footnoteReference w:id="8"/>
      </w:r>
      <w:r w:rsidR="00B51071" w:rsidRPr="00B51071">
        <w:t>.</w:t>
      </w:r>
      <w:r w:rsidR="00B51071">
        <w:t xml:space="preserve"> </w:t>
      </w:r>
      <w:r w:rsidR="007F3156">
        <w:t>Therefore, the reader is aware of this event that is soon to happen, but the author still has control over when it happens. This technique builds up the readers anticipation for this important event in the novel</w:t>
      </w:r>
      <w:r w:rsidR="00267892">
        <w:t xml:space="preserve"> whilst enlightening the reader on the Ibo culture that would be considered too unimportant or insignificant if it were told in an alternative chapter. </w:t>
      </w:r>
      <w:r w:rsidR="001C37F9">
        <w:t xml:space="preserve">In this case, </w:t>
      </w:r>
      <w:r w:rsidR="00267892">
        <w:t xml:space="preserve">Chinua Achebe’s use of analepsis is used to provide valuable and relevant information to the reader </w:t>
      </w:r>
      <w:r w:rsidR="006478C4">
        <w:t xml:space="preserve">at this point in the novel, </w:t>
      </w:r>
      <w:r w:rsidR="00267892">
        <w:t xml:space="preserve">so that they can respond to the content and reconstruct it through classification. </w:t>
      </w:r>
      <w:r w:rsidR="00DA1A39">
        <w:t xml:space="preserve">This inspires the reader to compose their information and acquired knowledge through sensory and intellectual experience to form analogies and </w:t>
      </w:r>
      <w:r w:rsidR="006478C4">
        <w:t xml:space="preserve">to </w:t>
      </w:r>
      <w:r w:rsidR="00DA1A39">
        <w:t>illustrate their thought process.</w:t>
      </w:r>
      <w:r w:rsidR="001676E1">
        <w:rPr>
          <w:rStyle w:val="FootnoteReference"/>
        </w:rPr>
        <w:footnoteReference w:id="9"/>
      </w:r>
      <w:r w:rsidR="00DA1A39">
        <w:t xml:space="preserve"> The </w:t>
      </w:r>
      <w:r w:rsidR="006478C4">
        <w:t>reader’s personal experience will</w:t>
      </w:r>
      <w:r w:rsidR="00DA1A39">
        <w:t xml:space="preserve"> influence their connection with the text, as will their familiarity with texts of similar literary analysis, </w:t>
      </w:r>
      <w:r w:rsidR="004C101D">
        <w:t>hence, stories will always have different connotations and mean alternative things to different kinds of readers.</w:t>
      </w:r>
    </w:p>
    <w:p w:rsidR="001D5CB0" w:rsidRDefault="0070638B" w:rsidP="001D287B">
      <w:pPr>
        <w:pStyle w:val="NoSpacing"/>
        <w:spacing w:line="360" w:lineRule="auto"/>
        <w:ind w:firstLine="720"/>
      </w:pPr>
      <w:r>
        <w:lastRenderedPageBreak/>
        <w:t>On the other hand, Chinua Achebe may be directing his novel towards a real reader of the historical period, for i</w:t>
      </w:r>
      <w:r w:rsidR="006478C4">
        <w:t>t to be interpreted by associates of the</w:t>
      </w:r>
      <w:r w:rsidR="00D23F44">
        <w:t xml:space="preserve"> Ibo t</w:t>
      </w:r>
      <w:r>
        <w:t>ribe, rather than a Westerners examination of the</w:t>
      </w:r>
      <w:r w:rsidR="006478C4">
        <w:t xml:space="preserve"> Ibo</w:t>
      </w:r>
      <w:r>
        <w:t xml:space="preserve"> culture and customs. </w:t>
      </w:r>
      <w:r w:rsidRPr="00420AF0">
        <w:rPr>
          <w:i/>
        </w:rPr>
        <w:t>Things Fall Apart</w:t>
      </w:r>
      <w:r>
        <w:t xml:space="preserve"> is a post-colonial novel, directly connected with the changing political climate in and around the Congo in West Africa. </w:t>
      </w:r>
      <w:r w:rsidR="00D23F44">
        <w:t>This work of fictional narrative shares the history of the white colonisers early contact with the Ibo community, thus relating this transition with people of the Ibo culture</w:t>
      </w:r>
      <w:r w:rsidR="00420AF0">
        <w:t>. This creates the impression that Chinua Achebe is writing in order for a specific reader to respond to the reconstructed story. Chinu</w:t>
      </w:r>
      <w:r w:rsidR="00D23F44">
        <w:t>a Achebe’s use of narrator is par</w:t>
      </w:r>
      <w:r w:rsidR="00420AF0">
        <w:t>ticularly significant here, as the narrator</w:t>
      </w:r>
      <w:r w:rsidR="006478C4">
        <w:t xml:space="preserve"> can be seen in two alternative</w:t>
      </w:r>
      <w:r w:rsidR="00D23F44">
        <w:t xml:space="preserve"> voices</w:t>
      </w:r>
      <w:r w:rsidR="00420AF0">
        <w:t>;</w:t>
      </w:r>
      <w:r w:rsidR="00D23F44">
        <w:t xml:space="preserve"> one is the people of the village, while th</w:t>
      </w:r>
      <w:r w:rsidR="005F07BD">
        <w:t>e other is</w:t>
      </w:r>
      <w:r w:rsidR="00420AF0">
        <w:t xml:space="preserve"> of</w:t>
      </w:r>
      <w:r w:rsidR="005F07BD">
        <w:t xml:space="preserve"> a more cultured</w:t>
      </w:r>
      <w:r w:rsidR="00D23F44">
        <w:t xml:space="preserve"> Nige</w:t>
      </w:r>
      <w:r w:rsidR="00420AF0">
        <w:t>rian of 1958. The first voice</w:t>
      </w:r>
      <w:r w:rsidR="00D23F44">
        <w:t xml:space="preserve"> </w:t>
      </w:r>
      <w:r w:rsidR="00207C02">
        <w:t>almost a</w:t>
      </w:r>
      <w:r w:rsidR="00420AF0">
        <w:t>cts as a ‘communal speaker’, as though</w:t>
      </w:r>
      <w:r w:rsidR="00207C02">
        <w:t xml:space="preserve"> a collection of people from the village who knew Okwonkwo well contributed</w:t>
      </w:r>
      <w:r w:rsidR="006478C4">
        <w:t xml:space="preserve"> to the retelling of his story</w:t>
      </w:r>
      <w:r w:rsidR="00207C02">
        <w:t xml:space="preserve">, whereas the other voice, the </w:t>
      </w:r>
      <w:r w:rsidR="005F07BD">
        <w:t>‘</w:t>
      </w:r>
      <w:r w:rsidR="00207C02">
        <w:t>editorial voice</w:t>
      </w:r>
      <w:r w:rsidR="005F07BD">
        <w:t>’</w:t>
      </w:r>
      <w:r w:rsidR="00207C02">
        <w:t>, is a more invasive input</w:t>
      </w:r>
      <w:r w:rsidR="00C0392D">
        <w:t>, that can overlook the villagers and comment from beyond their point of view. This suggests a lack of community, where the editorial voice views the people of Umuofia as ‘they’ rather than ‘we’, whereas</w:t>
      </w:r>
      <w:r w:rsidR="006478C4">
        <w:t>,</w:t>
      </w:r>
      <w:r w:rsidR="00395A42">
        <w:t xml:space="preserve"> in </w:t>
      </w:r>
      <w:r w:rsidR="006478C4">
        <w:t xml:space="preserve">complete </w:t>
      </w:r>
      <w:r w:rsidR="00395A42">
        <w:t>contrast</w:t>
      </w:r>
      <w:r w:rsidR="00C0392D">
        <w:t xml:space="preserve"> the Ibo community are </w:t>
      </w:r>
      <w:r w:rsidR="00395A42">
        <w:t xml:space="preserve">seen as a </w:t>
      </w:r>
      <w:r w:rsidR="00C0392D">
        <w:t>collective.</w:t>
      </w:r>
      <w:r w:rsidR="00C0392D">
        <w:rPr>
          <w:rStyle w:val="FootnoteReference"/>
        </w:rPr>
        <w:footnoteReference w:id="10"/>
      </w:r>
      <w:r w:rsidR="00780E29">
        <w:t xml:space="preserve"> This is reinforced by the repetitive beating of the drums which</w:t>
      </w:r>
      <w:r w:rsidR="00780E29" w:rsidRPr="00B51071">
        <w:t xml:space="preserve"> represents the physical connection of the </w:t>
      </w:r>
      <w:r w:rsidR="00780E29">
        <w:t>community, suggesting a</w:t>
      </w:r>
      <w:r w:rsidR="00780E29" w:rsidRPr="00B51071">
        <w:t xml:space="preserve"> metaphorical heartbeat that beats in unison, uniting all the village members</w:t>
      </w:r>
      <w:r w:rsidR="00780E29">
        <w:t xml:space="preserve"> as one.</w:t>
      </w:r>
      <w:r w:rsidR="00A969F4">
        <w:rPr>
          <w:rStyle w:val="FootnoteReference"/>
        </w:rPr>
        <w:footnoteReference w:id="11"/>
      </w:r>
      <w:r w:rsidR="009E1A6F">
        <w:t xml:space="preserve"> </w:t>
      </w:r>
      <w:r w:rsidR="00220832">
        <w:t>One of</w:t>
      </w:r>
      <w:r w:rsidR="006478C4">
        <w:t xml:space="preserve"> the most important values </w:t>
      </w:r>
      <w:r w:rsidR="00220832">
        <w:t xml:space="preserve">the people of </w:t>
      </w:r>
      <w:r w:rsidR="001D7477" w:rsidRPr="001D7477">
        <w:t>Umuofia</w:t>
      </w:r>
      <w:r w:rsidR="00220832">
        <w:t xml:space="preserve"> cherish</w:t>
      </w:r>
      <w:r w:rsidR="001D7477" w:rsidRPr="001D7477">
        <w:t xml:space="preserve"> is family and unity within the community</w:t>
      </w:r>
      <w:r w:rsidR="00220832">
        <w:t>, as evident</w:t>
      </w:r>
      <w:r w:rsidR="001D7477">
        <w:t xml:space="preserve"> in Chapter 19: ‘</w:t>
      </w:r>
      <w:r w:rsidR="001D7477" w:rsidRPr="001D7477">
        <w:t>But I fear for you young people because you do not understand how strong is the bond of kinship. You do not know what it is to speak with one voice</w:t>
      </w:r>
      <w:r w:rsidR="001D7477">
        <w:t>.’</w:t>
      </w:r>
      <w:r w:rsidR="009B03E5">
        <w:rPr>
          <w:rStyle w:val="FootnoteReference"/>
        </w:rPr>
        <w:footnoteReference w:id="12"/>
      </w:r>
      <w:r w:rsidR="009B03E5" w:rsidRPr="009B03E5">
        <w:rPr>
          <w:rFonts w:ascii="Arial" w:hAnsi="Arial" w:cs="Arial"/>
          <w:color w:val="222222"/>
          <w:shd w:val="clear" w:color="auto" w:fill="FFFFFF"/>
        </w:rPr>
        <w:t xml:space="preserve"> </w:t>
      </w:r>
      <w:r w:rsidR="00220832">
        <w:t xml:space="preserve">This shows that the younger generation </w:t>
      </w:r>
      <w:r w:rsidR="006478C4">
        <w:t xml:space="preserve">either </w:t>
      </w:r>
      <w:r w:rsidR="00220832">
        <w:t>ignore or despise the</w:t>
      </w:r>
      <w:r w:rsidR="006622DD">
        <w:t xml:space="preserve"> bonds of kinship and implies that t</w:t>
      </w:r>
      <w:r w:rsidR="009B03E5" w:rsidRPr="009B03E5">
        <w:t>he older generation blames th</w:t>
      </w:r>
      <w:r w:rsidR="006622DD">
        <w:t>e loss of traditional values on</w:t>
      </w:r>
      <w:r w:rsidR="009B03E5" w:rsidRPr="009B03E5">
        <w:t xml:space="preserve"> the takeover </w:t>
      </w:r>
      <w:r w:rsidR="006622DD">
        <w:t>of the missionaries. The older generation</w:t>
      </w:r>
      <w:r w:rsidR="009B03E5" w:rsidRPr="009B03E5">
        <w:t xml:space="preserve"> see salvation </w:t>
      </w:r>
      <w:r w:rsidR="006622DD">
        <w:t>and hope by</w:t>
      </w:r>
      <w:r w:rsidR="009B03E5" w:rsidRPr="009B03E5">
        <w:t xml:space="preserve"> reverting back to the old ways.</w:t>
      </w:r>
      <w:r w:rsidR="001D7477">
        <w:rPr>
          <w:rStyle w:val="FootnoteReference"/>
        </w:rPr>
        <w:footnoteReference w:id="13"/>
      </w:r>
      <w:r w:rsidR="00220832">
        <w:t xml:space="preserve"> This separates the generations within the tribe, just as the kinds of readers are separated by their experiences that they bring to the novel. Chinua Achebe is </w:t>
      </w:r>
      <w:r w:rsidR="006622DD">
        <w:t>providing this as a reference for</w:t>
      </w:r>
      <w:r w:rsidR="00220832">
        <w:t xml:space="preserve"> the reader to consider the endless possibilities of interpretation, and to act as a reminder to be open minded </w:t>
      </w:r>
      <w:r w:rsidR="006622DD">
        <w:t xml:space="preserve">and </w:t>
      </w:r>
      <w:r w:rsidR="00220832">
        <w:t xml:space="preserve">to allow the text to reshape the readers understanding. </w:t>
      </w:r>
    </w:p>
    <w:p w:rsidR="007A6100" w:rsidRDefault="007A6100" w:rsidP="007A6100">
      <w:pPr>
        <w:pStyle w:val="NoSpacing"/>
        <w:spacing w:line="360" w:lineRule="auto"/>
        <w:ind w:firstLine="720"/>
      </w:pPr>
      <w:r>
        <w:t xml:space="preserve">Another use of literary allusion of which Chinua </w:t>
      </w:r>
      <w:r w:rsidRPr="007A6100">
        <w:t>Achebe</w:t>
      </w:r>
      <w:r>
        <w:t xml:space="preserve"> invites the reader to respond to is the </w:t>
      </w:r>
      <w:r w:rsidRPr="007A6100">
        <w:t xml:space="preserve">opening stanza </w:t>
      </w:r>
      <w:r>
        <w:t>of Willia</w:t>
      </w:r>
      <w:r w:rsidR="004533DB">
        <w:t>m Butler Yeats’</w:t>
      </w:r>
      <w:r>
        <w:t xml:space="preserve"> poem ‘The Second Coming,’</w:t>
      </w:r>
      <w:r w:rsidRPr="007A6100">
        <w:t xml:space="preserve"> </w:t>
      </w:r>
      <w:r>
        <w:t>as an epigraph to the novel, from which the t</w:t>
      </w:r>
      <w:r w:rsidR="009D7B77">
        <w:t>itle of the novel is taken from:</w:t>
      </w:r>
    </w:p>
    <w:p w:rsidR="007A6100" w:rsidRPr="007A6100" w:rsidRDefault="007A6100" w:rsidP="007A6100">
      <w:pPr>
        <w:pStyle w:val="NoSpacing"/>
        <w:spacing w:line="360" w:lineRule="auto"/>
        <w:rPr>
          <w:iCs/>
        </w:rPr>
      </w:pPr>
      <w:r>
        <w:rPr>
          <w:iCs/>
        </w:rPr>
        <w:lastRenderedPageBreak/>
        <w:t>‘</w:t>
      </w:r>
      <w:r w:rsidRPr="007A6100">
        <w:rPr>
          <w:iCs/>
        </w:rPr>
        <w:t>Turning and turning in the widening gyre</w:t>
      </w:r>
      <w:r w:rsidRPr="007A6100">
        <w:rPr>
          <w:iCs/>
        </w:rPr>
        <w:br/>
        <w:t>The falcon cannot hear the falconer;</w:t>
      </w:r>
      <w:r w:rsidRPr="007A6100">
        <w:rPr>
          <w:iCs/>
        </w:rPr>
        <w:br/>
      </w:r>
      <w:r>
        <w:rPr>
          <w:iCs/>
        </w:rPr>
        <w:t>Things fall apart; the centre</w:t>
      </w:r>
      <w:r w:rsidRPr="007A6100">
        <w:rPr>
          <w:iCs/>
        </w:rPr>
        <w:t xml:space="preserve"> cannot hold;</w:t>
      </w:r>
      <w:r w:rsidRPr="007A6100">
        <w:rPr>
          <w:iCs/>
        </w:rPr>
        <w:br/>
        <w:t>Mere anarchy is loosed upon the world.</w:t>
      </w:r>
      <w:r>
        <w:rPr>
          <w:iCs/>
        </w:rPr>
        <w:t>’</w:t>
      </w:r>
      <w:r>
        <w:rPr>
          <w:rStyle w:val="FootnoteReference"/>
          <w:iCs/>
        </w:rPr>
        <w:footnoteReference w:id="14"/>
      </w:r>
    </w:p>
    <w:p w:rsidR="001D287B" w:rsidRDefault="007A6100" w:rsidP="007A6100">
      <w:pPr>
        <w:pStyle w:val="NoSpacing"/>
        <w:spacing w:line="360" w:lineRule="auto"/>
      </w:pPr>
      <w:r>
        <w:t>By referring to</w:t>
      </w:r>
      <w:r w:rsidRPr="007A6100">
        <w:t xml:space="preserve"> these lines,</w:t>
      </w:r>
      <w:r>
        <w:t xml:space="preserve"> Chinua</w:t>
      </w:r>
      <w:r w:rsidR="0043241B">
        <w:t xml:space="preserve"> Achebe parallels</w:t>
      </w:r>
      <w:r w:rsidRPr="007A6100">
        <w:t xml:space="preserve"> the </w:t>
      </w:r>
      <w:r w:rsidR="0043241B">
        <w:t xml:space="preserve">time of </w:t>
      </w:r>
      <w:r w:rsidRPr="007A6100">
        <w:t>chaos</w:t>
      </w:r>
      <w:r w:rsidR="0043241B">
        <w:t xml:space="preserve"> between European history and the collapsed </w:t>
      </w:r>
      <w:r w:rsidRPr="007A6100">
        <w:t xml:space="preserve">system </w:t>
      </w:r>
      <w:r w:rsidR="0043241B">
        <w:t>caused by the European colonisation of Africa.</w:t>
      </w:r>
      <w:r w:rsidR="0043241B">
        <w:rPr>
          <w:rStyle w:val="FootnoteReference"/>
        </w:rPr>
        <w:footnoteReference w:id="15"/>
      </w:r>
      <w:r w:rsidR="0043241B">
        <w:t xml:space="preserve"> The allusion to</w:t>
      </w:r>
      <w:r w:rsidRPr="007A6100">
        <w:t xml:space="preserve"> “the cent</w:t>
      </w:r>
      <w:r w:rsidR="0043241B">
        <w:t>r</w:t>
      </w:r>
      <w:r w:rsidRPr="007A6100">
        <w:t>e can</w:t>
      </w:r>
      <w:r w:rsidR="0043241B">
        <w:t>not hold” is an ironic reminder to both the</w:t>
      </w:r>
      <w:r w:rsidR="004966DA">
        <w:t xml:space="preserve"> disintegration</w:t>
      </w:r>
      <w:r w:rsidRPr="007A6100">
        <w:t xml:space="preserve"> of the African tribal system, </w:t>
      </w:r>
      <w:r w:rsidR="004966DA">
        <w:t xml:space="preserve">which was </w:t>
      </w:r>
      <w:r w:rsidRPr="007A6100">
        <w:t>threatened by the rise of imperialist bureaucracies,</w:t>
      </w:r>
      <w:r w:rsidR="004966DA">
        <w:t xml:space="preserve"> and the imminent collapse</w:t>
      </w:r>
      <w:r w:rsidRPr="007A6100">
        <w:t xml:space="preserve"> of the British Empire. </w:t>
      </w:r>
      <w:r w:rsidR="004966DA">
        <w:t xml:space="preserve">When Chinua </w:t>
      </w:r>
      <w:r w:rsidRPr="007A6100">
        <w:t>Achebe</w:t>
      </w:r>
      <w:r w:rsidR="004966DA">
        <w:t xml:space="preserve"> began</w:t>
      </w:r>
      <w:r w:rsidRPr="007A6100">
        <w:t xml:space="preserve"> writing</w:t>
      </w:r>
      <w:r w:rsidR="004966DA">
        <w:t xml:space="preserve"> </w:t>
      </w:r>
      <w:r w:rsidR="004966DA" w:rsidRPr="004966DA">
        <w:rPr>
          <w:i/>
        </w:rPr>
        <w:t>Things Fall Apart</w:t>
      </w:r>
      <w:r w:rsidR="004966DA">
        <w:t xml:space="preserve"> in the mid-1950s, West African literature was still at its beginning</w:t>
      </w:r>
      <w:r w:rsidRPr="007A6100">
        <w:t>,</w:t>
      </w:r>
      <w:r w:rsidR="004966DA">
        <w:t xml:space="preserve"> there was very little established indigenous literary tradition for him to engage with, therefore he</w:t>
      </w:r>
      <w:r w:rsidRPr="007A6100">
        <w:t xml:space="preserve"> had the benefit of retrospection in depicting Nigerian society and British colonialism in the 1890s</w:t>
      </w:r>
      <w:r w:rsidR="004966DA">
        <w:rPr>
          <w:rStyle w:val="FootnoteReference"/>
        </w:rPr>
        <w:footnoteReference w:id="16"/>
      </w:r>
      <w:r w:rsidRPr="007A6100">
        <w:t>.</w:t>
      </w:r>
      <w:r>
        <w:t xml:space="preserve"> </w:t>
      </w:r>
      <w:r w:rsidR="004966DA">
        <w:t xml:space="preserve">However, </w:t>
      </w:r>
      <w:r w:rsidR="00BC0E1E">
        <w:t xml:space="preserve">Chinua Achebe’s allusion is not </w:t>
      </w:r>
      <w:r w:rsidR="004966DA">
        <w:t>directly</w:t>
      </w:r>
      <w:r w:rsidRPr="007A6100">
        <w:t xml:space="preserve"> political</w:t>
      </w:r>
      <w:r w:rsidR="00BC0E1E">
        <w:t>;</w:t>
      </w:r>
      <w:r w:rsidRPr="007A6100">
        <w:t xml:space="preserve"> </w:t>
      </w:r>
      <w:r w:rsidR="009D7B77">
        <w:t xml:space="preserve">William Butler </w:t>
      </w:r>
      <w:r w:rsidRPr="007A6100">
        <w:t xml:space="preserve">Yeats’s poem is about the </w:t>
      </w:r>
      <w:r w:rsidR="009D7B77">
        <w:t>‘</w:t>
      </w:r>
      <w:r w:rsidRPr="007A6100">
        <w:t>Second Coming</w:t>
      </w:r>
      <w:r w:rsidR="009D7B77">
        <w:t>’</w:t>
      </w:r>
      <w:r w:rsidRPr="007A6100">
        <w:t>, a return and revelation of sorts. In </w:t>
      </w:r>
      <w:r w:rsidRPr="007A6100">
        <w:rPr>
          <w:i/>
          <w:iCs/>
        </w:rPr>
        <w:t>Things Fall Apart,</w:t>
      </w:r>
      <w:r w:rsidR="006572BF">
        <w:t> this acknowledges</w:t>
      </w:r>
      <w:r w:rsidRPr="007A6100">
        <w:t xml:space="preserve"> the </w:t>
      </w:r>
      <w:r w:rsidR="006572BF">
        <w:t>alleged revelation of the Christian missionaries’</w:t>
      </w:r>
      <w:r w:rsidRPr="007A6100">
        <w:t xml:space="preserve"> teachings</w:t>
      </w:r>
      <w:r w:rsidR="004966DA">
        <w:t>, further satiris</w:t>
      </w:r>
      <w:r w:rsidR="006572BF">
        <w:t xml:space="preserve">ing their </w:t>
      </w:r>
      <w:r w:rsidRPr="007A6100">
        <w:t xml:space="preserve">supposed </w:t>
      </w:r>
      <w:r w:rsidR="006572BF">
        <w:t>compassion</w:t>
      </w:r>
      <w:r w:rsidR="004966DA">
        <w:t xml:space="preserve"> in converting the I</w:t>
      </w:r>
      <w:r w:rsidRPr="007A6100">
        <w:t>bo</w:t>
      </w:r>
      <w:r w:rsidR="006572BF">
        <w:t xml:space="preserve"> culture</w:t>
      </w:r>
      <w:r w:rsidRPr="007A6100">
        <w:t>. For an agricultural society accustomed to a series of cycles, including that of the locusts,</w:t>
      </w:r>
      <w:r w:rsidR="004966DA">
        <w:t xml:space="preserve"> ‘</w:t>
      </w:r>
      <w:r w:rsidR="004966DA" w:rsidRPr="004966DA">
        <w:t>And</w:t>
      </w:r>
      <w:r w:rsidR="000531A4">
        <w:t xml:space="preserve"> then the locusts came</w:t>
      </w:r>
      <w:r w:rsidR="004966DA">
        <w:t>’</w:t>
      </w:r>
      <w:r w:rsidR="006572BF">
        <w:t>,</w:t>
      </w:r>
      <w:r w:rsidR="004966DA">
        <w:rPr>
          <w:rStyle w:val="FootnoteReference"/>
        </w:rPr>
        <w:footnoteReference w:id="17"/>
      </w:r>
      <w:r w:rsidRPr="007A6100">
        <w:t xml:space="preserve"> the notion of return</w:t>
      </w:r>
      <w:r w:rsidR="006572BF">
        <w:t>, ‘The S</w:t>
      </w:r>
      <w:r w:rsidR="009D7B77">
        <w:t>e</w:t>
      </w:r>
      <w:r w:rsidR="006572BF">
        <w:t>cond Coming,’</w:t>
      </w:r>
      <w:r w:rsidRPr="007A6100">
        <w:t xml:space="preserve"> would be quite credible and familiar.</w:t>
      </w:r>
      <w:r>
        <w:t xml:space="preserve"> </w:t>
      </w:r>
      <w:r w:rsidR="006572BF">
        <w:t>This hyperbolic and opposing</w:t>
      </w:r>
      <w:r w:rsidRPr="007A6100">
        <w:t xml:space="preserve"> nature of the passage’s language suggests the inability of hu</w:t>
      </w:r>
      <w:r w:rsidR="006572BF">
        <w:t>mankind to thwart this collapse: ‘Mere anarchy’</w:t>
      </w:r>
      <w:r w:rsidRPr="007A6100">
        <w:t xml:space="preserve"> i</w:t>
      </w:r>
      <w:r w:rsidR="006572BF">
        <w:t>s an oxymoron to a certain extent, because</w:t>
      </w:r>
      <w:r w:rsidRPr="007A6100">
        <w:t xml:space="preserve"> the definition of anar</w:t>
      </w:r>
      <w:r w:rsidR="006572BF">
        <w:t>chy implies an undeniably powerful</w:t>
      </w:r>
      <w:r w:rsidRPr="007A6100">
        <w:t xml:space="preserve"> level of radicalism. The abstraction in the language makes the poem’s ideas</w:t>
      </w:r>
      <w:r w:rsidR="006572BF">
        <w:t xml:space="preserve"> universal</w:t>
      </w:r>
      <w:r w:rsidR="0033362F">
        <w:t xml:space="preserve"> by referring to ‘</w:t>
      </w:r>
      <w:r w:rsidR="006572BF">
        <w:t>t</w:t>
      </w:r>
      <w:r w:rsidR="0033362F">
        <w:t>hings’</w:t>
      </w:r>
      <w:r w:rsidR="006572BF">
        <w:t xml:space="preserve"> falling apart, rather than explicitly</w:t>
      </w:r>
      <w:r w:rsidRPr="007A6100">
        <w:t xml:space="preserve"> specifying what </w:t>
      </w:r>
      <w:r w:rsidR="0033362F">
        <w:t>‘</w:t>
      </w:r>
      <w:r w:rsidRPr="007A6100">
        <w:t>things</w:t>
      </w:r>
      <w:r w:rsidR="0033362F">
        <w:t>’</w:t>
      </w:r>
      <w:r w:rsidRPr="007A6100">
        <w:t xml:space="preserve"> are</w:t>
      </w:r>
      <w:r w:rsidR="0033362F">
        <w:t xml:space="preserve"> collapsing. Consequently, both</w:t>
      </w:r>
      <w:r w:rsidR="009D7B77">
        <w:t xml:space="preserve"> William Butler</w:t>
      </w:r>
      <w:r w:rsidR="0033362F">
        <w:t xml:space="preserve"> Yeats and </w:t>
      </w:r>
      <w:r w:rsidR="009D7B77">
        <w:t xml:space="preserve">Chinua </w:t>
      </w:r>
      <w:r w:rsidR="0033362F">
        <w:t>Achebe leave their</w:t>
      </w:r>
      <w:r w:rsidRPr="007A6100">
        <w:t xml:space="preserve"> words open to a greater range of interpretations</w:t>
      </w:r>
      <w:r w:rsidR="0033362F">
        <w:t xml:space="preserve"> by the</w:t>
      </w:r>
      <w:r w:rsidR="008C72A9">
        <w:t>ir</w:t>
      </w:r>
      <w:r w:rsidR="0033362F">
        <w:t xml:space="preserve"> reader</w:t>
      </w:r>
      <w:r w:rsidR="008C72A9">
        <w:t>s</w:t>
      </w:r>
      <w:r w:rsidRPr="007A6100">
        <w:t>.</w:t>
      </w:r>
      <w:r>
        <w:t xml:space="preserve"> </w:t>
      </w:r>
      <w:r w:rsidR="001E3128">
        <w:t>T</w:t>
      </w:r>
      <w:r w:rsidR="001E3128" w:rsidRPr="001E3128">
        <w:t>he reader a</w:t>
      </w:r>
      <w:r w:rsidR="0033362F">
        <w:t xml:space="preserve">ssumes the structure to be thoughtful and relational in some way, whilst the text, represents a </w:t>
      </w:r>
      <w:r w:rsidR="001E3128" w:rsidRPr="001E3128">
        <w:t xml:space="preserve">relationship between </w:t>
      </w:r>
      <w:r w:rsidR="0033362F">
        <w:t>‘ordinary’ language, and the world. Meanwhile</w:t>
      </w:r>
      <w:r w:rsidR="001E3128" w:rsidRPr="001E3128">
        <w:t xml:space="preserve"> the reader's relationship </w:t>
      </w:r>
      <w:r w:rsidR="0033362F">
        <w:t>to the text is structured by their</w:t>
      </w:r>
      <w:r w:rsidR="001E3128" w:rsidRPr="001E3128">
        <w:t xml:space="preserve"> own </w:t>
      </w:r>
      <w:r w:rsidR="0033362F">
        <w:t>knowledge and understanding</w:t>
      </w:r>
      <w:r w:rsidR="001E3128" w:rsidRPr="001E3128">
        <w:t xml:space="preserve"> about purposes, language, and the world, </w:t>
      </w:r>
      <w:r w:rsidR="0033362F">
        <w:t>that correspond invisibly to their experiences</w:t>
      </w:r>
      <w:r w:rsidR="001E3128" w:rsidRPr="001E3128">
        <w:t>,</w:t>
      </w:r>
      <w:r w:rsidR="0033362F">
        <w:t xml:space="preserve"> and the way they connect to the text they are reading. Therefore</w:t>
      </w:r>
      <w:r w:rsidR="001E3128" w:rsidRPr="001E3128">
        <w:t xml:space="preserve">, there is no verbal structure given in reading that takes explicit </w:t>
      </w:r>
      <w:r w:rsidR="0033362F">
        <w:t xml:space="preserve">awareness </w:t>
      </w:r>
      <w:r w:rsidR="001E3128" w:rsidRPr="001E3128">
        <w:t>of the most importa</w:t>
      </w:r>
      <w:r w:rsidR="0033362F">
        <w:t>nt feature of reading as an act.</w:t>
      </w:r>
      <w:r w:rsidR="001D5CB0">
        <w:rPr>
          <w:rStyle w:val="FootnoteReference"/>
        </w:rPr>
        <w:footnoteReference w:id="18"/>
      </w:r>
      <w:r w:rsidR="0033362F">
        <w:t xml:space="preserve"> </w:t>
      </w:r>
    </w:p>
    <w:p w:rsidR="00FC3DC6" w:rsidRDefault="00EC21A4" w:rsidP="007A6100">
      <w:pPr>
        <w:pStyle w:val="NoSpacing"/>
        <w:spacing w:line="360" w:lineRule="auto"/>
      </w:pPr>
      <w:r>
        <w:lastRenderedPageBreak/>
        <w:tab/>
      </w:r>
      <w:r w:rsidR="008A70B1">
        <w:t xml:space="preserve">In </w:t>
      </w:r>
      <w:r>
        <w:t>Chapter 7</w:t>
      </w:r>
      <w:r w:rsidR="008A70B1">
        <w:t>, Chinua Achebe foreshadows</w:t>
      </w:r>
      <w:r>
        <w:t xml:space="preserve"> the Western colonisers arrival, </w:t>
      </w:r>
      <w:r w:rsidR="008A70B1">
        <w:t xml:space="preserve">as </w:t>
      </w:r>
      <w:r>
        <w:t xml:space="preserve">represented by the </w:t>
      </w:r>
      <w:r w:rsidR="000531A4">
        <w:t xml:space="preserve">descending </w:t>
      </w:r>
      <w:r>
        <w:t>locusts that ‘</w:t>
      </w:r>
      <w:r w:rsidRPr="00EC21A4">
        <w:t>settled on every tree and on every blade of grass; they settled on the roofs and covered the bare ground. Mighty tree branches broke away under them, and the whole country became the brown-earth colo</w:t>
      </w:r>
      <w:r>
        <w:t>u</w:t>
      </w:r>
      <w:r w:rsidRPr="00EC21A4">
        <w:t>r of the vast, hungry swarm.</w:t>
      </w:r>
      <w:r>
        <w:t>’</w:t>
      </w:r>
      <w:r w:rsidR="000531A4">
        <w:rPr>
          <w:rStyle w:val="FootnoteReference"/>
        </w:rPr>
        <w:footnoteReference w:id="19"/>
      </w:r>
      <w:r w:rsidR="000531A4">
        <w:t xml:space="preserve"> The literal changing of the colour of the earth signifies the arrival of the colonisers, which eventually alter the culture of the Ibo tribe indefinitely. The repetition of ‘settle’ reflects the presence of the locusts, symbolising the colonisers, whilst the broken branches represent the fragility of the Ibo cultural roots. Ironically, the swarm is not white, but rather a ‘brown-earth colour’ which emphasises the existence of the locusts and the impact they have on the land.</w:t>
      </w:r>
      <w:r w:rsidR="000531A4">
        <w:rPr>
          <w:rStyle w:val="FootnoteReference"/>
        </w:rPr>
        <w:footnoteReference w:id="20"/>
      </w:r>
      <w:r w:rsidR="00397365">
        <w:t xml:space="preserve"> </w:t>
      </w:r>
      <w:r w:rsidR="00653995">
        <w:t xml:space="preserve">Chinua Achebe makes it clear to the reader that the locusts indicate </w:t>
      </w:r>
      <w:r w:rsidR="000E630E">
        <w:t xml:space="preserve">a period of </w:t>
      </w:r>
      <w:r w:rsidR="00653995">
        <w:t xml:space="preserve">trouble, they destroy the land and the villagers are unaware of how to get rid of them. However, the locusts become a source of food for the villagers, which in relation to the Christian missionaries, shows that some of the characters in the novel such as Okonkwo, see the negative effects </w:t>
      </w:r>
      <w:r w:rsidR="0017473F">
        <w:t xml:space="preserve">and wants rid of the missionaries, whereas others like Nwoye, are more comfortable to see both the positives and negatives of the situation. </w:t>
      </w:r>
      <w:r w:rsidR="00FC3DC6" w:rsidRPr="00FC3DC6">
        <w:t xml:space="preserve">The </w:t>
      </w:r>
      <w:r w:rsidR="006273D1">
        <w:t>significance of the directly opposing concepts of ‘native’ identity and ‘alienation’</w:t>
      </w:r>
      <w:r w:rsidR="00FC3DC6" w:rsidRPr="00FC3DC6">
        <w:t xml:space="preserve"> embedded in the structure of </w:t>
      </w:r>
      <w:r w:rsidR="00FC3DC6" w:rsidRPr="006273D1">
        <w:rPr>
          <w:i/>
        </w:rPr>
        <w:t>Things Fall Apart</w:t>
      </w:r>
      <w:r w:rsidR="006273D1">
        <w:t xml:space="preserve"> is evident in</w:t>
      </w:r>
      <w:r w:rsidR="00FC3DC6" w:rsidRPr="00FC3DC6">
        <w:t xml:space="preserve"> the systemic issues of racism, colonialism, Christianity, and traditional Af</w:t>
      </w:r>
      <w:r w:rsidR="006273D1">
        <w:t>rican cultures</w:t>
      </w:r>
      <w:r w:rsidR="00FC3DC6" w:rsidRPr="00FC3DC6">
        <w:t xml:space="preserve">. They constitute major </w:t>
      </w:r>
      <w:r w:rsidR="006273D1">
        <w:t xml:space="preserve">dividing </w:t>
      </w:r>
      <w:r w:rsidR="00FC3DC6" w:rsidRPr="00FC3DC6">
        <w:t>entitie</w:t>
      </w:r>
      <w:r w:rsidR="006273D1">
        <w:t>s of what Chinua Achebe himself calls ‘a world of dualities,’</w:t>
      </w:r>
      <w:r w:rsidR="00FC3DC6" w:rsidRPr="00FC3DC6">
        <w:t xml:space="preserve"> </w:t>
      </w:r>
      <w:r w:rsidR="006273D1">
        <w:t>regardless of</w:t>
      </w:r>
      <w:r w:rsidR="00FC3DC6" w:rsidRPr="00FC3DC6">
        <w:t xml:space="preserve"> what we think of them. For </w:t>
      </w:r>
      <w:r w:rsidR="006273D1">
        <w:t xml:space="preserve">Chinua </w:t>
      </w:r>
      <w:r w:rsidR="00F70D67">
        <w:t>Achebe</w:t>
      </w:r>
      <w:r w:rsidR="00FC3DC6" w:rsidRPr="00FC3DC6">
        <w:t xml:space="preserve">, these were </w:t>
      </w:r>
      <w:r w:rsidR="00E84A36">
        <w:t xml:space="preserve">the </w:t>
      </w:r>
      <w:r w:rsidR="00FC3DC6" w:rsidRPr="00FC3DC6">
        <w:t xml:space="preserve">realities which </w:t>
      </w:r>
      <w:r w:rsidR="006273D1">
        <w:t>the colonis</w:t>
      </w:r>
      <w:r w:rsidR="00FC3DC6" w:rsidRPr="00FC3DC6">
        <w:t>er</w:t>
      </w:r>
      <w:r w:rsidR="00A16247">
        <w:t>s</w:t>
      </w:r>
      <w:r w:rsidR="00FC3DC6" w:rsidRPr="00FC3DC6">
        <w:t xml:space="preserve"> failed to </w:t>
      </w:r>
      <w:r w:rsidR="00E84A36">
        <w:t>distinguish</w:t>
      </w:r>
      <w:r w:rsidR="00FC3DC6" w:rsidRPr="00FC3DC6">
        <w:t xml:space="preserve"> duri</w:t>
      </w:r>
      <w:r w:rsidR="00A16247">
        <w:t xml:space="preserve">ng their </w:t>
      </w:r>
      <w:r w:rsidR="006273D1">
        <w:t>planned agenda of colonis</w:t>
      </w:r>
      <w:r w:rsidR="00FC3DC6" w:rsidRPr="00FC3DC6">
        <w:t>ation and evangelism</w:t>
      </w:r>
      <w:r w:rsidR="006273D1">
        <w:t xml:space="preserve"> in Africa</w:t>
      </w:r>
      <w:r w:rsidR="00A16247">
        <w:t>, just as they</w:t>
      </w:r>
      <w:r w:rsidR="00F70D67">
        <w:t xml:space="preserve"> had done</w:t>
      </w:r>
      <w:r w:rsidR="00FC3DC6" w:rsidRPr="00FC3DC6">
        <w:t xml:space="preserve"> with slave</w:t>
      </w:r>
      <w:r w:rsidR="00A16247">
        <w:t>ry. Ironically, Okonkwo fails</w:t>
      </w:r>
      <w:r w:rsidR="006273D1">
        <w:t xml:space="preserve"> to recognis</w:t>
      </w:r>
      <w:r w:rsidR="00FC3DC6" w:rsidRPr="00FC3DC6">
        <w:t>e such a duality in the patterning of life. Like the white m</w:t>
      </w:r>
      <w:r w:rsidR="006273D1">
        <w:t>en, he</w:t>
      </w:r>
      <w:r w:rsidR="00A16247">
        <w:t xml:space="preserve"> too fails</w:t>
      </w:r>
      <w:r w:rsidR="00FC3DC6" w:rsidRPr="00FC3DC6">
        <w:t xml:space="preserve"> to</w:t>
      </w:r>
      <w:r w:rsidR="006273D1">
        <w:t xml:space="preserve"> see a world beyond his own, and in the </w:t>
      </w:r>
      <w:r w:rsidR="00E84A36">
        <w:t>end, Okonkwo</w:t>
      </w:r>
      <w:r w:rsidR="006273D1">
        <w:t xml:space="preserve"> pay</w:t>
      </w:r>
      <w:r w:rsidR="00130851">
        <w:t>s with a great suffering</w:t>
      </w:r>
      <w:r w:rsidR="006273D1">
        <w:t xml:space="preserve"> for his</w:t>
      </w:r>
      <w:r w:rsidR="00FC3DC6" w:rsidRPr="00FC3DC6">
        <w:t xml:space="preserve"> </w:t>
      </w:r>
      <w:r w:rsidR="00130851">
        <w:t>‘</w:t>
      </w:r>
      <w:r w:rsidR="00FC3DC6" w:rsidRPr="00FC3DC6">
        <w:t>calculated</w:t>
      </w:r>
      <w:r w:rsidR="006273D1">
        <w:t xml:space="preserve"> visions and realities</w:t>
      </w:r>
      <w:r w:rsidR="00130851">
        <w:t>’</w:t>
      </w:r>
      <w:r w:rsidR="006273D1">
        <w:t>. T</w:t>
      </w:r>
      <w:r w:rsidR="00FC3DC6" w:rsidRPr="00FC3DC6">
        <w:t xml:space="preserve">he concept of duality envisioned by </w:t>
      </w:r>
      <w:r w:rsidR="006273D1">
        <w:t xml:space="preserve">Chinua </w:t>
      </w:r>
      <w:r w:rsidR="00130851">
        <w:t>Achebe is shown distinctly</w:t>
      </w:r>
      <w:r w:rsidR="00FC3DC6" w:rsidRPr="00FC3DC6">
        <w:t xml:space="preserve"> in the words of Okonkwo's uncle, </w:t>
      </w:r>
      <w:proofErr w:type="spellStart"/>
      <w:r w:rsidR="00FC3DC6" w:rsidRPr="00FC3DC6">
        <w:t>Uchendu</w:t>
      </w:r>
      <w:proofErr w:type="spellEnd"/>
      <w:r w:rsidR="00FC3DC6" w:rsidRPr="00FC3DC6">
        <w:t xml:space="preserve">, during their reflective conversation with Obierika and </w:t>
      </w:r>
      <w:r w:rsidR="00130851">
        <w:t xml:space="preserve">the </w:t>
      </w:r>
      <w:r w:rsidR="00FC3DC6" w:rsidRPr="00FC3DC6">
        <w:t xml:space="preserve">others </w:t>
      </w:r>
      <w:r w:rsidR="00130851">
        <w:t>when they visit</w:t>
      </w:r>
      <w:r w:rsidR="00FC3DC6" w:rsidRPr="00FC3DC6">
        <w:t xml:space="preserve"> </w:t>
      </w:r>
      <w:proofErr w:type="spellStart"/>
      <w:r w:rsidR="00FC3DC6" w:rsidRPr="00FC3DC6">
        <w:t>Mbanta</w:t>
      </w:r>
      <w:proofErr w:type="spellEnd"/>
      <w:r w:rsidR="00FA4147">
        <w:rPr>
          <w:rStyle w:val="FootnoteReference"/>
        </w:rPr>
        <w:footnoteReference w:id="21"/>
      </w:r>
      <w:r w:rsidR="00FC3DC6" w:rsidRPr="00FC3DC6">
        <w:t>:</w:t>
      </w:r>
      <w:r w:rsidR="006273D1">
        <w:t xml:space="preserve"> </w:t>
      </w:r>
    </w:p>
    <w:p w:rsidR="00B51071" w:rsidRDefault="006273D1" w:rsidP="007A6100">
      <w:pPr>
        <w:pStyle w:val="NoSpacing"/>
        <w:spacing w:line="360" w:lineRule="auto"/>
      </w:pPr>
      <w:r>
        <w:t xml:space="preserve">‘“There is no story that is not true,” said </w:t>
      </w:r>
      <w:proofErr w:type="spellStart"/>
      <w:r>
        <w:t>Uchendu</w:t>
      </w:r>
      <w:proofErr w:type="spellEnd"/>
      <w:r>
        <w:t>. “The world has no end, and what is good among on</w:t>
      </w:r>
      <w:r w:rsidR="00130851">
        <w:t>e</w:t>
      </w:r>
      <w:r>
        <w:t xml:space="preserve"> people is an abomination with others.”’</w:t>
      </w:r>
      <w:r>
        <w:rPr>
          <w:rStyle w:val="FootnoteReference"/>
        </w:rPr>
        <w:footnoteReference w:id="22"/>
      </w:r>
      <w:r w:rsidR="00F70D67">
        <w:t xml:space="preserve"> </w:t>
      </w:r>
      <w:r w:rsidR="0017473F">
        <w:t xml:space="preserve">This seems to suggest that as a reader we should be aware of multiple points of view within the story, </w:t>
      </w:r>
      <w:r w:rsidR="00130851">
        <w:t xml:space="preserve">that </w:t>
      </w:r>
      <w:r w:rsidR="0017473F">
        <w:t>perspective is significant</w:t>
      </w:r>
      <w:r w:rsidR="00130851">
        <w:t>ly important</w:t>
      </w:r>
      <w:r w:rsidR="0017473F">
        <w:t xml:space="preserve"> in narrative. </w:t>
      </w:r>
      <w:r w:rsidR="000341D0">
        <w:t xml:space="preserve">Therefore, the reader’s interpretation is important, as our knowledge and experiences will </w:t>
      </w:r>
      <w:r w:rsidR="000341D0">
        <w:lastRenderedPageBreak/>
        <w:t xml:space="preserve">shape how we view the novel as a whole, </w:t>
      </w:r>
      <w:r w:rsidR="00F70D67">
        <w:t xml:space="preserve">and that </w:t>
      </w:r>
      <w:r w:rsidR="000341D0">
        <w:t>this response is constrained by the author’s type of reader.</w:t>
      </w:r>
    </w:p>
    <w:p w:rsidR="00DC159E" w:rsidRDefault="00DC159E" w:rsidP="007A6100">
      <w:pPr>
        <w:pStyle w:val="NoSpacing"/>
        <w:spacing w:line="360" w:lineRule="auto"/>
      </w:pPr>
      <w:r>
        <w:tab/>
        <w:t xml:space="preserve">In conclusion, Chinua Achebe’s </w:t>
      </w:r>
      <w:r w:rsidR="00703724">
        <w:t>Things Fall Apart, certainly</w:t>
      </w:r>
      <w:r>
        <w:t xml:space="preserve"> requi</w:t>
      </w:r>
      <w:r w:rsidR="00703724">
        <w:t>res the reader to have a specific</w:t>
      </w:r>
      <w:r>
        <w:t xml:space="preserve"> level of competence in order to understand the authors methods and to be able to analyse the text effectively. However, it is also important to recognise that although a level of knowledge is </w:t>
      </w:r>
      <w:r w:rsidR="004632CB">
        <w:t>relevant</w:t>
      </w:r>
      <w:r>
        <w:t xml:space="preserve"> to influenc</w:t>
      </w:r>
      <w:r w:rsidR="00001632">
        <w:t>e the readers comprehension, for their intelligence and experience to expand and grow</w:t>
      </w:r>
      <w:r w:rsidR="00120F3F">
        <w:t xml:space="preserve">, it is </w:t>
      </w:r>
      <w:r w:rsidR="00001632">
        <w:t xml:space="preserve">equally </w:t>
      </w:r>
      <w:r w:rsidR="00120F3F">
        <w:t>essential for the reader to impart their own values into the text. This mutual relationship between the novel and its reader is necessary so that the level of engagement by the reader can be directed and controlled by the text is successful</w:t>
      </w:r>
      <w:r w:rsidR="00703724">
        <w:t xml:space="preserve"> and for the novel to engage with the reader</w:t>
      </w:r>
      <w:r w:rsidR="00120F3F">
        <w:t xml:space="preserve">. </w:t>
      </w:r>
      <w:r w:rsidR="00694F43">
        <w:t xml:space="preserve">Therefore, </w:t>
      </w:r>
      <w:r w:rsidR="00E7463C">
        <w:t>the reader provides the text with knowledge and experience that shapes the events in the novel, from their familiarity with other texts, but the text also provides the reader with alternative knowledge to enrich and broaden their philosophy.</w:t>
      </w:r>
    </w:p>
    <w:p w:rsidR="00EC21A4" w:rsidRDefault="00EC21A4" w:rsidP="007A6100">
      <w:pPr>
        <w:pStyle w:val="NoSpacing"/>
        <w:spacing w:line="360" w:lineRule="auto"/>
      </w:pPr>
      <w:r>
        <w:tab/>
      </w:r>
    </w:p>
    <w:p w:rsidR="0033362F" w:rsidRDefault="0033362F" w:rsidP="007A6100">
      <w:pPr>
        <w:pStyle w:val="NoSpacing"/>
        <w:spacing w:line="360" w:lineRule="auto"/>
      </w:pPr>
      <w:r>
        <w:tab/>
      </w: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Default="00A6796A" w:rsidP="007A6100">
      <w:pPr>
        <w:pStyle w:val="NoSpacing"/>
        <w:spacing w:line="360" w:lineRule="auto"/>
        <w:rPr>
          <w:u w:val="single"/>
        </w:rPr>
      </w:pPr>
    </w:p>
    <w:p w:rsidR="00A6796A" w:rsidRPr="00A6796A" w:rsidRDefault="00A6796A" w:rsidP="007A6100">
      <w:pPr>
        <w:pStyle w:val="NoSpacing"/>
        <w:spacing w:line="360" w:lineRule="auto"/>
        <w:rPr>
          <w:u w:val="single"/>
        </w:rPr>
      </w:pPr>
      <w:r w:rsidRPr="00A6796A">
        <w:rPr>
          <w:u w:val="single"/>
        </w:rPr>
        <w:lastRenderedPageBreak/>
        <w:t>Bibliography</w:t>
      </w:r>
      <w:bookmarkStart w:id="8" w:name="_GoBack"/>
      <w:bookmarkEnd w:id="8"/>
    </w:p>
    <w:p w:rsidR="00A6796A" w:rsidRPr="00A6796A" w:rsidRDefault="00A6796A" w:rsidP="00A6796A">
      <w:pPr>
        <w:pStyle w:val="FootnoteText"/>
        <w:spacing w:line="360" w:lineRule="auto"/>
        <w:rPr>
          <w:sz w:val="22"/>
          <w:szCs w:val="22"/>
        </w:rPr>
      </w:pPr>
      <w:r w:rsidRPr="00A6796A">
        <w:rPr>
          <w:sz w:val="22"/>
          <w:szCs w:val="22"/>
        </w:rPr>
        <w:t>Achebe</w:t>
      </w:r>
      <w:r w:rsidRPr="00A6796A">
        <w:rPr>
          <w:sz w:val="22"/>
          <w:szCs w:val="22"/>
        </w:rPr>
        <w:t>, Chinua</w:t>
      </w:r>
      <w:r w:rsidRPr="00A6796A">
        <w:rPr>
          <w:sz w:val="22"/>
          <w:szCs w:val="22"/>
        </w:rPr>
        <w:t xml:space="preserve">, </w:t>
      </w:r>
      <w:r w:rsidRPr="00A6796A">
        <w:rPr>
          <w:i/>
          <w:sz w:val="22"/>
          <w:szCs w:val="22"/>
        </w:rPr>
        <w:t>Things Fall Apart</w:t>
      </w:r>
      <w:r w:rsidRPr="00A6796A">
        <w:rPr>
          <w:sz w:val="22"/>
          <w:szCs w:val="22"/>
        </w:rPr>
        <w:t xml:space="preserve"> (Lon</w:t>
      </w:r>
      <w:r w:rsidRPr="00A6796A">
        <w:rPr>
          <w:sz w:val="22"/>
          <w:szCs w:val="22"/>
        </w:rPr>
        <w:t>don: Penguin, 1958, 2001)</w:t>
      </w:r>
    </w:p>
    <w:p w:rsidR="00A6796A" w:rsidRDefault="00A6796A" w:rsidP="00A6796A">
      <w:pPr>
        <w:pStyle w:val="FootnoteText"/>
        <w:spacing w:line="360" w:lineRule="auto"/>
        <w:rPr>
          <w:sz w:val="22"/>
          <w:szCs w:val="22"/>
        </w:rPr>
      </w:pPr>
    </w:p>
    <w:p w:rsidR="00A6796A" w:rsidRPr="00A6796A" w:rsidRDefault="00A6796A" w:rsidP="00A6796A">
      <w:pPr>
        <w:pStyle w:val="FootnoteText"/>
        <w:spacing w:line="360" w:lineRule="auto"/>
        <w:rPr>
          <w:sz w:val="22"/>
          <w:szCs w:val="22"/>
        </w:rPr>
      </w:pPr>
      <w:r w:rsidRPr="00A6796A">
        <w:rPr>
          <w:sz w:val="22"/>
          <w:szCs w:val="22"/>
        </w:rPr>
        <w:t>Isenberg,</w:t>
      </w:r>
      <w:r w:rsidRPr="00A6796A">
        <w:rPr>
          <w:sz w:val="22"/>
          <w:szCs w:val="22"/>
        </w:rPr>
        <w:t xml:space="preserve"> Nancy,</w:t>
      </w:r>
      <w:r w:rsidRPr="00A6796A">
        <w:rPr>
          <w:sz w:val="22"/>
          <w:szCs w:val="22"/>
        </w:rPr>
        <w:t xml:space="preserve"> ‘Literary Competence: the EFL reader and the role of the teacher’, &lt;</w:t>
      </w:r>
      <w:hyperlink r:id="rId8" w:history="1">
        <w:r w:rsidRPr="00A6796A">
          <w:rPr>
            <w:rStyle w:val="Hyperlink"/>
            <w:sz w:val="22"/>
            <w:szCs w:val="22"/>
          </w:rPr>
          <w:t>https://academic.oup.com/eltj/article-abstract/44/3/181/392962</w:t>
        </w:r>
      </w:hyperlink>
      <w:r w:rsidRPr="00A6796A">
        <w:rPr>
          <w:sz w:val="22"/>
          <w:szCs w:val="22"/>
        </w:rPr>
        <w:t xml:space="preserve">&gt; </w:t>
      </w:r>
    </w:p>
    <w:p w:rsidR="00A6796A" w:rsidRDefault="00A6796A" w:rsidP="00A6796A">
      <w:pPr>
        <w:pStyle w:val="NoSpacing"/>
        <w:spacing w:line="360" w:lineRule="auto"/>
      </w:pPr>
    </w:p>
    <w:p w:rsidR="00A6796A" w:rsidRPr="00A6796A" w:rsidRDefault="00A6796A" w:rsidP="00A6796A">
      <w:pPr>
        <w:pStyle w:val="NoSpacing"/>
        <w:spacing w:line="360" w:lineRule="auto"/>
      </w:pPr>
      <w:r w:rsidRPr="00A6796A">
        <w:t>McEwan,</w:t>
      </w:r>
      <w:r w:rsidRPr="00A6796A">
        <w:t xml:space="preserve"> Neil,</w:t>
      </w:r>
      <w:r w:rsidRPr="00A6796A">
        <w:t xml:space="preserve"> </w:t>
      </w:r>
      <w:r w:rsidRPr="00A6796A">
        <w:rPr>
          <w:i/>
        </w:rPr>
        <w:t>Africa and the Novel</w:t>
      </w:r>
      <w:r w:rsidRPr="00A6796A">
        <w:t xml:space="preserve"> (Atlantic Highlands, N.J.: Humanities Press, 1983)</w:t>
      </w:r>
    </w:p>
    <w:p w:rsidR="00A6796A" w:rsidRDefault="00A6796A" w:rsidP="00A6796A">
      <w:pPr>
        <w:pStyle w:val="FootnoteText"/>
        <w:spacing w:line="360" w:lineRule="auto"/>
        <w:rPr>
          <w:sz w:val="22"/>
          <w:szCs w:val="22"/>
        </w:rPr>
      </w:pPr>
    </w:p>
    <w:p w:rsidR="00A6796A" w:rsidRPr="00A6796A" w:rsidRDefault="00A6796A" w:rsidP="00A6796A">
      <w:pPr>
        <w:pStyle w:val="FootnoteText"/>
        <w:spacing w:line="360" w:lineRule="auto"/>
        <w:rPr>
          <w:sz w:val="22"/>
          <w:szCs w:val="22"/>
        </w:rPr>
      </w:pPr>
      <w:proofErr w:type="spellStart"/>
      <w:r w:rsidRPr="00A6796A">
        <w:rPr>
          <w:sz w:val="22"/>
          <w:szCs w:val="22"/>
        </w:rPr>
        <w:t>Rimmon</w:t>
      </w:r>
      <w:proofErr w:type="spellEnd"/>
      <w:r w:rsidRPr="00A6796A">
        <w:rPr>
          <w:sz w:val="22"/>
          <w:szCs w:val="22"/>
        </w:rPr>
        <w:t>-Kenan,</w:t>
      </w:r>
      <w:r w:rsidRPr="00A6796A">
        <w:rPr>
          <w:sz w:val="22"/>
          <w:szCs w:val="22"/>
        </w:rPr>
        <w:t xml:space="preserve"> </w:t>
      </w:r>
      <w:proofErr w:type="spellStart"/>
      <w:r w:rsidRPr="00A6796A">
        <w:rPr>
          <w:sz w:val="22"/>
          <w:szCs w:val="22"/>
        </w:rPr>
        <w:t>Shlomith</w:t>
      </w:r>
      <w:proofErr w:type="spellEnd"/>
      <w:r w:rsidRPr="00A6796A">
        <w:rPr>
          <w:sz w:val="22"/>
          <w:szCs w:val="22"/>
        </w:rPr>
        <w:t>,</w:t>
      </w:r>
      <w:r w:rsidRPr="00A6796A">
        <w:rPr>
          <w:sz w:val="22"/>
          <w:szCs w:val="22"/>
        </w:rPr>
        <w:t xml:space="preserve"> </w:t>
      </w:r>
      <w:r w:rsidRPr="00A6796A">
        <w:rPr>
          <w:i/>
          <w:sz w:val="22"/>
          <w:szCs w:val="22"/>
        </w:rPr>
        <w:t>Narrative Fiction</w:t>
      </w:r>
      <w:r w:rsidRPr="00A6796A">
        <w:rPr>
          <w:sz w:val="22"/>
          <w:szCs w:val="22"/>
        </w:rPr>
        <w:t>, 2</w:t>
      </w:r>
      <w:r w:rsidRPr="00A6796A">
        <w:rPr>
          <w:sz w:val="22"/>
          <w:szCs w:val="22"/>
          <w:vertAlign w:val="superscript"/>
        </w:rPr>
        <w:t>nd</w:t>
      </w:r>
      <w:r w:rsidRPr="00A6796A">
        <w:rPr>
          <w:sz w:val="22"/>
          <w:szCs w:val="22"/>
        </w:rPr>
        <w:t xml:space="preserve"> Edition (Londo</w:t>
      </w:r>
      <w:r w:rsidRPr="00A6796A">
        <w:rPr>
          <w:sz w:val="22"/>
          <w:szCs w:val="22"/>
        </w:rPr>
        <w:t>n: Routledge, 1983, 2002)</w:t>
      </w:r>
    </w:p>
    <w:p w:rsidR="00A6796A" w:rsidRDefault="00A6796A" w:rsidP="00A6796A">
      <w:pPr>
        <w:pStyle w:val="NoSpacing"/>
        <w:spacing w:line="360" w:lineRule="auto"/>
      </w:pPr>
    </w:p>
    <w:p w:rsidR="00A6796A" w:rsidRPr="00A6796A" w:rsidRDefault="00A6796A" w:rsidP="00A6796A">
      <w:pPr>
        <w:pStyle w:val="NoSpacing"/>
        <w:spacing w:line="360" w:lineRule="auto"/>
      </w:pPr>
      <w:r w:rsidRPr="00A6796A">
        <w:t>Seale,</w:t>
      </w:r>
      <w:r w:rsidRPr="00A6796A">
        <w:t xml:space="preserve"> Leroy,</w:t>
      </w:r>
      <w:r w:rsidRPr="00A6796A">
        <w:t xml:space="preserve"> ‘Tradition and Intelligibility: A Model for Critical Theory’, </w:t>
      </w:r>
      <w:r w:rsidRPr="00A6796A">
        <w:rPr>
          <w:i/>
        </w:rPr>
        <w:t xml:space="preserve">New Literary History, </w:t>
      </w:r>
      <w:r w:rsidRPr="00A6796A">
        <w:t>Vol. 7, No. 2, Poetics: Some Methodological Problems, (Winter, 1976), pp. 393-415, The Johns Hopkins University Press, &lt;</w:t>
      </w:r>
      <w:hyperlink r:id="rId9" w:history="1">
        <w:r w:rsidRPr="00A6796A">
          <w:rPr>
            <w:rStyle w:val="Hyperlink"/>
          </w:rPr>
          <w:t>http://www.jstor.org/stable/468512</w:t>
        </w:r>
      </w:hyperlink>
      <w:r w:rsidRPr="00A6796A">
        <w:t xml:space="preserve">&gt;  </w:t>
      </w:r>
    </w:p>
    <w:p w:rsidR="00A6796A" w:rsidRDefault="00A6796A" w:rsidP="00A6796A">
      <w:pPr>
        <w:pStyle w:val="FootnoteText"/>
        <w:spacing w:line="360" w:lineRule="auto"/>
        <w:rPr>
          <w:sz w:val="22"/>
          <w:szCs w:val="22"/>
        </w:rPr>
      </w:pPr>
    </w:p>
    <w:p w:rsidR="00A6796A" w:rsidRPr="00A6796A" w:rsidRDefault="00A6796A" w:rsidP="00A6796A">
      <w:pPr>
        <w:pStyle w:val="FootnoteText"/>
        <w:spacing w:line="360" w:lineRule="auto"/>
        <w:rPr>
          <w:sz w:val="22"/>
          <w:szCs w:val="22"/>
        </w:rPr>
      </w:pPr>
      <w:proofErr w:type="spellStart"/>
      <w:r w:rsidRPr="00A6796A">
        <w:rPr>
          <w:sz w:val="22"/>
          <w:szCs w:val="22"/>
        </w:rPr>
        <w:t>Sengova</w:t>
      </w:r>
      <w:proofErr w:type="spellEnd"/>
      <w:r w:rsidRPr="00A6796A">
        <w:rPr>
          <w:sz w:val="22"/>
          <w:szCs w:val="22"/>
        </w:rPr>
        <w:t>,</w:t>
      </w:r>
      <w:r w:rsidRPr="00A6796A">
        <w:rPr>
          <w:sz w:val="22"/>
          <w:szCs w:val="22"/>
        </w:rPr>
        <w:t xml:space="preserve"> Joko,</w:t>
      </w:r>
      <w:r w:rsidRPr="00A6796A">
        <w:rPr>
          <w:sz w:val="22"/>
          <w:szCs w:val="22"/>
        </w:rPr>
        <w:t xml:space="preserve"> ‘Native identity and alienation in Richard Wright's Native son and Chinua Achebe's Things fall apart: a cross-cultural analysis’, </w:t>
      </w:r>
      <w:r w:rsidRPr="00A6796A">
        <w:rPr>
          <w:i/>
          <w:sz w:val="22"/>
          <w:szCs w:val="22"/>
        </w:rPr>
        <w:t>Mississippi Quarterly</w:t>
      </w:r>
      <w:r w:rsidRPr="00A6796A">
        <w:rPr>
          <w:sz w:val="22"/>
          <w:szCs w:val="22"/>
        </w:rPr>
        <w:t xml:space="preserve">, (Spring 1997), Vol. 50, pp. 327-351 </w:t>
      </w:r>
    </w:p>
    <w:p w:rsidR="00A6796A" w:rsidRDefault="00A6796A" w:rsidP="00A6796A">
      <w:pPr>
        <w:pStyle w:val="FootnoteText"/>
        <w:spacing w:line="360" w:lineRule="auto"/>
        <w:rPr>
          <w:sz w:val="22"/>
          <w:szCs w:val="22"/>
        </w:rPr>
      </w:pPr>
    </w:p>
    <w:p w:rsidR="00A6796A" w:rsidRDefault="00A6796A" w:rsidP="00A6796A">
      <w:pPr>
        <w:pStyle w:val="FootnoteText"/>
        <w:spacing w:line="360" w:lineRule="auto"/>
        <w:rPr>
          <w:iCs/>
          <w:sz w:val="22"/>
          <w:szCs w:val="22"/>
        </w:rPr>
      </w:pPr>
      <w:proofErr w:type="spellStart"/>
      <w:r w:rsidRPr="00A6796A">
        <w:rPr>
          <w:sz w:val="22"/>
          <w:szCs w:val="22"/>
        </w:rPr>
        <w:t>S</w:t>
      </w:r>
      <w:r w:rsidRPr="00A6796A">
        <w:rPr>
          <w:sz w:val="22"/>
          <w:szCs w:val="22"/>
        </w:rPr>
        <w:t>hmoop</w:t>
      </w:r>
      <w:proofErr w:type="spellEnd"/>
      <w:r w:rsidRPr="00A6796A">
        <w:rPr>
          <w:sz w:val="22"/>
          <w:szCs w:val="22"/>
        </w:rPr>
        <w:t xml:space="preserve"> Editorial Team, </w:t>
      </w:r>
      <w:r w:rsidRPr="00A6796A">
        <w:rPr>
          <w:i/>
          <w:iCs/>
          <w:sz w:val="22"/>
          <w:szCs w:val="22"/>
        </w:rPr>
        <w:t xml:space="preserve">Things Fall Apart Traditions and Customs Quotes, </w:t>
      </w:r>
      <w:r w:rsidRPr="00A6796A">
        <w:rPr>
          <w:iCs/>
          <w:sz w:val="22"/>
          <w:szCs w:val="22"/>
        </w:rPr>
        <w:t>(2008) &lt;</w:t>
      </w:r>
      <w:hyperlink r:id="rId10" w:history="1">
        <w:r w:rsidRPr="00A6796A">
          <w:rPr>
            <w:rStyle w:val="Hyperlink"/>
            <w:sz w:val="22"/>
            <w:szCs w:val="22"/>
          </w:rPr>
          <w:t>https://www.shmoop.com/things-fall-apart/traditions-customs-quotes-6.html</w:t>
        </w:r>
      </w:hyperlink>
      <w:r>
        <w:rPr>
          <w:iCs/>
          <w:sz w:val="22"/>
          <w:szCs w:val="22"/>
        </w:rPr>
        <w:t xml:space="preserve">&gt; </w:t>
      </w:r>
    </w:p>
    <w:p w:rsidR="00A6796A" w:rsidRDefault="00A6796A" w:rsidP="00A6796A">
      <w:pPr>
        <w:pStyle w:val="FootnoteText"/>
        <w:spacing w:line="360" w:lineRule="auto"/>
        <w:rPr>
          <w:sz w:val="22"/>
          <w:szCs w:val="22"/>
        </w:rPr>
      </w:pPr>
    </w:p>
    <w:p w:rsidR="00A6796A" w:rsidRDefault="00A6796A" w:rsidP="00A6796A">
      <w:pPr>
        <w:pStyle w:val="FootnoteText"/>
        <w:spacing w:line="360" w:lineRule="auto"/>
        <w:rPr>
          <w:sz w:val="22"/>
          <w:szCs w:val="22"/>
        </w:rPr>
      </w:pPr>
      <w:proofErr w:type="spellStart"/>
      <w:r w:rsidRPr="00A6796A">
        <w:rPr>
          <w:sz w:val="22"/>
          <w:szCs w:val="22"/>
        </w:rPr>
        <w:t>S</w:t>
      </w:r>
      <w:r w:rsidRPr="00A6796A">
        <w:rPr>
          <w:sz w:val="22"/>
          <w:szCs w:val="22"/>
        </w:rPr>
        <w:t>hmoop</w:t>
      </w:r>
      <w:proofErr w:type="spellEnd"/>
      <w:r w:rsidRPr="00A6796A">
        <w:rPr>
          <w:sz w:val="22"/>
          <w:szCs w:val="22"/>
        </w:rPr>
        <w:t xml:space="preserve"> Editorial Team, </w:t>
      </w:r>
      <w:r w:rsidRPr="00A6796A">
        <w:rPr>
          <w:i/>
          <w:sz w:val="22"/>
          <w:szCs w:val="22"/>
        </w:rPr>
        <w:t xml:space="preserve">Things Fall Apart What’s Up </w:t>
      </w:r>
      <w:proofErr w:type="gramStart"/>
      <w:r w:rsidRPr="00A6796A">
        <w:rPr>
          <w:i/>
          <w:sz w:val="22"/>
          <w:szCs w:val="22"/>
        </w:rPr>
        <w:t>With</w:t>
      </w:r>
      <w:proofErr w:type="gramEnd"/>
      <w:r w:rsidRPr="00A6796A">
        <w:rPr>
          <w:i/>
          <w:sz w:val="22"/>
          <w:szCs w:val="22"/>
        </w:rPr>
        <w:t xml:space="preserve"> The Epigraph?</w:t>
      </w:r>
      <w:r w:rsidRPr="00A6796A">
        <w:rPr>
          <w:sz w:val="22"/>
          <w:szCs w:val="22"/>
        </w:rPr>
        <w:t xml:space="preserve"> (2008) &lt;</w:t>
      </w:r>
      <w:hyperlink r:id="rId11" w:history="1">
        <w:r w:rsidRPr="00A6796A">
          <w:rPr>
            <w:rStyle w:val="Hyperlink"/>
            <w:sz w:val="22"/>
            <w:szCs w:val="22"/>
          </w:rPr>
          <w:t>https://www.shmoop.com/things-fall-apart/epigraph.html#</w:t>
        </w:r>
      </w:hyperlink>
      <w:r w:rsidRPr="00A6796A">
        <w:rPr>
          <w:sz w:val="22"/>
          <w:szCs w:val="22"/>
        </w:rPr>
        <w:t xml:space="preserve">&gt; </w:t>
      </w:r>
    </w:p>
    <w:p w:rsidR="00A6796A" w:rsidRDefault="00A6796A" w:rsidP="00A6796A">
      <w:pPr>
        <w:pStyle w:val="FootnoteText"/>
        <w:spacing w:line="360" w:lineRule="auto"/>
        <w:rPr>
          <w:sz w:val="22"/>
          <w:szCs w:val="22"/>
        </w:rPr>
      </w:pPr>
    </w:p>
    <w:p w:rsidR="00A6796A" w:rsidRPr="00A6796A" w:rsidRDefault="00A6796A" w:rsidP="00A6796A">
      <w:pPr>
        <w:pStyle w:val="FootnoteText"/>
        <w:spacing w:line="360" w:lineRule="auto"/>
        <w:rPr>
          <w:sz w:val="22"/>
          <w:szCs w:val="22"/>
        </w:rPr>
      </w:pPr>
      <w:r w:rsidRPr="00A6796A">
        <w:rPr>
          <w:sz w:val="22"/>
          <w:szCs w:val="22"/>
        </w:rPr>
        <w:t xml:space="preserve">SparkNotes Editors, </w:t>
      </w:r>
      <w:proofErr w:type="spellStart"/>
      <w:r w:rsidRPr="00A6796A">
        <w:rPr>
          <w:i/>
          <w:sz w:val="22"/>
          <w:szCs w:val="22"/>
        </w:rPr>
        <w:t>SparkNote</w:t>
      </w:r>
      <w:proofErr w:type="spellEnd"/>
      <w:r w:rsidRPr="00A6796A">
        <w:rPr>
          <w:i/>
          <w:sz w:val="22"/>
          <w:szCs w:val="22"/>
        </w:rPr>
        <w:t xml:space="preserve"> on Things Fall Apart,</w:t>
      </w:r>
      <w:r w:rsidRPr="00A6796A">
        <w:rPr>
          <w:sz w:val="22"/>
          <w:szCs w:val="22"/>
        </w:rPr>
        <w:t xml:space="preserve"> (2002) &lt;</w:t>
      </w:r>
      <w:hyperlink r:id="rId12" w:history="1">
        <w:r w:rsidRPr="00A6796A">
          <w:rPr>
            <w:rStyle w:val="Hyperlink"/>
            <w:sz w:val="22"/>
            <w:szCs w:val="22"/>
          </w:rPr>
          <w:t>http://www.sparknotes.com/lit/things/quotes.html</w:t>
        </w:r>
      </w:hyperlink>
      <w:r w:rsidRPr="00A6796A">
        <w:rPr>
          <w:sz w:val="22"/>
          <w:szCs w:val="22"/>
        </w:rPr>
        <w:t>&gt;</w:t>
      </w:r>
    </w:p>
    <w:p w:rsidR="00A6796A" w:rsidRDefault="00A6796A" w:rsidP="00A6796A">
      <w:pPr>
        <w:pStyle w:val="FootnoteText"/>
        <w:spacing w:line="360" w:lineRule="auto"/>
        <w:rPr>
          <w:sz w:val="22"/>
          <w:szCs w:val="22"/>
        </w:rPr>
      </w:pPr>
    </w:p>
    <w:p w:rsidR="00A6796A" w:rsidRPr="00A6796A" w:rsidRDefault="00A6796A" w:rsidP="00A6796A">
      <w:pPr>
        <w:pStyle w:val="FootnoteText"/>
        <w:spacing w:line="360" w:lineRule="auto"/>
        <w:rPr>
          <w:sz w:val="22"/>
          <w:szCs w:val="22"/>
        </w:rPr>
      </w:pPr>
      <w:r w:rsidRPr="00A6796A">
        <w:rPr>
          <w:sz w:val="22"/>
          <w:szCs w:val="22"/>
        </w:rPr>
        <w:t xml:space="preserve">SparkNotes Editors, </w:t>
      </w:r>
      <w:proofErr w:type="spellStart"/>
      <w:r w:rsidRPr="00A6796A">
        <w:rPr>
          <w:i/>
          <w:sz w:val="22"/>
          <w:szCs w:val="22"/>
        </w:rPr>
        <w:t>SparkNote</w:t>
      </w:r>
      <w:proofErr w:type="spellEnd"/>
      <w:r w:rsidRPr="00A6796A">
        <w:rPr>
          <w:i/>
          <w:sz w:val="22"/>
          <w:szCs w:val="22"/>
        </w:rPr>
        <w:t xml:space="preserve"> on Things Fall Apart,</w:t>
      </w:r>
      <w:r w:rsidRPr="00A6796A">
        <w:rPr>
          <w:sz w:val="22"/>
          <w:szCs w:val="22"/>
        </w:rPr>
        <w:t xml:space="preserve"> (2002) &lt;</w:t>
      </w:r>
      <w:hyperlink r:id="rId13" w:history="1">
        <w:r w:rsidRPr="00A6796A">
          <w:rPr>
            <w:rStyle w:val="Hyperlink"/>
            <w:sz w:val="22"/>
            <w:szCs w:val="22"/>
          </w:rPr>
          <w:t>http://www.sparknotes.com/lit/things/facts.html</w:t>
        </w:r>
      </w:hyperlink>
      <w:r w:rsidRPr="00A6796A">
        <w:rPr>
          <w:sz w:val="22"/>
          <w:szCs w:val="22"/>
        </w:rPr>
        <w:t xml:space="preserve">&gt; </w:t>
      </w:r>
    </w:p>
    <w:p w:rsidR="00A6796A" w:rsidRDefault="00A6796A" w:rsidP="00A6796A">
      <w:pPr>
        <w:pStyle w:val="FootnoteText"/>
        <w:spacing w:line="360" w:lineRule="auto"/>
        <w:rPr>
          <w:sz w:val="22"/>
          <w:szCs w:val="22"/>
        </w:rPr>
      </w:pPr>
    </w:p>
    <w:p w:rsidR="00A6796A" w:rsidRPr="00A6796A" w:rsidRDefault="00A6796A" w:rsidP="00A6796A">
      <w:pPr>
        <w:pStyle w:val="FootnoteText"/>
        <w:spacing w:line="360" w:lineRule="auto"/>
        <w:rPr>
          <w:sz w:val="22"/>
          <w:szCs w:val="22"/>
        </w:rPr>
      </w:pPr>
      <w:r w:rsidRPr="00A6796A">
        <w:rPr>
          <w:sz w:val="22"/>
          <w:szCs w:val="22"/>
        </w:rPr>
        <w:t>Whittaker</w:t>
      </w:r>
      <w:r w:rsidRPr="00A6796A">
        <w:rPr>
          <w:sz w:val="22"/>
          <w:szCs w:val="22"/>
        </w:rPr>
        <w:t>, David</w:t>
      </w:r>
      <w:r w:rsidRPr="00A6796A">
        <w:rPr>
          <w:sz w:val="22"/>
          <w:szCs w:val="22"/>
        </w:rPr>
        <w:t xml:space="preserve"> and </w:t>
      </w:r>
      <w:proofErr w:type="spellStart"/>
      <w:r w:rsidRPr="00A6796A">
        <w:rPr>
          <w:sz w:val="22"/>
          <w:szCs w:val="22"/>
        </w:rPr>
        <w:t>Msiska</w:t>
      </w:r>
      <w:proofErr w:type="spellEnd"/>
      <w:r w:rsidRPr="00A6796A">
        <w:rPr>
          <w:sz w:val="22"/>
          <w:szCs w:val="22"/>
        </w:rPr>
        <w:t>,</w:t>
      </w:r>
      <w:r w:rsidRPr="00A6796A">
        <w:rPr>
          <w:sz w:val="22"/>
          <w:szCs w:val="22"/>
        </w:rPr>
        <w:t xml:space="preserve"> </w:t>
      </w:r>
      <w:proofErr w:type="spellStart"/>
      <w:r w:rsidRPr="00A6796A">
        <w:rPr>
          <w:sz w:val="22"/>
          <w:szCs w:val="22"/>
        </w:rPr>
        <w:t>Mpalive-Hangson</w:t>
      </w:r>
      <w:proofErr w:type="spellEnd"/>
      <w:r w:rsidRPr="00A6796A">
        <w:rPr>
          <w:sz w:val="22"/>
          <w:szCs w:val="22"/>
        </w:rPr>
        <w:t>,</w:t>
      </w:r>
      <w:r w:rsidRPr="00A6796A">
        <w:rPr>
          <w:sz w:val="22"/>
          <w:szCs w:val="22"/>
        </w:rPr>
        <w:t xml:space="preserve"> </w:t>
      </w:r>
      <w:r w:rsidRPr="00A6796A">
        <w:rPr>
          <w:i/>
          <w:sz w:val="22"/>
          <w:szCs w:val="22"/>
        </w:rPr>
        <w:t>Chinua Achebe’s Things Fall Apart</w:t>
      </w:r>
      <w:r w:rsidRPr="00A6796A">
        <w:rPr>
          <w:sz w:val="22"/>
          <w:szCs w:val="22"/>
        </w:rPr>
        <w:t xml:space="preserve"> (London: Routledge, 2007)</w:t>
      </w:r>
      <w:r w:rsidRPr="00A6796A">
        <w:rPr>
          <w:sz w:val="22"/>
          <w:szCs w:val="22"/>
        </w:rPr>
        <w:t xml:space="preserve"> </w:t>
      </w:r>
    </w:p>
    <w:p w:rsidR="00A6796A" w:rsidRDefault="00A6796A" w:rsidP="00A6796A">
      <w:pPr>
        <w:pStyle w:val="NoSpacing"/>
        <w:spacing w:line="360" w:lineRule="auto"/>
      </w:pPr>
    </w:p>
    <w:sectPr w:rsidR="00A6796A" w:rsidSect="007A5AF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6CEB" w:rsidRDefault="00D16CEB" w:rsidP="00B62BB3">
      <w:r>
        <w:separator/>
      </w:r>
    </w:p>
  </w:endnote>
  <w:endnote w:type="continuationSeparator" w:id="0">
    <w:p w:rsidR="00D16CEB" w:rsidRDefault="00D16CEB" w:rsidP="00B62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6CEB" w:rsidRDefault="00D16CEB" w:rsidP="00B62BB3">
      <w:r>
        <w:separator/>
      </w:r>
    </w:p>
  </w:footnote>
  <w:footnote w:type="continuationSeparator" w:id="0">
    <w:p w:rsidR="00D16CEB" w:rsidRDefault="00D16CEB" w:rsidP="00B62BB3">
      <w:r>
        <w:continuationSeparator/>
      </w:r>
    </w:p>
  </w:footnote>
  <w:footnote w:id="1">
    <w:p w:rsidR="00EF1795" w:rsidRDefault="00EF1795">
      <w:pPr>
        <w:pStyle w:val="FootnoteText"/>
      </w:pPr>
      <w:r>
        <w:rPr>
          <w:rStyle w:val="FootnoteReference"/>
        </w:rPr>
        <w:footnoteRef/>
      </w:r>
      <w:r>
        <w:t xml:space="preserve"> Shlomith Rimmon-Kenan, </w:t>
      </w:r>
      <w:r>
        <w:rPr>
          <w:i/>
        </w:rPr>
        <w:t>Narrative Fiction</w:t>
      </w:r>
      <w:r>
        <w:t>, 2</w:t>
      </w:r>
      <w:r w:rsidRPr="005B70F6">
        <w:rPr>
          <w:vertAlign w:val="superscript"/>
        </w:rPr>
        <w:t>nd</w:t>
      </w:r>
      <w:r>
        <w:t xml:space="preserve"> Edition (London: Routledge, 1983, 2002) p. 119</w:t>
      </w:r>
    </w:p>
  </w:footnote>
  <w:footnote w:id="2">
    <w:p w:rsidR="008F566F" w:rsidRDefault="008F566F">
      <w:pPr>
        <w:pStyle w:val="FootnoteText"/>
      </w:pPr>
      <w:r>
        <w:rPr>
          <w:rStyle w:val="FootnoteReference"/>
        </w:rPr>
        <w:footnoteRef/>
      </w:r>
      <w:r>
        <w:t xml:space="preserve"> </w:t>
      </w:r>
      <w:r w:rsidR="00AB1579">
        <w:t xml:space="preserve">Chinua Achebe, </w:t>
      </w:r>
      <w:r w:rsidR="00AB1579">
        <w:rPr>
          <w:i/>
        </w:rPr>
        <w:t>Things Fall Apart</w:t>
      </w:r>
      <w:r w:rsidR="00AB1579">
        <w:t xml:space="preserve"> (London: Penguin, 1958, 2001) p. 197</w:t>
      </w:r>
    </w:p>
  </w:footnote>
  <w:footnote w:id="3">
    <w:p w:rsidR="00B62BB3" w:rsidRPr="00936841" w:rsidRDefault="00B62BB3">
      <w:pPr>
        <w:pStyle w:val="FootnoteText"/>
      </w:pPr>
      <w:r>
        <w:rPr>
          <w:rStyle w:val="FootnoteReference"/>
        </w:rPr>
        <w:footnoteRef/>
      </w:r>
      <w:r>
        <w:t xml:space="preserve"> </w:t>
      </w:r>
      <w:r w:rsidR="008345AE">
        <w:t>David Whittaker and Mpalive-Hangson Msiska</w:t>
      </w:r>
      <w:r w:rsidR="007D38C6">
        <w:t xml:space="preserve">, </w:t>
      </w:r>
      <w:r w:rsidR="00936841">
        <w:rPr>
          <w:i/>
        </w:rPr>
        <w:t>Chinua Achebe’s Things Fall Apart</w:t>
      </w:r>
      <w:r w:rsidR="00936841">
        <w:t xml:space="preserve"> </w:t>
      </w:r>
      <w:r w:rsidR="007D38C6">
        <w:t>(</w:t>
      </w:r>
      <w:r w:rsidR="00936841">
        <w:t xml:space="preserve">London: </w:t>
      </w:r>
      <w:r w:rsidR="007D38C6">
        <w:t>Routledge, 2007)</w:t>
      </w:r>
      <w:r w:rsidR="00C0392D">
        <w:t xml:space="preserve"> p. 16</w:t>
      </w:r>
    </w:p>
  </w:footnote>
  <w:footnote w:id="4">
    <w:p w:rsidR="00A04D89" w:rsidRDefault="00A04D89">
      <w:pPr>
        <w:pStyle w:val="FootnoteText"/>
      </w:pPr>
      <w:r>
        <w:rPr>
          <w:rStyle w:val="FootnoteReference"/>
        </w:rPr>
        <w:footnoteRef/>
      </w:r>
      <w:r>
        <w:t xml:space="preserve"> </w:t>
      </w:r>
      <w:bookmarkStart w:id="0" w:name="_Hlk497757101"/>
      <w:bookmarkStart w:id="1" w:name="_Hlk497753050"/>
      <w:r w:rsidR="002060E4">
        <w:t xml:space="preserve">SparkNotes Editors, </w:t>
      </w:r>
      <w:r w:rsidR="002060E4">
        <w:rPr>
          <w:i/>
        </w:rPr>
        <w:t>SparkNote on Things Fall Apart,</w:t>
      </w:r>
      <w:r w:rsidR="002060E4">
        <w:t xml:space="preserve"> (2002)</w:t>
      </w:r>
      <w:r w:rsidR="002060E4" w:rsidRPr="002060E4">
        <w:t xml:space="preserve"> </w:t>
      </w:r>
      <w:r w:rsidR="002060E4">
        <w:t>&lt;</w:t>
      </w:r>
      <w:hyperlink r:id="rId1" w:history="1">
        <w:r w:rsidR="002060E4" w:rsidRPr="00106C72">
          <w:rPr>
            <w:rStyle w:val="Hyperlink"/>
          </w:rPr>
          <w:t>http://www.sparknotes.com/lit/things/quotes.html</w:t>
        </w:r>
      </w:hyperlink>
      <w:r w:rsidR="002060E4">
        <w:t>&gt;</w:t>
      </w:r>
    </w:p>
    <w:p w:rsidR="002060E4" w:rsidRPr="002060E4" w:rsidRDefault="002060E4">
      <w:pPr>
        <w:pStyle w:val="FootnoteText"/>
      </w:pPr>
      <w:r>
        <w:t>[</w:t>
      </w:r>
      <w:r w:rsidR="007A6100">
        <w:t>A</w:t>
      </w:r>
      <w:r>
        <w:t>ccessed on November 5, 2017]</w:t>
      </w:r>
      <w:bookmarkEnd w:id="0"/>
    </w:p>
    <w:bookmarkEnd w:id="1"/>
  </w:footnote>
  <w:footnote w:id="5">
    <w:p w:rsidR="00DE49C7" w:rsidRDefault="00DE49C7">
      <w:pPr>
        <w:pStyle w:val="FootnoteText"/>
      </w:pPr>
      <w:r>
        <w:rPr>
          <w:rStyle w:val="FootnoteReference"/>
        </w:rPr>
        <w:footnoteRef/>
      </w:r>
      <w:r>
        <w:t xml:space="preserve"> Achebe, p. 166</w:t>
      </w:r>
    </w:p>
  </w:footnote>
  <w:footnote w:id="6">
    <w:p w:rsidR="00F31007" w:rsidRDefault="00F31007">
      <w:pPr>
        <w:pStyle w:val="FootnoteText"/>
      </w:pPr>
      <w:r>
        <w:rPr>
          <w:rStyle w:val="FootnoteReference"/>
        </w:rPr>
        <w:footnoteRef/>
      </w:r>
      <w:r>
        <w:t xml:space="preserve"> </w:t>
      </w:r>
      <w:bookmarkStart w:id="2" w:name="_Hlk497830224"/>
      <w:r>
        <w:t xml:space="preserve">Shlomith Rimmon-Kenan, </w:t>
      </w:r>
      <w:bookmarkEnd w:id="2"/>
      <w:r>
        <w:t>p. 88</w:t>
      </w:r>
    </w:p>
  </w:footnote>
  <w:footnote w:id="7">
    <w:p w:rsidR="005B70F6" w:rsidRPr="005B70F6" w:rsidRDefault="005B70F6">
      <w:pPr>
        <w:pStyle w:val="FootnoteText"/>
      </w:pPr>
      <w:r>
        <w:rPr>
          <w:rStyle w:val="FootnoteReference"/>
        </w:rPr>
        <w:footnoteRef/>
      </w:r>
      <w:r>
        <w:t xml:space="preserve"> </w:t>
      </w:r>
      <w:bookmarkStart w:id="3" w:name="_Hlk497739469"/>
      <w:r>
        <w:t xml:space="preserve">Shlomith Rimmon-Kenan, </w:t>
      </w:r>
      <w:bookmarkEnd w:id="3"/>
      <w:r>
        <w:t>p. 119</w:t>
      </w:r>
    </w:p>
  </w:footnote>
  <w:footnote w:id="8">
    <w:p w:rsidR="007248A4" w:rsidRPr="007248A4" w:rsidRDefault="007248A4">
      <w:pPr>
        <w:pStyle w:val="FootnoteText"/>
      </w:pPr>
      <w:r>
        <w:rPr>
          <w:rStyle w:val="FootnoteReference"/>
        </w:rPr>
        <w:footnoteRef/>
      </w:r>
      <w:r>
        <w:t xml:space="preserve"> </w:t>
      </w:r>
      <w:bookmarkStart w:id="4" w:name="_Hlk497733537"/>
      <w:r w:rsidR="00484A45">
        <w:t xml:space="preserve">Achebe, </w:t>
      </w:r>
      <w:r w:rsidR="00C0392D">
        <w:t>p. 41</w:t>
      </w:r>
      <w:bookmarkEnd w:id="4"/>
    </w:p>
  </w:footnote>
  <w:footnote w:id="9">
    <w:p w:rsidR="001676E1" w:rsidRPr="001676E1" w:rsidRDefault="001676E1">
      <w:pPr>
        <w:pStyle w:val="FootnoteText"/>
      </w:pPr>
      <w:r>
        <w:rPr>
          <w:rStyle w:val="FootnoteReference"/>
        </w:rPr>
        <w:footnoteRef/>
      </w:r>
      <w:r>
        <w:t xml:space="preserve"> Nancy Isenberg, ‘</w:t>
      </w:r>
      <w:r w:rsidRPr="001676E1">
        <w:t>Literary Competence: the EFL reader and the role of the teacher</w:t>
      </w:r>
      <w:r>
        <w:t xml:space="preserve">’, </w:t>
      </w:r>
      <w:r w:rsidR="00517054">
        <w:t>&lt;</w:t>
      </w:r>
      <w:hyperlink r:id="rId2" w:history="1">
        <w:r w:rsidR="00517054" w:rsidRPr="00791341">
          <w:rPr>
            <w:rStyle w:val="Hyperlink"/>
          </w:rPr>
          <w:t>https://academic.oup.com/eltj/article-abstract/44/3/181/392962</w:t>
        </w:r>
      </w:hyperlink>
      <w:r w:rsidR="00517054">
        <w:t xml:space="preserve">&gt; </w:t>
      </w:r>
      <w:r w:rsidR="00593CC1">
        <w:t>[Accessed 06/11/2017]</w:t>
      </w:r>
    </w:p>
  </w:footnote>
  <w:footnote w:id="10">
    <w:p w:rsidR="00C0392D" w:rsidRPr="00C0392D" w:rsidRDefault="00C0392D">
      <w:pPr>
        <w:pStyle w:val="FootnoteText"/>
      </w:pPr>
      <w:r>
        <w:rPr>
          <w:rStyle w:val="FootnoteReference"/>
        </w:rPr>
        <w:footnoteRef/>
      </w:r>
      <w:r>
        <w:t xml:space="preserve"> Neil McEwan, </w:t>
      </w:r>
      <w:r>
        <w:rPr>
          <w:i/>
        </w:rPr>
        <w:t>Africa and the Novel</w:t>
      </w:r>
      <w:r>
        <w:t xml:space="preserve"> (Atlantic Highlands, N.J.: Humanities Press, 1983) p</w:t>
      </w:r>
      <w:r w:rsidR="00D90BB3">
        <w:t>. 22</w:t>
      </w:r>
    </w:p>
  </w:footnote>
  <w:footnote w:id="11">
    <w:p w:rsidR="00A969F4" w:rsidRDefault="00A969F4">
      <w:pPr>
        <w:pStyle w:val="FootnoteText"/>
      </w:pPr>
      <w:r>
        <w:rPr>
          <w:rStyle w:val="FootnoteReference"/>
        </w:rPr>
        <w:footnoteRef/>
      </w:r>
      <w:r>
        <w:t xml:space="preserve"> </w:t>
      </w:r>
      <w:r w:rsidRPr="000531A4">
        <w:t xml:space="preserve">SparkNotes Editors, </w:t>
      </w:r>
      <w:r w:rsidRPr="000531A4">
        <w:rPr>
          <w:i/>
        </w:rPr>
        <w:t>SparkNote on Things Fall Apart,</w:t>
      </w:r>
      <w:r w:rsidRPr="000531A4">
        <w:t xml:space="preserve"> (2002)</w:t>
      </w:r>
      <w:r>
        <w:t xml:space="preserve"> &lt;</w:t>
      </w:r>
      <w:hyperlink r:id="rId3" w:history="1">
        <w:r w:rsidRPr="000E192E">
          <w:rPr>
            <w:rStyle w:val="Hyperlink"/>
          </w:rPr>
          <w:t>http://www.sparknotes.com/lit/things/facts.html</w:t>
        </w:r>
      </w:hyperlink>
      <w:r>
        <w:t xml:space="preserve">&gt; [Accessed 07/11/2017] </w:t>
      </w:r>
    </w:p>
  </w:footnote>
  <w:footnote w:id="12">
    <w:p w:rsidR="009B03E5" w:rsidRDefault="009B03E5">
      <w:pPr>
        <w:pStyle w:val="FootnoteText"/>
      </w:pPr>
      <w:r>
        <w:rPr>
          <w:rStyle w:val="FootnoteReference"/>
        </w:rPr>
        <w:footnoteRef/>
      </w:r>
      <w:r>
        <w:t xml:space="preserve"> Achebe, p. 157</w:t>
      </w:r>
    </w:p>
  </w:footnote>
  <w:footnote w:id="13">
    <w:p w:rsidR="001D7477" w:rsidRPr="001D7477" w:rsidRDefault="001D7477">
      <w:pPr>
        <w:pStyle w:val="FootnoteText"/>
      </w:pPr>
      <w:r>
        <w:rPr>
          <w:rStyle w:val="FootnoteReference"/>
        </w:rPr>
        <w:footnoteRef/>
      </w:r>
      <w:r>
        <w:t xml:space="preserve"> Shmoop Editorial Team, </w:t>
      </w:r>
      <w:r w:rsidRPr="001D7477">
        <w:rPr>
          <w:i/>
          <w:iCs/>
        </w:rPr>
        <w:t>Things Fall Apart Traditions and Customs Quotes</w:t>
      </w:r>
      <w:r>
        <w:rPr>
          <w:i/>
          <w:iCs/>
        </w:rPr>
        <w:t xml:space="preserve">, </w:t>
      </w:r>
      <w:r>
        <w:rPr>
          <w:iCs/>
        </w:rPr>
        <w:t>(2008) &lt;</w:t>
      </w:r>
      <w:hyperlink r:id="rId4" w:history="1">
        <w:r w:rsidRPr="000E192E">
          <w:rPr>
            <w:rStyle w:val="Hyperlink"/>
          </w:rPr>
          <w:t>https://www.shmoop.com/things-fall-apart/traditions-customs-quotes-6.html</w:t>
        </w:r>
      </w:hyperlink>
      <w:r>
        <w:rPr>
          <w:iCs/>
        </w:rPr>
        <w:t xml:space="preserve">&gt; [Accessed 07/11/2017] </w:t>
      </w:r>
    </w:p>
  </w:footnote>
  <w:footnote w:id="14">
    <w:p w:rsidR="007A6100" w:rsidRDefault="007A6100">
      <w:pPr>
        <w:pStyle w:val="FootnoteText"/>
      </w:pPr>
      <w:r>
        <w:rPr>
          <w:rStyle w:val="FootnoteReference"/>
        </w:rPr>
        <w:footnoteRef/>
      </w:r>
      <w:r>
        <w:t xml:space="preserve"> Achebe, Epigraph</w:t>
      </w:r>
    </w:p>
  </w:footnote>
  <w:footnote w:id="15">
    <w:p w:rsidR="0043241B" w:rsidRPr="0043241B" w:rsidRDefault="0043241B">
      <w:pPr>
        <w:pStyle w:val="FootnoteText"/>
      </w:pPr>
      <w:r>
        <w:rPr>
          <w:rStyle w:val="FootnoteReference"/>
        </w:rPr>
        <w:footnoteRef/>
      </w:r>
      <w:r>
        <w:t xml:space="preserve"> </w:t>
      </w:r>
      <w:bookmarkStart w:id="5" w:name="_Hlk497828949"/>
      <w:r>
        <w:t>Shmoop Editorial Team</w:t>
      </w:r>
      <w:bookmarkEnd w:id="5"/>
      <w:r>
        <w:t xml:space="preserve">, </w:t>
      </w:r>
      <w:r>
        <w:rPr>
          <w:i/>
        </w:rPr>
        <w:t>Things Fall Apart What’s Up With The Epigraph?</w:t>
      </w:r>
      <w:r>
        <w:t xml:space="preserve"> (2008) &lt;</w:t>
      </w:r>
      <w:hyperlink r:id="rId5" w:history="1">
        <w:r w:rsidRPr="00791341">
          <w:rPr>
            <w:rStyle w:val="Hyperlink"/>
          </w:rPr>
          <w:t>https://www.shmoop.com/things-fall-apart/epigraph.html#</w:t>
        </w:r>
      </w:hyperlink>
      <w:r>
        <w:t xml:space="preserve">&gt; [Accessed 06/11/2017] </w:t>
      </w:r>
    </w:p>
  </w:footnote>
  <w:footnote w:id="16">
    <w:p w:rsidR="004966DA" w:rsidRDefault="004966DA">
      <w:pPr>
        <w:pStyle w:val="FootnoteText"/>
      </w:pPr>
      <w:r>
        <w:rPr>
          <w:rStyle w:val="FootnoteReference"/>
        </w:rPr>
        <w:footnoteRef/>
      </w:r>
      <w:r>
        <w:t xml:space="preserve"> Whittaker and Msiska, p. 15</w:t>
      </w:r>
    </w:p>
  </w:footnote>
  <w:footnote w:id="17">
    <w:p w:rsidR="004966DA" w:rsidRDefault="004966DA">
      <w:pPr>
        <w:pStyle w:val="FootnoteText"/>
      </w:pPr>
      <w:r>
        <w:rPr>
          <w:rStyle w:val="FootnoteReference"/>
        </w:rPr>
        <w:footnoteRef/>
      </w:r>
      <w:r>
        <w:t xml:space="preserve"> Achebe, </w:t>
      </w:r>
      <w:r w:rsidR="006572BF">
        <w:t xml:space="preserve">p. </w:t>
      </w:r>
      <w:r w:rsidR="000531A4">
        <w:t>51</w:t>
      </w:r>
    </w:p>
  </w:footnote>
  <w:footnote w:id="18">
    <w:p w:rsidR="001D5CB0" w:rsidRPr="001D5CB0" w:rsidRDefault="001D5CB0">
      <w:pPr>
        <w:pStyle w:val="FootnoteText"/>
      </w:pPr>
      <w:r>
        <w:rPr>
          <w:rStyle w:val="FootnoteReference"/>
        </w:rPr>
        <w:footnoteRef/>
      </w:r>
      <w:r>
        <w:t xml:space="preserve"> Leroy Seale, ‘Tradition and Intelligibility: A Model for Critical Theory’, </w:t>
      </w:r>
      <w:r>
        <w:rPr>
          <w:i/>
        </w:rPr>
        <w:t xml:space="preserve">New Literary History, </w:t>
      </w:r>
      <w:r>
        <w:t xml:space="preserve">Vol. 7, No. 2, Poetics: Some Methodological Problems, (Winter, 1976), pp. 393-415, </w:t>
      </w:r>
      <w:r w:rsidRPr="001D5CB0">
        <w:t>The Johns Hopkins University Press</w:t>
      </w:r>
      <w:r>
        <w:t>, &lt;</w:t>
      </w:r>
      <w:hyperlink r:id="rId6" w:history="1">
        <w:r w:rsidRPr="00791341">
          <w:rPr>
            <w:rStyle w:val="Hyperlink"/>
          </w:rPr>
          <w:t>http://www.jstor.org/stable/468512</w:t>
        </w:r>
      </w:hyperlink>
      <w:r>
        <w:t xml:space="preserve">&gt;  </w:t>
      </w:r>
    </w:p>
  </w:footnote>
  <w:footnote w:id="19">
    <w:p w:rsidR="000531A4" w:rsidRDefault="000531A4">
      <w:pPr>
        <w:pStyle w:val="FootnoteText"/>
      </w:pPr>
      <w:r>
        <w:rPr>
          <w:rStyle w:val="FootnoteReference"/>
        </w:rPr>
        <w:footnoteRef/>
      </w:r>
      <w:r>
        <w:t xml:space="preserve"> Achebe, p. 53</w:t>
      </w:r>
    </w:p>
  </w:footnote>
  <w:footnote w:id="20">
    <w:p w:rsidR="000531A4" w:rsidRPr="000531A4" w:rsidRDefault="000531A4" w:rsidP="000531A4">
      <w:pPr>
        <w:pStyle w:val="FootnoteText"/>
      </w:pPr>
      <w:r>
        <w:rPr>
          <w:rStyle w:val="FootnoteReference"/>
        </w:rPr>
        <w:footnoteRef/>
      </w:r>
      <w:r>
        <w:t xml:space="preserve"> </w:t>
      </w:r>
      <w:bookmarkStart w:id="6" w:name="_Hlk497822349"/>
      <w:r w:rsidRPr="000531A4">
        <w:t xml:space="preserve">SparkNotes Editors, </w:t>
      </w:r>
      <w:r w:rsidRPr="000531A4">
        <w:rPr>
          <w:i/>
        </w:rPr>
        <w:t>SparkNote on Things Fall Apart,</w:t>
      </w:r>
      <w:r w:rsidRPr="000531A4">
        <w:t xml:space="preserve"> (2002) </w:t>
      </w:r>
      <w:bookmarkEnd w:id="6"/>
      <w:r w:rsidRPr="000531A4">
        <w:t>&lt;</w:t>
      </w:r>
      <w:hyperlink r:id="rId7" w:history="1">
        <w:r w:rsidRPr="000531A4">
          <w:rPr>
            <w:rStyle w:val="Hyperlink"/>
          </w:rPr>
          <w:t>http://www.sparknotes.com/lit/things/quotes.html</w:t>
        </w:r>
      </w:hyperlink>
      <w:r w:rsidRPr="000531A4">
        <w:t>&gt;</w:t>
      </w:r>
    </w:p>
    <w:p w:rsidR="000531A4" w:rsidRDefault="000531A4" w:rsidP="000531A4">
      <w:pPr>
        <w:pStyle w:val="FootnoteText"/>
      </w:pPr>
      <w:r w:rsidRPr="000531A4">
        <w:t>[Accessed on November 5, 2017]</w:t>
      </w:r>
    </w:p>
  </w:footnote>
  <w:footnote w:id="21">
    <w:p w:rsidR="00FA4147" w:rsidRDefault="00FA4147">
      <w:pPr>
        <w:pStyle w:val="FootnoteText"/>
      </w:pPr>
      <w:r>
        <w:rPr>
          <w:rStyle w:val="FootnoteReference"/>
        </w:rPr>
        <w:footnoteRef/>
      </w:r>
      <w:r>
        <w:t xml:space="preserve"> Joko </w:t>
      </w:r>
      <w:proofErr w:type="spellStart"/>
      <w:r>
        <w:t>Sengova</w:t>
      </w:r>
      <w:proofErr w:type="spellEnd"/>
      <w:r>
        <w:t>, ‘</w:t>
      </w:r>
      <w:bookmarkStart w:id="7" w:name="citation"/>
      <w:r w:rsidRPr="00FA4147">
        <w:t>Native identity and alienation in Richard Wright's Native son and Chinua Achebe's Things fall apart: a cross-cultural analysis</w:t>
      </w:r>
      <w:bookmarkEnd w:id="7"/>
      <w:r>
        <w:t xml:space="preserve">’, </w:t>
      </w:r>
      <w:r w:rsidRPr="00FA4147">
        <w:rPr>
          <w:i/>
        </w:rPr>
        <w:t>Mississippi Quarterly</w:t>
      </w:r>
      <w:r>
        <w:t>,</w:t>
      </w:r>
      <w:r w:rsidRPr="00FA4147">
        <w:t xml:space="preserve"> </w:t>
      </w:r>
      <w:r>
        <w:t>(</w:t>
      </w:r>
      <w:r w:rsidRPr="00FA4147">
        <w:t>Spring</w:t>
      </w:r>
      <w:r>
        <w:t xml:space="preserve"> 19</w:t>
      </w:r>
      <w:r w:rsidRPr="00FA4147">
        <w:t>97</w:t>
      </w:r>
      <w:r>
        <w:t>)</w:t>
      </w:r>
      <w:r w:rsidRPr="00FA4147">
        <w:t xml:space="preserve">, Vol. 50, </w:t>
      </w:r>
      <w:r>
        <w:t>p</w:t>
      </w:r>
      <w:r w:rsidRPr="00FA4147">
        <w:t>p</w:t>
      </w:r>
      <w:r>
        <w:t xml:space="preserve">. </w:t>
      </w:r>
      <w:r w:rsidRPr="00FA4147">
        <w:t>327-351</w:t>
      </w:r>
      <w:r>
        <w:t xml:space="preserve"> </w:t>
      </w:r>
    </w:p>
  </w:footnote>
  <w:footnote w:id="22">
    <w:p w:rsidR="006273D1" w:rsidRDefault="006273D1">
      <w:pPr>
        <w:pStyle w:val="FootnoteText"/>
      </w:pPr>
      <w:r>
        <w:rPr>
          <w:rStyle w:val="FootnoteReference"/>
        </w:rPr>
        <w:footnoteRef/>
      </w:r>
      <w:r>
        <w:t xml:space="preserve"> Achebe, p. 132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2A7"/>
    <w:rsid w:val="00001632"/>
    <w:rsid w:val="000117FD"/>
    <w:rsid w:val="00025957"/>
    <w:rsid w:val="000341D0"/>
    <w:rsid w:val="00040AF2"/>
    <w:rsid w:val="000514F7"/>
    <w:rsid w:val="000531A4"/>
    <w:rsid w:val="0006723C"/>
    <w:rsid w:val="000B37FB"/>
    <w:rsid w:val="000B45B8"/>
    <w:rsid w:val="000E630E"/>
    <w:rsid w:val="00103779"/>
    <w:rsid w:val="00120F3F"/>
    <w:rsid w:val="00130851"/>
    <w:rsid w:val="001676E1"/>
    <w:rsid w:val="0017473F"/>
    <w:rsid w:val="001C37F9"/>
    <w:rsid w:val="001D287B"/>
    <w:rsid w:val="001D5CB0"/>
    <w:rsid w:val="001D7477"/>
    <w:rsid w:val="001E3128"/>
    <w:rsid w:val="001E7047"/>
    <w:rsid w:val="002060E4"/>
    <w:rsid w:val="00207C02"/>
    <w:rsid w:val="00220832"/>
    <w:rsid w:val="00267892"/>
    <w:rsid w:val="0033362F"/>
    <w:rsid w:val="00361723"/>
    <w:rsid w:val="00386485"/>
    <w:rsid w:val="00395A42"/>
    <w:rsid w:val="00397365"/>
    <w:rsid w:val="00420AF0"/>
    <w:rsid w:val="0043241B"/>
    <w:rsid w:val="00441F15"/>
    <w:rsid w:val="004533DB"/>
    <w:rsid w:val="004536A9"/>
    <w:rsid w:val="004632CB"/>
    <w:rsid w:val="00484A45"/>
    <w:rsid w:val="004966DA"/>
    <w:rsid w:val="004C101D"/>
    <w:rsid w:val="004E7A0A"/>
    <w:rsid w:val="00517054"/>
    <w:rsid w:val="005432A7"/>
    <w:rsid w:val="00593CC1"/>
    <w:rsid w:val="005B70F6"/>
    <w:rsid w:val="005F07BD"/>
    <w:rsid w:val="00622836"/>
    <w:rsid w:val="006273D1"/>
    <w:rsid w:val="006478C4"/>
    <w:rsid w:val="00653995"/>
    <w:rsid w:val="006572BF"/>
    <w:rsid w:val="006622DD"/>
    <w:rsid w:val="00672840"/>
    <w:rsid w:val="00694F43"/>
    <w:rsid w:val="00703724"/>
    <w:rsid w:val="0070638B"/>
    <w:rsid w:val="00716445"/>
    <w:rsid w:val="007248A4"/>
    <w:rsid w:val="0075656E"/>
    <w:rsid w:val="00780E29"/>
    <w:rsid w:val="007A5AF9"/>
    <w:rsid w:val="007A6100"/>
    <w:rsid w:val="007D38C6"/>
    <w:rsid w:val="007F3156"/>
    <w:rsid w:val="00833AF4"/>
    <w:rsid w:val="008345AE"/>
    <w:rsid w:val="00851F21"/>
    <w:rsid w:val="008635E5"/>
    <w:rsid w:val="008751A8"/>
    <w:rsid w:val="008A70B1"/>
    <w:rsid w:val="008C72A9"/>
    <w:rsid w:val="008D6209"/>
    <w:rsid w:val="008F149E"/>
    <w:rsid w:val="008F3D56"/>
    <w:rsid w:val="008F566F"/>
    <w:rsid w:val="00936841"/>
    <w:rsid w:val="009B03E5"/>
    <w:rsid w:val="009D7B77"/>
    <w:rsid w:val="009E1A6F"/>
    <w:rsid w:val="009F6AA0"/>
    <w:rsid w:val="00A03361"/>
    <w:rsid w:val="00A04D89"/>
    <w:rsid w:val="00A16247"/>
    <w:rsid w:val="00A52905"/>
    <w:rsid w:val="00A6796A"/>
    <w:rsid w:val="00A969F4"/>
    <w:rsid w:val="00AB0EED"/>
    <w:rsid w:val="00AB1579"/>
    <w:rsid w:val="00AE040B"/>
    <w:rsid w:val="00B51071"/>
    <w:rsid w:val="00B62BB3"/>
    <w:rsid w:val="00B75832"/>
    <w:rsid w:val="00B873C6"/>
    <w:rsid w:val="00BC0E1E"/>
    <w:rsid w:val="00C0392D"/>
    <w:rsid w:val="00C2467E"/>
    <w:rsid w:val="00C62954"/>
    <w:rsid w:val="00D16CEB"/>
    <w:rsid w:val="00D23F44"/>
    <w:rsid w:val="00D90BB3"/>
    <w:rsid w:val="00DA1A39"/>
    <w:rsid w:val="00DC159E"/>
    <w:rsid w:val="00DE3625"/>
    <w:rsid w:val="00DE49C7"/>
    <w:rsid w:val="00E21A13"/>
    <w:rsid w:val="00E321A8"/>
    <w:rsid w:val="00E361FF"/>
    <w:rsid w:val="00E7463C"/>
    <w:rsid w:val="00E84A36"/>
    <w:rsid w:val="00EC0A34"/>
    <w:rsid w:val="00EC21A4"/>
    <w:rsid w:val="00EF1795"/>
    <w:rsid w:val="00F31007"/>
    <w:rsid w:val="00F669D5"/>
    <w:rsid w:val="00F70D67"/>
    <w:rsid w:val="00FA4147"/>
    <w:rsid w:val="00FC3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179398"/>
  <w15:chartTrackingRefBased/>
  <w15:docId w15:val="{F3A4CF96-AAA2-47D4-91A2-292090AC7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796A"/>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5432A7"/>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3">
    <w:name w:val="heading 3"/>
    <w:basedOn w:val="Normal"/>
    <w:link w:val="Heading3Char"/>
    <w:qFormat/>
    <w:rsid w:val="00A6796A"/>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432A7"/>
    <w:pPr>
      <w:spacing w:after="0" w:line="240" w:lineRule="auto"/>
    </w:pPr>
  </w:style>
  <w:style w:type="character" w:customStyle="1" w:styleId="Heading1Char">
    <w:name w:val="Heading 1 Char"/>
    <w:basedOn w:val="DefaultParagraphFont"/>
    <w:link w:val="Heading1"/>
    <w:uiPriority w:val="9"/>
    <w:rsid w:val="005432A7"/>
    <w:rPr>
      <w:rFonts w:asciiTheme="majorHAnsi" w:eastAsiaTheme="majorEastAsia" w:hAnsiTheme="majorHAnsi" w:cstheme="majorBidi"/>
      <w:color w:val="2F5496" w:themeColor="accent1" w:themeShade="BF"/>
      <w:sz w:val="32"/>
      <w:szCs w:val="32"/>
      <w:lang w:val="en-US"/>
    </w:rPr>
  </w:style>
  <w:style w:type="paragraph" w:styleId="FootnoteText">
    <w:name w:val="footnote text"/>
    <w:basedOn w:val="Normal"/>
    <w:link w:val="FootnoteTextChar"/>
    <w:uiPriority w:val="99"/>
    <w:semiHidden/>
    <w:unhideWhenUsed/>
    <w:rsid w:val="00B62BB3"/>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B62BB3"/>
    <w:rPr>
      <w:sz w:val="20"/>
      <w:szCs w:val="20"/>
    </w:rPr>
  </w:style>
  <w:style w:type="character" w:styleId="FootnoteReference">
    <w:name w:val="footnote reference"/>
    <w:basedOn w:val="DefaultParagraphFont"/>
    <w:uiPriority w:val="99"/>
    <w:semiHidden/>
    <w:unhideWhenUsed/>
    <w:rsid w:val="00B62BB3"/>
    <w:rPr>
      <w:vertAlign w:val="superscript"/>
    </w:rPr>
  </w:style>
  <w:style w:type="paragraph" w:styleId="Header">
    <w:name w:val="header"/>
    <w:basedOn w:val="Normal"/>
    <w:link w:val="HeaderChar"/>
    <w:uiPriority w:val="99"/>
    <w:unhideWhenUsed/>
    <w:rsid w:val="007D38C6"/>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7D38C6"/>
  </w:style>
  <w:style w:type="paragraph" w:styleId="Footer">
    <w:name w:val="footer"/>
    <w:basedOn w:val="Normal"/>
    <w:link w:val="FooterChar"/>
    <w:uiPriority w:val="99"/>
    <w:unhideWhenUsed/>
    <w:rsid w:val="007D38C6"/>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7D38C6"/>
  </w:style>
  <w:style w:type="character" w:styleId="Hyperlink">
    <w:name w:val="Hyperlink"/>
    <w:basedOn w:val="DefaultParagraphFont"/>
    <w:uiPriority w:val="99"/>
    <w:unhideWhenUsed/>
    <w:rsid w:val="002060E4"/>
    <w:rPr>
      <w:color w:val="0563C1" w:themeColor="hyperlink"/>
      <w:u w:val="single"/>
    </w:rPr>
  </w:style>
  <w:style w:type="character" w:styleId="UnresolvedMention">
    <w:name w:val="Unresolved Mention"/>
    <w:basedOn w:val="DefaultParagraphFont"/>
    <w:uiPriority w:val="99"/>
    <w:semiHidden/>
    <w:unhideWhenUsed/>
    <w:rsid w:val="002060E4"/>
    <w:rPr>
      <w:color w:val="808080"/>
      <w:shd w:val="clear" w:color="auto" w:fill="E6E6E6"/>
    </w:rPr>
  </w:style>
  <w:style w:type="character" w:customStyle="1" w:styleId="Heading3Char">
    <w:name w:val="Heading 3 Char"/>
    <w:basedOn w:val="DefaultParagraphFont"/>
    <w:link w:val="Heading3"/>
    <w:rsid w:val="00A6796A"/>
    <w:rPr>
      <w:rFonts w:ascii="Tahoma" w:eastAsia="SimSun" w:hAnsi="Tahoma" w:cs="Tahoma"/>
      <w:b/>
      <w:bCs/>
      <w:sz w:val="20"/>
      <w:szCs w:val="20"/>
      <w:lang w:eastAsia="zh-CN"/>
    </w:rPr>
  </w:style>
  <w:style w:type="paragraph" w:styleId="NormalWeb">
    <w:name w:val="Normal (Web)"/>
    <w:basedOn w:val="Normal"/>
    <w:rsid w:val="00A6796A"/>
    <w:pPr>
      <w:spacing w:before="100" w:beforeAutospacing="1" w:after="100" w:afterAutospacing="1"/>
    </w:pPr>
    <w:rPr>
      <w:rFonts w:ascii="Georgia" w:hAnsi="Georgia"/>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400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eltj/article-abstract/44/3/181/392962" TargetMode="External"/><Relationship Id="rId13" Type="http://schemas.openxmlformats.org/officeDocument/2006/relationships/hyperlink" Target="http://www.sparknotes.com/lit/things/facts.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sparknotes.com/lit/things/quote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hmoop.com/things-fall-apart/epigraph.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hmoop.com/things-fall-apart/traditions-customs-quotes-6.html" TargetMode="External"/><Relationship Id="rId4" Type="http://schemas.openxmlformats.org/officeDocument/2006/relationships/webSettings" Target="webSettings.xml"/><Relationship Id="rId9" Type="http://schemas.openxmlformats.org/officeDocument/2006/relationships/hyperlink" Target="http://www.jstor.org/stable/468512"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sparknotes.com/lit/things/facts.html" TargetMode="External"/><Relationship Id="rId7" Type="http://schemas.openxmlformats.org/officeDocument/2006/relationships/hyperlink" Target="http://www.sparknotes.com/lit/things/quotes.html" TargetMode="External"/><Relationship Id="rId2" Type="http://schemas.openxmlformats.org/officeDocument/2006/relationships/hyperlink" Target="https://academic.oup.com/eltj/article-abstract/44/3/181/392962" TargetMode="External"/><Relationship Id="rId1" Type="http://schemas.openxmlformats.org/officeDocument/2006/relationships/hyperlink" Target="http://www.sparknotes.com/lit/things/quotes.html" TargetMode="External"/><Relationship Id="rId6" Type="http://schemas.openxmlformats.org/officeDocument/2006/relationships/hyperlink" Target="http://www.jstor.org/stable/468512" TargetMode="External"/><Relationship Id="rId5" Type="http://schemas.openxmlformats.org/officeDocument/2006/relationships/hyperlink" Target="https://www.shmoop.com/things-fall-apart/epigraph.html" TargetMode="External"/><Relationship Id="rId4" Type="http://schemas.openxmlformats.org/officeDocument/2006/relationships/hyperlink" Target="https://www.shmoop.com/things-fall-apart/traditions-customs-quotes-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6DE02-0A26-4EB4-BE4D-871E52EE2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8</Pages>
  <Words>2535</Words>
  <Characters>14452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Davies</dc:creator>
  <cp:keywords/>
  <dc:description/>
  <cp:lastModifiedBy>Jade Davies</cp:lastModifiedBy>
  <cp:revision>60</cp:revision>
  <dcterms:created xsi:type="dcterms:W3CDTF">2017-11-03T12:36:00Z</dcterms:created>
  <dcterms:modified xsi:type="dcterms:W3CDTF">2017-11-08T15:47:00Z</dcterms:modified>
</cp:coreProperties>
</file>