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22225" w14:textId="4392EE6F" w:rsidR="00AA638B" w:rsidRDefault="00AA638B" w:rsidP="00AA638B">
      <w:pPr>
        <w:spacing w:line="360" w:lineRule="auto"/>
        <w:contextualSpacing/>
        <w:jc w:val="center"/>
        <w:rPr>
          <w:rFonts w:ascii="Times New Roman" w:hAnsi="Times New Roman" w:cs="Times New Roman"/>
        </w:rPr>
      </w:pPr>
    </w:p>
    <w:p w14:paraId="76D2038B" w14:textId="71DEE8EC" w:rsidR="00AA638B" w:rsidRDefault="00AA638B" w:rsidP="00AA638B">
      <w:pPr>
        <w:spacing w:line="360" w:lineRule="auto"/>
        <w:contextualSpacing/>
        <w:jc w:val="center"/>
        <w:rPr>
          <w:rFonts w:ascii="Times New Roman" w:hAnsi="Times New Roman" w:cs="Times New Roman"/>
        </w:rPr>
      </w:pPr>
    </w:p>
    <w:p w14:paraId="0F9AA8A3" w14:textId="3B443547" w:rsidR="00AA638B" w:rsidRDefault="00AA638B" w:rsidP="00AA638B">
      <w:pPr>
        <w:spacing w:line="360" w:lineRule="auto"/>
        <w:contextualSpacing/>
        <w:jc w:val="center"/>
        <w:rPr>
          <w:rFonts w:ascii="Times New Roman" w:hAnsi="Times New Roman" w:cs="Times New Roman"/>
        </w:rPr>
      </w:pPr>
    </w:p>
    <w:p w14:paraId="42BCCA3F" w14:textId="5FA7AA7A" w:rsidR="00AA638B" w:rsidRDefault="00AA638B" w:rsidP="00AA638B">
      <w:pPr>
        <w:spacing w:line="360" w:lineRule="auto"/>
        <w:contextualSpacing/>
        <w:jc w:val="center"/>
        <w:rPr>
          <w:rFonts w:ascii="Times New Roman" w:hAnsi="Times New Roman" w:cs="Times New Roman"/>
        </w:rPr>
      </w:pPr>
    </w:p>
    <w:p w14:paraId="3E43F11F" w14:textId="4F861431" w:rsidR="00AA638B" w:rsidRDefault="00AA638B" w:rsidP="00AA638B">
      <w:pPr>
        <w:spacing w:line="360" w:lineRule="auto"/>
        <w:contextualSpacing/>
        <w:jc w:val="center"/>
        <w:rPr>
          <w:rFonts w:ascii="Times New Roman" w:hAnsi="Times New Roman" w:cs="Times New Roman"/>
        </w:rPr>
      </w:pPr>
    </w:p>
    <w:p w14:paraId="37FFB328" w14:textId="27AFD7D3" w:rsidR="00AA638B" w:rsidRDefault="00AA638B" w:rsidP="00AA638B">
      <w:pPr>
        <w:spacing w:line="360" w:lineRule="auto"/>
        <w:contextualSpacing/>
        <w:jc w:val="center"/>
        <w:rPr>
          <w:rFonts w:ascii="Times New Roman" w:hAnsi="Times New Roman" w:cs="Times New Roman"/>
        </w:rPr>
      </w:pPr>
    </w:p>
    <w:p w14:paraId="1FF78721" w14:textId="77777777" w:rsidR="00AA638B" w:rsidRDefault="00AA638B" w:rsidP="00AA638B">
      <w:pPr>
        <w:spacing w:line="360" w:lineRule="auto"/>
        <w:contextualSpacing/>
        <w:jc w:val="center"/>
        <w:rPr>
          <w:rFonts w:ascii="Times New Roman" w:hAnsi="Times New Roman" w:cs="Times New Roman"/>
        </w:rPr>
      </w:pPr>
    </w:p>
    <w:p w14:paraId="32DF9E02" w14:textId="47BD81C7" w:rsidR="00AA638B" w:rsidRPr="00AA638B" w:rsidRDefault="00AA638B" w:rsidP="00AA638B">
      <w:pPr>
        <w:spacing w:line="360" w:lineRule="auto"/>
        <w:contextualSpacing/>
        <w:jc w:val="center"/>
        <w:rPr>
          <w:rFonts w:ascii="Arial" w:hAnsi="Arial" w:cs="Arial"/>
        </w:rPr>
      </w:pPr>
    </w:p>
    <w:p w14:paraId="4C287AF8" w14:textId="7A4C6E4F" w:rsidR="00AA638B" w:rsidRPr="00AA638B" w:rsidRDefault="00B4564F" w:rsidP="00AA638B">
      <w:pPr>
        <w:spacing w:line="360" w:lineRule="auto"/>
        <w:contextualSpacing/>
        <w:jc w:val="center"/>
        <w:rPr>
          <w:rFonts w:ascii="Arial" w:hAnsi="Arial" w:cs="Arial"/>
        </w:rPr>
      </w:pPr>
      <w:r w:rsidRPr="00AA638B">
        <w:rPr>
          <w:rFonts w:ascii="Arial" w:hAnsi="Arial" w:cs="Arial"/>
        </w:rPr>
        <w:t>PSYCHOLOGICAL THEORIES IN CARE</w:t>
      </w:r>
    </w:p>
    <w:p w14:paraId="6130D631" w14:textId="5037EE40" w:rsidR="00AA638B" w:rsidRDefault="00B4564F" w:rsidP="00AA638B">
      <w:pPr>
        <w:spacing w:line="360" w:lineRule="auto"/>
        <w:contextualSpacing/>
        <w:jc w:val="center"/>
        <w:rPr>
          <w:rFonts w:ascii="Arial" w:hAnsi="Arial" w:cs="Arial"/>
        </w:rPr>
      </w:pPr>
      <w:r w:rsidRPr="00AA638B">
        <w:rPr>
          <w:rFonts w:ascii="Arial" w:hAnsi="Arial" w:cs="Arial"/>
        </w:rPr>
        <w:t xml:space="preserve">By </w:t>
      </w:r>
      <w:r w:rsidR="00C029D8">
        <w:rPr>
          <w:rFonts w:ascii="Arial" w:hAnsi="Arial" w:cs="Arial"/>
        </w:rPr>
        <w:t>Shukri Abdulkadir Omar</w:t>
      </w:r>
    </w:p>
    <w:p w14:paraId="172776A8" w14:textId="7D242162" w:rsidR="00C029D8" w:rsidRPr="00AA638B" w:rsidRDefault="00C029D8" w:rsidP="00AA638B">
      <w:pPr>
        <w:spacing w:line="360" w:lineRule="auto"/>
        <w:contextualSpacing/>
        <w:jc w:val="center"/>
        <w:rPr>
          <w:rFonts w:ascii="Arial" w:hAnsi="Arial" w:cs="Arial"/>
        </w:rPr>
      </w:pPr>
      <w:r>
        <w:rPr>
          <w:rFonts w:ascii="Arial" w:hAnsi="Arial" w:cs="Arial"/>
        </w:rPr>
        <w:t>2441430</w:t>
      </w:r>
    </w:p>
    <w:p w14:paraId="3163EF71" w14:textId="61E58183" w:rsidR="00AA638B" w:rsidRPr="00AA638B" w:rsidRDefault="00AA638B" w:rsidP="00AA638B">
      <w:pPr>
        <w:spacing w:line="360" w:lineRule="auto"/>
        <w:contextualSpacing/>
        <w:jc w:val="center"/>
        <w:rPr>
          <w:rFonts w:ascii="Arial" w:hAnsi="Arial" w:cs="Arial"/>
        </w:rPr>
      </w:pPr>
    </w:p>
    <w:p w14:paraId="3CA67906" w14:textId="597DAD60" w:rsidR="00AA638B" w:rsidRPr="00AA638B" w:rsidRDefault="00AA638B" w:rsidP="00AA638B">
      <w:pPr>
        <w:spacing w:line="360" w:lineRule="auto"/>
        <w:contextualSpacing/>
        <w:jc w:val="center"/>
        <w:rPr>
          <w:rFonts w:ascii="Arial" w:hAnsi="Arial" w:cs="Arial"/>
        </w:rPr>
      </w:pPr>
    </w:p>
    <w:p w14:paraId="45711FAE" w14:textId="1FD92DF4" w:rsidR="00AA638B" w:rsidRPr="00AA638B" w:rsidRDefault="00AA638B" w:rsidP="00AA638B">
      <w:pPr>
        <w:spacing w:line="360" w:lineRule="auto"/>
        <w:contextualSpacing/>
        <w:jc w:val="center"/>
        <w:rPr>
          <w:rFonts w:ascii="Arial" w:hAnsi="Arial" w:cs="Arial"/>
        </w:rPr>
      </w:pPr>
    </w:p>
    <w:p w14:paraId="69C4B803" w14:textId="3AD44B25" w:rsidR="00AA638B" w:rsidRPr="00AA638B" w:rsidRDefault="00AA638B" w:rsidP="00AA638B">
      <w:pPr>
        <w:spacing w:line="360" w:lineRule="auto"/>
        <w:contextualSpacing/>
        <w:jc w:val="center"/>
        <w:rPr>
          <w:rFonts w:ascii="Arial" w:hAnsi="Arial" w:cs="Arial"/>
        </w:rPr>
      </w:pPr>
    </w:p>
    <w:p w14:paraId="7D538E2C" w14:textId="7607CFC8" w:rsidR="00AA638B" w:rsidRDefault="00AA638B" w:rsidP="00AA638B">
      <w:pPr>
        <w:spacing w:line="360" w:lineRule="auto"/>
        <w:contextualSpacing/>
        <w:jc w:val="center"/>
        <w:rPr>
          <w:rFonts w:ascii="Arial" w:hAnsi="Arial" w:cs="Arial"/>
        </w:rPr>
      </w:pPr>
    </w:p>
    <w:p w14:paraId="24BB20D9" w14:textId="77777777" w:rsidR="00AA638B" w:rsidRPr="00AA638B" w:rsidRDefault="00AA638B" w:rsidP="00AA638B">
      <w:pPr>
        <w:spacing w:line="360" w:lineRule="auto"/>
        <w:contextualSpacing/>
        <w:jc w:val="center"/>
        <w:rPr>
          <w:rFonts w:ascii="Arial" w:hAnsi="Arial" w:cs="Arial"/>
        </w:rPr>
      </w:pPr>
    </w:p>
    <w:p w14:paraId="19820918" w14:textId="01B1295C" w:rsidR="00AA638B" w:rsidRPr="00AA638B" w:rsidRDefault="00C029D8" w:rsidP="00AA638B">
      <w:pPr>
        <w:spacing w:line="360" w:lineRule="auto"/>
        <w:contextualSpacing/>
        <w:jc w:val="center"/>
        <w:rPr>
          <w:rFonts w:ascii="Arial" w:hAnsi="Arial" w:cs="Arial"/>
        </w:rPr>
      </w:pPr>
      <w:r>
        <w:rPr>
          <w:rFonts w:ascii="Arial" w:hAnsi="Arial" w:cs="Arial"/>
        </w:rPr>
        <w:t>LCHS4010</w:t>
      </w:r>
    </w:p>
    <w:p w14:paraId="2CA3A667" w14:textId="755456C3" w:rsidR="00AA638B" w:rsidRPr="00AA638B" w:rsidRDefault="00C029D8" w:rsidP="00AA638B">
      <w:pPr>
        <w:spacing w:line="360" w:lineRule="auto"/>
        <w:contextualSpacing/>
        <w:jc w:val="center"/>
        <w:rPr>
          <w:rFonts w:ascii="Arial" w:hAnsi="Arial" w:cs="Arial"/>
        </w:rPr>
      </w:pPr>
      <w:r>
        <w:rPr>
          <w:rFonts w:ascii="Arial" w:hAnsi="Arial" w:cs="Arial"/>
        </w:rPr>
        <w:t>Shepherd Ziko</w:t>
      </w:r>
    </w:p>
    <w:p w14:paraId="1DAA041B" w14:textId="77777777" w:rsidR="00C029D8" w:rsidRDefault="00C029D8" w:rsidP="00AA638B">
      <w:pPr>
        <w:spacing w:line="360" w:lineRule="auto"/>
        <w:contextualSpacing/>
        <w:jc w:val="center"/>
        <w:rPr>
          <w:rFonts w:ascii="Arial" w:hAnsi="Arial" w:cs="Arial"/>
        </w:rPr>
      </w:pPr>
    </w:p>
    <w:p w14:paraId="635DABBC" w14:textId="4AD802CD" w:rsidR="00AA638B" w:rsidRDefault="00C029D8" w:rsidP="00AA638B">
      <w:pPr>
        <w:spacing w:line="360" w:lineRule="auto"/>
        <w:contextualSpacing/>
        <w:jc w:val="center"/>
        <w:rPr>
          <w:rFonts w:ascii="Arial" w:hAnsi="Arial" w:cs="Arial"/>
        </w:rPr>
      </w:pPr>
      <w:r>
        <w:rPr>
          <w:rFonts w:ascii="Arial" w:hAnsi="Arial" w:cs="Arial"/>
        </w:rPr>
        <w:t>18/04/2026</w:t>
      </w:r>
    </w:p>
    <w:p w14:paraId="0EE09AAF" w14:textId="599AE917" w:rsidR="00AA638B" w:rsidRDefault="00AA638B" w:rsidP="00AA638B">
      <w:pPr>
        <w:spacing w:line="360" w:lineRule="auto"/>
        <w:contextualSpacing/>
        <w:jc w:val="center"/>
        <w:rPr>
          <w:rFonts w:ascii="Arial" w:hAnsi="Arial" w:cs="Arial"/>
        </w:rPr>
      </w:pPr>
    </w:p>
    <w:p w14:paraId="26ECF611" w14:textId="6BA8B46D" w:rsidR="00AA638B" w:rsidRDefault="00AA638B" w:rsidP="00AA638B">
      <w:pPr>
        <w:spacing w:line="360" w:lineRule="auto"/>
        <w:contextualSpacing/>
        <w:jc w:val="center"/>
        <w:rPr>
          <w:rFonts w:ascii="Arial" w:hAnsi="Arial" w:cs="Arial"/>
        </w:rPr>
      </w:pPr>
    </w:p>
    <w:p w14:paraId="421EBA06" w14:textId="2FD35EE8" w:rsidR="00AA638B" w:rsidRDefault="00AA638B" w:rsidP="00AA638B">
      <w:pPr>
        <w:spacing w:line="360" w:lineRule="auto"/>
        <w:contextualSpacing/>
        <w:jc w:val="center"/>
        <w:rPr>
          <w:rFonts w:ascii="Arial" w:hAnsi="Arial" w:cs="Arial"/>
        </w:rPr>
      </w:pPr>
    </w:p>
    <w:p w14:paraId="5AECC53E" w14:textId="4857C8FE" w:rsidR="00AA638B" w:rsidRDefault="00AA638B" w:rsidP="00AA638B">
      <w:pPr>
        <w:spacing w:line="360" w:lineRule="auto"/>
        <w:contextualSpacing/>
        <w:jc w:val="center"/>
        <w:rPr>
          <w:rFonts w:ascii="Arial" w:hAnsi="Arial" w:cs="Arial"/>
        </w:rPr>
      </w:pPr>
    </w:p>
    <w:p w14:paraId="6AC6A092" w14:textId="610AFB3F" w:rsidR="00AA638B" w:rsidRDefault="00AA638B" w:rsidP="00AA638B">
      <w:pPr>
        <w:spacing w:line="360" w:lineRule="auto"/>
        <w:contextualSpacing/>
        <w:jc w:val="center"/>
        <w:rPr>
          <w:rFonts w:ascii="Arial" w:hAnsi="Arial" w:cs="Arial"/>
        </w:rPr>
      </w:pPr>
    </w:p>
    <w:p w14:paraId="7D55839D" w14:textId="54A7152C" w:rsidR="00AA638B" w:rsidRDefault="00AA638B" w:rsidP="00AA638B">
      <w:pPr>
        <w:spacing w:line="360" w:lineRule="auto"/>
        <w:contextualSpacing/>
        <w:jc w:val="center"/>
        <w:rPr>
          <w:rFonts w:ascii="Arial" w:hAnsi="Arial" w:cs="Arial"/>
        </w:rPr>
      </w:pPr>
    </w:p>
    <w:p w14:paraId="28E40BA2" w14:textId="4F9F06BD" w:rsidR="00AA638B" w:rsidRDefault="00AA638B" w:rsidP="00AA638B">
      <w:pPr>
        <w:spacing w:line="360" w:lineRule="auto"/>
        <w:contextualSpacing/>
        <w:jc w:val="center"/>
        <w:rPr>
          <w:rFonts w:ascii="Arial" w:hAnsi="Arial" w:cs="Arial"/>
        </w:rPr>
      </w:pPr>
    </w:p>
    <w:p w14:paraId="22D2660A" w14:textId="7CA15E41" w:rsidR="00AA638B" w:rsidRDefault="00AA638B" w:rsidP="00AA638B">
      <w:pPr>
        <w:spacing w:line="360" w:lineRule="auto"/>
        <w:contextualSpacing/>
        <w:jc w:val="center"/>
        <w:rPr>
          <w:rFonts w:ascii="Arial" w:hAnsi="Arial" w:cs="Arial"/>
        </w:rPr>
      </w:pPr>
    </w:p>
    <w:p w14:paraId="55A9CE89" w14:textId="6E653F66" w:rsidR="00AA638B" w:rsidRDefault="00AA638B" w:rsidP="00AA638B">
      <w:pPr>
        <w:spacing w:line="360" w:lineRule="auto"/>
        <w:contextualSpacing/>
        <w:jc w:val="center"/>
        <w:rPr>
          <w:rFonts w:ascii="Arial" w:hAnsi="Arial" w:cs="Arial"/>
        </w:rPr>
      </w:pPr>
    </w:p>
    <w:p w14:paraId="3D3E1FE5" w14:textId="135A6724" w:rsidR="00AA638B" w:rsidRDefault="00AA638B" w:rsidP="00AA638B">
      <w:pPr>
        <w:spacing w:line="360" w:lineRule="auto"/>
        <w:contextualSpacing/>
        <w:jc w:val="center"/>
        <w:rPr>
          <w:rFonts w:ascii="Arial" w:hAnsi="Arial" w:cs="Arial"/>
        </w:rPr>
      </w:pPr>
    </w:p>
    <w:p w14:paraId="0E33867B" w14:textId="69BACB36" w:rsidR="00AA638B" w:rsidRDefault="00AA638B" w:rsidP="00AA638B">
      <w:pPr>
        <w:spacing w:line="360" w:lineRule="auto"/>
        <w:contextualSpacing/>
        <w:jc w:val="center"/>
        <w:rPr>
          <w:rFonts w:ascii="Arial" w:hAnsi="Arial" w:cs="Arial"/>
        </w:rPr>
      </w:pPr>
    </w:p>
    <w:p w14:paraId="3E12CF1A" w14:textId="729FF547" w:rsidR="00AA638B" w:rsidRDefault="00AA638B" w:rsidP="00AA638B">
      <w:pPr>
        <w:spacing w:line="360" w:lineRule="auto"/>
        <w:contextualSpacing/>
        <w:jc w:val="center"/>
        <w:rPr>
          <w:rFonts w:ascii="Arial" w:hAnsi="Arial" w:cs="Arial"/>
        </w:rPr>
      </w:pPr>
    </w:p>
    <w:p w14:paraId="7D91A704" w14:textId="57C138F7" w:rsidR="00AA638B" w:rsidRDefault="00AA638B" w:rsidP="00AA638B">
      <w:pPr>
        <w:spacing w:line="360" w:lineRule="auto"/>
        <w:contextualSpacing/>
        <w:jc w:val="center"/>
        <w:rPr>
          <w:rFonts w:ascii="Arial" w:hAnsi="Arial" w:cs="Arial"/>
        </w:rPr>
      </w:pPr>
    </w:p>
    <w:p w14:paraId="7BB12DA9" w14:textId="52560FB5" w:rsidR="002853A6" w:rsidRDefault="00B4564F" w:rsidP="008E4390">
      <w:pPr>
        <w:spacing w:line="360" w:lineRule="auto"/>
        <w:contextualSpacing/>
        <w:jc w:val="center"/>
        <w:rPr>
          <w:rFonts w:ascii="Arial" w:hAnsi="Arial" w:cs="Arial"/>
          <w:b/>
          <w:bCs/>
        </w:rPr>
      </w:pPr>
      <w:r w:rsidRPr="00AA638B">
        <w:rPr>
          <w:rFonts w:ascii="Arial" w:hAnsi="Arial" w:cs="Arial"/>
          <w:b/>
          <w:bCs/>
        </w:rPr>
        <w:lastRenderedPageBreak/>
        <w:t>Psychological Theories in Care</w:t>
      </w:r>
    </w:p>
    <w:p w14:paraId="11DCEFC7" w14:textId="3CA40719" w:rsidR="00AA638B" w:rsidRPr="00AA638B" w:rsidRDefault="00B4564F" w:rsidP="00AA638B">
      <w:pPr>
        <w:spacing w:line="360" w:lineRule="auto"/>
        <w:contextualSpacing/>
        <w:rPr>
          <w:rFonts w:ascii="Arial" w:hAnsi="Arial" w:cs="Arial"/>
          <w:b/>
          <w:bCs/>
        </w:rPr>
      </w:pPr>
      <w:r w:rsidRPr="00AA638B">
        <w:rPr>
          <w:rFonts w:ascii="Arial" w:hAnsi="Arial" w:cs="Arial"/>
          <w:b/>
          <w:bCs/>
        </w:rPr>
        <w:t>Part A: Annotated Bibliography</w:t>
      </w:r>
    </w:p>
    <w:p w14:paraId="63E75BD7" w14:textId="77777777" w:rsidR="00AA638B" w:rsidRPr="00AA638B" w:rsidRDefault="00B4564F" w:rsidP="008E4390">
      <w:pPr>
        <w:spacing w:line="360" w:lineRule="auto"/>
        <w:ind w:firstLine="720"/>
        <w:contextualSpacing/>
        <w:rPr>
          <w:rFonts w:ascii="Arial" w:hAnsi="Arial" w:cs="Arial"/>
        </w:rPr>
      </w:pPr>
      <w:r w:rsidRPr="00AA638B">
        <w:rPr>
          <w:rFonts w:ascii="Arial" w:hAnsi="Arial" w:cs="Arial"/>
        </w:rPr>
        <w:t xml:space="preserve">I selected </w:t>
      </w:r>
      <w:r w:rsidRPr="00AA638B">
        <w:rPr>
          <w:rFonts w:ascii="Arial" w:hAnsi="Arial" w:cs="Arial"/>
          <w:b/>
          <w:bCs/>
        </w:rPr>
        <w:t>Erikson’s psychosocial theory</w:t>
      </w:r>
      <w:r w:rsidRPr="00AA638B">
        <w:rPr>
          <w:rFonts w:ascii="Arial" w:hAnsi="Arial" w:cs="Arial"/>
        </w:rPr>
        <w:t xml:space="preserve"> and </w:t>
      </w:r>
      <w:r w:rsidRPr="00AA638B">
        <w:rPr>
          <w:rFonts w:ascii="Arial" w:hAnsi="Arial" w:cs="Arial"/>
          <w:b/>
          <w:bCs/>
        </w:rPr>
        <w:t>positive psychology approaches to ageing</w:t>
      </w:r>
      <w:r w:rsidRPr="00AA638B">
        <w:rPr>
          <w:rFonts w:ascii="Arial" w:hAnsi="Arial" w:cs="Arial"/>
        </w:rPr>
        <w:t xml:space="preserve"> because both have current evidence linking them to later-life wellbeing and to interventions that can be used in health and social care settings. </w:t>
      </w:r>
    </w:p>
    <w:p w14:paraId="3DBB29F0" w14:textId="0C99D95A" w:rsidR="00AA638B" w:rsidRPr="002853A6" w:rsidRDefault="00B4564F" w:rsidP="002853A6">
      <w:pPr>
        <w:pStyle w:val="ListParagraph"/>
        <w:numPr>
          <w:ilvl w:val="0"/>
          <w:numId w:val="2"/>
        </w:numPr>
        <w:spacing w:line="360" w:lineRule="auto"/>
        <w:rPr>
          <w:rFonts w:ascii="Arial" w:hAnsi="Arial" w:cs="Arial"/>
          <w:b/>
          <w:bCs/>
        </w:rPr>
      </w:pPr>
      <w:r w:rsidRPr="002853A6">
        <w:rPr>
          <w:rFonts w:ascii="Arial" w:hAnsi="Arial" w:cs="Arial"/>
          <w:b/>
          <w:bCs/>
        </w:rPr>
        <w:t>Erikson-</w:t>
      </w:r>
      <w:r w:rsidR="002853A6" w:rsidRPr="002853A6">
        <w:rPr>
          <w:rFonts w:ascii="Arial" w:hAnsi="Arial" w:cs="Arial"/>
          <w:b/>
          <w:bCs/>
        </w:rPr>
        <w:t>F</w:t>
      </w:r>
      <w:r w:rsidRPr="002853A6">
        <w:rPr>
          <w:rFonts w:ascii="Arial" w:hAnsi="Arial" w:cs="Arial"/>
          <w:b/>
          <w:bCs/>
        </w:rPr>
        <w:t xml:space="preserve">ocused </w:t>
      </w:r>
    </w:p>
    <w:p w14:paraId="5044A611" w14:textId="77185ECF" w:rsidR="00AA638B" w:rsidRPr="002853A6" w:rsidRDefault="00B4564F" w:rsidP="002853A6">
      <w:pPr>
        <w:pStyle w:val="ListParagraph"/>
        <w:numPr>
          <w:ilvl w:val="0"/>
          <w:numId w:val="3"/>
        </w:numPr>
        <w:spacing w:line="360" w:lineRule="auto"/>
        <w:ind w:left="360"/>
        <w:rPr>
          <w:rFonts w:ascii="Arial" w:hAnsi="Arial" w:cs="Arial"/>
          <w:b/>
          <w:bCs/>
        </w:rPr>
      </w:pPr>
      <w:r w:rsidRPr="002853A6">
        <w:rPr>
          <w:rFonts w:ascii="Arial" w:hAnsi="Arial" w:cs="Arial"/>
          <w:b/>
          <w:bCs/>
        </w:rPr>
        <w:t xml:space="preserve">Qiu, Y. </w:t>
      </w:r>
      <w:r w:rsidRPr="002853A6">
        <w:rPr>
          <w:rFonts w:ascii="Arial" w:hAnsi="Arial" w:cs="Arial"/>
          <w:b/>
          <w:bCs/>
          <w:i/>
          <w:iCs/>
        </w:rPr>
        <w:t>et al.</w:t>
      </w:r>
      <w:r w:rsidRPr="002853A6">
        <w:rPr>
          <w:rFonts w:ascii="Arial" w:hAnsi="Arial" w:cs="Arial"/>
          <w:b/>
          <w:bCs/>
        </w:rPr>
        <w:t xml:space="preserve"> (2025) 'Intervention strategies for ego-integrity among older adults: A scoping review,' </w:t>
      </w:r>
      <w:r w:rsidRPr="002853A6">
        <w:rPr>
          <w:rFonts w:ascii="Arial" w:hAnsi="Arial" w:cs="Arial"/>
          <w:b/>
          <w:bCs/>
          <w:i/>
          <w:iCs/>
        </w:rPr>
        <w:t>Geriatric Nursing</w:t>
      </w:r>
      <w:r w:rsidRPr="002853A6">
        <w:rPr>
          <w:rFonts w:ascii="Arial" w:hAnsi="Arial" w:cs="Arial"/>
          <w:b/>
          <w:bCs/>
        </w:rPr>
        <w:t xml:space="preserve">, 66(Pt B), p. 103702. </w:t>
      </w:r>
    </w:p>
    <w:p w14:paraId="47CD88A9" w14:textId="486CF206" w:rsidR="00AA638B" w:rsidRPr="00AA638B" w:rsidRDefault="00B4564F" w:rsidP="00512608">
      <w:pPr>
        <w:spacing w:line="360" w:lineRule="auto"/>
        <w:ind w:firstLine="720"/>
        <w:contextualSpacing/>
        <w:rPr>
          <w:rFonts w:ascii="Arial" w:hAnsi="Arial" w:cs="Arial"/>
        </w:rPr>
      </w:pPr>
      <w:r w:rsidRPr="00512608">
        <w:rPr>
          <w:rFonts w:ascii="Arial" w:hAnsi="Arial" w:cs="Arial"/>
        </w:rPr>
        <w:t xml:space="preserve">Interventions aimed at enhancing ego-integrity, a key idea in Erikson's psychosocial theory, are examined in this scoping study. </w:t>
      </w:r>
      <w:r w:rsidR="002853A6" w:rsidRPr="002853A6">
        <w:rPr>
          <w:rFonts w:ascii="Arial" w:hAnsi="Arial" w:cs="Arial"/>
        </w:rPr>
        <w:t xml:space="preserve">The authors reviewed 10 studies and found that the main approaches included life review, music combined with review, horticultural therapy combined with review, cognitive therapy combined with review, and community education curriculum interventions. </w:t>
      </w:r>
      <w:r w:rsidRPr="00512608">
        <w:rPr>
          <w:rFonts w:ascii="Arial" w:hAnsi="Arial" w:cs="Arial"/>
        </w:rPr>
        <w:t xml:space="preserve">Psychological wellbeing, ego-integrity, life satisfaction, depression, death anxiety, self-esteem, life purpose, adaptability in nursing homes, and quality of life were among the outcomes evaluated in these studies. </w:t>
      </w:r>
      <w:r w:rsidR="00542A36" w:rsidRPr="00542A36">
        <w:rPr>
          <w:rFonts w:ascii="Arial" w:hAnsi="Arial" w:cs="Arial"/>
        </w:rPr>
        <w:t>The review shows that, in addition to decline, later-life growth also entails meaning-making, acceptance, and adaptation. It also relates ego-integrity work to practical interventions that can be utilised in care settings.</w:t>
      </w:r>
      <w:r>
        <w:rPr>
          <w:rFonts w:ascii="Arial" w:hAnsi="Arial" w:cs="Arial"/>
        </w:rPr>
        <w:t xml:space="preserve"> </w:t>
      </w:r>
      <w:r w:rsidRPr="00512608">
        <w:rPr>
          <w:rFonts w:ascii="Arial" w:hAnsi="Arial" w:cs="Arial"/>
        </w:rPr>
        <w:t xml:space="preserve">Because it shows how Erikson's theory can guide intentional support for older individuals in residential care, this article is very relevant to health and social care. </w:t>
      </w:r>
      <w:r w:rsidR="00542A36" w:rsidRPr="00542A36">
        <w:rPr>
          <w:rFonts w:ascii="Arial" w:hAnsi="Arial" w:cs="Arial"/>
        </w:rPr>
        <w:t xml:space="preserve">The professionals must not believe that all life review activities are always successful; however, the review also indicates theoretical and methodological faults in certain therapies. </w:t>
      </w:r>
      <w:r w:rsidRPr="00512608">
        <w:rPr>
          <w:rFonts w:ascii="Arial" w:hAnsi="Arial" w:cs="Arial"/>
        </w:rPr>
        <w:t>Its primary advantage is that it offers a solid foundation of data for psychosocial support; its drawback is that more thorough research is still required.</w:t>
      </w:r>
      <w:r w:rsidRPr="00AA638B">
        <w:rPr>
          <w:rFonts w:ascii="Arial" w:hAnsi="Arial" w:cs="Arial"/>
        </w:rPr>
        <w:t xml:space="preserve"> </w:t>
      </w:r>
    </w:p>
    <w:p w14:paraId="363689D1" w14:textId="431E2904" w:rsidR="00AA638B" w:rsidRPr="002853A6" w:rsidRDefault="00B4564F" w:rsidP="002853A6">
      <w:pPr>
        <w:pStyle w:val="ListParagraph"/>
        <w:numPr>
          <w:ilvl w:val="0"/>
          <w:numId w:val="3"/>
        </w:numPr>
        <w:spacing w:line="360" w:lineRule="auto"/>
        <w:ind w:left="360"/>
        <w:rPr>
          <w:rFonts w:ascii="Arial" w:hAnsi="Arial" w:cs="Arial"/>
        </w:rPr>
      </w:pPr>
      <w:r w:rsidRPr="002853A6">
        <w:rPr>
          <w:rFonts w:ascii="Arial" w:hAnsi="Arial" w:cs="Arial"/>
          <w:b/>
          <w:bCs/>
        </w:rPr>
        <w:t xml:space="preserve">Woo, J.-H. and Bae, S.-M. (2022) 'The Association between depression and death anxiety among Older adults: Moderating Effect of Ego-Integrity,' OMEGA - </w:t>
      </w:r>
      <w:r w:rsidRPr="002853A6">
        <w:rPr>
          <w:rFonts w:ascii="Arial" w:hAnsi="Arial" w:cs="Arial"/>
          <w:b/>
          <w:bCs/>
          <w:i/>
          <w:iCs/>
        </w:rPr>
        <w:t>Journal of Death and Dying, 90</w:t>
      </w:r>
      <w:r w:rsidRPr="002853A6">
        <w:rPr>
          <w:rFonts w:ascii="Arial" w:hAnsi="Arial" w:cs="Arial"/>
          <w:b/>
          <w:bCs/>
        </w:rPr>
        <w:t xml:space="preserve">(3), pp. 1025–1042. </w:t>
      </w:r>
    </w:p>
    <w:p w14:paraId="13CD9E08" w14:textId="5CFC0A47" w:rsidR="00AA638B" w:rsidRPr="00AA638B" w:rsidRDefault="00B4564F" w:rsidP="00512608">
      <w:pPr>
        <w:spacing w:line="360" w:lineRule="auto"/>
        <w:ind w:firstLine="720"/>
        <w:contextualSpacing/>
        <w:rPr>
          <w:rFonts w:ascii="Arial" w:hAnsi="Arial" w:cs="Arial"/>
        </w:rPr>
      </w:pPr>
      <w:r w:rsidRPr="002853A6">
        <w:rPr>
          <w:rFonts w:ascii="Arial" w:hAnsi="Arial" w:cs="Arial"/>
        </w:rPr>
        <w:t xml:space="preserve">This article examines how ego-integrity, another key part of Erikson’s later life stage, influences the relationship between depression and death anxiety in older adults. Using data from 236 participants aged 65 and over, the authors found that depression was positively related to death anxiety. </w:t>
      </w:r>
      <w:r w:rsidR="00512608" w:rsidRPr="00512608">
        <w:rPr>
          <w:rFonts w:ascii="Arial" w:hAnsi="Arial" w:cs="Arial"/>
        </w:rPr>
        <w:t>Additionally, they discovered that ego-integrity moderated this relationship, which means that a higher level of ego-integrity seemed to lessen the severity of the association between fear of death and depressive symptoms.</w:t>
      </w:r>
      <w:r w:rsidRPr="002853A6">
        <w:rPr>
          <w:rFonts w:ascii="Arial" w:hAnsi="Arial" w:cs="Arial"/>
        </w:rPr>
        <w:t xml:space="preserve"> Among the sub-dimensions of </w:t>
      </w:r>
      <w:r w:rsidRPr="002853A6">
        <w:rPr>
          <w:rFonts w:ascii="Arial" w:hAnsi="Arial" w:cs="Arial"/>
        </w:rPr>
        <w:lastRenderedPageBreak/>
        <w:t xml:space="preserve">ego-integrity, satisfaction with one’s life was especially significant, whereas attitude toward life and acceptance of old age were not significant moderators. </w:t>
      </w:r>
      <w:r w:rsidR="00512608" w:rsidRPr="00512608">
        <w:rPr>
          <w:rFonts w:ascii="Arial" w:hAnsi="Arial" w:cs="Arial"/>
        </w:rPr>
        <w:t>According to the study, assisting senior citizens in improving their level of life satisfaction may help them become more emotionally resilient and less distressed as they age.</w:t>
      </w:r>
      <w:r w:rsidR="00512608">
        <w:rPr>
          <w:rFonts w:ascii="Arial" w:hAnsi="Arial" w:cs="Arial"/>
        </w:rPr>
        <w:t xml:space="preserve"> </w:t>
      </w:r>
      <w:r w:rsidR="00542A36" w:rsidRPr="00542A36">
        <w:rPr>
          <w:rFonts w:ascii="Arial" w:hAnsi="Arial" w:cs="Arial"/>
        </w:rPr>
        <w:t>The article is relevant to the field of health and social care because it connects theory to the measurable mental health outcomes. It supports the idea that approaches that promote life satisfaction and purpose can boost emotional wellness during later adulthood.</w:t>
      </w:r>
      <w:r w:rsidR="00512608" w:rsidRPr="00512608">
        <w:rPr>
          <w:rFonts w:ascii="Arial" w:hAnsi="Arial" w:cs="Arial"/>
        </w:rPr>
        <w:t xml:space="preserve"> </w:t>
      </w:r>
      <w:r w:rsidRPr="002853A6">
        <w:rPr>
          <w:rFonts w:ascii="Arial" w:hAnsi="Arial" w:cs="Arial"/>
        </w:rPr>
        <w:t xml:space="preserve">A limitation is that the study is correlational, so it cannot prove causation. </w:t>
      </w:r>
      <w:r w:rsidR="00512608" w:rsidRPr="00512608">
        <w:rPr>
          <w:rFonts w:ascii="Arial" w:hAnsi="Arial" w:cs="Arial"/>
        </w:rPr>
        <w:t>Nevertheless, it provides valuable evidence for person-centered care in assisted living facilities, particularly for residents who suffer from anxiety, sadness, or dread of aging and death.</w:t>
      </w:r>
      <w:r w:rsidRPr="00AA638B">
        <w:rPr>
          <w:rFonts w:ascii="Arial" w:hAnsi="Arial" w:cs="Arial"/>
        </w:rPr>
        <w:t xml:space="preserve"> </w:t>
      </w:r>
    </w:p>
    <w:p w14:paraId="5234645C" w14:textId="5710CE6E" w:rsidR="00AA638B" w:rsidRPr="002853A6" w:rsidRDefault="00B4564F" w:rsidP="002853A6">
      <w:pPr>
        <w:pStyle w:val="ListParagraph"/>
        <w:numPr>
          <w:ilvl w:val="0"/>
          <w:numId w:val="2"/>
        </w:numPr>
        <w:spacing w:line="360" w:lineRule="auto"/>
        <w:rPr>
          <w:rFonts w:ascii="Arial" w:hAnsi="Arial" w:cs="Arial"/>
          <w:b/>
          <w:bCs/>
        </w:rPr>
      </w:pPr>
      <w:r w:rsidRPr="002853A6">
        <w:rPr>
          <w:rFonts w:ascii="Arial" w:hAnsi="Arial" w:cs="Arial"/>
          <w:b/>
          <w:bCs/>
        </w:rPr>
        <w:t xml:space="preserve">Positive </w:t>
      </w:r>
      <w:r w:rsidR="002853A6">
        <w:rPr>
          <w:rFonts w:ascii="Arial" w:hAnsi="Arial" w:cs="Arial"/>
          <w:b/>
          <w:bCs/>
        </w:rPr>
        <w:t>P</w:t>
      </w:r>
      <w:r w:rsidRPr="002853A6">
        <w:rPr>
          <w:rFonts w:ascii="Arial" w:hAnsi="Arial" w:cs="Arial"/>
          <w:b/>
          <w:bCs/>
        </w:rPr>
        <w:t xml:space="preserve">sychology </w:t>
      </w:r>
    </w:p>
    <w:p w14:paraId="3EFAF3E4" w14:textId="63941608" w:rsidR="00AA638B" w:rsidRPr="002853A6" w:rsidRDefault="00B4564F" w:rsidP="002853A6">
      <w:pPr>
        <w:pStyle w:val="ListParagraph"/>
        <w:numPr>
          <w:ilvl w:val="0"/>
          <w:numId w:val="4"/>
        </w:numPr>
        <w:spacing w:line="360" w:lineRule="auto"/>
        <w:ind w:left="360"/>
        <w:rPr>
          <w:rFonts w:ascii="Arial" w:hAnsi="Arial" w:cs="Arial"/>
        </w:rPr>
      </w:pPr>
      <w:r w:rsidRPr="002853A6">
        <w:rPr>
          <w:rFonts w:ascii="Arial" w:hAnsi="Arial" w:cs="Arial"/>
          <w:b/>
          <w:bCs/>
        </w:rPr>
        <w:t xml:space="preserve">Iwano, S., Kambara, K. and Aoki, S. (2022) 'Psychological Interventions for Wellbeing in Healthy Older Adults: Systematic Review and Meta-Analysis,' </w:t>
      </w:r>
      <w:r w:rsidRPr="002853A6">
        <w:rPr>
          <w:rFonts w:ascii="Arial" w:hAnsi="Arial" w:cs="Arial"/>
          <w:b/>
          <w:bCs/>
          <w:i/>
          <w:iCs/>
        </w:rPr>
        <w:t>Journal of Happiness Studies, 23</w:t>
      </w:r>
      <w:r w:rsidRPr="002853A6">
        <w:rPr>
          <w:rFonts w:ascii="Arial" w:hAnsi="Arial" w:cs="Arial"/>
          <w:b/>
          <w:bCs/>
        </w:rPr>
        <w:t xml:space="preserve">(5), pp. 2389–2403. </w:t>
      </w:r>
    </w:p>
    <w:p w14:paraId="1E31C822" w14:textId="6DFBB521" w:rsidR="002853A6" w:rsidRPr="002853A6" w:rsidRDefault="00B4564F" w:rsidP="002853A6">
      <w:pPr>
        <w:spacing w:line="360" w:lineRule="auto"/>
        <w:ind w:firstLine="720"/>
        <w:contextualSpacing/>
        <w:rPr>
          <w:rFonts w:ascii="Arial" w:hAnsi="Arial" w:cs="Arial"/>
        </w:rPr>
      </w:pPr>
      <w:r w:rsidRPr="00512608">
        <w:rPr>
          <w:rFonts w:ascii="Arial" w:hAnsi="Arial" w:cs="Arial"/>
        </w:rPr>
        <w:t xml:space="preserve">By assessing psychological interventions intended to enhance well-being in healthy older persons, this systematic review and meta-analysis investigates positive psychology approaches to aging. </w:t>
      </w:r>
      <w:r w:rsidRPr="002853A6">
        <w:rPr>
          <w:rFonts w:ascii="Arial" w:hAnsi="Arial" w:cs="Arial"/>
        </w:rPr>
        <w:t xml:space="preserve">The authors identified five qualitative and four quantitative studies from a search of 1,047 articles. The interventions included an isolation prevention programme, outdoor activities, theatre workshops, animal-assisted activity, and encounter groups. </w:t>
      </w:r>
      <w:r w:rsidRPr="00512608">
        <w:rPr>
          <w:rFonts w:ascii="Arial" w:hAnsi="Arial" w:cs="Arial"/>
        </w:rPr>
        <w:t xml:space="preserve">A significant impact size for well-being was discovered in the meta-analysis, indicating that psychological therapies may enhance the quality of later life. </w:t>
      </w:r>
      <w:r w:rsidRPr="002853A6">
        <w:rPr>
          <w:rFonts w:ascii="Arial" w:hAnsi="Arial" w:cs="Arial"/>
        </w:rPr>
        <w:t xml:space="preserve">However, the studies showed high heterogeneity, and most were of low quality. </w:t>
      </w:r>
      <w:r w:rsidRPr="00512608">
        <w:rPr>
          <w:rFonts w:ascii="Arial" w:hAnsi="Arial" w:cs="Arial"/>
        </w:rPr>
        <w:t xml:space="preserve">The evaluation also pointed out that, </w:t>
      </w:r>
      <w:proofErr w:type="gramStart"/>
      <w:r w:rsidRPr="00512608">
        <w:rPr>
          <w:rFonts w:ascii="Arial" w:hAnsi="Arial" w:cs="Arial"/>
        </w:rPr>
        <w:t>despite the fact that</w:t>
      </w:r>
      <w:proofErr w:type="gramEnd"/>
      <w:r w:rsidRPr="00512608">
        <w:rPr>
          <w:rFonts w:ascii="Arial" w:hAnsi="Arial" w:cs="Arial"/>
        </w:rPr>
        <w:t xml:space="preserve"> </w:t>
      </w:r>
      <w:proofErr w:type="gramStart"/>
      <w:r w:rsidRPr="00512608">
        <w:rPr>
          <w:rFonts w:ascii="Arial" w:hAnsi="Arial" w:cs="Arial"/>
        </w:rPr>
        <w:t>all of</w:t>
      </w:r>
      <w:proofErr w:type="gramEnd"/>
      <w:r w:rsidRPr="00512608">
        <w:rPr>
          <w:rFonts w:ascii="Arial" w:hAnsi="Arial" w:cs="Arial"/>
        </w:rPr>
        <w:t xml:space="preserve"> the investigations included social contact with humans or animals, they lacked a common theoretical foundation.</w:t>
      </w:r>
    </w:p>
    <w:p w14:paraId="79098A65" w14:textId="087B7485" w:rsidR="00AA638B" w:rsidRPr="00AA638B" w:rsidRDefault="00B4564F" w:rsidP="002853A6">
      <w:pPr>
        <w:spacing w:line="360" w:lineRule="auto"/>
        <w:ind w:firstLine="720"/>
        <w:contextualSpacing/>
        <w:rPr>
          <w:rFonts w:ascii="Arial" w:hAnsi="Arial" w:cs="Arial"/>
        </w:rPr>
      </w:pPr>
      <w:r w:rsidRPr="00512608">
        <w:rPr>
          <w:rFonts w:ascii="Arial" w:hAnsi="Arial" w:cs="Arial"/>
        </w:rPr>
        <w:t>This source is particularly pertinent to health and social care since research demonstrates that active, relational, and meaningful interventions</w:t>
      </w:r>
      <w:r>
        <w:rPr>
          <w:rFonts w:ascii="Arial" w:hAnsi="Arial" w:cs="Arial"/>
        </w:rPr>
        <w:t xml:space="preserve">, </w:t>
      </w:r>
      <w:r w:rsidRPr="00512608">
        <w:rPr>
          <w:rFonts w:ascii="Arial" w:hAnsi="Arial" w:cs="Arial"/>
        </w:rPr>
        <w:t>rather than just medical treatment</w:t>
      </w:r>
      <w:r>
        <w:rPr>
          <w:rFonts w:ascii="Arial" w:hAnsi="Arial" w:cs="Arial"/>
        </w:rPr>
        <w:t xml:space="preserve">, </w:t>
      </w:r>
      <w:r w:rsidRPr="00512608">
        <w:rPr>
          <w:rFonts w:ascii="Arial" w:hAnsi="Arial" w:cs="Arial"/>
        </w:rPr>
        <w:t xml:space="preserve">can enhance older adults' wellbeing. </w:t>
      </w:r>
      <w:r w:rsidR="00542A36" w:rsidRPr="00542A36">
        <w:rPr>
          <w:rFonts w:ascii="Arial" w:hAnsi="Arial" w:cs="Arial"/>
        </w:rPr>
        <w:t>Its main strength is that it offers tangible evidence that it is possible to boost wellbeing by means of structured psychological input.</w:t>
      </w:r>
      <w:r w:rsidRPr="00512608">
        <w:rPr>
          <w:rFonts w:ascii="Arial" w:hAnsi="Arial" w:cs="Arial"/>
        </w:rPr>
        <w:t xml:space="preserve"> The fact that the evidence is inconsistent and inconsistent with the theory is its weakness. However, it promotes a person-centered, socially engaged approach to services for older individuals, especially in care facilities where loneliness and depression may be prevalent.</w:t>
      </w:r>
      <w:r w:rsidRPr="00AA638B">
        <w:rPr>
          <w:rFonts w:ascii="Arial" w:hAnsi="Arial" w:cs="Arial"/>
        </w:rPr>
        <w:t xml:space="preserve"> </w:t>
      </w:r>
    </w:p>
    <w:p w14:paraId="2C4E45DE" w14:textId="77777777" w:rsidR="00AA638B" w:rsidRPr="002853A6" w:rsidRDefault="00B4564F" w:rsidP="002853A6">
      <w:pPr>
        <w:pStyle w:val="ListParagraph"/>
        <w:numPr>
          <w:ilvl w:val="0"/>
          <w:numId w:val="4"/>
        </w:numPr>
        <w:spacing w:line="360" w:lineRule="auto"/>
        <w:ind w:left="360"/>
        <w:rPr>
          <w:rFonts w:ascii="Arial" w:hAnsi="Arial" w:cs="Arial"/>
        </w:rPr>
      </w:pPr>
      <w:r w:rsidRPr="002853A6">
        <w:rPr>
          <w:rFonts w:ascii="Arial" w:hAnsi="Arial" w:cs="Arial"/>
          <w:b/>
          <w:bCs/>
        </w:rPr>
        <w:t xml:space="preserve">Carr, A., Finneran, L., Boyd, C., Shirey, C., Canning, C., Stafford, O., Lyons, J., Cullen, K., Prendergast, C., Corbett, C., Drumm, C. and Burke, T. (2024) ‘The evidence-base </w:t>
      </w:r>
      <w:r w:rsidRPr="002853A6">
        <w:rPr>
          <w:rFonts w:ascii="Arial" w:hAnsi="Arial" w:cs="Arial"/>
          <w:b/>
          <w:bCs/>
        </w:rPr>
        <w:lastRenderedPageBreak/>
        <w:t xml:space="preserve">for positive psychology interventions: a mega-analysis of meta-analyses’, </w:t>
      </w:r>
      <w:r w:rsidRPr="002853A6">
        <w:rPr>
          <w:rFonts w:ascii="Arial" w:hAnsi="Arial" w:cs="Arial"/>
          <w:b/>
          <w:bCs/>
          <w:i/>
          <w:iCs/>
        </w:rPr>
        <w:t>Journal of Positive Psychology</w:t>
      </w:r>
      <w:r w:rsidRPr="002853A6">
        <w:rPr>
          <w:rFonts w:ascii="Arial" w:hAnsi="Arial" w:cs="Arial"/>
          <w:b/>
          <w:bCs/>
        </w:rPr>
        <w:t>, 19(2), pp. 191–205. doi:10.1080/17439760.2023.2168564.</w:t>
      </w:r>
    </w:p>
    <w:p w14:paraId="2F0B2FD8" w14:textId="6DA13060" w:rsidR="00512608" w:rsidRPr="00512608" w:rsidRDefault="00B4564F" w:rsidP="00512608">
      <w:pPr>
        <w:spacing w:line="360" w:lineRule="auto"/>
        <w:ind w:firstLine="720"/>
        <w:contextualSpacing/>
        <w:rPr>
          <w:rFonts w:ascii="Arial" w:hAnsi="Arial" w:cs="Arial"/>
          <w:highlight w:val="yellow"/>
        </w:rPr>
      </w:pPr>
      <w:r w:rsidRPr="002853A6">
        <w:rPr>
          <w:rFonts w:ascii="Arial" w:hAnsi="Arial" w:cs="Arial"/>
        </w:rPr>
        <w:t>This mega-analysis provides broad support for positive psychology interventions (PPIs), which are closely linked to positive psychology approaches to ageing. The authors synthesised 198 meta-analyses involving more than 500,000 participants and found that PPIs had small-to-medium positive effects on wellbeing, quality of life, strengths, depression, anxiety, and stress. Gains were partly maintained at follow-up, and longer face-to-face programmes were more effective. The study also found that mind-body interventions such as yoga were particularly beneficial</w:t>
      </w:r>
      <w:r w:rsidR="00542A36">
        <w:rPr>
          <w:rFonts w:ascii="Arial" w:hAnsi="Arial" w:cs="Arial"/>
        </w:rPr>
        <w:t>, as</w:t>
      </w:r>
      <w:r w:rsidR="00542A36" w:rsidRPr="00542A36">
        <w:rPr>
          <w:rFonts w:ascii="Arial" w:hAnsi="Arial" w:cs="Arial"/>
        </w:rPr>
        <w:t xml:space="preserve"> the </w:t>
      </w:r>
      <w:r w:rsidR="00542A36">
        <w:rPr>
          <w:rFonts w:ascii="Arial" w:hAnsi="Arial" w:cs="Arial"/>
        </w:rPr>
        <w:t>article</w:t>
      </w:r>
      <w:r w:rsidR="00542A36" w:rsidRPr="00542A36">
        <w:rPr>
          <w:rFonts w:ascii="Arial" w:hAnsi="Arial" w:cs="Arial"/>
        </w:rPr>
        <w:t xml:space="preserve"> can be a valuable source of information on why positive psychology is beneficial in promoting well-being in adulthood, and even later in life.</w:t>
      </w:r>
    </w:p>
    <w:p w14:paraId="60AE2099" w14:textId="406D19AE" w:rsidR="00AA638B" w:rsidRDefault="00B4564F" w:rsidP="00512608">
      <w:pPr>
        <w:spacing w:line="360" w:lineRule="auto"/>
        <w:ind w:firstLine="720"/>
        <w:contextualSpacing/>
        <w:rPr>
          <w:rFonts w:ascii="Arial" w:hAnsi="Arial" w:cs="Arial"/>
        </w:rPr>
      </w:pPr>
      <w:r w:rsidRPr="00542A36">
        <w:rPr>
          <w:rFonts w:ascii="Arial" w:hAnsi="Arial" w:cs="Arial"/>
        </w:rPr>
        <w:t>Health and social care are important as they support strength, resilience, and well-being-centered therapies as opposed to therapies that solely address inadequacies.</w:t>
      </w:r>
      <w:r w:rsidR="00512608" w:rsidRPr="00512608">
        <w:rPr>
          <w:rFonts w:ascii="Arial" w:hAnsi="Arial" w:cs="Arial"/>
        </w:rPr>
        <w:t xml:space="preserve"> The results must be carefully applied to care home settings; nevertheless, they are not exclusive to older adults. Certain programs might need to be modified to accommodate health, cognitive, or mobility requirements. </w:t>
      </w:r>
      <w:r w:rsidRPr="00542A36">
        <w:rPr>
          <w:rFonts w:ascii="Arial" w:hAnsi="Arial" w:cs="Arial"/>
        </w:rPr>
        <w:t xml:space="preserve">However, the large amount of evidence underpins the argument in this article as strengths-based assistance in residential care, especially when it is aimed at enhancing the quality of life, social connectedness, and emotional well-being. </w:t>
      </w:r>
      <w:r w:rsidRPr="00AA638B">
        <w:rPr>
          <w:rFonts w:ascii="Arial" w:hAnsi="Arial" w:cs="Arial"/>
        </w:rPr>
        <w:t xml:space="preserve"> </w:t>
      </w:r>
    </w:p>
    <w:p w14:paraId="66533823" w14:textId="77777777" w:rsidR="008E4390" w:rsidRPr="00AA638B" w:rsidRDefault="008E4390" w:rsidP="002853A6">
      <w:pPr>
        <w:spacing w:line="360" w:lineRule="auto"/>
        <w:ind w:firstLine="720"/>
        <w:contextualSpacing/>
        <w:rPr>
          <w:rFonts w:ascii="Arial" w:hAnsi="Arial" w:cs="Arial"/>
        </w:rPr>
      </w:pPr>
    </w:p>
    <w:p w14:paraId="13257775" w14:textId="77777777" w:rsidR="00AA638B" w:rsidRPr="00AA638B" w:rsidRDefault="00B4564F" w:rsidP="00AA638B">
      <w:pPr>
        <w:spacing w:line="360" w:lineRule="auto"/>
        <w:contextualSpacing/>
        <w:rPr>
          <w:rFonts w:ascii="Arial" w:hAnsi="Arial" w:cs="Arial"/>
          <w:b/>
          <w:bCs/>
        </w:rPr>
      </w:pPr>
      <w:r w:rsidRPr="00AA638B">
        <w:rPr>
          <w:rFonts w:ascii="Arial" w:hAnsi="Arial" w:cs="Arial"/>
          <w:b/>
          <w:bCs/>
        </w:rPr>
        <w:t>Part B: Short Report</w:t>
      </w:r>
    </w:p>
    <w:p w14:paraId="68AAB576" w14:textId="134B8723" w:rsidR="008E4390" w:rsidRPr="008E4390" w:rsidRDefault="00B4564F" w:rsidP="008E4390">
      <w:pPr>
        <w:spacing w:line="360" w:lineRule="auto"/>
        <w:contextualSpacing/>
        <w:rPr>
          <w:rFonts w:ascii="Arial" w:hAnsi="Arial" w:cs="Arial"/>
          <w:b/>
          <w:bCs/>
        </w:rPr>
      </w:pPr>
      <w:r>
        <w:rPr>
          <w:rFonts w:ascii="Arial" w:hAnsi="Arial" w:cs="Arial"/>
          <w:b/>
          <w:bCs/>
        </w:rPr>
        <w:t>A</w:t>
      </w:r>
      <w:r w:rsidRPr="008E4390">
        <w:rPr>
          <w:rFonts w:ascii="Arial" w:hAnsi="Arial" w:cs="Arial"/>
          <w:b/>
          <w:bCs/>
        </w:rPr>
        <w:t>pplying Erikson’s Psychosocial Theory in a Residential Care Home</w:t>
      </w:r>
    </w:p>
    <w:p w14:paraId="689F765E" w14:textId="61D76672" w:rsidR="00F1498C" w:rsidRPr="00F1498C" w:rsidRDefault="00B4564F" w:rsidP="00F1498C">
      <w:pPr>
        <w:spacing w:line="360" w:lineRule="auto"/>
        <w:ind w:firstLine="720"/>
        <w:contextualSpacing/>
        <w:rPr>
          <w:rFonts w:ascii="Arial" w:hAnsi="Arial" w:cs="Arial"/>
        </w:rPr>
      </w:pPr>
      <w:r w:rsidRPr="00F1498C">
        <w:rPr>
          <w:rFonts w:ascii="Arial" w:hAnsi="Arial" w:cs="Arial"/>
        </w:rPr>
        <w:t xml:space="preserve">Erikson's psychosocial theory, which describes later life as a developmental stage influenced by the struggle between ego-integrity and despair, is extremely pertinent to residential care. </w:t>
      </w:r>
      <w:r>
        <w:rPr>
          <w:rFonts w:ascii="Arial" w:hAnsi="Arial" w:cs="Arial"/>
        </w:rPr>
        <w:t>According to Qiu et al. (2025), i</w:t>
      </w:r>
      <w:r w:rsidR="008E4390" w:rsidRPr="008E4390">
        <w:rPr>
          <w:rFonts w:ascii="Arial" w:hAnsi="Arial" w:cs="Arial"/>
        </w:rPr>
        <w:t xml:space="preserve">n Erikson’s final stage, older adults reflect on their lives, relationships, achievements, regrets, and losses. </w:t>
      </w:r>
      <w:r w:rsidRPr="00F1498C">
        <w:rPr>
          <w:rFonts w:ascii="Arial" w:hAnsi="Arial" w:cs="Arial"/>
        </w:rPr>
        <w:t xml:space="preserve">The person is more likely to feel acceptance, purpose, and emotional serenity when this introspection is encouraged. The person may feel hopeless, depressed, or afraid of growing older and dying if it is not encouraged. </w:t>
      </w:r>
      <w:r w:rsidR="00542A36" w:rsidRPr="00542A36">
        <w:rPr>
          <w:rFonts w:ascii="Arial" w:hAnsi="Arial" w:cs="Arial"/>
        </w:rPr>
        <w:t>According to Qiu et al. (2025) and Woo and Bae (2022), this theory can be applied by health and social care providers due to its ability to bring practice beyond physical care and focus on identity, dignity, and psychological well-being.</w:t>
      </w:r>
    </w:p>
    <w:p w14:paraId="40575C90" w14:textId="49DCC2C5" w:rsidR="008E4390" w:rsidRPr="008E4390" w:rsidRDefault="00B4564F" w:rsidP="00F1498C">
      <w:pPr>
        <w:spacing w:line="360" w:lineRule="auto"/>
        <w:ind w:firstLine="720"/>
        <w:contextualSpacing/>
        <w:rPr>
          <w:rFonts w:ascii="Arial" w:hAnsi="Arial" w:cs="Arial"/>
        </w:rPr>
      </w:pPr>
      <w:r w:rsidRPr="00F1498C">
        <w:rPr>
          <w:rFonts w:ascii="Arial" w:hAnsi="Arial" w:cs="Arial"/>
        </w:rPr>
        <w:t>Erikson's theory can be used at a care facility through person-centered dialogue, life story work, and recollection. After entering residential care, these methods support residents in maintaining their sense of self and making sense of their life experiences.</w:t>
      </w:r>
      <w:r w:rsidRPr="008E4390">
        <w:rPr>
          <w:rFonts w:ascii="Arial" w:hAnsi="Arial" w:cs="Arial"/>
        </w:rPr>
        <w:t xml:space="preserve"> Qiu et al. (2025) found that interventions linked to ego-integrity included life review, music combined with review, cognitive therapy combined with review, horticultural therapy, and community education. </w:t>
      </w:r>
      <w:r w:rsidRPr="00F1498C">
        <w:rPr>
          <w:rFonts w:ascii="Arial" w:hAnsi="Arial" w:cs="Arial"/>
        </w:rPr>
        <w:lastRenderedPageBreak/>
        <w:t>Additionally, their review revealed that outcomes like quality of life, psychological well-being, self-esteem, life satisfaction, and life meaning were frequently evaluated.</w:t>
      </w:r>
      <w:r w:rsidRPr="008E4390">
        <w:rPr>
          <w:rFonts w:ascii="Arial" w:hAnsi="Arial" w:cs="Arial"/>
        </w:rPr>
        <w:t xml:space="preserve"> This suggests that ego-integrity is not merely an abstract concept; it can be translated into practical activities that staff can use to support residents emotionally.</w:t>
      </w:r>
    </w:p>
    <w:p w14:paraId="169D8B5B" w14:textId="52A683C4" w:rsidR="00F1498C" w:rsidRPr="00F1498C" w:rsidRDefault="00B4564F" w:rsidP="00F1498C">
      <w:pPr>
        <w:spacing w:line="360" w:lineRule="auto"/>
        <w:ind w:firstLine="720"/>
        <w:contextualSpacing/>
        <w:rPr>
          <w:rFonts w:ascii="Arial" w:hAnsi="Arial" w:cs="Arial"/>
        </w:rPr>
      </w:pPr>
      <w:r w:rsidRPr="00F1498C">
        <w:rPr>
          <w:rFonts w:ascii="Arial" w:hAnsi="Arial" w:cs="Arial"/>
        </w:rPr>
        <w:t xml:space="preserve">By posing open-ended inquiries like "What are you most proud of in your life?" staff members could really incorporate this notion into routine care."What has helped you get through difficult times?" or "What type of employment did you enjoy?" </w:t>
      </w:r>
      <w:r w:rsidR="00542A36" w:rsidRPr="00542A36">
        <w:rPr>
          <w:rFonts w:ascii="Arial" w:hAnsi="Arial" w:cs="Arial"/>
        </w:rPr>
        <w:t>These discussions can be supported using photographs, music, memory boxes, family stories or documented life histories. Its aim is to help the resident develop a connection with a cohesive life story that supports identity and self-worth and does not merely entertain them with stories.</w:t>
      </w:r>
      <w:r w:rsidRPr="00F1498C">
        <w:rPr>
          <w:rFonts w:ascii="Arial" w:hAnsi="Arial" w:cs="Arial"/>
        </w:rPr>
        <w:t xml:space="preserve"> This is especially crucial in assisted living facilities, where people may experience a loss of familiarity, autonomy, and responsibility following admission.</w:t>
      </w:r>
    </w:p>
    <w:p w14:paraId="2F807785" w14:textId="2F332DA3" w:rsidR="00F1498C" w:rsidRPr="00F1498C" w:rsidRDefault="00B4564F" w:rsidP="00F1498C">
      <w:pPr>
        <w:spacing w:line="360" w:lineRule="auto"/>
        <w:ind w:firstLine="720"/>
        <w:contextualSpacing/>
        <w:rPr>
          <w:rFonts w:ascii="Arial" w:hAnsi="Arial" w:cs="Arial"/>
        </w:rPr>
      </w:pPr>
      <w:r w:rsidRPr="00542A36">
        <w:rPr>
          <w:rFonts w:ascii="Arial" w:hAnsi="Arial" w:cs="Arial"/>
        </w:rPr>
        <w:t xml:space="preserve">A real-life example may assist in demonstrating how this works. Consider Mrs. K, an elderly resident aged 83 who has recently entered a care home </w:t>
      </w:r>
      <w:proofErr w:type="gramStart"/>
      <w:r w:rsidRPr="00542A36">
        <w:rPr>
          <w:rFonts w:ascii="Arial" w:hAnsi="Arial" w:cs="Arial"/>
        </w:rPr>
        <w:t>as a result of</w:t>
      </w:r>
      <w:proofErr w:type="gramEnd"/>
      <w:r w:rsidRPr="00542A36">
        <w:rPr>
          <w:rFonts w:ascii="Arial" w:hAnsi="Arial" w:cs="Arial"/>
        </w:rPr>
        <w:t xml:space="preserve"> her decreased mobility. She isolates herself, does not want to engage in group activities, and often says that she does not belong here.</w:t>
      </w:r>
      <w:r w:rsidR="008E4390" w:rsidRPr="008E4390">
        <w:rPr>
          <w:rFonts w:ascii="Arial" w:hAnsi="Arial" w:cs="Arial"/>
        </w:rPr>
        <w:t xml:space="preserve"> A key worker begins weekly short life review sessions with her. During these sessions, Mrs K talks about her years as a teacher, the children she supported, and the challenges she overcame after her husband died. Staff use this information to create a simple life story booklet, display some of her favourite sayings in her room, and invite her to contribute to a reading activity with other residents. </w:t>
      </w:r>
      <w:r w:rsidRPr="00542A36">
        <w:rPr>
          <w:rFonts w:ascii="Arial" w:hAnsi="Arial" w:cs="Arial"/>
        </w:rPr>
        <w:t>Within the span of a few weeks, Mrs. K begins to join others in mealtimes, talk more, and seem more comfortable at home.</w:t>
      </w:r>
      <w:r w:rsidRPr="00F1498C">
        <w:rPr>
          <w:rFonts w:ascii="Arial" w:hAnsi="Arial" w:cs="Arial"/>
        </w:rPr>
        <w:t xml:space="preserve"> Erikson's theory is reflected in this example since it encourages self-acceptance, </w:t>
      </w:r>
      <w:r w:rsidR="00C029D8" w:rsidRPr="00F1498C">
        <w:rPr>
          <w:rFonts w:ascii="Arial" w:hAnsi="Arial" w:cs="Arial"/>
        </w:rPr>
        <w:t>meaning making</w:t>
      </w:r>
      <w:r w:rsidRPr="00F1498C">
        <w:rPr>
          <w:rFonts w:ascii="Arial" w:hAnsi="Arial" w:cs="Arial"/>
        </w:rPr>
        <w:t>, and a sense of life continuity.</w:t>
      </w:r>
    </w:p>
    <w:p w14:paraId="498D6433" w14:textId="697FB6C8" w:rsidR="008E4390" w:rsidRPr="008E4390" w:rsidRDefault="00B4564F" w:rsidP="00F1498C">
      <w:pPr>
        <w:spacing w:line="360" w:lineRule="auto"/>
        <w:ind w:firstLine="720"/>
        <w:contextualSpacing/>
        <w:rPr>
          <w:rFonts w:ascii="Arial" w:hAnsi="Arial" w:cs="Arial"/>
        </w:rPr>
      </w:pPr>
      <w:r w:rsidRPr="00F1498C">
        <w:rPr>
          <w:rFonts w:ascii="Arial" w:hAnsi="Arial" w:cs="Arial"/>
        </w:rPr>
        <w:t xml:space="preserve">Professionals may encounter difficulties since life reviews can occasionally reveal traumatic experiences, unresolved sadness, remorse, or painful memories. Some residents may become upset rather than reassured, and not all will desire to rehash the past. This is a significant issue since mishandled memories have the potential to exacerbate rather than improve emotional wellness. A person-centered, adaptable, and graded approach is a helpful evidence-based tactic. This means that while personnel refrain from pressuring discussions and concentrate on both strengths and weaknesses, the resident sets the pace, depth, and subjects of discussion. </w:t>
      </w:r>
      <w:r w:rsidR="00542A36" w:rsidRPr="00542A36">
        <w:rPr>
          <w:rFonts w:ascii="Arial" w:hAnsi="Arial" w:cs="Arial"/>
        </w:rPr>
        <w:t xml:space="preserve">Qiu et al. (2025) point out that deliberate adaptation will have to be made instead of automatic implementation since </w:t>
      </w:r>
      <w:r w:rsidR="00C029D8" w:rsidRPr="00542A36">
        <w:rPr>
          <w:rFonts w:ascii="Arial" w:hAnsi="Arial" w:cs="Arial"/>
        </w:rPr>
        <w:t>several</w:t>
      </w:r>
      <w:r w:rsidR="00542A36" w:rsidRPr="00542A36">
        <w:rPr>
          <w:rFonts w:ascii="Arial" w:hAnsi="Arial" w:cs="Arial"/>
        </w:rPr>
        <w:t xml:space="preserve"> ego-integrity therapies continue to have both theoretical and scientific shortcomings.</w:t>
      </w:r>
      <w:r w:rsidRPr="00F1498C">
        <w:rPr>
          <w:rFonts w:ascii="Arial" w:hAnsi="Arial" w:cs="Arial"/>
        </w:rPr>
        <w:t xml:space="preserve"> Additionally, Woo and Bae (2022) discovered that ego-integrity was important in moderating the relationship between depression and death anxiety, </w:t>
      </w:r>
      <w:r w:rsidRPr="00F1498C">
        <w:rPr>
          <w:rFonts w:ascii="Arial" w:hAnsi="Arial" w:cs="Arial"/>
        </w:rPr>
        <w:lastRenderedPageBreak/>
        <w:t xml:space="preserve">particularly through life satisfaction. This suggests that supportive interventions should focus on enhancing a positive assessment of life rather than just going over unpleasant experiences again. </w:t>
      </w:r>
      <w:proofErr w:type="gramStart"/>
      <w:r w:rsidRPr="00F1498C">
        <w:rPr>
          <w:rFonts w:ascii="Arial" w:hAnsi="Arial" w:cs="Arial"/>
        </w:rPr>
        <w:t>In order to</w:t>
      </w:r>
      <w:proofErr w:type="gramEnd"/>
      <w:r w:rsidRPr="00F1498C">
        <w:rPr>
          <w:rFonts w:ascii="Arial" w:hAnsi="Arial" w:cs="Arial"/>
        </w:rPr>
        <w:t xml:space="preserve"> properly support residents who exhibit indicators of deeper distress, staff training, supervision, and sensitive referral procedures are also crucial.</w:t>
      </w:r>
    </w:p>
    <w:p w14:paraId="5049C301" w14:textId="2CDCD342" w:rsidR="008E4390" w:rsidRPr="008E4390" w:rsidRDefault="00B4564F" w:rsidP="008E4390">
      <w:pPr>
        <w:spacing w:line="360" w:lineRule="auto"/>
        <w:ind w:firstLine="720"/>
        <w:contextualSpacing/>
        <w:rPr>
          <w:rFonts w:ascii="Arial" w:hAnsi="Arial" w:cs="Arial"/>
        </w:rPr>
      </w:pPr>
      <w:r w:rsidRPr="008E4390">
        <w:rPr>
          <w:rFonts w:ascii="Arial" w:hAnsi="Arial" w:cs="Arial"/>
        </w:rPr>
        <w:t xml:space="preserve">Overall, Erikson's psychosocial theory offers a strong framework for improving psychological well-being in older adults living in residential care. </w:t>
      </w:r>
      <w:r w:rsidR="00542A36" w:rsidRPr="00542A36">
        <w:rPr>
          <w:rFonts w:ascii="Arial" w:hAnsi="Arial" w:cs="Arial"/>
        </w:rPr>
        <w:t>It acts as a reminder to clinicians that emotional care in later life should not just be physical care but also dignity, meaning, acceptance and identity. When properly applied with the help of life review and person-centered support, the theory can help residents feel valued, comprehended, and more comfortable in the care home facilities.</w:t>
      </w:r>
    </w:p>
    <w:p w14:paraId="0D13BED7" w14:textId="5E5AD6C7" w:rsidR="00AA638B" w:rsidRDefault="00AA638B" w:rsidP="00AA638B">
      <w:pPr>
        <w:spacing w:line="360" w:lineRule="auto"/>
        <w:contextualSpacing/>
        <w:rPr>
          <w:rFonts w:ascii="Arial" w:hAnsi="Arial" w:cs="Arial"/>
        </w:rPr>
      </w:pPr>
    </w:p>
    <w:p w14:paraId="5DEE7718" w14:textId="205BB5A7" w:rsidR="005E6E8B" w:rsidRDefault="005E6E8B" w:rsidP="00AA638B">
      <w:pPr>
        <w:spacing w:line="360" w:lineRule="auto"/>
        <w:contextualSpacing/>
        <w:rPr>
          <w:rFonts w:ascii="Arial" w:hAnsi="Arial" w:cs="Arial"/>
        </w:rPr>
      </w:pPr>
    </w:p>
    <w:p w14:paraId="79548AA7" w14:textId="3B581158" w:rsidR="005E6E8B" w:rsidRDefault="005E6E8B" w:rsidP="00AA638B">
      <w:pPr>
        <w:spacing w:line="360" w:lineRule="auto"/>
        <w:contextualSpacing/>
        <w:rPr>
          <w:rFonts w:ascii="Arial" w:hAnsi="Arial" w:cs="Arial"/>
        </w:rPr>
      </w:pPr>
    </w:p>
    <w:p w14:paraId="3C9E2D5E" w14:textId="1B3F452B" w:rsidR="005E6E8B" w:rsidRDefault="005E6E8B" w:rsidP="00AA638B">
      <w:pPr>
        <w:spacing w:line="360" w:lineRule="auto"/>
        <w:contextualSpacing/>
        <w:rPr>
          <w:rFonts w:ascii="Arial" w:hAnsi="Arial" w:cs="Arial"/>
        </w:rPr>
      </w:pPr>
    </w:p>
    <w:p w14:paraId="654D4A2D" w14:textId="61238C18" w:rsidR="005E6E8B" w:rsidRDefault="005E6E8B" w:rsidP="00AA638B">
      <w:pPr>
        <w:spacing w:line="360" w:lineRule="auto"/>
        <w:contextualSpacing/>
        <w:rPr>
          <w:rFonts w:ascii="Arial" w:hAnsi="Arial" w:cs="Arial"/>
        </w:rPr>
      </w:pPr>
    </w:p>
    <w:p w14:paraId="2BC25634" w14:textId="5971C86E" w:rsidR="005E6E8B" w:rsidRDefault="005E6E8B" w:rsidP="00AA638B">
      <w:pPr>
        <w:spacing w:line="360" w:lineRule="auto"/>
        <w:contextualSpacing/>
        <w:rPr>
          <w:rFonts w:ascii="Arial" w:hAnsi="Arial" w:cs="Arial"/>
        </w:rPr>
      </w:pPr>
    </w:p>
    <w:p w14:paraId="7D22FEFF" w14:textId="429D7113" w:rsidR="005E6E8B" w:rsidRDefault="005E6E8B" w:rsidP="00AA638B">
      <w:pPr>
        <w:spacing w:line="360" w:lineRule="auto"/>
        <w:contextualSpacing/>
        <w:rPr>
          <w:rFonts w:ascii="Arial" w:hAnsi="Arial" w:cs="Arial"/>
        </w:rPr>
      </w:pPr>
    </w:p>
    <w:p w14:paraId="2D07CA3C" w14:textId="1EE61B98" w:rsidR="005E6E8B" w:rsidRDefault="005E6E8B" w:rsidP="00AA638B">
      <w:pPr>
        <w:spacing w:line="360" w:lineRule="auto"/>
        <w:contextualSpacing/>
        <w:rPr>
          <w:rFonts w:ascii="Arial" w:hAnsi="Arial" w:cs="Arial"/>
        </w:rPr>
      </w:pPr>
    </w:p>
    <w:p w14:paraId="7CBD47BE" w14:textId="047646B4" w:rsidR="005E6E8B" w:rsidRDefault="005E6E8B" w:rsidP="00AA638B">
      <w:pPr>
        <w:spacing w:line="360" w:lineRule="auto"/>
        <w:contextualSpacing/>
        <w:rPr>
          <w:rFonts w:ascii="Arial" w:hAnsi="Arial" w:cs="Arial"/>
        </w:rPr>
      </w:pPr>
    </w:p>
    <w:p w14:paraId="48831279" w14:textId="676896CD" w:rsidR="005E6E8B" w:rsidRDefault="005E6E8B" w:rsidP="00AA638B">
      <w:pPr>
        <w:spacing w:line="360" w:lineRule="auto"/>
        <w:contextualSpacing/>
        <w:rPr>
          <w:rFonts w:ascii="Arial" w:hAnsi="Arial" w:cs="Arial"/>
        </w:rPr>
      </w:pPr>
    </w:p>
    <w:p w14:paraId="326E376D" w14:textId="49511B3A" w:rsidR="005E6E8B" w:rsidRDefault="005E6E8B" w:rsidP="00AA638B">
      <w:pPr>
        <w:spacing w:line="360" w:lineRule="auto"/>
        <w:contextualSpacing/>
        <w:rPr>
          <w:rFonts w:ascii="Arial" w:hAnsi="Arial" w:cs="Arial"/>
        </w:rPr>
      </w:pPr>
    </w:p>
    <w:p w14:paraId="478E569D" w14:textId="3A9D9702" w:rsidR="005E6E8B" w:rsidRDefault="005E6E8B" w:rsidP="00AA638B">
      <w:pPr>
        <w:spacing w:line="360" w:lineRule="auto"/>
        <w:contextualSpacing/>
        <w:rPr>
          <w:rFonts w:ascii="Arial" w:hAnsi="Arial" w:cs="Arial"/>
        </w:rPr>
      </w:pPr>
    </w:p>
    <w:p w14:paraId="4AB6F6A0" w14:textId="68203C3A" w:rsidR="005E6E8B" w:rsidRDefault="005E6E8B" w:rsidP="00AA638B">
      <w:pPr>
        <w:spacing w:line="360" w:lineRule="auto"/>
        <w:contextualSpacing/>
        <w:rPr>
          <w:rFonts w:ascii="Arial" w:hAnsi="Arial" w:cs="Arial"/>
        </w:rPr>
      </w:pPr>
    </w:p>
    <w:p w14:paraId="37B370AF" w14:textId="79F6CDD3" w:rsidR="005E6E8B" w:rsidRDefault="005E6E8B" w:rsidP="00AA638B">
      <w:pPr>
        <w:spacing w:line="360" w:lineRule="auto"/>
        <w:contextualSpacing/>
        <w:rPr>
          <w:rFonts w:ascii="Arial" w:hAnsi="Arial" w:cs="Arial"/>
        </w:rPr>
      </w:pPr>
    </w:p>
    <w:p w14:paraId="0C431935" w14:textId="052ABBFB" w:rsidR="005E6E8B" w:rsidRDefault="005E6E8B" w:rsidP="00AA638B">
      <w:pPr>
        <w:spacing w:line="360" w:lineRule="auto"/>
        <w:contextualSpacing/>
        <w:rPr>
          <w:rFonts w:ascii="Arial" w:hAnsi="Arial" w:cs="Arial"/>
        </w:rPr>
      </w:pPr>
    </w:p>
    <w:p w14:paraId="537A48BA" w14:textId="1544D86C" w:rsidR="005E6E8B" w:rsidRDefault="005E6E8B" w:rsidP="00AA638B">
      <w:pPr>
        <w:spacing w:line="360" w:lineRule="auto"/>
        <w:contextualSpacing/>
        <w:rPr>
          <w:rFonts w:ascii="Arial" w:hAnsi="Arial" w:cs="Arial"/>
        </w:rPr>
      </w:pPr>
    </w:p>
    <w:p w14:paraId="0D2F5A57" w14:textId="6CA96A6F" w:rsidR="005E6E8B" w:rsidRDefault="005E6E8B" w:rsidP="00AA638B">
      <w:pPr>
        <w:spacing w:line="360" w:lineRule="auto"/>
        <w:contextualSpacing/>
        <w:rPr>
          <w:rFonts w:ascii="Arial" w:hAnsi="Arial" w:cs="Arial"/>
        </w:rPr>
      </w:pPr>
    </w:p>
    <w:p w14:paraId="3A651252" w14:textId="527CA024" w:rsidR="005E6E8B" w:rsidRDefault="005E6E8B" w:rsidP="00AA638B">
      <w:pPr>
        <w:spacing w:line="360" w:lineRule="auto"/>
        <w:contextualSpacing/>
        <w:rPr>
          <w:rFonts w:ascii="Arial" w:hAnsi="Arial" w:cs="Arial"/>
        </w:rPr>
      </w:pPr>
    </w:p>
    <w:p w14:paraId="12186271" w14:textId="4C8548F7" w:rsidR="005E6E8B" w:rsidRDefault="005E6E8B" w:rsidP="00AA638B">
      <w:pPr>
        <w:spacing w:line="360" w:lineRule="auto"/>
        <w:contextualSpacing/>
        <w:rPr>
          <w:rFonts w:ascii="Arial" w:hAnsi="Arial" w:cs="Arial"/>
        </w:rPr>
      </w:pPr>
    </w:p>
    <w:p w14:paraId="304D033F" w14:textId="158267B9" w:rsidR="005E6E8B" w:rsidRDefault="005E6E8B" w:rsidP="00AA638B">
      <w:pPr>
        <w:spacing w:line="360" w:lineRule="auto"/>
        <w:contextualSpacing/>
        <w:rPr>
          <w:rFonts w:ascii="Arial" w:hAnsi="Arial" w:cs="Arial"/>
        </w:rPr>
      </w:pPr>
    </w:p>
    <w:p w14:paraId="46D1E3E5" w14:textId="7D20B12A" w:rsidR="005E6E8B" w:rsidRDefault="005E6E8B" w:rsidP="00AA638B">
      <w:pPr>
        <w:spacing w:line="360" w:lineRule="auto"/>
        <w:contextualSpacing/>
        <w:rPr>
          <w:rFonts w:ascii="Arial" w:hAnsi="Arial" w:cs="Arial"/>
        </w:rPr>
      </w:pPr>
    </w:p>
    <w:p w14:paraId="35FC629B" w14:textId="2E5F9E7D" w:rsidR="005E6E8B" w:rsidRDefault="005E6E8B" w:rsidP="00AA638B">
      <w:pPr>
        <w:spacing w:line="360" w:lineRule="auto"/>
        <w:contextualSpacing/>
        <w:rPr>
          <w:rFonts w:ascii="Arial" w:hAnsi="Arial" w:cs="Arial"/>
        </w:rPr>
      </w:pPr>
    </w:p>
    <w:p w14:paraId="254FF482" w14:textId="27844868" w:rsidR="005E6E8B" w:rsidRPr="005E6E8B" w:rsidRDefault="005E6E8B" w:rsidP="005E6E8B">
      <w:pPr>
        <w:spacing w:line="360" w:lineRule="auto"/>
        <w:contextualSpacing/>
        <w:jc w:val="center"/>
        <w:rPr>
          <w:rFonts w:ascii="Arial" w:hAnsi="Arial" w:cs="Arial"/>
          <w:b/>
          <w:bCs/>
        </w:rPr>
      </w:pPr>
      <w:r w:rsidRPr="005E6E8B">
        <w:rPr>
          <w:rFonts w:ascii="Arial" w:hAnsi="Arial" w:cs="Arial"/>
          <w:b/>
          <w:bCs/>
        </w:rPr>
        <w:t>References</w:t>
      </w:r>
    </w:p>
    <w:p w14:paraId="4ED642D3" w14:textId="3EF53884" w:rsidR="005E6E8B" w:rsidRDefault="005E6E8B" w:rsidP="005E6E8B">
      <w:pPr>
        <w:spacing w:line="360" w:lineRule="auto"/>
        <w:ind w:left="720" w:hanging="720"/>
        <w:contextualSpacing/>
        <w:rPr>
          <w:rFonts w:ascii="Arial" w:hAnsi="Arial" w:cs="Arial"/>
        </w:rPr>
      </w:pPr>
      <w:r w:rsidRPr="005E6E8B">
        <w:rPr>
          <w:rFonts w:ascii="Arial" w:hAnsi="Arial" w:cs="Arial"/>
        </w:rPr>
        <w:lastRenderedPageBreak/>
        <w:t>Carr, A., Finneran, L., Boyd, C., Shirey, C., Canning, C., Stafford, O., Lyons, J., Cullen, K., Prendergast, C., Corbett, C. and Drumm, C., 2024. The evidence-base for positive psychology interventions: A mega-analysis of meta-analyses. </w:t>
      </w:r>
      <w:r w:rsidRPr="005E6E8B">
        <w:rPr>
          <w:rFonts w:ascii="Arial" w:hAnsi="Arial" w:cs="Arial"/>
          <w:i/>
          <w:iCs/>
        </w:rPr>
        <w:t>The Journal of Positive Psychology</w:t>
      </w:r>
      <w:r w:rsidRPr="005E6E8B">
        <w:rPr>
          <w:rFonts w:ascii="Arial" w:hAnsi="Arial" w:cs="Arial"/>
        </w:rPr>
        <w:t>, </w:t>
      </w:r>
      <w:r w:rsidRPr="005E6E8B">
        <w:rPr>
          <w:rFonts w:ascii="Arial" w:hAnsi="Arial" w:cs="Arial"/>
          <w:i/>
          <w:iCs/>
        </w:rPr>
        <w:t>19</w:t>
      </w:r>
      <w:r w:rsidRPr="005E6E8B">
        <w:rPr>
          <w:rFonts w:ascii="Arial" w:hAnsi="Arial" w:cs="Arial"/>
        </w:rPr>
        <w:t>(2), pp.191-205.</w:t>
      </w:r>
    </w:p>
    <w:p w14:paraId="18DA8544" w14:textId="54FB7C24" w:rsidR="005E6E8B" w:rsidRDefault="005E6E8B" w:rsidP="005E6E8B">
      <w:pPr>
        <w:spacing w:line="360" w:lineRule="auto"/>
        <w:ind w:left="720" w:hanging="720"/>
        <w:contextualSpacing/>
        <w:rPr>
          <w:rFonts w:ascii="Arial" w:hAnsi="Arial" w:cs="Arial"/>
        </w:rPr>
      </w:pPr>
      <w:r w:rsidRPr="005E6E8B">
        <w:rPr>
          <w:rFonts w:ascii="Arial" w:hAnsi="Arial" w:cs="Arial"/>
        </w:rPr>
        <w:t xml:space="preserve">Iwano, S., Kambara, K. and Aoki, S. (2022) 'Psychological Interventions for Well-Being in Healthy Older Adults: Systematic Review and Meta-Analysis,' </w:t>
      </w:r>
      <w:r w:rsidRPr="005E6E8B">
        <w:rPr>
          <w:rFonts w:ascii="Arial" w:hAnsi="Arial" w:cs="Arial"/>
          <w:i/>
          <w:iCs/>
        </w:rPr>
        <w:t>Journal of Happiness Studies</w:t>
      </w:r>
      <w:r w:rsidRPr="005E6E8B">
        <w:rPr>
          <w:rFonts w:ascii="Arial" w:hAnsi="Arial" w:cs="Arial"/>
        </w:rPr>
        <w:t xml:space="preserve">, 23(5), pp. 2389–2403. </w:t>
      </w:r>
      <w:hyperlink r:id="rId8" w:history="1">
        <w:r w:rsidRPr="005E6E8B">
          <w:rPr>
            <w:rStyle w:val="Hyperlink"/>
            <w:rFonts w:ascii="Arial" w:hAnsi="Arial" w:cs="Arial"/>
          </w:rPr>
          <w:t>https://doi.org/10.1007/s10902-022-00497-3</w:t>
        </w:r>
      </w:hyperlink>
      <w:r w:rsidRPr="005E6E8B">
        <w:rPr>
          <w:rFonts w:ascii="Arial" w:hAnsi="Arial" w:cs="Arial"/>
        </w:rPr>
        <w:t>.</w:t>
      </w:r>
    </w:p>
    <w:p w14:paraId="639BF851" w14:textId="2180D969" w:rsidR="005E6E8B" w:rsidRDefault="005E6E8B" w:rsidP="005E6E8B">
      <w:pPr>
        <w:spacing w:line="360" w:lineRule="auto"/>
        <w:ind w:left="720" w:hanging="720"/>
        <w:contextualSpacing/>
        <w:rPr>
          <w:rFonts w:ascii="Arial" w:hAnsi="Arial" w:cs="Arial"/>
        </w:rPr>
      </w:pPr>
      <w:r w:rsidRPr="005E6E8B">
        <w:rPr>
          <w:rFonts w:ascii="Arial" w:hAnsi="Arial" w:cs="Arial"/>
        </w:rPr>
        <w:t xml:space="preserve">Qiu, Y. </w:t>
      </w:r>
      <w:r w:rsidRPr="005E6E8B">
        <w:rPr>
          <w:rFonts w:ascii="Arial" w:hAnsi="Arial" w:cs="Arial"/>
          <w:i/>
          <w:iCs/>
        </w:rPr>
        <w:t>et al.</w:t>
      </w:r>
      <w:r w:rsidRPr="005E6E8B">
        <w:rPr>
          <w:rFonts w:ascii="Arial" w:hAnsi="Arial" w:cs="Arial"/>
        </w:rPr>
        <w:t xml:space="preserve"> (2025) 'Intervention strategies for ego-integrity among older adults: A scoping review,' </w:t>
      </w:r>
      <w:r w:rsidRPr="005E6E8B">
        <w:rPr>
          <w:rFonts w:ascii="Arial" w:hAnsi="Arial" w:cs="Arial"/>
          <w:i/>
          <w:iCs/>
        </w:rPr>
        <w:t>Geriatric Nursing</w:t>
      </w:r>
      <w:r w:rsidRPr="005E6E8B">
        <w:rPr>
          <w:rFonts w:ascii="Arial" w:hAnsi="Arial" w:cs="Arial"/>
        </w:rPr>
        <w:t xml:space="preserve">, 66(Pt B), p. 103702. </w:t>
      </w:r>
      <w:hyperlink r:id="rId9" w:history="1">
        <w:r w:rsidRPr="005E6E8B">
          <w:rPr>
            <w:rStyle w:val="Hyperlink"/>
            <w:rFonts w:ascii="Arial" w:hAnsi="Arial" w:cs="Arial"/>
          </w:rPr>
          <w:t>https://doi.org/10.1016/j.gerinurse.2025.103702</w:t>
        </w:r>
      </w:hyperlink>
      <w:r w:rsidRPr="005E6E8B">
        <w:rPr>
          <w:rFonts w:ascii="Arial" w:hAnsi="Arial" w:cs="Arial"/>
        </w:rPr>
        <w:t>.</w:t>
      </w:r>
    </w:p>
    <w:p w14:paraId="422335AB" w14:textId="1E65D235" w:rsidR="005E6E8B" w:rsidRDefault="005E6E8B" w:rsidP="005E6E8B">
      <w:pPr>
        <w:spacing w:line="360" w:lineRule="auto"/>
        <w:ind w:left="720" w:hanging="720"/>
        <w:contextualSpacing/>
        <w:rPr>
          <w:rFonts w:ascii="Arial" w:hAnsi="Arial" w:cs="Arial"/>
        </w:rPr>
      </w:pPr>
      <w:r w:rsidRPr="005E6E8B">
        <w:rPr>
          <w:rFonts w:ascii="Arial" w:hAnsi="Arial" w:cs="Arial"/>
        </w:rPr>
        <w:t xml:space="preserve">Woo, J.-H. and Bae, S.-M. (2022) 'The Association between depression and death anxiety among Older adults: Moderating Effect of Ego-Integrity,' </w:t>
      </w:r>
      <w:r w:rsidRPr="005E6E8B">
        <w:rPr>
          <w:rFonts w:ascii="Arial" w:hAnsi="Arial" w:cs="Arial"/>
          <w:i/>
          <w:iCs/>
        </w:rPr>
        <w:t>OMEGA - Journal of Death and Dying</w:t>
      </w:r>
      <w:r w:rsidRPr="005E6E8B">
        <w:rPr>
          <w:rFonts w:ascii="Arial" w:hAnsi="Arial" w:cs="Arial"/>
        </w:rPr>
        <w:t xml:space="preserve">, 90(3), pp. 1025–1042. </w:t>
      </w:r>
      <w:hyperlink r:id="rId10" w:history="1">
        <w:r w:rsidRPr="005E6E8B">
          <w:rPr>
            <w:rStyle w:val="Hyperlink"/>
            <w:rFonts w:ascii="Arial" w:hAnsi="Arial" w:cs="Arial"/>
          </w:rPr>
          <w:t>https://doi.org/10.1177/00302228221115586</w:t>
        </w:r>
      </w:hyperlink>
      <w:r w:rsidRPr="005E6E8B">
        <w:rPr>
          <w:rFonts w:ascii="Arial" w:hAnsi="Arial" w:cs="Arial"/>
        </w:rPr>
        <w:t>.</w:t>
      </w:r>
    </w:p>
    <w:p w14:paraId="1DC62CA7" w14:textId="77777777" w:rsidR="005E6E8B" w:rsidRPr="00AA638B" w:rsidRDefault="005E6E8B" w:rsidP="005E6E8B">
      <w:pPr>
        <w:spacing w:line="360" w:lineRule="auto"/>
        <w:ind w:left="720" w:hanging="720"/>
        <w:contextualSpacing/>
        <w:rPr>
          <w:rFonts w:ascii="Arial" w:hAnsi="Arial" w:cs="Arial"/>
        </w:rPr>
      </w:pPr>
    </w:p>
    <w:sectPr w:rsidR="005E6E8B" w:rsidRPr="00AA638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7F26F" w14:textId="77777777" w:rsidR="00083B89" w:rsidRDefault="00083B89">
      <w:pPr>
        <w:spacing w:after="0" w:line="240" w:lineRule="auto"/>
      </w:pPr>
      <w:r>
        <w:separator/>
      </w:r>
    </w:p>
  </w:endnote>
  <w:endnote w:type="continuationSeparator" w:id="0">
    <w:p w14:paraId="0A62EBE6" w14:textId="77777777" w:rsidR="00083B89" w:rsidRDefault="00083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B0CAA" w14:textId="77777777" w:rsidR="00083B89" w:rsidRDefault="00083B89">
      <w:pPr>
        <w:spacing w:after="0" w:line="240" w:lineRule="auto"/>
      </w:pPr>
      <w:r>
        <w:separator/>
      </w:r>
    </w:p>
  </w:footnote>
  <w:footnote w:type="continuationSeparator" w:id="0">
    <w:p w14:paraId="78BFA62B" w14:textId="77777777" w:rsidR="00083B89" w:rsidRDefault="00083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BDC4C" w14:textId="0115E8DD" w:rsidR="00AA638B" w:rsidRPr="00AA638B" w:rsidRDefault="00B4564F">
    <w:pPr>
      <w:pStyle w:val="Header"/>
      <w:jc w:val="right"/>
      <w:rPr>
        <w:rFonts w:ascii="Arial" w:hAnsi="Arial" w:cs="Arial"/>
      </w:rPr>
    </w:pPr>
    <w:r w:rsidRPr="00AA638B">
      <w:rPr>
        <w:rFonts w:ascii="Arial" w:hAnsi="Arial" w:cs="Arial"/>
      </w:rPr>
      <w:t xml:space="preserve">Psychological Theories </w:t>
    </w:r>
    <w:sdt>
      <w:sdtPr>
        <w:rPr>
          <w:rFonts w:ascii="Arial" w:hAnsi="Arial" w:cs="Arial"/>
        </w:rPr>
        <w:id w:val="1887362400"/>
        <w:docPartObj>
          <w:docPartGallery w:val="Page Numbers (Top of Page)"/>
          <w:docPartUnique/>
        </w:docPartObj>
      </w:sdtPr>
      <w:sdtEndPr>
        <w:rPr>
          <w:noProof/>
        </w:rPr>
      </w:sdtEndPr>
      <w:sdtContent>
        <w:r w:rsidRPr="00AA638B">
          <w:rPr>
            <w:rFonts w:ascii="Arial" w:hAnsi="Arial" w:cs="Arial"/>
          </w:rPr>
          <w:fldChar w:fldCharType="begin"/>
        </w:r>
        <w:r w:rsidRPr="00AA638B">
          <w:rPr>
            <w:rFonts w:ascii="Arial" w:hAnsi="Arial" w:cs="Arial"/>
          </w:rPr>
          <w:instrText xml:space="preserve"> PAGE   \* MERGEFORMAT </w:instrText>
        </w:r>
        <w:r w:rsidRPr="00AA638B">
          <w:rPr>
            <w:rFonts w:ascii="Arial" w:hAnsi="Arial" w:cs="Arial"/>
          </w:rPr>
          <w:fldChar w:fldCharType="separate"/>
        </w:r>
        <w:r w:rsidRPr="00AA638B">
          <w:rPr>
            <w:rFonts w:ascii="Arial" w:hAnsi="Arial" w:cs="Arial"/>
            <w:noProof/>
          </w:rPr>
          <w:t>2</w:t>
        </w:r>
        <w:r w:rsidRPr="00AA638B">
          <w:rPr>
            <w:rFonts w:ascii="Arial" w:hAnsi="Arial" w:cs="Arial"/>
            <w:noProof/>
          </w:rPr>
          <w:fldChar w:fldCharType="end"/>
        </w:r>
      </w:sdtContent>
    </w:sdt>
  </w:p>
  <w:p w14:paraId="1A55A830" w14:textId="77777777" w:rsidR="00AA638B" w:rsidRDefault="00AA6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56E56"/>
    <w:multiLevelType w:val="hybridMultilevel"/>
    <w:tmpl w:val="E4BC855E"/>
    <w:lvl w:ilvl="0" w:tplc="56126C5A">
      <w:start w:val="1"/>
      <w:numFmt w:val="lowerRoman"/>
      <w:lvlText w:val="%1."/>
      <w:lvlJc w:val="right"/>
      <w:pPr>
        <w:ind w:left="720" w:hanging="360"/>
      </w:pPr>
    </w:lvl>
    <w:lvl w:ilvl="1" w:tplc="2960C03E" w:tentative="1">
      <w:start w:val="1"/>
      <w:numFmt w:val="lowerLetter"/>
      <w:lvlText w:val="%2."/>
      <w:lvlJc w:val="left"/>
      <w:pPr>
        <w:ind w:left="1440" w:hanging="360"/>
      </w:pPr>
    </w:lvl>
    <w:lvl w:ilvl="2" w:tplc="A8E6EF2E" w:tentative="1">
      <w:start w:val="1"/>
      <w:numFmt w:val="lowerRoman"/>
      <w:lvlText w:val="%3."/>
      <w:lvlJc w:val="right"/>
      <w:pPr>
        <w:ind w:left="2160" w:hanging="180"/>
      </w:pPr>
    </w:lvl>
    <w:lvl w:ilvl="3" w:tplc="3768F348" w:tentative="1">
      <w:start w:val="1"/>
      <w:numFmt w:val="decimal"/>
      <w:lvlText w:val="%4."/>
      <w:lvlJc w:val="left"/>
      <w:pPr>
        <w:ind w:left="2880" w:hanging="360"/>
      </w:pPr>
    </w:lvl>
    <w:lvl w:ilvl="4" w:tplc="9316286E" w:tentative="1">
      <w:start w:val="1"/>
      <w:numFmt w:val="lowerLetter"/>
      <w:lvlText w:val="%5."/>
      <w:lvlJc w:val="left"/>
      <w:pPr>
        <w:ind w:left="3600" w:hanging="360"/>
      </w:pPr>
    </w:lvl>
    <w:lvl w:ilvl="5" w:tplc="8ACE68FE" w:tentative="1">
      <w:start w:val="1"/>
      <w:numFmt w:val="lowerRoman"/>
      <w:lvlText w:val="%6."/>
      <w:lvlJc w:val="right"/>
      <w:pPr>
        <w:ind w:left="4320" w:hanging="180"/>
      </w:pPr>
    </w:lvl>
    <w:lvl w:ilvl="6" w:tplc="30EAE7BA" w:tentative="1">
      <w:start w:val="1"/>
      <w:numFmt w:val="decimal"/>
      <w:lvlText w:val="%7."/>
      <w:lvlJc w:val="left"/>
      <w:pPr>
        <w:ind w:left="5040" w:hanging="360"/>
      </w:pPr>
    </w:lvl>
    <w:lvl w:ilvl="7" w:tplc="885EE94A" w:tentative="1">
      <w:start w:val="1"/>
      <w:numFmt w:val="lowerLetter"/>
      <w:lvlText w:val="%8."/>
      <w:lvlJc w:val="left"/>
      <w:pPr>
        <w:ind w:left="5760" w:hanging="360"/>
      </w:pPr>
    </w:lvl>
    <w:lvl w:ilvl="8" w:tplc="508A5090" w:tentative="1">
      <w:start w:val="1"/>
      <w:numFmt w:val="lowerRoman"/>
      <w:lvlText w:val="%9."/>
      <w:lvlJc w:val="right"/>
      <w:pPr>
        <w:ind w:left="6480" w:hanging="180"/>
      </w:pPr>
    </w:lvl>
  </w:abstractNum>
  <w:abstractNum w:abstractNumId="1" w15:restartNumberingAfterBreak="0">
    <w:nsid w:val="32A7720C"/>
    <w:multiLevelType w:val="hybridMultilevel"/>
    <w:tmpl w:val="F5E6370C"/>
    <w:lvl w:ilvl="0" w:tplc="E35AA1DC">
      <w:start w:val="1"/>
      <w:numFmt w:val="decimal"/>
      <w:lvlText w:val="%1."/>
      <w:lvlJc w:val="left"/>
      <w:pPr>
        <w:ind w:left="720" w:hanging="360"/>
      </w:pPr>
    </w:lvl>
    <w:lvl w:ilvl="1" w:tplc="13807EC2" w:tentative="1">
      <w:start w:val="1"/>
      <w:numFmt w:val="lowerLetter"/>
      <w:lvlText w:val="%2."/>
      <w:lvlJc w:val="left"/>
      <w:pPr>
        <w:ind w:left="1440" w:hanging="360"/>
      </w:pPr>
    </w:lvl>
    <w:lvl w:ilvl="2" w:tplc="46524762" w:tentative="1">
      <w:start w:val="1"/>
      <w:numFmt w:val="lowerRoman"/>
      <w:lvlText w:val="%3."/>
      <w:lvlJc w:val="right"/>
      <w:pPr>
        <w:ind w:left="2160" w:hanging="180"/>
      </w:pPr>
    </w:lvl>
    <w:lvl w:ilvl="3" w:tplc="CD524ACC" w:tentative="1">
      <w:start w:val="1"/>
      <w:numFmt w:val="decimal"/>
      <w:lvlText w:val="%4."/>
      <w:lvlJc w:val="left"/>
      <w:pPr>
        <w:ind w:left="2880" w:hanging="360"/>
      </w:pPr>
    </w:lvl>
    <w:lvl w:ilvl="4" w:tplc="F30A841A" w:tentative="1">
      <w:start w:val="1"/>
      <w:numFmt w:val="lowerLetter"/>
      <w:lvlText w:val="%5."/>
      <w:lvlJc w:val="left"/>
      <w:pPr>
        <w:ind w:left="3600" w:hanging="360"/>
      </w:pPr>
    </w:lvl>
    <w:lvl w:ilvl="5" w:tplc="631CC204" w:tentative="1">
      <w:start w:val="1"/>
      <w:numFmt w:val="lowerRoman"/>
      <w:lvlText w:val="%6."/>
      <w:lvlJc w:val="right"/>
      <w:pPr>
        <w:ind w:left="4320" w:hanging="180"/>
      </w:pPr>
    </w:lvl>
    <w:lvl w:ilvl="6" w:tplc="A170E7A6" w:tentative="1">
      <w:start w:val="1"/>
      <w:numFmt w:val="decimal"/>
      <w:lvlText w:val="%7."/>
      <w:lvlJc w:val="left"/>
      <w:pPr>
        <w:ind w:left="5040" w:hanging="360"/>
      </w:pPr>
    </w:lvl>
    <w:lvl w:ilvl="7" w:tplc="5EA0938E" w:tentative="1">
      <w:start w:val="1"/>
      <w:numFmt w:val="lowerLetter"/>
      <w:lvlText w:val="%8."/>
      <w:lvlJc w:val="left"/>
      <w:pPr>
        <w:ind w:left="5760" w:hanging="360"/>
      </w:pPr>
    </w:lvl>
    <w:lvl w:ilvl="8" w:tplc="3D7AD1C8" w:tentative="1">
      <w:start w:val="1"/>
      <w:numFmt w:val="lowerRoman"/>
      <w:lvlText w:val="%9."/>
      <w:lvlJc w:val="right"/>
      <w:pPr>
        <w:ind w:left="6480" w:hanging="180"/>
      </w:pPr>
    </w:lvl>
  </w:abstractNum>
  <w:abstractNum w:abstractNumId="2" w15:restartNumberingAfterBreak="0">
    <w:nsid w:val="53FF2769"/>
    <w:multiLevelType w:val="hybridMultilevel"/>
    <w:tmpl w:val="58A401F0"/>
    <w:lvl w:ilvl="0" w:tplc="A928D8C6">
      <w:start w:val="1"/>
      <w:numFmt w:val="bullet"/>
      <w:lvlText w:val=""/>
      <w:lvlJc w:val="left"/>
      <w:pPr>
        <w:ind w:left="720" w:hanging="360"/>
      </w:pPr>
      <w:rPr>
        <w:rFonts w:ascii="Symbol" w:hAnsi="Symbol" w:hint="default"/>
      </w:rPr>
    </w:lvl>
    <w:lvl w:ilvl="1" w:tplc="DA161312" w:tentative="1">
      <w:start w:val="1"/>
      <w:numFmt w:val="bullet"/>
      <w:lvlText w:val="o"/>
      <w:lvlJc w:val="left"/>
      <w:pPr>
        <w:ind w:left="1440" w:hanging="360"/>
      </w:pPr>
      <w:rPr>
        <w:rFonts w:ascii="Courier New" w:hAnsi="Courier New" w:cs="Courier New" w:hint="default"/>
      </w:rPr>
    </w:lvl>
    <w:lvl w:ilvl="2" w:tplc="E79E4CFA" w:tentative="1">
      <w:start w:val="1"/>
      <w:numFmt w:val="bullet"/>
      <w:lvlText w:val=""/>
      <w:lvlJc w:val="left"/>
      <w:pPr>
        <w:ind w:left="2160" w:hanging="360"/>
      </w:pPr>
      <w:rPr>
        <w:rFonts w:ascii="Wingdings" w:hAnsi="Wingdings" w:hint="default"/>
      </w:rPr>
    </w:lvl>
    <w:lvl w:ilvl="3" w:tplc="7DB4DE84" w:tentative="1">
      <w:start w:val="1"/>
      <w:numFmt w:val="bullet"/>
      <w:lvlText w:val=""/>
      <w:lvlJc w:val="left"/>
      <w:pPr>
        <w:ind w:left="2880" w:hanging="360"/>
      </w:pPr>
      <w:rPr>
        <w:rFonts w:ascii="Symbol" w:hAnsi="Symbol" w:hint="default"/>
      </w:rPr>
    </w:lvl>
    <w:lvl w:ilvl="4" w:tplc="277C2AB8" w:tentative="1">
      <w:start w:val="1"/>
      <w:numFmt w:val="bullet"/>
      <w:lvlText w:val="o"/>
      <w:lvlJc w:val="left"/>
      <w:pPr>
        <w:ind w:left="3600" w:hanging="360"/>
      </w:pPr>
      <w:rPr>
        <w:rFonts w:ascii="Courier New" w:hAnsi="Courier New" w:cs="Courier New" w:hint="default"/>
      </w:rPr>
    </w:lvl>
    <w:lvl w:ilvl="5" w:tplc="1EFE6142" w:tentative="1">
      <w:start w:val="1"/>
      <w:numFmt w:val="bullet"/>
      <w:lvlText w:val=""/>
      <w:lvlJc w:val="left"/>
      <w:pPr>
        <w:ind w:left="4320" w:hanging="360"/>
      </w:pPr>
      <w:rPr>
        <w:rFonts w:ascii="Wingdings" w:hAnsi="Wingdings" w:hint="default"/>
      </w:rPr>
    </w:lvl>
    <w:lvl w:ilvl="6" w:tplc="9BACAFE2" w:tentative="1">
      <w:start w:val="1"/>
      <w:numFmt w:val="bullet"/>
      <w:lvlText w:val=""/>
      <w:lvlJc w:val="left"/>
      <w:pPr>
        <w:ind w:left="5040" w:hanging="360"/>
      </w:pPr>
      <w:rPr>
        <w:rFonts w:ascii="Symbol" w:hAnsi="Symbol" w:hint="default"/>
      </w:rPr>
    </w:lvl>
    <w:lvl w:ilvl="7" w:tplc="068A302E" w:tentative="1">
      <w:start w:val="1"/>
      <w:numFmt w:val="bullet"/>
      <w:lvlText w:val="o"/>
      <w:lvlJc w:val="left"/>
      <w:pPr>
        <w:ind w:left="5760" w:hanging="360"/>
      </w:pPr>
      <w:rPr>
        <w:rFonts w:ascii="Courier New" w:hAnsi="Courier New" w:cs="Courier New" w:hint="default"/>
      </w:rPr>
    </w:lvl>
    <w:lvl w:ilvl="8" w:tplc="B0A8A17E" w:tentative="1">
      <w:start w:val="1"/>
      <w:numFmt w:val="bullet"/>
      <w:lvlText w:val=""/>
      <w:lvlJc w:val="left"/>
      <w:pPr>
        <w:ind w:left="6480" w:hanging="360"/>
      </w:pPr>
      <w:rPr>
        <w:rFonts w:ascii="Wingdings" w:hAnsi="Wingdings" w:hint="default"/>
      </w:rPr>
    </w:lvl>
  </w:abstractNum>
  <w:abstractNum w:abstractNumId="3" w15:restartNumberingAfterBreak="0">
    <w:nsid w:val="7B013A06"/>
    <w:multiLevelType w:val="hybridMultilevel"/>
    <w:tmpl w:val="CAEAE9BA"/>
    <w:lvl w:ilvl="0" w:tplc="12F466E6">
      <w:start w:val="1"/>
      <w:numFmt w:val="lowerRoman"/>
      <w:lvlText w:val="%1."/>
      <w:lvlJc w:val="right"/>
      <w:pPr>
        <w:ind w:left="720" w:hanging="360"/>
      </w:pPr>
    </w:lvl>
    <w:lvl w:ilvl="1" w:tplc="F0160938" w:tentative="1">
      <w:start w:val="1"/>
      <w:numFmt w:val="lowerLetter"/>
      <w:lvlText w:val="%2."/>
      <w:lvlJc w:val="left"/>
      <w:pPr>
        <w:ind w:left="1440" w:hanging="360"/>
      </w:pPr>
    </w:lvl>
    <w:lvl w:ilvl="2" w:tplc="F27E6280" w:tentative="1">
      <w:start w:val="1"/>
      <w:numFmt w:val="lowerRoman"/>
      <w:lvlText w:val="%3."/>
      <w:lvlJc w:val="right"/>
      <w:pPr>
        <w:ind w:left="2160" w:hanging="180"/>
      </w:pPr>
    </w:lvl>
    <w:lvl w:ilvl="3" w:tplc="4872BDB6" w:tentative="1">
      <w:start w:val="1"/>
      <w:numFmt w:val="decimal"/>
      <w:lvlText w:val="%4."/>
      <w:lvlJc w:val="left"/>
      <w:pPr>
        <w:ind w:left="2880" w:hanging="360"/>
      </w:pPr>
    </w:lvl>
    <w:lvl w:ilvl="4" w:tplc="655AB1DC" w:tentative="1">
      <w:start w:val="1"/>
      <w:numFmt w:val="lowerLetter"/>
      <w:lvlText w:val="%5."/>
      <w:lvlJc w:val="left"/>
      <w:pPr>
        <w:ind w:left="3600" w:hanging="360"/>
      </w:pPr>
    </w:lvl>
    <w:lvl w:ilvl="5" w:tplc="C0ECB546" w:tentative="1">
      <w:start w:val="1"/>
      <w:numFmt w:val="lowerRoman"/>
      <w:lvlText w:val="%6."/>
      <w:lvlJc w:val="right"/>
      <w:pPr>
        <w:ind w:left="4320" w:hanging="180"/>
      </w:pPr>
    </w:lvl>
    <w:lvl w:ilvl="6" w:tplc="E30E43D8" w:tentative="1">
      <w:start w:val="1"/>
      <w:numFmt w:val="decimal"/>
      <w:lvlText w:val="%7."/>
      <w:lvlJc w:val="left"/>
      <w:pPr>
        <w:ind w:left="5040" w:hanging="360"/>
      </w:pPr>
    </w:lvl>
    <w:lvl w:ilvl="7" w:tplc="08C02AA4" w:tentative="1">
      <w:start w:val="1"/>
      <w:numFmt w:val="lowerLetter"/>
      <w:lvlText w:val="%8."/>
      <w:lvlJc w:val="left"/>
      <w:pPr>
        <w:ind w:left="5760" w:hanging="360"/>
      </w:pPr>
    </w:lvl>
    <w:lvl w:ilvl="8" w:tplc="2C82C0F2" w:tentative="1">
      <w:start w:val="1"/>
      <w:numFmt w:val="lowerRoman"/>
      <w:lvlText w:val="%9."/>
      <w:lvlJc w:val="right"/>
      <w:pPr>
        <w:ind w:left="6480" w:hanging="180"/>
      </w:pPr>
    </w:lvl>
  </w:abstractNum>
  <w:num w:numId="1" w16cid:durableId="1725643564">
    <w:abstractNumId w:val="2"/>
  </w:num>
  <w:num w:numId="2" w16cid:durableId="2008745583">
    <w:abstractNumId w:val="1"/>
  </w:num>
  <w:num w:numId="3" w16cid:durableId="1981232425">
    <w:abstractNumId w:val="3"/>
  </w:num>
  <w:num w:numId="4" w16cid:durableId="2100441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38B"/>
    <w:rsid w:val="00083B89"/>
    <w:rsid w:val="001E6398"/>
    <w:rsid w:val="002853A6"/>
    <w:rsid w:val="00512608"/>
    <w:rsid w:val="00542A36"/>
    <w:rsid w:val="005E6E8B"/>
    <w:rsid w:val="005F1E41"/>
    <w:rsid w:val="008E4390"/>
    <w:rsid w:val="00950E3C"/>
    <w:rsid w:val="00AA638B"/>
    <w:rsid w:val="00B4564F"/>
    <w:rsid w:val="00C029D8"/>
    <w:rsid w:val="00F1498C"/>
    <w:rsid w:val="00FE2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F576"/>
  <w15:chartTrackingRefBased/>
  <w15:docId w15:val="{C1685DDA-868A-40B8-90C4-BA9FD4E2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3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3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38B"/>
  </w:style>
  <w:style w:type="paragraph" w:styleId="Footer">
    <w:name w:val="footer"/>
    <w:basedOn w:val="Normal"/>
    <w:link w:val="FooterChar"/>
    <w:uiPriority w:val="99"/>
    <w:unhideWhenUsed/>
    <w:rsid w:val="00AA63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38B"/>
  </w:style>
  <w:style w:type="character" w:styleId="Hyperlink">
    <w:name w:val="Hyperlink"/>
    <w:basedOn w:val="DefaultParagraphFont"/>
    <w:uiPriority w:val="99"/>
    <w:unhideWhenUsed/>
    <w:rsid w:val="00AA638B"/>
    <w:rPr>
      <w:color w:val="0563C1" w:themeColor="hyperlink"/>
      <w:u w:val="single"/>
    </w:rPr>
  </w:style>
  <w:style w:type="character" w:styleId="UnresolvedMention">
    <w:name w:val="Unresolved Mention"/>
    <w:basedOn w:val="DefaultParagraphFont"/>
    <w:uiPriority w:val="99"/>
    <w:semiHidden/>
    <w:unhideWhenUsed/>
    <w:rsid w:val="00AA638B"/>
    <w:rPr>
      <w:color w:val="605E5C"/>
      <w:shd w:val="clear" w:color="auto" w:fill="E1DFDD"/>
    </w:rPr>
  </w:style>
  <w:style w:type="paragraph" w:styleId="ListParagraph">
    <w:name w:val="List Paragraph"/>
    <w:basedOn w:val="Normal"/>
    <w:uiPriority w:val="34"/>
    <w:qFormat/>
    <w:rsid w:val="002853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46634">
      <w:bodyDiv w:val="1"/>
      <w:marLeft w:val="0"/>
      <w:marRight w:val="0"/>
      <w:marTop w:val="0"/>
      <w:marBottom w:val="0"/>
      <w:divBdr>
        <w:top w:val="none" w:sz="0" w:space="0" w:color="auto"/>
        <w:left w:val="none" w:sz="0" w:space="0" w:color="auto"/>
        <w:bottom w:val="none" w:sz="0" w:space="0" w:color="auto"/>
        <w:right w:val="none" w:sz="0" w:space="0" w:color="auto"/>
      </w:divBdr>
      <w:divsChild>
        <w:div w:id="731002351">
          <w:marLeft w:val="-720"/>
          <w:marRight w:val="0"/>
          <w:marTop w:val="0"/>
          <w:marBottom w:val="0"/>
          <w:divBdr>
            <w:top w:val="none" w:sz="0" w:space="0" w:color="auto"/>
            <w:left w:val="none" w:sz="0" w:space="0" w:color="auto"/>
            <w:bottom w:val="none" w:sz="0" w:space="0" w:color="auto"/>
            <w:right w:val="none" w:sz="0" w:space="0" w:color="auto"/>
          </w:divBdr>
        </w:div>
      </w:divsChild>
    </w:div>
    <w:div w:id="872428176">
      <w:bodyDiv w:val="1"/>
      <w:marLeft w:val="0"/>
      <w:marRight w:val="0"/>
      <w:marTop w:val="0"/>
      <w:marBottom w:val="0"/>
      <w:divBdr>
        <w:top w:val="none" w:sz="0" w:space="0" w:color="auto"/>
        <w:left w:val="none" w:sz="0" w:space="0" w:color="auto"/>
        <w:bottom w:val="none" w:sz="0" w:space="0" w:color="auto"/>
        <w:right w:val="none" w:sz="0" w:space="0" w:color="auto"/>
      </w:divBdr>
      <w:divsChild>
        <w:div w:id="1282616434">
          <w:marLeft w:val="-720"/>
          <w:marRight w:val="0"/>
          <w:marTop w:val="0"/>
          <w:marBottom w:val="0"/>
          <w:divBdr>
            <w:top w:val="none" w:sz="0" w:space="0" w:color="auto"/>
            <w:left w:val="none" w:sz="0" w:space="0" w:color="auto"/>
            <w:bottom w:val="none" w:sz="0" w:space="0" w:color="auto"/>
            <w:right w:val="none" w:sz="0" w:space="0" w:color="auto"/>
          </w:divBdr>
        </w:div>
      </w:divsChild>
    </w:div>
    <w:div w:id="1090854272">
      <w:bodyDiv w:val="1"/>
      <w:marLeft w:val="0"/>
      <w:marRight w:val="0"/>
      <w:marTop w:val="0"/>
      <w:marBottom w:val="0"/>
      <w:divBdr>
        <w:top w:val="none" w:sz="0" w:space="0" w:color="auto"/>
        <w:left w:val="none" w:sz="0" w:space="0" w:color="auto"/>
        <w:bottom w:val="none" w:sz="0" w:space="0" w:color="auto"/>
        <w:right w:val="none" w:sz="0" w:space="0" w:color="auto"/>
      </w:divBdr>
      <w:divsChild>
        <w:div w:id="57798547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902-022-00497-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1177/00302228221115586" TargetMode="External"/><Relationship Id="rId4" Type="http://schemas.openxmlformats.org/officeDocument/2006/relationships/settings" Target="settings.xml"/><Relationship Id="rId9" Type="http://schemas.openxmlformats.org/officeDocument/2006/relationships/hyperlink" Target="https://doi.org/10.1016/j.gerinurse.2025.1037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F509C-B72E-47B6-9E99-FBC80035F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Proctor</dc:creator>
  <cp:lastModifiedBy>Shukri Abdulkhadir Omar (2441430)</cp:lastModifiedBy>
  <cp:revision>2</cp:revision>
  <dcterms:created xsi:type="dcterms:W3CDTF">2026-04-21T06:37:00Z</dcterms:created>
  <dcterms:modified xsi:type="dcterms:W3CDTF">2026-04-21T06:37:00Z</dcterms:modified>
</cp:coreProperties>
</file>