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C3097" w14:textId="77777777" w:rsidR="004D49EC" w:rsidRDefault="004D49EC" w:rsidP="001E0E5A">
      <w:pPr>
        <w:pStyle w:val="NormalWeb"/>
        <w:rPr>
          <w:b/>
          <w:bCs/>
        </w:rPr>
      </w:pPr>
    </w:p>
    <w:p w14:paraId="11057148" w14:textId="10E9111D" w:rsidR="001E0E5A" w:rsidRPr="004D49EC" w:rsidRDefault="004D49EC" w:rsidP="004D49EC">
      <w:pPr>
        <w:pStyle w:val="NormalWeb"/>
        <w:jc w:val="center"/>
        <w:rPr>
          <w:b/>
          <w:bCs/>
          <w:sz w:val="28"/>
          <w:szCs w:val="28"/>
          <w:u w:val="single"/>
        </w:rPr>
      </w:pPr>
      <w:r w:rsidRPr="004D49EC">
        <w:rPr>
          <w:b/>
          <w:bCs/>
          <w:noProof/>
          <w:sz w:val="28"/>
          <w:szCs w:val="28"/>
          <w:u w:val="single"/>
          <w14:ligatures w14:val="standardContextual"/>
        </w:rPr>
        <w:drawing>
          <wp:anchor distT="0" distB="0" distL="114300" distR="114300" simplePos="0" relativeHeight="251661312" behindDoc="0" locked="0" layoutInCell="1" allowOverlap="1" wp14:anchorId="4D9773B7" wp14:editId="3A3FBA64">
            <wp:simplePos x="0" y="0"/>
            <wp:positionH relativeFrom="column">
              <wp:posOffset>-800100</wp:posOffset>
            </wp:positionH>
            <wp:positionV relativeFrom="paragraph">
              <wp:posOffset>793750</wp:posOffset>
            </wp:positionV>
            <wp:extent cx="2108200" cy="1835150"/>
            <wp:effectExtent l="0" t="0" r="6350" b="0"/>
            <wp:wrapTopAndBottom/>
            <wp:docPr id="1948934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934688" name="Picture 1948934688"/>
                    <pic:cNvPicPr/>
                  </pic:nvPicPr>
                  <pic:blipFill rotWithShape="1">
                    <a:blip r:embed="rId7">
                      <a:extLst>
                        <a:ext uri="{28A0092B-C50C-407E-A947-70E740481C1C}">
                          <a14:useLocalDpi xmlns:a14="http://schemas.microsoft.com/office/drawing/2010/main" val="0"/>
                        </a:ext>
                      </a:extLst>
                    </a:blip>
                    <a:srcRect l="16172" t="23709" r="21399" b="45702"/>
                    <a:stretch>
                      <a:fillRect/>
                    </a:stretch>
                  </pic:blipFill>
                  <pic:spPr bwMode="auto">
                    <a:xfrm>
                      <a:off x="0" y="0"/>
                      <a:ext cx="2108200" cy="1835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46C7" w:rsidRPr="004D49EC">
        <w:rPr>
          <w:b/>
          <w:bCs/>
          <w:noProof/>
          <w:sz w:val="28"/>
          <w:szCs w:val="28"/>
          <w:u w:val="single"/>
          <w14:ligatures w14:val="standardContextual"/>
        </w:rPr>
        <w:drawing>
          <wp:anchor distT="0" distB="0" distL="114300" distR="114300" simplePos="0" relativeHeight="251660288" behindDoc="0" locked="0" layoutInCell="1" allowOverlap="1" wp14:anchorId="59A9F834" wp14:editId="69A542A8">
            <wp:simplePos x="0" y="0"/>
            <wp:positionH relativeFrom="column">
              <wp:posOffset>4170724</wp:posOffset>
            </wp:positionH>
            <wp:positionV relativeFrom="paragraph">
              <wp:posOffset>382624</wp:posOffset>
            </wp:positionV>
            <wp:extent cx="2347595" cy="2908300"/>
            <wp:effectExtent l="0" t="0" r="0" b="6350"/>
            <wp:wrapTopAndBottom/>
            <wp:docPr id="1877692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692169" name="Picture 1877692169"/>
                    <pic:cNvPicPr/>
                  </pic:nvPicPr>
                  <pic:blipFill rotWithShape="1">
                    <a:blip r:embed="rId8">
                      <a:extLst>
                        <a:ext uri="{28A0092B-C50C-407E-A947-70E740481C1C}">
                          <a14:useLocalDpi xmlns:a14="http://schemas.microsoft.com/office/drawing/2010/main" val="0"/>
                        </a:ext>
                      </a:extLst>
                    </a:blip>
                    <a:srcRect t="17357" b="12911"/>
                    <a:stretch>
                      <a:fillRect/>
                    </a:stretch>
                  </pic:blipFill>
                  <pic:spPr bwMode="auto">
                    <a:xfrm>
                      <a:off x="0" y="0"/>
                      <a:ext cx="2347595" cy="290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46C7" w:rsidRPr="004D49EC">
        <w:rPr>
          <w:b/>
          <w:bCs/>
          <w:noProof/>
          <w:sz w:val="28"/>
          <w:szCs w:val="28"/>
          <w:u w:val="single"/>
        </w:rPr>
        <w:drawing>
          <wp:anchor distT="0" distB="0" distL="114300" distR="114300" simplePos="0" relativeHeight="251659264" behindDoc="0" locked="0" layoutInCell="1" allowOverlap="1" wp14:anchorId="323D00DA" wp14:editId="593D09CA">
            <wp:simplePos x="0" y="0"/>
            <wp:positionH relativeFrom="column">
              <wp:posOffset>1434214</wp:posOffset>
            </wp:positionH>
            <wp:positionV relativeFrom="paragraph">
              <wp:posOffset>382550</wp:posOffset>
            </wp:positionV>
            <wp:extent cx="2677160" cy="2630170"/>
            <wp:effectExtent l="0" t="0" r="8890" b="0"/>
            <wp:wrapTopAndBottom/>
            <wp:docPr id="623824350" name="Picture 1" descr="A large pot with a patter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24350" name="Picture 1" descr="A large pot with a pattern on it&#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t="12371" b="32303"/>
                    <a:stretch>
                      <a:fillRect/>
                    </a:stretch>
                  </pic:blipFill>
                  <pic:spPr bwMode="auto">
                    <a:xfrm>
                      <a:off x="0" y="0"/>
                      <a:ext cx="2677160" cy="2630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D49EC">
        <w:rPr>
          <w:b/>
          <w:bCs/>
          <w:sz w:val="28"/>
          <w:szCs w:val="28"/>
          <w:u w:val="single"/>
        </w:rPr>
        <w:t>Catalogue Entry</w:t>
      </w:r>
    </w:p>
    <w:p w14:paraId="7F839A68" w14:textId="77777777" w:rsidR="004D49EC" w:rsidRDefault="004D49EC" w:rsidP="001E0E5A"/>
    <w:p w14:paraId="5CFE1FA5" w14:textId="7137A543" w:rsidR="004D49EC" w:rsidRPr="004D49EC" w:rsidRDefault="004D49EC" w:rsidP="001E0E5A">
      <w:pPr>
        <w:rPr>
          <w:b/>
          <w:bCs/>
          <w:i/>
          <w:iCs/>
        </w:rPr>
      </w:pPr>
      <w:r w:rsidRPr="004D49EC">
        <w:rPr>
          <w:b/>
          <w:bCs/>
          <w:i/>
          <w:iCs/>
        </w:rPr>
        <w:t>Predynastic Ceramic Vessel</w:t>
      </w:r>
    </w:p>
    <w:p w14:paraId="18D7943A" w14:textId="76C775C6" w:rsidR="001E0E5A" w:rsidRDefault="001E0E5A" w:rsidP="001E0E5A">
      <w:proofErr w:type="spellStart"/>
      <w:r>
        <w:t>Cyfartha</w:t>
      </w:r>
      <w:proofErr w:type="spellEnd"/>
      <w:r>
        <w:t xml:space="preserve"> Castle, Merthyr Tydfil CCM</w:t>
      </w:r>
      <w:r w:rsidR="0085283B">
        <w:t xml:space="preserve"> 270.004</w:t>
      </w:r>
    </w:p>
    <w:p w14:paraId="215E29F9" w14:textId="581B3078" w:rsidR="001E0E5A" w:rsidRDefault="001E0E5A" w:rsidP="001E0E5A">
      <w:r>
        <w:t>Object type: Ceramic Vessel</w:t>
      </w:r>
    </w:p>
    <w:p w14:paraId="347CF213" w14:textId="1003AB98" w:rsidR="001E0E5A" w:rsidRDefault="001E0E5A" w:rsidP="001E0E5A">
      <w:r>
        <w:t>Material: Ceramic</w:t>
      </w:r>
    </w:p>
    <w:p w14:paraId="385F9AB8" w14:textId="1325CE3C" w:rsidR="001E0E5A" w:rsidRDefault="001E0E5A" w:rsidP="001E0E5A">
      <w:r>
        <w:t xml:space="preserve">Period: </w:t>
      </w:r>
      <w:proofErr w:type="spellStart"/>
      <w:r>
        <w:t>Naqada</w:t>
      </w:r>
      <w:proofErr w:type="spellEnd"/>
      <w:r>
        <w:t xml:space="preserve"> II</w:t>
      </w:r>
    </w:p>
    <w:p w14:paraId="46BF5A30" w14:textId="7E80846B" w:rsidR="001E0E5A" w:rsidRDefault="001E0E5A" w:rsidP="001E0E5A">
      <w:r>
        <w:t xml:space="preserve">Provenance: </w:t>
      </w:r>
      <w:r w:rsidRPr="00303054">
        <w:t>Major Harry Hartly Southey</w:t>
      </w:r>
    </w:p>
    <w:p w14:paraId="35F3B902" w14:textId="77777777" w:rsidR="001E0E5A" w:rsidRDefault="001E0E5A" w:rsidP="001E0E5A">
      <w:r>
        <w:t xml:space="preserve">Dimensions: 3400mm x 2800mm, Thickness – Rim:12mm, Vessel:1600mm, Diameter </w:t>
      </w:r>
      <w:proofErr w:type="gramStart"/>
      <w:r>
        <w:t>-  Top</w:t>
      </w:r>
      <w:proofErr w:type="gramEnd"/>
      <w:r>
        <w:t xml:space="preserve"> Rim: 1560mm, Widest: 2800mm, Base: 1010mm.</w:t>
      </w:r>
    </w:p>
    <w:p w14:paraId="620D45D6" w14:textId="194F7AC8" w:rsidR="001E0E5A" w:rsidRDefault="001E0E5A" w:rsidP="001E0E5A">
      <w:r>
        <w:t>Object analysis by Soli Green</w:t>
      </w:r>
    </w:p>
    <w:p w14:paraId="78E8AB6D" w14:textId="5E72F20C" w:rsidR="001E0E5A" w:rsidRDefault="001E0E5A" w:rsidP="00682320"/>
    <w:p w14:paraId="35FE3AF3" w14:textId="462E4A64" w:rsidR="00682320" w:rsidRDefault="00682320" w:rsidP="00682320">
      <w:r w:rsidRPr="0034174D">
        <w:t>This handmade ceramic v</w:t>
      </w:r>
      <w:r>
        <w:t>essel</w:t>
      </w:r>
      <w:r w:rsidRPr="0034174D">
        <w:t xml:space="preserve"> is irregularly shaped with a narrow rim and a smooth, reddish-glazed, fine marl clay surface. It is approximately 34 cm tall and 28 cm wide</w:t>
      </w:r>
      <w:r>
        <w:t xml:space="preserve"> at its widest point</w:t>
      </w:r>
      <w:r w:rsidRPr="0034174D">
        <w:t xml:space="preserve"> with three dark red-brown ornamental bands. The top two bands consist of repeating diagonal lines forming </w:t>
      </w:r>
      <w:r>
        <w:t>slanted line</w:t>
      </w:r>
      <w:r w:rsidRPr="0034174D">
        <w:t xml:space="preserve"> motifs</w:t>
      </w:r>
      <w:r>
        <w:t>, groups of which alternate direction</w:t>
      </w:r>
      <w:r w:rsidRPr="0034174D">
        <w:t>. The lower band consists of alternati</w:t>
      </w:r>
      <w:r>
        <w:t>ng</w:t>
      </w:r>
      <w:r w:rsidRPr="0034174D">
        <w:t xml:space="preserve"> groups of six triang</w:t>
      </w:r>
      <w:r>
        <w:t>le</w:t>
      </w:r>
      <w:r w:rsidRPr="0034174D">
        <w:t xml:space="preserve"> shapes</w:t>
      </w:r>
      <w:r>
        <w:t xml:space="preserve">, separated by a </w:t>
      </w:r>
      <w:r w:rsidRPr="0034174D">
        <w:t>palm</w:t>
      </w:r>
      <w:r>
        <w:t xml:space="preserve"> </w:t>
      </w:r>
      <w:r w:rsidRPr="0034174D">
        <w:t>frond motif</w:t>
      </w:r>
      <w:r>
        <w:t>, repeated three times</w:t>
      </w:r>
      <w:r w:rsidRPr="0034174D">
        <w:t xml:space="preserve">. They are well-spaced and well-worked, indicating both technical expertise and aesthetic harmony. The surface is slightly </w:t>
      </w:r>
      <w:r>
        <w:t>textured where it has been smoothed</w:t>
      </w:r>
      <w:r w:rsidRPr="0034174D">
        <w:t xml:space="preserve"> </w:t>
      </w:r>
      <w:r>
        <w:t xml:space="preserve">following the coiling method of construction </w:t>
      </w:r>
      <w:r w:rsidRPr="0034174D">
        <w:t>before the advent of the potter's wheel. This vessel most likely served both a utilitarian and symbolic purpose, perhaps used for liquid storage or as a grave good so that it could provide nourishment after death.</w:t>
      </w:r>
      <w:r>
        <w:t xml:space="preserve"> On the shoulder of the vessel there are three small lugs spaced evenly, each with a hole suitable for securing with tie.</w:t>
      </w:r>
    </w:p>
    <w:p w14:paraId="5E1BF442" w14:textId="3B6881FC" w:rsidR="00682320" w:rsidRDefault="00682320" w:rsidP="00682320">
      <w:r w:rsidRPr="005F66BB">
        <w:lastRenderedPageBreak/>
        <w:t>During Predynastic Egypt, grave offerings were interred with the deceased to transport them into eternity as an expression of religious and practical necessities</w:t>
      </w:r>
      <w:r w:rsidR="00F31CD8">
        <w:fldChar w:fldCharType="begin"/>
      </w:r>
      <w:r w:rsidR="00F31CD8">
        <w:instrText xml:space="preserve"> ADDIN ZOTERO_ITEM CSL_CITATION {"citationID":"JvQOf6UX","properties":{"formattedCitation":"(Murray, 1956)","plainCitation":"(Murray, 1956)","noteIndex":0},"citationItems":[{"id":209,"uris":["http://zotero.org/users/local/yKBDKBHn/items/MGRE8YD7"],"itemData":{"id":209,"type":"article-journal","container-title":"The Journal of Egyptian Archaeology","DOI":"10.2307/3855127","ISSN":"0307-5133","note":"publisher: Egypt Exploration Society","page":"86-96","source":"JSTOR","title":"Burial Customs and Beliefs in the Hereafter in Predynastic Egypt","volume":"42","author":[{"family":"Murray","given":"M. A."}],"issued":{"date-parts":[["1956"]]}}}],"schema":"https://github.com/citation-style-language/schema/raw/master/csl-citation.json"} </w:instrText>
      </w:r>
      <w:r w:rsidR="00F31CD8">
        <w:fldChar w:fldCharType="separate"/>
      </w:r>
      <w:r w:rsidR="00F31CD8" w:rsidRPr="00F31CD8">
        <w:rPr>
          <w:rFonts w:ascii="Calibri" w:hAnsi="Calibri" w:cs="Calibri"/>
        </w:rPr>
        <w:t>(Murray, 1956)</w:t>
      </w:r>
      <w:r w:rsidR="00F31CD8">
        <w:fldChar w:fldCharType="end"/>
      </w:r>
      <w:r w:rsidRPr="005F66BB">
        <w:t xml:space="preserve">. During </w:t>
      </w:r>
      <w:proofErr w:type="spellStart"/>
      <w:r w:rsidRPr="005F66BB">
        <w:t>Naqada</w:t>
      </w:r>
      <w:proofErr w:type="spellEnd"/>
      <w:r w:rsidRPr="005F66BB">
        <w:t xml:space="preserve"> II, these gifts usually included ceramics, equipment, ornaments, and statuettes </w:t>
      </w:r>
      <w:r>
        <w:t>which may have</w:t>
      </w:r>
      <w:r w:rsidRPr="005F66BB">
        <w:t xml:space="preserve"> expressed the individual's status in society and their conception of existence after death. Pottery such </w:t>
      </w:r>
      <w:r>
        <w:t xml:space="preserve">as </w:t>
      </w:r>
      <w:r w:rsidRPr="005F66BB">
        <w:t xml:space="preserve">this </w:t>
      </w:r>
      <w:r>
        <w:t xml:space="preserve">decorated </w:t>
      </w:r>
      <w:r w:rsidRPr="005F66BB">
        <w:t xml:space="preserve">ware jar was particularly </w:t>
      </w:r>
      <w:r>
        <w:t xml:space="preserve">common as a grave good in the </w:t>
      </w:r>
      <w:proofErr w:type="spellStart"/>
      <w:r>
        <w:t>Naqada</w:t>
      </w:r>
      <w:proofErr w:type="spellEnd"/>
      <w:r>
        <w:t xml:space="preserve"> II period</w:t>
      </w:r>
      <w:r w:rsidRPr="005F66BB">
        <w:t xml:space="preserve">, </w:t>
      </w:r>
      <w:r>
        <w:t xml:space="preserve">perhaps </w:t>
      </w:r>
      <w:r w:rsidRPr="005F66BB">
        <w:t xml:space="preserve">serving not just as a container for essential supplies but as a symbolic container promising extended </w:t>
      </w:r>
      <w:r>
        <w:t>nourishment</w:t>
      </w:r>
      <w:r w:rsidRPr="005F66BB">
        <w:t xml:space="preserve"> in the afterlife</w:t>
      </w:r>
      <w:r w:rsidR="00BF0CD2">
        <w:fldChar w:fldCharType="begin"/>
      </w:r>
      <w:r w:rsidR="00BF0CD2">
        <w:instrText xml:space="preserve"> ADDIN ZOTERO_ITEM CSL_CITATION {"citationID":"mXvY0T1k","properties":{"formattedCitation":"(Garstang, 2018)","plainCitation":"(Garstang, 2018)","noteIndex":0},"citationItems":[{"id":210,"uris":["http://zotero.org/users/local/yKBDKBHn/items/6SM5PRJ3"],"itemData":{"id":210,"type":"post-weblog","abstract":"Typically, the modern audience associates burial and funerary ritual in ancient Egypt with the iconic imagery of the Pharaonic period – meticulously mummified bodies locked away deep in tombs fille…","container-title":"Garstang Museum of Archaeology","language":"en","title":"Burials and Grave Goods in the Predynastic – You Can Take It With You!","URL":"https://garstangmuseum.wordpress.com/2018/03/28/burials-and-grave-goods-in-the-predynastic-you-can-take-it-with-you/","author":[{"literal":"Garstang"}],"accessed":{"date-parts":[["2025",10,23]]},"issued":{"date-parts":[["2018",3,28]]}}}],"schema":"https://github.com/citation-style-language/schema/raw/master/csl-citation.json"} </w:instrText>
      </w:r>
      <w:r w:rsidR="00BF0CD2">
        <w:fldChar w:fldCharType="separate"/>
      </w:r>
      <w:r w:rsidR="00BF0CD2" w:rsidRPr="00BF0CD2">
        <w:rPr>
          <w:rFonts w:ascii="Calibri" w:hAnsi="Calibri" w:cs="Calibri"/>
        </w:rPr>
        <w:t>(Garstang, 2018)</w:t>
      </w:r>
      <w:r w:rsidR="00BF0CD2">
        <w:fldChar w:fldCharType="end"/>
      </w:r>
      <w:r w:rsidRPr="005F66BB">
        <w:t>. The fact that it occurs within tombs suggests the early development of Egyptian funera</w:t>
      </w:r>
      <w:r>
        <w:t>ry beliefs</w:t>
      </w:r>
      <w:r w:rsidRPr="005F66BB">
        <w:t xml:space="preserve"> and the growing identification between material culture and immortality</w:t>
      </w:r>
      <w:r w:rsidR="00BF0CD2">
        <w:t>.</w:t>
      </w:r>
    </w:p>
    <w:p w14:paraId="076CE1D5" w14:textId="56EE297F" w:rsidR="00682320" w:rsidRDefault="00682320" w:rsidP="00682320">
      <w:r w:rsidRPr="007C2D4E">
        <w:t xml:space="preserve">This </w:t>
      </w:r>
      <w:r>
        <w:t>vessel</w:t>
      </w:r>
      <w:r w:rsidRPr="007C2D4E">
        <w:t xml:space="preserve"> informs us a great deal about Predynastic Egyptian values and beliefs. </w:t>
      </w:r>
      <w:r>
        <w:t>It has been suggested that</w:t>
      </w:r>
      <w:r w:rsidRPr="007C2D4E">
        <w:t xml:space="preserve"> imagery used in the motif—triangles, palm </w:t>
      </w:r>
      <w:r>
        <w:t>fronds</w:t>
      </w:r>
      <w:r w:rsidRPr="007C2D4E">
        <w:t xml:space="preserve">, and </w:t>
      </w:r>
      <w:r>
        <w:t>diagonal lines</w:t>
      </w:r>
      <w:r w:rsidRPr="007C2D4E">
        <w:t>—are signs for an early visual language that equated natural life with nature and supernatural forces</w:t>
      </w:r>
      <w:r w:rsidR="00603661">
        <w:fldChar w:fldCharType="begin"/>
      </w:r>
      <w:r w:rsidR="00603661">
        <w:instrText xml:space="preserve"> ADDIN ZOTERO_ITEM CSL_CITATION {"citationID":"xj1oPZWf","properties":{"formattedCitation":"(Bebbington, 2018)","plainCitation":"(Bebbington, 2018)","noteIndex":0},"citationItems":[{"id":175,"uris":["http://zotero.org/users/local/yKBDKBHn/items/HTPFZC9W"],"itemData":{"id":175,"type":"post-weblog","abstract":"D-Ware (or Decorated Ware) is a classification of Predynastic pottery originating from Flinders Petrie’s seriation of Predynastic material from Diospolis Parva. The characteristics of D-Ware are th…","container-title":"Garstang Museum of Archaeology","language":"en-GB","title":"Decorated Ware – A Landscape in Ceramic","URL":"https://garstangmuseum.wordpress.com/2018/08/15/decorated-ware-a-landscape-in-ceramic/","author":[{"family":"Bebbington","given":"Chris"}],"accessed":{"date-parts":[["2025",10,7]]},"issued":{"date-parts":[["2018",8,15]]}}}],"schema":"https://github.com/citation-style-language/schema/raw/master/csl-citation.json"} </w:instrText>
      </w:r>
      <w:r w:rsidR="00603661">
        <w:fldChar w:fldCharType="separate"/>
      </w:r>
      <w:r w:rsidR="00603661" w:rsidRPr="00603661">
        <w:rPr>
          <w:rFonts w:ascii="Calibri" w:hAnsi="Calibri" w:cs="Calibri"/>
        </w:rPr>
        <w:t>(Bebbington, 2018)</w:t>
      </w:r>
      <w:r w:rsidR="00603661">
        <w:fldChar w:fldCharType="end"/>
      </w:r>
      <w:r>
        <w:t>.</w:t>
      </w:r>
    </w:p>
    <w:p w14:paraId="61EC8EF3" w14:textId="2669EB59" w:rsidR="00C40560" w:rsidRDefault="00C40560" w:rsidP="00682320">
      <w:r>
        <w:rPr>
          <w:noProof/>
        </w:rPr>
        <mc:AlternateContent>
          <mc:Choice Requires="wps">
            <w:drawing>
              <wp:anchor distT="0" distB="0" distL="114300" distR="114300" simplePos="0" relativeHeight="251668480" behindDoc="0" locked="0" layoutInCell="1" allowOverlap="1" wp14:anchorId="4EFE832E" wp14:editId="0771D6B4">
                <wp:simplePos x="0" y="0"/>
                <wp:positionH relativeFrom="column">
                  <wp:posOffset>0</wp:posOffset>
                </wp:positionH>
                <wp:positionV relativeFrom="paragraph">
                  <wp:posOffset>2478405</wp:posOffset>
                </wp:positionV>
                <wp:extent cx="2171700" cy="317500"/>
                <wp:effectExtent l="0" t="0" r="0" b="6350"/>
                <wp:wrapTopAndBottom/>
                <wp:docPr id="620735425" name="Text Box 1"/>
                <wp:cNvGraphicFramePr/>
                <a:graphic xmlns:a="http://schemas.openxmlformats.org/drawingml/2006/main">
                  <a:graphicData uri="http://schemas.microsoft.com/office/word/2010/wordprocessingShape">
                    <wps:wsp>
                      <wps:cNvSpPr txBox="1"/>
                      <wps:spPr>
                        <a:xfrm>
                          <a:off x="0" y="0"/>
                          <a:ext cx="2171700" cy="317500"/>
                        </a:xfrm>
                        <a:prstGeom prst="rect">
                          <a:avLst/>
                        </a:prstGeom>
                        <a:solidFill>
                          <a:prstClr val="white"/>
                        </a:solidFill>
                        <a:ln>
                          <a:noFill/>
                        </a:ln>
                      </wps:spPr>
                      <wps:txbx>
                        <w:txbxContent>
                          <w:p w14:paraId="5D46E6F7" w14:textId="15250EE0" w:rsidR="00C40560" w:rsidRPr="007241EF" w:rsidRDefault="00C40560" w:rsidP="00C40560">
                            <w:pPr>
                              <w:pStyle w:val="Caption"/>
                              <w:rPr>
                                <w:noProof/>
                                <w:sz w:val="22"/>
                                <w:szCs w:val="22"/>
                              </w:rPr>
                            </w:pPr>
                            <w:r>
                              <w:t xml:space="preserve">Figure </w:t>
                            </w:r>
                            <w:fldSimple w:instr=" SEQ Figure \* ARABIC ">
                              <w:r>
                                <w:rPr>
                                  <w:noProof/>
                                </w:rPr>
                                <w:t>2</w:t>
                              </w:r>
                            </w:fldSimple>
                            <w:r>
                              <w:t xml:space="preserve"> - Predynastic Ceramic Decorated Vessel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EFE832E" id="_x0000_t202" coordsize="21600,21600" o:spt="202" path="m,l,21600r21600,l21600,xe">
                <v:stroke joinstyle="miter"/>
                <v:path gradientshapeok="t" o:connecttype="rect"/>
              </v:shapetype>
              <v:shape id="Text Box 1" o:spid="_x0000_s1026" type="#_x0000_t202" style="position:absolute;margin-left:0;margin-top:195.15pt;width:171pt;height: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" stroked="f">
                <v:textbox inset="0,0,0,0">
                  <w:txbxContent>
                    <w:p w14:paraId="5D46E6F7" w14:textId="15250EE0" w:rsidR="00C40560" w:rsidRPr="007241EF" w:rsidRDefault="00C40560" w:rsidP="00C40560">
                      <w:pPr>
                        <w:pStyle w:val="Caption"/>
                        <w:rPr>
                          <w:noProof/>
                          <w:sz w:val="22"/>
                          <w:szCs w:val="22"/>
                        </w:rPr>
                      </w:pPr>
                      <w:r>
                        <w:t xml:space="preserve">Figure </w:t>
                      </w:r>
                      <w:fldSimple w:instr=" SEQ Figure \* ARABIC ">
                        <w:r>
                          <w:rPr>
                            <w:noProof/>
                          </w:rPr>
                          <w:t>2</w:t>
                        </w:r>
                      </w:fldSimple>
                      <w:r>
                        <w:t xml:space="preserve"> - Predynastic Ceramic Decorated Vessel</w:t>
                      </w:r>
                    </w:p>
                  </w:txbxContent>
                </v:textbox>
                <w10:wrap type="topAndBottom"/>
              </v:shape>
            </w:pict>
          </mc:Fallback>
        </mc:AlternateContent>
      </w:r>
      <w:r>
        <w:rPr>
          <w:noProof/>
        </w:rPr>
        <mc:AlternateContent>
          <mc:Choice Requires="wps">
            <w:drawing>
              <wp:anchor distT="0" distB="0" distL="114300" distR="114300" simplePos="0" relativeHeight="251666432" behindDoc="0" locked="0" layoutInCell="1" allowOverlap="1" wp14:anchorId="122FE213" wp14:editId="53002766">
                <wp:simplePos x="0" y="0"/>
                <wp:positionH relativeFrom="column">
                  <wp:posOffset>3378200</wp:posOffset>
                </wp:positionH>
                <wp:positionV relativeFrom="paragraph">
                  <wp:posOffset>2414905</wp:posOffset>
                </wp:positionV>
                <wp:extent cx="2126615" cy="450850"/>
                <wp:effectExtent l="0" t="0" r="6985" b="6350"/>
                <wp:wrapTopAndBottom/>
                <wp:docPr id="1929995988" name="Text Box 1"/>
                <wp:cNvGraphicFramePr/>
                <a:graphic xmlns:a="http://schemas.openxmlformats.org/drawingml/2006/main">
                  <a:graphicData uri="http://schemas.microsoft.com/office/word/2010/wordprocessingShape">
                    <wps:wsp>
                      <wps:cNvSpPr txBox="1"/>
                      <wps:spPr>
                        <a:xfrm>
                          <a:off x="0" y="0"/>
                          <a:ext cx="2126615" cy="450850"/>
                        </a:xfrm>
                        <a:prstGeom prst="rect">
                          <a:avLst/>
                        </a:prstGeom>
                        <a:solidFill>
                          <a:prstClr val="white"/>
                        </a:solidFill>
                        <a:ln>
                          <a:noFill/>
                        </a:ln>
                      </wps:spPr>
                      <wps:txbx>
                        <w:txbxContent>
                          <w:p w14:paraId="4D43BBFD" w14:textId="7B282F37" w:rsidR="00C40560" w:rsidRPr="00026370" w:rsidRDefault="00C40560" w:rsidP="00C40560">
                            <w:pPr>
                              <w:pStyle w:val="Caption"/>
                              <w:rPr>
                                <w:b/>
                                <w:bCs/>
                                <w:noProof/>
                                <w:sz w:val="28"/>
                                <w:szCs w:val="28"/>
                                <w:u w:val="single"/>
                              </w:rPr>
                            </w:pPr>
                            <w:r>
                              <w:t xml:space="preserve">Figure </w:t>
                            </w:r>
                            <w:fldSimple w:instr=" SEQ Figure \* ARABIC ">
                              <w:r>
                                <w:rPr>
                                  <w:noProof/>
                                </w:rPr>
                                <w:t>1</w:t>
                              </w:r>
                            </w:fldSimple>
                            <w:r>
                              <w:t xml:space="preserve"> - The Met - </w:t>
                            </w:r>
                            <w:r w:rsidRPr="001D76A1">
                              <w:t>Decorated Ware Jar Depicting Ungulates and Boats with Human Figures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2FE213" id="_x0000_s1027" type="#_x0000_t202" style="position:absolute;margin-left:266pt;margin-top:190.15pt;width:167.45pt;height:3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" stroked="f">
                <v:textbox inset="0,0,0,0">
                  <w:txbxContent>
                    <w:p w14:paraId="4D43BBFD" w14:textId="7B282F37" w:rsidR="00C40560" w:rsidRPr="00026370" w:rsidRDefault="00C40560" w:rsidP="00C40560">
                      <w:pPr>
                        <w:pStyle w:val="Caption"/>
                        <w:rPr>
                          <w:b/>
                          <w:bCs/>
                          <w:noProof/>
                          <w:sz w:val="28"/>
                          <w:szCs w:val="28"/>
                          <w:u w:val="single"/>
                        </w:rPr>
                      </w:pPr>
                      <w:r>
                        <w:t xml:space="preserve">Figure </w:t>
                      </w:r>
                      <w:fldSimple w:instr=" SEQ Figure \* ARABIC ">
                        <w:r>
                          <w:rPr>
                            <w:noProof/>
                          </w:rPr>
                          <w:t>1</w:t>
                        </w:r>
                      </w:fldSimple>
                      <w:r>
                        <w:t xml:space="preserve"> - The Met - </w:t>
                      </w:r>
                      <w:r w:rsidRPr="001D76A1">
                        <w:t>Decorated Ware Jar Depicting Ungulates and Boats with Human Figures</w:t>
                      </w:r>
                    </w:p>
                  </w:txbxContent>
                </v:textbox>
                <w10:wrap type="topAndBottom"/>
              </v:shape>
            </w:pict>
          </mc:Fallback>
        </mc:AlternateContent>
      </w:r>
      <w:r w:rsidRPr="004D49EC">
        <w:rPr>
          <w:b/>
          <w:bCs/>
          <w:noProof/>
          <w:sz w:val="28"/>
          <w:szCs w:val="28"/>
          <w:u w:val="single"/>
        </w:rPr>
        <w:drawing>
          <wp:anchor distT="0" distB="0" distL="114300" distR="114300" simplePos="0" relativeHeight="251664384" behindDoc="0" locked="0" layoutInCell="1" allowOverlap="1" wp14:anchorId="10C48FF2" wp14:editId="02C7B18E">
            <wp:simplePos x="0" y="0"/>
            <wp:positionH relativeFrom="column">
              <wp:posOffset>0</wp:posOffset>
            </wp:positionH>
            <wp:positionV relativeFrom="paragraph">
              <wp:posOffset>287655</wp:posOffset>
            </wp:positionV>
            <wp:extent cx="2171700" cy="2132965"/>
            <wp:effectExtent l="0" t="0" r="0" b="635"/>
            <wp:wrapTopAndBottom/>
            <wp:docPr id="173537955" name="Picture 1" descr="A large pot with a patter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24350" name="Picture 1" descr="A large pot with a pattern on it&#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371" b="32303"/>
                    <a:stretch>
                      <a:fillRect/>
                    </a:stretch>
                  </pic:blipFill>
                  <pic:spPr bwMode="auto">
                    <a:xfrm>
                      <a:off x="0" y="0"/>
                      <a:ext cx="2171700" cy="21329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007235B" wp14:editId="48767086">
            <wp:simplePos x="0" y="0"/>
            <wp:positionH relativeFrom="column">
              <wp:posOffset>3378200</wp:posOffset>
            </wp:positionH>
            <wp:positionV relativeFrom="paragraph">
              <wp:posOffset>294005</wp:posOffset>
            </wp:positionV>
            <wp:extent cx="2126615" cy="2063750"/>
            <wp:effectExtent l="0" t="0" r="6985" b="0"/>
            <wp:wrapTopAndBottom/>
            <wp:docPr id="258719830" name="Picture 1" descr="Decorated Ware Jar Depicting Ungulates and Boats with Human Figures, Pottery,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corated Ware Jar Depicting Ungulates and Boats with Human Figures, Pottery, pain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2975" b="14317"/>
                    <a:stretch>
                      <a:fillRect/>
                    </a:stretch>
                  </pic:blipFill>
                  <pic:spPr bwMode="auto">
                    <a:xfrm>
                      <a:off x="0" y="0"/>
                      <a:ext cx="2126615" cy="2063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F14503" w14:textId="0FF9FF6D" w:rsidR="00682320" w:rsidRDefault="00682320" w:rsidP="00682320">
      <w:r>
        <w:t xml:space="preserve">Other ceramic vessels from the </w:t>
      </w:r>
      <w:proofErr w:type="spellStart"/>
      <w:r>
        <w:t>Naqada</w:t>
      </w:r>
      <w:proofErr w:type="spellEnd"/>
      <w:r>
        <w:t xml:space="preserve"> II period have been frequently found as grave goods, some of which have similar but more elaborate decoration</w:t>
      </w:r>
      <w:r w:rsidR="00C0202F">
        <w:t>. T</w:t>
      </w:r>
      <w:r w:rsidR="003E292B" w:rsidRPr="003E292B">
        <w:t>he vessel on the right is a</w:t>
      </w:r>
      <w:r w:rsidR="00C0202F">
        <w:t>n</w:t>
      </w:r>
      <w:r w:rsidR="003E292B" w:rsidRPr="003E292B">
        <w:t xml:space="preserve"> example of </w:t>
      </w:r>
      <w:proofErr w:type="spellStart"/>
      <w:r w:rsidR="003E292B" w:rsidRPr="003E292B">
        <w:t>Naqada</w:t>
      </w:r>
      <w:proofErr w:type="spellEnd"/>
      <w:r w:rsidR="003E292B" w:rsidRPr="003E292B">
        <w:t xml:space="preserve"> II </w:t>
      </w:r>
      <w:r w:rsidR="00C0202F">
        <w:t xml:space="preserve">decorated ware, </w:t>
      </w:r>
      <w:r w:rsidR="003E292B" w:rsidRPr="003E292B">
        <w:t>distinguished by its intricate red-on-buff decoration</w:t>
      </w:r>
      <w:r w:rsidR="00F97B32">
        <w:fldChar w:fldCharType="begin"/>
      </w:r>
      <w:r w:rsidR="00F97B32">
        <w:instrText xml:space="preserve"> ADDIN ZOTERO_ITEM CSL_CITATION {"citationID":"jAPnyXgw","properties":{"formattedCitation":"(The Met, 3500)","plainCitation":"(The Met, 3500)","noteIndex":0},"citationItems":[{"id":222,"uris":["http://zotero.org/users/local/yKBDKBHn/items/MI7KXYCQ"],"itemData":{"id":222,"type":"graphic","abstract":"The images on this vessel represent important social or religious events, the precise significance of which is not perfectly understood. Two male and two female figures stand aboard a boat, which is depicted with oars and two cabins. In the areas surrounding the boat are mountains, birds that may represent flamingos, plants, and water.","call-number":"20.2.10","dimensions":"h. 30 x w. 31 cm (11 13/16 x 12 3/16 in.) diam (of rim): 17 cm (6 11/16 in.) diam (of opening): 14 cm (5 1/2 in.)","medium":"Pottery, paint","source":"The Metropolitan Museum of Art","title":"Decorated Ware Jar Depicting Ungulates and Boats with Human Figures","URL":"https://www.metmuseum.org/art/collection/search/545755","author":[{"family":"The Met","given":""}],"accessed":{"date-parts":[["2025",11,11]]},"issued":{"date-parts":[["3500"]],"season":"ca.  –3300 B.C"}}}],"schema":"https://github.com/citation-style-language/schema/raw/master/csl-citation.json"} </w:instrText>
      </w:r>
      <w:r w:rsidR="00F97B32">
        <w:fldChar w:fldCharType="separate"/>
      </w:r>
      <w:r w:rsidR="00F97B32" w:rsidRPr="00F97B32">
        <w:rPr>
          <w:rFonts w:ascii="Calibri" w:hAnsi="Calibri" w:cs="Calibri"/>
        </w:rPr>
        <w:t>(The Met, 3500)</w:t>
      </w:r>
      <w:r w:rsidR="00F97B32">
        <w:fldChar w:fldCharType="end"/>
      </w:r>
      <w:r w:rsidR="003E292B" w:rsidRPr="003E292B">
        <w:t xml:space="preserve">. </w:t>
      </w:r>
      <w:r w:rsidR="00C0202F">
        <w:t xml:space="preserve">The vessel shows a scene </w:t>
      </w:r>
      <w:r w:rsidR="003E292B" w:rsidRPr="003E292B">
        <w:t>of boats, palm trees, animals, and human figures; this gives reason to believe that it had ceremonial or ritual importance. The motif of boats, recurring in Predynastic art, is symbolic of the journey through the afterlife or in some way linked with solar worship</w:t>
      </w:r>
      <w:r w:rsidR="00D23287">
        <w:fldChar w:fldCharType="begin"/>
      </w:r>
      <w:r w:rsidR="00D23287">
        <w:instrText xml:space="preserve"> ADDIN ZOTERO_ITEM CSL_CITATION {"citationID":"sWkHgeyr","properties":{"formattedCitation":"(Bebbington, 2018)","plainCitation":"(Bebbington, 2018)","noteIndex":0},"citationItems":[{"id":175,"uris":["http://zotero.org/users/local/yKBDKBHn/items/HTPFZC9W"],"itemData":{"id":175,"type":"post-weblog","abstract":"D-Ware (or Decorated Ware) is a classification of Predynastic pottery originating from Flinders Petrie’s seriation of Predynastic material from Diospolis Parva. The characteristics of D-Ware are th…","container-title":"Garstang Museum of Archaeology","language":"en-GB","title":"Decorated Ware – A Landscape in Ceramic","URL":"https://garstangmuseum.wordpress.com/2018/08/15/decorated-ware-a-landscape-in-ceramic/","author":[{"family":"Bebbington","given":"Chris"}],"accessed":{"date-parts":[["2025",10,7]]},"issued":{"date-parts":[["2018",8,15]]}}}],"schema":"https://github.com/citation-style-language/schema/raw/master/csl-citation.json"} </w:instrText>
      </w:r>
      <w:r w:rsidR="00D23287">
        <w:fldChar w:fldCharType="separate"/>
      </w:r>
      <w:r w:rsidR="00D23287" w:rsidRPr="00D23287">
        <w:rPr>
          <w:rFonts w:ascii="Calibri" w:hAnsi="Calibri" w:cs="Calibri"/>
        </w:rPr>
        <w:t>(Bebbington, 2018)</w:t>
      </w:r>
      <w:r w:rsidR="00D23287">
        <w:fldChar w:fldCharType="end"/>
      </w:r>
      <w:r w:rsidR="00E3057D">
        <w:t>.</w:t>
      </w:r>
      <w:r w:rsidR="00E3057D" w:rsidRPr="00E3057D">
        <w:t xml:space="preserve"> </w:t>
      </w:r>
      <w:r w:rsidR="00E3057D" w:rsidRPr="00E3057D">
        <w:t xml:space="preserve">Both vessels are of the </w:t>
      </w:r>
      <w:proofErr w:type="spellStart"/>
      <w:r w:rsidR="00E3057D" w:rsidRPr="00E3057D">
        <w:t>Naqada</w:t>
      </w:r>
      <w:proofErr w:type="spellEnd"/>
      <w:r w:rsidR="00E3057D" w:rsidRPr="00E3057D">
        <w:t xml:space="preserve"> II period of Predynastic Egypt and </w:t>
      </w:r>
      <w:r w:rsidR="00E3057D">
        <w:t>are made of the same</w:t>
      </w:r>
      <w:r w:rsidR="00E62CAC">
        <w:t xml:space="preserve"> material</w:t>
      </w:r>
      <w:r w:rsidR="00E3057D" w:rsidRPr="00E3057D">
        <w:t>, with the characteristic red</w:t>
      </w:r>
      <w:r w:rsidR="00E62CAC">
        <w:t xml:space="preserve"> slip</w:t>
      </w:r>
      <w:r w:rsidR="00E3057D" w:rsidRPr="00E3057D">
        <w:t xml:space="preserve"> painted decoration. However, their designs reveal different artistic approaches. The vessel on the right</w:t>
      </w:r>
      <w:r w:rsidR="00BB6488">
        <w:t>s design is much more complicated and detailed</w:t>
      </w:r>
      <w:r w:rsidR="00E3057D" w:rsidRPr="00E3057D">
        <w:t xml:space="preserve">. In contrast, the vessel on the left displays more simple geometric patterns-triangles and crosshatched bands-that are more abstract and decorative. While both reflect the same cultural tradition, the right-hand vessel represents a more developed stage in visual storytelling and religious expression within </w:t>
      </w:r>
      <w:proofErr w:type="spellStart"/>
      <w:r w:rsidR="00E3057D" w:rsidRPr="00E3057D">
        <w:t>Naqada</w:t>
      </w:r>
      <w:proofErr w:type="spellEnd"/>
      <w:r w:rsidR="00E3057D" w:rsidRPr="00E3057D">
        <w:t xml:space="preserve"> pottery.</w:t>
      </w:r>
    </w:p>
    <w:p w14:paraId="22F17AEE" w14:textId="77777777" w:rsidR="00682320" w:rsidRDefault="00682320" w:rsidP="00682320"/>
    <w:p w14:paraId="2505B316" w14:textId="77777777" w:rsidR="00682320" w:rsidRDefault="00682320" w:rsidP="00682320"/>
    <w:p w14:paraId="25CD3FB9" w14:textId="24784AA6" w:rsidR="00682320" w:rsidRDefault="00682320" w:rsidP="00682320">
      <w:r w:rsidRPr="007C2D4E">
        <w:lastRenderedPageBreak/>
        <w:t xml:space="preserve">The </w:t>
      </w:r>
      <w:r>
        <w:t>diagonal</w:t>
      </w:r>
      <w:r w:rsidRPr="007C2D4E">
        <w:t xml:space="preserve"> lines, </w:t>
      </w:r>
      <w:r>
        <w:t>show high similarity to the hieroglyph for water</w:t>
      </w:r>
      <w:r w:rsidRPr="007C2D4E">
        <w:t xml:space="preserve">, </w:t>
      </w:r>
      <w:r>
        <w:t xml:space="preserve">which might suggest a </w:t>
      </w:r>
      <w:r w:rsidRPr="007C2D4E">
        <w:t xml:space="preserve">symbolic connection to the Nile, upon which Egypt's life and fertility </w:t>
      </w:r>
      <w:r>
        <w:t>rests</w:t>
      </w:r>
      <w:r w:rsidRPr="007C2D4E">
        <w:t>. The triang</w:t>
      </w:r>
      <w:r>
        <w:t>le</w:t>
      </w:r>
      <w:r w:rsidRPr="007C2D4E">
        <w:t xml:space="preserve"> </w:t>
      </w:r>
      <w:r>
        <w:t>motifs</w:t>
      </w:r>
      <w:r w:rsidRPr="007C2D4E">
        <w:t xml:space="preserve"> </w:t>
      </w:r>
      <w:r>
        <w:t>may</w:t>
      </w:r>
      <w:r w:rsidRPr="007C2D4E">
        <w:t xml:space="preserve"> represent desert</w:t>
      </w:r>
      <w:r>
        <w:t xml:space="preserve"> hills</w:t>
      </w:r>
      <w:r w:rsidRPr="007C2D4E">
        <w:t xml:space="preserve"> or mountains and </w:t>
      </w:r>
      <w:r>
        <w:t>possibly</w:t>
      </w:r>
      <w:r w:rsidRPr="007C2D4E">
        <w:t xml:space="preserve"> indicat</w:t>
      </w:r>
      <w:r>
        <w:t>ing</w:t>
      </w:r>
      <w:r w:rsidRPr="007C2D4E">
        <w:t xml:space="preserve"> the lines of separation between realms of life and death. Palm frond</w:t>
      </w:r>
      <w:r>
        <w:t xml:space="preserve"> imagery</w:t>
      </w:r>
      <w:r w:rsidRPr="007C2D4E">
        <w:t xml:space="preserve"> </w:t>
      </w:r>
      <w:r>
        <w:t xml:space="preserve">is still used </w:t>
      </w:r>
      <w:r w:rsidRPr="007C2D4E">
        <w:t xml:space="preserve">today </w:t>
      </w:r>
      <w:r>
        <w:t>to represent</w:t>
      </w:r>
      <w:r w:rsidRPr="007C2D4E">
        <w:t xml:space="preserve"> growth and immortality,</w:t>
      </w:r>
      <w:r>
        <w:t xml:space="preserve"> and this </w:t>
      </w:r>
      <w:r w:rsidRPr="007C2D4E">
        <w:t>points t</w:t>
      </w:r>
      <w:r>
        <w:t>o possible continuities in thought</w:t>
      </w:r>
      <w:r w:rsidRPr="007C2D4E">
        <w:t xml:space="preserve">. These symbols together convey an early perception of order in nature and the understanding that harmony with one's surroundings was necessary. </w:t>
      </w:r>
    </w:p>
    <w:p w14:paraId="4E1253CE" w14:textId="3ABED296" w:rsidR="00682320" w:rsidRDefault="00682320" w:rsidP="00682320">
      <w:r>
        <w:t>T</w:t>
      </w:r>
      <w:r w:rsidRPr="007C2D4E">
        <w:t xml:space="preserve">he </w:t>
      </w:r>
      <w:r>
        <w:t>likely burial context</w:t>
      </w:r>
      <w:r w:rsidRPr="007C2D4E">
        <w:t xml:space="preserve"> of the vessel suggest that it was symbolic or ritual in purpose</w:t>
      </w:r>
      <w:r>
        <w:t xml:space="preserve"> and this enhances a symbolic interpretation of the motifs</w:t>
      </w:r>
      <w:r w:rsidR="00CF59B8">
        <w:fldChar w:fldCharType="begin"/>
      </w:r>
      <w:r w:rsidR="00CF59B8">
        <w:instrText xml:space="preserve"> ADDIN ZOTERO_ITEM CSL_CITATION {"citationID":"MQxov0TK","properties":{"formattedCitation":"(University College London, no date)","plainCitation":"(University College London, no date)","noteIndex":0},"citationItems":[{"id":212,"uris":["http://zotero.org/users/local/yKBDKBHn/items/6CCZK35M"],"itemData":{"id":212,"type":"webpage","title":"Predynastic Burial customs","URL":"https://www.ucl.ac.uk/museums-static/digitalegypt/burialcustoms/predynastic.html","author":[{"family":"University College London","given":""}],"accessed":{"date-parts":[["2025",10,23]]}}}],"schema":"https://github.com/citation-style-language/schema/raw/master/csl-citation.json"} </w:instrText>
      </w:r>
      <w:r w:rsidR="00CF59B8">
        <w:fldChar w:fldCharType="separate"/>
      </w:r>
      <w:r w:rsidR="00CF59B8" w:rsidRPr="00CF59B8">
        <w:rPr>
          <w:rFonts w:ascii="Calibri" w:hAnsi="Calibri" w:cs="Calibri"/>
        </w:rPr>
        <w:t>(University College London, no date)</w:t>
      </w:r>
      <w:r w:rsidR="00CF59B8">
        <w:fldChar w:fldCharType="end"/>
      </w:r>
      <w:r w:rsidRPr="007C2D4E">
        <w:t xml:space="preserve">. </w:t>
      </w:r>
      <w:r>
        <w:t xml:space="preserve">The lugs suggest a possible lid or cover was attached to hold the contents. </w:t>
      </w:r>
      <w:r w:rsidRPr="007C2D4E">
        <w:t xml:space="preserve">As a container for </w:t>
      </w:r>
      <w:r>
        <w:t>liquids or grains</w:t>
      </w:r>
      <w:r w:rsidRPr="007C2D4E">
        <w:t>, its purpose suggests that subsistence was not strictly material but spiritual subsistence. The positioning of vessel</w:t>
      </w:r>
      <w:r>
        <w:t xml:space="preserve"> such as this</w:t>
      </w:r>
      <w:r w:rsidRPr="007C2D4E">
        <w:t xml:space="preserve"> within tombs was proof of Predynastic Egyptian belief in existence after death and that supplies had to be provided to the afterlife soul</w:t>
      </w:r>
      <w:r w:rsidR="008A5670">
        <w:fldChar w:fldCharType="begin"/>
      </w:r>
      <w:r w:rsidR="008A5670">
        <w:instrText xml:space="preserve"> ADDIN ZOTERO_ITEM CSL_CITATION {"citationID":"YhrbGE0f","properties":{"formattedCitation":"(Garstang, 2018)","plainCitation":"(Garstang, 2018)","noteIndex":0},"citationItems":[{"id":210,"uris":["http://zotero.org/users/local/yKBDKBHn/items/6SM5PRJ3"],"itemData":{"id":210,"type":"post-weblog","abstract":"Typically, the modern audience associates burial and funerary ritual in ancient Egypt with the iconic imagery of the Pharaonic period – meticulously mummified bodies locked away deep in tombs fille…","container-title":"Garstang Museum of Archaeology","language":"en","title":"Burials and Grave Goods in the Predynastic – You Can Take It With You!","URL":"https://garstangmuseum.wordpress.com/2018/03/28/burials-and-grave-goods-in-the-predynastic-you-can-take-it-with-you/","author":[{"literal":"Garstang"}],"accessed":{"date-parts":[["2025",10,23]]},"issued":{"date-parts":[["2018",3,28]]}}}],"schema":"https://github.com/citation-style-language/schema/raw/master/csl-citation.json"} </w:instrText>
      </w:r>
      <w:r w:rsidR="008A5670">
        <w:fldChar w:fldCharType="separate"/>
      </w:r>
      <w:r w:rsidR="008A5670" w:rsidRPr="008A5670">
        <w:rPr>
          <w:rFonts w:ascii="Calibri" w:hAnsi="Calibri" w:cs="Calibri"/>
        </w:rPr>
        <w:t>(Garstang, 2018)</w:t>
      </w:r>
      <w:r w:rsidR="008A5670">
        <w:fldChar w:fldCharType="end"/>
      </w:r>
      <w:r w:rsidRPr="007C2D4E">
        <w:t>. The vessel is therefore a functional vessel and one of the earliest depictions of Egypt's new religion and culture.</w:t>
      </w:r>
    </w:p>
    <w:p w14:paraId="77BB48D4" w14:textId="46D56DFF" w:rsidR="00682320" w:rsidRDefault="00682320" w:rsidP="00682320">
      <w:r w:rsidRPr="00356E32">
        <w:t xml:space="preserve">The vessel is from the </w:t>
      </w:r>
      <w:proofErr w:type="spellStart"/>
      <w:r w:rsidRPr="00356E32">
        <w:t>Naqada</w:t>
      </w:r>
      <w:proofErr w:type="spellEnd"/>
      <w:r w:rsidRPr="00356E32">
        <w:t xml:space="preserve"> II period of Predynastic Egypt, a period of </w:t>
      </w:r>
      <w:r>
        <w:t>development of</w:t>
      </w:r>
      <w:r w:rsidRPr="00356E32">
        <w:t xml:space="preserve"> technical skill and aesthetic refinement in ceramic production</w:t>
      </w:r>
      <w:r w:rsidR="00456D34">
        <w:fldChar w:fldCharType="begin"/>
      </w:r>
      <w:r w:rsidR="00456D34">
        <w:instrText xml:space="preserve"> ADDIN ZOTERO_ITEM CSL_CITATION {"citationID":"ZScrOUf1","properties":{"formattedCitation":"(University College London, no date)","plainCitation":"(University College London, no date)","noteIndex":0},"citationItems":[{"id":225,"uris":["http://zotero.org/users/local/yKBDKBHn/items/ABXCAJI4"],"itemData":{"id":225,"type":"webpage","title":"Naqada chronology","URL":"https://www.ucl.ac.uk/museums-static/digitalegypt//naqadan/chronology.html#naqadaI","author":[{"family":"University College London","given":""}],"accessed":{"date-parts":[["2025",11,11]]}}}],"schema":"https://github.com/citation-style-language/schema/raw/master/csl-citation.json"} </w:instrText>
      </w:r>
      <w:r w:rsidR="00456D34">
        <w:fldChar w:fldCharType="separate"/>
      </w:r>
      <w:r w:rsidR="00456D34" w:rsidRPr="00456D34">
        <w:rPr>
          <w:rFonts w:ascii="Calibri" w:hAnsi="Calibri" w:cs="Calibri"/>
        </w:rPr>
        <w:t>(University College London, no date)</w:t>
      </w:r>
      <w:r w:rsidR="00456D34">
        <w:fldChar w:fldCharType="end"/>
      </w:r>
      <w:r w:rsidRPr="00356E32">
        <w:t>. Th</w:t>
      </w:r>
      <w:r>
        <w:t>e vessel</w:t>
      </w:r>
      <w:r w:rsidRPr="00356E32">
        <w:t xml:space="preserve"> was individually crafted through coiling method prior to the invention of the potter's wheel, and its red-slipped surface and dark painted motifs are the main factors of consideration which mark this period. The geometric themes—</w:t>
      </w:r>
      <w:r>
        <w:t>diagonal line</w:t>
      </w:r>
      <w:r w:rsidRPr="00356E32">
        <w:t xml:space="preserve"> motifs, triangles, and palm </w:t>
      </w:r>
      <w:r>
        <w:t>fronds</w:t>
      </w:r>
      <w:r w:rsidRPr="00356E32">
        <w:t>—characteri</w:t>
      </w:r>
      <w:r>
        <w:t>s</w:t>
      </w:r>
      <w:r w:rsidRPr="00356E32">
        <w:t xml:space="preserve">e D-ware pottery, a decorated ware used in the identification of </w:t>
      </w:r>
      <w:proofErr w:type="spellStart"/>
      <w:r w:rsidRPr="00356E32">
        <w:t>Naqada</w:t>
      </w:r>
      <w:proofErr w:type="spellEnd"/>
      <w:r w:rsidRPr="00356E32">
        <w:t xml:space="preserve"> II contexts. </w:t>
      </w:r>
      <w:r>
        <w:t>The range of Predynastic ceramics</w:t>
      </w:r>
      <w:r w:rsidRPr="00356E32">
        <w:t xml:space="preserve"> allow archaeologists to ascertain regional variation and chronologically sequenced developments within Predynastic culture. Comparable vessels, such as those from </w:t>
      </w:r>
      <w:proofErr w:type="spellStart"/>
      <w:r w:rsidRPr="00356E32">
        <w:t>Gerzeh</w:t>
      </w:r>
      <w:proofErr w:type="spellEnd"/>
      <w:r w:rsidRPr="00356E32">
        <w:t xml:space="preserve"> and Hierakonpolis, also have associated painted bands and symbolical motifs, attesting to common visual communication of the time. These features firmly situate the vessel in the middle Predynastic period when ceramics transformed from a utilitarian tool to convey social identity, ritual significance, and nascent artistic norms in ancient Egypt</w:t>
      </w:r>
      <w:r w:rsidR="002374AF">
        <w:fldChar w:fldCharType="begin"/>
      </w:r>
      <w:r w:rsidR="002374AF">
        <w:instrText xml:space="preserve"> ADDIN ZOTERO_ITEM CSL_CITATION {"citationID":"29e4Bukn","properties":{"formattedCitation":"(University College London, no date)","plainCitation":"(University College London, no date)","noteIndex":0},"citationItems":[{"id":225,"uris":["http://zotero.org/users/local/yKBDKBHn/items/ABXCAJI4"],"itemData":{"id":225,"type":"webpage","title":"Naqada chronology","URL":"https://www.ucl.ac.uk/museums-static/digitalegypt//naqadan/chronology.html#naqadaI","author":[{"family":"University College London","given":""}],"accessed":{"date-parts":[["2025",11,11]]}}}],"schema":"https://github.com/citation-style-language/schema/raw/master/csl-citation.json"} </w:instrText>
      </w:r>
      <w:r w:rsidR="002374AF">
        <w:fldChar w:fldCharType="separate"/>
      </w:r>
      <w:r w:rsidR="002374AF" w:rsidRPr="002374AF">
        <w:rPr>
          <w:rFonts w:ascii="Calibri" w:hAnsi="Calibri" w:cs="Calibri"/>
        </w:rPr>
        <w:t>(University College London, no date)</w:t>
      </w:r>
      <w:r w:rsidR="002374AF">
        <w:fldChar w:fldCharType="end"/>
      </w:r>
      <w:r w:rsidRPr="00356E32">
        <w:t>.</w:t>
      </w:r>
    </w:p>
    <w:p w14:paraId="4BECB4CB" w14:textId="77777777" w:rsidR="000A2EF0" w:rsidRDefault="000A2EF0" w:rsidP="00682320"/>
    <w:p w14:paraId="0EA03F22" w14:textId="77777777" w:rsidR="000A2EF0" w:rsidRDefault="000A2EF0" w:rsidP="00682320"/>
    <w:p w14:paraId="637DE5A1" w14:textId="77777777" w:rsidR="000A2EF0" w:rsidRDefault="000A2EF0" w:rsidP="00682320"/>
    <w:p w14:paraId="62B2E2F9" w14:textId="77777777" w:rsidR="000A2EF0" w:rsidRDefault="000A2EF0" w:rsidP="00682320"/>
    <w:p w14:paraId="211C2CC2" w14:textId="77777777" w:rsidR="000A2EF0" w:rsidRDefault="000A2EF0" w:rsidP="00682320"/>
    <w:p w14:paraId="50528FFB" w14:textId="3B455308" w:rsidR="000A2EF0" w:rsidRDefault="000A2EF0" w:rsidP="000A2EF0">
      <w:pPr>
        <w:pStyle w:val="Heading2"/>
        <w:jc w:val="center"/>
        <w:rPr>
          <w:color w:val="000000" w:themeColor="text1"/>
        </w:rPr>
      </w:pPr>
      <w:r w:rsidRPr="000A2EF0">
        <w:rPr>
          <w:color w:val="000000" w:themeColor="text1"/>
        </w:rPr>
        <w:t>Bibliography</w:t>
      </w:r>
    </w:p>
    <w:p w14:paraId="19D93173" w14:textId="77777777" w:rsidR="00540774" w:rsidRPr="00540774" w:rsidRDefault="00540774" w:rsidP="00540774"/>
    <w:p w14:paraId="7F8F5F15" w14:textId="77777777" w:rsidR="002374AF" w:rsidRPr="002374AF" w:rsidRDefault="00F31CD8" w:rsidP="002374AF">
      <w:pPr>
        <w:pStyle w:val="Bibliography"/>
        <w:rPr>
          <w:rFonts w:ascii="Calibri" w:hAnsi="Calibri" w:cs="Calibri"/>
        </w:rPr>
      </w:pPr>
      <w:r>
        <w:fldChar w:fldCharType="begin"/>
      </w:r>
      <w:r>
        <w:instrText xml:space="preserve"> ADDIN ZOTERO_BIBL {"uncited":[],"omitted":[],"custom":[]} CSL_BIBLIOGRAPHY </w:instrText>
      </w:r>
      <w:r>
        <w:fldChar w:fldCharType="separate"/>
      </w:r>
      <w:r w:rsidR="002374AF" w:rsidRPr="002374AF">
        <w:rPr>
          <w:rFonts w:ascii="Calibri" w:hAnsi="Calibri" w:cs="Calibri"/>
        </w:rPr>
        <w:t xml:space="preserve">Bebbington, C. (2018) ‘Decorated Ware – A Landscape in Ceramic’, </w:t>
      </w:r>
      <w:r w:rsidR="002374AF" w:rsidRPr="002374AF">
        <w:rPr>
          <w:rFonts w:ascii="Calibri" w:hAnsi="Calibri" w:cs="Calibri"/>
          <w:i/>
          <w:iCs/>
        </w:rPr>
        <w:t>Garstang Museum of Archaeology</w:t>
      </w:r>
      <w:r w:rsidR="002374AF" w:rsidRPr="002374AF">
        <w:rPr>
          <w:rFonts w:ascii="Calibri" w:hAnsi="Calibri" w:cs="Calibri"/>
        </w:rPr>
        <w:t>, 15 August. Available at: https://garstangmuseum.wordpress.com/2018/08/15/decorated-ware-a-landscape-in-ceramic/ (Accessed: 7 October 2025).</w:t>
      </w:r>
    </w:p>
    <w:p w14:paraId="3A3FB665" w14:textId="77777777" w:rsidR="002374AF" w:rsidRPr="002374AF" w:rsidRDefault="002374AF" w:rsidP="002374AF">
      <w:pPr>
        <w:pStyle w:val="Bibliography"/>
        <w:rPr>
          <w:rFonts w:ascii="Calibri" w:hAnsi="Calibri" w:cs="Calibri"/>
        </w:rPr>
      </w:pPr>
      <w:r w:rsidRPr="002374AF">
        <w:rPr>
          <w:rFonts w:ascii="Calibri" w:hAnsi="Calibri" w:cs="Calibri"/>
        </w:rPr>
        <w:t xml:space="preserve">Garstang (2018) ‘Burials and Grave Goods in the Predynastic – You Can Take It </w:t>
      </w:r>
      <w:proofErr w:type="gramStart"/>
      <w:r w:rsidRPr="002374AF">
        <w:rPr>
          <w:rFonts w:ascii="Calibri" w:hAnsi="Calibri" w:cs="Calibri"/>
        </w:rPr>
        <w:t>With</w:t>
      </w:r>
      <w:proofErr w:type="gramEnd"/>
      <w:r w:rsidRPr="002374AF">
        <w:rPr>
          <w:rFonts w:ascii="Calibri" w:hAnsi="Calibri" w:cs="Calibri"/>
        </w:rPr>
        <w:t xml:space="preserve"> You!’, </w:t>
      </w:r>
      <w:r w:rsidRPr="002374AF">
        <w:rPr>
          <w:rFonts w:ascii="Calibri" w:hAnsi="Calibri" w:cs="Calibri"/>
          <w:i/>
          <w:iCs/>
        </w:rPr>
        <w:t>Garstang Museum of Archaeology</w:t>
      </w:r>
      <w:r w:rsidRPr="002374AF">
        <w:rPr>
          <w:rFonts w:ascii="Calibri" w:hAnsi="Calibri" w:cs="Calibri"/>
        </w:rPr>
        <w:t>, 28 March. Available at: https://garstangmuseum.wordpress.com/2018/03/28/burials-and-grave-goods-in-the-predynastic-you-can-take-it-with-you/ (Accessed: 23 October 2025).</w:t>
      </w:r>
    </w:p>
    <w:p w14:paraId="39450DA5" w14:textId="77777777" w:rsidR="002374AF" w:rsidRPr="002374AF" w:rsidRDefault="002374AF" w:rsidP="002374AF">
      <w:pPr>
        <w:pStyle w:val="Bibliography"/>
        <w:rPr>
          <w:rFonts w:ascii="Calibri" w:hAnsi="Calibri" w:cs="Calibri"/>
        </w:rPr>
      </w:pPr>
      <w:r w:rsidRPr="002374AF">
        <w:rPr>
          <w:rFonts w:ascii="Calibri" w:hAnsi="Calibri" w:cs="Calibri"/>
        </w:rPr>
        <w:t xml:space="preserve">Murray, M.A. (1956) ‘Burial Customs and Beliefs in the Hereafter in Predynastic Egypt’, </w:t>
      </w:r>
      <w:r w:rsidRPr="002374AF">
        <w:rPr>
          <w:rFonts w:ascii="Calibri" w:hAnsi="Calibri" w:cs="Calibri"/>
          <w:i/>
          <w:iCs/>
        </w:rPr>
        <w:t>The Journal of Egyptian Archaeology</w:t>
      </w:r>
      <w:r w:rsidRPr="002374AF">
        <w:rPr>
          <w:rFonts w:ascii="Calibri" w:hAnsi="Calibri" w:cs="Calibri"/>
        </w:rPr>
        <w:t>, 42, pp. 86–96. Available at: https://doi.org/10.2307/3855127.</w:t>
      </w:r>
    </w:p>
    <w:p w14:paraId="29293B53" w14:textId="77777777" w:rsidR="002374AF" w:rsidRPr="002374AF" w:rsidRDefault="002374AF" w:rsidP="002374AF">
      <w:pPr>
        <w:pStyle w:val="Bibliography"/>
        <w:rPr>
          <w:rFonts w:ascii="Calibri" w:hAnsi="Calibri" w:cs="Calibri"/>
        </w:rPr>
      </w:pPr>
      <w:r w:rsidRPr="002374AF">
        <w:rPr>
          <w:rFonts w:ascii="Calibri" w:hAnsi="Calibri" w:cs="Calibri"/>
        </w:rPr>
        <w:t xml:space="preserve">The Met (3500) </w:t>
      </w:r>
      <w:r w:rsidRPr="002374AF">
        <w:rPr>
          <w:rFonts w:ascii="Calibri" w:hAnsi="Calibri" w:cs="Calibri"/>
          <w:i/>
          <w:iCs/>
        </w:rPr>
        <w:t>Decorated Ware Jar Depicting Ungulates and Boats with Human Figures</w:t>
      </w:r>
      <w:r w:rsidRPr="002374AF">
        <w:rPr>
          <w:rFonts w:ascii="Calibri" w:hAnsi="Calibri" w:cs="Calibri"/>
        </w:rPr>
        <w:t xml:space="preserve"> [Pottery, paint]. Available at: https://www.metmuseum.org/art/collection/search/545755 (Accessed: 11 November 2025).</w:t>
      </w:r>
    </w:p>
    <w:p w14:paraId="2DD5A476" w14:textId="77777777" w:rsidR="002374AF" w:rsidRPr="002374AF" w:rsidRDefault="002374AF" w:rsidP="002374AF">
      <w:pPr>
        <w:pStyle w:val="Bibliography"/>
        <w:rPr>
          <w:rFonts w:ascii="Calibri" w:hAnsi="Calibri" w:cs="Calibri"/>
        </w:rPr>
      </w:pPr>
      <w:r w:rsidRPr="002374AF">
        <w:rPr>
          <w:rFonts w:ascii="Calibri" w:hAnsi="Calibri" w:cs="Calibri"/>
        </w:rPr>
        <w:t xml:space="preserve">University College London (no date) </w:t>
      </w:r>
      <w:proofErr w:type="spellStart"/>
      <w:r w:rsidRPr="002374AF">
        <w:rPr>
          <w:rFonts w:ascii="Calibri" w:hAnsi="Calibri" w:cs="Calibri"/>
          <w:i/>
          <w:iCs/>
        </w:rPr>
        <w:t>Naqada</w:t>
      </w:r>
      <w:proofErr w:type="spellEnd"/>
      <w:r w:rsidRPr="002374AF">
        <w:rPr>
          <w:rFonts w:ascii="Calibri" w:hAnsi="Calibri" w:cs="Calibri"/>
          <w:i/>
          <w:iCs/>
        </w:rPr>
        <w:t xml:space="preserve"> chronology</w:t>
      </w:r>
      <w:r w:rsidRPr="002374AF">
        <w:rPr>
          <w:rFonts w:ascii="Calibri" w:hAnsi="Calibri" w:cs="Calibri"/>
        </w:rPr>
        <w:t>. Available at: https://www.ucl.ac.uk/museums-static/digitalegypt//naqadan/chronology.html#naqadaI (Accessed: 11 November 2025).</w:t>
      </w:r>
    </w:p>
    <w:p w14:paraId="78131D61" w14:textId="77777777" w:rsidR="002374AF" w:rsidRPr="002374AF" w:rsidRDefault="002374AF" w:rsidP="002374AF">
      <w:pPr>
        <w:pStyle w:val="Bibliography"/>
        <w:rPr>
          <w:rFonts w:ascii="Calibri" w:hAnsi="Calibri" w:cs="Calibri"/>
        </w:rPr>
      </w:pPr>
      <w:r w:rsidRPr="002374AF">
        <w:rPr>
          <w:rFonts w:ascii="Calibri" w:hAnsi="Calibri" w:cs="Calibri"/>
        </w:rPr>
        <w:t xml:space="preserve">University College London (no date) </w:t>
      </w:r>
      <w:r w:rsidRPr="002374AF">
        <w:rPr>
          <w:rFonts w:ascii="Calibri" w:hAnsi="Calibri" w:cs="Calibri"/>
          <w:i/>
          <w:iCs/>
        </w:rPr>
        <w:t>Predynastic Burial customs</w:t>
      </w:r>
      <w:r w:rsidRPr="002374AF">
        <w:rPr>
          <w:rFonts w:ascii="Calibri" w:hAnsi="Calibri" w:cs="Calibri"/>
        </w:rPr>
        <w:t>. Available at: https://www.ucl.ac.uk/museums-static/digitalegypt/burialcustoms/predynastic.html (Accessed: 23 October 2025).</w:t>
      </w:r>
    </w:p>
    <w:p w14:paraId="3CBE9DDF" w14:textId="5FDAE4D4" w:rsidR="00682320" w:rsidRDefault="00F31CD8" w:rsidP="00682320">
      <w:r>
        <w:fldChar w:fldCharType="end"/>
      </w:r>
    </w:p>
    <w:p w14:paraId="6725CE7D" w14:textId="77777777" w:rsidR="00682320" w:rsidRDefault="00682320" w:rsidP="00682320"/>
    <w:p w14:paraId="057B603F" w14:textId="77777777" w:rsidR="00682320" w:rsidRDefault="00682320" w:rsidP="00682320"/>
    <w:p w14:paraId="337C299D" w14:textId="77777777" w:rsidR="00682320" w:rsidRDefault="00682320" w:rsidP="00682320"/>
    <w:p w14:paraId="25EECEAD" w14:textId="77777777" w:rsidR="00431EA4" w:rsidRDefault="00431EA4"/>
    <w:sectPr w:rsidR="0043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320"/>
    <w:rsid w:val="000A2EF0"/>
    <w:rsid w:val="0015789D"/>
    <w:rsid w:val="001E0E5A"/>
    <w:rsid w:val="001F4656"/>
    <w:rsid w:val="002374AF"/>
    <w:rsid w:val="002C6699"/>
    <w:rsid w:val="0038206D"/>
    <w:rsid w:val="003E292B"/>
    <w:rsid w:val="003E711D"/>
    <w:rsid w:val="00431EA4"/>
    <w:rsid w:val="00456D34"/>
    <w:rsid w:val="004D49EC"/>
    <w:rsid w:val="00517DC0"/>
    <w:rsid w:val="00540774"/>
    <w:rsid w:val="00603661"/>
    <w:rsid w:val="00682320"/>
    <w:rsid w:val="006A4564"/>
    <w:rsid w:val="007959C9"/>
    <w:rsid w:val="0085283B"/>
    <w:rsid w:val="008A5670"/>
    <w:rsid w:val="008D7BDB"/>
    <w:rsid w:val="00916B8D"/>
    <w:rsid w:val="00922C45"/>
    <w:rsid w:val="00AC583D"/>
    <w:rsid w:val="00BB6488"/>
    <w:rsid w:val="00BF0CD2"/>
    <w:rsid w:val="00C0202F"/>
    <w:rsid w:val="00C40560"/>
    <w:rsid w:val="00C96359"/>
    <w:rsid w:val="00CF59B8"/>
    <w:rsid w:val="00D23287"/>
    <w:rsid w:val="00D620F1"/>
    <w:rsid w:val="00E1469E"/>
    <w:rsid w:val="00E3057D"/>
    <w:rsid w:val="00E62CAC"/>
    <w:rsid w:val="00F31CD8"/>
    <w:rsid w:val="00F97B32"/>
    <w:rsid w:val="00FB4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0021E"/>
  <w15:chartTrackingRefBased/>
  <w15:docId w15:val="{C3E7EE12-026E-496B-B626-67357DC52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3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823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23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23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23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2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3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823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23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23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23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2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320"/>
    <w:rPr>
      <w:rFonts w:eastAsiaTheme="majorEastAsia" w:cstheme="majorBidi"/>
      <w:color w:val="272727" w:themeColor="text1" w:themeTint="D8"/>
    </w:rPr>
  </w:style>
  <w:style w:type="paragraph" w:styleId="Title">
    <w:name w:val="Title"/>
    <w:basedOn w:val="Normal"/>
    <w:next w:val="Normal"/>
    <w:link w:val="TitleChar"/>
    <w:uiPriority w:val="10"/>
    <w:qFormat/>
    <w:rsid w:val="00682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320"/>
    <w:pPr>
      <w:spacing w:before="160"/>
      <w:jc w:val="center"/>
    </w:pPr>
    <w:rPr>
      <w:i/>
      <w:iCs/>
      <w:color w:val="404040" w:themeColor="text1" w:themeTint="BF"/>
    </w:rPr>
  </w:style>
  <w:style w:type="character" w:customStyle="1" w:styleId="QuoteChar">
    <w:name w:val="Quote Char"/>
    <w:basedOn w:val="DefaultParagraphFont"/>
    <w:link w:val="Quote"/>
    <w:uiPriority w:val="29"/>
    <w:rsid w:val="00682320"/>
    <w:rPr>
      <w:i/>
      <w:iCs/>
      <w:color w:val="404040" w:themeColor="text1" w:themeTint="BF"/>
    </w:rPr>
  </w:style>
  <w:style w:type="paragraph" w:styleId="ListParagraph">
    <w:name w:val="List Paragraph"/>
    <w:basedOn w:val="Normal"/>
    <w:uiPriority w:val="34"/>
    <w:qFormat/>
    <w:rsid w:val="00682320"/>
    <w:pPr>
      <w:ind w:left="720"/>
      <w:contextualSpacing/>
    </w:pPr>
  </w:style>
  <w:style w:type="character" w:styleId="IntenseEmphasis">
    <w:name w:val="Intense Emphasis"/>
    <w:basedOn w:val="DefaultParagraphFont"/>
    <w:uiPriority w:val="21"/>
    <w:qFormat/>
    <w:rsid w:val="00682320"/>
    <w:rPr>
      <w:i/>
      <w:iCs/>
      <w:color w:val="2F5496" w:themeColor="accent1" w:themeShade="BF"/>
    </w:rPr>
  </w:style>
  <w:style w:type="paragraph" w:styleId="IntenseQuote">
    <w:name w:val="Intense Quote"/>
    <w:basedOn w:val="Normal"/>
    <w:next w:val="Normal"/>
    <w:link w:val="IntenseQuoteChar"/>
    <w:uiPriority w:val="30"/>
    <w:qFormat/>
    <w:rsid w:val="006823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2320"/>
    <w:rPr>
      <w:i/>
      <w:iCs/>
      <w:color w:val="2F5496" w:themeColor="accent1" w:themeShade="BF"/>
    </w:rPr>
  </w:style>
  <w:style w:type="character" w:styleId="IntenseReference">
    <w:name w:val="Intense Reference"/>
    <w:basedOn w:val="DefaultParagraphFont"/>
    <w:uiPriority w:val="32"/>
    <w:qFormat/>
    <w:rsid w:val="00682320"/>
    <w:rPr>
      <w:b/>
      <w:bCs/>
      <w:smallCaps/>
      <w:color w:val="2F5496" w:themeColor="accent1" w:themeShade="BF"/>
      <w:spacing w:val="5"/>
    </w:rPr>
  </w:style>
  <w:style w:type="paragraph" w:styleId="NormalWeb">
    <w:name w:val="Normal (Web)"/>
    <w:basedOn w:val="Normal"/>
    <w:uiPriority w:val="99"/>
    <w:semiHidden/>
    <w:unhideWhenUsed/>
    <w:rsid w:val="001E0E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F31CD8"/>
    <w:pPr>
      <w:spacing w:after="240" w:line="240" w:lineRule="auto"/>
    </w:pPr>
  </w:style>
  <w:style w:type="paragraph" w:styleId="Caption">
    <w:name w:val="caption"/>
    <w:basedOn w:val="Normal"/>
    <w:next w:val="Normal"/>
    <w:uiPriority w:val="35"/>
    <w:unhideWhenUsed/>
    <w:qFormat/>
    <w:rsid w:val="00C4056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7dd08855f2602f091b5b48a36ed835d">
  <xsd:schema xmlns:xsd="http://www.w3.org/2001/XMLSchema" xmlns:xs="http://www.w3.org/2001/XMLSchema" xmlns:p="http://schemas.microsoft.com/office/2006/metadata/properties" xmlns:ns3="0085e1a2-9cbf-4b92-866b-21f3c89040b6" targetNamespace="http://schemas.microsoft.com/office/2006/metadata/properties" ma:root="true" ma:fieldsID="9167875a895a07ba3969a545a7d6ae6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304B432-210F-4091-8066-0A6E759447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CFD672-671D-4113-A243-5E1ED3493698}">
  <ds:schemaRefs>
    <ds:schemaRef ds:uri="http://schemas.microsoft.com/sharepoint/v3/contenttype/forms"/>
  </ds:schemaRefs>
</ds:datastoreItem>
</file>

<file path=customXml/itemProps3.xml><?xml version="1.0" encoding="utf-8"?>
<ds:datastoreItem xmlns:ds="http://schemas.openxmlformats.org/officeDocument/2006/customXml" ds:itemID="{6234042A-18E8-4354-84D9-4C892AFD2BB5}">
  <ds:schemaRefs>
    <ds:schemaRef ds:uri="http://purl.org/dc/terms/"/>
    <ds:schemaRef ds:uri="http://purl.org/dc/dcmitype/"/>
    <ds:schemaRef ds:uri="http://schemas.microsoft.com/office/2006/metadata/properties"/>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0085e1a2-9cbf-4b92-866b-21f3c89040b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Pages>
  <Words>2343</Words>
  <Characters>13010</Characters>
  <Application>Microsoft Office Word</Application>
  <DocSecurity>0</DocSecurity>
  <Lines>232</Lines>
  <Paragraphs>58</Paragraphs>
  <ScaleCrop>false</ScaleCrop>
  <Company/>
  <LinksUpToDate>false</LinksUpToDate>
  <CharactersWithSpaces>15295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30</cp:revision>
  <dcterms:created xsi:type="dcterms:W3CDTF">2025-11-02T20:35:00Z</dcterms:created>
  <dcterms:modified xsi:type="dcterms:W3CDTF">2025-11-11T13:21:00Z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zotero-version="7.0.27"&gt;&lt;session id="f1GEq9PH"/&gt;&lt;style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