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96A74" w14:textId="649F0B9A" w:rsidR="00883744" w:rsidRPr="00005956" w:rsidRDefault="00883744" w:rsidP="00455E9A">
      <w:pPr>
        <w:pStyle w:val="Title"/>
        <w:rPr>
          <w:sz w:val="36"/>
          <w:szCs w:val="36"/>
          <w:lang w:val="bg-BG"/>
        </w:rPr>
      </w:pPr>
      <w:r w:rsidRPr="00005956">
        <w:rPr>
          <w:sz w:val="36"/>
          <w:szCs w:val="36"/>
        </w:rPr>
        <w:t>Understanding the Role of Statistics in Machine Learning and Data Science</w:t>
      </w:r>
    </w:p>
    <w:p w14:paraId="1E61BA59" w14:textId="548DF218" w:rsidR="00590CD0" w:rsidRPr="00590CD0" w:rsidRDefault="00590CD0" w:rsidP="00590CD0">
      <w:pPr>
        <w:jc w:val="both"/>
        <w:rPr>
          <w:rFonts w:ascii="Times New Roman" w:hAnsi="Times New Roman" w:cs="Times New Roman"/>
        </w:rPr>
      </w:pPr>
      <w:r w:rsidRPr="00590CD0">
        <w:rPr>
          <w:rFonts w:ascii="Times New Roman" w:hAnsi="Times New Roman" w:cs="Times New Roman"/>
        </w:rPr>
        <w:t>The Role of Statistics in Machine Learning and Data Science</w:t>
      </w:r>
      <w:r>
        <w:rPr>
          <w:rFonts w:ascii="Times New Roman" w:hAnsi="Times New Roman" w:cs="Times New Roman"/>
        </w:rPr>
        <w:t>.</w:t>
      </w:r>
    </w:p>
    <w:p w14:paraId="6836F1E9" w14:textId="77777777" w:rsidR="0055546B" w:rsidRDefault="001B64F6" w:rsidP="0055546B">
      <w:pPr>
        <w:jc w:val="both"/>
        <w:rPr>
          <w:rFonts w:ascii="Times New Roman" w:hAnsi="Times New Roman" w:cs="Times New Roman"/>
        </w:rPr>
      </w:pPr>
      <w:r w:rsidRPr="00590CD0">
        <w:rPr>
          <w:rFonts w:ascii="Times New Roman" w:hAnsi="Times New Roman" w:cs="Times New Roman"/>
        </w:rPr>
        <w:t>Statistics and machine learning can be viewed as complementary rather than competing approaches [1]. Statistical methods support modern data analysis by helping to identify and validate meaningful patterns [2], quantify predictive uncertainty [3], and evaluate the reliability of machine-learning models [4].</w:t>
      </w:r>
      <w:r w:rsidR="004A686D">
        <w:rPr>
          <w:rFonts w:ascii="Times New Roman" w:hAnsi="Times New Roman" w:cs="Times New Roman"/>
        </w:rPr>
        <w:t xml:space="preserve"> </w:t>
      </w:r>
      <w:r w:rsidR="00245D37" w:rsidRPr="00245D37">
        <w:rPr>
          <w:rFonts w:ascii="Times New Roman" w:hAnsi="Times New Roman" w:cs="Times New Roman"/>
        </w:rPr>
        <w:t xml:space="preserve">While machine learning enables the discovery of complex patterns and the generation of predictions, it does not indicate whether the result is reliable. </w:t>
      </w:r>
    </w:p>
    <w:p w14:paraId="112D2EED" w14:textId="17374BBC" w:rsidR="00B56C14" w:rsidRDefault="00B56C14" w:rsidP="00F06F42">
      <w:pPr>
        <w:jc w:val="both"/>
        <w:rPr>
          <w:rFonts w:ascii="Times New Roman" w:hAnsi="Times New Roman" w:cs="Times New Roman"/>
          <w:lang w:val="en-US"/>
        </w:rPr>
      </w:pPr>
      <w:r w:rsidRPr="00F06F42">
        <w:rPr>
          <w:rFonts w:ascii="Times New Roman" w:hAnsi="Times New Roman" w:cs="Times New Roman"/>
          <w:lang w:val="en-US"/>
        </w:rPr>
        <w:t xml:space="preserve">Descriptive statistics help researchers understand data characteristics and distribution before conducting more complex analyses [5]. Metrics such as the mean, median, and mode describe central tendency, </w:t>
      </w:r>
      <w:r w:rsidR="00FA3B0A" w:rsidRPr="00FA3B0A">
        <w:rPr>
          <w:rFonts w:ascii="Times New Roman" w:hAnsi="Times New Roman" w:cs="Times New Roman"/>
        </w:rPr>
        <w:t xml:space="preserve">while the analysis of variation and outliers provides additional information about the dataset </w:t>
      </w:r>
      <w:r w:rsidRPr="00F06F42">
        <w:rPr>
          <w:rFonts w:ascii="Times New Roman" w:hAnsi="Times New Roman" w:cs="Times New Roman"/>
          <w:lang w:val="en-US"/>
        </w:rPr>
        <w:t>[6]. Consider, for example</w:t>
      </w:r>
      <w:r w:rsidR="00A71D84">
        <w:rPr>
          <w:rFonts w:ascii="Times New Roman" w:hAnsi="Times New Roman" w:cs="Times New Roman"/>
          <w:lang w:val="en-US"/>
        </w:rPr>
        <w:t>, what is shown</w:t>
      </w:r>
      <w:r w:rsidR="00FB61C2">
        <w:rPr>
          <w:rFonts w:ascii="Times New Roman" w:hAnsi="Times New Roman" w:cs="Times New Roman"/>
          <w:lang w:val="en-US"/>
        </w:rPr>
        <w:t xml:space="preserve"> in </w:t>
      </w:r>
      <w:r w:rsidR="005A7D3A">
        <w:rPr>
          <w:rFonts w:ascii="Times New Roman" w:hAnsi="Times New Roman" w:cs="Times New Roman"/>
          <w:lang w:val="en-US"/>
        </w:rPr>
        <w:t>Figure</w:t>
      </w:r>
      <w:r w:rsidR="00FB61C2">
        <w:rPr>
          <w:rFonts w:ascii="Times New Roman" w:hAnsi="Times New Roman" w:cs="Times New Roman"/>
          <w:lang w:val="en-US"/>
        </w:rPr>
        <w:t xml:space="preserve"> </w:t>
      </w:r>
      <w:r w:rsidR="00A71D84">
        <w:rPr>
          <w:rFonts w:ascii="Times New Roman" w:hAnsi="Times New Roman" w:cs="Times New Roman"/>
          <w:lang w:val="en-US"/>
        </w:rPr>
        <w:t xml:space="preserve">1: </w:t>
      </w:r>
      <w:r w:rsidRPr="00F06F42">
        <w:rPr>
          <w:rFonts w:ascii="Times New Roman" w:hAnsi="Times New Roman" w:cs="Times New Roman"/>
          <w:lang w:val="en-US"/>
        </w:rPr>
        <w:t xml:space="preserve"> hospital waiting times of 10, 12, 13, 15, 16, 18, and 70 minutes; the mean is 22 minutes, yet the median is only 15 minutes. The unusually long wait of 70 minutes inflates the mean and can create a misleading impression of the typical patient experience.</w:t>
      </w:r>
    </w:p>
    <w:p w14:paraId="76C21606" w14:textId="5ED3089B" w:rsidR="00B4258B" w:rsidRDefault="00756D2A" w:rsidP="00337837">
      <w:pPr>
        <w:keepNext/>
      </w:pPr>
      <w:r>
        <w:rPr>
          <w:noProof/>
        </w:rPr>
        <w:drawing>
          <wp:inline distT="0" distB="0" distL="0" distR="0" wp14:anchorId="7BA02690" wp14:editId="1679F557">
            <wp:extent cx="2505574" cy="1409351"/>
            <wp:effectExtent l="0" t="0" r="0" b="635"/>
            <wp:docPr id="9876579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7657921" name="Picture 98765792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71" cy="1425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D716E" w:rsidRPr="000D716E">
        <w:rPr>
          <w:noProof/>
        </w:rPr>
        <w:drawing>
          <wp:inline distT="0" distB="0" distL="0" distR="0" wp14:anchorId="60FE1852" wp14:editId="65E4FC12">
            <wp:extent cx="2743200" cy="318541"/>
            <wp:effectExtent l="0" t="0" r="0" b="5715"/>
            <wp:docPr id="3417601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176011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48104" cy="330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BA778" w14:textId="2738567E" w:rsidR="00B56C14" w:rsidRPr="00FD75C0" w:rsidRDefault="00B4258B" w:rsidP="00FD75C0">
      <w:pPr>
        <w:pStyle w:val="Caption"/>
        <w:jc w:val="both"/>
        <w:rPr>
          <w:lang w:val="bg-BG"/>
        </w:rPr>
      </w:pPr>
      <w:r>
        <w:t xml:space="preserve">Figure </w:t>
      </w:r>
      <w:fldSimple w:instr=" SEQ Figure \* ARABIC ">
        <w:r>
          <w:rPr>
            <w:noProof/>
          </w:rPr>
          <w:t>1</w:t>
        </w:r>
      </w:fldSimple>
      <w:r w:rsidR="00172440">
        <w:rPr>
          <w:noProof/>
          <w:lang w:val="bg-BG"/>
        </w:rPr>
        <w:t>.</w:t>
      </w:r>
      <w:r>
        <w:t>Hospital waiting time example</w:t>
      </w:r>
    </w:p>
    <w:p w14:paraId="0016C5A6" w14:textId="77777777" w:rsidR="001E5ABE" w:rsidRDefault="00B56C14" w:rsidP="001E5ABE">
      <w:pPr>
        <w:jc w:val="both"/>
        <w:rPr>
          <w:rFonts w:ascii="Times New Roman" w:hAnsi="Times New Roman" w:cs="Times New Roman"/>
          <w:lang w:val="bg-BG"/>
        </w:rPr>
      </w:pPr>
      <w:r w:rsidRPr="00F06F42">
        <w:rPr>
          <w:rFonts w:ascii="Times New Roman" w:hAnsi="Times New Roman" w:cs="Times New Roman"/>
          <w:lang w:val="en-US"/>
        </w:rPr>
        <w:t>An important point arises here: different metrics are not interchangeable. The mean accounts for all numerical observations but is sensitive to extreme values; the median is more robust in the presence of skewed distributions; and the mode is particularly valuable for categorical data. Consequently, there is no single, universally "best" descriptive statistic. The appropriate choice depends on the characteristics of the specific dataset.</w:t>
      </w:r>
    </w:p>
    <w:p w14:paraId="6069245B" w14:textId="3C075363" w:rsidR="000E05D0" w:rsidRPr="001E5ABE" w:rsidRDefault="00EB6A93" w:rsidP="001E5ABE">
      <w:pPr>
        <w:jc w:val="both"/>
        <w:rPr>
          <w:rFonts w:ascii="Times New Roman" w:hAnsi="Times New Roman" w:cs="Times New Roman"/>
          <w:lang w:val="bg-BG"/>
        </w:rPr>
      </w:pPr>
      <w:r w:rsidRPr="00EB6A93">
        <w:rPr>
          <w:rFonts w:ascii="Times New Roman" w:hAnsi="Times New Roman" w:cs="Times New Roman"/>
        </w:rPr>
        <w:t xml:space="preserve">Bhadra et al. demonstrate this integration through a framework in which deep learning extracts complex features from high-dimensional data, while a probabilistic statistical layer supports </w:t>
      </w:r>
      <w:r w:rsidR="0090218A" w:rsidRPr="0090218A">
        <w:rPr>
          <w:rFonts w:ascii="Times New Roman" w:hAnsi="Times New Roman" w:cs="Times New Roman"/>
        </w:rPr>
        <w:t>prediction and uncertainty estimation</w:t>
      </w:r>
      <w:r w:rsidR="00172440">
        <w:rPr>
          <w:rFonts w:ascii="Times New Roman" w:hAnsi="Times New Roman" w:cs="Times New Roman"/>
          <w:lang w:val="bg-BG"/>
        </w:rPr>
        <w:t xml:space="preserve"> </w:t>
      </w:r>
      <w:r w:rsidR="001B37A8">
        <w:rPr>
          <w:rFonts w:ascii="Times New Roman" w:hAnsi="Times New Roman" w:cs="Times New Roman"/>
        </w:rPr>
        <w:t>[1]</w:t>
      </w:r>
      <w:r w:rsidRPr="00EB6A93">
        <w:rPr>
          <w:rFonts w:ascii="Times New Roman" w:hAnsi="Times New Roman" w:cs="Times New Roman"/>
        </w:rPr>
        <w:t xml:space="preserve">. This approach combines distinct strengths within a single model rather than treating statistics and machine learning separately, although its effectiveness depends on the specific data and </w:t>
      </w:r>
      <w:r>
        <w:rPr>
          <w:rFonts w:ascii="Times New Roman" w:hAnsi="Times New Roman" w:cs="Times New Roman"/>
        </w:rPr>
        <w:t>modelling</w:t>
      </w:r>
      <w:r w:rsidRPr="00EB6A93">
        <w:rPr>
          <w:rFonts w:ascii="Times New Roman" w:hAnsi="Times New Roman" w:cs="Times New Roman"/>
        </w:rPr>
        <w:t xml:space="preserve"> context.</w:t>
      </w:r>
    </w:p>
    <w:p w14:paraId="136855EC" w14:textId="77157377" w:rsidR="000E05D0" w:rsidRDefault="003756D6" w:rsidP="003756D6">
      <w:pPr>
        <w:jc w:val="both"/>
        <w:rPr>
          <w:rFonts w:ascii="Times New Roman" w:hAnsi="Times New Roman" w:cs="Times New Roman"/>
          <w:lang w:val="bg-BG"/>
        </w:rPr>
      </w:pPr>
      <w:r w:rsidRPr="003756D6">
        <w:rPr>
          <w:rFonts w:ascii="Times New Roman" w:hAnsi="Times New Roman" w:cs="Times New Roman"/>
          <w:lang w:val="bg-BG"/>
        </w:rPr>
        <w:t xml:space="preserve">High accuracy does not necessarily indicate a reliable model. For example, if only 10 of 1,000 patients have a disease, a model predicting every patient as healthy would achieve 99% accuracy but 0% recall. Rainio et al. [4] therefore emphasise that model evaluation should consider multiple appropriate metrics and statistical testing. This </w:t>
      </w:r>
      <w:r>
        <w:rPr>
          <w:rFonts w:ascii="Times New Roman" w:hAnsi="Times New Roman" w:cs="Times New Roman"/>
          <w:lang w:val="bg-BG"/>
        </w:rPr>
        <w:t>shows that performance metrics must be interpreted in relation to the data and the model's purpose</w:t>
      </w:r>
      <w:r w:rsidRPr="003756D6">
        <w:rPr>
          <w:rFonts w:ascii="Times New Roman" w:hAnsi="Times New Roman" w:cs="Times New Roman"/>
          <w:lang w:val="bg-BG"/>
        </w:rPr>
        <w:t>.</w:t>
      </w:r>
    </w:p>
    <w:p w14:paraId="4C91871D" w14:textId="35F76D9D" w:rsidR="004456C1" w:rsidRPr="008E43FD" w:rsidRDefault="004456C1" w:rsidP="003756D6">
      <w:pPr>
        <w:jc w:val="both"/>
        <w:rPr>
          <w:rFonts w:ascii="Times New Roman" w:hAnsi="Times New Roman" w:cs="Times New Roman"/>
          <w:lang w:val="bg-BG"/>
        </w:rPr>
      </w:pPr>
      <w:r w:rsidRPr="004456C1">
        <w:rPr>
          <w:rFonts w:ascii="Times New Roman" w:hAnsi="Times New Roman" w:cs="Times New Roman"/>
        </w:rPr>
        <w:lastRenderedPageBreak/>
        <w:t xml:space="preserve">Allen et al. further highlight that validation is essential </w:t>
      </w:r>
      <w:r w:rsidR="008E43FD">
        <w:rPr>
          <w:rFonts w:ascii="Times New Roman" w:hAnsi="Times New Roman" w:cs="Times New Roman"/>
        </w:rPr>
        <w:t xml:space="preserve">to determine whether identified patterns are stable and generalise beyond the data used to develop the model </w:t>
      </w:r>
      <w:r w:rsidR="008E43FD" w:rsidRPr="008E43FD">
        <w:rPr>
          <w:rFonts w:ascii="Times New Roman" w:hAnsi="Times New Roman" w:cs="Times New Roman"/>
        </w:rPr>
        <w:t>[2]</w:t>
      </w:r>
      <w:r w:rsidR="008E43FD">
        <w:rPr>
          <w:rFonts w:ascii="Times New Roman" w:hAnsi="Times New Roman" w:cs="Times New Roman"/>
          <w:lang w:val="bg-BG"/>
        </w:rPr>
        <w:t>.</w:t>
      </w:r>
    </w:p>
    <w:p w14:paraId="3CD8EBFB" w14:textId="3C98B12F" w:rsidR="0057704A" w:rsidRPr="001E5ABE" w:rsidRDefault="00AC65E3" w:rsidP="001E5ABE">
      <w:pPr>
        <w:jc w:val="both"/>
        <w:rPr>
          <w:rFonts w:ascii="Times New Roman" w:hAnsi="Times New Roman" w:cs="Times New Roman"/>
          <w:lang w:val="bg-BG"/>
        </w:rPr>
      </w:pPr>
      <w:r w:rsidRPr="00AC65E3">
        <w:rPr>
          <w:rFonts w:ascii="Times New Roman" w:hAnsi="Times New Roman" w:cs="Times New Roman"/>
        </w:rPr>
        <w:t xml:space="preserve">Prediction alone is incomplete without understanding its uncertainty. </w:t>
      </w:r>
      <w:proofErr w:type="spellStart"/>
      <w:r w:rsidRPr="00AC65E3">
        <w:rPr>
          <w:rFonts w:ascii="Times New Roman" w:hAnsi="Times New Roman" w:cs="Times New Roman"/>
        </w:rPr>
        <w:t>Tyralis</w:t>
      </w:r>
      <w:proofErr w:type="spellEnd"/>
      <w:r w:rsidRPr="00AC65E3">
        <w:rPr>
          <w:rFonts w:ascii="Times New Roman" w:hAnsi="Times New Roman" w:cs="Times New Roman"/>
        </w:rPr>
        <w:t xml:space="preserve"> and Papacharalampous show that uncertainty estimation provides information about the confidence associated with ML predictions</w:t>
      </w:r>
      <w:r w:rsidR="00BC425A">
        <w:rPr>
          <w:rFonts w:ascii="Times New Roman" w:hAnsi="Times New Roman" w:cs="Times New Roman"/>
          <w:lang w:val="bg-BG"/>
        </w:rPr>
        <w:t xml:space="preserve"> </w:t>
      </w:r>
      <w:r w:rsidR="00EC170E">
        <w:rPr>
          <w:rFonts w:ascii="Times New Roman" w:hAnsi="Times New Roman" w:cs="Times New Roman"/>
        </w:rPr>
        <w:t>[3]</w:t>
      </w:r>
      <w:r w:rsidRPr="00AC65E3">
        <w:rPr>
          <w:rFonts w:ascii="Times New Roman" w:hAnsi="Times New Roman" w:cs="Times New Roman"/>
        </w:rPr>
        <w:t>. Overall, the evidence reviewed suggests that statistics strengthens machine learning by supporting appropriate data interpretation, model evaluation, validation and uncertainty assessment, making predictions more informative and reliable.</w:t>
      </w:r>
    </w:p>
    <w:p w14:paraId="3627FDC8" w14:textId="623C42BB" w:rsidR="00E45E83" w:rsidRDefault="00E45E83" w:rsidP="0057704A">
      <w:pPr>
        <w:pStyle w:val="Heading1"/>
      </w:pPr>
      <w:r>
        <w:t>References: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6"/>
        <w:gridCol w:w="8290"/>
      </w:tblGrid>
      <w:tr w:rsidR="00E351B0" w:rsidRPr="00E351B0" w14:paraId="2E2D8136" w14:textId="77777777">
        <w:tc>
          <w:tcPr>
            <w:tcW w:w="720" w:type="dxa"/>
            <w:noWrap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286CB7E" w14:textId="570BB0D1" w:rsidR="00E351B0" w:rsidRPr="00E351B0" w:rsidRDefault="00E351B0" w:rsidP="00E351B0"/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D1C5C8" w14:textId="77777777" w:rsidR="00B5466C" w:rsidRDefault="007C1851" w:rsidP="007C1851">
            <w:r w:rsidRPr="007C1851">
              <w:t>[</w:t>
            </w:r>
            <w:r w:rsidR="000E6AD6">
              <w:t>1</w:t>
            </w:r>
            <w:r w:rsidRPr="007C1851">
              <w:t>]</w:t>
            </w:r>
            <w:r w:rsidR="000E6AD6" w:rsidRPr="000E6AD6">
              <w:t xml:space="preserve">A. Bhadra, J. Datta, N. G. Polson, V. Sokolov, and J. Xu, ‘Merging Two Cultures: Deep and Statistical Learning’, WIREs Computational Statistics, vol. 16, no. 2, Mar. 2024, </w:t>
            </w:r>
            <w:proofErr w:type="spellStart"/>
            <w:r w:rsidR="000E6AD6" w:rsidRPr="000E6AD6">
              <w:t>doi</w:t>
            </w:r>
            <w:proofErr w:type="spellEnd"/>
            <w:r w:rsidR="000E6AD6" w:rsidRPr="000E6AD6">
              <w:t>: 10.1002/wics.1647.</w:t>
            </w:r>
          </w:p>
          <w:p w14:paraId="23B13714" w14:textId="3D3EAF24" w:rsidR="007C1851" w:rsidRDefault="000E6AD6" w:rsidP="007C1851">
            <w:r w:rsidRPr="000E6AD6">
              <w:cr/>
            </w:r>
            <w:r w:rsidR="00B5466C" w:rsidRPr="00B5466C">
              <w:t>[</w:t>
            </w:r>
            <w:r w:rsidR="00B5466C">
              <w:t>2</w:t>
            </w:r>
            <w:r w:rsidR="00B5466C" w:rsidRPr="00B5466C">
              <w:t xml:space="preserve">]G. I. Allen, L. Gan, and L. Zheng, “Interpretable Machine Learning for Discovery: Statistical Challenges and Opportunities,” </w:t>
            </w:r>
            <w:r w:rsidR="00B5466C" w:rsidRPr="00B5466C">
              <w:rPr>
                <w:i/>
                <w:iCs/>
              </w:rPr>
              <w:t>Annual Review of Statistics and Its Application</w:t>
            </w:r>
            <w:r w:rsidR="00B5466C" w:rsidRPr="00B5466C">
              <w:t xml:space="preserve">, vol. 11, no. 1, pp. 97–121, Apr. 2024, </w:t>
            </w:r>
            <w:proofErr w:type="spellStart"/>
            <w:r w:rsidR="00B5466C" w:rsidRPr="00B5466C">
              <w:t>doi</w:t>
            </w:r>
            <w:proofErr w:type="spellEnd"/>
            <w:r w:rsidR="00B5466C" w:rsidRPr="00B5466C">
              <w:t>: 10.1146/annurev-statistics-040120-030919.</w:t>
            </w:r>
          </w:p>
          <w:p w14:paraId="550F1204" w14:textId="66D2BA37" w:rsidR="007C1851" w:rsidRDefault="007C1851" w:rsidP="007C1851">
            <w:r w:rsidRPr="007C1851">
              <w:t>[</w:t>
            </w:r>
            <w:r>
              <w:t>3</w:t>
            </w:r>
            <w:r w:rsidRPr="007C1851">
              <w:t xml:space="preserve">]Hristos </w:t>
            </w:r>
            <w:proofErr w:type="spellStart"/>
            <w:r w:rsidRPr="007C1851">
              <w:t>Tyralis</w:t>
            </w:r>
            <w:proofErr w:type="spellEnd"/>
            <w:r w:rsidRPr="007C1851">
              <w:t xml:space="preserve"> and G. Papacharalampous, “A review of predictive uncertainty estimation with machine learning,” </w:t>
            </w:r>
            <w:r w:rsidRPr="007C1851">
              <w:rPr>
                <w:i/>
                <w:iCs/>
              </w:rPr>
              <w:t>Artificial Intelligence Review</w:t>
            </w:r>
            <w:r w:rsidRPr="007C1851">
              <w:t xml:space="preserve">, vol. 57, no. 4, Mar. 2024, </w:t>
            </w:r>
            <w:proofErr w:type="spellStart"/>
            <w:r w:rsidRPr="007C1851">
              <w:t>doi</w:t>
            </w:r>
            <w:proofErr w:type="spellEnd"/>
            <w:r w:rsidRPr="007C1851">
              <w:t>: 10.1007/s10462-023-10698-8.</w:t>
            </w:r>
          </w:p>
          <w:p w14:paraId="45D6B16C" w14:textId="77777777" w:rsidR="00ED102E" w:rsidRDefault="00914114" w:rsidP="009E54CC">
            <w:r w:rsidRPr="00914114">
              <w:t>[</w:t>
            </w:r>
            <w:r>
              <w:t>4</w:t>
            </w:r>
            <w:r w:rsidRPr="00914114">
              <w:t>]</w:t>
            </w:r>
            <w:r w:rsidR="00ED102E" w:rsidRPr="00ED102E">
              <w:t xml:space="preserve">O. </w:t>
            </w:r>
            <w:proofErr w:type="spellStart"/>
            <w:r w:rsidR="00ED102E" w:rsidRPr="00ED102E">
              <w:t>Rainio</w:t>
            </w:r>
            <w:proofErr w:type="spellEnd"/>
            <w:r w:rsidR="00ED102E" w:rsidRPr="00ED102E">
              <w:t xml:space="preserve">, J. Teuho, and R. Klén, “Evaluation metrics and statistical tests for machine learning,” Scientific Reports, vol. 14, Art. no. 6086, Mar. 2024, </w:t>
            </w:r>
            <w:proofErr w:type="spellStart"/>
            <w:r w:rsidR="00ED102E" w:rsidRPr="00ED102E">
              <w:t>doi</w:t>
            </w:r>
            <w:proofErr w:type="spellEnd"/>
            <w:r w:rsidR="00ED102E" w:rsidRPr="00ED102E">
              <w:t>: 10.1038/s41598-024-56706-x.</w:t>
            </w:r>
          </w:p>
          <w:p w14:paraId="1F7264D3" w14:textId="1712C32F" w:rsidR="009E54CC" w:rsidRDefault="009E54CC" w:rsidP="009E54CC">
            <w:pPr>
              <w:rPr>
                <w:lang w:val="bg-BG"/>
              </w:rPr>
            </w:pPr>
            <w:r w:rsidRPr="009E54CC">
              <w:t>[</w:t>
            </w:r>
            <w:r>
              <w:t>5</w:t>
            </w:r>
            <w:r w:rsidRPr="009E54CC">
              <w:t xml:space="preserve">]F. C. </w:t>
            </w:r>
            <w:proofErr w:type="spellStart"/>
            <w:r w:rsidRPr="009E54CC">
              <w:t>Oettl</w:t>
            </w:r>
            <w:proofErr w:type="spellEnd"/>
            <w:r w:rsidRPr="009E54CC">
              <w:t xml:space="preserve">, J. F. Oeding, R. Feldt, C. Ley, M. T. Hirschmann, and K. Samuelsson, “The artificial intelligence advantage: Supercharging exploratory data analysis,” </w:t>
            </w:r>
            <w:r w:rsidRPr="009E54CC">
              <w:rPr>
                <w:i/>
                <w:iCs/>
              </w:rPr>
              <w:t>Knee Surgery Sports Traumatology Arthroscopy</w:t>
            </w:r>
            <w:r w:rsidRPr="009E54CC">
              <w:t xml:space="preserve">, July 2024, </w:t>
            </w:r>
            <w:proofErr w:type="spellStart"/>
            <w:r w:rsidRPr="009E54CC">
              <w:t>doi</w:t>
            </w:r>
            <w:proofErr w:type="spellEnd"/>
            <w:r w:rsidRPr="009E54CC">
              <w:t>: 10.1002/ksa.12389.</w:t>
            </w:r>
          </w:p>
          <w:p w14:paraId="340FBB06" w14:textId="202FA0B1" w:rsidR="00625CBD" w:rsidRPr="00625CBD" w:rsidRDefault="007A6EC8" w:rsidP="00625CBD">
            <w:r w:rsidRPr="007A6EC8">
              <w:t>[</w:t>
            </w:r>
            <w:r>
              <w:rPr>
                <w:lang w:val="bg-BG"/>
              </w:rPr>
              <w:t>6</w:t>
            </w:r>
            <w:r w:rsidRPr="007A6EC8">
              <w:t>]</w:t>
            </w:r>
            <w:r w:rsidR="00625CBD" w:rsidRPr="00625CBD">
              <w:t xml:space="preserve">P. Miksza, J. T. Shaw, L. Kapalka Richerme, P. M. Hash, D. A. Hodges, and E. Cassidy Parker, </w:t>
            </w:r>
            <w:r w:rsidR="00625CBD" w:rsidRPr="00625CBD">
              <w:rPr>
                <w:i/>
                <w:iCs/>
              </w:rPr>
              <w:t>Descriptive Statistics</w:t>
            </w:r>
            <w:r w:rsidR="00625CBD" w:rsidRPr="00625CBD">
              <w:t>. Oxford University Press</w:t>
            </w:r>
            <w:r w:rsidR="00474A09">
              <w:t xml:space="preserve">, </w:t>
            </w:r>
            <w:r w:rsidR="00625CBD" w:rsidRPr="00625CBD">
              <w:t xml:space="preserve">New York, 2023, pp. 325–346. </w:t>
            </w:r>
            <w:proofErr w:type="spellStart"/>
            <w:r w:rsidR="00625CBD" w:rsidRPr="00625CBD">
              <w:t>doi</w:t>
            </w:r>
            <w:proofErr w:type="spellEnd"/>
            <w:r w:rsidR="00625CBD" w:rsidRPr="00625CBD">
              <w:t>: 10.1093/</w:t>
            </w:r>
            <w:proofErr w:type="spellStart"/>
            <w:r w:rsidR="00625CBD" w:rsidRPr="00625CBD">
              <w:t>oso</w:t>
            </w:r>
            <w:proofErr w:type="spellEnd"/>
            <w:r w:rsidR="00625CBD" w:rsidRPr="00625CBD">
              <w:t>/9780197639757.003.0016.</w:t>
            </w:r>
          </w:p>
          <w:p w14:paraId="681E5204" w14:textId="5A869D09" w:rsidR="007A6EC8" w:rsidRPr="007A6EC8" w:rsidRDefault="007A6EC8" w:rsidP="007A6EC8"/>
          <w:p w14:paraId="5D87F0FD" w14:textId="77777777" w:rsidR="00914114" w:rsidRPr="007C1851" w:rsidRDefault="00914114" w:rsidP="007C1851"/>
          <w:p w14:paraId="58396D93" w14:textId="77777777" w:rsidR="00B63AC0" w:rsidRPr="00E351B0" w:rsidRDefault="00B63AC0" w:rsidP="00E351B0"/>
        </w:tc>
      </w:tr>
    </w:tbl>
    <w:p w14:paraId="0423D971" w14:textId="773DFE81" w:rsidR="00E45E83" w:rsidRPr="00E351B0" w:rsidRDefault="004F1697" w:rsidP="00883744">
      <w:r>
        <w:t xml:space="preserve">By Vera Karakoleva  </w:t>
      </w:r>
      <w:r w:rsidR="00FD6845">
        <w:t>2232348</w:t>
      </w:r>
    </w:p>
    <w:sectPr w:rsidR="00E45E83" w:rsidRPr="00E35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744"/>
    <w:rsid w:val="00005956"/>
    <w:rsid w:val="00027E69"/>
    <w:rsid w:val="000D716E"/>
    <w:rsid w:val="000E05D0"/>
    <w:rsid w:val="000E6AD6"/>
    <w:rsid w:val="00112EE2"/>
    <w:rsid w:val="00172440"/>
    <w:rsid w:val="00196946"/>
    <w:rsid w:val="001B136E"/>
    <w:rsid w:val="001B37A8"/>
    <w:rsid w:val="001B4170"/>
    <w:rsid w:val="001B64F6"/>
    <w:rsid w:val="001E5ABE"/>
    <w:rsid w:val="001F66EE"/>
    <w:rsid w:val="00245D37"/>
    <w:rsid w:val="002512EE"/>
    <w:rsid w:val="00337837"/>
    <w:rsid w:val="003756D6"/>
    <w:rsid w:val="003D3ABA"/>
    <w:rsid w:val="003E38E8"/>
    <w:rsid w:val="00413EFF"/>
    <w:rsid w:val="004456C1"/>
    <w:rsid w:val="00455E9A"/>
    <w:rsid w:val="00472AFB"/>
    <w:rsid w:val="00474A09"/>
    <w:rsid w:val="00487485"/>
    <w:rsid w:val="004A686D"/>
    <w:rsid w:val="004F1697"/>
    <w:rsid w:val="0055546B"/>
    <w:rsid w:val="0057704A"/>
    <w:rsid w:val="00590CD0"/>
    <w:rsid w:val="00596448"/>
    <w:rsid w:val="005A7D3A"/>
    <w:rsid w:val="005D5D28"/>
    <w:rsid w:val="0060703F"/>
    <w:rsid w:val="00625CBD"/>
    <w:rsid w:val="00654DB7"/>
    <w:rsid w:val="00737BA8"/>
    <w:rsid w:val="00756D2A"/>
    <w:rsid w:val="007A6EC8"/>
    <w:rsid w:val="007C1851"/>
    <w:rsid w:val="00861FD1"/>
    <w:rsid w:val="00883744"/>
    <w:rsid w:val="008A18EC"/>
    <w:rsid w:val="008D714E"/>
    <w:rsid w:val="008E43FD"/>
    <w:rsid w:val="0090218A"/>
    <w:rsid w:val="00912692"/>
    <w:rsid w:val="00914114"/>
    <w:rsid w:val="00966AC0"/>
    <w:rsid w:val="009E54CC"/>
    <w:rsid w:val="009F5728"/>
    <w:rsid w:val="00A71D84"/>
    <w:rsid w:val="00AC65E3"/>
    <w:rsid w:val="00B05306"/>
    <w:rsid w:val="00B4258B"/>
    <w:rsid w:val="00B5466C"/>
    <w:rsid w:val="00B56C14"/>
    <w:rsid w:val="00B63AC0"/>
    <w:rsid w:val="00BB361E"/>
    <w:rsid w:val="00BC425A"/>
    <w:rsid w:val="00CA302B"/>
    <w:rsid w:val="00CB3E82"/>
    <w:rsid w:val="00D2723A"/>
    <w:rsid w:val="00D563F6"/>
    <w:rsid w:val="00D92B8E"/>
    <w:rsid w:val="00E23610"/>
    <w:rsid w:val="00E25109"/>
    <w:rsid w:val="00E351B0"/>
    <w:rsid w:val="00E45E83"/>
    <w:rsid w:val="00EA7E22"/>
    <w:rsid w:val="00EB6A93"/>
    <w:rsid w:val="00EC170E"/>
    <w:rsid w:val="00ED102E"/>
    <w:rsid w:val="00F06F42"/>
    <w:rsid w:val="00F07DCF"/>
    <w:rsid w:val="00F4370E"/>
    <w:rsid w:val="00F575DD"/>
    <w:rsid w:val="00F63DBA"/>
    <w:rsid w:val="00FA3B0A"/>
    <w:rsid w:val="00FB61C2"/>
    <w:rsid w:val="00FD6845"/>
    <w:rsid w:val="00FD7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FBE9B"/>
  <w15:chartTrackingRefBased/>
  <w15:docId w15:val="{E58B4D1E-8705-4A55-82E1-5FDF50827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37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37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37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37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37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37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37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37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37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37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37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37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37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37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37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37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37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37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37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37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37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37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37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37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37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37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37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37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374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351B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1B0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B4258B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table" w:styleId="TableGrid">
    <w:name w:val="Table Grid"/>
    <w:basedOn w:val="TableNormal"/>
    <w:uiPriority w:val="39"/>
    <w:rsid w:val="003D3A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72EBA-05B3-4D10-8F7A-E75CB8F69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Karakoleva</dc:creator>
  <cp:keywords/>
  <dc:description/>
  <cp:lastModifiedBy>Vera Karakoleva</cp:lastModifiedBy>
  <cp:revision>80</cp:revision>
  <dcterms:created xsi:type="dcterms:W3CDTF">2026-09-20T09:53:00Z</dcterms:created>
  <dcterms:modified xsi:type="dcterms:W3CDTF">2026-09-22T13:42:00Z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253cd6fc-ce00-4eba-bf03-0c4dc109540e</vt:lpwstr>
  </property>
</Properties>
</file>