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F34804" w14:textId="77777777" w:rsidR="00045738" w:rsidRDefault="00045738" w:rsidP="00045738">
      <w:pPr>
        <w:jc w:val="center"/>
        <w:rPr>
          <w:b/>
          <w:bCs/>
          <w:sz w:val="56"/>
          <w:szCs w:val="56"/>
          <w:lang w:val="en-US"/>
        </w:rPr>
      </w:pPr>
    </w:p>
    <w:p w14:paraId="6694854A" w14:textId="77777777" w:rsidR="00045738" w:rsidRDefault="00045738" w:rsidP="00045738">
      <w:pPr>
        <w:jc w:val="center"/>
        <w:rPr>
          <w:b/>
          <w:bCs/>
          <w:sz w:val="56"/>
          <w:szCs w:val="56"/>
          <w:lang w:val="en-US"/>
        </w:rPr>
      </w:pPr>
    </w:p>
    <w:p w14:paraId="6CEC0081" w14:textId="77777777" w:rsidR="00045738" w:rsidRDefault="00045738" w:rsidP="00045738">
      <w:pPr>
        <w:jc w:val="center"/>
        <w:rPr>
          <w:b/>
          <w:bCs/>
          <w:sz w:val="56"/>
          <w:szCs w:val="56"/>
          <w:lang w:val="en-US"/>
        </w:rPr>
      </w:pPr>
    </w:p>
    <w:p w14:paraId="02F4C7B9" w14:textId="77777777" w:rsidR="00045738" w:rsidRDefault="00045738" w:rsidP="00045738">
      <w:pPr>
        <w:jc w:val="center"/>
        <w:rPr>
          <w:b/>
          <w:bCs/>
          <w:sz w:val="56"/>
          <w:szCs w:val="56"/>
          <w:lang w:val="en-US"/>
        </w:rPr>
      </w:pPr>
    </w:p>
    <w:p w14:paraId="064C834F" w14:textId="77F44909" w:rsidR="00045738" w:rsidRPr="00045738" w:rsidRDefault="00045738" w:rsidP="00045738">
      <w:pPr>
        <w:jc w:val="center"/>
        <w:rPr>
          <w:b/>
          <w:bCs/>
          <w:sz w:val="56"/>
          <w:szCs w:val="56"/>
          <w:lang w:val="en-US"/>
        </w:rPr>
      </w:pPr>
      <w:r w:rsidRPr="00045738">
        <w:rPr>
          <w:b/>
          <w:bCs/>
          <w:sz w:val="56"/>
          <w:szCs w:val="56"/>
          <w:lang w:val="en-US"/>
        </w:rPr>
        <w:t xml:space="preserve">Community </w:t>
      </w:r>
      <w:r>
        <w:rPr>
          <w:b/>
          <w:bCs/>
          <w:sz w:val="56"/>
          <w:szCs w:val="56"/>
          <w:lang w:val="en-US"/>
        </w:rPr>
        <w:t>C</w:t>
      </w:r>
      <w:r w:rsidRPr="00045738">
        <w:rPr>
          <w:b/>
          <w:bCs/>
          <w:sz w:val="56"/>
          <w:szCs w:val="56"/>
          <w:lang w:val="en-US"/>
        </w:rPr>
        <w:t>are</w:t>
      </w:r>
    </w:p>
    <w:p w14:paraId="683FB18A" w14:textId="2F56BE5A" w:rsidR="00045738" w:rsidRPr="00045738" w:rsidRDefault="00045738" w:rsidP="00045738">
      <w:pPr>
        <w:jc w:val="center"/>
        <w:rPr>
          <w:b/>
          <w:bCs/>
          <w:sz w:val="56"/>
          <w:szCs w:val="56"/>
          <w:lang w:val="en-US"/>
        </w:rPr>
      </w:pPr>
      <w:r w:rsidRPr="00045738">
        <w:rPr>
          <w:b/>
          <w:bCs/>
          <w:sz w:val="56"/>
          <w:szCs w:val="56"/>
          <w:lang w:val="en-US"/>
        </w:rPr>
        <w:t>BNMS5002</w:t>
      </w:r>
    </w:p>
    <w:p w14:paraId="527EEBF6" w14:textId="63B7BE75" w:rsidR="00045738" w:rsidRPr="00045738" w:rsidRDefault="00045738" w:rsidP="00045738">
      <w:pPr>
        <w:jc w:val="center"/>
        <w:rPr>
          <w:b/>
          <w:bCs/>
          <w:sz w:val="56"/>
          <w:szCs w:val="56"/>
          <w:lang w:val="en-US"/>
        </w:rPr>
      </w:pPr>
      <w:r w:rsidRPr="00045738">
        <w:rPr>
          <w:b/>
          <w:bCs/>
          <w:sz w:val="56"/>
          <w:szCs w:val="56"/>
          <w:lang w:val="en-US"/>
        </w:rPr>
        <w:t xml:space="preserve">Digital </w:t>
      </w:r>
      <w:r>
        <w:rPr>
          <w:b/>
          <w:bCs/>
          <w:sz w:val="56"/>
          <w:szCs w:val="56"/>
          <w:lang w:val="en-US"/>
        </w:rPr>
        <w:t>H</w:t>
      </w:r>
      <w:r w:rsidRPr="00045738">
        <w:rPr>
          <w:b/>
          <w:bCs/>
          <w:sz w:val="56"/>
          <w:szCs w:val="56"/>
          <w:lang w:val="en-US"/>
        </w:rPr>
        <w:t xml:space="preserve">ealth and </w:t>
      </w:r>
      <w:r>
        <w:rPr>
          <w:b/>
          <w:bCs/>
          <w:sz w:val="56"/>
          <w:szCs w:val="56"/>
          <w:lang w:val="en-US"/>
        </w:rPr>
        <w:t>C</w:t>
      </w:r>
      <w:r w:rsidRPr="00045738">
        <w:rPr>
          <w:b/>
          <w:bCs/>
          <w:sz w:val="56"/>
          <w:szCs w:val="56"/>
          <w:lang w:val="en-US"/>
        </w:rPr>
        <w:t>are</w:t>
      </w:r>
    </w:p>
    <w:p w14:paraId="2884B9DF" w14:textId="30B1D62C" w:rsidR="00045738" w:rsidRPr="00045738" w:rsidRDefault="00045738" w:rsidP="00045738">
      <w:pPr>
        <w:jc w:val="center"/>
        <w:rPr>
          <w:b/>
          <w:bCs/>
          <w:sz w:val="56"/>
          <w:szCs w:val="56"/>
          <w:lang w:val="en-US"/>
        </w:rPr>
      </w:pPr>
      <w:r w:rsidRPr="00045738">
        <w:rPr>
          <w:b/>
          <w:bCs/>
          <w:sz w:val="56"/>
          <w:szCs w:val="56"/>
          <w:lang w:val="en-US"/>
        </w:rPr>
        <w:t xml:space="preserve">Victoria </w:t>
      </w:r>
      <w:r>
        <w:rPr>
          <w:b/>
          <w:bCs/>
          <w:sz w:val="56"/>
          <w:szCs w:val="56"/>
          <w:lang w:val="en-US"/>
        </w:rPr>
        <w:t>H</w:t>
      </w:r>
      <w:r w:rsidRPr="00045738">
        <w:rPr>
          <w:b/>
          <w:bCs/>
          <w:sz w:val="56"/>
          <w:szCs w:val="56"/>
          <w:lang w:val="en-US"/>
        </w:rPr>
        <w:t>ole</w:t>
      </w:r>
    </w:p>
    <w:p w14:paraId="0E738FE2" w14:textId="4F0E3FFF" w:rsidR="00045738" w:rsidRPr="00045738" w:rsidRDefault="00045738" w:rsidP="00045738">
      <w:pPr>
        <w:jc w:val="center"/>
        <w:rPr>
          <w:b/>
          <w:bCs/>
          <w:sz w:val="56"/>
          <w:szCs w:val="56"/>
          <w:lang w:val="en-US"/>
        </w:rPr>
      </w:pPr>
      <w:r w:rsidRPr="00045738">
        <w:rPr>
          <w:b/>
          <w:bCs/>
          <w:sz w:val="56"/>
          <w:szCs w:val="56"/>
          <w:lang w:val="en-US"/>
        </w:rPr>
        <w:t>2110551</w:t>
      </w:r>
    </w:p>
    <w:p w14:paraId="26EF95D1" w14:textId="44D3333D" w:rsidR="00045738" w:rsidRPr="00045738" w:rsidRDefault="00045738" w:rsidP="00045738">
      <w:pPr>
        <w:jc w:val="center"/>
        <w:rPr>
          <w:b/>
          <w:bCs/>
          <w:sz w:val="56"/>
          <w:szCs w:val="56"/>
          <w:lang w:val="en-US"/>
        </w:rPr>
      </w:pPr>
      <w:r w:rsidRPr="00045738">
        <w:rPr>
          <w:b/>
          <w:bCs/>
          <w:sz w:val="56"/>
          <w:szCs w:val="56"/>
          <w:lang w:val="en-US"/>
        </w:rPr>
        <w:t xml:space="preserve">4500 </w:t>
      </w:r>
      <w:r>
        <w:rPr>
          <w:b/>
          <w:bCs/>
          <w:sz w:val="56"/>
          <w:szCs w:val="56"/>
          <w:lang w:val="en-US"/>
        </w:rPr>
        <w:t>W</w:t>
      </w:r>
      <w:r w:rsidRPr="00045738">
        <w:rPr>
          <w:b/>
          <w:bCs/>
          <w:sz w:val="56"/>
          <w:szCs w:val="56"/>
          <w:lang w:val="en-US"/>
        </w:rPr>
        <w:t xml:space="preserve">ord </w:t>
      </w:r>
      <w:r>
        <w:rPr>
          <w:b/>
          <w:bCs/>
          <w:sz w:val="56"/>
          <w:szCs w:val="56"/>
          <w:lang w:val="en-US"/>
        </w:rPr>
        <w:t>E</w:t>
      </w:r>
      <w:r w:rsidRPr="00045738">
        <w:rPr>
          <w:b/>
          <w:bCs/>
          <w:sz w:val="56"/>
          <w:szCs w:val="56"/>
          <w:lang w:val="en-US"/>
        </w:rPr>
        <w:t>ssay</w:t>
      </w:r>
    </w:p>
    <w:p w14:paraId="3EF2D306" w14:textId="069CC6F3" w:rsidR="00045738" w:rsidRDefault="00045738" w:rsidP="00045738">
      <w:pPr>
        <w:jc w:val="center"/>
        <w:rPr>
          <w:b/>
          <w:bCs/>
          <w:sz w:val="56"/>
          <w:szCs w:val="56"/>
          <w:lang w:val="en-US"/>
        </w:rPr>
      </w:pPr>
      <w:r w:rsidRPr="00045738">
        <w:rPr>
          <w:b/>
          <w:bCs/>
          <w:sz w:val="56"/>
          <w:szCs w:val="56"/>
          <w:lang w:val="en-US"/>
        </w:rPr>
        <w:t>Submitted /06/2024</w:t>
      </w:r>
    </w:p>
    <w:p w14:paraId="392CA331" w14:textId="77777777" w:rsidR="00045738" w:rsidRDefault="00045738" w:rsidP="00045738">
      <w:pPr>
        <w:jc w:val="center"/>
        <w:rPr>
          <w:b/>
          <w:bCs/>
          <w:sz w:val="56"/>
          <w:szCs w:val="56"/>
          <w:lang w:val="en-US"/>
        </w:rPr>
      </w:pPr>
    </w:p>
    <w:p w14:paraId="62D15387" w14:textId="77777777" w:rsidR="00045738" w:rsidRDefault="00045738" w:rsidP="00045738">
      <w:pPr>
        <w:jc w:val="center"/>
        <w:rPr>
          <w:b/>
          <w:bCs/>
          <w:sz w:val="56"/>
          <w:szCs w:val="56"/>
          <w:lang w:val="en-US"/>
        </w:rPr>
      </w:pPr>
    </w:p>
    <w:p w14:paraId="714FB63F" w14:textId="77777777" w:rsidR="00045738" w:rsidRDefault="00045738" w:rsidP="00045738">
      <w:pPr>
        <w:jc w:val="center"/>
        <w:rPr>
          <w:b/>
          <w:bCs/>
          <w:sz w:val="56"/>
          <w:szCs w:val="56"/>
          <w:lang w:val="en-US"/>
        </w:rPr>
      </w:pPr>
    </w:p>
    <w:p w14:paraId="759B50E8" w14:textId="77777777" w:rsidR="00DE3C3F" w:rsidRDefault="00DE3C3F" w:rsidP="00045738">
      <w:pPr>
        <w:jc w:val="center"/>
        <w:rPr>
          <w:b/>
          <w:bCs/>
          <w:sz w:val="56"/>
          <w:szCs w:val="56"/>
          <w:lang w:val="en-US"/>
        </w:rPr>
      </w:pPr>
    </w:p>
    <w:p w14:paraId="5F9E31CC" w14:textId="77777777" w:rsidR="00045738" w:rsidRDefault="00045738" w:rsidP="00045738">
      <w:pPr>
        <w:jc w:val="center"/>
        <w:rPr>
          <w:b/>
          <w:bCs/>
          <w:sz w:val="56"/>
          <w:szCs w:val="56"/>
          <w:lang w:val="en-US"/>
        </w:rPr>
      </w:pPr>
    </w:p>
    <w:p w14:paraId="59852513" w14:textId="77777777" w:rsidR="00045738" w:rsidRPr="00CB2CD1" w:rsidRDefault="00045738" w:rsidP="00CB2CD1">
      <w:pPr>
        <w:spacing w:line="360" w:lineRule="auto"/>
        <w:jc w:val="center"/>
        <w:rPr>
          <w:rFonts w:cstheme="minorHAnsi"/>
          <w:b/>
          <w:bCs/>
          <w:sz w:val="56"/>
          <w:szCs w:val="56"/>
          <w:lang w:val="en-US"/>
        </w:rPr>
      </w:pPr>
    </w:p>
    <w:p w14:paraId="633F9474" w14:textId="77777777" w:rsidR="00CB2CD1" w:rsidRPr="00D51CC1" w:rsidRDefault="00CB2CD1" w:rsidP="00D51CC1">
      <w:pPr>
        <w:pStyle w:val="NormalWeb"/>
        <w:spacing w:line="360" w:lineRule="auto"/>
        <w:rPr>
          <w:rFonts w:asciiTheme="minorHAnsi" w:hAnsiTheme="minorHAnsi" w:cstheme="minorHAnsi"/>
          <w:b/>
          <w:bCs/>
        </w:rPr>
      </w:pPr>
      <w:r w:rsidRPr="00D51CC1">
        <w:rPr>
          <w:rFonts w:asciiTheme="minorHAnsi" w:hAnsiTheme="minorHAnsi" w:cstheme="minorHAnsi"/>
          <w:b/>
          <w:bCs/>
        </w:rPr>
        <w:t>Introduction</w:t>
      </w:r>
    </w:p>
    <w:p w14:paraId="192F2140" w14:textId="77777777" w:rsidR="00CB2CD1" w:rsidRPr="00D51CC1" w:rsidRDefault="00CB2CD1" w:rsidP="00D51CC1">
      <w:pPr>
        <w:pStyle w:val="NormalWeb"/>
        <w:spacing w:line="360" w:lineRule="auto"/>
        <w:rPr>
          <w:rFonts w:asciiTheme="minorHAnsi" w:hAnsiTheme="minorHAnsi" w:cstheme="minorHAnsi"/>
        </w:rPr>
      </w:pPr>
      <w:r w:rsidRPr="00D51CC1">
        <w:rPr>
          <w:rFonts w:asciiTheme="minorHAnsi" w:hAnsiTheme="minorHAnsi" w:cstheme="minorHAnsi"/>
        </w:rPr>
        <w:t>This essay will discuss the National Health Service (NHS). It will look into the NHS's rich history, examining the influences of key figures such as Florence Nightingale and Winston Churchill and the Beveridge report on its formation. It will also explore the funding and challenges faced by the NHS over the years, including staff shortages, funding issues, and the impact of the COVID-19 pandemic; this essay will discuss the current agenda for changes within the NHS and health and social care services. It will analyse how the pandemic has resulted in rapid changes in both sectors and the challenges it has brought. Additionally, the essay will examine how people can access NHS services, the importance of community care, and how the role of the three sectors has adapted to the changes being made within the merging of health and social care. By the end of this essay, there will be a comprehensive understanding of the NHS, its history, challenges, and the current agenda for change.</w:t>
      </w:r>
    </w:p>
    <w:p w14:paraId="401B586F" w14:textId="77777777" w:rsidR="00CB2CD1" w:rsidRPr="00D51CC1" w:rsidRDefault="00CB2CD1" w:rsidP="00D51CC1">
      <w:pPr>
        <w:pStyle w:val="NormalWeb"/>
        <w:spacing w:line="360" w:lineRule="auto"/>
        <w:rPr>
          <w:rFonts w:asciiTheme="minorHAnsi" w:hAnsiTheme="minorHAnsi" w:cstheme="minorHAnsi"/>
          <w:b/>
          <w:bCs/>
        </w:rPr>
      </w:pPr>
      <w:r w:rsidRPr="00D51CC1">
        <w:rPr>
          <w:rFonts w:asciiTheme="minorHAnsi" w:hAnsiTheme="minorHAnsi" w:cstheme="minorHAnsi"/>
          <w:b/>
          <w:bCs/>
        </w:rPr>
        <w:t>What is the NHS? </w:t>
      </w:r>
    </w:p>
    <w:p w14:paraId="741C7F66" w14:textId="55952A0A" w:rsidR="00CB2CD1" w:rsidRPr="00D51CC1" w:rsidRDefault="00CB2CD1" w:rsidP="00D51CC1">
      <w:pPr>
        <w:pStyle w:val="NormalWeb"/>
        <w:spacing w:line="360" w:lineRule="auto"/>
        <w:rPr>
          <w:rFonts w:asciiTheme="minorHAnsi" w:hAnsiTheme="minorHAnsi" w:cstheme="minorHAnsi"/>
        </w:rPr>
      </w:pPr>
      <w:r w:rsidRPr="00D51CC1">
        <w:rPr>
          <w:rFonts w:asciiTheme="minorHAnsi" w:hAnsiTheme="minorHAnsi" w:cstheme="minorHAnsi"/>
        </w:rPr>
        <w:t xml:space="preserve">The National Health Service (NHS) was established in 1948, providing free care to the entire population of the United Kingdom. </w:t>
      </w:r>
      <w:r w:rsidR="00662EC8" w:rsidRPr="00D51CC1">
        <w:rPr>
          <w:rFonts w:asciiTheme="minorHAnsi" w:hAnsiTheme="minorHAnsi" w:cstheme="minorHAnsi"/>
        </w:rPr>
        <w:t>Welsh NHS Confederation (2023)</w:t>
      </w:r>
      <w:r w:rsidR="00662EC8" w:rsidRPr="00D51CC1">
        <w:rPr>
          <w:rFonts w:asciiTheme="minorHAnsi" w:hAnsiTheme="minorHAnsi" w:cstheme="minorHAnsi"/>
        </w:rPr>
        <w:t xml:space="preserve"> suggests </w:t>
      </w:r>
      <w:r w:rsidR="002031AE" w:rsidRPr="00D51CC1">
        <w:rPr>
          <w:rFonts w:asciiTheme="minorHAnsi" w:hAnsiTheme="minorHAnsi" w:cstheme="minorHAnsi"/>
        </w:rPr>
        <w:t>that the</w:t>
      </w:r>
      <w:r w:rsidRPr="00D51CC1">
        <w:rPr>
          <w:rFonts w:asciiTheme="minorHAnsi" w:hAnsiTheme="minorHAnsi" w:cstheme="minorHAnsi"/>
        </w:rPr>
        <w:t xml:space="preserve"> NHS continues to be a part of the British welfare state. During World War II, the government, led by Prime Minister Winston Churchill and the leader of the Labour Party, Clement Attlee, formed a committee to review existing social security provisions and bring together the services.</w:t>
      </w:r>
      <w:r w:rsidR="00662EC8" w:rsidRPr="00D51CC1">
        <w:rPr>
          <w:rFonts w:asciiTheme="minorHAnsi" w:hAnsiTheme="minorHAnsi" w:cstheme="minorHAnsi"/>
        </w:rPr>
        <w:t xml:space="preserve"> </w:t>
      </w:r>
      <w:r w:rsidR="00662EC8" w:rsidRPr="00D51CC1">
        <w:rPr>
          <w:rFonts w:asciiTheme="minorHAnsi" w:hAnsiTheme="minorHAnsi" w:cstheme="minorHAnsi"/>
        </w:rPr>
        <w:t>UK Parliament (2019)</w:t>
      </w:r>
      <w:r w:rsidR="00117D96" w:rsidRPr="00D51CC1">
        <w:rPr>
          <w:rFonts w:asciiTheme="minorHAnsi" w:hAnsiTheme="minorHAnsi" w:cstheme="minorHAnsi"/>
        </w:rPr>
        <w:t xml:space="preserve"> would agree</w:t>
      </w:r>
      <w:r w:rsidRPr="00D51CC1">
        <w:rPr>
          <w:rFonts w:asciiTheme="minorHAnsi" w:hAnsiTheme="minorHAnsi" w:cstheme="minorHAnsi"/>
        </w:rPr>
        <w:t xml:space="preserve"> </w:t>
      </w:r>
      <w:proofErr w:type="gramStart"/>
      <w:r w:rsidRPr="00D51CC1">
        <w:rPr>
          <w:rFonts w:asciiTheme="minorHAnsi" w:hAnsiTheme="minorHAnsi" w:cstheme="minorHAnsi"/>
        </w:rPr>
        <w:t>In</w:t>
      </w:r>
      <w:proofErr w:type="gramEnd"/>
      <w:r w:rsidRPr="00D51CC1">
        <w:rPr>
          <w:rFonts w:asciiTheme="minorHAnsi" w:hAnsiTheme="minorHAnsi" w:cstheme="minorHAnsi"/>
        </w:rPr>
        <w:t xml:space="preserve"> 1942, the Beveridge Report led to the formation of an alliance to tackle the five giants that hindered Britain's economic and social success: Want (caused by poverty), Ignorance (caused by lack of education), Squalor (caused by poor housing), Idleness (caused by lack of jobs or employment opportunities), and Disease (caused by inadequate healthcare provision). Beveridge proposed redeveloped social services to defeat these giants, including free healthcare, which became successful as the NHS introduced family allowance and social insurance to help those experiencing </w:t>
      </w:r>
      <w:r w:rsidRPr="00D51CC1">
        <w:rPr>
          <w:rFonts w:asciiTheme="minorHAnsi" w:hAnsiTheme="minorHAnsi" w:cstheme="minorHAnsi"/>
        </w:rPr>
        <w:lastRenderedPageBreak/>
        <w:t xml:space="preserve">unemployment. </w:t>
      </w:r>
      <w:r w:rsidR="00117D96" w:rsidRPr="00D51CC1">
        <w:rPr>
          <w:rFonts w:asciiTheme="minorHAnsi" w:hAnsiTheme="minorHAnsi" w:cstheme="minorHAnsi"/>
        </w:rPr>
        <w:t>National Institute for Health and Care Excellence (2012</w:t>
      </w:r>
      <w:r w:rsidR="00117D96" w:rsidRPr="00D51CC1">
        <w:rPr>
          <w:rFonts w:asciiTheme="minorHAnsi" w:hAnsiTheme="minorHAnsi" w:cstheme="minorHAnsi"/>
        </w:rPr>
        <w:t>)</w:t>
      </w:r>
      <w:r w:rsidR="003147A9" w:rsidRPr="00D51CC1">
        <w:rPr>
          <w:rFonts w:asciiTheme="minorHAnsi" w:hAnsiTheme="minorHAnsi" w:cstheme="minorHAnsi"/>
        </w:rPr>
        <w:t xml:space="preserve"> emphasises </w:t>
      </w:r>
      <w:proofErr w:type="gramStart"/>
      <w:r w:rsidRPr="00D51CC1">
        <w:rPr>
          <w:rFonts w:asciiTheme="minorHAnsi" w:hAnsiTheme="minorHAnsi" w:cstheme="minorHAnsi"/>
        </w:rPr>
        <w:t>The</w:t>
      </w:r>
      <w:proofErr w:type="gramEnd"/>
      <w:r w:rsidRPr="00D51CC1">
        <w:rPr>
          <w:rFonts w:asciiTheme="minorHAnsi" w:hAnsiTheme="minorHAnsi" w:cstheme="minorHAnsi"/>
        </w:rPr>
        <w:t xml:space="preserve"> report also suggested a universal social insurance system funded by the government, consisting of contributions from employers and employees. This flat rate payment helped protect individuals through sickness, old age, and unemployment without means of testing or social class bias.</w:t>
      </w:r>
      <w:r w:rsidR="006D18A9" w:rsidRPr="00D51CC1">
        <w:rPr>
          <w:rFonts w:asciiTheme="minorHAnsi" w:hAnsiTheme="minorHAnsi" w:cstheme="minorHAnsi"/>
          <w:shd w:val="clear" w:color="auto" w:fill="FFFFFF"/>
        </w:rPr>
        <w:t xml:space="preserve"> </w:t>
      </w:r>
      <w:r w:rsidR="006D18A9" w:rsidRPr="00D51CC1">
        <w:rPr>
          <w:rFonts w:asciiTheme="minorHAnsi" w:hAnsiTheme="minorHAnsi" w:cstheme="minorHAnsi"/>
          <w:shd w:val="clear" w:color="auto" w:fill="FFFFFF"/>
        </w:rPr>
        <w:t>Goldie, S.M. (1987) </w:t>
      </w:r>
      <w:r w:rsidRPr="00D51CC1">
        <w:rPr>
          <w:rFonts w:asciiTheme="minorHAnsi" w:hAnsiTheme="minorHAnsi" w:cstheme="minorHAnsi"/>
        </w:rPr>
        <w:t>would agree that another huge influence on the NHS was Florence Nightingale, originally born in France in 1820. Florence Nightingale was raised in England and lived in Derbyshire, Hampshire, and London. Florence Nightingale was known for several reasons, a</w:t>
      </w:r>
      <w:r w:rsidR="00672D2B" w:rsidRPr="00D51CC1">
        <w:rPr>
          <w:rFonts w:asciiTheme="minorHAnsi" w:hAnsiTheme="minorHAnsi" w:cstheme="minorHAnsi"/>
        </w:rPr>
        <w:t>s</w:t>
      </w:r>
      <w:r w:rsidRPr="00D51CC1">
        <w:rPr>
          <w:rFonts w:asciiTheme="minorHAnsi" w:hAnsiTheme="minorHAnsi" w:cstheme="minorHAnsi"/>
        </w:rPr>
        <w:t xml:space="preserve"> she strive</w:t>
      </w:r>
      <w:r w:rsidR="00672D2B" w:rsidRPr="00D51CC1">
        <w:rPr>
          <w:rFonts w:asciiTheme="minorHAnsi" w:hAnsiTheme="minorHAnsi" w:cstheme="minorHAnsi"/>
        </w:rPr>
        <w:t>d</w:t>
      </w:r>
      <w:r w:rsidRPr="00D51CC1">
        <w:rPr>
          <w:rFonts w:asciiTheme="minorHAnsi" w:hAnsiTheme="minorHAnsi" w:cstheme="minorHAnsi"/>
        </w:rPr>
        <w:t xml:space="preserve"> to commit to health services as a nurse. Florence Nightingale's emphasis on hygiene practices, such as regular cleaning and hand washing, significantly improved patients' conditions under her care. Thanks to her pioneering work, we now recognise these practices as some of the most effective ways to prevent the spread of diseases. </w:t>
      </w:r>
      <w:r w:rsidR="00CA4D94" w:rsidRPr="00D51CC1">
        <w:rPr>
          <w:rFonts w:asciiTheme="minorHAnsi" w:hAnsiTheme="minorHAnsi" w:cstheme="minorHAnsi"/>
          <w:shd w:val="clear" w:color="auto" w:fill="FFFFFF"/>
        </w:rPr>
        <w:t>Huxley, E. (1975) </w:t>
      </w:r>
      <w:r w:rsidR="00CA4D94" w:rsidRPr="00D51CC1">
        <w:rPr>
          <w:rFonts w:asciiTheme="minorHAnsi" w:hAnsiTheme="minorHAnsi" w:cstheme="minorHAnsi"/>
          <w:shd w:val="clear" w:color="auto" w:fill="FFFFFF"/>
        </w:rPr>
        <w:t xml:space="preserve">suggests </w:t>
      </w:r>
      <w:r w:rsidRPr="00D51CC1">
        <w:rPr>
          <w:rFonts w:asciiTheme="minorHAnsi" w:hAnsiTheme="minorHAnsi" w:cstheme="minorHAnsi"/>
        </w:rPr>
        <w:t>Despite working in difficult circumstances, Nightingale was dedicated to her patients and even visited them during the darkest hours of the night, carrying a lamp to guide her way, which quickly gave her the nickname of the lady with the lamp; she established the first professional training school for nurses in 1860, transforming nursing into a profession for women known as the Nightingale Training School at St Thomas' Hospital. In 1954, with the approval of Sidney Herbert, the Secretary of War, Florence Nightingale assembled a group of 38 volunteer nurses to provide medical care for British soldiers fighting in the Crimean War. The war was an attempt to prevent Russian expansion into Europe. During her service in the Crimean War, Florence Nightingale demonstrated that access to clean water, sanitation measures, and a healthy diet positively impacted the health of wounded soldiers. This led to a reduction in the death rate caused by preventable infectious diseases. Although cleanliness and sanitation remain key pillars on which the NHS stands, there have been many changes in how the national health service practices and cares for those they treat.</w:t>
      </w:r>
      <w:r w:rsidR="00E94403" w:rsidRPr="00D51CC1">
        <w:rPr>
          <w:rFonts w:asciiTheme="minorHAnsi" w:hAnsiTheme="minorHAnsi" w:cstheme="minorHAnsi"/>
        </w:rPr>
        <w:t xml:space="preserve"> </w:t>
      </w:r>
      <w:r w:rsidR="00E94403" w:rsidRPr="00D51CC1">
        <w:rPr>
          <w:rFonts w:asciiTheme="minorHAnsi" w:hAnsiTheme="minorHAnsi" w:cstheme="minorHAnsi"/>
        </w:rPr>
        <w:t>The Kings Fund (2022</w:t>
      </w:r>
      <w:proofErr w:type="gramStart"/>
      <w:r w:rsidR="00E94403" w:rsidRPr="00D51CC1">
        <w:rPr>
          <w:rFonts w:asciiTheme="minorHAnsi" w:hAnsiTheme="minorHAnsi" w:cstheme="minorHAnsi"/>
        </w:rPr>
        <w:t>)</w:t>
      </w:r>
      <w:r w:rsidR="00E94403" w:rsidRPr="00D51CC1">
        <w:rPr>
          <w:rFonts w:asciiTheme="minorHAnsi" w:hAnsiTheme="minorHAnsi" w:cstheme="minorHAnsi"/>
        </w:rPr>
        <w:t xml:space="preserve"> </w:t>
      </w:r>
      <w:r w:rsidRPr="00D51CC1">
        <w:rPr>
          <w:rFonts w:asciiTheme="minorHAnsi" w:hAnsiTheme="minorHAnsi" w:cstheme="minorHAnsi"/>
        </w:rPr>
        <w:t xml:space="preserve"> emphasises</w:t>
      </w:r>
      <w:proofErr w:type="gramEnd"/>
      <w:r w:rsidRPr="00D51CC1">
        <w:rPr>
          <w:rFonts w:asciiTheme="minorHAnsi" w:hAnsiTheme="minorHAnsi" w:cstheme="minorHAnsi"/>
        </w:rPr>
        <w:t xml:space="preserve"> that Despite the core principles of nursing remaining relatively consistent over time, the context in which care is delivered has undergone significant transformations since </w:t>
      </w:r>
      <w:r w:rsidR="002031AE" w:rsidRPr="00D51CC1">
        <w:rPr>
          <w:rFonts w:asciiTheme="minorHAnsi" w:hAnsiTheme="minorHAnsi" w:cstheme="minorHAnsi"/>
        </w:rPr>
        <w:t>establishing</w:t>
      </w:r>
      <w:r w:rsidRPr="00D51CC1">
        <w:rPr>
          <w:rFonts w:asciiTheme="minorHAnsi" w:hAnsiTheme="minorHAnsi" w:cstheme="minorHAnsi"/>
        </w:rPr>
        <w:t xml:space="preserve"> the NHS in 1948. Nursing practice has evolved to keep pace with technological advancements, changing patient demographics, and shifting societal attitudes towards healthcar</w:t>
      </w:r>
      <w:r w:rsidR="00E94403" w:rsidRPr="00D51CC1">
        <w:rPr>
          <w:rFonts w:asciiTheme="minorHAnsi" w:hAnsiTheme="minorHAnsi" w:cstheme="minorHAnsi"/>
        </w:rPr>
        <w:t xml:space="preserve">e. </w:t>
      </w:r>
      <w:r w:rsidR="00E94403" w:rsidRPr="00D51CC1">
        <w:rPr>
          <w:rFonts w:asciiTheme="minorHAnsi" w:hAnsiTheme="minorHAnsi" w:cstheme="minorHAnsi"/>
        </w:rPr>
        <w:t>Deakin, M. (2022)</w:t>
      </w:r>
      <w:r w:rsidR="00E94403" w:rsidRPr="00D51CC1">
        <w:rPr>
          <w:rFonts w:asciiTheme="minorHAnsi" w:hAnsiTheme="minorHAnsi" w:cstheme="minorHAnsi"/>
        </w:rPr>
        <w:t xml:space="preserve"> argues that</w:t>
      </w:r>
      <w:r w:rsidR="00E94403" w:rsidRPr="00D51CC1">
        <w:rPr>
          <w:rFonts w:asciiTheme="minorHAnsi" w:hAnsiTheme="minorHAnsi" w:cstheme="minorHAnsi"/>
        </w:rPr>
        <w:t xml:space="preserve"> </w:t>
      </w:r>
      <w:r w:rsidRPr="00D51CC1">
        <w:rPr>
          <w:rFonts w:asciiTheme="minorHAnsi" w:hAnsiTheme="minorHAnsi" w:cstheme="minorHAnsi"/>
        </w:rPr>
        <w:t>Nurses are expected to possess diverse skills, knowledge, and expertise to provide high-quality, patient-</w:t>
      </w:r>
      <w:proofErr w:type="spellStart"/>
      <w:r w:rsidRPr="00D51CC1">
        <w:rPr>
          <w:rFonts w:asciiTheme="minorHAnsi" w:hAnsiTheme="minorHAnsi" w:cstheme="minorHAnsi"/>
        </w:rPr>
        <w:t>centered</w:t>
      </w:r>
      <w:proofErr w:type="spellEnd"/>
      <w:r w:rsidRPr="00D51CC1">
        <w:rPr>
          <w:rFonts w:asciiTheme="minorHAnsi" w:hAnsiTheme="minorHAnsi" w:cstheme="minorHAnsi"/>
        </w:rPr>
        <w:t xml:space="preserve"> care. They work in a complex, dynamic healthcare system that demands adaptability, flexibility, and collaboration. Patient needs have become </w:t>
      </w:r>
      <w:r w:rsidRPr="00D51CC1">
        <w:rPr>
          <w:rFonts w:asciiTheme="minorHAnsi" w:hAnsiTheme="minorHAnsi" w:cstheme="minorHAnsi"/>
        </w:rPr>
        <w:lastRenderedPageBreak/>
        <w:t xml:space="preserve">more complex, with chronic diseases, comorbidities, and an ageing population presenting new challenges to healthcare providers. As a result, nurses must be highly skilled in clinical decision-making, communication, and critical thinking. Despite these changes, the core values of nursing, including compassion, respect, and dignity, remain at the heart of the profession. </w:t>
      </w:r>
      <w:r w:rsidR="008934BC" w:rsidRPr="00D51CC1">
        <w:rPr>
          <w:rFonts w:asciiTheme="minorHAnsi" w:hAnsiTheme="minorHAnsi" w:cstheme="minorHAnsi"/>
          <w:shd w:val="clear" w:color="auto" w:fill="FFFFFF"/>
        </w:rPr>
        <w:t xml:space="preserve">Montanari, F., </w:t>
      </w:r>
      <w:proofErr w:type="spellStart"/>
      <w:r w:rsidR="008934BC" w:rsidRPr="00D51CC1">
        <w:rPr>
          <w:rFonts w:asciiTheme="minorHAnsi" w:hAnsiTheme="minorHAnsi" w:cstheme="minorHAnsi"/>
          <w:shd w:val="clear" w:color="auto" w:fill="FFFFFF"/>
        </w:rPr>
        <w:t>Mattarelli</w:t>
      </w:r>
      <w:proofErr w:type="spellEnd"/>
      <w:r w:rsidR="008934BC" w:rsidRPr="00D51CC1">
        <w:rPr>
          <w:rFonts w:asciiTheme="minorHAnsi" w:hAnsiTheme="minorHAnsi" w:cstheme="minorHAnsi"/>
          <w:shd w:val="clear" w:color="auto" w:fill="FFFFFF"/>
        </w:rPr>
        <w:t xml:space="preserve">, E. and </w:t>
      </w:r>
      <w:proofErr w:type="spellStart"/>
      <w:r w:rsidR="008934BC" w:rsidRPr="00D51CC1">
        <w:rPr>
          <w:rFonts w:asciiTheme="minorHAnsi" w:hAnsiTheme="minorHAnsi" w:cstheme="minorHAnsi"/>
          <w:shd w:val="clear" w:color="auto" w:fill="FFFFFF"/>
        </w:rPr>
        <w:t>Scapolan</w:t>
      </w:r>
      <w:proofErr w:type="spellEnd"/>
      <w:r w:rsidR="008934BC" w:rsidRPr="00D51CC1">
        <w:rPr>
          <w:rFonts w:asciiTheme="minorHAnsi" w:hAnsiTheme="minorHAnsi" w:cstheme="minorHAnsi"/>
          <w:shd w:val="clear" w:color="auto" w:fill="FFFFFF"/>
        </w:rPr>
        <w:t>, A.C. (eds) (2021) </w:t>
      </w:r>
      <w:r w:rsidR="002031AE" w:rsidRPr="00D51CC1">
        <w:rPr>
          <w:rFonts w:asciiTheme="minorHAnsi" w:hAnsiTheme="minorHAnsi" w:cstheme="minorHAnsi"/>
        </w:rPr>
        <w:t>suggest</w:t>
      </w:r>
      <w:r w:rsidRPr="00D51CC1">
        <w:rPr>
          <w:rFonts w:asciiTheme="minorHAnsi" w:hAnsiTheme="minorHAnsi" w:cstheme="minorHAnsi"/>
        </w:rPr>
        <w:t xml:space="preserve"> that collaborative work in health and social care is essential for driving growth and innovation in the industry. Innovation is a core driver of growth in most organisations, and collaboration is crucial in promoting it. </w:t>
      </w:r>
      <w:r w:rsidR="00690B64" w:rsidRPr="00D51CC1">
        <w:rPr>
          <w:rFonts w:asciiTheme="minorHAnsi" w:hAnsiTheme="minorHAnsi" w:cstheme="minorHAnsi"/>
        </w:rPr>
        <w:t xml:space="preserve">O’Sullivan, B. (2001) </w:t>
      </w:r>
      <w:r w:rsidR="005E3CC7" w:rsidRPr="00D51CC1">
        <w:rPr>
          <w:rFonts w:asciiTheme="minorHAnsi" w:hAnsiTheme="minorHAnsi" w:cstheme="minorHAnsi"/>
        </w:rPr>
        <w:t xml:space="preserve">would agree that </w:t>
      </w:r>
      <w:r w:rsidRPr="00D51CC1">
        <w:rPr>
          <w:rFonts w:asciiTheme="minorHAnsi" w:hAnsiTheme="minorHAnsi" w:cstheme="minorHAnsi"/>
        </w:rPr>
        <w:t xml:space="preserve">When team members collaborate effectively, they can exchange ideas, share their experiences, and draw upon their collective expertise to weigh in on them. This process of brainstorming and sharing ideas facilitates the generation of new and innovative ideas. Collaboration also enables team members to identify gaps in knowledge or skills that can be addressed through training or additional </w:t>
      </w:r>
      <w:proofErr w:type="spellStart"/>
      <w:proofErr w:type="gramStart"/>
      <w:r w:rsidRPr="00D51CC1">
        <w:rPr>
          <w:rFonts w:asciiTheme="minorHAnsi" w:hAnsiTheme="minorHAnsi" w:cstheme="minorHAnsi"/>
        </w:rPr>
        <w:t>resources</w:t>
      </w:r>
      <w:r w:rsidR="002031AE" w:rsidRPr="00D51CC1">
        <w:rPr>
          <w:rFonts w:asciiTheme="minorHAnsi" w:hAnsiTheme="minorHAnsi" w:cstheme="minorHAnsi"/>
        </w:rPr>
        <w:t>.</w:t>
      </w:r>
      <w:r w:rsidR="005E3CC7" w:rsidRPr="00D51CC1">
        <w:rPr>
          <w:rFonts w:asciiTheme="minorHAnsi" w:hAnsiTheme="minorHAnsi" w:cstheme="minorHAnsi"/>
        </w:rPr>
        <w:t>Bradley</w:t>
      </w:r>
      <w:proofErr w:type="spellEnd"/>
      <w:proofErr w:type="gramEnd"/>
      <w:r w:rsidR="005E3CC7" w:rsidRPr="00D51CC1">
        <w:rPr>
          <w:rFonts w:asciiTheme="minorHAnsi" w:hAnsiTheme="minorHAnsi" w:cstheme="minorHAnsi"/>
        </w:rPr>
        <w:t xml:space="preserve">, </w:t>
      </w:r>
      <w:r w:rsidR="002031AE" w:rsidRPr="00D51CC1">
        <w:rPr>
          <w:rFonts w:asciiTheme="minorHAnsi" w:hAnsiTheme="minorHAnsi" w:cstheme="minorHAnsi"/>
        </w:rPr>
        <w:t>P. and Wilson, A. (2014) suggest</w:t>
      </w:r>
      <w:r w:rsidRPr="00D51CC1">
        <w:rPr>
          <w:rFonts w:asciiTheme="minorHAnsi" w:hAnsiTheme="minorHAnsi" w:cstheme="minorHAnsi"/>
        </w:rPr>
        <w:t xml:space="preserve"> </w:t>
      </w:r>
      <w:r w:rsidR="00D51CC1" w:rsidRPr="00D51CC1">
        <w:rPr>
          <w:rFonts w:asciiTheme="minorHAnsi" w:hAnsiTheme="minorHAnsi" w:cstheme="minorHAnsi"/>
        </w:rPr>
        <w:t xml:space="preserve">That it can help teams identify potential challenges or obstacles to achieving their goals and </w:t>
      </w:r>
      <w:r w:rsidRPr="00D51CC1">
        <w:rPr>
          <w:rFonts w:asciiTheme="minorHAnsi" w:hAnsiTheme="minorHAnsi" w:cstheme="minorHAnsi"/>
        </w:rPr>
        <w:t>develop strategies for overcoming them. This proactive approach to problem-solving helps ensure that teams are well-prepared to face any challenges. Moreover, collaboration creates a sense of shared ownership and responsibility for the success of a project or organisation.</w:t>
      </w:r>
      <w:r w:rsidR="00F06208" w:rsidRPr="00D51CC1">
        <w:rPr>
          <w:rFonts w:asciiTheme="minorHAnsi" w:hAnsiTheme="minorHAnsi" w:cstheme="minorHAnsi"/>
          <w:shd w:val="clear" w:color="auto" w:fill="FFFFFF"/>
        </w:rPr>
        <w:t xml:space="preserve"> </w:t>
      </w:r>
      <w:r w:rsidR="00F06208" w:rsidRPr="00D51CC1">
        <w:rPr>
          <w:rFonts w:asciiTheme="minorHAnsi" w:hAnsiTheme="minorHAnsi" w:cstheme="minorHAnsi"/>
          <w:shd w:val="clear" w:color="auto" w:fill="FFFFFF"/>
        </w:rPr>
        <w:t xml:space="preserve">Rigg, C. and O’Mahony, N. (2013) </w:t>
      </w:r>
      <w:r w:rsidR="002031AE" w:rsidRPr="00D51CC1">
        <w:rPr>
          <w:rFonts w:asciiTheme="minorHAnsi" w:hAnsiTheme="minorHAnsi" w:cstheme="minorHAnsi"/>
          <w:shd w:val="clear" w:color="auto" w:fill="FFFFFF"/>
        </w:rPr>
        <w:t>emphasise</w:t>
      </w:r>
      <w:r w:rsidRPr="00D51CC1">
        <w:rPr>
          <w:rFonts w:asciiTheme="minorHAnsi" w:hAnsiTheme="minorHAnsi" w:cstheme="minorHAnsi"/>
        </w:rPr>
        <w:t xml:space="preserve"> </w:t>
      </w:r>
      <w:r w:rsidR="00D51CC1" w:rsidRPr="00D51CC1">
        <w:rPr>
          <w:rFonts w:asciiTheme="minorHAnsi" w:hAnsiTheme="minorHAnsi" w:cstheme="minorHAnsi"/>
        </w:rPr>
        <w:t>that when</w:t>
      </w:r>
      <w:r w:rsidRPr="00D51CC1">
        <w:rPr>
          <w:rFonts w:asciiTheme="minorHAnsi" w:hAnsiTheme="minorHAnsi" w:cstheme="minorHAnsi"/>
        </w:rPr>
        <w:t xml:space="preserve"> team members work closely together, they are more likely to feel invested in the outcome of their work and to work harder to achieve their goals. This can lead to greater productivity, job satisfaction, and a more positive work environment.</w:t>
      </w:r>
      <w:r w:rsidR="00945C70" w:rsidRPr="00D51CC1">
        <w:rPr>
          <w:rFonts w:asciiTheme="minorHAnsi" w:hAnsiTheme="minorHAnsi" w:cstheme="minorHAnsi"/>
          <w:shd w:val="clear" w:color="auto" w:fill="FFFFFF"/>
        </w:rPr>
        <w:t xml:space="preserve"> </w:t>
      </w:r>
      <w:r w:rsidR="00945C70" w:rsidRPr="00D51CC1">
        <w:rPr>
          <w:rFonts w:asciiTheme="minorHAnsi" w:hAnsiTheme="minorHAnsi" w:cstheme="minorHAnsi"/>
          <w:shd w:val="clear" w:color="auto" w:fill="FFFFFF"/>
        </w:rPr>
        <w:t xml:space="preserve">Cunningham, C. (2017) </w:t>
      </w:r>
      <w:r w:rsidRPr="00D51CC1">
        <w:rPr>
          <w:rFonts w:asciiTheme="minorHAnsi" w:hAnsiTheme="minorHAnsi" w:cstheme="minorHAnsi"/>
        </w:rPr>
        <w:t xml:space="preserve">suggest that technology has transformed how we process and share information and data in today's fast-paced world. With the help of innovative devices and software, information access has become quicker and more efficient than ever. Technology has enabled access to any information anytime with just a few clicks or taps, whether at home, at work, or on the go. </w:t>
      </w:r>
      <w:proofErr w:type="spellStart"/>
      <w:r w:rsidR="007C1193" w:rsidRPr="00D51CC1">
        <w:rPr>
          <w:rFonts w:asciiTheme="minorHAnsi" w:hAnsiTheme="minorHAnsi" w:cstheme="minorHAnsi"/>
        </w:rPr>
        <w:t>Sherifi</w:t>
      </w:r>
      <w:proofErr w:type="spellEnd"/>
      <w:r w:rsidR="007C1193" w:rsidRPr="00D51CC1">
        <w:rPr>
          <w:rFonts w:asciiTheme="minorHAnsi" w:hAnsiTheme="minorHAnsi" w:cstheme="minorHAnsi"/>
        </w:rPr>
        <w:t xml:space="preserve">, J. (2023) </w:t>
      </w:r>
      <w:r w:rsidR="007C1193" w:rsidRPr="00D51CC1">
        <w:rPr>
          <w:rFonts w:asciiTheme="minorHAnsi" w:hAnsiTheme="minorHAnsi" w:cstheme="minorHAnsi"/>
        </w:rPr>
        <w:t xml:space="preserve">would agree </w:t>
      </w:r>
      <w:r w:rsidR="00500AAE" w:rsidRPr="00D51CC1">
        <w:rPr>
          <w:rFonts w:asciiTheme="minorHAnsi" w:hAnsiTheme="minorHAnsi" w:cstheme="minorHAnsi"/>
        </w:rPr>
        <w:t>that thanks</w:t>
      </w:r>
      <w:r w:rsidRPr="00D51CC1">
        <w:rPr>
          <w:rFonts w:asciiTheme="minorHAnsi" w:hAnsiTheme="minorHAnsi" w:cstheme="minorHAnsi"/>
        </w:rPr>
        <w:t xml:space="preserve"> to technology, we are no longer limited by time or location, and we can easily exchange information with others across the globe. The impact of technology on information processing and sharing cannot be overstated, as it has revolutionised how we interact with data, making it more accessible, convenient, and powerful than ever before</w:t>
      </w:r>
      <w:r w:rsidR="00500AAE" w:rsidRPr="00D51CC1">
        <w:rPr>
          <w:rFonts w:asciiTheme="minorHAnsi" w:hAnsiTheme="minorHAnsi" w:cstheme="minorHAnsi"/>
        </w:rPr>
        <w:t>.</w:t>
      </w:r>
      <w:r w:rsidR="00260C9C" w:rsidRPr="00D51CC1">
        <w:rPr>
          <w:rFonts w:asciiTheme="minorHAnsi" w:hAnsiTheme="minorHAnsi" w:cstheme="minorHAnsi"/>
          <w:shd w:val="clear" w:color="auto" w:fill="FFFFFF"/>
        </w:rPr>
        <w:t xml:space="preserve"> Altmann, P. and Michael, J. (2011)</w:t>
      </w:r>
      <w:r w:rsidR="00500AAE" w:rsidRPr="00D51CC1">
        <w:rPr>
          <w:rFonts w:asciiTheme="minorHAnsi" w:hAnsiTheme="minorHAnsi" w:cstheme="minorHAnsi"/>
          <w:shd w:val="clear" w:color="auto" w:fill="FFFFFF"/>
        </w:rPr>
        <w:t xml:space="preserve"> </w:t>
      </w:r>
      <w:r w:rsidRPr="00D51CC1">
        <w:rPr>
          <w:rFonts w:asciiTheme="minorHAnsi" w:hAnsiTheme="minorHAnsi" w:cstheme="minorHAnsi"/>
        </w:rPr>
        <w:t xml:space="preserve">argue </w:t>
      </w:r>
      <w:r w:rsidR="00D51CC1" w:rsidRPr="00D51CC1">
        <w:rPr>
          <w:rFonts w:asciiTheme="minorHAnsi" w:hAnsiTheme="minorHAnsi" w:cstheme="minorHAnsi"/>
        </w:rPr>
        <w:t>that technology</w:t>
      </w:r>
      <w:r w:rsidRPr="00D51CC1">
        <w:rPr>
          <w:rFonts w:asciiTheme="minorHAnsi" w:hAnsiTheme="minorHAnsi" w:cstheme="minorHAnsi"/>
        </w:rPr>
        <w:t xml:space="preserve"> integration into the healthcare industry has been a game-changer, and the NHS is no exception. However, as with any new technology, there are potential downsides. One such downside is the risk of personal data </w:t>
      </w:r>
      <w:r w:rsidRPr="00D51CC1">
        <w:rPr>
          <w:rFonts w:asciiTheme="minorHAnsi" w:hAnsiTheme="minorHAnsi" w:cstheme="minorHAnsi"/>
        </w:rPr>
        <w:lastRenderedPageBreak/>
        <w:t xml:space="preserve">breaches, which could lead to identity theft, financial fraud, and other forms of exploitation. </w:t>
      </w:r>
      <w:r w:rsidR="00263C03" w:rsidRPr="00D51CC1">
        <w:rPr>
          <w:rFonts w:asciiTheme="minorHAnsi" w:hAnsiTheme="minorHAnsi" w:cstheme="minorHAnsi"/>
          <w:shd w:val="clear" w:color="auto" w:fill="FFFFFF"/>
        </w:rPr>
        <w:t>Ford</w:t>
      </w:r>
      <w:r w:rsidR="00500AAE" w:rsidRPr="00D51CC1">
        <w:rPr>
          <w:rFonts w:asciiTheme="minorHAnsi" w:hAnsiTheme="minorHAnsi" w:cstheme="minorHAnsi"/>
          <w:shd w:val="clear" w:color="auto" w:fill="FFFFFF"/>
        </w:rPr>
        <w:t xml:space="preserve"> S. et al. (2003) emphasise</w:t>
      </w:r>
      <w:r w:rsidR="00263C03" w:rsidRPr="00D51CC1">
        <w:rPr>
          <w:rFonts w:asciiTheme="minorHAnsi" w:hAnsiTheme="minorHAnsi" w:cstheme="minorHAnsi"/>
          <w:shd w:val="clear" w:color="auto" w:fill="FFFFFF"/>
        </w:rPr>
        <w:t xml:space="preserve"> that </w:t>
      </w:r>
      <w:r w:rsidRPr="00D51CC1">
        <w:rPr>
          <w:rFonts w:asciiTheme="minorHAnsi" w:hAnsiTheme="minorHAnsi" w:cstheme="minorHAnsi"/>
        </w:rPr>
        <w:t>Cybercriminals can exploit weaknesses in the IT systems used in hospitals and other healthcare facilities to gain unauthorised access to sensitive patient data. They may then use this data to launch targeted attacks or sell it on the dark web. Another potential issue with relying solely on technology in healthcare is the risk of system failures or malfunctions. In the event of a power outage or a technical glitch, critical patient information could be lost or inaccessible, leading to potentially life-threatening errors or delays in care. Moreover, not all patients are comfortable with being treated solely by machines or algorithms, and they may prefer more human interaction to ensure that they receive the best possible care.  </w:t>
      </w:r>
      <w:r w:rsidR="00D96C54" w:rsidRPr="00D51CC1">
        <w:rPr>
          <w:rFonts w:asciiTheme="minorHAnsi" w:hAnsiTheme="minorHAnsi" w:cstheme="minorHAnsi"/>
          <w:shd w:val="clear" w:color="auto" w:fill="FFFFFF"/>
        </w:rPr>
        <w:t>Frame, J., Watson, J. and Thomson, K. (2008)</w:t>
      </w:r>
      <w:r w:rsidR="00500AAE" w:rsidRPr="00D51CC1">
        <w:rPr>
          <w:rFonts w:asciiTheme="minorHAnsi" w:hAnsiTheme="minorHAnsi" w:cstheme="minorHAnsi"/>
          <w:shd w:val="clear" w:color="auto" w:fill="FFFFFF"/>
        </w:rPr>
        <w:t xml:space="preserve"> argue that it</w:t>
      </w:r>
      <w:r w:rsidRPr="00D51CC1">
        <w:rPr>
          <w:rFonts w:asciiTheme="minorHAnsi" w:hAnsiTheme="minorHAnsi" w:cstheme="minorHAnsi"/>
        </w:rPr>
        <w:t xml:space="preserve"> is essential to balance technology and human intervention in healthcare to mitigate these risks. Medical professionals and IT experts must work together to ensure that patient data is protected from cyber threats and that IT systems are robust enough to withstand potential failures. Additionally</w:t>
      </w:r>
      <w:r w:rsidR="00BF0E22" w:rsidRPr="00D51CC1">
        <w:rPr>
          <w:rFonts w:asciiTheme="minorHAnsi" w:hAnsiTheme="minorHAnsi" w:cstheme="minorHAnsi"/>
        </w:rPr>
        <w:t>, patients should be informed</w:t>
      </w:r>
      <w:r w:rsidRPr="00D51CC1">
        <w:rPr>
          <w:rFonts w:asciiTheme="minorHAnsi" w:hAnsiTheme="minorHAnsi" w:cstheme="minorHAnsi"/>
        </w:rPr>
        <w:t xml:space="preserve"> of any risks and benefits of using technology in healthcare, and their preferences should be considered when designing treatment plans. By doing so, we can ensure that technology enhances patient care rather than putting it at risk.</w:t>
      </w:r>
    </w:p>
    <w:p w14:paraId="04506D89" w14:textId="77777777" w:rsidR="00CB2CD1" w:rsidRPr="00D51CC1" w:rsidRDefault="00CB2CD1" w:rsidP="00D51CC1">
      <w:pPr>
        <w:pStyle w:val="NormalWeb"/>
        <w:spacing w:line="360" w:lineRule="auto"/>
        <w:rPr>
          <w:rFonts w:asciiTheme="minorHAnsi" w:hAnsiTheme="minorHAnsi" w:cstheme="minorHAnsi"/>
          <w:b/>
          <w:bCs/>
        </w:rPr>
      </w:pPr>
      <w:r w:rsidRPr="00D51CC1">
        <w:rPr>
          <w:rFonts w:asciiTheme="minorHAnsi" w:hAnsiTheme="minorHAnsi" w:cstheme="minorHAnsi"/>
          <w:b/>
          <w:bCs/>
        </w:rPr>
        <w:t>The current agenda for change within the NHS and health and social care.</w:t>
      </w:r>
    </w:p>
    <w:p w14:paraId="7AD14ED5" w14:textId="567A9D58" w:rsidR="00CB2CD1" w:rsidRPr="00D51CC1" w:rsidRDefault="00CB2CD1" w:rsidP="00D51CC1">
      <w:pPr>
        <w:pStyle w:val="NormalWeb"/>
        <w:spacing w:line="360" w:lineRule="auto"/>
        <w:rPr>
          <w:rFonts w:asciiTheme="minorHAnsi" w:hAnsiTheme="minorHAnsi" w:cstheme="minorHAnsi"/>
        </w:rPr>
      </w:pPr>
      <w:r w:rsidRPr="00D51CC1">
        <w:rPr>
          <w:rFonts w:asciiTheme="minorHAnsi" w:hAnsiTheme="minorHAnsi" w:cstheme="minorHAnsi"/>
        </w:rPr>
        <w:t>The Agenda for Change is a comprehensive national pay system covering all NHS staff, including nurses, midwives, healthcare assistants, and administrative staff, except doctors, dentists, and senior managers</w:t>
      </w:r>
      <w:r w:rsidR="00BA2157" w:rsidRPr="00D51CC1">
        <w:rPr>
          <w:rFonts w:asciiTheme="minorHAnsi" w:hAnsiTheme="minorHAnsi" w:cstheme="minorHAnsi"/>
        </w:rPr>
        <w:t>.</w:t>
      </w:r>
      <w:r w:rsidR="00147209" w:rsidRPr="00D51CC1">
        <w:rPr>
          <w:rFonts w:asciiTheme="minorHAnsi" w:hAnsiTheme="minorHAnsi" w:cstheme="minorHAnsi"/>
        </w:rPr>
        <w:t xml:space="preserve"> </w:t>
      </w:r>
      <w:r w:rsidR="00147209" w:rsidRPr="00D51CC1">
        <w:rPr>
          <w:rFonts w:asciiTheme="minorHAnsi" w:hAnsiTheme="minorHAnsi" w:cstheme="minorHAnsi"/>
        </w:rPr>
        <w:t>Hudson, B. (</w:t>
      </w:r>
      <w:proofErr w:type="gramStart"/>
      <w:r w:rsidR="00147209" w:rsidRPr="00D51CC1">
        <w:rPr>
          <w:rFonts w:asciiTheme="minorHAnsi" w:hAnsiTheme="minorHAnsi" w:cstheme="minorHAnsi"/>
        </w:rPr>
        <w:t>2021)</w:t>
      </w:r>
      <w:r w:rsidR="00B83DBC" w:rsidRPr="00D51CC1">
        <w:rPr>
          <w:rFonts w:asciiTheme="minorHAnsi" w:hAnsiTheme="minorHAnsi" w:cstheme="minorHAnsi"/>
        </w:rPr>
        <w:t>emphasises</w:t>
      </w:r>
      <w:proofErr w:type="gramEnd"/>
      <w:r w:rsidR="00B83DBC" w:rsidRPr="00D51CC1">
        <w:rPr>
          <w:rFonts w:asciiTheme="minorHAnsi" w:hAnsiTheme="minorHAnsi" w:cstheme="minorHAnsi"/>
        </w:rPr>
        <w:t xml:space="preserve"> that</w:t>
      </w:r>
      <w:r w:rsidR="00500AAE" w:rsidRPr="00D51CC1">
        <w:rPr>
          <w:rFonts w:asciiTheme="minorHAnsi" w:hAnsiTheme="minorHAnsi" w:cstheme="minorHAnsi"/>
        </w:rPr>
        <w:t>, as introduced in 2004, the system aims to provide a fair, transparent,</w:t>
      </w:r>
      <w:r w:rsidRPr="00D51CC1">
        <w:rPr>
          <w:rFonts w:asciiTheme="minorHAnsi" w:hAnsiTheme="minorHAnsi" w:cstheme="minorHAnsi"/>
        </w:rPr>
        <w:t xml:space="preserve"> and consistent pay structure for all NHS employees based on their job roles, skills, and experience. The Agenda for Change pay system is divided into nine pay bands, each corresponding to a different level of responsibility and experience. The pay bands range from Band 1 for entry-level roles, such as healthcare assistants, to Band 9 for the most senior managers. However, the NHS faces various challenges that threaten its ability to deliver high-quality care to patients. Among these challenges is insufficient funding, which has led to a backlog of patients awaiting treatment.</w:t>
      </w:r>
      <w:r w:rsidR="00B83DBC" w:rsidRPr="00D51CC1">
        <w:rPr>
          <w:rFonts w:asciiTheme="minorHAnsi" w:hAnsiTheme="minorHAnsi" w:cstheme="minorHAnsi"/>
        </w:rPr>
        <w:t xml:space="preserve"> </w:t>
      </w:r>
      <w:r w:rsidR="00B83DBC" w:rsidRPr="00D51CC1">
        <w:rPr>
          <w:rFonts w:asciiTheme="minorHAnsi" w:hAnsiTheme="minorHAnsi" w:cstheme="minorHAnsi"/>
        </w:rPr>
        <w:t>National Health Service (2020)</w:t>
      </w:r>
      <w:r w:rsidR="00C15A52" w:rsidRPr="00D51CC1">
        <w:rPr>
          <w:rFonts w:asciiTheme="minorHAnsi" w:hAnsiTheme="minorHAnsi" w:cstheme="minorHAnsi"/>
        </w:rPr>
        <w:t xml:space="preserve"> </w:t>
      </w:r>
      <w:r w:rsidR="00500AAE" w:rsidRPr="00D51CC1">
        <w:rPr>
          <w:rFonts w:asciiTheme="minorHAnsi" w:hAnsiTheme="minorHAnsi" w:cstheme="minorHAnsi"/>
        </w:rPr>
        <w:t xml:space="preserve">states that staff shortages have become a significant issue, particularly in the </w:t>
      </w:r>
      <w:r w:rsidRPr="00D51CC1">
        <w:rPr>
          <w:rFonts w:asciiTheme="minorHAnsi" w:hAnsiTheme="minorHAnsi" w:cstheme="minorHAnsi"/>
        </w:rPr>
        <w:t xml:space="preserve">nursing and medical professions, which can </w:t>
      </w:r>
      <w:r w:rsidRPr="00D51CC1">
        <w:rPr>
          <w:rFonts w:asciiTheme="minorHAnsi" w:hAnsiTheme="minorHAnsi" w:cstheme="minorHAnsi"/>
        </w:rPr>
        <w:lastRenderedPageBreak/>
        <w:t xml:space="preserve">lead to overworked staff and negatively impact patient care. The healthcare system, particularly the National Health Service (NHS), is currently facing a significant challenge in the form of staff burnout and staff shortages. A combination of factors such as inadequate pay, high workload, and increasing demand for healthcare services primarily causes this problem. </w:t>
      </w:r>
      <w:r w:rsidR="007964C7" w:rsidRPr="00D51CC1">
        <w:rPr>
          <w:rFonts w:asciiTheme="minorHAnsi" w:hAnsiTheme="minorHAnsi" w:cstheme="minorHAnsi"/>
        </w:rPr>
        <w:t>Stevens, R. (2016)</w:t>
      </w:r>
      <w:r w:rsidR="007964C7" w:rsidRPr="00D51CC1">
        <w:rPr>
          <w:rFonts w:asciiTheme="minorHAnsi" w:hAnsiTheme="minorHAnsi" w:cstheme="minorHAnsi"/>
        </w:rPr>
        <w:t xml:space="preserve"> would argue that </w:t>
      </w:r>
      <w:r w:rsidRPr="00D51CC1">
        <w:rPr>
          <w:rFonts w:asciiTheme="minorHAnsi" w:hAnsiTheme="minorHAnsi" w:cstheme="minorHAnsi"/>
        </w:rPr>
        <w:t>Healthcare professionals, including doctors, nurses, and support staff, are often overworked and burdened with heavy responsibilities, leading to exhaustion, burnout, and fatigue. These working conditions can also have a significant impact on their mental health and well-being, with many healthcare workers experiencing high levels of stress and anxiety.</w:t>
      </w:r>
      <w:r w:rsidR="00C27764" w:rsidRPr="00D51CC1">
        <w:rPr>
          <w:rFonts w:asciiTheme="minorHAnsi" w:hAnsiTheme="minorHAnsi" w:cstheme="minorHAnsi"/>
          <w:shd w:val="clear" w:color="auto" w:fill="FFFFFF"/>
        </w:rPr>
        <w:t xml:space="preserve"> </w:t>
      </w:r>
      <w:proofErr w:type="spellStart"/>
      <w:r w:rsidR="00C27764" w:rsidRPr="00D51CC1">
        <w:rPr>
          <w:rFonts w:asciiTheme="minorHAnsi" w:hAnsiTheme="minorHAnsi" w:cstheme="minorHAnsi"/>
          <w:shd w:val="clear" w:color="auto" w:fill="FFFFFF"/>
        </w:rPr>
        <w:t>Dalingwater</w:t>
      </w:r>
      <w:proofErr w:type="spellEnd"/>
      <w:r w:rsidR="00C27764" w:rsidRPr="00D51CC1">
        <w:rPr>
          <w:rFonts w:asciiTheme="minorHAnsi" w:hAnsiTheme="minorHAnsi" w:cstheme="minorHAnsi"/>
          <w:shd w:val="clear" w:color="auto" w:fill="FFFFFF"/>
        </w:rPr>
        <w:t>, L. (2020) </w:t>
      </w:r>
      <w:proofErr w:type="gramStart"/>
      <w:r w:rsidR="00A87034" w:rsidRPr="00D51CC1">
        <w:rPr>
          <w:rFonts w:asciiTheme="minorHAnsi" w:hAnsiTheme="minorHAnsi" w:cstheme="minorHAnsi"/>
          <w:shd w:val="clear" w:color="auto" w:fill="FFFFFF"/>
        </w:rPr>
        <w:t xml:space="preserve">suggests </w:t>
      </w:r>
      <w:r w:rsidRPr="00D51CC1">
        <w:rPr>
          <w:rFonts w:asciiTheme="minorHAnsi" w:hAnsiTheme="minorHAnsi" w:cstheme="minorHAnsi"/>
        </w:rPr>
        <w:t> Despite</w:t>
      </w:r>
      <w:proofErr w:type="gramEnd"/>
      <w:r w:rsidRPr="00D51CC1">
        <w:rPr>
          <w:rFonts w:asciiTheme="minorHAnsi" w:hAnsiTheme="minorHAnsi" w:cstheme="minorHAnsi"/>
        </w:rPr>
        <w:t xml:space="preserve"> the critical role that healthcare professionals play in our society, their efforts are not always adequately recognised or rewarded. Many healthcare professionals feel undervalued and unappreciated, which can lead to feelings of demotivation and disillusionment. </w:t>
      </w:r>
      <w:r w:rsidR="007877ED" w:rsidRPr="00D51CC1">
        <w:rPr>
          <w:rFonts w:asciiTheme="minorHAnsi" w:hAnsiTheme="minorHAnsi" w:cstheme="minorHAnsi"/>
          <w:shd w:val="clear" w:color="auto" w:fill="FFFFFF"/>
        </w:rPr>
        <w:t xml:space="preserve">Rehder, K., Adair, K.C. and Sexton, J.B. (2021) </w:t>
      </w:r>
      <w:r w:rsidR="00500AAE" w:rsidRPr="00D51CC1">
        <w:rPr>
          <w:rFonts w:asciiTheme="minorHAnsi" w:hAnsiTheme="minorHAnsi" w:cstheme="minorHAnsi"/>
          <w:shd w:val="clear" w:color="auto" w:fill="FFFFFF"/>
        </w:rPr>
        <w:t>emphasise</w:t>
      </w:r>
      <w:r w:rsidR="00066E7C" w:rsidRPr="00D51CC1">
        <w:rPr>
          <w:rFonts w:asciiTheme="minorHAnsi" w:hAnsiTheme="minorHAnsi" w:cstheme="minorHAnsi"/>
          <w:shd w:val="clear" w:color="auto" w:fill="FFFFFF"/>
        </w:rPr>
        <w:t xml:space="preserve"> </w:t>
      </w:r>
      <w:r w:rsidRPr="00D51CC1">
        <w:rPr>
          <w:rFonts w:asciiTheme="minorHAnsi" w:hAnsiTheme="minorHAnsi" w:cstheme="minorHAnsi"/>
        </w:rPr>
        <w:t>This has resulted in many experienced healthcare workers leaving the profession, exacerbating the staff shortage problem. The shortage of skilled healthcare professionals can significantly impact patient care and contribute to longer waiting times, reduced quality of care, and increased healthcare costs. </w:t>
      </w:r>
      <w:r w:rsidR="001319E3" w:rsidRPr="00D51CC1">
        <w:rPr>
          <w:rFonts w:asciiTheme="minorHAnsi" w:hAnsiTheme="minorHAnsi" w:cstheme="minorHAnsi"/>
          <w:shd w:val="clear" w:color="auto" w:fill="FFFFFF"/>
        </w:rPr>
        <w:t>Mahase, E. (2022</w:t>
      </w:r>
      <w:r w:rsidR="001319E3" w:rsidRPr="00D51CC1">
        <w:rPr>
          <w:rFonts w:asciiTheme="minorHAnsi" w:hAnsiTheme="minorHAnsi" w:cstheme="minorHAnsi"/>
          <w:shd w:val="clear" w:color="auto" w:fill="FFFFFF"/>
        </w:rPr>
        <w:t xml:space="preserve">) suggests </w:t>
      </w:r>
      <w:r w:rsidRPr="00D51CC1">
        <w:rPr>
          <w:rFonts w:asciiTheme="minorHAnsi" w:hAnsiTheme="minorHAnsi" w:cstheme="minorHAnsi"/>
        </w:rPr>
        <w:t>We must address the issue of staff burnout and staff shortages in the healthcare system. This can be achieved by increasing investment in the healthcare sector, improving working conditions for healthcare professionals, providing better pay and benefits, and recognising the critical role that healthcare workers play in our society. By taking these steps, we can ensure that healthcare professionals are motivated, supported, and well-equipped to provide high-quality care to patients, which is crucial for the well-being of our society.</w:t>
      </w:r>
    </w:p>
    <w:p w14:paraId="4ACA3C56" w14:textId="77777777" w:rsidR="00CB2CD1" w:rsidRPr="00D51CC1" w:rsidRDefault="00CB2CD1" w:rsidP="00D51CC1">
      <w:pPr>
        <w:pStyle w:val="NormalWeb"/>
        <w:spacing w:line="360" w:lineRule="auto"/>
        <w:rPr>
          <w:rFonts w:asciiTheme="minorHAnsi" w:hAnsiTheme="minorHAnsi" w:cstheme="minorHAnsi"/>
          <w:b/>
          <w:bCs/>
        </w:rPr>
      </w:pPr>
      <w:r w:rsidRPr="00D51CC1">
        <w:rPr>
          <w:rFonts w:asciiTheme="minorHAnsi" w:hAnsiTheme="minorHAnsi" w:cstheme="minorHAnsi"/>
          <w:b/>
          <w:bCs/>
        </w:rPr>
        <w:t>Rapid changes since covid 19 within the NHS services and health and social care sector.</w:t>
      </w:r>
    </w:p>
    <w:p w14:paraId="10F9F764" w14:textId="384FF3B5" w:rsidR="00CB2CD1" w:rsidRPr="00D51CC1" w:rsidRDefault="00CB2CD1" w:rsidP="00D51CC1">
      <w:pPr>
        <w:pStyle w:val="NormalWeb"/>
        <w:spacing w:line="360" w:lineRule="auto"/>
        <w:rPr>
          <w:rFonts w:asciiTheme="minorHAnsi" w:hAnsiTheme="minorHAnsi" w:cstheme="minorHAnsi"/>
        </w:rPr>
      </w:pPr>
      <w:r w:rsidRPr="00D51CC1">
        <w:rPr>
          <w:rFonts w:asciiTheme="minorHAnsi" w:hAnsiTheme="minorHAnsi" w:cstheme="minorHAnsi"/>
        </w:rPr>
        <w:t xml:space="preserve">The COVID-19 pandemic has been challenging and unprecedented for everyone, especially those working in the NHS and health and social care settings. </w:t>
      </w:r>
      <w:r w:rsidR="00E340DC" w:rsidRPr="00D51CC1">
        <w:rPr>
          <w:rFonts w:asciiTheme="minorHAnsi" w:hAnsiTheme="minorHAnsi" w:cstheme="minorHAnsi"/>
        </w:rPr>
        <w:t>World Health Organisation (2021)</w:t>
      </w:r>
      <w:r w:rsidR="00E340DC" w:rsidRPr="00D51CC1">
        <w:rPr>
          <w:rFonts w:asciiTheme="minorHAnsi" w:hAnsiTheme="minorHAnsi" w:cstheme="minorHAnsi"/>
        </w:rPr>
        <w:t xml:space="preserve"> argues </w:t>
      </w:r>
      <w:r w:rsidR="00500AAE" w:rsidRPr="00D51CC1">
        <w:rPr>
          <w:rFonts w:asciiTheme="minorHAnsi" w:hAnsiTheme="minorHAnsi" w:cstheme="minorHAnsi"/>
        </w:rPr>
        <w:t xml:space="preserve">that during the pandemic, workers in these industries faced a considerable workload and risked their health and safety by </w:t>
      </w:r>
      <w:r w:rsidRPr="00D51CC1">
        <w:rPr>
          <w:rFonts w:asciiTheme="minorHAnsi" w:hAnsiTheme="minorHAnsi" w:cstheme="minorHAnsi"/>
        </w:rPr>
        <w:t xml:space="preserve">working long hours to care for those in need. The pandemic created a situation of uncertainty and fear, which made the work even more difficult for these workers. The National Institute of Health surveyed workers within the NHS </w:t>
      </w:r>
      <w:r w:rsidRPr="00D51CC1">
        <w:rPr>
          <w:rFonts w:asciiTheme="minorHAnsi" w:hAnsiTheme="minorHAnsi" w:cstheme="minorHAnsi"/>
        </w:rPr>
        <w:lastRenderedPageBreak/>
        <w:t xml:space="preserve">and health and social care settings to understand their experiences during the pandemic. </w:t>
      </w:r>
      <w:r w:rsidR="005E6809" w:rsidRPr="00D51CC1">
        <w:rPr>
          <w:rFonts w:asciiTheme="minorHAnsi" w:hAnsiTheme="minorHAnsi" w:cstheme="minorHAnsi"/>
        </w:rPr>
        <w:t>The Kings Fund (2023)</w:t>
      </w:r>
      <w:r w:rsidR="005E6809" w:rsidRPr="00D51CC1">
        <w:rPr>
          <w:rFonts w:asciiTheme="minorHAnsi" w:hAnsiTheme="minorHAnsi" w:cstheme="minorHAnsi"/>
        </w:rPr>
        <w:t xml:space="preserve"> suggests </w:t>
      </w:r>
      <w:r w:rsidR="00500AAE" w:rsidRPr="00D51CC1">
        <w:rPr>
          <w:rFonts w:asciiTheme="minorHAnsi" w:hAnsiTheme="minorHAnsi" w:cstheme="minorHAnsi"/>
        </w:rPr>
        <w:t>that the</w:t>
      </w:r>
      <w:r w:rsidRPr="00D51CC1">
        <w:rPr>
          <w:rFonts w:asciiTheme="minorHAnsi" w:hAnsiTheme="minorHAnsi" w:cstheme="minorHAnsi"/>
        </w:rPr>
        <w:t xml:space="preserve"> survey revealed that the most significant benefit reported by these workers was feeling respected and appreciated. This recognition gave them comfort and motivation to keep going despite their challenges. Workers in these industries are expected to be available around the clock to care for vulnerable people, making their work essential. </w:t>
      </w:r>
      <w:r w:rsidR="005E6809" w:rsidRPr="00D51CC1">
        <w:rPr>
          <w:rFonts w:asciiTheme="minorHAnsi" w:hAnsiTheme="minorHAnsi" w:cstheme="minorHAnsi"/>
        </w:rPr>
        <w:t>The Health Foundation (2022)</w:t>
      </w:r>
      <w:r w:rsidR="005E6809" w:rsidRPr="00D51CC1">
        <w:rPr>
          <w:rFonts w:asciiTheme="minorHAnsi" w:hAnsiTheme="minorHAnsi" w:cstheme="minorHAnsi"/>
        </w:rPr>
        <w:t xml:space="preserve"> </w:t>
      </w:r>
      <w:r w:rsidR="00500AAE" w:rsidRPr="00D51CC1">
        <w:rPr>
          <w:rFonts w:asciiTheme="minorHAnsi" w:hAnsiTheme="minorHAnsi" w:cstheme="minorHAnsi"/>
        </w:rPr>
        <w:t xml:space="preserve">emphasises that </w:t>
      </w:r>
      <w:r w:rsidRPr="00D51CC1">
        <w:rPr>
          <w:rFonts w:asciiTheme="minorHAnsi" w:hAnsiTheme="minorHAnsi" w:cstheme="minorHAnsi"/>
        </w:rPr>
        <w:t>Workers in these industries deserve appreciation and respect for their hard work and dedication. Still, the pandemic has highlighted the importance of recognising their contributions. The appreciation they have received has helped them to feel more valued and motivated in their work, even after the pandemic is over. The recognition and appreciation of workers within the NHS and health and social care settings have been essential to their success during the pandemic. It has motivated them to continue providing high-quality care to those in need and highlights the importance of valuing the contributions of essential workers in our society.</w:t>
      </w:r>
      <w:r w:rsidR="00826095" w:rsidRPr="00D51CC1">
        <w:rPr>
          <w:rFonts w:asciiTheme="minorHAnsi" w:hAnsiTheme="minorHAnsi" w:cstheme="minorHAnsi"/>
        </w:rPr>
        <w:t xml:space="preserve"> </w:t>
      </w:r>
      <w:r w:rsidR="00826095" w:rsidRPr="00D51CC1">
        <w:rPr>
          <w:rFonts w:asciiTheme="minorHAnsi" w:hAnsiTheme="minorHAnsi" w:cstheme="minorHAnsi"/>
        </w:rPr>
        <w:t>Taylor-Collins</w:t>
      </w:r>
      <w:r w:rsidR="00500AAE" w:rsidRPr="00D51CC1">
        <w:rPr>
          <w:rFonts w:asciiTheme="minorHAnsi" w:hAnsiTheme="minorHAnsi" w:cstheme="minorHAnsi"/>
        </w:rPr>
        <w:t xml:space="preserve"> E. et al. (2021) suggest</w:t>
      </w:r>
      <w:r w:rsidR="003A39E5" w:rsidRPr="00D51CC1">
        <w:rPr>
          <w:rFonts w:asciiTheme="minorHAnsi" w:hAnsiTheme="minorHAnsi" w:cstheme="minorHAnsi"/>
        </w:rPr>
        <w:t xml:space="preserve"> </w:t>
      </w:r>
      <w:r w:rsidR="00D51CC1" w:rsidRPr="00D51CC1">
        <w:rPr>
          <w:rFonts w:asciiTheme="minorHAnsi" w:hAnsiTheme="minorHAnsi" w:cstheme="minorHAnsi"/>
        </w:rPr>
        <w:t>that the COVID-19 pandemic had a significant impact on the healthcare system, with the number of deaths from COVID-19 and related illnesses being among</w:t>
      </w:r>
      <w:r w:rsidRPr="00D51CC1">
        <w:rPr>
          <w:rFonts w:asciiTheme="minorHAnsi" w:hAnsiTheme="minorHAnsi" w:cstheme="minorHAnsi"/>
        </w:rPr>
        <w:t xml:space="preserve"> the most visible effects. However, many other consequences of the pandemic were not immediately apparent. One such impact was the inability of people in care homes to receive visits from their families and loved ones. This caused a great deal of distress and loneliness among the residents, who were already vulnerable and dependent on the care they received. Similarly, many people cared for in their homes felt isolated and excluded from the outside world. The pandemic forced them to stay indoors and avoid contact with others, which was challenging for many people, particularly those who lived alone. </w:t>
      </w:r>
      <w:r w:rsidR="0048733D" w:rsidRPr="00D51CC1">
        <w:rPr>
          <w:rFonts w:asciiTheme="minorHAnsi" w:hAnsiTheme="minorHAnsi" w:cstheme="minorHAnsi"/>
          <w:shd w:val="clear" w:color="auto" w:fill="FFFFFF"/>
        </w:rPr>
        <w:t xml:space="preserve">Larkins, S.L., Allard, N.L. and Burgess, C.P. (2022) </w:t>
      </w:r>
      <w:r w:rsidR="00500AAE" w:rsidRPr="00D51CC1">
        <w:rPr>
          <w:rFonts w:asciiTheme="minorHAnsi" w:hAnsiTheme="minorHAnsi" w:cstheme="minorHAnsi"/>
          <w:shd w:val="clear" w:color="auto" w:fill="FFFFFF"/>
        </w:rPr>
        <w:t>argue</w:t>
      </w:r>
      <w:r w:rsidR="0053170A" w:rsidRPr="00D51CC1">
        <w:rPr>
          <w:rFonts w:asciiTheme="minorHAnsi" w:hAnsiTheme="minorHAnsi" w:cstheme="minorHAnsi"/>
          <w:shd w:val="clear" w:color="auto" w:fill="FFFFFF"/>
        </w:rPr>
        <w:t xml:space="preserve"> that </w:t>
      </w:r>
      <w:proofErr w:type="gramStart"/>
      <w:r w:rsidRPr="00D51CC1">
        <w:rPr>
          <w:rFonts w:asciiTheme="minorHAnsi" w:hAnsiTheme="minorHAnsi" w:cstheme="minorHAnsi"/>
        </w:rPr>
        <w:t>The</w:t>
      </w:r>
      <w:proofErr w:type="gramEnd"/>
      <w:r w:rsidRPr="00D51CC1">
        <w:rPr>
          <w:rFonts w:asciiTheme="minorHAnsi" w:hAnsiTheme="minorHAnsi" w:cstheme="minorHAnsi"/>
        </w:rPr>
        <w:t xml:space="preserve"> mental health effects of this isolation were significant, and many people struggled to cope with the loneliness and despair they felt. The pandemic also had a significant impact on the healthcare system itself. Before the pandemic, the NHS was under pressure, with significant care backlogs and long waiting times. However, the pandemic exacerbated these issues, with access to emergency care becoming more challenging.</w:t>
      </w:r>
      <w:r w:rsidR="00992F77" w:rsidRPr="00D51CC1">
        <w:rPr>
          <w:rFonts w:asciiTheme="minorHAnsi" w:hAnsiTheme="minorHAnsi" w:cstheme="minorHAnsi"/>
          <w:shd w:val="clear" w:color="auto" w:fill="FFFFFF"/>
        </w:rPr>
        <w:t xml:space="preserve"> </w:t>
      </w:r>
      <w:r w:rsidR="00992F77" w:rsidRPr="00D51CC1">
        <w:rPr>
          <w:rFonts w:asciiTheme="minorHAnsi" w:hAnsiTheme="minorHAnsi" w:cstheme="minorHAnsi"/>
          <w:shd w:val="clear" w:color="auto" w:fill="FFFFFF"/>
        </w:rPr>
        <w:t>Simon, S.R. </w:t>
      </w:r>
      <w:r w:rsidR="00992F77" w:rsidRPr="00D51CC1">
        <w:rPr>
          <w:rFonts w:asciiTheme="minorHAnsi" w:hAnsiTheme="minorHAnsi" w:cstheme="minorHAnsi"/>
          <w:i/>
          <w:iCs/>
          <w:shd w:val="clear" w:color="auto" w:fill="FFFFFF"/>
        </w:rPr>
        <w:t>et al.</w:t>
      </w:r>
      <w:r w:rsidR="00992F77" w:rsidRPr="00D51CC1">
        <w:rPr>
          <w:rFonts w:asciiTheme="minorHAnsi" w:hAnsiTheme="minorHAnsi" w:cstheme="minorHAnsi"/>
          <w:shd w:val="clear" w:color="auto" w:fill="FFFFFF"/>
        </w:rPr>
        <w:t xml:space="preserve"> (2021) </w:t>
      </w:r>
      <w:r w:rsidR="00500AAE" w:rsidRPr="00D51CC1">
        <w:rPr>
          <w:rFonts w:asciiTheme="minorHAnsi" w:hAnsiTheme="minorHAnsi" w:cstheme="minorHAnsi"/>
          <w:shd w:val="clear" w:color="auto" w:fill="FFFFFF"/>
        </w:rPr>
        <w:t xml:space="preserve">emphasise </w:t>
      </w:r>
      <w:r w:rsidR="00D51CC1" w:rsidRPr="00D51CC1">
        <w:rPr>
          <w:rFonts w:asciiTheme="minorHAnsi" w:hAnsiTheme="minorHAnsi" w:cstheme="minorHAnsi"/>
        </w:rPr>
        <w:t>that many</w:t>
      </w:r>
      <w:r w:rsidRPr="00D51CC1">
        <w:rPr>
          <w:rFonts w:asciiTheme="minorHAnsi" w:hAnsiTheme="minorHAnsi" w:cstheme="minorHAnsi"/>
        </w:rPr>
        <w:t xml:space="preserve"> people were left waiting longer than they should have been to receive the care they needed, and targets were missed, causing further delays and frustration. Overall, the COVID-19 pandemic was challenging for the healthcare system and those relying on its services. The impacts of the </w:t>
      </w:r>
      <w:r w:rsidRPr="00D51CC1">
        <w:rPr>
          <w:rFonts w:asciiTheme="minorHAnsi" w:hAnsiTheme="minorHAnsi" w:cstheme="minorHAnsi"/>
        </w:rPr>
        <w:lastRenderedPageBreak/>
        <w:t>pandemic were far-reaching and complex, affecting not only physical health but also mental health and emotional well-being. </w:t>
      </w:r>
    </w:p>
    <w:p w14:paraId="60946735" w14:textId="77777777" w:rsidR="00CB2CD1" w:rsidRPr="00D51CC1" w:rsidRDefault="00CB2CD1" w:rsidP="00D51CC1">
      <w:pPr>
        <w:pStyle w:val="NormalWeb"/>
        <w:spacing w:line="360" w:lineRule="auto"/>
        <w:rPr>
          <w:rFonts w:asciiTheme="minorHAnsi" w:hAnsiTheme="minorHAnsi" w:cstheme="minorHAnsi"/>
        </w:rPr>
      </w:pPr>
      <w:r w:rsidRPr="00D51CC1">
        <w:rPr>
          <w:rFonts w:asciiTheme="minorHAnsi" w:hAnsiTheme="minorHAnsi" w:cstheme="minorHAnsi"/>
        </w:rPr>
        <w:t> </w:t>
      </w:r>
    </w:p>
    <w:p w14:paraId="384838B7" w14:textId="77777777" w:rsidR="00CB2CD1" w:rsidRPr="00D51CC1" w:rsidRDefault="00CB2CD1" w:rsidP="00D51CC1">
      <w:pPr>
        <w:pStyle w:val="NormalWeb"/>
        <w:spacing w:line="360" w:lineRule="auto"/>
        <w:rPr>
          <w:rFonts w:asciiTheme="minorHAnsi" w:hAnsiTheme="minorHAnsi" w:cstheme="minorHAnsi"/>
          <w:b/>
          <w:bCs/>
        </w:rPr>
      </w:pPr>
      <w:r w:rsidRPr="00D51CC1">
        <w:rPr>
          <w:rFonts w:asciiTheme="minorHAnsi" w:hAnsiTheme="minorHAnsi" w:cstheme="minorHAnsi"/>
          <w:b/>
          <w:bCs/>
        </w:rPr>
        <w:t>How people access the services</w:t>
      </w:r>
    </w:p>
    <w:p w14:paraId="45B4A3DD" w14:textId="6E4548AF" w:rsidR="00CB2CD1" w:rsidRPr="00D51CC1" w:rsidRDefault="00CB2CD1" w:rsidP="00D51CC1">
      <w:pPr>
        <w:pStyle w:val="NormalWeb"/>
        <w:spacing w:line="360" w:lineRule="auto"/>
        <w:rPr>
          <w:rFonts w:asciiTheme="minorHAnsi" w:hAnsiTheme="minorHAnsi" w:cstheme="minorHAnsi"/>
        </w:rPr>
      </w:pPr>
      <w:r w:rsidRPr="00D51CC1">
        <w:rPr>
          <w:rFonts w:asciiTheme="minorHAnsi" w:hAnsiTheme="minorHAnsi" w:cstheme="minorHAnsi"/>
        </w:rPr>
        <w:t>The current healthcare landscape is experiencing a significant shift towards integrated care, driven by rapid and widespread changes in health and care services</w:t>
      </w:r>
      <w:r w:rsidR="00500AAE" w:rsidRPr="00D51CC1">
        <w:rPr>
          <w:rFonts w:asciiTheme="minorHAnsi" w:hAnsiTheme="minorHAnsi" w:cstheme="minorHAnsi"/>
        </w:rPr>
        <w:t>.</w:t>
      </w:r>
      <w:r w:rsidR="00AE404B" w:rsidRPr="00D51CC1">
        <w:rPr>
          <w:rFonts w:asciiTheme="minorHAnsi" w:hAnsiTheme="minorHAnsi" w:cstheme="minorHAnsi"/>
        </w:rPr>
        <w:t xml:space="preserve"> Primary care one, N.H.S. (2018)</w:t>
      </w:r>
      <w:r w:rsidR="00AE404B" w:rsidRPr="00D51CC1">
        <w:rPr>
          <w:rFonts w:asciiTheme="minorHAnsi" w:hAnsiTheme="minorHAnsi" w:cstheme="minorHAnsi"/>
        </w:rPr>
        <w:t xml:space="preserve"> argues </w:t>
      </w:r>
      <w:r w:rsidR="00500AAE" w:rsidRPr="00D51CC1">
        <w:rPr>
          <w:rFonts w:asciiTheme="minorHAnsi" w:hAnsiTheme="minorHAnsi" w:cstheme="minorHAnsi"/>
        </w:rPr>
        <w:t>that this</w:t>
      </w:r>
      <w:r w:rsidRPr="00D51CC1">
        <w:rPr>
          <w:rFonts w:asciiTheme="minorHAnsi" w:hAnsiTheme="minorHAnsi" w:cstheme="minorHAnsi"/>
        </w:rPr>
        <w:t xml:space="preserve"> transition is happening against the backdrop of a broader transformation in working lives, especially in three key areas: integrated care, the nature of healthcare, and the nature of work. Integrated care is the concept that healthcare services should be delivered in a coordinated and collaborative way across different settings, such as primary care, hospital care, and social care. </w:t>
      </w:r>
      <w:r w:rsidR="00AE404B" w:rsidRPr="00D51CC1">
        <w:rPr>
          <w:rFonts w:asciiTheme="minorHAnsi" w:hAnsiTheme="minorHAnsi" w:cstheme="minorHAnsi"/>
        </w:rPr>
        <w:t xml:space="preserve">Pringle, A. and </w:t>
      </w:r>
      <w:proofErr w:type="spellStart"/>
      <w:r w:rsidR="00AE404B" w:rsidRPr="00D51CC1">
        <w:rPr>
          <w:rFonts w:asciiTheme="minorHAnsi" w:hAnsiTheme="minorHAnsi" w:cstheme="minorHAnsi"/>
        </w:rPr>
        <w:t>Jesurasa</w:t>
      </w:r>
      <w:proofErr w:type="spellEnd"/>
      <w:r w:rsidR="00AE404B" w:rsidRPr="00D51CC1">
        <w:rPr>
          <w:rFonts w:asciiTheme="minorHAnsi" w:hAnsiTheme="minorHAnsi" w:cstheme="minorHAnsi"/>
        </w:rPr>
        <w:t>, A. (2022)</w:t>
      </w:r>
      <w:r w:rsidR="00AE404B" w:rsidRPr="00D51CC1">
        <w:rPr>
          <w:rFonts w:asciiTheme="minorHAnsi" w:hAnsiTheme="minorHAnsi" w:cstheme="minorHAnsi"/>
        </w:rPr>
        <w:t xml:space="preserve"> </w:t>
      </w:r>
      <w:r w:rsidR="00500AAE" w:rsidRPr="00D51CC1">
        <w:rPr>
          <w:rFonts w:asciiTheme="minorHAnsi" w:hAnsiTheme="minorHAnsi" w:cstheme="minorHAnsi"/>
        </w:rPr>
        <w:t>suggest</w:t>
      </w:r>
      <w:r w:rsidR="00AE404B" w:rsidRPr="00D51CC1">
        <w:rPr>
          <w:rFonts w:asciiTheme="minorHAnsi" w:hAnsiTheme="minorHAnsi" w:cstheme="minorHAnsi"/>
        </w:rPr>
        <w:t xml:space="preserve"> </w:t>
      </w:r>
      <w:r w:rsidRPr="00D51CC1">
        <w:rPr>
          <w:rFonts w:asciiTheme="minorHAnsi" w:hAnsiTheme="minorHAnsi" w:cstheme="minorHAnsi"/>
        </w:rPr>
        <w:t>This approach is designed to provide seamless and efficient patient service and improve outcomes. With this shift, healthcare professionals must adapt to new working methods, including working more closely with other healthcare professionals and organisations. The nature of healthcare is also changing rapidly, driven by advances in technology. New technologies, such as telemedicine and digital health, are transforming how healthcare is accessed and provided. Patients can now access healthcare services from their homes, and healthcare professionals can deliver care remotely. </w:t>
      </w:r>
      <w:r w:rsidR="00A2530C" w:rsidRPr="00D51CC1">
        <w:rPr>
          <w:rFonts w:asciiTheme="minorHAnsi" w:hAnsiTheme="minorHAnsi" w:cstheme="minorHAnsi"/>
          <w:i/>
          <w:iCs/>
          <w:shd w:val="clear" w:color="auto" w:fill="FFFFFF"/>
        </w:rPr>
        <w:t>Technology and health care.</w:t>
      </w:r>
      <w:r w:rsidR="00A2530C" w:rsidRPr="00D51CC1">
        <w:rPr>
          <w:rFonts w:asciiTheme="minorHAnsi" w:hAnsiTheme="minorHAnsi" w:cstheme="minorHAnsi"/>
          <w:shd w:val="clear" w:color="auto" w:fill="FFFFFF"/>
        </w:rPr>
        <w:t> (1993)</w:t>
      </w:r>
      <w:r w:rsidR="00A4572F" w:rsidRPr="00D51CC1">
        <w:rPr>
          <w:rFonts w:asciiTheme="minorHAnsi" w:hAnsiTheme="minorHAnsi" w:cstheme="minorHAnsi"/>
          <w:shd w:val="clear" w:color="auto" w:fill="FFFFFF"/>
        </w:rPr>
        <w:t xml:space="preserve"> emphasises </w:t>
      </w:r>
      <w:r w:rsidR="00500AAE" w:rsidRPr="00D51CC1">
        <w:rPr>
          <w:rFonts w:asciiTheme="minorHAnsi" w:hAnsiTheme="minorHAnsi" w:cstheme="minorHAnsi"/>
        </w:rPr>
        <w:t>that these</w:t>
      </w:r>
      <w:r w:rsidRPr="00D51CC1">
        <w:rPr>
          <w:rFonts w:asciiTheme="minorHAnsi" w:hAnsiTheme="minorHAnsi" w:cstheme="minorHAnsi"/>
        </w:rPr>
        <w:t xml:space="preserve"> changes require healthcare professionals to have new skills and knowledge, particularly in the use of technology. The nature of work is also evolving, with new working methods, such as remote working and flexible working arrangements. This shift is driven by the need to balance work and personal life and technological advances that enable remote work. As healthcare professionals adapt to these changes, they must be supported in developing new skills and working methods to ensure they can deliver high-quality care. </w:t>
      </w:r>
      <w:r w:rsidR="00E01CBF" w:rsidRPr="00D51CC1">
        <w:rPr>
          <w:rFonts w:asciiTheme="minorHAnsi" w:hAnsiTheme="minorHAnsi" w:cstheme="minorHAnsi"/>
          <w:shd w:val="clear" w:color="auto" w:fill="FFFFFF"/>
        </w:rPr>
        <w:t>Moss, B. (2020</w:t>
      </w:r>
      <w:r w:rsidR="00E01CBF" w:rsidRPr="00D51CC1">
        <w:rPr>
          <w:rFonts w:asciiTheme="minorHAnsi" w:hAnsiTheme="minorHAnsi" w:cstheme="minorHAnsi"/>
          <w:shd w:val="clear" w:color="auto" w:fill="FFFFFF"/>
        </w:rPr>
        <w:t xml:space="preserve">) suggests </w:t>
      </w:r>
      <w:r w:rsidR="00500AAE" w:rsidRPr="00D51CC1">
        <w:rPr>
          <w:rFonts w:asciiTheme="minorHAnsi" w:hAnsiTheme="minorHAnsi" w:cstheme="minorHAnsi"/>
        </w:rPr>
        <w:t>that to</w:t>
      </w:r>
      <w:r w:rsidRPr="00D51CC1">
        <w:rPr>
          <w:rFonts w:asciiTheme="minorHAnsi" w:hAnsiTheme="minorHAnsi" w:cstheme="minorHAnsi"/>
        </w:rPr>
        <w:t xml:space="preserve"> adapt to these changes successfully, healthcare professionals must have the skills and knowledge to navigate this transition. We must embrace the opportunities this transformation presents and work collaboratively to ensure we continue providing high-quality care to those who need it most.</w:t>
      </w:r>
    </w:p>
    <w:p w14:paraId="3DFF37E4" w14:textId="77777777" w:rsidR="00CB2CD1" w:rsidRPr="00D51CC1" w:rsidRDefault="00CB2CD1" w:rsidP="00D51CC1">
      <w:pPr>
        <w:pStyle w:val="NormalWeb"/>
        <w:spacing w:line="360" w:lineRule="auto"/>
        <w:rPr>
          <w:rFonts w:asciiTheme="minorHAnsi" w:hAnsiTheme="minorHAnsi" w:cstheme="minorHAnsi"/>
          <w:b/>
          <w:bCs/>
        </w:rPr>
      </w:pPr>
      <w:r w:rsidRPr="00D51CC1">
        <w:rPr>
          <w:rFonts w:asciiTheme="minorHAnsi" w:hAnsiTheme="minorHAnsi" w:cstheme="minorHAnsi"/>
          <w:b/>
          <w:bCs/>
        </w:rPr>
        <w:t>Importance of community care</w:t>
      </w:r>
    </w:p>
    <w:p w14:paraId="0310012B" w14:textId="4B45C24B" w:rsidR="00CB2CD1" w:rsidRPr="00D51CC1" w:rsidRDefault="00CB2CD1" w:rsidP="00D51CC1">
      <w:pPr>
        <w:pStyle w:val="NormalWeb"/>
        <w:spacing w:line="360" w:lineRule="auto"/>
        <w:rPr>
          <w:rFonts w:asciiTheme="minorHAnsi" w:hAnsiTheme="minorHAnsi" w:cstheme="minorHAnsi"/>
        </w:rPr>
      </w:pPr>
      <w:r w:rsidRPr="00D51CC1">
        <w:rPr>
          <w:rFonts w:asciiTheme="minorHAnsi" w:hAnsiTheme="minorHAnsi" w:cstheme="minorHAnsi"/>
        </w:rPr>
        <w:lastRenderedPageBreak/>
        <w:t>Community services are part of the health and social care system; they involve providing several essential services for ensuring individuals' well-</w:t>
      </w:r>
      <w:proofErr w:type="spellStart"/>
      <w:proofErr w:type="gramStart"/>
      <w:r w:rsidRPr="00D51CC1">
        <w:rPr>
          <w:rFonts w:asciiTheme="minorHAnsi" w:hAnsiTheme="minorHAnsi" w:cstheme="minorHAnsi"/>
        </w:rPr>
        <w:t>being</w:t>
      </w:r>
      <w:r w:rsidR="00500AAE" w:rsidRPr="00D51CC1">
        <w:rPr>
          <w:rFonts w:asciiTheme="minorHAnsi" w:hAnsiTheme="minorHAnsi" w:cstheme="minorHAnsi"/>
        </w:rPr>
        <w:t>.</w:t>
      </w:r>
      <w:r w:rsidR="001B0573" w:rsidRPr="00D51CC1">
        <w:rPr>
          <w:rFonts w:asciiTheme="minorHAnsi" w:hAnsiTheme="minorHAnsi" w:cstheme="minorHAnsi"/>
          <w:shd w:val="clear" w:color="auto" w:fill="FFFFFF"/>
        </w:rPr>
        <w:t>Pindus</w:t>
      </w:r>
      <w:proofErr w:type="spellEnd"/>
      <w:proofErr w:type="gramEnd"/>
      <w:r w:rsidR="001B0573" w:rsidRPr="00D51CC1">
        <w:rPr>
          <w:rFonts w:asciiTheme="minorHAnsi" w:hAnsiTheme="minorHAnsi" w:cstheme="minorHAnsi"/>
          <w:shd w:val="clear" w:color="auto" w:fill="FFFFFF"/>
        </w:rPr>
        <w:t>, D.M. </w:t>
      </w:r>
      <w:r w:rsidR="001B0573" w:rsidRPr="00D51CC1">
        <w:rPr>
          <w:rFonts w:asciiTheme="minorHAnsi" w:hAnsiTheme="minorHAnsi" w:cstheme="minorHAnsi"/>
          <w:i/>
          <w:iCs/>
          <w:shd w:val="clear" w:color="auto" w:fill="FFFFFF"/>
        </w:rPr>
        <w:t>et al.</w:t>
      </w:r>
      <w:r w:rsidR="001B0573" w:rsidRPr="00D51CC1">
        <w:rPr>
          <w:rFonts w:asciiTheme="minorHAnsi" w:hAnsiTheme="minorHAnsi" w:cstheme="minorHAnsi"/>
          <w:shd w:val="clear" w:color="auto" w:fill="FFFFFF"/>
        </w:rPr>
        <w:t> (2018)</w:t>
      </w:r>
      <w:r w:rsidR="001B0573" w:rsidRPr="00D51CC1">
        <w:rPr>
          <w:rFonts w:asciiTheme="minorHAnsi" w:hAnsiTheme="minorHAnsi" w:cstheme="minorHAnsi"/>
          <w:shd w:val="clear" w:color="auto" w:fill="FFFFFF"/>
        </w:rPr>
        <w:t xml:space="preserve"> </w:t>
      </w:r>
      <w:r w:rsidR="00500AAE" w:rsidRPr="00D51CC1">
        <w:rPr>
          <w:rFonts w:asciiTheme="minorHAnsi" w:hAnsiTheme="minorHAnsi" w:cstheme="minorHAnsi"/>
          <w:shd w:val="clear" w:color="auto" w:fill="FFFFFF"/>
        </w:rPr>
        <w:t>suggest</w:t>
      </w:r>
      <w:r w:rsidR="001B0573" w:rsidRPr="00D51CC1">
        <w:rPr>
          <w:rFonts w:asciiTheme="minorHAnsi" w:hAnsiTheme="minorHAnsi" w:cstheme="minorHAnsi"/>
          <w:shd w:val="clear" w:color="auto" w:fill="FFFFFF"/>
        </w:rPr>
        <w:t xml:space="preserve"> </w:t>
      </w:r>
      <w:r w:rsidR="00D51CC1" w:rsidRPr="00D51CC1">
        <w:rPr>
          <w:rFonts w:asciiTheme="minorHAnsi" w:hAnsiTheme="minorHAnsi" w:cstheme="minorHAnsi"/>
        </w:rPr>
        <w:t>that these</w:t>
      </w:r>
      <w:r w:rsidRPr="00D51CC1">
        <w:rPr>
          <w:rFonts w:asciiTheme="minorHAnsi" w:hAnsiTheme="minorHAnsi" w:cstheme="minorHAnsi"/>
        </w:rPr>
        <w:t xml:space="preserve"> services include preventative care, acute illness management, long-term condition treatment, and support for independent living. Preventative care is a key aspect of community services, as it aims to identify and address health issues before they become more severe. This involves various activities, including health screening, health promotion, and immunisation programs.</w:t>
      </w:r>
      <w:r w:rsidR="001B0573" w:rsidRPr="00D51CC1">
        <w:rPr>
          <w:rFonts w:asciiTheme="minorHAnsi" w:hAnsiTheme="minorHAnsi" w:cstheme="minorHAnsi"/>
        </w:rPr>
        <w:t xml:space="preserve"> </w:t>
      </w:r>
      <w:r w:rsidRPr="00D51CC1">
        <w:rPr>
          <w:rFonts w:asciiTheme="minorHAnsi" w:hAnsiTheme="minorHAnsi" w:cstheme="minorHAnsi"/>
        </w:rPr>
        <w:t>Acute illness management is another critical function of community services, which focuses on providing timely and effective care to individuals with sudden and severe health problems.</w:t>
      </w:r>
      <w:r w:rsidR="001B66FA" w:rsidRPr="00D51CC1">
        <w:rPr>
          <w:rFonts w:asciiTheme="minorHAnsi" w:hAnsiTheme="minorHAnsi" w:cstheme="minorHAnsi"/>
          <w:shd w:val="clear" w:color="auto" w:fill="FFFFFF"/>
        </w:rPr>
        <w:t xml:space="preserve"> </w:t>
      </w:r>
      <w:r w:rsidR="001B66FA" w:rsidRPr="00D51CC1">
        <w:rPr>
          <w:rFonts w:asciiTheme="minorHAnsi" w:hAnsiTheme="minorHAnsi" w:cstheme="minorHAnsi"/>
          <w:shd w:val="clear" w:color="auto" w:fill="FFFFFF"/>
        </w:rPr>
        <w:t>Cummins, I. (2020) </w:t>
      </w:r>
      <w:r w:rsidR="001B66FA" w:rsidRPr="00D51CC1">
        <w:rPr>
          <w:rFonts w:asciiTheme="minorHAnsi" w:hAnsiTheme="minorHAnsi" w:cstheme="minorHAnsi"/>
          <w:shd w:val="clear" w:color="auto" w:fill="FFFFFF"/>
        </w:rPr>
        <w:t>emphasises</w:t>
      </w:r>
      <w:r w:rsidRPr="00D51CC1">
        <w:rPr>
          <w:rFonts w:asciiTheme="minorHAnsi" w:hAnsiTheme="minorHAnsi" w:cstheme="minorHAnsi"/>
        </w:rPr>
        <w:t> </w:t>
      </w:r>
      <w:r w:rsidR="00D837F4" w:rsidRPr="00D51CC1">
        <w:rPr>
          <w:rFonts w:asciiTheme="minorHAnsi" w:hAnsiTheme="minorHAnsi" w:cstheme="minorHAnsi"/>
        </w:rPr>
        <w:t>that this</w:t>
      </w:r>
      <w:r w:rsidRPr="00D51CC1">
        <w:rPr>
          <w:rFonts w:asciiTheme="minorHAnsi" w:hAnsiTheme="minorHAnsi" w:cstheme="minorHAnsi"/>
        </w:rPr>
        <w:t> may include urgent care, home health services, and rehabilitation services.</w:t>
      </w:r>
      <w:r w:rsidR="001B0573" w:rsidRPr="00D51CC1">
        <w:rPr>
          <w:rFonts w:asciiTheme="minorHAnsi" w:hAnsiTheme="minorHAnsi" w:cstheme="minorHAnsi"/>
        </w:rPr>
        <w:t xml:space="preserve"> </w:t>
      </w:r>
      <w:r w:rsidRPr="00D51CC1">
        <w:rPr>
          <w:rFonts w:asciiTheme="minorHAnsi" w:hAnsiTheme="minorHAnsi" w:cstheme="minorHAnsi"/>
        </w:rPr>
        <w:t>Long-term condition treatment is another critical service provided by community services, which focuses on managing chronic health conditions such as asthma, diabetes, and heart disease. </w:t>
      </w:r>
      <w:r w:rsidR="000E545D" w:rsidRPr="00D51CC1">
        <w:rPr>
          <w:rFonts w:asciiTheme="minorHAnsi" w:hAnsiTheme="minorHAnsi" w:cstheme="minorHAnsi"/>
          <w:shd w:val="clear" w:color="auto" w:fill="FFFFFF"/>
        </w:rPr>
        <w:t>Røsvik, J. </w:t>
      </w:r>
      <w:r w:rsidR="000E545D" w:rsidRPr="00D51CC1">
        <w:rPr>
          <w:rFonts w:asciiTheme="minorHAnsi" w:hAnsiTheme="minorHAnsi" w:cstheme="minorHAnsi"/>
          <w:i/>
          <w:iCs/>
          <w:shd w:val="clear" w:color="auto" w:fill="FFFFFF"/>
        </w:rPr>
        <w:t>et al.</w:t>
      </w:r>
      <w:r w:rsidR="000E545D" w:rsidRPr="00D51CC1">
        <w:rPr>
          <w:rFonts w:asciiTheme="minorHAnsi" w:hAnsiTheme="minorHAnsi" w:cstheme="minorHAnsi"/>
          <w:shd w:val="clear" w:color="auto" w:fill="FFFFFF"/>
        </w:rPr>
        <w:t xml:space="preserve"> (2021) </w:t>
      </w:r>
      <w:r w:rsidR="00EE37AD" w:rsidRPr="00D51CC1">
        <w:rPr>
          <w:rFonts w:asciiTheme="minorHAnsi" w:hAnsiTheme="minorHAnsi" w:cstheme="minorHAnsi"/>
          <w:shd w:val="clear" w:color="auto" w:fill="FFFFFF"/>
        </w:rPr>
        <w:t xml:space="preserve">would agree that </w:t>
      </w:r>
      <w:r w:rsidRPr="00D51CC1">
        <w:rPr>
          <w:rFonts w:asciiTheme="minorHAnsi" w:hAnsiTheme="minorHAnsi" w:cstheme="minorHAnsi"/>
        </w:rPr>
        <w:t>This involves various activities, including medication management, lifestyle advice, and regular monitoring.</w:t>
      </w:r>
      <w:r w:rsidR="001B0573" w:rsidRPr="00D51CC1">
        <w:rPr>
          <w:rFonts w:asciiTheme="minorHAnsi" w:hAnsiTheme="minorHAnsi" w:cstheme="minorHAnsi"/>
        </w:rPr>
        <w:t xml:space="preserve"> </w:t>
      </w:r>
      <w:r w:rsidRPr="00D51CC1">
        <w:rPr>
          <w:rFonts w:asciiTheme="minorHAnsi" w:hAnsiTheme="minorHAnsi" w:cstheme="minorHAnsi"/>
        </w:rPr>
        <w:t>Finally, community services support individuals who wish to live independently in their homes. This may involve providing personal care, home adaptations, and support with daily living activities. Community services are vital in keeping people healthy and supporting them in living fulfilling lives. With their focus on preventative care, acute illness management, long-term condition treatment, and support for independent living, community services are central to the healthcare system's future. </w:t>
      </w:r>
      <w:r w:rsidR="0053716A" w:rsidRPr="00D51CC1">
        <w:rPr>
          <w:rFonts w:asciiTheme="minorHAnsi" w:hAnsiTheme="minorHAnsi" w:cstheme="minorHAnsi"/>
        </w:rPr>
        <w:t xml:space="preserve">Bunz, M., </w:t>
      </w:r>
      <w:proofErr w:type="spellStart"/>
      <w:r w:rsidR="0053716A" w:rsidRPr="00D51CC1">
        <w:rPr>
          <w:rFonts w:asciiTheme="minorHAnsi" w:hAnsiTheme="minorHAnsi" w:cstheme="minorHAnsi"/>
        </w:rPr>
        <w:t>Bialski</w:t>
      </w:r>
      <w:proofErr w:type="spellEnd"/>
      <w:r w:rsidR="0053716A" w:rsidRPr="00D51CC1">
        <w:rPr>
          <w:rFonts w:asciiTheme="minorHAnsi" w:hAnsiTheme="minorHAnsi" w:cstheme="minorHAnsi"/>
        </w:rPr>
        <w:t>, P. and Brunton, F. (2019</w:t>
      </w:r>
      <w:r w:rsidR="00D837F4" w:rsidRPr="00D51CC1">
        <w:rPr>
          <w:rFonts w:asciiTheme="minorHAnsi" w:hAnsiTheme="minorHAnsi" w:cstheme="minorHAnsi"/>
        </w:rPr>
        <w:t>) suggest that effective</w:t>
      </w:r>
      <w:r w:rsidRPr="00D51CC1">
        <w:rPr>
          <w:rFonts w:asciiTheme="minorHAnsi" w:hAnsiTheme="minorHAnsi" w:cstheme="minorHAnsi"/>
        </w:rPr>
        <w:t xml:space="preserve"> communication is a fundamental aspect of providing person-centred care tailored to meet each person's individual needs and preferences. Communication goes beyond just talking and listening; it encompasses all forms of interaction between healthcare providers and individuals with support needs, including body language, facial expressions, and tone of voice. Effective communication can help to build trust, foster mutual respect, and promote a sense of empowerment and confidence in individuals with support needs. With clear, concise and consistent communication, individuals with support needs can express their needs, goals and preferences more comfortably.</w:t>
      </w:r>
      <w:r w:rsidR="00BA07D3" w:rsidRPr="00D51CC1">
        <w:rPr>
          <w:rFonts w:asciiTheme="minorHAnsi" w:hAnsiTheme="minorHAnsi" w:cstheme="minorHAnsi"/>
          <w:shd w:val="clear" w:color="auto" w:fill="FFFFFF"/>
        </w:rPr>
        <w:t xml:space="preserve"> </w:t>
      </w:r>
      <w:r w:rsidR="00BA07D3" w:rsidRPr="00D51CC1">
        <w:rPr>
          <w:rFonts w:asciiTheme="minorHAnsi" w:hAnsiTheme="minorHAnsi" w:cstheme="minorHAnsi"/>
          <w:shd w:val="clear" w:color="auto" w:fill="FFFFFF"/>
        </w:rPr>
        <w:t xml:space="preserve">Bhattacharjee, S., Benna John, F. and </w:t>
      </w:r>
      <w:proofErr w:type="spellStart"/>
      <w:r w:rsidR="00BA07D3" w:rsidRPr="00D51CC1">
        <w:rPr>
          <w:rFonts w:asciiTheme="minorHAnsi" w:hAnsiTheme="minorHAnsi" w:cstheme="minorHAnsi"/>
          <w:shd w:val="clear" w:color="auto" w:fill="FFFFFF"/>
        </w:rPr>
        <w:t>Vijayakamar</w:t>
      </w:r>
      <w:proofErr w:type="spellEnd"/>
      <w:r w:rsidR="00BA07D3" w:rsidRPr="00D51CC1">
        <w:rPr>
          <w:rFonts w:asciiTheme="minorHAnsi" w:hAnsiTheme="minorHAnsi" w:cstheme="minorHAnsi"/>
          <w:shd w:val="clear" w:color="auto" w:fill="FFFFFF"/>
        </w:rPr>
        <w:t xml:space="preserve">, G. (2022) </w:t>
      </w:r>
      <w:r w:rsidR="00BA07D3" w:rsidRPr="00D51CC1">
        <w:rPr>
          <w:rFonts w:asciiTheme="minorHAnsi" w:hAnsiTheme="minorHAnsi" w:cstheme="minorHAnsi"/>
          <w:shd w:val="clear" w:color="auto" w:fill="FFFFFF"/>
        </w:rPr>
        <w:t>agree</w:t>
      </w:r>
      <w:r w:rsidRPr="00D51CC1">
        <w:rPr>
          <w:rFonts w:asciiTheme="minorHAnsi" w:hAnsiTheme="minorHAnsi" w:cstheme="minorHAnsi"/>
        </w:rPr>
        <w:t xml:space="preserve"> Good communication helps individuals to participate more actively in their care, make informed decisions, and collaborate with healthcare providers to develop a care plan that is personalised to their unique </w:t>
      </w:r>
      <w:proofErr w:type="spellStart"/>
      <w:proofErr w:type="gramStart"/>
      <w:r w:rsidRPr="00D51CC1">
        <w:rPr>
          <w:rFonts w:asciiTheme="minorHAnsi" w:hAnsiTheme="minorHAnsi" w:cstheme="minorHAnsi"/>
        </w:rPr>
        <w:t>needs.good</w:t>
      </w:r>
      <w:proofErr w:type="spellEnd"/>
      <w:proofErr w:type="gramEnd"/>
      <w:r w:rsidRPr="00D51CC1">
        <w:rPr>
          <w:rFonts w:asciiTheme="minorHAnsi" w:hAnsiTheme="minorHAnsi" w:cstheme="minorHAnsi"/>
        </w:rPr>
        <w:t xml:space="preserve"> communication is essential when working </w:t>
      </w:r>
      <w:r w:rsidRPr="00D51CC1">
        <w:rPr>
          <w:rFonts w:asciiTheme="minorHAnsi" w:hAnsiTheme="minorHAnsi" w:cstheme="minorHAnsi"/>
        </w:rPr>
        <w:lastRenderedPageBreak/>
        <w:t xml:space="preserve">collaboratively between different healthcare and social services organisations. A collaborative approach can improve communication, save time, reduce duplication of effort, and provide a better experience for people who use health and social care services. </w:t>
      </w:r>
      <w:proofErr w:type="spellStart"/>
      <w:r w:rsidR="00D67DE4" w:rsidRPr="00D51CC1">
        <w:rPr>
          <w:rFonts w:asciiTheme="minorHAnsi" w:hAnsiTheme="minorHAnsi" w:cstheme="minorHAnsi"/>
          <w:shd w:val="clear" w:color="auto" w:fill="FFFFFF"/>
        </w:rPr>
        <w:t>Ayvaci</w:t>
      </w:r>
      <w:proofErr w:type="spellEnd"/>
      <w:r w:rsidR="00D837F4" w:rsidRPr="00D51CC1">
        <w:rPr>
          <w:rFonts w:asciiTheme="minorHAnsi" w:hAnsiTheme="minorHAnsi" w:cstheme="minorHAnsi"/>
          <w:shd w:val="clear" w:color="auto" w:fill="FFFFFF"/>
        </w:rPr>
        <w:t xml:space="preserve"> M. et al. (2021) suggest</w:t>
      </w:r>
      <w:r w:rsidR="00D67DE4" w:rsidRPr="00D51CC1">
        <w:rPr>
          <w:rFonts w:asciiTheme="minorHAnsi" w:hAnsiTheme="minorHAnsi" w:cstheme="minorHAnsi"/>
          <w:shd w:val="clear" w:color="auto" w:fill="FFFFFF"/>
        </w:rPr>
        <w:t xml:space="preserve"> </w:t>
      </w:r>
      <w:r w:rsidR="00D51CC1" w:rsidRPr="00D51CC1">
        <w:rPr>
          <w:rFonts w:asciiTheme="minorHAnsi" w:hAnsiTheme="minorHAnsi" w:cstheme="minorHAnsi"/>
        </w:rPr>
        <w:t xml:space="preserve">that healthcare providers can share information, coordinate care, and work together to provide </w:t>
      </w:r>
      <w:r w:rsidRPr="00D51CC1">
        <w:rPr>
          <w:rFonts w:asciiTheme="minorHAnsi" w:hAnsiTheme="minorHAnsi" w:cstheme="minorHAnsi"/>
        </w:rPr>
        <w:t>seamless and integrated service for individuals with support needs. Effective communication is critical to delivering high-quality healthcare services. Promoting effective communication strategies and practices is essential to ensure that people who use healthcare services receive the best possible care and support. By promoting good communication, healthcare providers can build trust, promote better outcomes, and ensure that individuals with support needs receive the care and support they need to live a healthy and fulfilling life</w:t>
      </w:r>
      <w:r w:rsidR="00D837F4" w:rsidRPr="00D51CC1">
        <w:rPr>
          <w:rFonts w:asciiTheme="minorHAnsi" w:hAnsiTheme="minorHAnsi" w:cstheme="minorHAnsi"/>
        </w:rPr>
        <w:t>.</w:t>
      </w:r>
      <w:r w:rsidR="00A61209" w:rsidRPr="00D51CC1">
        <w:rPr>
          <w:rFonts w:asciiTheme="minorHAnsi" w:hAnsiTheme="minorHAnsi" w:cstheme="minorHAnsi"/>
          <w:shd w:val="clear" w:color="auto" w:fill="FFFFFF"/>
        </w:rPr>
        <w:t xml:space="preserve"> </w:t>
      </w:r>
      <w:r w:rsidR="00A61209" w:rsidRPr="00D51CC1">
        <w:rPr>
          <w:rFonts w:asciiTheme="minorHAnsi" w:hAnsiTheme="minorHAnsi" w:cstheme="minorHAnsi"/>
          <w:shd w:val="clear" w:color="auto" w:fill="FFFFFF"/>
        </w:rPr>
        <w:t>World Health Organization (2021)</w:t>
      </w:r>
      <w:r w:rsidRPr="00D51CC1">
        <w:rPr>
          <w:rFonts w:asciiTheme="minorHAnsi" w:hAnsiTheme="minorHAnsi" w:cstheme="minorHAnsi"/>
        </w:rPr>
        <w:t xml:space="preserve"> suggests that </w:t>
      </w:r>
      <w:proofErr w:type="gramStart"/>
      <w:r w:rsidRPr="00D51CC1">
        <w:rPr>
          <w:rFonts w:asciiTheme="minorHAnsi" w:hAnsiTheme="minorHAnsi" w:cstheme="minorHAnsi"/>
        </w:rPr>
        <w:t>As</w:t>
      </w:r>
      <w:proofErr w:type="gramEnd"/>
      <w:r w:rsidRPr="00D51CC1">
        <w:rPr>
          <w:rFonts w:asciiTheme="minorHAnsi" w:hAnsiTheme="minorHAnsi" w:cstheme="minorHAnsi"/>
        </w:rPr>
        <w:t xml:space="preserve"> a healthcare professional, it is essential to recognise that taking care of your well-being is just as important as providing care to your patients. Reflection is a powerful tool to help you maintain your physical, emotional, and mental health. By reflecting on your own experiences, thoughts, and emotions, you can better understand yourself and your own needs, which can ultimately improve the care you provide to your </w:t>
      </w:r>
      <w:proofErr w:type="spellStart"/>
      <w:proofErr w:type="gramStart"/>
      <w:r w:rsidRPr="00D51CC1">
        <w:rPr>
          <w:rFonts w:asciiTheme="minorHAnsi" w:hAnsiTheme="minorHAnsi" w:cstheme="minorHAnsi"/>
        </w:rPr>
        <w:t>patients.Reflecting</w:t>
      </w:r>
      <w:proofErr w:type="spellEnd"/>
      <w:proofErr w:type="gramEnd"/>
      <w:r w:rsidRPr="00D51CC1">
        <w:rPr>
          <w:rFonts w:asciiTheme="minorHAnsi" w:hAnsiTheme="minorHAnsi" w:cstheme="minorHAnsi"/>
        </w:rPr>
        <w:t xml:space="preserve"> on your experiences can help you recognise patterns and behaviours affecting your well-being and identify areas where you need to make changes.</w:t>
      </w:r>
      <w:r w:rsidR="00E31E9B" w:rsidRPr="00D51CC1">
        <w:rPr>
          <w:rFonts w:asciiTheme="minorHAnsi" w:hAnsiTheme="minorHAnsi" w:cstheme="minorHAnsi"/>
          <w:shd w:val="clear" w:color="auto" w:fill="FFFFFF"/>
        </w:rPr>
        <w:t xml:space="preserve"> </w:t>
      </w:r>
      <w:r w:rsidR="00E31E9B" w:rsidRPr="00D51CC1">
        <w:rPr>
          <w:rFonts w:asciiTheme="minorHAnsi" w:hAnsiTheme="minorHAnsi" w:cstheme="minorHAnsi"/>
          <w:shd w:val="clear" w:color="auto" w:fill="FFFFFF"/>
        </w:rPr>
        <w:t>Gomes Souza, L. </w:t>
      </w:r>
      <w:r w:rsidR="00E31E9B" w:rsidRPr="00D51CC1">
        <w:rPr>
          <w:rFonts w:asciiTheme="minorHAnsi" w:hAnsiTheme="minorHAnsi" w:cstheme="minorHAnsi"/>
          <w:i/>
          <w:iCs/>
          <w:shd w:val="clear" w:color="auto" w:fill="FFFFFF"/>
        </w:rPr>
        <w:t>et al.</w:t>
      </w:r>
      <w:r w:rsidR="00E31E9B" w:rsidRPr="00D51CC1">
        <w:rPr>
          <w:rFonts w:asciiTheme="minorHAnsi" w:hAnsiTheme="minorHAnsi" w:cstheme="minorHAnsi"/>
          <w:shd w:val="clear" w:color="auto" w:fill="FFFFFF"/>
        </w:rPr>
        <w:t xml:space="preserve"> (2024) </w:t>
      </w:r>
      <w:r w:rsidR="00B2789B" w:rsidRPr="00D51CC1">
        <w:rPr>
          <w:rFonts w:asciiTheme="minorHAnsi" w:hAnsiTheme="minorHAnsi" w:cstheme="minorHAnsi"/>
          <w:shd w:val="clear" w:color="auto" w:fill="FFFFFF"/>
        </w:rPr>
        <w:t>suggests that</w:t>
      </w:r>
      <w:r w:rsidRPr="00D51CC1">
        <w:rPr>
          <w:rFonts w:asciiTheme="minorHAnsi" w:hAnsiTheme="minorHAnsi" w:cstheme="minorHAnsi"/>
        </w:rPr>
        <w:t xml:space="preserve"> </w:t>
      </w:r>
      <w:proofErr w:type="gramStart"/>
      <w:r w:rsidRPr="00D51CC1">
        <w:rPr>
          <w:rFonts w:asciiTheme="minorHAnsi" w:hAnsiTheme="minorHAnsi" w:cstheme="minorHAnsi"/>
        </w:rPr>
        <w:t>For</w:t>
      </w:r>
      <w:proofErr w:type="gramEnd"/>
      <w:r w:rsidRPr="00D51CC1">
        <w:rPr>
          <w:rFonts w:asciiTheme="minorHAnsi" w:hAnsiTheme="minorHAnsi" w:cstheme="minorHAnsi"/>
        </w:rPr>
        <w:t xml:space="preserve"> example, you may discover experiencing burnout or emotional exhaustion, which can be addressed by taking time off work or seeking counselling services. Alternatively, reflecting on your own experiences can also help you identify your strengths and areas of expertise, which can be leveraged to provide better patient </w:t>
      </w:r>
      <w:proofErr w:type="spellStart"/>
      <w:proofErr w:type="gramStart"/>
      <w:r w:rsidRPr="00D51CC1">
        <w:rPr>
          <w:rFonts w:asciiTheme="minorHAnsi" w:hAnsiTheme="minorHAnsi" w:cstheme="minorHAnsi"/>
        </w:rPr>
        <w:t>care.In</w:t>
      </w:r>
      <w:proofErr w:type="spellEnd"/>
      <w:proofErr w:type="gramEnd"/>
      <w:r w:rsidRPr="00D51CC1">
        <w:rPr>
          <w:rFonts w:asciiTheme="minorHAnsi" w:hAnsiTheme="minorHAnsi" w:cstheme="minorHAnsi"/>
        </w:rPr>
        <w:t xml:space="preserve"> addition to improving your well-being, reflection can enhance the quality of care you provide to your patients. By understanding your emotions and experiences, you can become more empathetic and compassionate towards your patients and develop a stronger therapeutic relationship with </w:t>
      </w:r>
      <w:proofErr w:type="spellStart"/>
      <w:proofErr w:type="gramStart"/>
      <w:r w:rsidRPr="00D51CC1">
        <w:rPr>
          <w:rFonts w:asciiTheme="minorHAnsi" w:hAnsiTheme="minorHAnsi" w:cstheme="minorHAnsi"/>
        </w:rPr>
        <w:t>them.This</w:t>
      </w:r>
      <w:proofErr w:type="spellEnd"/>
      <w:proofErr w:type="gramEnd"/>
      <w:r w:rsidRPr="00D51CC1">
        <w:rPr>
          <w:rFonts w:asciiTheme="minorHAnsi" w:hAnsiTheme="minorHAnsi" w:cstheme="minorHAnsi"/>
        </w:rPr>
        <w:t xml:space="preserve"> can lead to better patient outcomes and a more fulfilling career as a healthcare professional. whether you are a nurse, doctor, therapist or any other healthcare professional, it is important to take some time to reflect on your well-being and the care you provide to your patients. Doing so can make you a more effective caregiver and maintain physical, emotional, and mental health.</w:t>
      </w:r>
    </w:p>
    <w:p w14:paraId="18099236" w14:textId="44C92B5B" w:rsidR="00CB2CD1" w:rsidRPr="00D51CC1" w:rsidRDefault="00CB2CD1" w:rsidP="00D51CC1">
      <w:pPr>
        <w:pStyle w:val="NormalWeb"/>
        <w:spacing w:line="360" w:lineRule="auto"/>
        <w:rPr>
          <w:rFonts w:asciiTheme="minorHAnsi" w:hAnsiTheme="minorHAnsi" w:cstheme="minorHAnsi"/>
          <w:b/>
          <w:bCs/>
        </w:rPr>
      </w:pPr>
      <w:r w:rsidRPr="00D51CC1">
        <w:rPr>
          <w:rFonts w:asciiTheme="minorHAnsi" w:hAnsiTheme="minorHAnsi" w:cstheme="minorHAnsi"/>
          <w:b/>
          <w:bCs/>
        </w:rPr>
        <w:lastRenderedPageBreak/>
        <w:t xml:space="preserve">How </w:t>
      </w:r>
      <w:r w:rsidR="00BF0E22" w:rsidRPr="00D51CC1">
        <w:rPr>
          <w:rFonts w:asciiTheme="minorHAnsi" w:hAnsiTheme="minorHAnsi" w:cstheme="minorHAnsi"/>
          <w:b/>
          <w:bCs/>
        </w:rPr>
        <w:t xml:space="preserve">has </w:t>
      </w:r>
      <w:r w:rsidRPr="00D51CC1">
        <w:rPr>
          <w:rFonts w:asciiTheme="minorHAnsi" w:hAnsiTheme="minorHAnsi" w:cstheme="minorHAnsi"/>
          <w:b/>
          <w:bCs/>
        </w:rPr>
        <w:t>the role of the three sectors adapted to the changes being made within the merging of health and social care?</w:t>
      </w:r>
    </w:p>
    <w:p w14:paraId="423ACEF4" w14:textId="445C2804" w:rsidR="00CB2CD1" w:rsidRPr="00D51CC1" w:rsidRDefault="00CB2CD1" w:rsidP="00D51CC1">
      <w:pPr>
        <w:pStyle w:val="NormalWeb"/>
        <w:spacing w:line="360" w:lineRule="auto"/>
        <w:rPr>
          <w:rFonts w:asciiTheme="minorHAnsi" w:hAnsiTheme="minorHAnsi" w:cstheme="minorHAnsi"/>
          <w:b/>
          <w:bCs/>
        </w:rPr>
      </w:pPr>
      <w:r w:rsidRPr="00D51CC1">
        <w:rPr>
          <w:rFonts w:asciiTheme="minorHAnsi" w:hAnsiTheme="minorHAnsi" w:cstheme="minorHAnsi"/>
        </w:rPr>
        <w:t xml:space="preserve">The NHS, the publicly-funded healthcare system of the United Kingdom, provides three different types of healthcare services, each catering to specific healthcare needs. </w:t>
      </w:r>
      <w:r w:rsidR="00B2789B" w:rsidRPr="00D51CC1">
        <w:rPr>
          <w:rFonts w:asciiTheme="minorHAnsi" w:hAnsiTheme="minorHAnsi" w:cstheme="minorHAnsi"/>
        </w:rPr>
        <w:t xml:space="preserve">C3SC (2019) </w:t>
      </w:r>
      <w:r w:rsidR="00B2789B" w:rsidRPr="00D51CC1">
        <w:rPr>
          <w:rFonts w:asciiTheme="minorHAnsi" w:hAnsiTheme="minorHAnsi" w:cstheme="minorHAnsi"/>
        </w:rPr>
        <w:t xml:space="preserve">argues </w:t>
      </w:r>
      <w:r w:rsidR="00D837F4" w:rsidRPr="00D51CC1">
        <w:rPr>
          <w:rFonts w:asciiTheme="minorHAnsi" w:hAnsiTheme="minorHAnsi" w:cstheme="minorHAnsi"/>
        </w:rPr>
        <w:t>that primary care is usually the first contact point for people who need</w:t>
      </w:r>
      <w:r w:rsidRPr="00D51CC1">
        <w:rPr>
          <w:rFonts w:asciiTheme="minorHAnsi" w:hAnsiTheme="minorHAnsi" w:cstheme="minorHAnsi"/>
        </w:rPr>
        <w:t xml:space="preserve"> healthcare services. It is provided by healthcare professionals such as General Practitioners (GPs), dentists, and pharmacists. These healthcare professionals offer various services, including essential medical check-ups, health consultations, diagnosis, and treatment of common illnesses such as flu, colds, and infections</w:t>
      </w:r>
      <w:r w:rsidR="00D837F4" w:rsidRPr="00D51CC1">
        <w:rPr>
          <w:rFonts w:asciiTheme="minorHAnsi" w:hAnsiTheme="minorHAnsi" w:cstheme="minorHAnsi"/>
        </w:rPr>
        <w:t xml:space="preserve">. </w:t>
      </w:r>
      <w:r w:rsidR="00B2789B" w:rsidRPr="00D51CC1">
        <w:rPr>
          <w:rFonts w:asciiTheme="minorHAnsi" w:hAnsiTheme="minorHAnsi" w:cstheme="minorHAnsi"/>
        </w:rPr>
        <w:t>National Health Service (2015)</w:t>
      </w:r>
      <w:r w:rsidR="00B2789B" w:rsidRPr="00D51CC1">
        <w:rPr>
          <w:rFonts w:asciiTheme="minorHAnsi" w:hAnsiTheme="minorHAnsi" w:cstheme="minorHAnsi"/>
        </w:rPr>
        <w:t xml:space="preserve"> would agree </w:t>
      </w:r>
      <w:r w:rsidR="00D837F4" w:rsidRPr="00D51CC1">
        <w:rPr>
          <w:rFonts w:asciiTheme="minorHAnsi" w:hAnsiTheme="minorHAnsi" w:cstheme="minorHAnsi"/>
        </w:rPr>
        <w:t>that secondary</w:t>
      </w:r>
      <w:r w:rsidRPr="00D51CC1">
        <w:rPr>
          <w:rFonts w:asciiTheme="minorHAnsi" w:hAnsiTheme="minorHAnsi" w:cstheme="minorHAnsi"/>
        </w:rPr>
        <w:t xml:space="preserve"> care services, which typically necessitate a referral from a GP, are delivered by specialists with extensive expertise. This includes secondary mental health services such as hospitals, psychological well-being services, community mental health teams, crisis resolution and home treatment teams. These specialists, such as psychiatrists and psychologists, offer advanced medical treatments and therapies for mental health conditions. </w:t>
      </w:r>
      <w:r w:rsidRPr="00D51CC1">
        <w:rPr>
          <w:rStyle w:val="Emphasis"/>
          <w:rFonts w:asciiTheme="minorHAnsi" w:hAnsiTheme="minorHAnsi" w:cstheme="minorHAnsi"/>
          <w:i w:val="0"/>
          <w:iCs w:val="0"/>
        </w:rPr>
        <w:t>Tertiary care</w:t>
      </w:r>
      <w:r w:rsidRPr="00D51CC1">
        <w:rPr>
          <w:rFonts w:asciiTheme="minorHAnsi" w:hAnsiTheme="minorHAnsi" w:cstheme="minorHAnsi"/>
        </w:rPr>
        <w:t xml:space="preserve"> is the highest medical care in the NHS and is reserved for highly specialised </w:t>
      </w:r>
      <w:r w:rsidR="00BF0E22" w:rsidRPr="00D51CC1">
        <w:rPr>
          <w:rFonts w:asciiTheme="minorHAnsi" w:hAnsiTheme="minorHAnsi" w:cstheme="minorHAnsi"/>
        </w:rPr>
        <w:t>therapies</w:t>
      </w:r>
      <w:r w:rsidR="00D837F4" w:rsidRPr="00D51CC1">
        <w:rPr>
          <w:rFonts w:asciiTheme="minorHAnsi" w:hAnsiTheme="minorHAnsi" w:cstheme="minorHAnsi"/>
        </w:rPr>
        <w:t>.</w:t>
      </w:r>
      <w:r w:rsidR="00CC494C" w:rsidRPr="00D51CC1">
        <w:rPr>
          <w:rFonts w:asciiTheme="minorHAnsi" w:hAnsiTheme="minorHAnsi" w:cstheme="minorHAnsi"/>
          <w:i/>
          <w:iCs/>
          <w:shd w:val="clear" w:color="auto" w:fill="FFFFFF"/>
        </w:rPr>
        <w:t xml:space="preserve"> </w:t>
      </w:r>
      <w:r w:rsidR="00CC494C" w:rsidRPr="00D51CC1">
        <w:rPr>
          <w:rFonts w:asciiTheme="minorHAnsi" w:hAnsiTheme="minorHAnsi" w:cstheme="minorHAnsi"/>
          <w:i/>
          <w:iCs/>
          <w:shd w:val="clear" w:color="auto" w:fill="FFFFFF"/>
        </w:rPr>
        <w:t>Tertiary Care - Medical, Psychosocial, and Environmental Aspects</w:t>
      </w:r>
      <w:r w:rsidR="00CC494C" w:rsidRPr="00D51CC1">
        <w:rPr>
          <w:rFonts w:asciiTheme="minorHAnsi" w:hAnsiTheme="minorHAnsi" w:cstheme="minorHAnsi"/>
          <w:shd w:val="clear" w:color="auto" w:fill="FFFFFF"/>
        </w:rPr>
        <w:t> (2024)</w:t>
      </w:r>
      <w:r w:rsidR="00CC494C" w:rsidRPr="00D51CC1">
        <w:rPr>
          <w:rFonts w:asciiTheme="minorHAnsi" w:hAnsiTheme="minorHAnsi" w:cstheme="minorHAnsi"/>
        </w:rPr>
        <w:t xml:space="preserve"> </w:t>
      </w:r>
      <w:proofErr w:type="gramStart"/>
      <w:r w:rsidR="00CC494C" w:rsidRPr="00D51CC1">
        <w:rPr>
          <w:rFonts w:asciiTheme="minorHAnsi" w:hAnsiTheme="minorHAnsi" w:cstheme="minorHAnsi"/>
        </w:rPr>
        <w:t xml:space="preserve">suggests </w:t>
      </w:r>
      <w:r w:rsidRPr="00D51CC1">
        <w:rPr>
          <w:rFonts w:asciiTheme="minorHAnsi" w:hAnsiTheme="minorHAnsi" w:cstheme="minorHAnsi"/>
        </w:rPr>
        <w:t xml:space="preserve"> It</w:t>
      </w:r>
      <w:proofErr w:type="gramEnd"/>
      <w:r w:rsidRPr="00D51CC1">
        <w:rPr>
          <w:rFonts w:asciiTheme="minorHAnsi" w:hAnsiTheme="minorHAnsi" w:cstheme="minorHAnsi"/>
        </w:rPr>
        <w:t xml:space="preserve"> involves diagnosing and treating rare medical conditions, complex surgical procedures, and other advanced medical interventions.</w:t>
      </w:r>
      <w:r w:rsidR="000F3935" w:rsidRPr="00D51CC1">
        <w:rPr>
          <w:rFonts w:asciiTheme="minorHAnsi" w:hAnsiTheme="minorHAnsi" w:cstheme="minorHAnsi"/>
          <w:shd w:val="clear" w:color="auto" w:fill="FFFFFF"/>
        </w:rPr>
        <w:t xml:space="preserve"> </w:t>
      </w:r>
      <w:r w:rsidR="000F3935" w:rsidRPr="00D51CC1">
        <w:rPr>
          <w:rFonts w:asciiTheme="minorHAnsi" w:hAnsiTheme="minorHAnsi" w:cstheme="minorHAnsi"/>
          <w:shd w:val="clear" w:color="auto" w:fill="FFFFFF"/>
        </w:rPr>
        <w:t xml:space="preserve">Limbu, D.K., </w:t>
      </w:r>
      <w:proofErr w:type="spellStart"/>
      <w:r w:rsidR="000F3935" w:rsidRPr="00D51CC1">
        <w:rPr>
          <w:rFonts w:asciiTheme="minorHAnsi" w:hAnsiTheme="minorHAnsi" w:cstheme="minorHAnsi"/>
          <w:shd w:val="clear" w:color="auto" w:fill="FFFFFF"/>
        </w:rPr>
        <w:t>Piryani</w:t>
      </w:r>
      <w:proofErr w:type="spellEnd"/>
      <w:r w:rsidR="000F3935" w:rsidRPr="00D51CC1">
        <w:rPr>
          <w:rFonts w:asciiTheme="minorHAnsi" w:hAnsiTheme="minorHAnsi" w:cstheme="minorHAnsi"/>
          <w:shd w:val="clear" w:color="auto" w:fill="FFFFFF"/>
        </w:rPr>
        <w:t xml:space="preserve">, R.M. and Sunny, A.K. (2020) </w:t>
      </w:r>
      <w:r w:rsidR="00D837F4" w:rsidRPr="00D51CC1">
        <w:rPr>
          <w:rFonts w:asciiTheme="minorHAnsi" w:hAnsiTheme="minorHAnsi" w:cstheme="minorHAnsi"/>
          <w:shd w:val="clear" w:color="auto" w:fill="FFFFFF"/>
        </w:rPr>
        <w:t xml:space="preserve">suggest </w:t>
      </w:r>
      <w:r w:rsidRPr="00D51CC1">
        <w:rPr>
          <w:rFonts w:asciiTheme="minorHAnsi" w:hAnsiTheme="minorHAnsi" w:cstheme="minorHAnsi"/>
        </w:rPr>
        <w:t xml:space="preserve">Examples of tertiary care services include secure forensic mental health services and specialised cancer treatments. Integrated care is a comprehensive system where healthcare professionals, experts, and specialists collaborate to provide a holistic approach to healthcare delivery. Data can be shared quickly, communication is accessible, and funding can be efficiently allocated. Integrated care eliminates barriers to continuous patient care, resulting in a superior care experience and improved healthcare overall. </w:t>
      </w:r>
      <w:r w:rsidR="006B2564" w:rsidRPr="00D51CC1">
        <w:rPr>
          <w:rFonts w:asciiTheme="minorHAnsi" w:hAnsiTheme="minorHAnsi" w:cstheme="minorHAnsi"/>
        </w:rPr>
        <w:t>Burns, L.R. </w:t>
      </w:r>
      <w:r w:rsidR="006B2564" w:rsidRPr="00D51CC1">
        <w:rPr>
          <w:rFonts w:asciiTheme="minorHAnsi" w:hAnsiTheme="minorHAnsi" w:cstheme="minorHAnsi"/>
          <w:i/>
          <w:iCs/>
        </w:rPr>
        <w:t>et al.</w:t>
      </w:r>
      <w:r w:rsidR="006B2564" w:rsidRPr="00D51CC1">
        <w:rPr>
          <w:rFonts w:asciiTheme="minorHAnsi" w:hAnsiTheme="minorHAnsi" w:cstheme="minorHAnsi"/>
        </w:rPr>
        <w:t xml:space="preserve"> (1997) </w:t>
      </w:r>
      <w:r w:rsidR="00D837F4" w:rsidRPr="00D51CC1">
        <w:rPr>
          <w:rFonts w:asciiTheme="minorHAnsi" w:hAnsiTheme="minorHAnsi" w:cstheme="minorHAnsi"/>
        </w:rPr>
        <w:t>agree that integrated care systems (ICSs) are partnerships that bring together social care providers, local government, the NHS, voluntary, community, faith,</w:t>
      </w:r>
      <w:r w:rsidRPr="00D51CC1">
        <w:rPr>
          <w:rFonts w:asciiTheme="minorHAnsi" w:hAnsiTheme="minorHAnsi" w:cstheme="minorHAnsi"/>
        </w:rPr>
        <w:t xml:space="preserve"> and social enterprise organisations. The aim is to enhance the lives of people who live and work in their area by providing high-quality, coordinated healthcare services that meet their specific </w:t>
      </w:r>
      <w:r w:rsidRPr="00D51CC1">
        <w:rPr>
          <w:rFonts w:asciiTheme="minorHAnsi" w:hAnsiTheme="minorHAnsi" w:cstheme="minorHAnsi"/>
          <w:b/>
          <w:bCs/>
        </w:rPr>
        <w:t>needs.</w:t>
      </w:r>
    </w:p>
    <w:p w14:paraId="39E2464C" w14:textId="1F09305A" w:rsidR="00857971" w:rsidRPr="00D51CC1" w:rsidRDefault="00857971" w:rsidP="00D51CC1">
      <w:pPr>
        <w:pStyle w:val="NormalWeb"/>
        <w:spacing w:line="360" w:lineRule="auto"/>
        <w:rPr>
          <w:rFonts w:asciiTheme="minorHAnsi" w:hAnsiTheme="minorHAnsi" w:cstheme="minorHAnsi"/>
          <w:b/>
          <w:bCs/>
        </w:rPr>
      </w:pPr>
      <w:r w:rsidRPr="00D51CC1">
        <w:rPr>
          <w:rFonts w:asciiTheme="minorHAnsi" w:hAnsiTheme="minorHAnsi" w:cstheme="minorHAnsi"/>
          <w:b/>
          <w:bCs/>
        </w:rPr>
        <w:t>Conclusion</w:t>
      </w:r>
    </w:p>
    <w:p w14:paraId="07871269" w14:textId="3F0EAD8D" w:rsidR="00CF5CCE" w:rsidRPr="00D51CC1" w:rsidRDefault="00CF5CCE" w:rsidP="00D51CC1">
      <w:pPr>
        <w:pStyle w:val="NormalWeb"/>
        <w:spacing w:line="360" w:lineRule="auto"/>
        <w:rPr>
          <w:rFonts w:asciiTheme="minorHAnsi" w:hAnsiTheme="minorHAnsi" w:cstheme="minorHAnsi"/>
        </w:rPr>
      </w:pPr>
      <w:r w:rsidRPr="00D51CC1">
        <w:rPr>
          <w:rFonts w:asciiTheme="minorHAnsi" w:hAnsiTheme="minorHAnsi" w:cstheme="minorHAnsi"/>
        </w:rPr>
        <w:lastRenderedPageBreak/>
        <w:t xml:space="preserve">After conducting a thorough analysis of the role of various individuals in the NHS, it is evident that some had a profound impact on the healthcare industry. One such individual is Florence Nightingale, </w:t>
      </w:r>
      <w:r w:rsidR="00BF0E22" w:rsidRPr="00D51CC1">
        <w:rPr>
          <w:rFonts w:asciiTheme="minorHAnsi" w:hAnsiTheme="minorHAnsi" w:cstheme="minorHAnsi"/>
        </w:rPr>
        <w:t xml:space="preserve">a pioneer in her field, and some of the health and safety hygiene standards </w:t>
      </w:r>
      <w:r w:rsidRPr="00D51CC1">
        <w:rPr>
          <w:rFonts w:asciiTheme="minorHAnsi" w:hAnsiTheme="minorHAnsi" w:cstheme="minorHAnsi"/>
        </w:rPr>
        <w:t>she established are still in use today. Undoubtedly, she was the founder of modern-day nursing and played a crucial role in transforming the profession into a respectable one.</w:t>
      </w:r>
      <w:r w:rsidR="00BF0E22" w:rsidRPr="00D51CC1">
        <w:rPr>
          <w:rFonts w:asciiTheme="minorHAnsi" w:hAnsiTheme="minorHAnsi" w:cstheme="minorHAnsi"/>
        </w:rPr>
        <w:t xml:space="preserve"> </w:t>
      </w:r>
      <w:r w:rsidRPr="00D51CC1">
        <w:rPr>
          <w:rFonts w:asciiTheme="minorHAnsi" w:hAnsiTheme="minorHAnsi" w:cstheme="minorHAnsi"/>
        </w:rPr>
        <w:t xml:space="preserve">Over the years, the NHS has undergone significant changes, but the most remarkable thing about it is that it continues to provide free access to healthcare services. However, the COVID-19 pandemic has </w:t>
      </w:r>
      <w:r w:rsidR="00BF0E22" w:rsidRPr="00D51CC1">
        <w:rPr>
          <w:rFonts w:asciiTheme="minorHAnsi" w:hAnsiTheme="minorHAnsi" w:cstheme="minorHAnsi"/>
        </w:rPr>
        <w:t xml:space="preserve">significantly impacted the industry, particularly </w:t>
      </w:r>
      <w:r w:rsidRPr="00D51CC1">
        <w:rPr>
          <w:rFonts w:asciiTheme="minorHAnsi" w:hAnsiTheme="minorHAnsi" w:cstheme="minorHAnsi"/>
        </w:rPr>
        <w:t xml:space="preserve">doctors, nurses, and other healthcare workers. As a result, collaborative working has become essential within the NHS and the health and social care sector to drive growth and innovation within the industry. This helps </w:t>
      </w:r>
      <w:r w:rsidR="00720871" w:rsidRPr="00D51CC1">
        <w:rPr>
          <w:rFonts w:asciiTheme="minorHAnsi" w:hAnsiTheme="minorHAnsi" w:cstheme="minorHAnsi"/>
        </w:rPr>
        <w:t>exchange ideas, identify gaps, and make</w:t>
      </w:r>
      <w:r w:rsidRPr="00D51CC1">
        <w:rPr>
          <w:rFonts w:asciiTheme="minorHAnsi" w:hAnsiTheme="minorHAnsi" w:cstheme="minorHAnsi"/>
        </w:rPr>
        <w:t xml:space="preserve"> communication easier between different </w:t>
      </w:r>
      <w:r w:rsidR="00720871" w:rsidRPr="00D51CC1">
        <w:rPr>
          <w:rFonts w:asciiTheme="minorHAnsi" w:hAnsiTheme="minorHAnsi" w:cstheme="minorHAnsi"/>
        </w:rPr>
        <w:t>organisations</w:t>
      </w:r>
      <w:r w:rsidRPr="00D51CC1">
        <w:rPr>
          <w:rFonts w:asciiTheme="minorHAnsi" w:hAnsiTheme="minorHAnsi" w:cstheme="minorHAnsi"/>
        </w:rPr>
        <w:t>.</w:t>
      </w:r>
      <w:r w:rsidR="00660ADD" w:rsidRPr="00D51CC1">
        <w:rPr>
          <w:rFonts w:asciiTheme="minorHAnsi" w:hAnsiTheme="minorHAnsi" w:cstheme="minorHAnsi"/>
        </w:rPr>
        <w:t xml:space="preserve"> </w:t>
      </w:r>
      <w:r w:rsidRPr="00D51CC1">
        <w:rPr>
          <w:rFonts w:asciiTheme="minorHAnsi" w:hAnsiTheme="minorHAnsi" w:cstheme="minorHAnsi"/>
        </w:rPr>
        <w:t xml:space="preserve">Technology is another essential part of today's world, and it has </w:t>
      </w:r>
      <w:r w:rsidR="00720871" w:rsidRPr="00D51CC1">
        <w:rPr>
          <w:rFonts w:asciiTheme="minorHAnsi" w:hAnsiTheme="minorHAnsi" w:cstheme="minorHAnsi"/>
        </w:rPr>
        <w:t>revolutionised</w:t>
      </w:r>
      <w:r w:rsidRPr="00D51CC1">
        <w:rPr>
          <w:rFonts w:asciiTheme="minorHAnsi" w:hAnsiTheme="minorHAnsi" w:cstheme="minorHAnsi"/>
        </w:rPr>
        <w:t xml:space="preserve"> the healthcare industry. With the use of technology, service users and </w:t>
      </w:r>
      <w:r w:rsidR="00720871" w:rsidRPr="00D51CC1">
        <w:rPr>
          <w:rFonts w:asciiTheme="minorHAnsi" w:hAnsiTheme="minorHAnsi" w:cstheme="minorHAnsi"/>
        </w:rPr>
        <w:t>organisations</w:t>
      </w:r>
      <w:r w:rsidRPr="00D51CC1">
        <w:rPr>
          <w:rFonts w:asciiTheme="minorHAnsi" w:hAnsiTheme="minorHAnsi" w:cstheme="minorHAnsi"/>
        </w:rPr>
        <w:t xml:space="preserve"> can now communicate </w:t>
      </w:r>
      <w:r w:rsidR="00D837F4" w:rsidRPr="00D51CC1">
        <w:rPr>
          <w:rFonts w:asciiTheme="minorHAnsi" w:hAnsiTheme="minorHAnsi" w:cstheme="minorHAnsi"/>
        </w:rPr>
        <w:t>more easily</w:t>
      </w:r>
      <w:r w:rsidRPr="00D51CC1">
        <w:rPr>
          <w:rFonts w:asciiTheme="minorHAnsi" w:hAnsiTheme="minorHAnsi" w:cstheme="minorHAnsi"/>
        </w:rPr>
        <w:t xml:space="preserve"> and faster. It also allows for faster processing and sharing of data without any </w:t>
      </w:r>
      <w:r w:rsidR="00720871" w:rsidRPr="00D51CC1">
        <w:rPr>
          <w:rFonts w:asciiTheme="minorHAnsi" w:hAnsiTheme="minorHAnsi" w:cstheme="minorHAnsi"/>
        </w:rPr>
        <w:t>limitations</w:t>
      </w:r>
      <w:r w:rsidRPr="00D51CC1">
        <w:rPr>
          <w:rFonts w:asciiTheme="minorHAnsi" w:hAnsiTheme="minorHAnsi" w:cstheme="minorHAnsi"/>
        </w:rPr>
        <w:t xml:space="preserve">. Although there are some downsides to technology, such as data protection leaks and </w:t>
      </w:r>
      <w:proofErr w:type="spellStart"/>
      <w:r w:rsidRPr="00D51CC1">
        <w:rPr>
          <w:rFonts w:asciiTheme="minorHAnsi" w:hAnsiTheme="minorHAnsi" w:cstheme="minorHAnsi"/>
        </w:rPr>
        <w:t>cyber attacks</w:t>
      </w:r>
      <w:proofErr w:type="spellEnd"/>
      <w:r w:rsidRPr="00D51CC1">
        <w:rPr>
          <w:rFonts w:asciiTheme="minorHAnsi" w:hAnsiTheme="minorHAnsi" w:cstheme="minorHAnsi"/>
        </w:rPr>
        <w:t>, the benefits it can provide far outweigh the risks.</w:t>
      </w:r>
      <w:r w:rsidR="00720871" w:rsidRPr="00D51CC1">
        <w:rPr>
          <w:rFonts w:asciiTheme="minorHAnsi" w:hAnsiTheme="minorHAnsi" w:cstheme="minorHAnsi"/>
        </w:rPr>
        <w:t xml:space="preserve"> </w:t>
      </w:r>
      <w:r w:rsidRPr="00D51CC1">
        <w:rPr>
          <w:rFonts w:asciiTheme="minorHAnsi" w:hAnsiTheme="minorHAnsi" w:cstheme="minorHAnsi"/>
        </w:rPr>
        <w:t>The Agenda for Change was created in 2004 to create a fair pay system based on experience, role, and a band system. However, due to staff shortages and burnout, those working in the NHS and health and social care sector are under immense pressure and face massive workloads. This can have a severe effect on the staff, and there is a need for support and recognition for their efforts.</w:t>
      </w:r>
      <w:r w:rsidR="00720871" w:rsidRPr="00D51CC1">
        <w:rPr>
          <w:rFonts w:asciiTheme="minorHAnsi" w:hAnsiTheme="minorHAnsi" w:cstheme="minorHAnsi"/>
        </w:rPr>
        <w:t xml:space="preserve"> </w:t>
      </w:r>
      <w:r w:rsidRPr="00D51CC1">
        <w:rPr>
          <w:rFonts w:asciiTheme="minorHAnsi" w:hAnsiTheme="minorHAnsi" w:cstheme="minorHAnsi"/>
        </w:rPr>
        <w:t xml:space="preserve">The COVID-19 pandemic has </w:t>
      </w:r>
      <w:r w:rsidR="00720871" w:rsidRPr="00D51CC1">
        <w:rPr>
          <w:rFonts w:asciiTheme="minorHAnsi" w:hAnsiTheme="minorHAnsi" w:cstheme="minorHAnsi"/>
        </w:rPr>
        <w:t>significantly impacted</w:t>
      </w:r>
      <w:r w:rsidRPr="00D51CC1">
        <w:rPr>
          <w:rFonts w:asciiTheme="minorHAnsi" w:hAnsiTheme="minorHAnsi" w:cstheme="minorHAnsi"/>
        </w:rPr>
        <w:t xml:space="preserve"> the NHS, and the waiting times for appointments and operations have been affected. It has also changed </w:t>
      </w:r>
      <w:r w:rsidR="00720871" w:rsidRPr="00D51CC1">
        <w:rPr>
          <w:rFonts w:asciiTheme="minorHAnsi" w:hAnsiTheme="minorHAnsi" w:cstheme="minorHAnsi"/>
        </w:rPr>
        <w:t>how the services operate, and people's perception of them</w:t>
      </w:r>
      <w:r w:rsidRPr="00D51CC1">
        <w:rPr>
          <w:rFonts w:asciiTheme="minorHAnsi" w:hAnsiTheme="minorHAnsi" w:cstheme="minorHAnsi"/>
        </w:rPr>
        <w:t xml:space="preserve"> has changed. Community services are an integral part of the health and social care system, and they involve providing essential services to ensure individuals' </w:t>
      </w:r>
      <w:r w:rsidR="00720871" w:rsidRPr="00D51CC1">
        <w:rPr>
          <w:rFonts w:asciiTheme="minorHAnsi" w:hAnsiTheme="minorHAnsi" w:cstheme="minorHAnsi"/>
        </w:rPr>
        <w:t>well-being</w:t>
      </w:r>
      <w:r w:rsidRPr="00D51CC1">
        <w:rPr>
          <w:rFonts w:asciiTheme="minorHAnsi" w:hAnsiTheme="minorHAnsi" w:cstheme="minorHAnsi"/>
        </w:rPr>
        <w:t xml:space="preserve">. In light of the merging of health and social care sectors, I am confident that the </w:t>
      </w:r>
      <w:r w:rsidR="00720871" w:rsidRPr="00D51CC1">
        <w:rPr>
          <w:rFonts w:asciiTheme="minorHAnsi" w:hAnsiTheme="minorHAnsi" w:cstheme="minorHAnsi"/>
        </w:rPr>
        <w:t>public, private, and voluntary sectors</w:t>
      </w:r>
      <w:r w:rsidRPr="00D51CC1">
        <w:rPr>
          <w:rFonts w:asciiTheme="minorHAnsi" w:hAnsiTheme="minorHAnsi" w:cstheme="minorHAnsi"/>
        </w:rPr>
        <w:t xml:space="preserve"> are adapting to the changes exceptionally well. As a result, they </w:t>
      </w:r>
      <w:r w:rsidR="00720871" w:rsidRPr="00D51CC1">
        <w:rPr>
          <w:rFonts w:asciiTheme="minorHAnsi" w:hAnsiTheme="minorHAnsi" w:cstheme="minorHAnsi"/>
        </w:rPr>
        <w:t>can now</w:t>
      </w:r>
      <w:r w:rsidRPr="00D51CC1">
        <w:rPr>
          <w:rFonts w:asciiTheme="minorHAnsi" w:hAnsiTheme="minorHAnsi" w:cstheme="minorHAnsi"/>
        </w:rPr>
        <w:t xml:space="preserve"> offer a </w:t>
      </w:r>
      <w:r w:rsidR="00720871" w:rsidRPr="00D51CC1">
        <w:rPr>
          <w:rFonts w:asciiTheme="minorHAnsi" w:hAnsiTheme="minorHAnsi" w:cstheme="minorHAnsi"/>
        </w:rPr>
        <w:t>broader</w:t>
      </w:r>
      <w:r w:rsidRPr="00D51CC1">
        <w:rPr>
          <w:rFonts w:asciiTheme="minorHAnsi" w:hAnsiTheme="minorHAnsi" w:cstheme="minorHAnsi"/>
        </w:rPr>
        <w:t xml:space="preserve"> range of services, each catering to specific healthcare needs. This is a significant development as it means that people can now access more </w:t>
      </w:r>
      <w:r w:rsidR="00660ADD" w:rsidRPr="00D51CC1">
        <w:rPr>
          <w:rFonts w:asciiTheme="minorHAnsi" w:hAnsiTheme="minorHAnsi" w:cstheme="minorHAnsi"/>
        </w:rPr>
        <w:t>specialised</w:t>
      </w:r>
      <w:r w:rsidRPr="00D51CC1">
        <w:rPr>
          <w:rFonts w:asciiTheme="minorHAnsi" w:hAnsiTheme="minorHAnsi" w:cstheme="minorHAnsi"/>
        </w:rPr>
        <w:t xml:space="preserve"> and tailored healthcare services, which were not previously available. This shift </w:t>
      </w:r>
      <w:r w:rsidR="00660ADD" w:rsidRPr="00D51CC1">
        <w:rPr>
          <w:rFonts w:asciiTheme="minorHAnsi" w:hAnsiTheme="minorHAnsi" w:cstheme="minorHAnsi"/>
        </w:rPr>
        <w:t>can potentially</w:t>
      </w:r>
      <w:r w:rsidRPr="00D51CC1">
        <w:rPr>
          <w:rFonts w:asciiTheme="minorHAnsi" w:hAnsiTheme="minorHAnsi" w:cstheme="minorHAnsi"/>
        </w:rPr>
        <w:t xml:space="preserve"> improve health outcomes and enhance the overall quality of care delivered to patients in need.</w:t>
      </w:r>
    </w:p>
    <w:p w14:paraId="73D40C3D" w14:textId="77777777" w:rsidR="00D51CC1" w:rsidRPr="00D51CC1" w:rsidRDefault="00D51CC1" w:rsidP="00D51CC1">
      <w:pPr>
        <w:spacing w:line="360" w:lineRule="auto"/>
        <w:rPr>
          <w:rFonts w:cstheme="minorHAnsi"/>
          <w:b/>
          <w:bCs/>
          <w:sz w:val="24"/>
          <w:szCs w:val="24"/>
        </w:rPr>
      </w:pPr>
      <w:r w:rsidRPr="00D51CC1">
        <w:rPr>
          <w:rFonts w:cstheme="minorHAnsi"/>
          <w:b/>
          <w:bCs/>
          <w:sz w:val="24"/>
          <w:szCs w:val="24"/>
        </w:rPr>
        <w:lastRenderedPageBreak/>
        <w:t>Reference list</w:t>
      </w:r>
    </w:p>
    <w:p w14:paraId="0F859864" w14:textId="665C090C"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0" w:name="_Hlk166232713"/>
      <w:r w:rsidRPr="00D51CC1">
        <w:rPr>
          <w:rFonts w:cstheme="minorHAnsi"/>
          <w:sz w:val="24"/>
          <w:szCs w:val="24"/>
          <w:shd w:val="clear" w:color="auto" w:fill="FFFFFF"/>
        </w:rPr>
        <w:t xml:space="preserve">Altmann, P. and Michael, J. (2011) </w:t>
      </w:r>
      <w:bookmarkEnd w:id="0"/>
      <w:r w:rsidRPr="00D51CC1">
        <w:rPr>
          <w:rFonts w:cstheme="minorHAnsi"/>
          <w:sz w:val="24"/>
          <w:szCs w:val="24"/>
          <w:shd w:val="clear" w:color="auto" w:fill="FFFFFF"/>
        </w:rPr>
        <w:t>‘Successful delivery of information technology in the NHS’, </w:t>
      </w:r>
      <w:r w:rsidRPr="00D51CC1">
        <w:rPr>
          <w:rFonts w:cstheme="minorHAnsi"/>
          <w:i/>
          <w:iCs/>
          <w:sz w:val="24"/>
          <w:szCs w:val="24"/>
          <w:shd w:val="clear" w:color="auto" w:fill="FFFFFF"/>
        </w:rPr>
        <w:t>BMJ</w:t>
      </w:r>
      <w:r w:rsidRPr="00D51CC1">
        <w:rPr>
          <w:rFonts w:cstheme="minorHAnsi"/>
          <w:sz w:val="24"/>
          <w:szCs w:val="24"/>
          <w:shd w:val="clear" w:color="auto" w:fill="FFFFFF"/>
        </w:rPr>
        <w:t xml:space="preserve">, 343(oct24 2), pp. d6663–d6663. Available at: </w:t>
      </w:r>
      <w:hyperlink r:id="rId4" w:history="1">
        <w:r w:rsidRPr="00D51CC1">
          <w:rPr>
            <w:rStyle w:val="Hyperlink"/>
            <w:rFonts w:cstheme="minorHAnsi"/>
            <w:color w:val="auto"/>
            <w:sz w:val="24"/>
            <w:szCs w:val="24"/>
            <w:shd w:val="clear" w:color="auto" w:fill="FFFFFF"/>
          </w:rPr>
          <w:t>https://doi.org/10.1136/bmj.d6663</w:t>
        </w:r>
      </w:hyperlink>
    </w:p>
    <w:p w14:paraId="1333E7E2" w14:textId="77777777" w:rsidR="00D51CC1" w:rsidRPr="00D51CC1" w:rsidRDefault="00D51CC1" w:rsidP="00D51CC1">
      <w:pPr>
        <w:shd w:val="clear" w:color="auto" w:fill="FFFFFF"/>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1" w:name="_Hlk166234778"/>
      <w:proofErr w:type="spellStart"/>
      <w:r w:rsidRPr="00D51CC1">
        <w:rPr>
          <w:rFonts w:cstheme="minorHAnsi"/>
          <w:sz w:val="24"/>
          <w:szCs w:val="24"/>
          <w:shd w:val="clear" w:color="auto" w:fill="FFFFFF"/>
        </w:rPr>
        <w:t>Ayvaci</w:t>
      </w:r>
      <w:proofErr w:type="spellEnd"/>
      <w:r w:rsidRPr="00D51CC1">
        <w:rPr>
          <w:rFonts w:cstheme="minorHAnsi"/>
          <w:sz w:val="24"/>
          <w:szCs w:val="24"/>
          <w:shd w:val="clear" w:color="auto" w:fill="FFFFFF"/>
        </w:rPr>
        <w:t>, M. </w:t>
      </w:r>
      <w:r w:rsidRPr="00D51CC1">
        <w:rPr>
          <w:rFonts w:cstheme="minorHAnsi"/>
          <w:i/>
          <w:iCs/>
          <w:sz w:val="24"/>
          <w:szCs w:val="24"/>
          <w:shd w:val="clear" w:color="auto" w:fill="FFFFFF"/>
        </w:rPr>
        <w:t>et al.</w:t>
      </w:r>
      <w:r w:rsidRPr="00D51CC1">
        <w:rPr>
          <w:rFonts w:cstheme="minorHAnsi"/>
          <w:sz w:val="24"/>
          <w:szCs w:val="24"/>
          <w:shd w:val="clear" w:color="auto" w:fill="FFFFFF"/>
        </w:rPr>
        <w:t xml:space="preserve"> (2021) </w:t>
      </w:r>
      <w:bookmarkEnd w:id="1"/>
      <w:r w:rsidRPr="00D51CC1">
        <w:rPr>
          <w:rFonts w:cstheme="minorHAnsi"/>
          <w:sz w:val="24"/>
          <w:szCs w:val="24"/>
          <w:shd w:val="clear" w:color="auto" w:fill="FFFFFF"/>
        </w:rPr>
        <w:t>‘Designing Payment Contracts for Healthcare Services to Induce Information Sharing: The Adoption and the Value of Health Information Exchanges (HIEs)’, </w:t>
      </w:r>
      <w:r w:rsidRPr="00D51CC1">
        <w:rPr>
          <w:rFonts w:cstheme="minorHAnsi"/>
          <w:i/>
          <w:iCs/>
          <w:sz w:val="24"/>
          <w:szCs w:val="24"/>
          <w:shd w:val="clear" w:color="auto" w:fill="FFFFFF"/>
        </w:rPr>
        <w:t>MIS quarterly</w:t>
      </w:r>
      <w:r w:rsidRPr="00D51CC1">
        <w:rPr>
          <w:rFonts w:cstheme="minorHAnsi"/>
          <w:sz w:val="24"/>
          <w:szCs w:val="24"/>
          <w:shd w:val="clear" w:color="auto" w:fill="FFFFFF"/>
        </w:rPr>
        <w:t xml:space="preserve">, 45(2), pp. 637–692. Available at: </w:t>
      </w:r>
      <w:hyperlink r:id="rId5" w:history="1">
        <w:r w:rsidRPr="00D51CC1">
          <w:rPr>
            <w:rStyle w:val="Hyperlink"/>
            <w:rFonts w:cstheme="minorHAnsi"/>
            <w:color w:val="auto"/>
            <w:sz w:val="24"/>
            <w:szCs w:val="24"/>
            <w:shd w:val="clear" w:color="auto" w:fill="FFFFFF"/>
          </w:rPr>
          <w:t>https://doi.org/10.25300/MISQ/2021/14809</w:t>
        </w:r>
      </w:hyperlink>
      <w:r w:rsidRPr="00D51CC1">
        <w:rPr>
          <w:rFonts w:cstheme="minorHAnsi"/>
          <w:sz w:val="24"/>
          <w:szCs w:val="24"/>
          <w:shd w:val="clear" w:color="auto" w:fill="FFFFFF"/>
        </w:rPr>
        <w:t>.</w:t>
      </w:r>
    </w:p>
    <w:p w14:paraId="49537B61" w14:textId="77777777" w:rsidR="00D51CC1" w:rsidRPr="00D51CC1" w:rsidRDefault="00D51CC1" w:rsidP="00D51CC1">
      <w:pPr>
        <w:shd w:val="clear" w:color="auto" w:fill="FFFFFF"/>
        <w:spacing w:line="360" w:lineRule="auto"/>
        <w:rPr>
          <w:rFonts w:cstheme="minorHAnsi"/>
          <w:sz w:val="24"/>
          <w:szCs w:val="24"/>
          <w:shd w:val="clear" w:color="auto" w:fill="FFFFFF"/>
        </w:rPr>
      </w:pPr>
      <w:r w:rsidRPr="00D51CC1">
        <w:rPr>
          <w:rFonts w:eastAsia="Times New Roman" w:cstheme="minorHAnsi"/>
          <w:kern w:val="0"/>
          <w:sz w:val="24"/>
          <w:szCs w:val="24"/>
          <w:lang w:eastAsia="en-GB"/>
          <w14:ligatures w14:val="none"/>
        </w:rPr>
        <w:t xml:space="preserve"> </w:t>
      </w:r>
      <w:bookmarkStart w:id="2" w:name="_Hlk166234697"/>
      <w:r w:rsidRPr="00D51CC1">
        <w:rPr>
          <w:rFonts w:cstheme="minorHAnsi"/>
          <w:sz w:val="24"/>
          <w:szCs w:val="24"/>
          <w:shd w:val="clear" w:color="auto" w:fill="FFFFFF"/>
        </w:rPr>
        <w:t xml:space="preserve">Bhattacharjee, S., Benna John, F. and </w:t>
      </w:r>
      <w:proofErr w:type="spellStart"/>
      <w:r w:rsidRPr="00D51CC1">
        <w:rPr>
          <w:rFonts w:cstheme="minorHAnsi"/>
          <w:sz w:val="24"/>
          <w:szCs w:val="24"/>
          <w:shd w:val="clear" w:color="auto" w:fill="FFFFFF"/>
        </w:rPr>
        <w:t>Vijayakamar</w:t>
      </w:r>
      <w:proofErr w:type="spellEnd"/>
      <w:r w:rsidRPr="00D51CC1">
        <w:rPr>
          <w:rFonts w:cstheme="minorHAnsi"/>
          <w:sz w:val="24"/>
          <w:szCs w:val="24"/>
          <w:shd w:val="clear" w:color="auto" w:fill="FFFFFF"/>
        </w:rPr>
        <w:t xml:space="preserve">, G. (2022) </w:t>
      </w:r>
      <w:bookmarkEnd w:id="2"/>
      <w:r w:rsidRPr="00D51CC1">
        <w:rPr>
          <w:rFonts w:cstheme="minorHAnsi"/>
          <w:sz w:val="24"/>
          <w:szCs w:val="24"/>
          <w:shd w:val="clear" w:color="auto" w:fill="FFFFFF"/>
        </w:rPr>
        <w:t>‘Good Communication During Clinical Handovers: The Students’ Perspective’, </w:t>
      </w:r>
      <w:r w:rsidRPr="00D51CC1">
        <w:rPr>
          <w:rFonts w:cstheme="minorHAnsi"/>
          <w:i/>
          <w:iCs/>
          <w:sz w:val="24"/>
          <w:szCs w:val="24"/>
          <w:shd w:val="clear" w:color="auto" w:fill="FFFFFF"/>
        </w:rPr>
        <w:t>American journal of medical quality</w:t>
      </w:r>
      <w:r w:rsidRPr="00D51CC1">
        <w:rPr>
          <w:rFonts w:cstheme="minorHAnsi"/>
          <w:sz w:val="24"/>
          <w:szCs w:val="24"/>
          <w:shd w:val="clear" w:color="auto" w:fill="FFFFFF"/>
        </w:rPr>
        <w:t xml:space="preserve">, 37(6), pp. 557–557. Available at: </w:t>
      </w:r>
      <w:hyperlink r:id="rId6" w:history="1">
        <w:r w:rsidRPr="00D51CC1">
          <w:rPr>
            <w:rStyle w:val="Hyperlink"/>
            <w:rFonts w:cstheme="minorHAnsi"/>
            <w:color w:val="auto"/>
            <w:sz w:val="24"/>
            <w:szCs w:val="24"/>
            <w:shd w:val="clear" w:color="auto" w:fill="FFFFFF"/>
          </w:rPr>
          <w:t>https://doi.org/10.1097/JMQ.0000000000000083</w:t>
        </w:r>
      </w:hyperlink>
      <w:r w:rsidRPr="00D51CC1">
        <w:rPr>
          <w:rFonts w:cstheme="minorHAnsi"/>
          <w:sz w:val="24"/>
          <w:szCs w:val="24"/>
          <w:shd w:val="clear" w:color="auto" w:fill="FFFFFF"/>
        </w:rPr>
        <w:t>.</w:t>
      </w:r>
    </w:p>
    <w:p w14:paraId="22B10D82" w14:textId="77777777" w:rsidR="00D51CC1" w:rsidRPr="00D51CC1" w:rsidRDefault="00D51CC1" w:rsidP="00D51CC1">
      <w:pPr>
        <w:spacing w:line="360" w:lineRule="auto"/>
        <w:rPr>
          <w:rFonts w:cstheme="minorHAnsi"/>
          <w:sz w:val="24"/>
          <w:szCs w:val="24"/>
        </w:rPr>
      </w:pPr>
      <w:bookmarkStart w:id="3" w:name="_Hlk166232459"/>
      <w:r w:rsidRPr="00D51CC1">
        <w:rPr>
          <w:rFonts w:cstheme="minorHAnsi"/>
          <w:sz w:val="24"/>
          <w:szCs w:val="24"/>
        </w:rPr>
        <w:t xml:space="preserve">Bradley, P and Wilson, A. (2014) </w:t>
      </w:r>
      <w:bookmarkEnd w:id="3"/>
      <w:r w:rsidRPr="00D51CC1">
        <w:rPr>
          <w:rFonts w:cstheme="minorHAnsi"/>
          <w:sz w:val="24"/>
          <w:szCs w:val="24"/>
        </w:rPr>
        <w:t xml:space="preserve">Achieving prudent healthcare in NHS Wales, Cardiff: Public Health Wales. [Online]. Available </w:t>
      </w:r>
      <w:proofErr w:type="gramStart"/>
      <w:r w:rsidRPr="00D51CC1">
        <w:rPr>
          <w:rFonts w:cstheme="minorHAnsi"/>
          <w:sz w:val="24"/>
          <w:szCs w:val="24"/>
        </w:rPr>
        <w:t>at:http://www.1000livesplus.wales.nhs.uk/sitesplus/documents/1011/Achieving%20prudent</w:t>
      </w:r>
      <w:proofErr w:type="gramEnd"/>
      <w:r w:rsidRPr="00D51CC1">
        <w:rPr>
          <w:rFonts w:cstheme="minorHAnsi"/>
          <w:sz w:val="24"/>
          <w:szCs w:val="24"/>
        </w:rPr>
        <w:t xml:space="preserve"> %20healthcare%20in%20NHS%20Wales%20paper%20Revised%20version%20%28FINAL%29. pdf.  </w:t>
      </w:r>
    </w:p>
    <w:p w14:paraId="7D6002D3" w14:textId="77777777" w:rsidR="00D51CC1" w:rsidRPr="00D51CC1" w:rsidRDefault="00D51CC1" w:rsidP="00D51CC1">
      <w:pPr>
        <w:shd w:val="clear" w:color="auto" w:fill="FFFFFF"/>
        <w:spacing w:line="360" w:lineRule="auto"/>
        <w:rPr>
          <w:rFonts w:eastAsia="Times New Roman" w:cstheme="minorHAnsi"/>
          <w:kern w:val="0"/>
          <w:sz w:val="24"/>
          <w:szCs w:val="24"/>
          <w:lang w:eastAsia="en-GB"/>
          <w14:ligatures w14:val="none"/>
        </w:rPr>
      </w:pPr>
      <w:bookmarkStart w:id="4" w:name="_Hlk166234631"/>
      <w:r w:rsidRPr="00D51CC1">
        <w:rPr>
          <w:rFonts w:eastAsia="Times New Roman" w:cstheme="minorHAnsi"/>
          <w:kern w:val="0"/>
          <w:sz w:val="24"/>
          <w:szCs w:val="24"/>
          <w:lang w:eastAsia="en-GB"/>
          <w14:ligatures w14:val="none"/>
        </w:rPr>
        <w:t xml:space="preserve"> Bunz, M., </w:t>
      </w:r>
      <w:proofErr w:type="spellStart"/>
      <w:r w:rsidRPr="00D51CC1">
        <w:rPr>
          <w:rFonts w:eastAsia="Times New Roman" w:cstheme="minorHAnsi"/>
          <w:kern w:val="0"/>
          <w:sz w:val="24"/>
          <w:szCs w:val="24"/>
          <w:lang w:eastAsia="en-GB"/>
          <w14:ligatures w14:val="none"/>
        </w:rPr>
        <w:t>Bialski</w:t>
      </w:r>
      <w:proofErr w:type="spellEnd"/>
      <w:r w:rsidRPr="00D51CC1">
        <w:rPr>
          <w:rFonts w:eastAsia="Times New Roman" w:cstheme="minorHAnsi"/>
          <w:kern w:val="0"/>
          <w:sz w:val="24"/>
          <w:szCs w:val="24"/>
          <w:lang w:eastAsia="en-GB"/>
          <w14:ligatures w14:val="none"/>
        </w:rPr>
        <w:t>, P. and Brunton, F. (2019</w:t>
      </w:r>
      <w:bookmarkEnd w:id="4"/>
      <w:r w:rsidRPr="00D51CC1">
        <w:rPr>
          <w:rFonts w:eastAsia="Times New Roman" w:cstheme="minorHAnsi"/>
          <w:kern w:val="0"/>
          <w:sz w:val="24"/>
          <w:szCs w:val="24"/>
          <w:lang w:eastAsia="en-GB"/>
          <w14:ligatures w14:val="none"/>
        </w:rPr>
        <w:t>) </w:t>
      </w:r>
      <w:r w:rsidRPr="00D51CC1">
        <w:rPr>
          <w:rFonts w:eastAsia="Times New Roman" w:cstheme="minorHAnsi"/>
          <w:i/>
          <w:iCs/>
          <w:kern w:val="0"/>
          <w:sz w:val="24"/>
          <w:szCs w:val="24"/>
          <w:lang w:eastAsia="en-GB"/>
          <w14:ligatures w14:val="none"/>
        </w:rPr>
        <w:t>Communication</w:t>
      </w:r>
      <w:r w:rsidRPr="00D51CC1">
        <w:rPr>
          <w:rFonts w:eastAsia="Times New Roman" w:cstheme="minorHAnsi"/>
          <w:kern w:val="0"/>
          <w:sz w:val="24"/>
          <w:szCs w:val="24"/>
          <w:lang w:eastAsia="en-GB"/>
          <w14:ligatures w14:val="none"/>
        </w:rPr>
        <w:t xml:space="preserve">. </w:t>
      </w:r>
      <w:proofErr w:type="spellStart"/>
      <w:r w:rsidRPr="00D51CC1">
        <w:rPr>
          <w:rFonts w:eastAsia="Times New Roman" w:cstheme="minorHAnsi"/>
          <w:kern w:val="0"/>
          <w:sz w:val="24"/>
          <w:szCs w:val="24"/>
          <w:lang w:eastAsia="en-GB"/>
          <w14:ligatures w14:val="none"/>
        </w:rPr>
        <w:t>Lüneburg</w:t>
      </w:r>
      <w:proofErr w:type="spellEnd"/>
      <w:r w:rsidRPr="00D51CC1">
        <w:rPr>
          <w:rFonts w:eastAsia="Times New Roman" w:cstheme="minorHAnsi"/>
          <w:kern w:val="0"/>
          <w:sz w:val="24"/>
          <w:szCs w:val="24"/>
          <w:lang w:eastAsia="en-GB"/>
          <w14:ligatures w14:val="none"/>
        </w:rPr>
        <w:t>, Germany: meson press.</w:t>
      </w:r>
    </w:p>
    <w:p w14:paraId="6759473F" w14:textId="77777777" w:rsidR="00D51CC1" w:rsidRPr="00D51CC1" w:rsidRDefault="00D51CC1" w:rsidP="00D51CC1">
      <w:pPr>
        <w:shd w:val="clear" w:color="auto" w:fill="FFFFFF"/>
        <w:spacing w:line="360" w:lineRule="auto"/>
        <w:rPr>
          <w:rFonts w:cstheme="minorHAnsi"/>
          <w:sz w:val="24"/>
          <w:szCs w:val="24"/>
          <w:shd w:val="clear" w:color="auto" w:fill="FFFFFF"/>
        </w:rPr>
      </w:pPr>
      <w:r w:rsidRPr="00D51CC1">
        <w:rPr>
          <w:rFonts w:eastAsia="Times New Roman" w:cstheme="minorHAnsi"/>
          <w:kern w:val="0"/>
          <w:sz w:val="24"/>
          <w:szCs w:val="24"/>
          <w:lang w:eastAsia="en-GB"/>
          <w14:ligatures w14:val="none"/>
        </w:rPr>
        <w:t xml:space="preserve"> </w:t>
      </w:r>
      <w:bookmarkStart w:id="5" w:name="_Hlk166235342"/>
      <w:r w:rsidRPr="00D51CC1">
        <w:rPr>
          <w:rFonts w:eastAsia="Times New Roman" w:cstheme="minorHAnsi"/>
          <w:kern w:val="0"/>
          <w:sz w:val="24"/>
          <w:szCs w:val="24"/>
          <w:lang w:eastAsia="en-GB"/>
          <w14:ligatures w14:val="none"/>
        </w:rPr>
        <w:t>Burns, L.R. </w:t>
      </w:r>
      <w:r w:rsidRPr="00D51CC1">
        <w:rPr>
          <w:rFonts w:eastAsia="Times New Roman" w:cstheme="minorHAnsi"/>
          <w:i/>
          <w:iCs/>
          <w:kern w:val="0"/>
          <w:sz w:val="24"/>
          <w:szCs w:val="24"/>
          <w:lang w:eastAsia="en-GB"/>
          <w14:ligatures w14:val="none"/>
        </w:rPr>
        <w:t>et al.</w:t>
      </w:r>
      <w:r w:rsidRPr="00D51CC1">
        <w:rPr>
          <w:rFonts w:eastAsia="Times New Roman" w:cstheme="minorHAnsi"/>
          <w:kern w:val="0"/>
          <w:sz w:val="24"/>
          <w:szCs w:val="24"/>
          <w:lang w:eastAsia="en-GB"/>
          <w14:ligatures w14:val="none"/>
        </w:rPr>
        <w:t xml:space="preserve"> (1997) </w:t>
      </w:r>
      <w:bookmarkEnd w:id="5"/>
      <w:r w:rsidRPr="00D51CC1">
        <w:rPr>
          <w:rFonts w:eastAsia="Times New Roman" w:cstheme="minorHAnsi"/>
          <w:kern w:val="0"/>
          <w:sz w:val="24"/>
          <w:szCs w:val="24"/>
          <w:lang w:eastAsia="en-GB"/>
          <w14:ligatures w14:val="none"/>
        </w:rPr>
        <w:t xml:space="preserve">‘Managed care, market stages, and </w:t>
      </w:r>
      <w:proofErr w:type="spellStart"/>
      <w:r w:rsidRPr="00D51CC1">
        <w:rPr>
          <w:rFonts w:eastAsia="Times New Roman" w:cstheme="minorHAnsi"/>
          <w:kern w:val="0"/>
          <w:sz w:val="24"/>
          <w:szCs w:val="24"/>
          <w:lang w:eastAsia="en-GB"/>
          <w14:ligatures w14:val="none"/>
        </w:rPr>
        <w:t>intergrated</w:t>
      </w:r>
      <w:proofErr w:type="spellEnd"/>
      <w:r w:rsidRPr="00D51CC1">
        <w:rPr>
          <w:rFonts w:eastAsia="Times New Roman" w:cstheme="minorHAnsi"/>
          <w:kern w:val="0"/>
          <w:sz w:val="24"/>
          <w:szCs w:val="24"/>
          <w:lang w:eastAsia="en-GB"/>
          <w14:ligatures w14:val="none"/>
        </w:rPr>
        <w:t xml:space="preserve"> delivery systems: Is there a relationship?’, </w:t>
      </w:r>
      <w:r w:rsidRPr="00D51CC1">
        <w:rPr>
          <w:rFonts w:eastAsia="Times New Roman" w:cstheme="minorHAnsi"/>
          <w:i/>
          <w:iCs/>
          <w:kern w:val="0"/>
          <w:sz w:val="24"/>
          <w:szCs w:val="24"/>
          <w:lang w:eastAsia="en-GB"/>
          <w14:ligatures w14:val="none"/>
        </w:rPr>
        <w:t>Health affairs (Millwood, Va.)</w:t>
      </w:r>
      <w:r w:rsidRPr="00D51CC1">
        <w:rPr>
          <w:rFonts w:eastAsia="Times New Roman" w:cstheme="minorHAnsi"/>
          <w:kern w:val="0"/>
          <w:sz w:val="24"/>
          <w:szCs w:val="24"/>
          <w:lang w:eastAsia="en-GB"/>
          <w14:ligatures w14:val="none"/>
        </w:rPr>
        <w:t>, 16(6), pp. 204-.</w:t>
      </w:r>
    </w:p>
    <w:p w14:paraId="670F199F" w14:textId="77777777" w:rsidR="00D51CC1" w:rsidRPr="00D51CC1" w:rsidRDefault="00D51CC1" w:rsidP="00D51CC1">
      <w:pPr>
        <w:spacing w:line="360" w:lineRule="auto"/>
        <w:rPr>
          <w:rFonts w:cstheme="minorHAnsi"/>
          <w:sz w:val="24"/>
          <w:szCs w:val="24"/>
        </w:rPr>
      </w:pPr>
      <w:r w:rsidRPr="00D51CC1">
        <w:rPr>
          <w:rFonts w:cstheme="minorHAnsi"/>
          <w:sz w:val="24"/>
          <w:szCs w:val="24"/>
        </w:rPr>
        <w:t xml:space="preserve">  </w:t>
      </w:r>
      <w:bookmarkStart w:id="6" w:name="_Hlk166235007"/>
      <w:r w:rsidRPr="00D51CC1">
        <w:rPr>
          <w:rFonts w:cstheme="minorHAnsi"/>
          <w:sz w:val="24"/>
          <w:szCs w:val="24"/>
        </w:rPr>
        <w:t xml:space="preserve">C3SC (2019) </w:t>
      </w:r>
      <w:bookmarkEnd w:id="6"/>
      <w:r w:rsidRPr="00D51CC1">
        <w:rPr>
          <w:rFonts w:cstheme="minorHAnsi"/>
          <w:sz w:val="24"/>
          <w:szCs w:val="24"/>
        </w:rPr>
        <w:t xml:space="preserve">The third sector's role in delivering a healthier Wales: C3SC - Cardiff Third Sector Council, the third sector’s role in delivering </w:t>
      </w:r>
      <w:proofErr w:type="spellStart"/>
      <w:r w:rsidRPr="00D51CC1">
        <w:rPr>
          <w:rFonts w:cstheme="minorHAnsi"/>
          <w:sz w:val="24"/>
          <w:szCs w:val="24"/>
        </w:rPr>
        <w:t>Wales’</w:t>
      </w:r>
      <w:proofErr w:type="spellEnd"/>
      <w:r w:rsidRPr="00D51CC1">
        <w:rPr>
          <w:rFonts w:cstheme="minorHAnsi"/>
          <w:sz w:val="24"/>
          <w:szCs w:val="24"/>
        </w:rPr>
        <w:t xml:space="preserve"> long-term plan for health and social care – A Healthier Wales. Available at: https://c3sc.org.uk/the-third-sector-s-role-in-delivering-ahealthier-wales/ </w:t>
      </w:r>
    </w:p>
    <w:p w14:paraId="4956CB84"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7" w:name="_Hlk166234485"/>
      <w:r w:rsidRPr="00D51CC1">
        <w:rPr>
          <w:rFonts w:cstheme="minorHAnsi"/>
          <w:sz w:val="24"/>
          <w:szCs w:val="24"/>
          <w:shd w:val="clear" w:color="auto" w:fill="FFFFFF"/>
        </w:rPr>
        <w:t>Cummins, I. (2020) </w:t>
      </w:r>
      <w:bookmarkEnd w:id="7"/>
      <w:r w:rsidRPr="00D51CC1">
        <w:rPr>
          <w:rFonts w:cstheme="minorHAnsi"/>
          <w:i/>
          <w:iCs/>
          <w:sz w:val="24"/>
          <w:szCs w:val="24"/>
          <w:shd w:val="clear" w:color="auto" w:fill="FFFFFF"/>
        </w:rPr>
        <w:t xml:space="preserve">Mental health services and community </w:t>
      </w:r>
      <w:proofErr w:type="gramStart"/>
      <w:r w:rsidRPr="00D51CC1">
        <w:rPr>
          <w:rFonts w:cstheme="minorHAnsi"/>
          <w:i/>
          <w:iCs/>
          <w:sz w:val="24"/>
          <w:szCs w:val="24"/>
          <w:shd w:val="clear" w:color="auto" w:fill="FFFFFF"/>
        </w:rPr>
        <w:t>care :</w:t>
      </w:r>
      <w:proofErr w:type="gramEnd"/>
      <w:r w:rsidRPr="00D51CC1">
        <w:rPr>
          <w:rFonts w:cstheme="minorHAnsi"/>
          <w:i/>
          <w:iCs/>
          <w:sz w:val="24"/>
          <w:szCs w:val="24"/>
          <w:shd w:val="clear" w:color="auto" w:fill="FFFFFF"/>
        </w:rPr>
        <w:t xml:space="preserve"> a critical history</w:t>
      </w:r>
      <w:r w:rsidRPr="00D51CC1">
        <w:rPr>
          <w:rFonts w:cstheme="minorHAnsi"/>
          <w:sz w:val="24"/>
          <w:szCs w:val="24"/>
          <w:shd w:val="clear" w:color="auto" w:fill="FFFFFF"/>
        </w:rPr>
        <w:t xml:space="preserve">. </w:t>
      </w:r>
      <w:proofErr w:type="gramStart"/>
      <w:r w:rsidRPr="00D51CC1">
        <w:rPr>
          <w:rFonts w:cstheme="minorHAnsi"/>
          <w:sz w:val="24"/>
          <w:szCs w:val="24"/>
          <w:shd w:val="clear" w:color="auto" w:fill="FFFFFF"/>
        </w:rPr>
        <w:t>Bristol ;</w:t>
      </w:r>
      <w:proofErr w:type="gramEnd"/>
      <w:r w:rsidRPr="00D51CC1">
        <w:rPr>
          <w:rFonts w:cstheme="minorHAnsi"/>
          <w:sz w:val="24"/>
          <w:szCs w:val="24"/>
          <w:shd w:val="clear" w:color="auto" w:fill="FFFFFF"/>
        </w:rPr>
        <w:t xml:space="preserve"> Chicago, IL: Policy Press. Available at: </w:t>
      </w:r>
      <w:hyperlink r:id="rId7" w:history="1">
        <w:r w:rsidRPr="00D51CC1">
          <w:rPr>
            <w:rStyle w:val="Hyperlink"/>
            <w:rFonts w:cstheme="minorHAnsi"/>
            <w:color w:val="auto"/>
            <w:sz w:val="24"/>
            <w:szCs w:val="24"/>
            <w:shd w:val="clear" w:color="auto" w:fill="FFFFFF"/>
          </w:rPr>
          <w:t>https://doi.org/10.56687/9781447350637</w:t>
        </w:r>
      </w:hyperlink>
    </w:p>
    <w:p w14:paraId="21CA703B"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8" w:name="_Hlk166232605"/>
      <w:r w:rsidRPr="00D51CC1">
        <w:rPr>
          <w:rFonts w:cstheme="minorHAnsi"/>
          <w:sz w:val="24"/>
          <w:szCs w:val="24"/>
          <w:shd w:val="clear" w:color="auto" w:fill="FFFFFF"/>
        </w:rPr>
        <w:t xml:space="preserve">Cunningham, C. (2017) </w:t>
      </w:r>
      <w:bookmarkEnd w:id="8"/>
      <w:r w:rsidRPr="00D51CC1">
        <w:rPr>
          <w:rFonts w:cstheme="minorHAnsi"/>
          <w:sz w:val="24"/>
          <w:szCs w:val="24"/>
          <w:shd w:val="clear" w:color="auto" w:fill="FFFFFF"/>
        </w:rPr>
        <w:t>‘Information technology in the NHS: aspirations and reality’, </w:t>
      </w:r>
      <w:r w:rsidRPr="00D51CC1">
        <w:rPr>
          <w:rFonts w:cstheme="minorHAnsi"/>
          <w:i/>
          <w:iCs/>
          <w:sz w:val="24"/>
          <w:szCs w:val="24"/>
          <w:shd w:val="clear" w:color="auto" w:fill="FFFFFF"/>
        </w:rPr>
        <w:t>BMJ (Online)</w:t>
      </w:r>
      <w:r w:rsidRPr="00D51CC1">
        <w:rPr>
          <w:rFonts w:cstheme="minorHAnsi"/>
          <w:sz w:val="24"/>
          <w:szCs w:val="24"/>
          <w:shd w:val="clear" w:color="auto" w:fill="FFFFFF"/>
        </w:rPr>
        <w:t xml:space="preserve">, 357, pp. j2745–j2745. Available at: </w:t>
      </w:r>
      <w:hyperlink r:id="rId8" w:history="1">
        <w:r w:rsidRPr="00D51CC1">
          <w:rPr>
            <w:rStyle w:val="Hyperlink"/>
            <w:rFonts w:cstheme="minorHAnsi"/>
            <w:color w:val="auto"/>
            <w:sz w:val="24"/>
            <w:szCs w:val="24"/>
            <w:shd w:val="clear" w:color="auto" w:fill="FFFFFF"/>
          </w:rPr>
          <w:t>https://doi.org/10.1136/bmj.j2745</w:t>
        </w:r>
      </w:hyperlink>
      <w:r w:rsidRPr="00D51CC1">
        <w:rPr>
          <w:rFonts w:cstheme="minorHAnsi"/>
          <w:sz w:val="24"/>
          <w:szCs w:val="24"/>
          <w:shd w:val="clear" w:color="auto" w:fill="FFFFFF"/>
        </w:rPr>
        <w:t>.</w:t>
      </w:r>
    </w:p>
    <w:p w14:paraId="6E4042C6"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lastRenderedPageBreak/>
        <w:t xml:space="preserve"> </w:t>
      </w:r>
      <w:proofErr w:type="spellStart"/>
      <w:r w:rsidRPr="00D51CC1">
        <w:rPr>
          <w:rFonts w:cstheme="minorHAnsi"/>
          <w:sz w:val="24"/>
          <w:szCs w:val="24"/>
          <w:shd w:val="clear" w:color="auto" w:fill="FFFFFF"/>
        </w:rPr>
        <w:t>Dalingwater</w:t>
      </w:r>
      <w:proofErr w:type="spellEnd"/>
      <w:r w:rsidRPr="00D51CC1">
        <w:rPr>
          <w:rFonts w:cstheme="minorHAnsi"/>
          <w:sz w:val="24"/>
          <w:szCs w:val="24"/>
          <w:shd w:val="clear" w:color="auto" w:fill="FFFFFF"/>
        </w:rPr>
        <w:t>, L. (2020) </w:t>
      </w:r>
      <w:r w:rsidRPr="00D51CC1">
        <w:rPr>
          <w:rFonts w:cstheme="minorHAnsi"/>
          <w:i/>
          <w:iCs/>
          <w:sz w:val="24"/>
          <w:szCs w:val="24"/>
          <w:shd w:val="clear" w:color="auto" w:fill="FFFFFF"/>
        </w:rPr>
        <w:t>The NHS and contemporary health challenges from a multilevel perspective</w:t>
      </w:r>
      <w:r w:rsidRPr="00D51CC1">
        <w:rPr>
          <w:rFonts w:cstheme="minorHAnsi"/>
          <w:sz w:val="24"/>
          <w:szCs w:val="24"/>
          <w:shd w:val="clear" w:color="auto" w:fill="FFFFFF"/>
        </w:rPr>
        <w:t xml:space="preserve">. Hershey, PA: IGI Global. Available at: </w:t>
      </w:r>
      <w:hyperlink r:id="rId9" w:history="1">
        <w:r w:rsidRPr="00D51CC1">
          <w:rPr>
            <w:rStyle w:val="Hyperlink"/>
            <w:rFonts w:cstheme="minorHAnsi"/>
            <w:color w:val="auto"/>
            <w:sz w:val="24"/>
            <w:szCs w:val="24"/>
            <w:shd w:val="clear" w:color="auto" w:fill="FFFFFF"/>
          </w:rPr>
          <w:t>https://doi.org/10.4018/978-1-7998-3928-6</w:t>
        </w:r>
      </w:hyperlink>
      <w:r w:rsidRPr="00D51CC1">
        <w:rPr>
          <w:rFonts w:cstheme="minorHAnsi"/>
          <w:sz w:val="24"/>
          <w:szCs w:val="24"/>
          <w:shd w:val="clear" w:color="auto" w:fill="FFFFFF"/>
        </w:rPr>
        <w:t>.</w:t>
      </w:r>
    </w:p>
    <w:p w14:paraId="324EA0BD" w14:textId="77777777" w:rsidR="00D51CC1" w:rsidRPr="00D51CC1" w:rsidRDefault="00D51CC1" w:rsidP="00D51CC1">
      <w:pPr>
        <w:spacing w:line="360" w:lineRule="auto"/>
        <w:rPr>
          <w:rFonts w:cstheme="minorHAnsi"/>
          <w:sz w:val="24"/>
          <w:szCs w:val="24"/>
        </w:rPr>
      </w:pPr>
      <w:r w:rsidRPr="00D51CC1">
        <w:rPr>
          <w:rFonts w:cstheme="minorHAnsi"/>
          <w:sz w:val="24"/>
          <w:szCs w:val="24"/>
        </w:rPr>
        <w:t xml:space="preserve">Deakin, M. (2022). NHS workforce shortages and staff burnout are taking a toll. BMJ, [online] 377(1), p.945. </w:t>
      </w:r>
      <w:proofErr w:type="spellStart"/>
      <w:proofErr w:type="gramStart"/>
      <w:r w:rsidRPr="00D51CC1">
        <w:rPr>
          <w:rFonts w:cstheme="minorHAnsi"/>
          <w:sz w:val="24"/>
          <w:szCs w:val="24"/>
        </w:rPr>
        <w:t>doi:https</w:t>
      </w:r>
      <w:proofErr w:type="spellEnd"/>
      <w:r w:rsidRPr="00D51CC1">
        <w:rPr>
          <w:rFonts w:cstheme="minorHAnsi"/>
          <w:sz w:val="24"/>
          <w:szCs w:val="24"/>
        </w:rPr>
        <w:t>://doi.org/10.1136/bmj.o945</w:t>
      </w:r>
      <w:proofErr w:type="gramEnd"/>
      <w:r w:rsidRPr="00D51CC1">
        <w:rPr>
          <w:rFonts w:cstheme="minorHAnsi"/>
          <w:sz w:val="24"/>
          <w:szCs w:val="24"/>
        </w:rPr>
        <w:t xml:space="preserve">. Dixon, A. (2018). The NHS needs radical change to adapt to our ageing society | Centre for Ageing Better. [online] ageing-better.org.uk. Available at: https://ageingbetter.org.uk/blogs/nhs-needs-radical-change-adapt-our-ageing-society </w:t>
      </w:r>
    </w:p>
    <w:p w14:paraId="0D79416A" w14:textId="77777777" w:rsidR="00D51CC1" w:rsidRPr="00D51CC1" w:rsidRDefault="00D51CC1" w:rsidP="00D51CC1">
      <w:pPr>
        <w:spacing w:line="360" w:lineRule="auto"/>
        <w:rPr>
          <w:rFonts w:eastAsia="Times New Roman" w:cstheme="minorHAnsi"/>
          <w:kern w:val="0"/>
          <w:sz w:val="24"/>
          <w:szCs w:val="24"/>
          <w:lang w:eastAsia="en-GB"/>
          <w14:ligatures w14:val="none"/>
        </w:rPr>
      </w:pPr>
      <w:r w:rsidRPr="00D51CC1">
        <w:rPr>
          <w:rFonts w:cstheme="minorHAnsi"/>
          <w:sz w:val="24"/>
          <w:szCs w:val="24"/>
          <w:shd w:val="clear" w:color="auto" w:fill="FFFFFF"/>
        </w:rPr>
        <w:t xml:space="preserve"> </w:t>
      </w:r>
      <w:bookmarkStart w:id="9" w:name="_Hlk166232778"/>
      <w:r w:rsidRPr="00D51CC1">
        <w:rPr>
          <w:rFonts w:cstheme="minorHAnsi"/>
          <w:sz w:val="24"/>
          <w:szCs w:val="24"/>
          <w:shd w:val="clear" w:color="auto" w:fill="FFFFFF"/>
        </w:rPr>
        <w:t>Ford, S. </w:t>
      </w:r>
      <w:r w:rsidRPr="00D51CC1">
        <w:rPr>
          <w:rFonts w:cstheme="minorHAnsi"/>
          <w:i/>
          <w:iCs/>
          <w:sz w:val="24"/>
          <w:szCs w:val="24"/>
          <w:shd w:val="clear" w:color="auto" w:fill="FFFFFF"/>
        </w:rPr>
        <w:t>et al.</w:t>
      </w:r>
      <w:r w:rsidRPr="00D51CC1">
        <w:rPr>
          <w:rFonts w:cstheme="minorHAnsi"/>
          <w:sz w:val="24"/>
          <w:szCs w:val="24"/>
          <w:shd w:val="clear" w:color="auto" w:fill="FFFFFF"/>
        </w:rPr>
        <w:t xml:space="preserve"> (2003) </w:t>
      </w:r>
      <w:bookmarkEnd w:id="9"/>
      <w:r w:rsidRPr="00D51CC1">
        <w:rPr>
          <w:rFonts w:cstheme="minorHAnsi"/>
          <w:sz w:val="24"/>
          <w:szCs w:val="24"/>
          <w:shd w:val="clear" w:color="auto" w:fill="FFFFFF"/>
        </w:rPr>
        <w:t>‘Ten ways to improve information technology in the NHS’, </w:t>
      </w:r>
      <w:r w:rsidRPr="00D51CC1">
        <w:rPr>
          <w:rFonts w:cstheme="minorHAnsi"/>
          <w:i/>
          <w:iCs/>
          <w:sz w:val="24"/>
          <w:szCs w:val="24"/>
          <w:shd w:val="clear" w:color="auto" w:fill="FFFFFF"/>
        </w:rPr>
        <w:t>BMJ</w:t>
      </w:r>
      <w:r w:rsidRPr="00D51CC1">
        <w:rPr>
          <w:rFonts w:cstheme="minorHAnsi"/>
          <w:sz w:val="24"/>
          <w:szCs w:val="24"/>
          <w:shd w:val="clear" w:color="auto" w:fill="FFFFFF"/>
        </w:rPr>
        <w:t>, 326(7397), pp. 1034–1035. Available at: https://doi.org/10.1136/bmj.326.7397.1034.</w:t>
      </w:r>
    </w:p>
    <w:p w14:paraId="7FCF2F4F"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10" w:name="_Hlk166232853"/>
      <w:r w:rsidRPr="00D51CC1">
        <w:rPr>
          <w:rFonts w:cstheme="minorHAnsi"/>
          <w:sz w:val="24"/>
          <w:szCs w:val="24"/>
          <w:shd w:val="clear" w:color="auto" w:fill="FFFFFF"/>
        </w:rPr>
        <w:t xml:space="preserve">Frame, J., Watson, J. and Thomson, K. (2008) </w:t>
      </w:r>
      <w:bookmarkEnd w:id="10"/>
      <w:r w:rsidRPr="00D51CC1">
        <w:rPr>
          <w:rFonts w:cstheme="minorHAnsi"/>
          <w:sz w:val="24"/>
          <w:szCs w:val="24"/>
          <w:shd w:val="clear" w:color="auto" w:fill="FFFFFF"/>
        </w:rPr>
        <w:t>‘Deploying a Culture Change Programme management approach in support of information and communication technology developments in Greater Glasgow NHS Board’, </w:t>
      </w:r>
      <w:r w:rsidRPr="00D51CC1">
        <w:rPr>
          <w:rFonts w:cstheme="minorHAnsi"/>
          <w:i/>
          <w:iCs/>
          <w:sz w:val="24"/>
          <w:szCs w:val="24"/>
          <w:shd w:val="clear" w:color="auto" w:fill="FFFFFF"/>
        </w:rPr>
        <w:t>Health informatics journal</w:t>
      </w:r>
      <w:r w:rsidRPr="00D51CC1">
        <w:rPr>
          <w:rFonts w:cstheme="minorHAnsi"/>
          <w:sz w:val="24"/>
          <w:szCs w:val="24"/>
          <w:shd w:val="clear" w:color="auto" w:fill="FFFFFF"/>
        </w:rPr>
        <w:t xml:space="preserve">, 14(2), pp. 125–139. Available at: </w:t>
      </w:r>
      <w:hyperlink r:id="rId10" w:history="1">
        <w:r w:rsidRPr="00D51CC1">
          <w:rPr>
            <w:rStyle w:val="Hyperlink"/>
            <w:rFonts w:cstheme="minorHAnsi"/>
            <w:color w:val="auto"/>
            <w:sz w:val="24"/>
            <w:szCs w:val="24"/>
            <w:shd w:val="clear" w:color="auto" w:fill="FFFFFF"/>
          </w:rPr>
          <w:t>https://doi.org/10.1177/1081180X08089320</w:t>
        </w:r>
      </w:hyperlink>
      <w:r w:rsidRPr="00D51CC1">
        <w:rPr>
          <w:rFonts w:cstheme="minorHAnsi"/>
          <w:sz w:val="24"/>
          <w:szCs w:val="24"/>
          <w:shd w:val="clear" w:color="auto" w:fill="FFFFFF"/>
        </w:rPr>
        <w:t>.</w:t>
      </w:r>
    </w:p>
    <w:p w14:paraId="4A56E58E"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11" w:name="_Hlk166232067"/>
      <w:r w:rsidRPr="00D51CC1">
        <w:rPr>
          <w:rFonts w:cstheme="minorHAnsi"/>
          <w:sz w:val="24"/>
          <w:szCs w:val="24"/>
          <w:shd w:val="clear" w:color="auto" w:fill="FFFFFF"/>
        </w:rPr>
        <w:t>Goldie, S.M. (1987) </w:t>
      </w:r>
      <w:bookmarkEnd w:id="11"/>
      <w:r w:rsidRPr="00D51CC1">
        <w:rPr>
          <w:rFonts w:cstheme="minorHAnsi"/>
          <w:i/>
          <w:iCs/>
          <w:sz w:val="24"/>
          <w:szCs w:val="24"/>
          <w:shd w:val="clear" w:color="auto" w:fill="FFFFFF"/>
        </w:rPr>
        <w:t>’I have done my duty</w:t>
      </w:r>
      <w:proofErr w:type="gramStart"/>
      <w:r w:rsidRPr="00D51CC1">
        <w:rPr>
          <w:rFonts w:cstheme="minorHAnsi"/>
          <w:i/>
          <w:iCs/>
          <w:sz w:val="24"/>
          <w:szCs w:val="24"/>
          <w:shd w:val="clear" w:color="auto" w:fill="FFFFFF"/>
        </w:rPr>
        <w:t>’ :</w:t>
      </w:r>
      <w:proofErr w:type="gramEnd"/>
      <w:r w:rsidRPr="00D51CC1">
        <w:rPr>
          <w:rFonts w:cstheme="minorHAnsi"/>
          <w:i/>
          <w:iCs/>
          <w:sz w:val="24"/>
          <w:szCs w:val="24"/>
          <w:shd w:val="clear" w:color="auto" w:fill="FFFFFF"/>
        </w:rPr>
        <w:t xml:space="preserve"> Florence Nightingale in the Crimean War, 1854-56</w:t>
      </w:r>
      <w:r w:rsidRPr="00D51CC1">
        <w:rPr>
          <w:rFonts w:cstheme="minorHAnsi"/>
          <w:sz w:val="24"/>
          <w:szCs w:val="24"/>
          <w:shd w:val="clear" w:color="auto" w:fill="FFFFFF"/>
        </w:rPr>
        <w:t>. Manchester: Manchester University Press.</w:t>
      </w:r>
    </w:p>
    <w:p w14:paraId="02B15C2B" w14:textId="77777777" w:rsidR="00D51CC1" w:rsidRPr="00D51CC1" w:rsidRDefault="00D51CC1" w:rsidP="00D51CC1">
      <w:pPr>
        <w:shd w:val="clear" w:color="auto" w:fill="FFFFFF"/>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12" w:name="_Hlk166234933"/>
      <w:r w:rsidRPr="00D51CC1">
        <w:rPr>
          <w:rFonts w:cstheme="minorHAnsi"/>
          <w:sz w:val="24"/>
          <w:szCs w:val="24"/>
          <w:shd w:val="clear" w:color="auto" w:fill="FFFFFF"/>
        </w:rPr>
        <w:t>Gomes Souza, L. </w:t>
      </w:r>
      <w:r w:rsidRPr="00D51CC1">
        <w:rPr>
          <w:rFonts w:cstheme="minorHAnsi"/>
          <w:i/>
          <w:iCs/>
          <w:sz w:val="24"/>
          <w:szCs w:val="24"/>
          <w:shd w:val="clear" w:color="auto" w:fill="FFFFFF"/>
        </w:rPr>
        <w:t>et al.</w:t>
      </w:r>
      <w:r w:rsidRPr="00D51CC1">
        <w:rPr>
          <w:rFonts w:cstheme="minorHAnsi"/>
          <w:sz w:val="24"/>
          <w:szCs w:val="24"/>
          <w:shd w:val="clear" w:color="auto" w:fill="FFFFFF"/>
        </w:rPr>
        <w:t xml:space="preserve"> (2024) </w:t>
      </w:r>
      <w:bookmarkEnd w:id="12"/>
      <w:r w:rsidRPr="00D51CC1">
        <w:rPr>
          <w:rFonts w:cstheme="minorHAnsi"/>
          <w:sz w:val="24"/>
          <w:szCs w:val="24"/>
          <w:shd w:val="clear" w:color="auto" w:fill="FFFFFF"/>
        </w:rPr>
        <w:t>‘The Impact of Advance Care Planning on Healthcare Professionals’ Well-being: A Systematic Review’, </w:t>
      </w:r>
      <w:r w:rsidRPr="00D51CC1">
        <w:rPr>
          <w:rFonts w:cstheme="minorHAnsi"/>
          <w:i/>
          <w:iCs/>
          <w:sz w:val="24"/>
          <w:szCs w:val="24"/>
          <w:shd w:val="clear" w:color="auto" w:fill="FFFFFF"/>
        </w:rPr>
        <w:t>Journal of pain and symptom management</w:t>
      </w:r>
      <w:r w:rsidRPr="00D51CC1">
        <w:rPr>
          <w:rFonts w:cstheme="minorHAnsi"/>
          <w:sz w:val="24"/>
          <w:szCs w:val="24"/>
          <w:shd w:val="clear" w:color="auto" w:fill="FFFFFF"/>
        </w:rPr>
        <w:t xml:space="preserve">, 67(2), pp. 173–187. Available at: </w:t>
      </w:r>
      <w:hyperlink r:id="rId11" w:history="1">
        <w:r w:rsidRPr="00D51CC1">
          <w:rPr>
            <w:rStyle w:val="Hyperlink"/>
            <w:rFonts w:cstheme="minorHAnsi"/>
            <w:color w:val="auto"/>
            <w:sz w:val="24"/>
            <w:szCs w:val="24"/>
            <w:shd w:val="clear" w:color="auto" w:fill="FFFFFF"/>
          </w:rPr>
          <w:t>https://doi.org/10.1016/j.jpainsymman.2023.09.026</w:t>
        </w:r>
      </w:hyperlink>
    </w:p>
    <w:p w14:paraId="6929A074" w14:textId="77777777" w:rsidR="00D51CC1" w:rsidRPr="00D51CC1" w:rsidRDefault="00D51CC1" w:rsidP="00D51CC1">
      <w:pPr>
        <w:spacing w:line="360" w:lineRule="auto"/>
        <w:rPr>
          <w:rFonts w:cstheme="minorHAnsi"/>
          <w:sz w:val="24"/>
          <w:szCs w:val="24"/>
        </w:rPr>
      </w:pPr>
      <w:bookmarkStart w:id="13" w:name="_Hlk166232945"/>
      <w:r w:rsidRPr="00D51CC1">
        <w:rPr>
          <w:rFonts w:cstheme="minorHAnsi"/>
          <w:sz w:val="24"/>
          <w:szCs w:val="24"/>
        </w:rPr>
        <w:t>Hudson, B. (2021)</w:t>
      </w:r>
      <w:bookmarkEnd w:id="13"/>
      <w:r w:rsidRPr="00D51CC1">
        <w:rPr>
          <w:rFonts w:cstheme="minorHAnsi"/>
          <w:sz w:val="24"/>
          <w:szCs w:val="24"/>
        </w:rPr>
        <w:t>. Bob Hudson: Local government should approach health white paper with caution. [online] Local Government Chronicle (LGC). Available at: https://www.lgcplus.com/services/health-and-care/bob-hudson-local-government-shouldapproach-health-white-paper-with-caution-15-02-2021/ [Accessed 06/05/2024).</w:t>
      </w:r>
    </w:p>
    <w:p w14:paraId="7CFD833E"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14" w:name="_Hlk166232114"/>
      <w:r w:rsidRPr="00D51CC1">
        <w:rPr>
          <w:rFonts w:cstheme="minorHAnsi"/>
          <w:sz w:val="24"/>
          <w:szCs w:val="24"/>
          <w:shd w:val="clear" w:color="auto" w:fill="FFFFFF"/>
        </w:rPr>
        <w:t>Huxley, E. (1975) </w:t>
      </w:r>
      <w:bookmarkEnd w:id="14"/>
      <w:r w:rsidRPr="00D51CC1">
        <w:rPr>
          <w:rFonts w:cstheme="minorHAnsi"/>
          <w:i/>
          <w:iCs/>
          <w:sz w:val="24"/>
          <w:szCs w:val="24"/>
          <w:shd w:val="clear" w:color="auto" w:fill="FFFFFF"/>
        </w:rPr>
        <w:t>Florence Nightingale</w:t>
      </w:r>
      <w:r w:rsidRPr="00D51CC1">
        <w:rPr>
          <w:rFonts w:cstheme="minorHAnsi"/>
          <w:sz w:val="24"/>
          <w:szCs w:val="24"/>
          <w:shd w:val="clear" w:color="auto" w:fill="FFFFFF"/>
        </w:rPr>
        <w:t>. London: Weidenfeld and Nicolson.</w:t>
      </w:r>
    </w:p>
    <w:p w14:paraId="24A0D118"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15" w:name="_Hlk166233676"/>
      <w:r w:rsidRPr="00D51CC1">
        <w:rPr>
          <w:rFonts w:cstheme="minorHAnsi"/>
          <w:sz w:val="24"/>
          <w:szCs w:val="24"/>
          <w:shd w:val="clear" w:color="auto" w:fill="FFFFFF"/>
        </w:rPr>
        <w:t xml:space="preserve">Larkins, S.L., Allard, N.L. and Burgess, C.P. (2022) </w:t>
      </w:r>
      <w:bookmarkEnd w:id="15"/>
      <w:r w:rsidRPr="00D51CC1">
        <w:rPr>
          <w:rFonts w:cstheme="minorHAnsi"/>
          <w:sz w:val="24"/>
          <w:szCs w:val="24"/>
          <w:shd w:val="clear" w:color="auto" w:fill="FFFFFF"/>
        </w:rPr>
        <w:t xml:space="preserve">‘Management of COVID‐19 in the community and the role of primary care: how the pandemic has shone light on a fragmented </w:t>
      </w:r>
    </w:p>
    <w:p w14:paraId="48824B07" w14:textId="77777777" w:rsidR="00D51CC1" w:rsidRPr="00D51CC1" w:rsidRDefault="00D51CC1" w:rsidP="00D51CC1">
      <w:pPr>
        <w:shd w:val="clear" w:color="auto" w:fill="FFFFFF"/>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16" w:name="_Hlk166235270"/>
      <w:r w:rsidRPr="00D51CC1">
        <w:rPr>
          <w:rFonts w:cstheme="minorHAnsi"/>
          <w:sz w:val="24"/>
          <w:szCs w:val="24"/>
          <w:shd w:val="clear" w:color="auto" w:fill="FFFFFF"/>
        </w:rPr>
        <w:t xml:space="preserve">Limbu, D.K., </w:t>
      </w:r>
      <w:proofErr w:type="spellStart"/>
      <w:r w:rsidRPr="00D51CC1">
        <w:rPr>
          <w:rFonts w:cstheme="minorHAnsi"/>
          <w:sz w:val="24"/>
          <w:szCs w:val="24"/>
          <w:shd w:val="clear" w:color="auto" w:fill="FFFFFF"/>
        </w:rPr>
        <w:t>Piryani</w:t>
      </w:r>
      <w:proofErr w:type="spellEnd"/>
      <w:r w:rsidRPr="00D51CC1">
        <w:rPr>
          <w:rFonts w:cstheme="minorHAnsi"/>
          <w:sz w:val="24"/>
          <w:szCs w:val="24"/>
          <w:shd w:val="clear" w:color="auto" w:fill="FFFFFF"/>
        </w:rPr>
        <w:t xml:space="preserve">, R.M. and Sunny, A.K. (2020) </w:t>
      </w:r>
      <w:bookmarkEnd w:id="16"/>
      <w:r w:rsidRPr="00D51CC1">
        <w:rPr>
          <w:rFonts w:cstheme="minorHAnsi"/>
          <w:sz w:val="24"/>
          <w:szCs w:val="24"/>
          <w:shd w:val="clear" w:color="auto" w:fill="FFFFFF"/>
        </w:rPr>
        <w:t xml:space="preserve">‘Healthcare workers’ knowledge, attitude and practices during the COVID-19 pandemic response in a tertiary care hospital of </w:t>
      </w:r>
      <w:r w:rsidRPr="00D51CC1">
        <w:rPr>
          <w:rFonts w:cstheme="minorHAnsi"/>
          <w:sz w:val="24"/>
          <w:szCs w:val="24"/>
          <w:shd w:val="clear" w:color="auto" w:fill="FFFFFF"/>
        </w:rPr>
        <w:lastRenderedPageBreak/>
        <w:t>Nepal’, </w:t>
      </w:r>
      <w:proofErr w:type="spellStart"/>
      <w:r w:rsidRPr="00D51CC1">
        <w:rPr>
          <w:rFonts w:cstheme="minorHAnsi"/>
          <w:i/>
          <w:iCs/>
          <w:sz w:val="24"/>
          <w:szCs w:val="24"/>
          <w:shd w:val="clear" w:color="auto" w:fill="FFFFFF"/>
        </w:rPr>
        <w:t>PloS</w:t>
      </w:r>
      <w:proofErr w:type="spellEnd"/>
      <w:r w:rsidRPr="00D51CC1">
        <w:rPr>
          <w:rFonts w:cstheme="minorHAnsi"/>
          <w:i/>
          <w:iCs/>
          <w:sz w:val="24"/>
          <w:szCs w:val="24"/>
          <w:shd w:val="clear" w:color="auto" w:fill="FFFFFF"/>
        </w:rPr>
        <w:t xml:space="preserve"> one</w:t>
      </w:r>
      <w:r w:rsidRPr="00D51CC1">
        <w:rPr>
          <w:rFonts w:cstheme="minorHAnsi"/>
          <w:sz w:val="24"/>
          <w:szCs w:val="24"/>
          <w:shd w:val="clear" w:color="auto" w:fill="FFFFFF"/>
        </w:rPr>
        <w:t xml:space="preserve">, 15(11), pp. e0242126–e0242126. Available at: </w:t>
      </w:r>
      <w:hyperlink r:id="rId12" w:history="1">
        <w:r w:rsidRPr="00D51CC1">
          <w:rPr>
            <w:rStyle w:val="Hyperlink"/>
            <w:rFonts w:cstheme="minorHAnsi"/>
            <w:color w:val="auto"/>
            <w:sz w:val="24"/>
            <w:szCs w:val="24"/>
            <w:shd w:val="clear" w:color="auto" w:fill="FFFFFF"/>
          </w:rPr>
          <w:t>https://doi.org/10.1371/journal.pone.0242126</w:t>
        </w:r>
      </w:hyperlink>
    </w:p>
    <w:p w14:paraId="4985260E"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17" w:name="_Hlk166233343"/>
      <w:r w:rsidRPr="00D51CC1">
        <w:rPr>
          <w:rFonts w:cstheme="minorHAnsi"/>
          <w:sz w:val="24"/>
          <w:szCs w:val="24"/>
          <w:shd w:val="clear" w:color="auto" w:fill="FFFFFF"/>
        </w:rPr>
        <w:t>Mahase, E. (2022</w:t>
      </w:r>
      <w:bookmarkEnd w:id="17"/>
      <w:r w:rsidRPr="00D51CC1">
        <w:rPr>
          <w:rFonts w:cstheme="minorHAnsi"/>
          <w:sz w:val="24"/>
          <w:szCs w:val="24"/>
          <w:shd w:val="clear" w:color="auto" w:fill="FFFFFF"/>
        </w:rPr>
        <w:t>) ‘A fifth of operation cancellations last year were due to NHS staff shortages, Labour claims’, </w:t>
      </w:r>
      <w:r w:rsidRPr="00D51CC1">
        <w:rPr>
          <w:rFonts w:cstheme="minorHAnsi"/>
          <w:i/>
          <w:iCs/>
          <w:sz w:val="24"/>
          <w:szCs w:val="24"/>
          <w:shd w:val="clear" w:color="auto" w:fill="FFFFFF"/>
        </w:rPr>
        <w:t>BMJ (Online)</w:t>
      </w:r>
      <w:r w:rsidRPr="00D51CC1">
        <w:rPr>
          <w:rFonts w:cstheme="minorHAnsi"/>
          <w:sz w:val="24"/>
          <w:szCs w:val="24"/>
          <w:shd w:val="clear" w:color="auto" w:fill="FFFFFF"/>
        </w:rPr>
        <w:t xml:space="preserve">, 379, pp. o2997–o2997. Available at: </w:t>
      </w:r>
      <w:hyperlink r:id="rId13" w:history="1">
        <w:r w:rsidRPr="00D51CC1">
          <w:rPr>
            <w:rStyle w:val="Hyperlink"/>
            <w:rFonts w:cstheme="minorHAnsi"/>
            <w:color w:val="auto"/>
            <w:sz w:val="24"/>
            <w:szCs w:val="24"/>
            <w:shd w:val="clear" w:color="auto" w:fill="FFFFFF"/>
          </w:rPr>
          <w:t>https://doi.org/10.1136/bmj.o2997</w:t>
        </w:r>
      </w:hyperlink>
    </w:p>
    <w:p w14:paraId="1411D11D"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18" w:name="_Hlk166232307"/>
      <w:r w:rsidRPr="00D51CC1">
        <w:rPr>
          <w:rFonts w:cstheme="minorHAnsi"/>
          <w:sz w:val="24"/>
          <w:szCs w:val="24"/>
          <w:shd w:val="clear" w:color="auto" w:fill="FFFFFF"/>
        </w:rPr>
        <w:t xml:space="preserve">Montanari, F., </w:t>
      </w:r>
      <w:proofErr w:type="spellStart"/>
      <w:r w:rsidRPr="00D51CC1">
        <w:rPr>
          <w:rFonts w:cstheme="minorHAnsi"/>
          <w:sz w:val="24"/>
          <w:szCs w:val="24"/>
          <w:shd w:val="clear" w:color="auto" w:fill="FFFFFF"/>
        </w:rPr>
        <w:t>Mattarelli</w:t>
      </w:r>
      <w:proofErr w:type="spellEnd"/>
      <w:r w:rsidRPr="00D51CC1">
        <w:rPr>
          <w:rFonts w:cstheme="minorHAnsi"/>
          <w:sz w:val="24"/>
          <w:szCs w:val="24"/>
          <w:shd w:val="clear" w:color="auto" w:fill="FFFFFF"/>
        </w:rPr>
        <w:t xml:space="preserve">, E. and </w:t>
      </w:r>
      <w:proofErr w:type="spellStart"/>
      <w:r w:rsidRPr="00D51CC1">
        <w:rPr>
          <w:rFonts w:cstheme="minorHAnsi"/>
          <w:sz w:val="24"/>
          <w:szCs w:val="24"/>
          <w:shd w:val="clear" w:color="auto" w:fill="FFFFFF"/>
        </w:rPr>
        <w:t>Scapolan</w:t>
      </w:r>
      <w:proofErr w:type="spellEnd"/>
      <w:r w:rsidRPr="00D51CC1">
        <w:rPr>
          <w:rFonts w:cstheme="minorHAnsi"/>
          <w:sz w:val="24"/>
          <w:szCs w:val="24"/>
          <w:shd w:val="clear" w:color="auto" w:fill="FFFFFF"/>
        </w:rPr>
        <w:t>, A.C. (eds) (2021) </w:t>
      </w:r>
      <w:bookmarkEnd w:id="18"/>
      <w:r w:rsidRPr="00D51CC1">
        <w:rPr>
          <w:rFonts w:cstheme="minorHAnsi"/>
          <w:i/>
          <w:iCs/>
          <w:sz w:val="24"/>
          <w:szCs w:val="24"/>
          <w:shd w:val="clear" w:color="auto" w:fill="FFFFFF"/>
        </w:rPr>
        <w:t xml:space="preserve">Collaborative spaces at </w:t>
      </w:r>
      <w:proofErr w:type="gramStart"/>
      <w:r w:rsidRPr="00D51CC1">
        <w:rPr>
          <w:rFonts w:cstheme="minorHAnsi"/>
          <w:i/>
          <w:iCs/>
          <w:sz w:val="24"/>
          <w:szCs w:val="24"/>
          <w:shd w:val="clear" w:color="auto" w:fill="FFFFFF"/>
        </w:rPr>
        <w:t>work :</w:t>
      </w:r>
      <w:proofErr w:type="gramEnd"/>
      <w:r w:rsidRPr="00D51CC1">
        <w:rPr>
          <w:rFonts w:cstheme="minorHAnsi"/>
          <w:i/>
          <w:iCs/>
          <w:sz w:val="24"/>
          <w:szCs w:val="24"/>
          <w:shd w:val="clear" w:color="auto" w:fill="FFFFFF"/>
        </w:rPr>
        <w:t xml:space="preserve"> innovation, creativity and relations</w:t>
      </w:r>
      <w:r w:rsidRPr="00D51CC1">
        <w:rPr>
          <w:rFonts w:cstheme="minorHAnsi"/>
          <w:sz w:val="24"/>
          <w:szCs w:val="24"/>
          <w:shd w:val="clear" w:color="auto" w:fill="FFFFFF"/>
        </w:rPr>
        <w:t>. Abingdon, Oxon: Routledge</w:t>
      </w:r>
    </w:p>
    <w:p w14:paraId="0A8FF9D7"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19" w:name="_Hlk166234326"/>
      <w:r w:rsidRPr="00D51CC1">
        <w:rPr>
          <w:rFonts w:cstheme="minorHAnsi"/>
          <w:sz w:val="24"/>
          <w:szCs w:val="24"/>
          <w:shd w:val="clear" w:color="auto" w:fill="FFFFFF"/>
        </w:rPr>
        <w:t>Moss, B. (2020</w:t>
      </w:r>
      <w:bookmarkEnd w:id="19"/>
      <w:r w:rsidRPr="00D51CC1">
        <w:rPr>
          <w:rFonts w:cstheme="minorHAnsi"/>
          <w:sz w:val="24"/>
          <w:szCs w:val="24"/>
          <w:shd w:val="clear" w:color="auto" w:fill="FFFFFF"/>
        </w:rPr>
        <w:t>) </w:t>
      </w:r>
      <w:r w:rsidRPr="00D51CC1">
        <w:rPr>
          <w:rFonts w:cstheme="minorHAnsi"/>
          <w:i/>
          <w:iCs/>
          <w:sz w:val="24"/>
          <w:szCs w:val="24"/>
          <w:shd w:val="clear" w:color="auto" w:fill="FFFFFF"/>
        </w:rPr>
        <w:t>Communication skills in nursing, health &amp; social care</w:t>
      </w:r>
      <w:r w:rsidRPr="00D51CC1">
        <w:rPr>
          <w:rFonts w:cstheme="minorHAnsi"/>
          <w:sz w:val="24"/>
          <w:szCs w:val="24"/>
          <w:shd w:val="clear" w:color="auto" w:fill="FFFFFF"/>
        </w:rPr>
        <w:t>. 5th edition. London: SAGE Publications Ltd</w:t>
      </w:r>
    </w:p>
    <w:p w14:paraId="50705857" w14:textId="77777777" w:rsidR="00D51CC1" w:rsidRPr="00D51CC1" w:rsidRDefault="00D51CC1" w:rsidP="00D51CC1">
      <w:pPr>
        <w:spacing w:line="360" w:lineRule="auto"/>
        <w:rPr>
          <w:rFonts w:cstheme="minorHAnsi"/>
          <w:sz w:val="24"/>
          <w:szCs w:val="24"/>
        </w:rPr>
      </w:pPr>
      <w:bookmarkStart w:id="20" w:name="_Hlk166235050"/>
      <w:r w:rsidRPr="00D51CC1">
        <w:rPr>
          <w:rFonts w:cstheme="minorHAnsi"/>
          <w:sz w:val="24"/>
          <w:szCs w:val="24"/>
        </w:rPr>
        <w:t xml:space="preserve">National Health Service (2015). </w:t>
      </w:r>
      <w:bookmarkEnd w:id="20"/>
      <w:r w:rsidRPr="00D51CC1">
        <w:rPr>
          <w:rFonts w:cstheme="minorHAnsi"/>
          <w:sz w:val="24"/>
          <w:szCs w:val="24"/>
        </w:rPr>
        <w:t>Third sector. [online] Health Careers. Available at: https://www.healthcareers.nhs.uk/working-health/where-will-you-work/third-</w:t>
      </w:r>
    </w:p>
    <w:p w14:paraId="00F9D408" w14:textId="77777777" w:rsidR="00D51CC1" w:rsidRPr="00D51CC1" w:rsidRDefault="00D51CC1" w:rsidP="00D51CC1">
      <w:pPr>
        <w:spacing w:line="360" w:lineRule="auto"/>
        <w:rPr>
          <w:rFonts w:cstheme="minorHAnsi"/>
          <w:sz w:val="24"/>
          <w:szCs w:val="24"/>
        </w:rPr>
      </w:pPr>
      <w:bookmarkStart w:id="21" w:name="_Hlk166233020"/>
      <w:r w:rsidRPr="00D51CC1">
        <w:rPr>
          <w:rFonts w:cstheme="minorHAnsi"/>
          <w:sz w:val="24"/>
          <w:szCs w:val="24"/>
        </w:rPr>
        <w:t xml:space="preserve">National Health Service (2020). </w:t>
      </w:r>
      <w:bookmarkEnd w:id="21"/>
      <w:r w:rsidRPr="00D51CC1">
        <w:rPr>
          <w:rFonts w:cstheme="minorHAnsi"/>
          <w:sz w:val="24"/>
          <w:szCs w:val="24"/>
        </w:rPr>
        <w:t>NHS online services. [online] nhs.uk. Available at: https://www.nhs.uk/nhs-services/gps/online-health-and-prescription-services</w:t>
      </w:r>
    </w:p>
    <w:p w14:paraId="0B47E2E5" w14:textId="77777777" w:rsidR="00D51CC1" w:rsidRPr="00D51CC1" w:rsidRDefault="00D51CC1" w:rsidP="00D51CC1">
      <w:pPr>
        <w:spacing w:line="360" w:lineRule="auto"/>
        <w:rPr>
          <w:rFonts w:cstheme="minorHAnsi"/>
          <w:sz w:val="24"/>
          <w:szCs w:val="24"/>
        </w:rPr>
      </w:pPr>
      <w:bookmarkStart w:id="22" w:name="_Hlk166231906"/>
      <w:r w:rsidRPr="00D51CC1">
        <w:rPr>
          <w:rFonts w:cstheme="minorHAnsi"/>
          <w:sz w:val="24"/>
          <w:szCs w:val="24"/>
        </w:rPr>
        <w:t>National Institute for Health and Care Excellence (2012</w:t>
      </w:r>
      <w:bookmarkEnd w:id="22"/>
      <w:r w:rsidRPr="00D51CC1">
        <w:rPr>
          <w:rFonts w:cstheme="minorHAnsi"/>
          <w:sz w:val="24"/>
          <w:szCs w:val="24"/>
        </w:rPr>
        <w:t xml:space="preserve">). Quality statement 1: Empathy, dignity and respect | Patient experience in adult NHS services | Quality standards | NICE. [online] Nice.org.uk. Available at: https://www.nice.org.uk/guidance/qs15/chapter/Qualitystatement-1-Empathy-dignity-and-respect </w:t>
      </w:r>
    </w:p>
    <w:p w14:paraId="5FD81035" w14:textId="77777777" w:rsidR="00D51CC1" w:rsidRPr="00D51CC1" w:rsidRDefault="00D51CC1" w:rsidP="00D51CC1">
      <w:pPr>
        <w:shd w:val="clear" w:color="auto" w:fill="FFFFFF"/>
        <w:spacing w:line="360" w:lineRule="auto"/>
        <w:rPr>
          <w:rFonts w:eastAsia="Times New Roman" w:cstheme="minorHAnsi"/>
          <w:kern w:val="0"/>
          <w:sz w:val="24"/>
          <w:szCs w:val="24"/>
          <w:lang w:eastAsia="en-GB"/>
          <w14:ligatures w14:val="none"/>
        </w:rPr>
      </w:pPr>
      <w:r w:rsidRPr="00D51CC1">
        <w:rPr>
          <w:rFonts w:eastAsia="Times New Roman" w:cstheme="minorHAnsi"/>
          <w:kern w:val="0"/>
          <w:sz w:val="24"/>
          <w:szCs w:val="24"/>
          <w:lang w:eastAsia="en-GB"/>
          <w14:ligatures w14:val="none"/>
        </w:rPr>
        <w:t xml:space="preserve"> </w:t>
      </w:r>
      <w:bookmarkStart w:id="23" w:name="_Hlk166232377"/>
      <w:r w:rsidRPr="00D51CC1">
        <w:rPr>
          <w:rFonts w:eastAsia="Times New Roman" w:cstheme="minorHAnsi"/>
          <w:kern w:val="0"/>
          <w:sz w:val="24"/>
          <w:szCs w:val="24"/>
          <w:lang w:eastAsia="en-GB"/>
          <w14:ligatures w14:val="none"/>
        </w:rPr>
        <w:t xml:space="preserve">O’Sullivan, B. (2001) </w:t>
      </w:r>
      <w:bookmarkEnd w:id="23"/>
      <w:r w:rsidRPr="00D51CC1">
        <w:rPr>
          <w:rFonts w:eastAsia="Times New Roman" w:cstheme="minorHAnsi"/>
          <w:kern w:val="0"/>
          <w:sz w:val="24"/>
          <w:szCs w:val="24"/>
          <w:lang w:eastAsia="en-GB"/>
          <w14:ligatures w14:val="none"/>
        </w:rPr>
        <w:t>‘</w:t>
      </w:r>
      <w:proofErr w:type="spellStart"/>
      <w:r w:rsidRPr="00D51CC1">
        <w:rPr>
          <w:rFonts w:eastAsia="Times New Roman" w:cstheme="minorHAnsi"/>
          <w:kern w:val="0"/>
          <w:sz w:val="24"/>
          <w:szCs w:val="24"/>
          <w:lang w:eastAsia="en-GB"/>
          <w14:ligatures w14:val="none"/>
        </w:rPr>
        <w:t>Collabortive</w:t>
      </w:r>
      <w:proofErr w:type="spellEnd"/>
      <w:r w:rsidRPr="00D51CC1">
        <w:rPr>
          <w:rFonts w:eastAsia="Times New Roman" w:cstheme="minorHAnsi"/>
          <w:kern w:val="0"/>
          <w:sz w:val="24"/>
          <w:szCs w:val="24"/>
          <w:lang w:eastAsia="en-GB"/>
          <w14:ligatures w14:val="none"/>
        </w:rPr>
        <w:t xml:space="preserve"> working’, </w:t>
      </w:r>
      <w:r w:rsidRPr="00D51CC1">
        <w:rPr>
          <w:rFonts w:eastAsia="Times New Roman" w:cstheme="minorHAnsi"/>
          <w:i/>
          <w:iCs/>
          <w:kern w:val="0"/>
          <w:sz w:val="24"/>
          <w:szCs w:val="24"/>
          <w:lang w:eastAsia="en-GB"/>
          <w14:ligatures w14:val="none"/>
        </w:rPr>
        <w:t>International Construction</w:t>
      </w:r>
      <w:r w:rsidRPr="00D51CC1">
        <w:rPr>
          <w:rFonts w:eastAsia="Times New Roman" w:cstheme="minorHAnsi"/>
          <w:kern w:val="0"/>
          <w:sz w:val="24"/>
          <w:szCs w:val="24"/>
          <w:lang w:eastAsia="en-GB"/>
          <w14:ligatures w14:val="none"/>
        </w:rPr>
        <w:t>, 40(9), pp. 22-.</w:t>
      </w:r>
    </w:p>
    <w:p w14:paraId="7EF29C40" w14:textId="77777777" w:rsidR="00D51CC1" w:rsidRPr="00D51CC1" w:rsidRDefault="00D51CC1" w:rsidP="00D51CC1">
      <w:pPr>
        <w:spacing w:line="360" w:lineRule="auto"/>
        <w:rPr>
          <w:rFonts w:cstheme="minorHAnsi"/>
          <w:sz w:val="24"/>
          <w:szCs w:val="24"/>
          <w:shd w:val="clear" w:color="auto" w:fill="FFFFFF"/>
        </w:rPr>
      </w:pPr>
      <w:bookmarkStart w:id="24" w:name="_Hlk166234415"/>
      <w:r w:rsidRPr="00D51CC1">
        <w:rPr>
          <w:rFonts w:cstheme="minorHAnsi"/>
          <w:sz w:val="24"/>
          <w:szCs w:val="24"/>
          <w:shd w:val="clear" w:color="auto" w:fill="FFFFFF"/>
        </w:rPr>
        <w:t>Pindus, D.M. </w:t>
      </w:r>
      <w:r w:rsidRPr="00D51CC1">
        <w:rPr>
          <w:rFonts w:cstheme="minorHAnsi"/>
          <w:i/>
          <w:iCs/>
          <w:sz w:val="24"/>
          <w:szCs w:val="24"/>
          <w:shd w:val="clear" w:color="auto" w:fill="FFFFFF"/>
        </w:rPr>
        <w:t>et al.</w:t>
      </w:r>
      <w:r w:rsidRPr="00D51CC1">
        <w:rPr>
          <w:rFonts w:cstheme="minorHAnsi"/>
          <w:sz w:val="24"/>
          <w:szCs w:val="24"/>
          <w:shd w:val="clear" w:color="auto" w:fill="FFFFFF"/>
        </w:rPr>
        <w:t> (2018)</w:t>
      </w:r>
      <w:bookmarkEnd w:id="24"/>
      <w:r w:rsidRPr="00D51CC1">
        <w:rPr>
          <w:rFonts w:cstheme="minorHAnsi"/>
          <w:sz w:val="24"/>
          <w:szCs w:val="24"/>
          <w:shd w:val="clear" w:color="auto" w:fill="FFFFFF"/>
        </w:rPr>
        <w:t xml:space="preserve"> ‘Stroke survivors’ and informal caregivers’ experiences of primary care and community healthcare services - A systematic review and meta-ethnography’, </w:t>
      </w:r>
      <w:proofErr w:type="spellStart"/>
      <w:r w:rsidRPr="00D51CC1">
        <w:rPr>
          <w:rFonts w:cstheme="minorHAnsi"/>
          <w:i/>
          <w:iCs/>
          <w:sz w:val="24"/>
          <w:szCs w:val="24"/>
          <w:shd w:val="clear" w:color="auto" w:fill="FFFFFF"/>
        </w:rPr>
        <w:t>PloS</w:t>
      </w:r>
      <w:proofErr w:type="spellEnd"/>
      <w:r w:rsidRPr="00D51CC1">
        <w:rPr>
          <w:rFonts w:cstheme="minorHAnsi"/>
          <w:i/>
          <w:iCs/>
          <w:sz w:val="24"/>
          <w:szCs w:val="24"/>
          <w:shd w:val="clear" w:color="auto" w:fill="FFFFFF"/>
        </w:rPr>
        <w:t xml:space="preserve"> one</w:t>
      </w:r>
      <w:r w:rsidRPr="00D51CC1">
        <w:rPr>
          <w:rFonts w:cstheme="minorHAnsi"/>
          <w:sz w:val="24"/>
          <w:szCs w:val="24"/>
          <w:shd w:val="clear" w:color="auto" w:fill="FFFFFF"/>
        </w:rPr>
        <w:t xml:space="preserve">, 13(2), pp. e0192533–e0192533. Available at: </w:t>
      </w:r>
      <w:hyperlink r:id="rId14" w:history="1">
        <w:r w:rsidRPr="00D51CC1">
          <w:rPr>
            <w:rStyle w:val="Hyperlink"/>
            <w:rFonts w:cstheme="minorHAnsi"/>
            <w:color w:val="auto"/>
            <w:sz w:val="24"/>
            <w:szCs w:val="24"/>
            <w:shd w:val="clear" w:color="auto" w:fill="FFFFFF"/>
          </w:rPr>
          <w:t>https://doi.org/10.1371/journal.pone.0192533</w:t>
        </w:r>
      </w:hyperlink>
      <w:r w:rsidRPr="00D51CC1">
        <w:rPr>
          <w:rFonts w:cstheme="minorHAnsi"/>
          <w:sz w:val="24"/>
          <w:szCs w:val="24"/>
          <w:shd w:val="clear" w:color="auto" w:fill="FFFFFF"/>
        </w:rPr>
        <w:t>.</w:t>
      </w:r>
    </w:p>
    <w:p w14:paraId="3C61476D" w14:textId="77777777" w:rsidR="00D51CC1" w:rsidRPr="00D51CC1" w:rsidRDefault="00D51CC1" w:rsidP="00D51CC1">
      <w:pPr>
        <w:spacing w:line="360" w:lineRule="auto"/>
        <w:rPr>
          <w:rFonts w:cstheme="minorHAnsi"/>
          <w:sz w:val="24"/>
          <w:szCs w:val="24"/>
        </w:rPr>
      </w:pPr>
      <w:bookmarkStart w:id="25" w:name="_Hlk166234135"/>
      <w:r w:rsidRPr="00D51CC1">
        <w:rPr>
          <w:rFonts w:cstheme="minorHAnsi"/>
          <w:sz w:val="24"/>
          <w:szCs w:val="24"/>
        </w:rPr>
        <w:t xml:space="preserve"> Primary care one, N.H.S. (2018)</w:t>
      </w:r>
      <w:bookmarkEnd w:id="25"/>
      <w:r w:rsidRPr="00D51CC1">
        <w:rPr>
          <w:rFonts w:cstheme="minorHAnsi"/>
          <w:sz w:val="24"/>
          <w:szCs w:val="24"/>
        </w:rPr>
        <w:t xml:space="preserve">. Social Prescribing - Primary Care One. [online] </w:t>
      </w:r>
      <w:proofErr w:type="spellStart"/>
      <w:r w:rsidRPr="00D51CC1">
        <w:rPr>
          <w:rFonts w:cstheme="minorHAnsi"/>
          <w:sz w:val="24"/>
          <w:szCs w:val="24"/>
        </w:rPr>
        <w:t>primarycareone.nhs</w:t>
      </w:r>
      <w:proofErr w:type="spellEnd"/>
      <w:r w:rsidRPr="00D51CC1">
        <w:rPr>
          <w:rFonts w:cstheme="minorHAnsi"/>
          <w:sz w:val="24"/>
          <w:szCs w:val="24"/>
        </w:rPr>
        <w:t xml:space="preserve">. </w:t>
      </w:r>
      <w:proofErr w:type="spellStart"/>
      <w:r w:rsidRPr="00D51CC1">
        <w:rPr>
          <w:rFonts w:cstheme="minorHAnsi"/>
          <w:sz w:val="24"/>
          <w:szCs w:val="24"/>
        </w:rPr>
        <w:t>wales</w:t>
      </w:r>
      <w:proofErr w:type="spellEnd"/>
      <w:r w:rsidRPr="00D51CC1">
        <w:rPr>
          <w:rFonts w:cstheme="minorHAnsi"/>
          <w:sz w:val="24"/>
          <w:szCs w:val="24"/>
        </w:rPr>
        <w:t xml:space="preserve">. Available at: https://primarycareone.nhs.wales/topics1/prevention/social-prescribing </w:t>
      </w:r>
    </w:p>
    <w:p w14:paraId="7AFDE3F4" w14:textId="77777777" w:rsidR="00D51CC1" w:rsidRPr="00D51CC1" w:rsidRDefault="00D51CC1" w:rsidP="00D51CC1">
      <w:pPr>
        <w:spacing w:line="360" w:lineRule="auto"/>
        <w:rPr>
          <w:rFonts w:cstheme="minorHAnsi"/>
          <w:sz w:val="24"/>
          <w:szCs w:val="24"/>
        </w:rPr>
      </w:pPr>
      <w:bookmarkStart w:id="26" w:name="_Hlk166234170"/>
      <w:r w:rsidRPr="00D51CC1">
        <w:rPr>
          <w:rFonts w:cstheme="minorHAnsi"/>
          <w:sz w:val="24"/>
          <w:szCs w:val="24"/>
        </w:rPr>
        <w:t xml:space="preserve">Pringle, A. and </w:t>
      </w:r>
      <w:proofErr w:type="spellStart"/>
      <w:r w:rsidRPr="00D51CC1">
        <w:rPr>
          <w:rFonts w:cstheme="minorHAnsi"/>
          <w:sz w:val="24"/>
          <w:szCs w:val="24"/>
        </w:rPr>
        <w:t>Jesurasa</w:t>
      </w:r>
      <w:proofErr w:type="spellEnd"/>
      <w:r w:rsidRPr="00D51CC1">
        <w:rPr>
          <w:rFonts w:cstheme="minorHAnsi"/>
          <w:sz w:val="24"/>
          <w:szCs w:val="24"/>
        </w:rPr>
        <w:t>, A. (2022)</w:t>
      </w:r>
      <w:bookmarkEnd w:id="26"/>
      <w:r w:rsidRPr="00D51CC1">
        <w:rPr>
          <w:rFonts w:cstheme="minorHAnsi"/>
          <w:sz w:val="24"/>
          <w:szCs w:val="24"/>
        </w:rPr>
        <w:t xml:space="preserve">. Social Prescribing Interfaces Social Prescribing Interfaces 2 Background and Context .................................................................................................... 3. </w:t>
      </w:r>
      <w:r w:rsidRPr="00D51CC1">
        <w:rPr>
          <w:rFonts w:cstheme="minorHAnsi"/>
          <w:sz w:val="24"/>
          <w:szCs w:val="24"/>
        </w:rPr>
        <w:lastRenderedPageBreak/>
        <w:t xml:space="preserve">[online] Available at: https://phw.nhs.wales/services-and-teams/primary-caredivision/social-prescribing/social-prescribing/social-prescribing-interfacespdf </w:t>
      </w:r>
    </w:p>
    <w:p w14:paraId="791F1327"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27" w:name="_Hlk166233283"/>
      <w:r w:rsidRPr="00D51CC1">
        <w:rPr>
          <w:rFonts w:cstheme="minorHAnsi"/>
          <w:sz w:val="24"/>
          <w:szCs w:val="24"/>
          <w:shd w:val="clear" w:color="auto" w:fill="FFFFFF"/>
        </w:rPr>
        <w:t xml:space="preserve">Rehder, K., Adair, K.C. and Sexton, J.B. (2021) </w:t>
      </w:r>
      <w:bookmarkEnd w:id="27"/>
      <w:r w:rsidRPr="00D51CC1">
        <w:rPr>
          <w:rFonts w:cstheme="minorHAnsi"/>
          <w:sz w:val="24"/>
          <w:szCs w:val="24"/>
          <w:shd w:val="clear" w:color="auto" w:fill="FFFFFF"/>
        </w:rPr>
        <w:t>‘The Science of Health Care Worker Burnout: Assessing and Improving Health Care Worker Well-Being’, </w:t>
      </w:r>
      <w:r w:rsidRPr="00D51CC1">
        <w:rPr>
          <w:rFonts w:cstheme="minorHAnsi"/>
          <w:i/>
          <w:iCs/>
          <w:sz w:val="24"/>
          <w:szCs w:val="24"/>
          <w:shd w:val="clear" w:color="auto" w:fill="FFFFFF"/>
        </w:rPr>
        <w:t>Archives of pathology &amp; laboratory medicine (1976)</w:t>
      </w:r>
      <w:r w:rsidRPr="00D51CC1">
        <w:rPr>
          <w:rFonts w:cstheme="minorHAnsi"/>
          <w:sz w:val="24"/>
          <w:szCs w:val="24"/>
          <w:shd w:val="clear" w:color="auto" w:fill="FFFFFF"/>
        </w:rPr>
        <w:t xml:space="preserve">, 145(9), pp. 1095–1109. Available at: </w:t>
      </w:r>
      <w:hyperlink r:id="rId15" w:history="1">
        <w:r w:rsidRPr="00D51CC1">
          <w:rPr>
            <w:rStyle w:val="Hyperlink"/>
            <w:rFonts w:cstheme="minorHAnsi"/>
            <w:color w:val="auto"/>
            <w:sz w:val="24"/>
            <w:szCs w:val="24"/>
            <w:shd w:val="clear" w:color="auto" w:fill="FFFFFF"/>
          </w:rPr>
          <w:t>https://doi.org/10.5858/arpa.2020-0557-RA</w:t>
        </w:r>
      </w:hyperlink>
      <w:r w:rsidRPr="00D51CC1">
        <w:rPr>
          <w:rFonts w:cstheme="minorHAnsi"/>
          <w:sz w:val="24"/>
          <w:szCs w:val="24"/>
          <w:shd w:val="clear" w:color="auto" w:fill="FFFFFF"/>
        </w:rPr>
        <w:t>.</w:t>
      </w:r>
    </w:p>
    <w:p w14:paraId="382EC7C3" w14:textId="77777777" w:rsidR="00D51CC1" w:rsidRPr="00D51CC1" w:rsidRDefault="00D51CC1" w:rsidP="00D51CC1">
      <w:pPr>
        <w:shd w:val="clear" w:color="auto" w:fill="FFFFFF"/>
        <w:spacing w:line="360" w:lineRule="auto"/>
        <w:rPr>
          <w:rFonts w:eastAsia="Times New Roman" w:cstheme="minorHAnsi"/>
          <w:kern w:val="0"/>
          <w:sz w:val="24"/>
          <w:szCs w:val="24"/>
          <w:lang w:eastAsia="en-GB"/>
          <w14:ligatures w14:val="none"/>
        </w:rPr>
      </w:pPr>
      <w:r w:rsidRPr="00D51CC1">
        <w:rPr>
          <w:rFonts w:cstheme="minorHAnsi"/>
          <w:sz w:val="24"/>
          <w:szCs w:val="24"/>
          <w:shd w:val="clear" w:color="auto" w:fill="FFFFFF"/>
        </w:rPr>
        <w:t xml:space="preserve"> </w:t>
      </w:r>
      <w:bookmarkStart w:id="28" w:name="_Hlk166232537"/>
      <w:r w:rsidRPr="00D51CC1">
        <w:rPr>
          <w:rFonts w:cstheme="minorHAnsi"/>
          <w:sz w:val="24"/>
          <w:szCs w:val="24"/>
          <w:shd w:val="clear" w:color="auto" w:fill="FFFFFF"/>
        </w:rPr>
        <w:t xml:space="preserve">Rigg, C. and O’Mahony, N. (2013) </w:t>
      </w:r>
      <w:bookmarkEnd w:id="28"/>
      <w:r w:rsidRPr="00D51CC1">
        <w:rPr>
          <w:rFonts w:cstheme="minorHAnsi"/>
          <w:sz w:val="24"/>
          <w:szCs w:val="24"/>
          <w:shd w:val="clear" w:color="auto" w:fill="FFFFFF"/>
        </w:rPr>
        <w:t>‘Frustrations in Collaborative Working: Insights from institutional theory’, </w:t>
      </w:r>
      <w:r w:rsidRPr="00D51CC1">
        <w:rPr>
          <w:rFonts w:cstheme="minorHAnsi"/>
          <w:i/>
          <w:iCs/>
          <w:sz w:val="24"/>
          <w:szCs w:val="24"/>
          <w:shd w:val="clear" w:color="auto" w:fill="FFFFFF"/>
        </w:rPr>
        <w:t>Public management review</w:t>
      </w:r>
      <w:r w:rsidRPr="00D51CC1">
        <w:rPr>
          <w:rFonts w:cstheme="minorHAnsi"/>
          <w:sz w:val="24"/>
          <w:szCs w:val="24"/>
          <w:shd w:val="clear" w:color="auto" w:fill="FFFFFF"/>
        </w:rPr>
        <w:t>, 15(1), pp. 83–108. Available at: https://doi.org/10.1080/14719037.2012.686231.</w:t>
      </w:r>
    </w:p>
    <w:p w14:paraId="75B262C5"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29" w:name="_Hlk166234549"/>
      <w:r w:rsidRPr="00D51CC1">
        <w:rPr>
          <w:rFonts w:cstheme="minorHAnsi"/>
          <w:sz w:val="24"/>
          <w:szCs w:val="24"/>
          <w:shd w:val="clear" w:color="auto" w:fill="FFFFFF"/>
        </w:rPr>
        <w:t>Røsvik, J. </w:t>
      </w:r>
      <w:r w:rsidRPr="00D51CC1">
        <w:rPr>
          <w:rFonts w:cstheme="minorHAnsi"/>
          <w:i/>
          <w:iCs/>
          <w:sz w:val="24"/>
          <w:szCs w:val="24"/>
          <w:shd w:val="clear" w:color="auto" w:fill="FFFFFF"/>
        </w:rPr>
        <w:t>et al.</w:t>
      </w:r>
      <w:r w:rsidRPr="00D51CC1">
        <w:rPr>
          <w:rFonts w:cstheme="minorHAnsi"/>
          <w:sz w:val="24"/>
          <w:szCs w:val="24"/>
          <w:shd w:val="clear" w:color="auto" w:fill="FFFFFF"/>
        </w:rPr>
        <w:t xml:space="preserve"> (2021) </w:t>
      </w:r>
      <w:bookmarkEnd w:id="29"/>
      <w:r w:rsidRPr="00D51CC1">
        <w:rPr>
          <w:rFonts w:cstheme="minorHAnsi"/>
          <w:sz w:val="24"/>
          <w:szCs w:val="24"/>
          <w:shd w:val="clear" w:color="auto" w:fill="FFFFFF"/>
        </w:rPr>
        <w:t xml:space="preserve">‘Development of best practice recommendations to enhance access to and use of formal community care services for people with dementia in Europe: a Delphi process conducted by the </w:t>
      </w:r>
      <w:proofErr w:type="spellStart"/>
      <w:r w:rsidRPr="00D51CC1">
        <w:rPr>
          <w:rFonts w:cstheme="minorHAnsi"/>
          <w:sz w:val="24"/>
          <w:szCs w:val="24"/>
          <w:shd w:val="clear" w:color="auto" w:fill="FFFFFF"/>
        </w:rPr>
        <w:t>Actifcare</w:t>
      </w:r>
      <w:proofErr w:type="spellEnd"/>
      <w:r w:rsidRPr="00D51CC1">
        <w:rPr>
          <w:rFonts w:cstheme="minorHAnsi"/>
          <w:sz w:val="24"/>
          <w:szCs w:val="24"/>
          <w:shd w:val="clear" w:color="auto" w:fill="FFFFFF"/>
        </w:rPr>
        <w:t xml:space="preserve"> project’, </w:t>
      </w:r>
      <w:r w:rsidRPr="00D51CC1">
        <w:rPr>
          <w:rFonts w:cstheme="minorHAnsi"/>
          <w:i/>
          <w:iCs/>
          <w:sz w:val="24"/>
          <w:szCs w:val="24"/>
          <w:shd w:val="clear" w:color="auto" w:fill="FFFFFF"/>
        </w:rPr>
        <w:t>Aging &amp; mental health</w:t>
      </w:r>
      <w:r w:rsidRPr="00D51CC1">
        <w:rPr>
          <w:rFonts w:cstheme="minorHAnsi"/>
          <w:sz w:val="24"/>
          <w:szCs w:val="24"/>
          <w:shd w:val="clear" w:color="auto" w:fill="FFFFFF"/>
        </w:rPr>
        <w:t xml:space="preserve">, 25(12), pp. 2298–2309. Available at: </w:t>
      </w:r>
      <w:hyperlink r:id="rId16" w:history="1">
        <w:r w:rsidRPr="00D51CC1">
          <w:rPr>
            <w:rStyle w:val="Hyperlink"/>
            <w:rFonts w:cstheme="minorHAnsi"/>
            <w:color w:val="auto"/>
            <w:sz w:val="24"/>
            <w:szCs w:val="24"/>
            <w:shd w:val="clear" w:color="auto" w:fill="FFFFFF"/>
          </w:rPr>
          <w:t>https://doi.org/10.1080/13607863.2020.1822286</w:t>
        </w:r>
      </w:hyperlink>
    </w:p>
    <w:p w14:paraId="57842516" w14:textId="77777777" w:rsidR="00D51CC1" w:rsidRPr="00D51CC1" w:rsidRDefault="00D51CC1" w:rsidP="00D51CC1">
      <w:pPr>
        <w:spacing w:line="360" w:lineRule="auto"/>
        <w:rPr>
          <w:rFonts w:eastAsia="Times New Roman" w:cstheme="minorHAnsi"/>
          <w:kern w:val="0"/>
          <w:sz w:val="24"/>
          <w:szCs w:val="24"/>
          <w:lang w:eastAsia="en-GB"/>
          <w14:ligatures w14:val="none"/>
        </w:rPr>
      </w:pPr>
      <w:r w:rsidRPr="00D51CC1">
        <w:rPr>
          <w:rFonts w:eastAsia="Times New Roman" w:cstheme="minorHAnsi"/>
          <w:kern w:val="0"/>
          <w:sz w:val="24"/>
          <w:szCs w:val="24"/>
          <w:lang w:eastAsia="en-GB"/>
          <w14:ligatures w14:val="none"/>
        </w:rPr>
        <w:t xml:space="preserve"> </w:t>
      </w:r>
      <w:bookmarkStart w:id="30" w:name="_Hlk166232664"/>
      <w:proofErr w:type="spellStart"/>
      <w:r w:rsidRPr="00D51CC1">
        <w:rPr>
          <w:rFonts w:eastAsia="Times New Roman" w:cstheme="minorHAnsi"/>
          <w:kern w:val="0"/>
          <w:sz w:val="24"/>
          <w:szCs w:val="24"/>
          <w:lang w:eastAsia="en-GB"/>
          <w14:ligatures w14:val="none"/>
        </w:rPr>
        <w:t>Sherifi</w:t>
      </w:r>
      <w:proofErr w:type="spellEnd"/>
      <w:r w:rsidRPr="00D51CC1">
        <w:rPr>
          <w:rFonts w:eastAsia="Times New Roman" w:cstheme="minorHAnsi"/>
          <w:kern w:val="0"/>
          <w:sz w:val="24"/>
          <w:szCs w:val="24"/>
          <w:lang w:eastAsia="en-GB"/>
          <w14:ligatures w14:val="none"/>
        </w:rPr>
        <w:t xml:space="preserve">, J. (2023) </w:t>
      </w:r>
      <w:bookmarkEnd w:id="30"/>
      <w:r w:rsidRPr="00D51CC1">
        <w:rPr>
          <w:rFonts w:eastAsia="Times New Roman" w:cstheme="minorHAnsi"/>
          <w:i/>
          <w:iCs/>
          <w:kern w:val="0"/>
          <w:sz w:val="24"/>
          <w:szCs w:val="24"/>
          <w:lang w:eastAsia="en-GB"/>
          <w14:ligatures w14:val="none"/>
        </w:rPr>
        <w:t xml:space="preserve">General practice under the </w:t>
      </w:r>
      <w:proofErr w:type="gramStart"/>
      <w:r w:rsidRPr="00D51CC1">
        <w:rPr>
          <w:rFonts w:eastAsia="Times New Roman" w:cstheme="minorHAnsi"/>
          <w:i/>
          <w:iCs/>
          <w:kern w:val="0"/>
          <w:sz w:val="24"/>
          <w:szCs w:val="24"/>
          <w:lang w:eastAsia="en-GB"/>
          <w14:ligatures w14:val="none"/>
        </w:rPr>
        <w:t>NHS :</w:t>
      </w:r>
      <w:proofErr w:type="gramEnd"/>
      <w:r w:rsidRPr="00D51CC1">
        <w:rPr>
          <w:rFonts w:eastAsia="Times New Roman" w:cstheme="minorHAnsi"/>
          <w:i/>
          <w:iCs/>
          <w:kern w:val="0"/>
          <w:sz w:val="24"/>
          <w:szCs w:val="24"/>
          <w:lang w:eastAsia="en-GB"/>
          <w14:ligatures w14:val="none"/>
        </w:rPr>
        <w:t xml:space="preserve"> past, present and future</w:t>
      </w:r>
      <w:r w:rsidRPr="00D51CC1">
        <w:rPr>
          <w:rFonts w:eastAsia="Times New Roman" w:cstheme="minorHAnsi"/>
          <w:kern w:val="0"/>
          <w:sz w:val="24"/>
          <w:szCs w:val="24"/>
          <w:lang w:eastAsia="en-GB"/>
          <w14:ligatures w14:val="none"/>
        </w:rPr>
        <w:t>. First edition. Boca Raton: CRC Press.</w:t>
      </w:r>
    </w:p>
    <w:p w14:paraId="038FB136"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31" w:name="_Hlk166234088"/>
      <w:r w:rsidRPr="00D51CC1">
        <w:rPr>
          <w:rFonts w:cstheme="minorHAnsi"/>
          <w:sz w:val="24"/>
          <w:szCs w:val="24"/>
          <w:shd w:val="clear" w:color="auto" w:fill="FFFFFF"/>
        </w:rPr>
        <w:t>Simon, S.R. </w:t>
      </w:r>
      <w:r w:rsidRPr="00D51CC1">
        <w:rPr>
          <w:rFonts w:cstheme="minorHAnsi"/>
          <w:i/>
          <w:iCs/>
          <w:sz w:val="24"/>
          <w:szCs w:val="24"/>
          <w:shd w:val="clear" w:color="auto" w:fill="FFFFFF"/>
        </w:rPr>
        <w:t>et al.</w:t>
      </w:r>
      <w:r w:rsidRPr="00D51CC1">
        <w:rPr>
          <w:rFonts w:cstheme="minorHAnsi"/>
          <w:sz w:val="24"/>
          <w:szCs w:val="24"/>
          <w:shd w:val="clear" w:color="auto" w:fill="FFFFFF"/>
        </w:rPr>
        <w:t xml:space="preserve"> (2021) </w:t>
      </w:r>
      <w:bookmarkEnd w:id="31"/>
      <w:r w:rsidRPr="00D51CC1">
        <w:rPr>
          <w:rFonts w:cstheme="minorHAnsi"/>
          <w:sz w:val="24"/>
          <w:szCs w:val="24"/>
          <w:shd w:val="clear" w:color="auto" w:fill="FFFFFF"/>
        </w:rPr>
        <w:t>‘COVID‐19 in Community‐Based LTCFs: Successful Strategies for Abatement at One VA Healthcare System’, </w:t>
      </w:r>
      <w:r w:rsidRPr="00D51CC1">
        <w:rPr>
          <w:rFonts w:cstheme="minorHAnsi"/>
          <w:i/>
          <w:iCs/>
          <w:sz w:val="24"/>
          <w:szCs w:val="24"/>
          <w:shd w:val="clear" w:color="auto" w:fill="FFFFFF"/>
        </w:rPr>
        <w:t>Journal of the American Geriatrics Society (JAGS)</w:t>
      </w:r>
      <w:r w:rsidRPr="00D51CC1">
        <w:rPr>
          <w:rFonts w:cstheme="minorHAnsi"/>
          <w:sz w:val="24"/>
          <w:szCs w:val="24"/>
          <w:shd w:val="clear" w:color="auto" w:fill="FFFFFF"/>
        </w:rPr>
        <w:t xml:space="preserve">, 69(3), pp. 606–607. Available at: </w:t>
      </w:r>
      <w:hyperlink r:id="rId17" w:history="1">
        <w:r w:rsidRPr="00D51CC1">
          <w:rPr>
            <w:rStyle w:val="Hyperlink"/>
            <w:rFonts w:cstheme="minorHAnsi"/>
            <w:color w:val="auto"/>
            <w:sz w:val="24"/>
            <w:szCs w:val="24"/>
            <w:shd w:val="clear" w:color="auto" w:fill="FFFFFF"/>
          </w:rPr>
          <w:t>https://doi.org/10.1111/jgs.17000</w:t>
        </w:r>
      </w:hyperlink>
    </w:p>
    <w:p w14:paraId="3A8E0D87" w14:textId="77777777" w:rsidR="00D51CC1" w:rsidRPr="00D51CC1" w:rsidRDefault="00D51CC1" w:rsidP="00D51CC1">
      <w:pPr>
        <w:spacing w:line="360" w:lineRule="auto"/>
        <w:rPr>
          <w:rFonts w:cstheme="minorHAnsi"/>
          <w:sz w:val="24"/>
          <w:szCs w:val="24"/>
        </w:rPr>
      </w:pPr>
      <w:bookmarkStart w:id="32" w:name="_Hlk166233106"/>
      <w:r w:rsidRPr="00D51CC1">
        <w:rPr>
          <w:rFonts w:cstheme="minorHAnsi"/>
          <w:sz w:val="24"/>
          <w:szCs w:val="24"/>
        </w:rPr>
        <w:t xml:space="preserve">Stevens, R. (2016). </w:t>
      </w:r>
      <w:bookmarkEnd w:id="32"/>
      <w:r w:rsidRPr="00D51CC1">
        <w:rPr>
          <w:rFonts w:cstheme="minorHAnsi"/>
          <w:sz w:val="24"/>
          <w:szCs w:val="24"/>
        </w:rPr>
        <w:t xml:space="preserve">PROVISION OF CARE AND SUPPORT IN WALES IS CHANGING. [online] Over 50 Caerphilly. Available at: https://www.caerphillyover50.co.uk/news/provision-ofcare-and-support-in-wales-ischanging/#:~:text=PROVISION%20OF%20CARE%20AND%20SUPPORT%20IN%20WALES%20I S </w:t>
      </w:r>
    </w:p>
    <w:p w14:paraId="76A9D49F" w14:textId="77777777" w:rsidR="00D51CC1" w:rsidRPr="00D51CC1" w:rsidRDefault="00D51CC1" w:rsidP="00D51CC1">
      <w:pPr>
        <w:spacing w:line="360" w:lineRule="auto"/>
        <w:rPr>
          <w:rFonts w:cstheme="minorHAnsi"/>
          <w:sz w:val="24"/>
          <w:szCs w:val="24"/>
        </w:rPr>
      </w:pPr>
      <w:r w:rsidRPr="00D51CC1">
        <w:rPr>
          <w:rFonts w:cstheme="minorHAnsi"/>
          <w:sz w:val="24"/>
          <w:szCs w:val="24"/>
        </w:rPr>
        <w:t xml:space="preserve">Taylor-Collins, E. et al. (2021) Volunteering and Wellbeing in the pandemic. 0GL. Available </w:t>
      </w:r>
      <w:proofErr w:type="gramStart"/>
      <w:r w:rsidRPr="00D51CC1">
        <w:rPr>
          <w:rFonts w:cstheme="minorHAnsi"/>
          <w:sz w:val="24"/>
          <w:szCs w:val="24"/>
        </w:rPr>
        <w:t>at:https://wcva.cymru/wp-content/uploads/2021/06/Volunteering-and-wellbeing-inthe-pandemic.-Part-1-Learning-from-practice.pdf</w:t>
      </w:r>
      <w:proofErr w:type="gramEnd"/>
      <w:r w:rsidRPr="00D51CC1">
        <w:rPr>
          <w:rFonts w:cstheme="minorHAnsi"/>
          <w:sz w:val="24"/>
          <w:szCs w:val="24"/>
        </w:rPr>
        <w:t xml:space="preserve"> </w:t>
      </w:r>
    </w:p>
    <w:p w14:paraId="6C4EDD22" w14:textId="77777777" w:rsidR="00D51CC1" w:rsidRPr="00D51CC1" w:rsidRDefault="00D51CC1" w:rsidP="00D51CC1">
      <w:pPr>
        <w:spacing w:line="360" w:lineRule="auto"/>
        <w:rPr>
          <w:rFonts w:cstheme="minorHAnsi"/>
          <w:sz w:val="24"/>
          <w:szCs w:val="24"/>
          <w:shd w:val="clear" w:color="auto" w:fill="FFFFFF"/>
        </w:rPr>
      </w:pPr>
      <w:r w:rsidRPr="00D51CC1">
        <w:rPr>
          <w:rFonts w:cstheme="minorHAnsi"/>
          <w:i/>
          <w:iCs/>
          <w:sz w:val="24"/>
          <w:szCs w:val="24"/>
          <w:shd w:val="clear" w:color="auto" w:fill="FFFFFF"/>
        </w:rPr>
        <w:t xml:space="preserve"> </w:t>
      </w:r>
      <w:bookmarkStart w:id="33" w:name="_Hlk166234244"/>
      <w:r w:rsidRPr="00D51CC1">
        <w:rPr>
          <w:rFonts w:cstheme="minorHAnsi"/>
          <w:i/>
          <w:iCs/>
          <w:sz w:val="24"/>
          <w:szCs w:val="24"/>
          <w:shd w:val="clear" w:color="auto" w:fill="FFFFFF"/>
        </w:rPr>
        <w:t>Technology and health care.</w:t>
      </w:r>
      <w:r w:rsidRPr="00D51CC1">
        <w:rPr>
          <w:rFonts w:cstheme="minorHAnsi"/>
          <w:sz w:val="24"/>
          <w:szCs w:val="24"/>
          <w:shd w:val="clear" w:color="auto" w:fill="FFFFFF"/>
        </w:rPr>
        <w:t xml:space="preserve"> (1993). </w:t>
      </w:r>
      <w:bookmarkEnd w:id="33"/>
      <w:r w:rsidRPr="00D51CC1">
        <w:rPr>
          <w:rFonts w:cstheme="minorHAnsi"/>
          <w:sz w:val="24"/>
          <w:szCs w:val="24"/>
          <w:shd w:val="clear" w:color="auto" w:fill="FFFFFF"/>
        </w:rPr>
        <w:t>Amsterdam (Netherlands): IOS Press</w:t>
      </w:r>
    </w:p>
    <w:p w14:paraId="2886477B" w14:textId="77777777" w:rsidR="00D51CC1" w:rsidRPr="00D51CC1" w:rsidRDefault="00D51CC1" w:rsidP="00D51CC1">
      <w:pPr>
        <w:shd w:val="clear" w:color="auto" w:fill="FFFFFF"/>
        <w:spacing w:line="360" w:lineRule="auto"/>
        <w:rPr>
          <w:rFonts w:cstheme="minorHAnsi"/>
          <w:sz w:val="24"/>
          <w:szCs w:val="24"/>
          <w:shd w:val="clear" w:color="auto" w:fill="FFFFFF"/>
        </w:rPr>
      </w:pPr>
      <w:r w:rsidRPr="00D51CC1">
        <w:rPr>
          <w:rFonts w:cstheme="minorHAnsi"/>
          <w:i/>
          <w:iCs/>
          <w:sz w:val="24"/>
          <w:szCs w:val="24"/>
          <w:shd w:val="clear" w:color="auto" w:fill="FFFFFF"/>
        </w:rPr>
        <w:t xml:space="preserve"> </w:t>
      </w:r>
      <w:bookmarkStart w:id="34" w:name="_Hlk166235180"/>
      <w:r w:rsidRPr="00D51CC1">
        <w:rPr>
          <w:rFonts w:cstheme="minorHAnsi"/>
          <w:i/>
          <w:iCs/>
          <w:sz w:val="24"/>
          <w:szCs w:val="24"/>
          <w:shd w:val="clear" w:color="auto" w:fill="FFFFFF"/>
        </w:rPr>
        <w:t>Tertiary Care - Medical, Psychosocial, and Environmental Aspects</w:t>
      </w:r>
      <w:r w:rsidRPr="00D51CC1">
        <w:rPr>
          <w:rFonts w:cstheme="minorHAnsi"/>
          <w:sz w:val="24"/>
          <w:szCs w:val="24"/>
          <w:shd w:val="clear" w:color="auto" w:fill="FFFFFF"/>
        </w:rPr>
        <w:t xml:space="preserve"> (2024). </w:t>
      </w:r>
      <w:bookmarkEnd w:id="34"/>
      <w:proofErr w:type="spellStart"/>
      <w:r w:rsidRPr="00D51CC1">
        <w:rPr>
          <w:rFonts w:cstheme="minorHAnsi"/>
          <w:sz w:val="24"/>
          <w:szCs w:val="24"/>
          <w:shd w:val="clear" w:color="auto" w:fill="FFFFFF"/>
        </w:rPr>
        <w:t>IntechOpen</w:t>
      </w:r>
      <w:proofErr w:type="spellEnd"/>
      <w:r w:rsidRPr="00D51CC1">
        <w:rPr>
          <w:rFonts w:cstheme="minorHAnsi"/>
          <w:sz w:val="24"/>
          <w:szCs w:val="24"/>
          <w:shd w:val="clear" w:color="auto" w:fill="FFFFFF"/>
        </w:rPr>
        <w:t>.</w:t>
      </w:r>
    </w:p>
    <w:p w14:paraId="42710357" w14:textId="77777777" w:rsidR="00D51CC1" w:rsidRPr="00D51CC1" w:rsidRDefault="00D51CC1" w:rsidP="00D51CC1">
      <w:pPr>
        <w:spacing w:line="360" w:lineRule="auto"/>
        <w:rPr>
          <w:rFonts w:cstheme="minorHAnsi"/>
          <w:sz w:val="24"/>
          <w:szCs w:val="24"/>
        </w:rPr>
      </w:pPr>
      <w:bookmarkStart w:id="35" w:name="_Hlk166233487"/>
      <w:r w:rsidRPr="00D51CC1">
        <w:rPr>
          <w:rFonts w:cstheme="minorHAnsi"/>
          <w:sz w:val="24"/>
          <w:szCs w:val="24"/>
        </w:rPr>
        <w:lastRenderedPageBreak/>
        <w:t xml:space="preserve">The Health Foundation (2022). </w:t>
      </w:r>
      <w:bookmarkEnd w:id="35"/>
      <w:r w:rsidRPr="00D51CC1">
        <w:rPr>
          <w:rFonts w:cstheme="minorHAnsi"/>
          <w:sz w:val="24"/>
          <w:szCs w:val="24"/>
        </w:rPr>
        <w:t xml:space="preserve">Public perceptions of the NHS and social care: performance, policy and expectations - The Health Foundation. [online] www.health.org.uk.  </w:t>
      </w:r>
    </w:p>
    <w:p w14:paraId="0499E94A" w14:textId="77777777" w:rsidR="00D51CC1" w:rsidRPr="00D51CC1" w:rsidRDefault="00D51CC1" w:rsidP="00D51CC1">
      <w:pPr>
        <w:spacing w:line="360" w:lineRule="auto"/>
        <w:rPr>
          <w:rFonts w:cstheme="minorHAnsi"/>
          <w:sz w:val="24"/>
          <w:szCs w:val="24"/>
        </w:rPr>
      </w:pPr>
      <w:r w:rsidRPr="00D51CC1">
        <w:rPr>
          <w:rFonts w:cstheme="minorHAnsi"/>
          <w:sz w:val="24"/>
          <w:szCs w:val="24"/>
        </w:rPr>
        <w:t xml:space="preserve">The Kings Fund (2022). NHS workforce: our position. [online] The King’s Fund. Available at: https://www.kingsfund.org.uk/projects/positions/nhs-workforce </w:t>
      </w:r>
    </w:p>
    <w:p w14:paraId="1F9776B4" w14:textId="77777777" w:rsidR="00D51CC1" w:rsidRPr="00D51CC1" w:rsidRDefault="00D51CC1" w:rsidP="00D51CC1">
      <w:pPr>
        <w:spacing w:line="360" w:lineRule="auto"/>
        <w:rPr>
          <w:rFonts w:cstheme="minorHAnsi"/>
          <w:sz w:val="24"/>
          <w:szCs w:val="24"/>
        </w:rPr>
      </w:pPr>
      <w:r w:rsidRPr="00D51CC1">
        <w:rPr>
          <w:rFonts w:cstheme="minorHAnsi"/>
          <w:sz w:val="24"/>
          <w:szCs w:val="24"/>
        </w:rPr>
        <w:t xml:space="preserve"> </w:t>
      </w:r>
      <w:bookmarkStart w:id="36" w:name="_Hlk166233442"/>
      <w:r w:rsidRPr="00D51CC1">
        <w:rPr>
          <w:rFonts w:cstheme="minorHAnsi"/>
          <w:sz w:val="24"/>
          <w:szCs w:val="24"/>
        </w:rPr>
        <w:t>The Kings Fund (2023)</w:t>
      </w:r>
      <w:bookmarkEnd w:id="36"/>
      <w:r w:rsidRPr="00D51CC1">
        <w:rPr>
          <w:rFonts w:cstheme="minorHAnsi"/>
          <w:sz w:val="24"/>
          <w:szCs w:val="24"/>
        </w:rPr>
        <w:t xml:space="preserve">. The public and the NHS. [online] The King’s Fund. Available at: https://www.kingsfund.org.uk/projects/public-and-nhs  </w:t>
      </w:r>
    </w:p>
    <w:p w14:paraId="10B1A16C" w14:textId="77777777" w:rsidR="00D51CC1" w:rsidRPr="00D51CC1" w:rsidRDefault="00D51CC1" w:rsidP="00D51CC1">
      <w:pPr>
        <w:spacing w:line="360" w:lineRule="auto"/>
        <w:rPr>
          <w:rFonts w:cstheme="minorHAnsi"/>
          <w:sz w:val="24"/>
          <w:szCs w:val="24"/>
        </w:rPr>
      </w:pPr>
      <w:r w:rsidRPr="00D51CC1">
        <w:rPr>
          <w:rFonts w:cstheme="minorHAnsi"/>
          <w:sz w:val="24"/>
          <w:szCs w:val="24"/>
        </w:rPr>
        <w:t xml:space="preserve"> </w:t>
      </w:r>
      <w:bookmarkStart w:id="37" w:name="_Hlk166231813"/>
      <w:r w:rsidRPr="00D51CC1">
        <w:rPr>
          <w:rFonts w:cstheme="minorHAnsi"/>
          <w:sz w:val="24"/>
          <w:szCs w:val="24"/>
        </w:rPr>
        <w:t>UK Parliament (2019)</w:t>
      </w:r>
      <w:bookmarkEnd w:id="37"/>
      <w:r w:rsidRPr="00D51CC1">
        <w:rPr>
          <w:rFonts w:cstheme="minorHAnsi"/>
          <w:sz w:val="24"/>
          <w:szCs w:val="24"/>
        </w:rPr>
        <w:t xml:space="preserve">. 1942 Beveridge Report. [online] UK Parliament. Available at: https://www.parliament.uk/about/living-heritage/transformingsociety/livinglearning/coll-9- health1/coll-9-health/ </w:t>
      </w:r>
    </w:p>
    <w:p w14:paraId="098A7166" w14:textId="77777777" w:rsidR="00D51CC1" w:rsidRPr="00D51CC1" w:rsidRDefault="00D51CC1" w:rsidP="00D51CC1">
      <w:pPr>
        <w:spacing w:line="360" w:lineRule="auto"/>
        <w:rPr>
          <w:rFonts w:cstheme="minorHAnsi"/>
          <w:sz w:val="24"/>
          <w:szCs w:val="24"/>
        </w:rPr>
      </w:pPr>
      <w:r w:rsidRPr="00D51CC1">
        <w:rPr>
          <w:rFonts w:cstheme="minorHAnsi"/>
          <w:sz w:val="24"/>
          <w:szCs w:val="24"/>
        </w:rPr>
        <w:t xml:space="preserve">Welsh NHS Confederation (2023), Briefing: Current challenges facing the health and social care system in Wales. Available at: https://www.nhsconfed.org/publications/briefingcurrent-challenges-facing-health-and-social-care-system-wales. </w:t>
      </w:r>
    </w:p>
    <w:p w14:paraId="1F2CFC45" w14:textId="77777777" w:rsidR="00D51CC1" w:rsidRPr="00D51CC1" w:rsidRDefault="00D51CC1" w:rsidP="00D51CC1">
      <w:pPr>
        <w:spacing w:line="360" w:lineRule="auto"/>
        <w:rPr>
          <w:rFonts w:cstheme="minorHAnsi"/>
          <w:sz w:val="24"/>
          <w:szCs w:val="24"/>
        </w:rPr>
      </w:pPr>
      <w:bookmarkStart w:id="38" w:name="_Hlk166233378"/>
      <w:r w:rsidRPr="00D51CC1">
        <w:rPr>
          <w:rFonts w:cstheme="minorHAnsi"/>
          <w:sz w:val="24"/>
          <w:szCs w:val="24"/>
        </w:rPr>
        <w:t xml:space="preserve">World Health Organisation (2021). </w:t>
      </w:r>
      <w:bookmarkEnd w:id="38"/>
      <w:r w:rsidRPr="00D51CC1">
        <w:rPr>
          <w:rFonts w:cstheme="minorHAnsi"/>
          <w:sz w:val="24"/>
          <w:szCs w:val="24"/>
        </w:rPr>
        <w:t xml:space="preserve">Coronavirus disease (COVID-19). [online] World Health Organization. Available at: https://www.who.int/health-topics/coronavirus#tab=tab_1 </w:t>
      </w:r>
    </w:p>
    <w:p w14:paraId="6158E6B6" w14:textId="7F637F5A" w:rsidR="00D51CC1" w:rsidRPr="00D51CC1" w:rsidRDefault="00D51CC1" w:rsidP="00D51CC1">
      <w:pPr>
        <w:shd w:val="clear" w:color="auto" w:fill="FFFFFF"/>
        <w:spacing w:line="360" w:lineRule="auto"/>
        <w:rPr>
          <w:rFonts w:cstheme="minorHAnsi"/>
          <w:sz w:val="24"/>
          <w:szCs w:val="24"/>
          <w:shd w:val="clear" w:color="auto" w:fill="FFFFFF"/>
        </w:rPr>
      </w:pPr>
      <w:r w:rsidRPr="00D51CC1">
        <w:rPr>
          <w:rFonts w:cstheme="minorHAnsi"/>
          <w:sz w:val="24"/>
          <w:szCs w:val="24"/>
          <w:shd w:val="clear" w:color="auto" w:fill="FFFFFF"/>
        </w:rPr>
        <w:t xml:space="preserve"> </w:t>
      </w:r>
      <w:bookmarkStart w:id="39" w:name="_Hlk166234880"/>
      <w:r w:rsidRPr="00D51CC1">
        <w:rPr>
          <w:rFonts w:cstheme="minorHAnsi"/>
          <w:sz w:val="24"/>
          <w:szCs w:val="24"/>
          <w:shd w:val="clear" w:color="auto" w:fill="FFFFFF"/>
        </w:rPr>
        <w:t>World Health Organization (2021) </w:t>
      </w:r>
      <w:bookmarkEnd w:id="39"/>
      <w:r w:rsidRPr="00D51CC1">
        <w:rPr>
          <w:rFonts w:cstheme="minorHAnsi"/>
          <w:i/>
          <w:iCs/>
          <w:sz w:val="24"/>
          <w:szCs w:val="24"/>
          <w:shd w:val="clear" w:color="auto" w:fill="FFFFFF"/>
        </w:rPr>
        <w:t>WHO Guideline on Self-Care Interventions for Health and Well-Being</w:t>
      </w:r>
      <w:r w:rsidRPr="00D51CC1">
        <w:rPr>
          <w:rFonts w:cstheme="minorHAnsi"/>
          <w:sz w:val="24"/>
          <w:szCs w:val="24"/>
          <w:shd w:val="clear" w:color="auto" w:fill="FFFFFF"/>
        </w:rPr>
        <w:t>. World Health Organization</w:t>
      </w:r>
    </w:p>
    <w:p w14:paraId="173A0C94" w14:textId="77777777" w:rsidR="00D51CC1" w:rsidRPr="00D51CC1" w:rsidRDefault="00D51CC1" w:rsidP="00D51CC1">
      <w:pPr>
        <w:pStyle w:val="NormalWeb"/>
        <w:spacing w:line="360" w:lineRule="auto"/>
        <w:rPr>
          <w:rFonts w:asciiTheme="minorHAnsi" w:hAnsiTheme="minorHAnsi" w:cstheme="minorHAnsi"/>
        </w:rPr>
      </w:pPr>
    </w:p>
    <w:p w14:paraId="7D263BEA" w14:textId="77777777" w:rsidR="00857971" w:rsidRPr="00CB2CD1" w:rsidRDefault="00857971" w:rsidP="00CB2CD1">
      <w:pPr>
        <w:pStyle w:val="NormalWeb"/>
        <w:spacing w:line="360" w:lineRule="auto"/>
        <w:rPr>
          <w:rFonts w:asciiTheme="minorHAnsi" w:hAnsiTheme="minorHAnsi" w:cstheme="minorHAnsi"/>
        </w:rPr>
      </w:pPr>
    </w:p>
    <w:p w14:paraId="66498A14" w14:textId="77777777" w:rsidR="001C76EB" w:rsidRPr="00355777" w:rsidRDefault="001C76EB" w:rsidP="00355777">
      <w:pPr>
        <w:spacing w:line="360" w:lineRule="auto"/>
        <w:jc w:val="both"/>
        <w:rPr>
          <w:rFonts w:asciiTheme="majorHAnsi" w:hAnsiTheme="majorHAnsi" w:cstheme="majorHAnsi"/>
          <w:sz w:val="24"/>
          <w:szCs w:val="24"/>
          <w:lang w:val="en-US"/>
        </w:rPr>
      </w:pPr>
    </w:p>
    <w:sectPr w:rsidR="001C76EB" w:rsidRPr="003557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738"/>
    <w:rsid w:val="00024837"/>
    <w:rsid w:val="00045738"/>
    <w:rsid w:val="00066E7C"/>
    <w:rsid w:val="00085382"/>
    <w:rsid w:val="0008681C"/>
    <w:rsid w:val="000A101B"/>
    <w:rsid w:val="000D4378"/>
    <w:rsid w:val="000E545D"/>
    <w:rsid w:val="000F2E0D"/>
    <w:rsid w:val="000F3935"/>
    <w:rsid w:val="00117D96"/>
    <w:rsid w:val="001319E3"/>
    <w:rsid w:val="001379AE"/>
    <w:rsid w:val="00147209"/>
    <w:rsid w:val="00172631"/>
    <w:rsid w:val="0019346C"/>
    <w:rsid w:val="001B0573"/>
    <w:rsid w:val="001B66FA"/>
    <w:rsid w:val="001B70A5"/>
    <w:rsid w:val="001C76EB"/>
    <w:rsid w:val="001D3952"/>
    <w:rsid w:val="002031AE"/>
    <w:rsid w:val="00222D38"/>
    <w:rsid w:val="00254D4F"/>
    <w:rsid w:val="00260C9C"/>
    <w:rsid w:val="00263C03"/>
    <w:rsid w:val="00275BAB"/>
    <w:rsid w:val="002965FA"/>
    <w:rsid w:val="00301C37"/>
    <w:rsid w:val="00307FBA"/>
    <w:rsid w:val="00311971"/>
    <w:rsid w:val="003147A9"/>
    <w:rsid w:val="00314F23"/>
    <w:rsid w:val="00324DF4"/>
    <w:rsid w:val="00355777"/>
    <w:rsid w:val="00381D36"/>
    <w:rsid w:val="003A39E5"/>
    <w:rsid w:val="003A6F67"/>
    <w:rsid w:val="003D1CD5"/>
    <w:rsid w:val="003F7DA6"/>
    <w:rsid w:val="00423195"/>
    <w:rsid w:val="00455515"/>
    <w:rsid w:val="00475542"/>
    <w:rsid w:val="00481692"/>
    <w:rsid w:val="0048733D"/>
    <w:rsid w:val="00491213"/>
    <w:rsid w:val="0049303E"/>
    <w:rsid w:val="004D0C40"/>
    <w:rsid w:val="00500AAE"/>
    <w:rsid w:val="0050480F"/>
    <w:rsid w:val="005277A7"/>
    <w:rsid w:val="0053170A"/>
    <w:rsid w:val="005352B8"/>
    <w:rsid w:val="0053716A"/>
    <w:rsid w:val="00545259"/>
    <w:rsid w:val="005716BE"/>
    <w:rsid w:val="005A4668"/>
    <w:rsid w:val="005D6C7D"/>
    <w:rsid w:val="005E3CC7"/>
    <w:rsid w:val="005E6809"/>
    <w:rsid w:val="00651705"/>
    <w:rsid w:val="00651FC2"/>
    <w:rsid w:val="00660ADD"/>
    <w:rsid w:val="00662EC8"/>
    <w:rsid w:val="00667B38"/>
    <w:rsid w:val="00672D2B"/>
    <w:rsid w:val="00690B64"/>
    <w:rsid w:val="00695E29"/>
    <w:rsid w:val="006A6194"/>
    <w:rsid w:val="006B2564"/>
    <w:rsid w:val="006D18A9"/>
    <w:rsid w:val="006F1029"/>
    <w:rsid w:val="006F531A"/>
    <w:rsid w:val="00712CAA"/>
    <w:rsid w:val="00715578"/>
    <w:rsid w:val="00720871"/>
    <w:rsid w:val="007548FD"/>
    <w:rsid w:val="0075756F"/>
    <w:rsid w:val="00757E31"/>
    <w:rsid w:val="00766A54"/>
    <w:rsid w:val="007709F0"/>
    <w:rsid w:val="00774399"/>
    <w:rsid w:val="00775953"/>
    <w:rsid w:val="007877ED"/>
    <w:rsid w:val="007964C7"/>
    <w:rsid w:val="007C1193"/>
    <w:rsid w:val="00810077"/>
    <w:rsid w:val="00814395"/>
    <w:rsid w:val="00826095"/>
    <w:rsid w:val="00841719"/>
    <w:rsid w:val="00857971"/>
    <w:rsid w:val="008934BC"/>
    <w:rsid w:val="008E545E"/>
    <w:rsid w:val="00912FB4"/>
    <w:rsid w:val="0093577F"/>
    <w:rsid w:val="00945C70"/>
    <w:rsid w:val="00955B6E"/>
    <w:rsid w:val="00975AAC"/>
    <w:rsid w:val="00992F77"/>
    <w:rsid w:val="00993E1B"/>
    <w:rsid w:val="009A6D55"/>
    <w:rsid w:val="009D601C"/>
    <w:rsid w:val="00A00DBD"/>
    <w:rsid w:val="00A2082E"/>
    <w:rsid w:val="00A2530C"/>
    <w:rsid w:val="00A4572F"/>
    <w:rsid w:val="00A60684"/>
    <w:rsid w:val="00A61209"/>
    <w:rsid w:val="00A620BE"/>
    <w:rsid w:val="00A74EFB"/>
    <w:rsid w:val="00A87034"/>
    <w:rsid w:val="00A9176E"/>
    <w:rsid w:val="00A9364D"/>
    <w:rsid w:val="00AB4D3C"/>
    <w:rsid w:val="00AC3357"/>
    <w:rsid w:val="00AE404B"/>
    <w:rsid w:val="00AF57E5"/>
    <w:rsid w:val="00B2789B"/>
    <w:rsid w:val="00B330A4"/>
    <w:rsid w:val="00B83DBC"/>
    <w:rsid w:val="00BA07D3"/>
    <w:rsid w:val="00BA2157"/>
    <w:rsid w:val="00BA515C"/>
    <w:rsid w:val="00BF0E22"/>
    <w:rsid w:val="00C15A52"/>
    <w:rsid w:val="00C2404A"/>
    <w:rsid w:val="00C27764"/>
    <w:rsid w:val="00C6229F"/>
    <w:rsid w:val="00CA4D94"/>
    <w:rsid w:val="00CB2CD1"/>
    <w:rsid w:val="00CC494C"/>
    <w:rsid w:val="00CD6F66"/>
    <w:rsid w:val="00CE3B01"/>
    <w:rsid w:val="00CE65B1"/>
    <w:rsid w:val="00CF5CCE"/>
    <w:rsid w:val="00D04E27"/>
    <w:rsid w:val="00D117F3"/>
    <w:rsid w:val="00D23108"/>
    <w:rsid w:val="00D33988"/>
    <w:rsid w:val="00D36B5A"/>
    <w:rsid w:val="00D51CC1"/>
    <w:rsid w:val="00D541ED"/>
    <w:rsid w:val="00D57B4F"/>
    <w:rsid w:val="00D67DE4"/>
    <w:rsid w:val="00D716EA"/>
    <w:rsid w:val="00D837F4"/>
    <w:rsid w:val="00D96C54"/>
    <w:rsid w:val="00DB6E69"/>
    <w:rsid w:val="00DE3C3F"/>
    <w:rsid w:val="00DE7C60"/>
    <w:rsid w:val="00E01CBF"/>
    <w:rsid w:val="00E31E9B"/>
    <w:rsid w:val="00E340DC"/>
    <w:rsid w:val="00E66318"/>
    <w:rsid w:val="00E70230"/>
    <w:rsid w:val="00E75890"/>
    <w:rsid w:val="00E909C6"/>
    <w:rsid w:val="00E94403"/>
    <w:rsid w:val="00EE37AD"/>
    <w:rsid w:val="00EF239D"/>
    <w:rsid w:val="00EF4ED8"/>
    <w:rsid w:val="00F06208"/>
    <w:rsid w:val="00F25A9B"/>
    <w:rsid w:val="00F3045F"/>
    <w:rsid w:val="00F4215D"/>
    <w:rsid w:val="00F92E24"/>
    <w:rsid w:val="00FA64D5"/>
    <w:rsid w:val="00FD4445"/>
    <w:rsid w:val="00FE1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A9D93C"/>
  <w15:chartTrackingRefBased/>
  <w15:docId w15:val="{66440DF2-FFD9-449F-B81D-97968EE33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589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B2CD1"/>
    <w:rPr>
      <w:i/>
      <w:iCs/>
    </w:rPr>
  </w:style>
  <w:style w:type="character" w:styleId="Hyperlink">
    <w:name w:val="Hyperlink"/>
    <w:basedOn w:val="DefaultParagraphFont"/>
    <w:uiPriority w:val="99"/>
    <w:unhideWhenUsed/>
    <w:rsid w:val="00D51C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749923">
      <w:bodyDiv w:val="1"/>
      <w:marLeft w:val="0"/>
      <w:marRight w:val="0"/>
      <w:marTop w:val="0"/>
      <w:marBottom w:val="0"/>
      <w:divBdr>
        <w:top w:val="none" w:sz="0" w:space="0" w:color="auto"/>
        <w:left w:val="none" w:sz="0" w:space="0" w:color="auto"/>
        <w:bottom w:val="none" w:sz="0" w:space="0" w:color="auto"/>
        <w:right w:val="none" w:sz="0" w:space="0" w:color="auto"/>
      </w:divBdr>
    </w:div>
    <w:div w:id="584266643">
      <w:bodyDiv w:val="1"/>
      <w:marLeft w:val="0"/>
      <w:marRight w:val="0"/>
      <w:marTop w:val="0"/>
      <w:marBottom w:val="0"/>
      <w:divBdr>
        <w:top w:val="none" w:sz="0" w:space="0" w:color="auto"/>
        <w:left w:val="none" w:sz="0" w:space="0" w:color="auto"/>
        <w:bottom w:val="none" w:sz="0" w:space="0" w:color="auto"/>
        <w:right w:val="none" w:sz="0" w:space="0" w:color="auto"/>
      </w:divBdr>
    </w:div>
    <w:div w:id="711226473">
      <w:bodyDiv w:val="1"/>
      <w:marLeft w:val="0"/>
      <w:marRight w:val="0"/>
      <w:marTop w:val="0"/>
      <w:marBottom w:val="0"/>
      <w:divBdr>
        <w:top w:val="none" w:sz="0" w:space="0" w:color="auto"/>
        <w:left w:val="none" w:sz="0" w:space="0" w:color="auto"/>
        <w:bottom w:val="none" w:sz="0" w:space="0" w:color="auto"/>
        <w:right w:val="none" w:sz="0" w:space="0" w:color="auto"/>
      </w:divBdr>
    </w:div>
    <w:div w:id="1537111362">
      <w:bodyDiv w:val="1"/>
      <w:marLeft w:val="0"/>
      <w:marRight w:val="0"/>
      <w:marTop w:val="0"/>
      <w:marBottom w:val="0"/>
      <w:divBdr>
        <w:top w:val="none" w:sz="0" w:space="0" w:color="auto"/>
        <w:left w:val="none" w:sz="0" w:space="0" w:color="auto"/>
        <w:bottom w:val="none" w:sz="0" w:space="0" w:color="auto"/>
        <w:right w:val="none" w:sz="0" w:space="0" w:color="auto"/>
      </w:divBdr>
    </w:div>
    <w:div w:id="1612737922">
      <w:bodyDiv w:val="1"/>
      <w:marLeft w:val="0"/>
      <w:marRight w:val="0"/>
      <w:marTop w:val="0"/>
      <w:marBottom w:val="0"/>
      <w:divBdr>
        <w:top w:val="none" w:sz="0" w:space="0" w:color="auto"/>
        <w:left w:val="none" w:sz="0" w:space="0" w:color="auto"/>
        <w:bottom w:val="none" w:sz="0" w:space="0" w:color="auto"/>
        <w:right w:val="none" w:sz="0" w:space="0" w:color="auto"/>
      </w:divBdr>
    </w:div>
    <w:div w:id="1675524273">
      <w:bodyDiv w:val="1"/>
      <w:marLeft w:val="0"/>
      <w:marRight w:val="0"/>
      <w:marTop w:val="0"/>
      <w:marBottom w:val="0"/>
      <w:divBdr>
        <w:top w:val="none" w:sz="0" w:space="0" w:color="auto"/>
        <w:left w:val="none" w:sz="0" w:space="0" w:color="auto"/>
        <w:bottom w:val="none" w:sz="0" w:space="0" w:color="auto"/>
        <w:right w:val="none" w:sz="0" w:space="0" w:color="auto"/>
      </w:divBdr>
    </w:div>
    <w:div w:id="1784303630">
      <w:bodyDiv w:val="1"/>
      <w:marLeft w:val="0"/>
      <w:marRight w:val="0"/>
      <w:marTop w:val="0"/>
      <w:marBottom w:val="0"/>
      <w:divBdr>
        <w:top w:val="none" w:sz="0" w:space="0" w:color="auto"/>
        <w:left w:val="none" w:sz="0" w:space="0" w:color="auto"/>
        <w:bottom w:val="none" w:sz="0" w:space="0" w:color="auto"/>
        <w:right w:val="none" w:sz="0" w:space="0" w:color="auto"/>
      </w:divBdr>
    </w:div>
    <w:div w:id="1907495474">
      <w:bodyDiv w:val="1"/>
      <w:marLeft w:val="0"/>
      <w:marRight w:val="0"/>
      <w:marTop w:val="0"/>
      <w:marBottom w:val="0"/>
      <w:divBdr>
        <w:top w:val="none" w:sz="0" w:space="0" w:color="auto"/>
        <w:left w:val="none" w:sz="0" w:space="0" w:color="auto"/>
        <w:bottom w:val="none" w:sz="0" w:space="0" w:color="auto"/>
        <w:right w:val="none" w:sz="0" w:space="0" w:color="auto"/>
      </w:divBdr>
    </w:div>
    <w:div w:id="19514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j2745" TargetMode="External"/><Relationship Id="rId13" Type="http://schemas.openxmlformats.org/officeDocument/2006/relationships/hyperlink" Target="https://doi.org/10.1136/bmj.o2997"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56687/9781447350637" TargetMode="External"/><Relationship Id="rId12" Type="http://schemas.openxmlformats.org/officeDocument/2006/relationships/hyperlink" Target="https://doi.org/10.1371/journal.pone.0242126" TargetMode="External"/><Relationship Id="rId17" Type="http://schemas.openxmlformats.org/officeDocument/2006/relationships/hyperlink" Target="https://doi.org/10.1111/jgs.17000" TargetMode="External"/><Relationship Id="rId2" Type="http://schemas.openxmlformats.org/officeDocument/2006/relationships/settings" Target="settings.xml"/><Relationship Id="rId16" Type="http://schemas.openxmlformats.org/officeDocument/2006/relationships/hyperlink" Target="https://doi.org/10.1080/13607863.2020.1822286" TargetMode="External"/><Relationship Id="rId1" Type="http://schemas.openxmlformats.org/officeDocument/2006/relationships/styles" Target="styles.xml"/><Relationship Id="rId6" Type="http://schemas.openxmlformats.org/officeDocument/2006/relationships/hyperlink" Target="https://doi.org/10.1097/JMQ.0000000000000083" TargetMode="External"/><Relationship Id="rId11" Type="http://schemas.openxmlformats.org/officeDocument/2006/relationships/hyperlink" Target="https://doi.org/10.1016/j.jpainsymman.2023.09.026" TargetMode="External"/><Relationship Id="rId5" Type="http://schemas.openxmlformats.org/officeDocument/2006/relationships/hyperlink" Target="https://doi.org/10.25300/MISQ/2021/14809" TargetMode="External"/><Relationship Id="rId15" Type="http://schemas.openxmlformats.org/officeDocument/2006/relationships/hyperlink" Target="https://doi.org/10.5858/arpa.2020-0557-RA" TargetMode="External"/><Relationship Id="rId10" Type="http://schemas.openxmlformats.org/officeDocument/2006/relationships/hyperlink" Target="https://doi.org/10.1177/1081180X08089320" TargetMode="External"/><Relationship Id="rId19" Type="http://schemas.openxmlformats.org/officeDocument/2006/relationships/theme" Target="theme/theme1.xml"/><Relationship Id="rId4" Type="http://schemas.openxmlformats.org/officeDocument/2006/relationships/hyperlink" Target="https://doi.org/10.1136/bmj.d6663" TargetMode="External"/><Relationship Id="rId9" Type="http://schemas.openxmlformats.org/officeDocument/2006/relationships/hyperlink" Target="https://doi.org/10.4018/978-1-7998-3928-6" TargetMode="External"/><Relationship Id="rId14" Type="http://schemas.openxmlformats.org/officeDocument/2006/relationships/hyperlink" Target="https://doi.org/10.1371/journal.pone.01925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5438</Words>
  <Characters>33501</Characters>
  <Application>Microsoft Office Word</Application>
  <DocSecurity>0</DocSecurity>
  <Lines>492</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farrell</dc:creator>
  <cp:keywords/>
  <dc:description/>
  <cp:lastModifiedBy>Rachel farrell</cp:lastModifiedBy>
  <cp:revision>2</cp:revision>
  <dcterms:created xsi:type="dcterms:W3CDTF">2024-05-10T11:22:00Z</dcterms:created>
  <dcterms:modified xsi:type="dcterms:W3CDTF">2024-05-10T11:22:00Z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86b0a7b2-8b93-4251-9524-6e3f224db602</vt:lpwstr>
  </property>
</Properties>
</file>