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35B573" w14:textId="77777777" w:rsidR="00466A06" w:rsidRDefault="00466A06"/>
    <w:p w14:paraId="4E225B5A" w14:textId="4F37D369" w:rsidR="007322D0" w:rsidRDefault="007322D0">
      <w:r>
        <w:t>Erikson, E. H. (1950). Childhood and society. W.W. Norton &amp; Company.</w:t>
      </w:r>
    </w:p>
    <w:p w14:paraId="08686B92" w14:textId="2B47E224" w:rsidR="007322D0" w:rsidRDefault="007322D0">
      <w:r>
        <w:t xml:space="preserve">Erik Erikson’s seminal work, childhood and society, introduces his psychological development theory, which posits that lifespan development occurs through eight distinct stages, each characterized by a central conflict that influences personality and psychological health. For older adults, the stage of </w:t>
      </w:r>
      <w:proofErr w:type="gramStart"/>
      <w:r>
        <w:t>particular relevance</w:t>
      </w:r>
      <w:proofErr w:type="gramEnd"/>
      <w:r>
        <w:t xml:space="preserve"> is “ego integrity versus despair,” occurring in late adulthood. Erikson suggests that individuals who reflect positively on their lives and accept their past experiences develop a sense of ego integrity, leading to wisdom satisfaction. Conversely, those who harbour regrets or unresolved conflicts may experience despair, feelings of bitterness and depression.</w:t>
      </w:r>
    </w:p>
    <w:p w14:paraId="4FC252E4" w14:textId="37B62323" w:rsidR="007322D0" w:rsidRDefault="007322D0">
      <w:r>
        <w:t>The book emphasises that successful resolution of earlier psychosocial conflicts influences the capacity to face the challenges of aging with resilience. Eriksons emphasis on identity, life review and acceptance provides a valuable framework for understanding psychological needs of older adults, especially in health and social care contexts. It underscores the importance of facilitating opportunities for older individuals to reflect on their lives in a meaningful way, which can promote positive mental health outcomes.</w:t>
      </w:r>
    </w:p>
    <w:p w14:paraId="2F14213C" w14:textId="4F498A55" w:rsidR="007322D0" w:rsidRDefault="007322D0">
      <w:r>
        <w:t xml:space="preserve">Critically, Erikson’s theory highlights the importance of a supportive environment that fosters dignity, autonomy and affirmation of life experiences. In practice, care professionals can utilise this framework to support older adults in achieving ego integrity by encouraging reminiscence, storytelling and validation of their life narratives. The theory also aligns with person centred care approaches. Emphasising respect for the individual’s life history and experiences. However, a limitation is that it may overlook the diversity of aging experiences influenced by cultural, social, economic factors, which can affect how older adults perceive their aging process. </w:t>
      </w:r>
    </w:p>
    <w:p w14:paraId="48742E80" w14:textId="0C66AB85" w:rsidR="007322D0" w:rsidRDefault="007322D0">
      <w:r>
        <w:t xml:space="preserve">Havighurst, R. J. (1961). Developmental tasks and education. The university of Chicago press. </w:t>
      </w:r>
    </w:p>
    <w:p w14:paraId="2C14AFF4" w14:textId="5D8409BD" w:rsidR="007322D0" w:rsidRDefault="007322D0">
      <w:r>
        <w:t xml:space="preserve">Havighurst’s developmental task theory tells posits that successful aging involves in fulfilling specific tasks that are culturally and socially defined, such as maintaining social contacts, adapting to physical changes and finding new roles and purposes. He argues that engagement in meaningful activities and social participation </w:t>
      </w:r>
      <w:proofErr w:type="gramStart"/>
      <w:r>
        <w:t>are</w:t>
      </w:r>
      <w:proofErr w:type="gramEnd"/>
      <w:r>
        <w:t xml:space="preserve"> critical for psychological wellbeing in later life. Havighurst emphasises that older adults who actively pursue these developmental tasks tend to experience better mental health and life satisfaction, supporting the idea that active aging is beneficial. </w:t>
      </w:r>
    </w:p>
    <w:p w14:paraId="0226FA3C" w14:textId="127C413A" w:rsidR="007322D0" w:rsidRDefault="007322D0">
      <w:r>
        <w:t xml:space="preserve">This theory is highly relevant to health and social care professionals because it provides a practical framework for designing interventions that encourage social engagement and lifelong learning for example, facilitating group activities, hobbies or educational programs can help older adults maintain a sense of purpose and community. Havighurst’s focus on activity aligns with contemporary initiatives aimed at reducing social isolation and promoting resilience among older populations. </w:t>
      </w:r>
    </w:p>
    <w:p w14:paraId="2AA0EB18" w14:textId="46ED9DC9" w:rsidR="007322D0" w:rsidRDefault="007322D0">
      <w:r>
        <w:t xml:space="preserve">A critical perspective, however, is that the theory may oversimplify the complex factors influencing aging. It assumes that activity and engagement are universally beneficial, but some older adults may face barriers such as health limitations, cognitive decline, or </w:t>
      </w:r>
      <w:proofErr w:type="gramStart"/>
      <w:r>
        <w:t>socio economic</w:t>
      </w:r>
      <w:proofErr w:type="gramEnd"/>
      <w:r>
        <w:t xml:space="preserve"> disadvantages that restrict participants. Therefore, care strategies must be tailored to individual capabilities and preferences. Nonetheless, Havighurst’s theory remains a foundational model supporting holistic approaches to aging and wellbeing in care settings. </w:t>
      </w:r>
    </w:p>
    <w:p w14:paraId="2E602EB5" w14:textId="1C4D5F4B" w:rsidR="007322D0" w:rsidRDefault="007322D0">
      <w:r>
        <w:t xml:space="preserve">Bowlby, </w:t>
      </w:r>
      <w:proofErr w:type="gramStart"/>
      <w:r>
        <w:t>J.(</w:t>
      </w:r>
      <w:proofErr w:type="gramEnd"/>
      <w:r>
        <w:t xml:space="preserve">1969). Attachment and loss: vol. 1. Attachment. Basic books </w:t>
      </w:r>
    </w:p>
    <w:p w14:paraId="3C964CC3" w14:textId="27C306E8" w:rsidR="007322D0" w:rsidRDefault="007322D0">
      <w:r>
        <w:t xml:space="preserve">John Bowlby’s attachment theory, initially developed to explain early childhood bonds, has profound implications for understanding emotional needs across the lifespan. Bowlby posits that secure attachments forms through consistent, warm relationships provide a basis for psychological resilience and wellbeing. In older adults, attachment needs often manifest through the desire for close relationships with family, friends or carers and disruptions such as loss of loved ones or social isolation can lead to feelings of anxiety, depression or loneliness. </w:t>
      </w:r>
    </w:p>
    <w:p w14:paraId="32C0B670" w14:textId="36157A0E" w:rsidR="007322D0" w:rsidRDefault="007322D0">
      <w:r>
        <w:t>The theory underscores that emotional security and relational continuity are vital for mental health. Care professionals can apply attachment principles by fostering trust, providing consistent care, and encouraging social connections. Recognising attachment needs can help staff support residents through traditions, loss, or cognitive decline, which often threaten their sense of security and identity.</w:t>
      </w:r>
    </w:p>
    <w:p w14:paraId="189E5A7D" w14:textId="307E0E3D" w:rsidR="007322D0" w:rsidRDefault="007322D0">
      <w:r>
        <w:t xml:space="preserve">Critically, while Bowlby’s attachment theory offers valuable insights into emotional needs, its application in adult </w:t>
      </w:r>
      <w:proofErr w:type="gramStart"/>
      <w:r>
        <w:t>are can be</w:t>
      </w:r>
      <w:proofErr w:type="gramEnd"/>
      <w:r>
        <w:t xml:space="preserve"> challenging. For instance. Some residents may have difficulty forming or maintaining attachments due to past trauma, cognitive impairments or personal preferences. Therefore, sensitivity and individualised approaches are necessary. Nonetheless, integrating attachment principles into care practices can promote emotional security and enhance overall wellbeing </w:t>
      </w:r>
    </w:p>
    <w:p w14:paraId="6BFA1C07" w14:textId="5EE649D4" w:rsidR="007322D0" w:rsidRDefault="007322D0">
      <w:r>
        <w:t xml:space="preserve">Seligman, M. E. </w:t>
      </w:r>
      <w:proofErr w:type="gramStart"/>
      <w:r>
        <w:t>P.(</w:t>
      </w:r>
      <w:proofErr w:type="gramEnd"/>
      <w:r>
        <w:t xml:space="preserve">2002). Authentic happiness. Free press. </w:t>
      </w:r>
    </w:p>
    <w:p w14:paraId="2D1CC67B" w14:textId="65F10FE4" w:rsidR="007322D0" w:rsidRDefault="007322D0">
      <w:r>
        <w:t xml:space="preserve">Martin Seligman’s positive psychology framework shifts focus from pathology to strengths, emphasising the cultivation of positive emotions, engagement, and meaning as pathways to happiness and resilience. In his book, Seligman argues that fostering gratitude, optimism and personal strengths can significantly improve mental health outcomes, including in older populations. He advocates for interventions that help individuals identify and utilise their strengths, develop gratitude practices, and foster social connections. </w:t>
      </w:r>
    </w:p>
    <w:p w14:paraId="14885C50" w14:textId="6443F49E" w:rsidR="007322D0" w:rsidRDefault="007322D0">
      <w:r>
        <w:t xml:space="preserve">This approach is particularly useful in health and social care settings, as it encourages shifts toward strengths-based care rather than merely addressing deficits or illnesses. For example, promoting activities that enhance a resident’s sense of purpose, such as volunteering or sharing stories of achievement can improve mood and life satisfaction. Empirical research supports the effectiveness of positive psychology interventions </w:t>
      </w:r>
      <w:proofErr w:type="gramStart"/>
      <w:r>
        <w:t>in  reducing</w:t>
      </w:r>
      <w:proofErr w:type="gramEnd"/>
      <w:r>
        <w:t xml:space="preserve"> depression and enhancing wellbeing among older adults. </w:t>
      </w:r>
    </w:p>
    <w:p w14:paraId="6F9297DB" w14:textId="6A196485" w:rsidR="007322D0" w:rsidRDefault="007322D0">
      <w:r>
        <w:t xml:space="preserve">However, critics argue that positive psychology may sometimes overlook the structural and contextual factors influencing aging, such as social inequality or health disparities. Despite this, its emphasis on resilience and strengths offers a valuable complement on traditional medical models, fostering a holistic and empowering approach to care. </w:t>
      </w:r>
    </w:p>
    <w:p w14:paraId="2443F900" w14:textId="77777777" w:rsidR="007322D0" w:rsidRDefault="007322D0"/>
    <w:p w14:paraId="2B5944DC" w14:textId="32370AE3" w:rsidR="007322D0" w:rsidRDefault="007322D0">
      <w:r>
        <w:t xml:space="preserve">Providing high quality care in residential settings involves not only addressing physical health but also supporting psychological wellbeing. A key developmental theory applicable to this goal is Erikson stage of ego integrity versus despair, which occurs during late adulthood. This stage emphasises the importance of life review, acceptance, and finding meaning in </w:t>
      </w:r>
      <w:proofErr w:type="gramStart"/>
      <w:r>
        <w:t>ones</w:t>
      </w:r>
      <w:proofErr w:type="gramEnd"/>
      <w:r>
        <w:t xml:space="preserve"> experiences. When applied thoughtfully, it can help residents develop a positive outlook and sense of fulfilment despite the aging process and potential losses. </w:t>
      </w:r>
    </w:p>
    <w:p w14:paraId="4E42D1E6" w14:textId="18042D21" w:rsidR="007322D0" w:rsidRDefault="007322D0">
      <w:r>
        <w:t xml:space="preserve">Eriksons theory suggests that older adults who successfully reflect their lives and accept their past experiences develop </w:t>
      </w:r>
      <w:proofErr w:type="spellStart"/>
      <w:proofErr w:type="gramStart"/>
      <w:r>
        <w:t>a</w:t>
      </w:r>
      <w:proofErr w:type="spellEnd"/>
      <w:proofErr w:type="gramEnd"/>
      <w:r>
        <w:t xml:space="preserve"> ego integrity an overarching sense of coherence, peace and contentment. Those who struggle with unresolved regrets or negative </w:t>
      </w:r>
      <w:proofErr w:type="spellStart"/>
      <w:r>
        <w:t>self assessments</w:t>
      </w:r>
      <w:proofErr w:type="spellEnd"/>
      <w:r>
        <w:t xml:space="preserve"> may experience despair, characterised by feelings of bitterness, hopelessness and depression. The theory highlights that psychological wellbeing in later life depends on the </w:t>
      </w:r>
      <w:proofErr w:type="gramStart"/>
      <w:r>
        <w:t>individuals</w:t>
      </w:r>
      <w:proofErr w:type="gramEnd"/>
      <w:r>
        <w:t xml:space="preserve"> capacity for reflection, acceptance, and the reconciliation of life experiences </w:t>
      </w:r>
    </w:p>
    <w:p w14:paraId="19810278" w14:textId="27107E63" w:rsidR="007322D0" w:rsidRDefault="007322D0">
      <w:r>
        <w:t xml:space="preserve">In practice, this can be translated into activities that encourage reminiscence and storytelling. For example, staff can facilitate life review sessions where residents are supported to recount their life stories, achievements and meaningful moments creating memory boxes, photo albums, or video recordings can serve as tools to stimulate reminiscence and provide residents with opportunities for </w:t>
      </w:r>
      <w:proofErr w:type="spellStart"/>
      <w:r>
        <w:t>self reflection</w:t>
      </w:r>
      <w:proofErr w:type="spellEnd"/>
      <w:r>
        <w:t xml:space="preserve">. These activities foster a sense of identity, validate life experiences, and promote a feeling of coherence, which is central to developing ego integrity. </w:t>
      </w:r>
    </w:p>
    <w:p w14:paraId="4DF250A6" w14:textId="2B34E676" w:rsidR="007322D0" w:rsidRDefault="007322D0">
      <w:r>
        <w:t xml:space="preserve">Additionally, staff training is essential to ensure that caregivers adopt person centred approach, listening empathetically and validating </w:t>
      </w:r>
      <w:proofErr w:type="gramStart"/>
      <w:r>
        <w:t>residents</w:t>
      </w:r>
      <w:proofErr w:type="gramEnd"/>
      <w:r>
        <w:t xml:space="preserve"> histories. Care plans can incorporate goals related to life review, facilitating a sense of purpose and dignity. This approach aligns with principles of holistic car, emphasising emotional and psychological wellbeing alongside physical health. </w:t>
      </w:r>
    </w:p>
    <w:p w14:paraId="7D7229B7" w14:textId="0FF65ADC" w:rsidR="007322D0" w:rsidRDefault="007322D0">
      <w:r>
        <w:t xml:space="preserve">Mrs. Johnson, an </w:t>
      </w:r>
      <w:proofErr w:type="gramStart"/>
      <w:r>
        <w:t>85 year old</w:t>
      </w:r>
      <w:proofErr w:type="gramEnd"/>
      <w:r>
        <w:t xml:space="preserve"> resident, recently lost her </w:t>
      </w:r>
      <w:proofErr w:type="spellStart"/>
      <w:proofErr w:type="gramStart"/>
      <w:r>
        <w:t>life long</w:t>
      </w:r>
      <w:proofErr w:type="spellEnd"/>
      <w:proofErr w:type="gramEnd"/>
      <w:r>
        <w:t xml:space="preserve"> companion. She became withdrawn, expressing feelings of regret and despair about her loneliness. Recognising the importance of Erikson’s theory, a care worker introduced her </w:t>
      </w:r>
      <w:proofErr w:type="spellStart"/>
      <w:r>
        <w:t>t</w:t>
      </w:r>
      <w:proofErr w:type="spellEnd"/>
      <w:r>
        <w:t xml:space="preserve"> reminiscence therapy. They discussed her childhood, her career, her family and her hobbies. Mrs. Johnson gradually </w:t>
      </w:r>
      <w:proofErr w:type="gramStart"/>
      <w:r>
        <w:t>opened up</w:t>
      </w:r>
      <w:proofErr w:type="gramEnd"/>
      <w:r>
        <w:t xml:space="preserve">. Sharing her joyful memories and </w:t>
      </w:r>
      <w:proofErr w:type="gramStart"/>
      <w:r>
        <w:t>achievements ,</w:t>
      </w:r>
      <w:proofErr w:type="gramEnd"/>
      <w:r>
        <w:t xml:space="preserve"> which helped her reconnect with her sense of self. Overtime her mood improved and she began engaging more actively in group activities, demonstrating increased psychological resilience. </w:t>
      </w:r>
    </w:p>
    <w:p w14:paraId="25B5A38E" w14:textId="7F165486" w:rsidR="007322D0" w:rsidRDefault="007322D0">
      <w:r>
        <w:t xml:space="preserve">One significant challenge is </w:t>
      </w:r>
      <w:proofErr w:type="gramStart"/>
      <w:r>
        <w:t>residents</w:t>
      </w:r>
      <w:proofErr w:type="gramEnd"/>
      <w:r>
        <w:t xml:space="preserve"> reluctance to engage in reminiscence due to cognitive impairments, emotional distress or cultural differences. Some individuals may find it painful to revisit certain memories or </w:t>
      </w:r>
      <w:proofErr w:type="spellStart"/>
      <w:proofErr w:type="gramStart"/>
      <w:r>
        <w:t>the</w:t>
      </w:r>
      <w:proofErr w:type="spellEnd"/>
      <w:proofErr w:type="gramEnd"/>
      <w:r>
        <w:t xml:space="preserve"> may have difficulty in recalling details. To address this staff can use gentle </w:t>
      </w:r>
      <w:proofErr w:type="gramStart"/>
      <w:r>
        <w:t>person centred</w:t>
      </w:r>
      <w:proofErr w:type="gramEnd"/>
      <w:r>
        <w:t xml:space="preserve"> techniques such as sensory stimulation such as music, smells or tactical objects that bring up memories naturally. Building trust and establishing a supportive environment are essential. </w:t>
      </w:r>
    </w:p>
    <w:p w14:paraId="2138B7F4" w14:textId="2F848FDE" w:rsidR="007322D0" w:rsidRDefault="007322D0">
      <w:r>
        <w:t xml:space="preserve">Applying Eriksson stage of ego integrity versus despair provides valuable framework for promotion psychological wellbeing among older residents. By facilitating meaningful reflection and validating life stories professionals can help residents find peace and purpose despite aging related challenges. While marriers such as cognitive declining and resource limitations exist, compassionate approaches can make a big difference in enhancing the dignity and mental health in older adults in residential care. </w:t>
      </w:r>
    </w:p>
    <w:p w14:paraId="6E959D15" w14:textId="77777777" w:rsidR="007322D0" w:rsidRDefault="007322D0"/>
    <w:p w14:paraId="41ACEA55" w14:textId="77777777" w:rsidR="007322D0" w:rsidRDefault="007322D0"/>
    <w:p w14:paraId="0E7A2550" w14:textId="10178299" w:rsidR="007322D0" w:rsidRDefault="007322D0">
      <w:r>
        <w:t xml:space="preserve">References: </w:t>
      </w:r>
    </w:p>
    <w:p w14:paraId="3B83C990" w14:textId="772294F1" w:rsidR="007322D0" w:rsidRDefault="007322D0">
      <w:r>
        <w:t xml:space="preserve">Bowlby, </w:t>
      </w:r>
      <w:proofErr w:type="gramStart"/>
      <w:r>
        <w:t>j.(</w:t>
      </w:r>
      <w:proofErr w:type="gramEnd"/>
      <w:r>
        <w:t>1951). Maternal care mental health. Journal of child psychology and psychiatry, 2(2), 121-144</w:t>
      </w:r>
    </w:p>
    <w:p w14:paraId="450F8B65" w14:textId="7F795FEF" w:rsidR="007322D0" w:rsidRDefault="007322D0">
      <w:r>
        <w:t xml:space="preserve">Erikson, e. </w:t>
      </w:r>
      <w:proofErr w:type="gramStart"/>
      <w:r>
        <w:t>h.(</w:t>
      </w:r>
      <w:proofErr w:type="gramEnd"/>
      <w:r>
        <w:t>1950). Childhood and society. The journal of social psychology, 32(1), 3-15.</w:t>
      </w:r>
    </w:p>
    <w:p w14:paraId="6A3D8CF0" w14:textId="30EFCAE2" w:rsidR="007322D0" w:rsidRDefault="007322D0">
      <w:r>
        <w:t xml:space="preserve">Bandura, a. (1977). Social learning theory. Journal of personality and social psychology, 35(4), 455-465. </w:t>
      </w:r>
    </w:p>
    <w:p w14:paraId="14EBE207" w14:textId="29C05A15" w:rsidR="007322D0" w:rsidRDefault="007322D0">
      <w:r>
        <w:t xml:space="preserve">Piaget, </w:t>
      </w:r>
      <w:proofErr w:type="gramStart"/>
      <w:r>
        <w:t>j.(</w:t>
      </w:r>
      <w:proofErr w:type="gramEnd"/>
      <w:r>
        <w:t>1962). Theories of cognitive development: a conceptual analysis. Child development, 33(2), 399-414</w:t>
      </w:r>
    </w:p>
    <w:p w14:paraId="3F9A61C4" w14:textId="09899296" w:rsidR="007322D0" w:rsidRDefault="007322D0">
      <w:r>
        <w:t xml:space="preserve">Seligman, m. e. </w:t>
      </w:r>
      <w:proofErr w:type="gramStart"/>
      <w:r>
        <w:t>p.(</w:t>
      </w:r>
      <w:proofErr w:type="gramEnd"/>
      <w:r>
        <w:t>2002). Authentic happiness: using the new positive psychology to realise your potential for lasting fulfilment. Journal of positive psychology, 2(3), 153-155.</w:t>
      </w:r>
    </w:p>
    <w:p w14:paraId="2C3E2DB7" w14:textId="4BF3B1D5" w:rsidR="007322D0" w:rsidRDefault="007322D0">
      <w:r>
        <w:t xml:space="preserve">Baumeister, r. f., &amp; </w:t>
      </w:r>
      <w:proofErr w:type="spellStart"/>
      <w:r>
        <w:t>vohs</w:t>
      </w:r>
      <w:proofErr w:type="spellEnd"/>
      <w:r>
        <w:t xml:space="preserve">, k. </w:t>
      </w:r>
      <w:proofErr w:type="gramStart"/>
      <w:r>
        <w:t>d.(</w:t>
      </w:r>
      <w:proofErr w:type="gramEnd"/>
      <w:r>
        <w:t xml:space="preserve">2007). </w:t>
      </w:r>
      <w:proofErr w:type="spellStart"/>
      <w:r>
        <w:t>Self regulation</w:t>
      </w:r>
      <w:proofErr w:type="spellEnd"/>
      <w:r>
        <w:t xml:space="preserve">, ego depletion, and motivation. Social and personality psychology compass, 1(1), 15-29. </w:t>
      </w:r>
    </w:p>
    <w:p w14:paraId="2BE47365" w14:textId="77777777" w:rsidR="007322D0" w:rsidRDefault="007322D0"/>
    <w:sectPr w:rsidR="007322D0">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03FE7D" w14:textId="77777777" w:rsidR="00CA6085" w:rsidRDefault="00CA6085" w:rsidP="007322D0">
      <w:pPr>
        <w:spacing w:after="0" w:line="240" w:lineRule="auto"/>
      </w:pPr>
      <w:r>
        <w:separator/>
      </w:r>
    </w:p>
  </w:endnote>
  <w:endnote w:type="continuationSeparator" w:id="0">
    <w:p w14:paraId="064ACF77" w14:textId="77777777" w:rsidR="00CA6085" w:rsidRDefault="00CA6085" w:rsidP="007322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1F14A4" w14:textId="77777777" w:rsidR="00CA6085" w:rsidRDefault="00CA6085" w:rsidP="007322D0">
      <w:pPr>
        <w:spacing w:after="0" w:line="240" w:lineRule="auto"/>
      </w:pPr>
      <w:r>
        <w:separator/>
      </w:r>
    </w:p>
  </w:footnote>
  <w:footnote w:type="continuationSeparator" w:id="0">
    <w:p w14:paraId="2A9B83BD" w14:textId="77777777" w:rsidR="00CA6085" w:rsidRDefault="00CA6085" w:rsidP="007322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ED1F9C" w14:textId="1C8301FB" w:rsidR="007322D0" w:rsidRDefault="007322D0">
    <w:pPr>
      <w:pStyle w:val="Header"/>
    </w:pPr>
    <w:r>
      <w:t xml:space="preserve">Khadeeja </w:t>
    </w:r>
    <w:proofErr w:type="spellStart"/>
    <w:r>
      <w:t>bibi</w:t>
    </w:r>
    <w:proofErr w:type="spellEnd"/>
    <w:r>
      <w:t xml:space="preserve"> LCHS4010 component 2 bibliography and report. Development and wellbeing in health and social care.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22D0"/>
    <w:rsid w:val="00466A06"/>
    <w:rsid w:val="004A4858"/>
    <w:rsid w:val="004E7B11"/>
    <w:rsid w:val="00693F7F"/>
    <w:rsid w:val="007322D0"/>
    <w:rsid w:val="00CA60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14BEBB"/>
  <w15:chartTrackingRefBased/>
  <w15:docId w15:val="{25DEA7A3-69DF-6649-88EA-6038A3E239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22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322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22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22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22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22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22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22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22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22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22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22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22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22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22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22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22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22D0"/>
    <w:rPr>
      <w:rFonts w:eastAsiaTheme="majorEastAsia" w:cstheme="majorBidi"/>
      <w:color w:val="272727" w:themeColor="text1" w:themeTint="D8"/>
    </w:rPr>
  </w:style>
  <w:style w:type="paragraph" w:styleId="Title">
    <w:name w:val="Title"/>
    <w:basedOn w:val="Normal"/>
    <w:next w:val="Normal"/>
    <w:link w:val="TitleChar"/>
    <w:uiPriority w:val="10"/>
    <w:qFormat/>
    <w:rsid w:val="007322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22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22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22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22D0"/>
    <w:pPr>
      <w:spacing w:before="160"/>
      <w:jc w:val="center"/>
    </w:pPr>
    <w:rPr>
      <w:i/>
      <w:iCs/>
      <w:color w:val="404040" w:themeColor="text1" w:themeTint="BF"/>
    </w:rPr>
  </w:style>
  <w:style w:type="character" w:customStyle="1" w:styleId="QuoteChar">
    <w:name w:val="Quote Char"/>
    <w:basedOn w:val="DefaultParagraphFont"/>
    <w:link w:val="Quote"/>
    <w:uiPriority w:val="29"/>
    <w:rsid w:val="007322D0"/>
    <w:rPr>
      <w:i/>
      <w:iCs/>
      <w:color w:val="404040" w:themeColor="text1" w:themeTint="BF"/>
    </w:rPr>
  </w:style>
  <w:style w:type="paragraph" w:styleId="ListParagraph">
    <w:name w:val="List Paragraph"/>
    <w:basedOn w:val="Normal"/>
    <w:uiPriority w:val="34"/>
    <w:qFormat/>
    <w:rsid w:val="007322D0"/>
    <w:pPr>
      <w:ind w:left="720"/>
      <w:contextualSpacing/>
    </w:pPr>
  </w:style>
  <w:style w:type="character" w:styleId="IntenseEmphasis">
    <w:name w:val="Intense Emphasis"/>
    <w:basedOn w:val="DefaultParagraphFont"/>
    <w:uiPriority w:val="21"/>
    <w:qFormat/>
    <w:rsid w:val="007322D0"/>
    <w:rPr>
      <w:i/>
      <w:iCs/>
      <w:color w:val="0F4761" w:themeColor="accent1" w:themeShade="BF"/>
    </w:rPr>
  </w:style>
  <w:style w:type="paragraph" w:styleId="IntenseQuote">
    <w:name w:val="Intense Quote"/>
    <w:basedOn w:val="Normal"/>
    <w:next w:val="Normal"/>
    <w:link w:val="IntenseQuoteChar"/>
    <w:uiPriority w:val="30"/>
    <w:qFormat/>
    <w:rsid w:val="007322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22D0"/>
    <w:rPr>
      <w:i/>
      <w:iCs/>
      <w:color w:val="0F4761" w:themeColor="accent1" w:themeShade="BF"/>
    </w:rPr>
  </w:style>
  <w:style w:type="character" w:styleId="IntenseReference">
    <w:name w:val="Intense Reference"/>
    <w:basedOn w:val="DefaultParagraphFont"/>
    <w:uiPriority w:val="32"/>
    <w:qFormat/>
    <w:rsid w:val="007322D0"/>
    <w:rPr>
      <w:b/>
      <w:bCs/>
      <w:smallCaps/>
      <w:color w:val="0F4761" w:themeColor="accent1" w:themeShade="BF"/>
      <w:spacing w:val="5"/>
    </w:rPr>
  </w:style>
  <w:style w:type="paragraph" w:styleId="Header">
    <w:name w:val="header"/>
    <w:basedOn w:val="Normal"/>
    <w:link w:val="HeaderChar"/>
    <w:uiPriority w:val="99"/>
    <w:unhideWhenUsed/>
    <w:rsid w:val="007322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22D0"/>
  </w:style>
  <w:style w:type="paragraph" w:styleId="Footer">
    <w:name w:val="footer"/>
    <w:basedOn w:val="Normal"/>
    <w:link w:val="FooterChar"/>
    <w:uiPriority w:val="99"/>
    <w:unhideWhenUsed/>
    <w:rsid w:val="007322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22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76</TotalTime>
  <Pages>1</Pages>
  <Words>1599</Words>
  <Characters>9435</Characters>
  <Application>Microsoft Office Word</Application>
  <DocSecurity>0</DocSecurity>
  <Lines>629</Lines>
  <Paragraphs>245</Paragraphs>
  <ScaleCrop>false</ScaleCrop>
  <Company/>
  <LinksUpToDate>false</LinksUpToDate>
  <CharactersWithSpaces>10789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Iqbal</dc:creator>
  <cp:keywords/>
  <dc:description/>
  <cp:lastModifiedBy>Mohammed Iqbal</cp:lastModifiedBy>
  <cp:revision>1</cp:revision>
  <dcterms:created xsi:type="dcterms:W3CDTF">2026-03-23T00:10:00Z</dcterms:created>
  <dcterms:modified xsi:type="dcterms:W3CDTF">2026-03-23T02:15:00Z</dcterms:modified>
</cp:coreProperties>
</file>