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B54B9AE" w14:textId="77777777" w:rsidR="0054259E" w:rsidRDefault="009312C7">
      <w:pPr>
        <w:pStyle w:val="Heading1"/>
      </w:pPr>
      <w:r>
        <w:t>Design, Development and Evaluation of a Points-Based Reward Application for Promoting Physical Training Using Wearable Data</w:t>
      </w:r>
    </w:p>
    <w:p w14:paraId="4C641084" w14:textId="0E1CDB96" w:rsidR="0054259E" w:rsidRDefault="009312C7">
      <w:r>
        <w:rPr>
          <w:b/>
        </w:rPr>
        <w:t>Module:</w:t>
      </w:r>
      <w:r>
        <w:t xml:space="preserve"> ACCA6020 Independent Project | </w:t>
      </w:r>
      <w:r>
        <w:rPr>
          <w:b/>
        </w:rPr>
        <w:t>Programme:</w:t>
      </w:r>
      <w:r>
        <w:t xml:space="preserve"> </w:t>
      </w:r>
      <w:r w:rsidR="00691753" w:rsidRPr="00691753">
        <w:t>BSC4F Computing (Software Engineering) with Foundation Year</w:t>
      </w:r>
      <w:r w:rsidR="00691753">
        <w:t xml:space="preserve"> |</w:t>
      </w:r>
      <w:r>
        <w:t xml:space="preserve"> </w:t>
      </w:r>
      <w:r>
        <w:rPr>
          <w:b/>
        </w:rPr>
        <w:t>Student name / ID:</w:t>
      </w:r>
      <w:r>
        <w:t xml:space="preserve"> </w:t>
      </w:r>
      <w:r w:rsidR="00691753">
        <w:t>Tyler Bate</w:t>
      </w:r>
      <w:r>
        <w:t xml:space="preserve"> | </w:t>
      </w:r>
      <w:r>
        <w:rPr>
          <w:b/>
        </w:rPr>
        <w:t>Supervisor:</w:t>
      </w:r>
      <w:r>
        <w:t xml:space="preserve"> </w:t>
      </w:r>
      <w:r w:rsidR="00691753">
        <w:t>TBA</w:t>
      </w:r>
    </w:p>
    <w:p w14:paraId="35DA7CA8" w14:textId="77777777" w:rsidR="0054259E" w:rsidRDefault="009312C7">
      <w:pPr>
        <w:pStyle w:val="Heading2"/>
      </w:pPr>
      <w:r>
        <w:t>1. Introduction / Background to the Proposed Research</w:t>
      </w:r>
    </w:p>
    <w:p w14:paraId="19ED17AB" w14:textId="77777777" w:rsidR="0054259E" w:rsidRDefault="009312C7">
      <w:r>
        <w:rPr>
          <w:b/>
        </w:rPr>
        <w:t>Working title:</w:t>
      </w:r>
      <w:r>
        <w:t xml:space="preserve"> </w:t>
      </w:r>
      <w:r>
        <w:rPr>
          <w:i/>
        </w:rPr>
        <w:t>Design, Development and Evaluation of a Points-Based Reward Application for Promoting Physical Training Using Wearable Data.</w:t>
      </w:r>
    </w:p>
    <w:p w14:paraId="37B1BE68" w14:textId="77777777" w:rsidR="0054259E" w:rsidRDefault="009312C7">
      <w:r>
        <w:t>This project sits within digital health (mHealth), where smartphones and wearables such as Garmin devices automatically record training sessions and estimated energy expenditure. Despite guidelines recommending regular moderate-to-vigorous activity [1], participation remains suboptimal.</w:t>
      </w:r>
    </w:p>
    <w:p w14:paraId="38E279F8" w14:textId="77777777" w:rsidR="0054259E" w:rsidRDefault="009312C7">
      <w:r>
        <w:t>The proposed project is an application that awards one point for every ten estimated calories burned, with a maximum of two logged sessions per day, and allows users to exchange accumulated points for tiered rewards. This conversion rate is a proposed design rule to be evaluated, not a validated measure of exercise benefit. Rewards (for example, 10,000 points for a £10 voucher) will be illustrative and simulated in the prototype; no real vouchers will be issued. Training data would be imported from wearables such as Garmin.</w:t>
      </w:r>
    </w:p>
    <w:p w14:paraId="636DDEEE" w14:textId="77777777" w:rsidR="0054259E" w:rsidRDefault="009312C7">
      <w:r>
        <w:t>The motivation is twofold: to test whether a simple, transparent incentive mechanism can support training, and to deliver a substantial software engineering artefact (front end, API, database, integration and automated testing) that meets the module's implementation requirement.</w:t>
      </w:r>
    </w:p>
    <w:p w14:paraId="090E4760" w14:textId="77777777" w:rsidR="0054259E" w:rsidRDefault="009312C7">
      <w:pPr>
        <w:pStyle w:val="Heading2"/>
      </w:pPr>
      <w:r>
        <w:t>2. Background to the Research</w:t>
      </w:r>
    </w:p>
    <w:p w14:paraId="03D4EB78" w14:textId="77777777" w:rsidR="0054259E" w:rsidRDefault="009312C7">
      <w:r>
        <w:rPr>
          <w:b/>
        </w:rPr>
        <w:t>Domain.</w:t>
      </w:r>
      <w:r>
        <w:t xml:space="preserve"> Behaviour change research offers a framework for turning wearable data into interventions. The behaviour change technique taxonomy lists rewards and feedback on behaviour among 93 techniques [2], and Fogg's model proposes that behaviour occurs when motivation, ability and a prompt coincide [3]. Gamification, the use of game design elements in non-game contexts [4], is a common delivery mechanism.</w:t>
      </w:r>
    </w:p>
    <w:p w14:paraId="1A5A19E9" w14:textId="77777777" w:rsidR="0054259E" w:rsidRDefault="009312C7">
      <w:r>
        <w:rPr>
          <w:b/>
        </w:rPr>
        <w:t>Financial incentives.</w:t>
      </w:r>
      <w:r>
        <w:t xml:space="preserve"> Meta-analyses agree that incentives raise physical activity while delivered but differ on persistence. Mitchell et al. identified 23 randomised trials: 20 of 22 reported positive effects during the intervention, yet only four of 18 reported benefits after incentives ended, although pooled step counts remained higher [5]. Luong et al. found improved gym or class attendance and walking, small post-incentive gains, and low certainty that incentives help people meet activity guidelines [6]. Mantzari et al. found effects on habitual behaviours for up to 18 months from baseline, persisting three months after removal but not long term [7]. First, trials mainly reward steps or attendance rather than estimated energy expenditure across mixed training such as weights, so transferability is untested. Second, extrinsic rewards may weaken intrinsic motivation [8]: across 128 studies, Deci et al. found that expected tangible rewards undermined free-choice motivation whereas positive feedback enhanced it [9], consistent with self-determination theory's emphasis on competence and autonomy [10]. This </w:t>
      </w:r>
      <w:r>
        <w:lastRenderedPageBreak/>
        <w:t>suggests the points dashboard should foreground informational feedback over controlling language, making reward design an open question rather than a given.</w:t>
      </w:r>
    </w:p>
    <w:p w14:paraId="0DA0C5C8" w14:textId="6B414724" w:rsidR="0054259E" w:rsidRDefault="009312C7">
      <w:r>
        <w:rPr>
          <w:b/>
        </w:rPr>
        <w:t>Gamification.</w:t>
      </w:r>
      <w:r>
        <w:t xml:space="preserve"> Xu et al. reviewed 50 studies and concluded that findings were mixed and effects modest; </w:t>
      </w:r>
      <w:r w:rsidR="000C7A72">
        <w:t>goal setting</w:t>
      </w:r>
      <w:r>
        <w:t>, progress bars, rewards and points were the most common elements, and samples skewed towards younger people [11]. Because interventions bundle several elements, the contribution of points alone is difficult to isolate, and evidence for older adults and people with disease is thinner.</w:t>
      </w:r>
    </w:p>
    <w:p w14:paraId="6BD03DBB" w14:textId="77777777" w:rsidR="0054259E" w:rsidRDefault="009312C7">
      <w:r>
        <w:rPr>
          <w:b/>
        </w:rPr>
        <w:t>Measurement validity.</w:t>
      </w:r>
      <w:r>
        <w:t xml:space="preserve"> Reward systems depend on trustworthy data. Shcherbina et al. found seven consumer wrist-worn devices adequate for heart rate, but none achieved energy-expenditure error below 20%, and error varied with sex, body mass index, skin tone and activity type [12]. A calorie-to-points rule therefore inherits systematic sensor error that could award points unevenly between users, and invites manipulation through manually entered or duplicated sessions. Garmin devices were not tested and the hardware is dated, so current error is uncertain, motivating validation rules, session caps and reporting of raw and derived values.</w:t>
      </w:r>
    </w:p>
    <w:p w14:paraId="2EDD11FD" w14:textId="0536BF41" w:rsidR="0054259E" w:rsidRDefault="009312C7">
      <w:r>
        <w:rPr>
          <w:b/>
        </w:rPr>
        <w:t>Research gap.</w:t>
      </w:r>
      <w:r>
        <w:t xml:space="preserve"> Within the literature reviewed, incentive trials predominantly reward steps or </w:t>
      </w:r>
      <w:r w:rsidR="000C7A72">
        <w:t>attendance,</w:t>
      </w:r>
      <w:r>
        <w:t xml:space="preserve"> and gamification studies bundle several elements, so evidence on energy-based points with tangible rewards across mixed training types, and on the validation needed to make such a scheme fair, is limited. This project addresses that gap at exploratory scale, contributing an evaluated prototype and evidence on its technical reliability, usability and perceived motivational value, rather than a demonstration of long-term behaviour change.</w:t>
      </w:r>
    </w:p>
    <w:p w14:paraId="7207F5B1" w14:textId="77777777" w:rsidR="0054259E" w:rsidRDefault="009312C7">
      <w:pPr>
        <w:pStyle w:val="Heading2"/>
      </w:pPr>
      <w:r>
        <w:t>3. Research Problem Statement</w:t>
      </w:r>
    </w:p>
    <w:p w14:paraId="36697EE3" w14:textId="77777777" w:rsidR="0054259E" w:rsidRDefault="009312C7">
      <w:r>
        <w:t xml:space="preserve">Evidence suggests that incentives and gamification can modestly increase physical activity [5]–[7], [11], but there is limited guidance on engineering a calorie-based, capped points scheme that is technically reliable given wearable measurement error [12], resistant to manipulation, and usable and motivating for users. The problem is therefore: </w:t>
      </w:r>
      <w:r>
        <w:rPr>
          <w:i/>
        </w:rPr>
        <w:t>how can a points-based reward application driven by wearable energy-expenditure data be designed and implemented so that it is reliable, usable and perceived as motivating?</w:t>
      </w:r>
    </w:p>
    <w:p w14:paraId="0835A069" w14:textId="77777777" w:rsidR="0054259E" w:rsidRDefault="009312C7">
      <w:r>
        <w:t>The work is worthwhile because the applied context (energy-based points, session caps, tiered rewards) is poorly documented in the literature reviewed.</w:t>
      </w:r>
    </w:p>
    <w:p w14:paraId="0C579CBC" w14:textId="77777777" w:rsidR="0054259E" w:rsidRDefault="009312C7">
      <w:pPr>
        <w:pStyle w:val="Heading2"/>
      </w:pPr>
      <w:r>
        <w:t>4. Aim and Objectives</w:t>
      </w:r>
    </w:p>
    <w:p w14:paraId="1824A1CE" w14:textId="77777777" w:rsidR="0054259E" w:rsidRDefault="009312C7">
      <w:r>
        <w:rPr>
          <w:b/>
        </w:rPr>
        <w:t>Aim.</w:t>
      </w:r>
      <w:r>
        <w:t xml:space="preserve"> To design, develop and evaluate a web-based reward application that converts wearable-recorded training energy expenditure into redeemable points, and to assess its technical reliability, usability and perceived motivational value.</w:t>
      </w:r>
    </w:p>
    <w:p w14:paraId="50601694" w14:textId="77777777" w:rsidR="0054259E" w:rsidRDefault="009312C7">
      <w:r>
        <w:rPr>
          <w:b/>
        </w:rPr>
        <w:t>Objectives</w:t>
      </w:r>
    </w:p>
    <w:p w14:paraId="114F1531" w14:textId="77777777" w:rsidR="0054259E" w:rsidRDefault="009312C7">
      <w:pPr>
        <w:pStyle w:val="ListParagraph"/>
        <w:numPr>
          <w:ilvl w:val="0"/>
          <w:numId w:val="2"/>
        </w:numPr>
      </w:pPr>
      <w:r>
        <w:rPr>
          <w:b/>
        </w:rPr>
        <w:t>O1:</w:t>
      </w:r>
      <w:r>
        <w:t xml:space="preserve"> To critically review literature on incentives, gamification, wearable data accuracy and data protection, and derive a requirements specification, by week 8 (December 2026).</w:t>
      </w:r>
    </w:p>
    <w:p w14:paraId="21ECC215" w14:textId="77777777" w:rsidR="0054259E" w:rsidRDefault="009312C7">
      <w:pPr>
        <w:pStyle w:val="ListParagraph"/>
        <w:numPr>
          <w:ilvl w:val="0"/>
          <w:numId w:val="2"/>
        </w:numPr>
      </w:pPr>
      <w:r>
        <w:rPr>
          <w:b/>
        </w:rPr>
        <w:t>O2:</w:t>
      </w:r>
      <w:r>
        <w:t xml:space="preserve"> To design and develop a full-stack application (accounts, session logging, points engine, reward catalogue, dashboard) importing wearable data via standard FIT/TCX/GPX files, with </w:t>
      </w:r>
      <w:r>
        <w:lastRenderedPageBreak/>
        <w:t>Apple Health/Health Connect import as a stretch goal, because Garmin's API is limited to business use, by February 2027.</w:t>
      </w:r>
    </w:p>
    <w:p w14:paraId="12DE6BD6" w14:textId="77777777" w:rsidR="0054259E" w:rsidRDefault="009312C7">
      <w:pPr>
        <w:pStyle w:val="ListParagraph"/>
        <w:numPr>
          <w:ilvl w:val="0"/>
          <w:numId w:val="2"/>
        </w:numPr>
      </w:pPr>
      <w:r>
        <w:rPr>
          <w:b/>
        </w:rPr>
        <w:t>O3:</w:t>
      </w:r>
      <w:r>
        <w:t xml:space="preserve"> To implement and test validation controls (two-session daily cap, duplicate and implausible-session detection) against a defined suite of unit, integration and simulated-data tests, targeting all test cases passing and at least 80% coverage of the points engine, by March 2027.</w:t>
      </w:r>
    </w:p>
    <w:p w14:paraId="79DB99CD" w14:textId="77777777" w:rsidR="0054259E" w:rsidRDefault="009312C7">
      <w:pPr>
        <w:pStyle w:val="ListParagraph"/>
        <w:numPr>
          <w:ilvl w:val="0"/>
          <w:numId w:val="2"/>
        </w:numPr>
      </w:pPr>
      <w:r>
        <w:rPr>
          <w:b/>
        </w:rPr>
        <w:t>O4:</w:t>
      </w:r>
      <w:r>
        <w:t xml:space="preserve"> To evaluate the system in a four-week pilot with 10–20 adult volunteers, measuring usability, perceived motivation and training frequency, and to report limitations and recommendations by April 2027.</w:t>
      </w:r>
    </w:p>
    <w:p w14:paraId="78A83BFD" w14:textId="77777777" w:rsidR="0054259E" w:rsidRDefault="009312C7">
      <w:r>
        <w:rPr>
          <w:b/>
        </w:rPr>
        <w:t>Deliverables.</w:t>
      </w:r>
      <w:r>
        <w:t xml:space="preserve"> (i) Working application and source repository; (ii) requirements and design documentation; (iii) test report; (iv) evaluation analysis; (v) final report, vivas and exhibition board; (vi) recommendations for future work.</w:t>
      </w:r>
    </w:p>
    <w:p w14:paraId="6912561D" w14:textId="77777777" w:rsidR="0054259E" w:rsidRDefault="009312C7">
      <w:pPr>
        <w:pStyle w:val="Heading2"/>
      </w:pPr>
      <w:r>
        <w:t>5. Research Methodology</w:t>
      </w:r>
    </w:p>
    <w:p w14:paraId="7F7E8474" w14:textId="77777777" w:rsidR="0054259E" w:rsidRDefault="009312C7">
      <w:pPr>
        <w:pStyle w:val="Heading3"/>
      </w:pPr>
      <w:r>
        <w:t>5.1 Research Design</w:t>
      </w:r>
    </w:p>
    <w:p w14:paraId="33AC41E3" w14:textId="77777777" w:rsidR="0054259E" w:rsidRDefault="009312C7">
      <w:r>
        <w:t>The project combines product development with an exploratory pilot evaluation. Development follows an iterative Agile approach with two-week sprints and MoSCoW prioritisation [13], which suits evolving requirements and a single developer. The architecture is a React front end, Node.js/Express REST API and PostgreSQL database, chosen for industry relevance and library support.</w:t>
      </w:r>
    </w:p>
    <w:p w14:paraId="726882F2" w14:textId="77777777" w:rsidR="0054259E" w:rsidRDefault="009312C7">
      <w:r>
        <w:rPr>
          <w:b/>
        </w:rPr>
        <w:t>Data collection by objective.</w:t>
      </w:r>
      <w:r>
        <w:t xml:space="preserve"> O1 uses secondary data from IEEE Xplore, ACM Digital Library, PubMed and Scopus. O2 uses requirements derived from the literature and analysis of existing reward applications, expressed as user stories. O3 generates test logs, coverage reports and simulated sessions (including deliberately invalid data). O4 collects primary data: the System Usability Scale (SUS) [14], a short Likert questionnaire on perceived motivation adapted from self-determination theory constructs [10], and computer-generated usage logs (sessions logged per week, points awarded).</w:t>
      </w:r>
    </w:p>
    <w:p w14:paraId="2E7463D1" w14:textId="77777777" w:rsidR="0054259E" w:rsidRDefault="009312C7">
      <w:r>
        <w:rPr>
          <w:b/>
        </w:rPr>
        <w:t>Analysis.</w:t>
      </w:r>
      <w:r>
        <w:t xml:space="preserve"> Descriptive statistics will summarise usage and questionnaire data. SUS scores will be compared with the widely reported average of about 68 [14], [15]. For each participant, mean weekly sessions in the four weeks before app use (from consented wearable exports, using one session definition) will be compared with the four-week pilot using the Wilcoxon signed-rank test, appropriate for small, non-normal paired samples, with effect sizes and confidence intervals reported. All participants will use identical rules. Without a control group, changes will be interpreted as exploratory associations, not causal effects. Open comments will be analysed thematically.</w:t>
      </w:r>
    </w:p>
    <w:p w14:paraId="422623F7" w14:textId="77777777" w:rsidR="0054259E" w:rsidRDefault="009312C7">
      <w:r>
        <w:rPr>
          <w:b/>
        </w:rPr>
        <w:t>Validity, reliability and generalisability.</w:t>
      </w:r>
      <w:r>
        <w:t xml:space="preserve"> The small, self-selected sample, absence of a control group and likely novelty effects limit generalisability and causal claims, so findings will be reported as exploratory. Wearable energy estimates contain known error [12]; this is mitigated by logging raw and derived values and testing the points engine on simulated data with known ground truth.</w:t>
      </w:r>
    </w:p>
    <w:p w14:paraId="4C3E88CE" w14:textId="77777777" w:rsidR="0054259E" w:rsidRDefault="009312C7">
      <w:r>
        <w:rPr>
          <w:b/>
        </w:rPr>
        <w:t>Risks, ethics and legal issues.</w:t>
      </w:r>
    </w:p>
    <w:tbl>
      <w:tblPr>
        <w:tblStyle w:val="TableGrid"/>
        <w:tblW w:w="0" w:type="auto"/>
        <w:tblLayout w:type="fixed"/>
        <w:tblLook w:val="0420" w:firstRow="1" w:lastRow="0" w:firstColumn="0" w:lastColumn="0" w:noHBand="0" w:noVBand="1"/>
      </w:tblPr>
      <w:tblGrid>
        <w:gridCol w:w="4440"/>
        <w:gridCol w:w="4920"/>
      </w:tblGrid>
      <w:tr w:rsidR="0054259E" w14:paraId="7E01029D" w14:textId="77777777">
        <w:trPr>
          <w:tblHeader/>
        </w:trPr>
        <w:tc>
          <w:tcPr>
            <w:tcW w:w="4440" w:type="dxa"/>
            <w:shd w:val="clear" w:color="auto" w:fill="F2F2F2"/>
          </w:tcPr>
          <w:p w14:paraId="16132B05" w14:textId="77777777" w:rsidR="0054259E" w:rsidRDefault="009312C7">
            <w:r>
              <w:lastRenderedPageBreak/>
              <w:t>Risk</w:t>
            </w:r>
          </w:p>
        </w:tc>
        <w:tc>
          <w:tcPr>
            <w:tcW w:w="4920" w:type="dxa"/>
            <w:shd w:val="clear" w:color="auto" w:fill="F2F2F2"/>
          </w:tcPr>
          <w:p w14:paraId="78660CAB" w14:textId="77777777" w:rsidR="0054259E" w:rsidRDefault="009312C7">
            <w:r>
              <w:t>Mitigation</w:t>
            </w:r>
          </w:p>
        </w:tc>
      </w:tr>
      <w:tr w:rsidR="0054259E" w14:paraId="710F9C03" w14:textId="77777777">
        <w:tc>
          <w:tcPr>
            <w:tcW w:w="4440" w:type="dxa"/>
          </w:tcPr>
          <w:p w14:paraId="07CE430A" w14:textId="77777777" w:rsidR="0054259E" w:rsidRDefault="009312C7">
            <w:r>
              <w:t>Garmin API limited to business use [16]</w:t>
            </w:r>
          </w:p>
        </w:tc>
        <w:tc>
          <w:tcPr>
            <w:tcW w:w="4920" w:type="dxa"/>
          </w:tcPr>
          <w:p w14:paraId="0EEE8FCE" w14:textId="77777777" w:rsidR="0054259E" w:rsidRDefault="009312C7">
            <w:r>
              <w:t>File import as primary route; Apple Health/Health Connect via a mobile app as stretch goal</w:t>
            </w:r>
          </w:p>
        </w:tc>
      </w:tr>
      <w:tr w:rsidR="0054259E" w14:paraId="33E7238C" w14:textId="77777777">
        <w:tc>
          <w:tcPr>
            <w:tcW w:w="4440" w:type="dxa"/>
          </w:tcPr>
          <w:p w14:paraId="7EE1188C" w14:textId="77777777" w:rsidR="0054259E" w:rsidRDefault="009312C7">
            <w:r>
              <w:t>Low recruitment</w:t>
            </w:r>
          </w:p>
        </w:tc>
        <w:tc>
          <w:tcPr>
            <w:tcW w:w="4920" w:type="dxa"/>
          </w:tcPr>
          <w:p w14:paraId="1C779DA2" w14:textId="77777777" w:rsidR="0054259E" w:rsidRDefault="009312C7">
            <w:r>
              <w:t>Target 15, minimum 10; recruit via university channels, social media and gym posters (with permission); flexible pilot start</w:t>
            </w:r>
          </w:p>
        </w:tc>
      </w:tr>
      <w:tr w:rsidR="0054259E" w14:paraId="0CB4A36F" w14:textId="77777777">
        <w:tc>
          <w:tcPr>
            <w:tcW w:w="4440" w:type="dxa"/>
          </w:tcPr>
          <w:p w14:paraId="454B8794" w14:textId="77777777" w:rsidR="0054259E" w:rsidRDefault="009312C7">
            <w:r>
              <w:t>Scope creep</w:t>
            </w:r>
          </w:p>
        </w:tc>
        <w:tc>
          <w:tcPr>
            <w:tcW w:w="4920" w:type="dxa"/>
          </w:tcPr>
          <w:p w14:paraId="7D9D0ACF" w14:textId="77777777" w:rsidR="0054259E" w:rsidRDefault="009312C7">
            <w:r>
              <w:t>MoSCoW prioritisation; core points engine first</w:t>
            </w:r>
          </w:p>
        </w:tc>
      </w:tr>
      <w:tr w:rsidR="0054259E" w14:paraId="57955DDD" w14:textId="77777777">
        <w:tc>
          <w:tcPr>
            <w:tcW w:w="4440" w:type="dxa"/>
          </w:tcPr>
          <w:p w14:paraId="08EE92F3" w14:textId="77777777" w:rsidR="0054259E" w:rsidRDefault="009312C7">
            <w:r>
              <w:t>Health data is special category data [17], [18]</w:t>
            </w:r>
          </w:p>
        </w:tc>
        <w:tc>
          <w:tcPr>
            <w:tcW w:w="4920" w:type="dxa"/>
          </w:tcPr>
          <w:p w14:paraId="43881B8A" w14:textId="77777777" w:rsidR="0054259E" w:rsidRDefault="009312C7">
            <w:r>
              <w:t>Informed consent screen; voluntary participation; withdrawal with deletion on request before analysis; pseudonymised IDs and minimal identifiable data; access limited to researcher and supervisor; encrypted University Office 365 storage; deletion at project end</w:t>
            </w:r>
          </w:p>
        </w:tc>
      </w:tr>
      <w:tr w:rsidR="0054259E" w14:paraId="42B2491E" w14:textId="77777777">
        <w:tc>
          <w:tcPr>
            <w:tcW w:w="4440" w:type="dxa"/>
          </w:tcPr>
          <w:p w14:paraId="183ED43C" w14:textId="77777777" w:rsidR="0054259E" w:rsidRDefault="009312C7">
            <w:r>
              <w:t>Rewards encourage excessive exercise or cheating</w:t>
            </w:r>
          </w:p>
        </w:tc>
        <w:tc>
          <w:tcPr>
            <w:tcW w:w="4920" w:type="dxa"/>
          </w:tcPr>
          <w:p w14:paraId="3D60B952" w14:textId="77777777" w:rsidR="0054259E" w:rsidRDefault="009312C7">
            <w:r>
              <w:t>Daily cap, plausibility checks, health advisory notice; adults only</w:t>
            </w:r>
          </w:p>
        </w:tc>
      </w:tr>
      <w:tr w:rsidR="0054259E" w14:paraId="66E4E4C5" w14:textId="77777777">
        <w:tc>
          <w:tcPr>
            <w:tcW w:w="4440" w:type="dxa"/>
          </w:tcPr>
          <w:p w14:paraId="4CABE4EE" w14:textId="77777777" w:rsidR="0054259E" w:rsidRDefault="009312C7">
            <w:r>
              <w:t>Real-money rewards unfunded</w:t>
            </w:r>
          </w:p>
        </w:tc>
        <w:tc>
          <w:tcPr>
            <w:tcW w:w="4920" w:type="dxa"/>
          </w:tcPr>
          <w:p w14:paraId="797A60EA" w14:textId="77777777" w:rsidR="0054259E" w:rsidRDefault="009312C7">
            <w:r>
              <w:t>Rewards simulated in the prototype; no payment to participants</w:t>
            </w:r>
          </w:p>
        </w:tc>
      </w:tr>
    </w:tbl>
    <w:p w14:paraId="76294BD4" w14:textId="77777777" w:rsidR="0054259E" w:rsidRDefault="009312C7">
      <w:r>
        <w:t>Ethical approval will be obtained through the SoAC form before any data collection. From a sustainability perspective, the system will collect only necessary data and use lightweight hosting.</w:t>
      </w:r>
    </w:p>
    <w:p w14:paraId="294F044B" w14:textId="77777777" w:rsidR="0054259E" w:rsidRDefault="009312C7">
      <w:pPr>
        <w:pStyle w:val="Heading3"/>
      </w:pPr>
      <w:r>
        <w:t>5.2 Resources / Materials</w:t>
      </w:r>
    </w:p>
    <w:p w14:paraId="576489E3" w14:textId="77777777" w:rsidR="0054259E" w:rsidRDefault="009312C7">
      <w:r>
        <w:t>Laptop with VS Code, Git/GitHub, Node.js, React, PostgreSQL and Docker; Jest, Cypress and Postman for testing; Figma for prototyping; a Garmin device; React Native for the optional health-data app; Python (SciPy) or R for statistics; library databases for journal access; University Office 365 for secure storage; and supervisor guidance of about 20 minutes per week.</w:t>
      </w:r>
    </w:p>
    <w:p w14:paraId="470A9EBC" w14:textId="77777777" w:rsidR="0054259E" w:rsidRDefault="009312C7">
      <w:pPr>
        <w:pStyle w:val="Heading2"/>
      </w:pPr>
      <w:r>
        <w:t>6. Project Planning</w:t>
      </w:r>
    </w:p>
    <w:tbl>
      <w:tblPr>
        <w:tblStyle w:val="TableGrid"/>
        <w:tblW w:w="0" w:type="auto"/>
        <w:tblLayout w:type="fixed"/>
        <w:tblLook w:val="0420" w:firstRow="1" w:lastRow="0" w:firstColumn="0" w:lastColumn="0" w:noHBand="0" w:noVBand="1"/>
      </w:tblPr>
      <w:tblGrid>
        <w:gridCol w:w="1589"/>
        <w:gridCol w:w="2012"/>
        <w:gridCol w:w="3933"/>
        <w:gridCol w:w="1825"/>
      </w:tblGrid>
      <w:tr w:rsidR="0054259E" w14:paraId="7EC87AEC" w14:textId="77777777">
        <w:trPr>
          <w:tblHeader/>
        </w:trPr>
        <w:tc>
          <w:tcPr>
            <w:tcW w:w="1589" w:type="dxa"/>
            <w:shd w:val="clear" w:color="auto" w:fill="F2F2F2"/>
          </w:tcPr>
          <w:p w14:paraId="7D7860E5" w14:textId="77777777" w:rsidR="0054259E" w:rsidRDefault="009312C7">
            <w:r>
              <w:t>Phase</w:t>
            </w:r>
          </w:p>
        </w:tc>
        <w:tc>
          <w:tcPr>
            <w:tcW w:w="2012" w:type="dxa"/>
            <w:shd w:val="clear" w:color="auto" w:fill="F2F2F2"/>
          </w:tcPr>
          <w:p w14:paraId="0E2A1FCA" w14:textId="77777777" w:rsidR="0054259E" w:rsidRDefault="009312C7">
            <w:r>
              <w:t>Period</w:t>
            </w:r>
          </w:p>
        </w:tc>
        <w:tc>
          <w:tcPr>
            <w:tcW w:w="3933" w:type="dxa"/>
            <w:shd w:val="clear" w:color="auto" w:fill="F2F2F2"/>
          </w:tcPr>
          <w:p w14:paraId="01123FC2" w14:textId="77777777" w:rsidR="0054259E" w:rsidRDefault="009312C7">
            <w:r>
              <w:t>Key tasks</w:t>
            </w:r>
          </w:p>
        </w:tc>
        <w:tc>
          <w:tcPr>
            <w:tcW w:w="1825" w:type="dxa"/>
            <w:shd w:val="clear" w:color="auto" w:fill="F2F2F2"/>
          </w:tcPr>
          <w:p w14:paraId="3424B1DF" w14:textId="77777777" w:rsidR="0054259E" w:rsidRDefault="009312C7">
            <w:r>
              <w:t>Milestone</w:t>
            </w:r>
          </w:p>
        </w:tc>
      </w:tr>
      <w:tr w:rsidR="0054259E" w14:paraId="2374CF97" w14:textId="77777777">
        <w:tc>
          <w:tcPr>
            <w:tcW w:w="1589" w:type="dxa"/>
          </w:tcPr>
          <w:p w14:paraId="6C209CF1" w14:textId="77777777" w:rsidR="0054259E" w:rsidRDefault="009312C7">
            <w:r>
              <w:t>1. Initiation</w:t>
            </w:r>
          </w:p>
        </w:tc>
        <w:tc>
          <w:tcPr>
            <w:tcW w:w="2012" w:type="dxa"/>
          </w:tcPr>
          <w:p w14:paraId="3A31ACAE" w14:textId="77777777" w:rsidR="0054259E" w:rsidRDefault="009312C7">
            <w:r>
              <w:t>Oct–Nov 2026 (wks 1–4)</w:t>
            </w:r>
          </w:p>
        </w:tc>
        <w:tc>
          <w:tcPr>
            <w:tcW w:w="3933" w:type="dxa"/>
          </w:tcPr>
          <w:p w14:paraId="1EBA750A" w14:textId="77777777" w:rsidR="0054259E" w:rsidRDefault="009312C7">
            <w:r>
              <w:t>Proposal, ethics form, repository and environment setup</w:t>
            </w:r>
          </w:p>
        </w:tc>
        <w:tc>
          <w:tcPr>
            <w:tcW w:w="1825" w:type="dxa"/>
          </w:tcPr>
          <w:p w14:paraId="7228D4B3" w14:textId="77777777" w:rsidR="0054259E" w:rsidRDefault="009312C7">
            <w:r>
              <w:t>Proposal submitted 21 Oct</w:t>
            </w:r>
          </w:p>
        </w:tc>
      </w:tr>
      <w:tr w:rsidR="0054259E" w14:paraId="7192B989" w14:textId="77777777">
        <w:tc>
          <w:tcPr>
            <w:tcW w:w="1589" w:type="dxa"/>
          </w:tcPr>
          <w:p w14:paraId="534C915F" w14:textId="77777777" w:rsidR="0054259E" w:rsidRDefault="009312C7">
            <w:r>
              <w:t>2. Review and requirements</w:t>
            </w:r>
          </w:p>
        </w:tc>
        <w:tc>
          <w:tcPr>
            <w:tcW w:w="2012" w:type="dxa"/>
          </w:tcPr>
          <w:p w14:paraId="3B71C839" w14:textId="77777777" w:rsidR="0054259E" w:rsidRDefault="009312C7">
            <w:r>
              <w:t>Nov–Dec 2026 (wks 3–10)</w:t>
            </w:r>
          </w:p>
        </w:tc>
        <w:tc>
          <w:tcPr>
            <w:tcW w:w="3933" w:type="dxa"/>
          </w:tcPr>
          <w:p w14:paraId="171AFCF7" w14:textId="77777777" w:rsidR="0054259E" w:rsidRDefault="009312C7">
            <w:r>
              <w:t>Literature review, user stories, system and database design</w:t>
            </w:r>
          </w:p>
        </w:tc>
        <w:tc>
          <w:tcPr>
            <w:tcW w:w="1825" w:type="dxa"/>
          </w:tcPr>
          <w:p w14:paraId="0167436F" w14:textId="77777777" w:rsidR="0054259E" w:rsidRDefault="009312C7">
            <w:r>
              <w:t>Requirements specification</w:t>
            </w:r>
          </w:p>
        </w:tc>
      </w:tr>
      <w:tr w:rsidR="0054259E" w14:paraId="4933281C" w14:textId="77777777">
        <w:tc>
          <w:tcPr>
            <w:tcW w:w="1589" w:type="dxa"/>
          </w:tcPr>
          <w:p w14:paraId="24E4B02A" w14:textId="77777777" w:rsidR="0054259E" w:rsidRDefault="009312C7">
            <w:r>
              <w:t>3. Core build</w:t>
            </w:r>
          </w:p>
        </w:tc>
        <w:tc>
          <w:tcPr>
            <w:tcW w:w="2012" w:type="dxa"/>
          </w:tcPr>
          <w:p w14:paraId="7446EFC8" w14:textId="77777777" w:rsidR="0054259E" w:rsidRDefault="009312C7">
            <w:r>
              <w:t>Dec 2026–Jan 2027 (wks 9–14)</w:t>
            </w:r>
          </w:p>
        </w:tc>
        <w:tc>
          <w:tcPr>
            <w:tcW w:w="3933" w:type="dxa"/>
          </w:tcPr>
          <w:p w14:paraId="6069B228" w14:textId="77777777" w:rsidR="0054259E" w:rsidRDefault="009312C7">
            <w:r>
              <w:t>Accounts, session logging, points engine; interim viva preparation</w:t>
            </w:r>
          </w:p>
        </w:tc>
        <w:tc>
          <w:tcPr>
            <w:tcW w:w="1825" w:type="dxa"/>
          </w:tcPr>
          <w:p w14:paraId="51E494F4" w14:textId="77777777" w:rsidR="0054259E" w:rsidRDefault="009312C7">
            <w:r>
              <w:t>Interim viva 14/15 Jan</w:t>
            </w:r>
          </w:p>
        </w:tc>
      </w:tr>
      <w:tr w:rsidR="0054259E" w14:paraId="008619D5" w14:textId="77777777">
        <w:tc>
          <w:tcPr>
            <w:tcW w:w="1589" w:type="dxa"/>
          </w:tcPr>
          <w:p w14:paraId="4A96A159" w14:textId="77777777" w:rsidR="0054259E" w:rsidRDefault="009312C7">
            <w:r>
              <w:t>4. Integration</w:t>
            </w:r>
          </w:p>
        </w:tc>
        <w:tc>
          <w:tcPr>
            <w:tcW w:w="2012" w:type="dxa"/>
          </w:tcPr>
          <w:p w14:paraId="0FB8B1BF" w14:textId="77777777" w:rsidR="0054259E" w:rsidRDefault="009312C7">
            <w:r>
              <w:t>Jan–Feb 2027 (wks 15–20)</w:t>
            </w:r>
          </w:p>
        </w:tc>
        <w:tc>
          <w:tcPr>
            <w:tcW w:w="3933" w:type="dxa"/>
          </w:tcPr>
          <w:p w14:paraId="3B879AC5" w14:textId="77777777" w:rsidR="0054259E" w:rsidRDefault="009312C7">
            <w:r>
              <w:t>Wearable import, reward catalogue, dashboard</w:t>
            </w:r>
          </w:p>
        </w:tc>
        <w:tc>
          <w:tcPr>
            <w:tcW w:w="1825" w:type="dxa"/>
          </w:tcPr>
          <w:p w14:paraId="5C493BC0" w14:textId="77777777" w:rsidR="0054259E" w:rsidRDefault="009312C7">
            <w:r>
              <w:t>Feature-complete build</w:t>
            </w:r>
          </w:p>
        </w:tc>
      </w:tr>
      <w:tr w:rsidR="0054259E" w14:paraId="18F40CFC" w14:textId="77777777">
        <w:tc>
          <w:tcPr>
            <w:tcW w:w="1589" w:type="dxa"/>
          </w:tcPr>
          <w:p w14:paraId="3399B521" w14:textId="77777777" w:rsidR="0054259E" w:rsidRDefault="009312C7">
            <w:r>
              <w:lastRenderedPageBreak/>
              <w:t>5. Testing</w:t>
            </w:r>
          </w:p>
        </w:tc>
        <w:tc>
          <w:tcPr>
            <w:tcW w:w="2012" w:type="dxa"/>
          </w:tcPr>
          <w:p w14:paraId="2AC68809" w14:textId="77777777" w:rsidR="0054259E" w:rsidRDefault="009312C7">
            <w:r>
              <w:t>Feb–Mar 2027 (wks 19–23)</w:t>
            </w:r>
          </w:p>
        </w:tc>
        <w:tc>
          <w:tcPr>
            <w:tcW w:w="3933" w:type="dxa"/>
          </w:tcPr>
          <w:p w14:paraId="1D5D8678" w14:textId="77777777" w:rsidR="0054259E" w:rsidRDefault="009312C7">
            <w:r>
              <w:t>Validation controls, unit/integration/simulated tests, usability fixes</w:t>
            </w:r>
          </w:p>
        </w:tc>
        <w:tc>
          <w:tcPr>
            <w:tcW w:w="1825" w:type="dxa"/>
          </w:tcPr>
          <w:p w14:paraId="27FC667A" w14:textId="77777777" w:rsidR="0054259E" w:rsidRDefault="009312C7">
            <w:r>
              <w:t>Test report</w:t>
            </w:r>
          </w:p>
        </w:tc>
      </w:tr>
      <w:tr w:rsidR="0054259E" w14:paraId="5F402755" w14:textId="77777777">
        <w:tc>
          <w:tcPr>
            <w:tcW w:w="1589" w:type="dxa"/>
          </w:tcPr>
          <w:p w14:paraId="65A2D348" w14:textId="77777777" w:rsidR="0054259E" w:rsidRDefault="009312C7">
            <w:r>
              <w:t>6. Pilot</w:t>
            </w:r>
          </w:p>
        </w:tc>
        <w:tc>
          <w:tcPr>
            <w:tcW w:w="2012" w:type="dxa"/>
          </w:tcPr>
          <w:p w14:paraId="32906E66" w14:textId="77777777" w:rsidR="0054259E" w:rsidRDefault="009312C7">
            <w:r>
              <w:t>Mar 2027 (wks 22–26)</w:t>
            </w:r>
          </w:p>
        </w:tc>
        <w:tc>
          <w:tcPr>
            <w:tcW w:w="3933" w:type="dxa"/>
          </w:tcPr>
          <w:p w14:paraId="69E81D3D" w14:textId="77777777" w:rsidR="0054259E" w:rsidRDefault="009312C7">
            <w:r>
              <w:t>Recruitment, four-week pilot, data collection</w:t>
            </w:r>
          </w:p>
        </w:tc>
        <w:tc>
          <w:tcPr>
            <w:tcW w:w="1825" w:type="dxa"/>
          </w:tcPr>
          <w:p w14:paraId="08B6935E" w14:textId="77777777" w:rsidR="0054259E" w:rsidRDefault="009312C7">
            <w:r>
              <w:t>Pilot complete</w:t>
            </w:r>
          </w:p>
        </w:tc>
      </w:tr>
      <w:tr w:rsidR="0054259E" w14:paraId="4AB61F1E" w14:textId="77777777">
        <w:tc>
          <w:tcPr>
            <w:tcW w:w="1589" w:type="dxa"/>
          </w:tcPr>
          <w:p w14:paraId="3B31CBD5" w14:textId="77777777" w:rsidR="0054259E" w:rsidRDefault="009312C7">
            <w:r>
              <w:t>7. Analysis and writing</w:t>
            </w:r>
          </w:p>
        </w:tc>
        <w:tc>
          <w:tcPr>
            <w:tcW w:w="2012" w:type="dxa"/>
          </w:tcPr>
          <w:p w14:paraId="00659010" w14:textId="77777777" w:rsidR="0054259E" w:rsidRDefault="009312C7">
            <w:r>
              <w:t>Mar–Apr 2027 (wks 25–30)</w:t>
            </w:r>
          </w:p>
        </w:tc>
        <w:tc>
          <w:tcPr>
            <w:tcW w:w="3933" w:type="dxa"/>
          </w:tcPr>
          <w:p w14:paraId="53545595" w14:textId="77777777" w:rsidR="0054259E" w:rsidRDefault="009312C7">
            <w:r>
              <w:t>Statistical analysis, final report</w:t>
            </w:r>
          </w:p>
        </w:tc>
        <w:tc>
          <w:tcPr>
            <w:tcW w:w="1825" w:type="dxa"/>
          </w:tcPr>
          <w:p w14:paraId="65640F91" w14:textId="77777777" w:rsidR="0054259E" w:rsidRDefault="009312C7">
            <w:r>
              <w:t>Report due 26 Apr</w:t>
            </w:r>
          </w:p>
        </w:tc>
      </w:tr>
      <w:tr w:rsidR="0054259E" w14:paraId="6AF22DBC" w14:textId="77777777">
        <w:tc>
          <w:tcPr>
            <w:tcW w:w="1589" w:type="dxa"/>
          </w:tcPr>
          <w:p w14:paraId="47D49BE3" w14:textId="77777777" w:rsidR="0054259E" w:rsidRDefault="009312C7">
            <w:r>
              <w:t>8. Presentation</w:t>
            </w:r>
          </w:p>
        </w:tc>
        <w:tc>
          <w:tcPr>
            <w:tcW w:w="2012" w:type="dxa"/>
          </w:tcPr>
          <w:p w14:paraId="426D3313" w14:textId="77777777" w:rsidR="0054259E" w:rsidRDefault="009312C7">
            <w:r>
              <w:t>Apr–May 2027</w:t>
            </w:r>
          </w:p>
        </w:tc>
        <w:tc>
          <w:tcPr>
            <w:tcW w:w="3933" w:type="dxa"/>
          </w:tcPr>
          <w:p w14:paraId="724D310C" w14:textId="77777777" w:rsidR="0054259E" w:rsidRDefault="009312C7">
            <w:r>
              <w:t>Viva and exhibition board preparation</w:t>
            </w:r>
          </w:p>
        </w:tc>
        <w:tc>
          <w:tcPr>
            <w:tcW w:w="1825" w:type="dxa"/>
          </w:tcPr>
          <w:p w14:paraId="165F8EB3" w14:textId="77777777" w:rsidR="0054259E" w:rsidRDefault="009312C7">
            <w:r>
              <w:t>Viva 6/7 May; board 10 May</w:t>
            </w:r>
          </w:p>
        </w:tc>
      </w:tr>
    </w:tbl>
    <w:p w14:paraId="67D174CA" w14:textId="77777777" w:rsidR="0054259E" w:rsidRDefault="009312C7">
      <w:pPr>
        <w:pStyle w:val="Heading2"/>
      </w:pPr>
      <w:r>
        <w:t>7. Reference List</w:t>
      </w:r>
    </w:p>
    <w:p w14:paraId="697A4E02" w14:textId="77777777" w:rsidR="0054259E" w:rsidRDefault="009312C7">
      <w:r>
        <w:t xml:space="preserve">[1] World Health Organization, </w:t>
      </w:r>
      <w:r>
        <w:rPr>
          <w:i/>
        </w:rPr>
        <w:t>WHO Guidelines on Physical Activity and Sedentary Behaviour</w:t>
      </w:r>
      <w:r>
        <w:t>. Geneva, Switzerland: WHO, 2020.</w:t>
      </w:r>
    </w:p>
    <w:p w14:paraId="140FA0C2" w14:textId="77777777" w:rsidR="0054259E" w:rsidRDefault="009312C7">
      <w:r>
        <w:t xml:space="preserve">[2] S. Michie </w:t>
      </w:r>
      <w:r>
        <w:rPr>
          <w:i/>
        </w:rPr>
        <w:t>et al.</w:t>
      </w:r>
      <w:r>
        <w:t xml:space="preserve">, "The behavior change technique taxonomy (v1) of 93 hierarchically clustered techniques: Building an international consensus for the reporting of behavior change interventions," </w:t>
      </w:r>
      <w:r>
        <w:rPr>
          <w:i/>
        </w:rPr>
        <w:t>Ann. Behav. Med.</w:t>
      </w:r>
      <w:r>
        <w:t>, vol. 46, no. 1, pp. 81–95, 2013.</w:t>
      </w:r>
    </w:p>
    <w:p w14:paraId="3696F9E2" w14:textId="77777777" w:rsidR="0054259E" w:rsidRDefault="009312C7">
      <w:r>
        <w:t xml:space="preserve">[3] B. J. Fogg, "A behavior model for persuasive design," in </w:t>
      </w:r>
      <w:r>
        <w:rPr>
          <w:i/>
        </w:rPr>
        <w:t>Proc. 4th Int. Conf. Persuasive Technology</w:t>
      </w:r>
      <w:r>
        <w:t>, 2009, Art. no. 40.</w:t>
      </w:r>
    </w:p>
    <w:p w14:paraId="58FD30E9" w14:textId="77777777" w:rsidR="0054259E" w:rsidRDefault="009312C7">
      <w:r>
        <w:t xml:space="preserve">[4] S. Deterding, D. Dixon, R. Khaled, and L. Nacke, "From game design elements to gamefulness: Defining 'gamification'," in </w:t>
      </w:r>
      <w:r>
        <w:rPr>
          <w:i/>
        </w:rPr>
        <w:t>Proc. 15th Int. Academic MindTrek Conf.</w:t>
      </w:r>
      <w:r>
        <w:t>, 2011, pp. 9–15.</w:t>
      </w:r>
    </w:p>
    <w:p w14:paraId="044A445F" w14:textId="77777777" w:rsidR="0054259E" w:rsidRDefault="009312C7">
      <w:r>
        <w:t xml:space="preserve">[5] M. S. Mitchell </w:t>
      </w:r>
      <w:r>
        <w:rPr>
          <w:i/>
        </w:rPr>
        <w:t>et al.</w:t>
      </w:r>
      <w:r>
        <w:t xml:space="preserve">, "Financial incentives for physical activity in adults: Systematic review and meta-analysis," </w:t>
      </w:r>
      <w:r>
        <w:rPr>
          <w:i/>
        </w:rPr>
        <w:t>Br. J. Sports Med.</w:t>
      </w:r>
      <w:r>
        <w:t>, vol. 54, no. 21, pp. 1259–1268, 2020.</w:t>
      </w:r>
    </w:p>
    <w:p w14:paraId="302DAF4E" w14:textId="77777777" w:rsidR="0054259E" w:rsidRDefault="009312C7">
      <w:r>
        <w:t xml:space="preserve">[6] M. L. N. Luong, M. Hall, K. L. Bennell, J. Kasza, A. Harris, and R. S. Hinman, "The impact of financial incentives on physical activity: A systematic review and meta-analysis," </w:t>
      </w:r>
      <w:r>
        <w:rPr>
          <w:i/>
        </w:rPr>
        <w:t>Am. J. Health Promot.</w:t>
      </w:r>
      <w:r>
        <w:t>, vol. 35, no. 2, pp. 236–249, 2021, doi: 10.1177/0890117120940133.</w:t>
      </w:r>
    </w:p>
    <w:p w14:paraId="63AAFF0D" w14:textId="77777777" w:rsidR="0054259E" w:rsidRDefault="009312C7">
      <w:r>
        <w:t xml:space="preserve">[7] E. Mantzari </w:t>
      </w:r>
      <w:r>
        <w:rPr>
          <w:i/>
        </w:rPr>
        <w:t>et al.</w:t>
      </w:r>
      <w:r>
        <w:t xml:space="preserve">, "Personal financial incentives for changing habitual health-related behaviors: A systematic review and meta-analysis," </w:t>
      </w:r>
      <w:r>
        <w:rPr>
          <w:i/>
        </w:rPr>
        <w:t>Prev. Med.</w:t>
      </w:r>
      <w:r>
        <w:t>, vol. 75, pp. 75–85, 2015.</w:t>
      </w:r>
    </w:p>
    <w:p w14:paraId="32078D02" w14:textId="77777777" w:rsidR="0054259E" w:rsidRDefault="009312C7">
      <w:r>
        <w:t xml:space="preserve">[8] U. Gneezy, S. Meier, and P. Rey-Biel, "When and why incentives (don't) work to modify behavior," </w:t>
      </w:r>
      <w:r>
        <w:rPr>
          <w:i/>
        </w:rPr>
        <w:t>J. Econ. Perspect.</w:t>
      </w:r>
      <w:r>
        <w:t>, vol. 25, no. 4, pp. 191–210, 2011.</w:t>
      </w:r>
    </w:p>
    <w:p w14:paraId="66B96628" w14:textId="77777777" w:rsidR="0054259E" w:rsidRDefault="009312C7">
      <w:r>
        <w:t xml:space="preserve">[9] E. L. Deci, R. Koestner, and R. M. Ryan, "A meta-analytic review of experiments examining the effects of extrinsic rewards on intrinsic motivation," </w:t>
      </w:r>
      <w:r>
        <w:rPr>
          <w:i/>
        </w:rPr>
        <w:t>Psychol. Bull.</w:t>
      </w:r>
      <w:r>
        <w:t>, vol. 125, no. 6, pp. 627–668, 1999.</w:t>
      </w:r>
    </w:p>
    <w:p w14:paraId="719103F7" w14:textId="77777777" w:rsidR="0054259E" w:rsidRDefault="009312C7">
      <w:r>
        <w:t xml:space="preserve">[10] R. M. Ryan and E. L. Deci, "Self-determination theory and the facilitation of intrinsic motivation, social development, and well-being," </w:t>
      </w:r>
      <w:r>
        <w:rPr>
          <w:i/>
        </w:rPr>
        <w:t>Am. Psychol.</w:t>
      </w:r>
      <w:r>
        <w:t>, vol. 55, no. 1, pp. 68–78, 2000.</w:t>
      </w:r>
    </w:p>
    <w:p w14:paraId="63520919" w14:textId="77777777" w:rsidR="0054259E" w:rsidRDefault="009312C7">
      <w:r>
        <w:lastRenderedPageBreak/>
        <w:t xml:space="preserve">[11] L. Xu </w:t>
      </w:r>
      <w:r>
        <w:rPr>
          <w:i/>
        </w:rPr>
        <w:t>et al.</w:t>
      </w:r>
      <w:r>
        <w:t xml:space="preserve">, "The effects of mHealth-based gamification interventions on participation in physical activity: Systematic review," </w:t>
      </w:r>
      <w:r>
        <w:rPr>
          <w:i/>
        </w:rPr>
        <w:t>JMIR mHealth uHealth</w:t>
      </w:r>
      <w:r>
        <w:t>, vol. 10, no. 2, Art. no. e27794, 2022.</w:t>
      </w:r>
    </w:p>
    <w:p w14:paraId="5D33F359" w14:textId="77777777" w:rsidR="0054259E" w:rsidRDefault="009312C7">
      <w:r>
        <w:t xml:space="preserve">[12] A. Shcherbina </w:t>
      </w:r>
      <w:r>
        <w:rPr>
          <w:i/>
        </w:rPr>
        <w:t>et al.</w:t>
      </w:r>
      <w:r>
        <w:t xml:space="preserve">, "Accuracy in wrist-worn, sensor-based measurements of heart rate and energy expenditure in a diverse cohort," </w:t>
      </w:r>
      <w:r>
        <w:rPr>
          <w:i/>
        </w:rPr>
        <w:t>J. Pers. Med.</w:t>
      </w:r>
      <w:r>
        <w:t>, vol. 7, no. 2, p. 3, 2017.</w:t>
      </w:r>
    </w:p>
    <w:p w14:paraId="2D0B936C" w14:textId="77777777" w:rsidR="0054259E" w:rsidRDefault="009312C7">
      <w:r>
        <w:t xml:space="preserve">[13] I. Sommerville, </w:t>
      </w:r>
      <w:r>
        <w:rPr>
          <w:i/>
        </w:rPr>
        <w:t>Software Engineering</w:t>
      </w:r>
      <w:r>
        <w:t>, 10th ed. Boston, MA, USA: Pearson, 2016.</w:t>
      </w:r>
    </w:p>
    <w:p w14:paraId="302353E7" w14:textId="77777777" w:rsidR="0054259E" w:rsidRDefault="009312C7">
      <w:r>
        <w:t xml:space="preserve">[14] J. Brooke, "SUS: A 'quick and dirty' usability scale," in </w:t>
      </w:r>
      <w:r>
        <w:rPr>
          <w:i/>
        </w:rPr>
        <w:t>Usability Evaluation in Industry</w:t>
      </w:r>
      <w:r>
        <w:t>. London, U.K.: Taylor &amp; Francis, 1996, pp. 189–194.</w:t>
      </w:r>
    </w:p>
    <w:p w14:paraId="56568B33" w14:textId="77777777" w:rsidR="0054259E" w:rsidRDefault="009312C7">
      <w:r>
        <w:t xml:space="preserve">[15] A. Bangor, P. Kortum, and J. Miller, "Determining what individual SUS scores mean: Adding an adjective rating scale," </w:t>
      </w:r>
      <w:r>
        <w:rPr>
          <w:i/>
        </w:rPr>
        <w:t>J. Usability Stud.</w:t>
      </w:r>
      <w:r>
        <w:t>, vol. 4, no. 3, pp. 114–123, May 2009.</w:t>
      </w:r>
    </w:p>
    <w:p w14:paraId="51270BE7" w14:textId="77777777" w:rsidR="0054259E" w:rsidRDefault="009312C7">
      <w:r>
        <w:t>[16] Garmin Ltd., "Program FAQ | Garmin Connect Developer Program." [Online]. Available: https://developer.garmin.com/gc-developer-program/program-faq. [Accessed: Oct. 19, 2026].</w:t>
      </w:r>
    </w:p>
    <w:p w14:paraId="620077BB" w14:textId="77777777" w:rsidR="0054259E" w:rsidRDefault="009312C7">
      <w:r>
        <w:t xml:space="preserve">[17] </w:t>
      </w:r>
      <w:r>
        <w:rPr>
          <w:i/>
        </w:rPr>
        <w:t>Data Protection Act 2018</w:t>
      </w:r>
      <w:r>
        <w:t>, c. 12, U.K., 2018. [Online]. Available: https://www.legislation.gov.uk/ukpga/2018/12/contents. [Accessed: Oct. 19, 2026].</w:t>
      </w:r>
    </w:p>
    <w:p w14:paraId="46FE2078" w14:textId="77777777" w:rsidR="0054259E" w:rsidRDefault="009312C7">
      <w:r>
        <w:t>[18] Information Commissioner's Office, "UK GDPR guidance and resources." [Online]. Available: https://ico.org.uk/for-organisations/uk-gdpr-guidance-and-resources/. [Accessed: Oct. 19, 2026].</w:t>
      </w:r>
    </w:p>
    <w:sectPr w:rsidR="0054259E">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DB3566"/>
    <w:multiLevelType w:val="hybridMultilevel"/>
    <w:tmpl w:val="B588D126"/>
    <w:lvl w:ilvl="0" w:tplc="5D2CCEEA">
      <w:start w:val="1"/>
      <w:numFmt w:val="decimal"/>
      <w:lvlText w:val="%1."/>
      <w:lvlJc w:val="left"/>
      <w:pPr>
        <w:ind w:left="720" w:hanging="360"/>
      </w:pPr>
    </w:lvl>
    <w:lvl w:ilvl="1" w:tplc="76FC4166">
      <w:start w:val="1"/>
      <w:numFmt w:val="lowerLetter"/>
      <w:lvlText w:val="%2."/>
      <w:lvlJc w:val="left"/>
      <w:pPr>
        <w:ind w:left="1440" w:hanging="360"/>
      </w:pPr>
    </w:lvl>
    <w:lvl w:ilvl="2" w:tplc="565EC24E">
      <w:start w:val="1"/>
      <w:numFmt w:val="lowerRoman"/>
      <w:lvlText w:val="%3."/>
      <w:lvlJc w:val="left"/>
      <w:pPr>
        <w:ind w:left="2160" w:hanging="360"/>
      </w:pPr>
    </w:lvl>
    <w:lvl w:ilvl="3" w:tplc="B3BA674C">
      <w:start w:val="1"/>
      <w:numFmt w:val="decimal"/>
      <w:lvlText w:val="%4."/>
      <w:lvlJc w:val="left"/>
      <w:pPr>
        <w:ind w:left="2880" w:hanging="360"/>
      </w:pPr>
    </w:lvl>
    <w:lvl w:ilvl="4" w:tplc="4F5AC3E2">
      <w:start w:val="1"/>
      <w:numFmt w:val="lowerLetter"/>
      <w:lvlText w:val="%5."/>
      <w:lvlJc w:val="left"/>
      <w:pPr>
        <w:ind w:left="3600" w:hanging="360"/>
      </w:pPr>
    </w:lvl>
    <w:lvl w:ilvl="5" w:tplc="3502ED52">
      <w:start w:val="1"/>
      <w:numFmt w:val="lowerRoman"/>
      <w:lvlText w:val="%6."/>
      <w:lvlJc w:val="left"/>
      <w:pPr>
        <w:ind w:left="4320" w:hanging="360"/>
      </w:pPr>
    </w:lvl>
    <w:lvl w:ilvl="6" w:tplc="11D8F1F4">
      <w:start w:val="1"/>
      <w:numFmt w:val="decimal"/>
      <w:lvlText w:val="%7."/>
      <w:lvlJc w:val="left"/>
      <w:pPr>
        <w:ind w:left="5040" w:hanging="360"/>
      </w:pPr>
    </w:lvl>
    <w:lvl w:ilvl="7" w:tplc="DD0CCCBA">
      <w:start w:val="1"/>
      <w:numFmt w:val="lowerLetter"/>
      <w:lvlText w:val="%8."/>
      <w:lvlJc w:val="left"/>
      <w:pPr>
        <w:ind w:left="5760" w:hanging="360"/>
      </w:pPr>
    </w:lvl>
    <w:lvl w:ilvl="8" w:tplc="8EAAA21E">
      <w:start w:val="1"/>
      <w:numFmt w:val="lowerRoman"/>
      <w:lvlText w:val="%9."/>
      <w:lvlJc w:val="left"/>
      <w:pPr>
        <w:ind w:left="6480" w:hanging="360"/>
      </w:pPr>
    </w:lvl>
  </w:abstractNum>
  <w:abstractNum w:abstractNumId="1" w15:restartNumberingAfterBreak="0">
    <w:nsid w:val="4DB85D24"/>
    <w:multiLevelType w:val="hybridMultilevel"/>
    <w:tmpl w:val="CEC2A348"/>
    <w:lvl w:ilvl="0" w:tplc="857EC692">
      <w:start w:val="1"/>
      <w:numFmt w:val="bullet"/>
      <w:lvlText w:val="•"/>
      <w:lvlJc w:val="left"/>
      <w:pPr>
        <w:ind w:left="720" w:hanging="360"/>
      </w:pPr>
    </w:lvl>
    <w:lvl w:ilvl="1" w:tplc="82CC3F88">
      <w:start w:val="1"/>
      <w:numFmt w:val="bullet"/>
      <w:lvlText w:val="o"/>
      <w:lvlJc w:val="left"/>
      <w:pPr>
        <w:ind w:left="1440" w:hanging="360"/>
      </w:pPr>
    </w:lvl>
    <w:lvl w:ilvl="2" w:tplc="936AE66C">
      <w:start w:val="1"/>
      <w:numFmt w:val="bullet"/>
      <w:lvlText w:val="▪"/>
      <w:lvlJc w:val="left"/>
      <w:pPr>
        <w:ind w:left="2160" w:hanging="360"/>
      </w:pPr>
    </w:lvl>
    <w:lvl w:ilvl="3" w:tplc="6C4E7C0E">
      <w:start w:val="1"/>
      <w:numFmt w:val="bullet"/>
      <w:lvlText w:val="•"/>
      <w:lvlJc w:val="left"/>
      <w:pPr>
        <w:ind w:left="2880" w:hanging="360"/>
      </w:pPr>
    </w:lvl>
    <w:lvl w:ilvl="4" w:tplc="9774DBF0">
      <w:start w:val="1"/>
      <w:numFmt w:val="bullet"/>
      <w:lvlText w:val="o"/>
      <w:lvlJc w:val="left"/>
      <w:pPr>
        <w:ind w:left="3600" w:hanging="360"/>
      </w:pPr>
    </w:lvl>
    <w:lvl w:ilvl="5" w:tplc="339080B4">
      <w:start w:val="1"/>
      <w:numFmt w:val="bullet"/>
      <w:lvlText w:val="▪"/>
      <w:lvlJc w:val="left"/>
      <w:pPr>
        <w:ind w:left="4320" w:hanging="360"/>
      </w:pPr>
    </w:lvl>
    <w:lvl w:ilvl="6" w:tplc="07FCB83C">
      <w:start w:val="1"/>
      <w:numFmt w:val="bullet"/>
      <w:lvlText w:val="•"/>
      <w:lvlJc w:val="left"/>
      <w:pPr>
        <w:ind w:left="5040" w:hanging="360"/>
      </w:pPr>
    </w:lvl>
    <w:lvl w:ilvl="7" w:tplc="6A221CDA">
      <w:start w:val="1"/>
      <w:numFmt w:val="bullet"/>
      <w:lvlText w:val="o"/>
      <w:lvlJc w:val="left"/>
      <w:pPr>
        <w:ind w:left="5760" w:hanging="360"/>
      </w:pPr>
    </w:lvl>
    <w:lvl w:ilvl="8" w:tplc="4BB83DAE">
      <w:start w:val="1"/>
      <w:numFmt w:val="bullet"/>
      <w:lvlText w:val="▪"/>
      <w:lvlJc w:val="left"/>
      <w:pPr>
        <w:ind w:left="6480" w:hanging="360"/>
      </w:pPr>
    </w:lvl>
  </w:abstractNum>
  <w:num w:numId="1" w16cid:durableId="1710688134">
    <w:abstractNumId w:val="1"/>
  </w:num>
  <w:num w:numId="2" w16cid:durableId="956062666">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59E"/>
    <w:rsid w:val="000C7A72"/>
    <w:rsid w:val="0054259E"/>
    <w:rsid w:val="00691753"/>
    <w:rsid w:val="00736215"/>
    <w:rsid w:val="009312C7"/>
    <w:rsid w:val="00AC7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6B9152"/>
  <w15:docId w15:val="{02EA2804-8E5B-9540-9610-ADEB8581C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360" w:after="120"/>
      <w:outlineLvl w:val="0"/>
    </w:pPr>
    <w:rPr>
      <w:b/>
      <w:sz w:val="32"/>
    </w:rPr>
  </w:style>
  <w:style w:type="paragraph" w:styleId="Heading2">
    <w:name w:val="heading 2"/>
    <w:basedOn w:val="Normal"/>
    <w:next w:val="Normal"/>
    <w:uiPriority w:val="9"/>
    <w:unhideWhenUsed/>
    <w:qFormat/>
    <w:pPr>
      <w:keepNext/>
      <w:spacing w:before="280" w:after="100"/>
      <w:outlineLvl w:val="1"/>
    </w:pPr>
    <w:rPr>
      <w:b/>
      <w:sz w:val="26"/>
    </w:rPr>
  </w:style>
  <w:style w:type="paragraph" w:styleId="Heading3">
    <w:name w:val="heading 3"/>
    <w:basedOn w:val="Normal"/>
    <w:next w:val="Normal"/>
    <w:uiPriority w:val="9"/>
    <w:unhideWhenUsed/>
    <w:qFormat/>
    <w:pPr>
      <w:keepNext/>
      <w:spacing w:before="240" w:after="80"/>
      <w:outlineLvl w:val="2"/>
    </w:pPr>
    <w:rPr>
      <w:b/>
      <w:sz w:val="24"/>
    </w:rPr>
  </w:style>
  <w:style w:type="paragraph" w:styleId="Heading4">
    <w:name w:val="heading 4"/>
    <w:basedOn w:val="Normal"/>
    <w:next w:val="Normal"/>
    <w:uiPriority w:val="9"/>
    <w:semiHidden/>
    <w:unhideWhenUsed/>
    <w:qFormat/>
    <w:pPr>
      <w:keepNext/>
      <w:outlineLvl w:val="3"/>
    </w:pPr>
    <w:rPr>
      <w:b/>
    </w:rPr>
  </w:style>
  <w:style w:type="paragraph" w:styleId="Heading5">
    <w:name w:val="heading 5"/>
    <w:basedOn w:val="Normal"/>
    <w:next w:val="Normal"/>
    <w:uiPriority w:val="9"/>
    <w:semiHidden/>
    <w:unhideWhenUsed/>
    <w:qFormat/>
    <w:pPr>
      <w:keepNext/>
      <w:outlineLvl w:val="4"/>
    </w:pPr>
    <w:rPr>
      <w:b/>
    </w:rPr>
  </w:style>
  <w:style w:type="paragraph" w:styleId="Heading6">
    <w:name w:val="heading 6"/>
    <w:basedOn w:val="Normal"/>
    <w:next w:val="Normal"/>
    <w:uiPriority w:val="9"/>
    <w:semiHidden/>
    <w:unhideWhenUsed/>
    <w:qFormat/>
    <w:pPr>
      <w:keepNext/>
      <w:outlineLvl w:val="5"/>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contextualSpacing/>
    </w:pPr>
    <w:rPr>
      <w:sz w:val="56"/>
    </w:rPr>
  </w:style>
  <w:style w:type="paragraph" w:styleId="Quote">
    <w:name w:val="Quote"/>
    <w:basedOn w:val="Normal"/>
    <w:qFormat/>
    <w:pPr>
      <w:pBdr>
        <w:left w:val="single" w:sz="12" w:space="8" w:color="A0A0A0"/>
      </w:pBdr>
      <w:ind w:left="720" w:right="720"/>
    </w:pPr>
    <w:rPr>
      <w:i/>
      <w:color w:val="404040"/>
    </w:rPr>
  </w:style>
  <w:style w:type="paragraph" w:customStyle="1" w:styleId="Code">
    <w:name w:val="Code"/>
    <w:basedOn w:val="Normal"/>
    <w:link w:val="CodeChar"/>
    <w:pPr>
      <w:shd w:val="clear" w:color="auto" w:fill="F5F5F5"/>
      <w:spacing w:after="0" w:line="240" w:lineRule="auto"/>
      <w:contextualSpacing/>
    </w:pPr>
    <w:rPr>
      <w:rFonts w:ascii="Consolas" w:eastAsia="Consolas" w:hAnsi="Consolas" w:cs="Consolas"/>
      <w:sz w:val="20"/>
    </w:rPr>
  </w:style>
  <w:style w:type="character" w:customStyle="1" w:styleId="CodeChar">
    <w:name w:val="Code Char"/>
    <w:link w:val="Code"/>
    <w:rPr>
      <w:rFonts w:ascii="Consolas" w:eastAsia="Consolas" w:hAnsi="Consolas" w:cs="Consolas"/>
      <w:sz w:val="20"/>
      <w:shd w:val="clear" w:color="auto" w:fill="F5F5F5"/>
    </w:rPr>
  </w:style>
  <w:style w:type="paragraph" w:styleId="ListParagraph">
    <w:name w:val="List Paragraph"/>
    <w:basedOn w:val="Normal"/>
    <w:qFormat/>
    <w:pPr>
      <w:ind w:left="720"/>
      <w:contextualSpacing/>
    </w:pPr>
  </w:style>
  <w:style w:type="character" w:styleId="Hyperlink">
    <w:name w:val="Hyperlink"/>
    <w:rPr>
      <w:color w:val="0563C1"/>
      <w:u w:val="single"/>
    </w:rPr>
  </w:style>
  <w:style w:type="paragraph" w:styleId="CommentText">
    <w:name w:val="annotation text"/>
    <w:basedOn w:val="Normal"/>
    <w:pPr>
      <w:spacing w:line="240" w:lineRule="auto"/>
    </w:pPr>
    <w:rPr>
      <w:sz w:val="20"/>
      <w:szCs w:val="20"/>
    </w:rPr>
  </w:style>
  <w:style w:type="character" w:styleId="CommentReference">
    <w:name w:val="annotation reference"/>
    <w:rPr>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2206</Words>
  <Characters>12578</Characters>
  <Application>Microsoft Office Word</Application>
  <DocSecurity>0</DocSecurity>
  <Lines>104</Lines>
  <Paragraphs>29</Paragraphs>
  <ScaleCrop>false</ScaleCrop>
  <Company/>
  <LinksUpToDate>false</LinksUpToDate>
  <CharactersWithSpaces>14755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Development and Evaluation of a Points-Based Reward Application for Prom</dc:title>
  <dc:description>Claude Docs node/9b937db9-6635@28 docx-w7</dc:description>
  <cp:lastModifiedBy>Tyler Bate (2304031)</cp:lastModifiedBy>
  <cp:revision>2</cp:revision>
  <dcterms:created xsi:type="dcterms:W3CDTF">2026-10-20T21:23:00Z</dcterms:created>
  <dcterms:modified xsi:type="dcterms:W3CDTF">2026-10-20T21:23:00Z</dcterms:modified>
</cp:coreProperties>
</file>