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BFAE2CE" w14:textId="77777777" w:rsidR="00453BDB" w:rsidRPr="00453BDB" w:rsidRDefault="00453BDB" w:rsidP="00453BDB">
      <w:pPr>
        <w:spacing w:before="120" w:after="120"/>
        <w:jc w:val="center"/>
        <w:rPr>
          <w:rFonts w:ascii="Arial" w:hAnsi="Arial" w:cs="Arial"/>
          <w:b/>
          <w:sz w:val="48"/>
          <w:szCs w:val="48"/>
        </w:rPr>
      </w:pPr>
      <w:r w:rsidRPr="00453BDB">
        <w:rPr>
          <w:rFonts w:ascii="Arial" w:hAnsi="Arial" w:cs="Arial"/>
          <w:b/>
          <w:sz w:val="48"/>
          <w:szCs w:val="48"/>
        </w:rPr>
        <w:t>Gender Race Religion &amp; Crime</w:t>
      </w:r>
    </w:p>
    <w:p w14:paraId="1C70A171" w14:textId="079321F0" w:rsidR="00453BDB" w:rsidRPr="00AA5118" w:rsidRDefault="00453BDB" w:rsidP="00AA5118">
      <w:pPr>
        <w:jc w:val="center"/>
        <w:rPr>
          <w:rFonts w:asciiTheme="majorHAnsi" w:hAnsiTheme="majorHAnsi" w:cstheme="majorHAnsi"/>
          <w:sz w:val="48"/>
          <w:szCs w:val="48"/>
        </w:rPr>
      </w:pPr>
      <w:r w:rsidRPr="00453BDB">
        <w:rPr>
          <w:rFonts w:asciiTheme="majorHAnsi" w:hAnsiTheme="majorHAnsi" w:cstheme="majorHAnsi"/>
          <w:sz w:val="48"/>
          <w:szCs w:val="48"/>
        </w:rPr>
        <w:t>What are the challenges faced by Transgender Individuals within the Criminal Justice System, and how can these be addressed?</w:t>
      </w:r>
    </w:p>
    <w:p w14:paraId="75562E8C" w14:textId="77777777" w:rsidR="00453BDB" w:rsidRDefault="00453BDB" w:rsidP="00453BDB">
      <w:pPr>
        <w:jc w:val="center"/>
        <w:rPr>
          <w:rFonts w:asciiTheme="majorHAnsi" w:hAnsiTheme="majorHAnsi" w:cstheme="majorHAnsi"/>
        </w:rPr>
      </w:pPr>
    </w:p>
    <w:p w14:paraId="14692311" w14:textId="77777777" w:rsidR="00453BDB" w:rsidRDefault="00453BDB" w:rsidP="00453BDB">
      <w:pPr>
        <w:jc w:val="center"/>
        <w:rPr>
          <w:rFonts w:asciiTheme="majorHAnsi" w:hAnsiTheme="majorHAnsi" w:cstheme="majorHAnsi"/>
        </w:rPr>
      </w:pPr>
    </w:p>
    <w:p w14:paraId="7450A324" w14:textId="77777777" w:rsidR="00453BDB" w:rsidRDefault="00453BDB" w:rsidP="00453BDB">
      <w:pPr>
        <w:jc w:val="center"/>
        <w:rPr>
          <w:rFonts w:asciiTheme="majorHAnsi" w:hAnsiTheme="majorHAnsi" w:cstheme="majorHAnsi"/>
        </w:rPr>
      </w:pPr>
    </w:p>
    <w:p w14:paraId="224080CA" w14:textId="77777777" w:rsidR="00453BDB" w:rsidRPr="00453BDB" w:rsidRDefault="00453BDB" w:rsidP="00453BDB">
      <w:pPr>
        <w:jc w:val="center"/>
        <w:rPr>
          <w:rFonts w:asciiTheme="majorHAnsi" w:hAnsiTheme="majorHAnsi" w:cstheme="majorHAnsi"/>
        </w:rPr>
      </w:pPr>
    </w:p>
    <w:p w14:paraId="701B95FB" w14:textId="2DC410D7" w:rsidR="00453BDB" w:rsidRDefault="00453BDB">
      <w:r>
        <w:rPr>
          <w:noProof/>
          <w14:ligatures w14:val="standardContextual"/>
        </w:rPr>
        <w:drawing>
          <wp:inline distT="0" distB="0" distL="0" distR="0" wp14:anchorId="55C6E670" wp14:editId="15A6EBA6">
            <wp:extent cx="5731510" cy="3820795"/>
            <wp:effectExtent l="0" t="0" r="0" b="1905"/>
            <wp:docPr id="1855652721" name="Picture 1" descr="A chalk drawing of gender symbol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5652721" name="Picture 1" descr="A chalk drawing of gender symbols&#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p>
    <w:p w14:paraId="1ACC445E" w14:textId="22F3389A" w:rsidR="00453BDB" w:rsidRDefault="00453BDB">
      <w:pPr>
        <w:rPr>
          <w:rFonts w:ascii="Arial" w:hAnsi="Arial" w:cs="Arial"/>
          <w:color w:val="000000"/>
        </w:rPr>
      </w:pPr>
      <w:r w:rsidRPr="00453BDB">
        <w:rPr>
          <w:rFonts w:ascii="Arial" w:hAnsi="Arial" w:cs="Arial"/>
          <w:color w:val="000000"/>
        </w:rPr>
        <w:t>Rood (2020)</w:t>
      </w:r>
    </w:p>
    <w:p w14:paraId="3020D928" w14:textId="77777777" w:rsidR="00453BDB" w:rsidRDefault="00453BDB">
      <w:pPr>
        <w:rPr>
          <w:rFonts w:ascii="Arial" w:hAnsi="Arial" w:cs="Arial"/>
          <w:color w:val="000000"/>
        </w:rPr>
      </w:pPr>
    </w:p>
    <w:p w14:paraId="296B3C14" w14:textId="77777777" w:rsidR="00453BDB" w:rsidRDefault="00453BDB">
      <w:pPr>
        <w:rPr>
          <w:rFonts w:ascii="Arial" w:hAnsi="Arial" w:cs="Arial"/>
          <w:color w:val="000000"/>
        </w:rPr>
      </w:pPr>
    </w:p>
    <w:p w14:paraId="3E199365" w14:textId="77777777" w:rsidR="00453BDB" w:rsidRDefault="00453BDB">
      <w:pPr>
        <w:rPr>
          <w:rFonts w:ascii="Arial" w:hAnsi="Arial" w:cs="Arial"/>
          <w:color w:val="000000"/>
        </w:rPr>
      </w:pPr>
    </w:p>
    <w:p w14:paraId="6CB6A56C" w14:textId="77777777" w:rsidR="00453BDB" w:rsidRPr="00453BDB" w:rsidRDefault="00453BDB">
      <w:pPr>
        <w:rPr>
          <w:rFonts w:ascii="Arial" w:hAnsi="Arial" w:cs="Arial"/>
          <w:color w:val="000000"/>
          <w:sz w:val="48"/>
          <w:szCs w:val="48"/>
        </w:rPr>
      </w:pPr>
    </w:p>
    <w:p w14:paraId="0CA37377" w14:textId="399ABD86" w:rsidR="00453BDB" w:rsidRPr="00453BDB" w:rsidRDefault="00453BDB" w:rsidP="00453BDB">
      <w:pPr>
        <w:jc w:val="center"/>
        <w:rPr>
          <w:rFonts w:ascii="Arial" w:hAnsi="Arial" w:cs="Arial"/>
          <w:color w:val="000000"/>
          <w:sz w:val="48"/>
          <w:szCs w:val="48"/>
        </w:rPr>
      </w:pPr>
      <w:r w:rsidRPr="00453BDB">
        <w:rPr>
          <w:rFonts w:ascii="Arial" w:hAnsi="Arial" w:cs="Arial"/>
          <w:color w:val="000000"/>
          <w:sz w:val="48"/>
          <w:szCs w:val="48"/>
        </w:rPr>
        <w:t xml:space="preserve">Sadie May Mason </w:t>
      </w:r>
    </w:p>
    <w:p w14:paraId="561EE7B8" w14:textId="5C20C681" w:rsidR="00453BDB" w:rsidRDefault="00453BDB" w:rsidP="00453BDB">
      <w:pPr>
        <w:jc w:val="center"/>
        <w:rPr>
          <w:rFonts w:ascii="Arial" w:hAnsi="Arial" w:cs="Arial"/>
          <w:b/>
          <w:sz w:val="48"/>
          <w:szCs w:val="48"/>
        </w:rPr>
      </w:pPr>
      <w:r w:rsidRPr="00453BDB">
        <w:rPr>
          <w:rFonts w:ascii="Arial" w:hAnsi="Arial" w:cs="Arial"/>
          <w:b/>
          <w:sz w:val="48"/>
          <w:szCs w:val="48"/>
        </w:rPr>
        <w:t>BMCP6005</w:t>
      </w:r>
    </w:p>
    <w:p w14:paraId="7286F249" w14:textId="77777777" w:rsidR="00AA5118" w:rsidRPr="00AA5118" w:rsidRDefault="00AA5118" w:rsidP="00AA5118">
      <w:pPr>
        <w:spacing w:line="360" w:lineRule="auto"/>
        <w:rPr>
          <w:rFonts w:ascii="Arial" w:hAnsi="Arial" w:cs="Arial"/>
          <w:color w:val="000000"/>
        </w:rPr>
      </w:pPr>
    </w:p>
    <w:p w14:paraId="19240C6C" w14:textId="77777777" w:rsidR="00AB48A0" w:rsidRDefault="00AB48A0" w:rsidP="00AB48A0">
      <w:pPr>
        <w:pStyle w:val="NormalWeb"/>
        <w:spacing w:line="360" w:lineRule="auto"/>
        <w:rPr>
          <w:rFonts w:ascii="Arial" w:hAnsi="Arial" w:cs="Arial"/>
          <w:color w:val="000000"/>
        </w:rPr>
      </w:pPr>
    </w:p>
    <w:p w14:paraId="2C43647D" w14:textId="7E0DCFAE" w:rsidR="00AB48A0" w:rsidRPr="00440756" w:rsidRDefault="00B1527E" w:rsidP="00440756">
      <w:pPr>
        <w:pStyle w:val="NormalWeb"/>
        <w:spacing w:line="360" w:lineRule="auto"/>
        <w:rPr>
          <w:rFonts w:ascii="Arial" w:hAnsi="Arial" w:cs="Arial"/>
          <w:color w:val="000000"/>
        </w:rPr>
      </w:pPr>
      <w:r w:rsidRPr="00440756">
        <w:rPr>
          <w:rFonts w:ascii="Arial" w:hAnsi="Arial" w:cs="Arial"/>
          <w:color w:val="000000"/>
        </w:rPr>
        <w:lastRenderedPageBreak/>
        <w:t>The Criminal Justice System (CJS) is the collective term for public bodies that work</w:t>
      </w:r>
      <w:r w:rsidR="009039AA" w:rsidRPr="00440756">
        <w:rPr>
          <w:rFonts w:ascii="Arial" w:hAnsi="Arial" w:cs="Arial"/>
          <w:color w:val="000000"/>
        </w:rPr>
        <w:t xml:space="preserve"> </w:t>
      </w:r>
      <w:r w:rsidRPr="00440756">
        <w:rPr>
          <w:rFonts w:ascii="Arial" w:hAnsi="Arial" w:cs="Arial"/>
          <w:color w:val="000000"/>
        </w:rPr>
        <w:t xml:space="preserve">to uphold the law, </w:t>
      </w:r>
      <w:proofErr w:type="gramStart"/>
      <w:r w:rsidRPr="00440756">
        <w:rPr>
          <w:rFonts w:ascii="Arial" w:hAnsi="Arial" w:cs="Arial"/>
          <w:color w:val="000000"/>
        </w:rPr>
        <w:t>take action</w:t>
      </w:r>
      <w:proofErr w:type="gramEnd"/>
      <w:r w:rsidRPr="00440756">
        <w:rPr>
          <w:rFonts w:ascii="Arial" w:hAnsi="Arial" w:cs="Arial"/>
          <w:color w:val="000000"/>
        </w:rPr>
        <w:t xml:space="preserve"> against people who commit crimes and protect the</w:t>
      </w:r>
      <w:r w:rsidR="009039AA" w:rsidRPr="00440756">
        <w:rPr>
          <w:rFonts w:ascii="Arial" w:hAnsi="Arial" w:cs="Arial"/>
          <w:color w:val="000000"/>
        </w:rPr>
        <w:t xml:space="preserve"> </w:t>
      </w:r>
      <w:r w:rsidRPr="00440756">
        <w:rPr>
          <w:rFonts w:ascii="Arial" w:hAnsi="Arial" w:cs="Arial"/>
          <w:color w:val="000000"/>
        </w:rPr>
        <w:t>innocent</w:t>
      </w:r>
      <w:r w:rsidR="00440756" w:rsidRPr="00440756">
        <w:rPr>
          <w:rFonts w:ascii="Arial" w:hAnsi="Arial" w:cs="Arial"/>
          <w:color w:val="000000"/>
        </w:rPr>
        <w:t>, His Majesty’s Inspectorate of Constabulary and Fire &amp; Rescue Services (2024)</w:t>
      </w:r>
      <w:r w:rsidR="00440756" w:rsidRPr="00440756">
        <w:rPr>
          <w:rStyle w:val="apple-converted-space"/>
          <w:rFonts w:ascii="Arial" w:eastAsiaTheme="majorEastAsia" w:hAnsi="Arial" w:cs="Arial"/>
          <w:color w:val="000000"/>
        </w:rPr>
        <w:t xml:space="preserve">. </w:t>
      </w:r>
      <w:r w:rsidR="00AB48A0" w:rsidRPr="00440756">
        <w:rPr>
          <w:rFonts w:ascii="Arial" w:hAnsi="Arial" w:cs="Arial"/>
          <w:color w:val="000000"/>
        </w:rPr>
        <w:t xml:space="preserve">King (2025) believes that the </w:t>
      </w:r>
      <w:r w:rsidR="00993171" w:rsidRPr="00440756">
        <w:rPr>
          <w:rFonts w:ascii="Arial" w:hAnsi="Arial" w:cs="Arial"/>
          <w:color w:val="000000"/>
        </w:rPr>
        <w:t>C</w:t>
      </w:r>
      <w:r w:rsidR="00AB48A0" w:rsidRPr="00440756">
        <w:rPr>
          <w:rFonts w:ascii="Arial" w:hAnsi="Arial" w:cs="Arial"/>
          <w:color w:val="000000"/>
        </w:rPr>
        <w:t xml:space="preserve">riminal </w:t>
      </w:r>
      <w:r w:rsidR="00993171" w:rsidRPr="00440756">
        <w:rPr>
          <w:rFonts w:ascii="Arial" w:hAnsi="Arial" w:cs="Arial"/>
          <w:color w:val="000000"/>
        </w:rPr>
        <w:t>J</w:t>
      </w:r>
      <w:r w:rsidR="00AB48A0" w:rsidRPr="00440756">
        <w:rPr>
          <w:rFonts w:ascii="Arial" w:hAnsi="Arial" w:cs="Arial"/>
          <w:color w:val="000000"/>
        </w:rPr>
        <w:t xml:space="preserve">ustice </w:t>
      </w:r>
      <w:r w:rsidR="00993171" w:rsidRPr="00440756">
        <w:rPr>
          <w:rFonts w:ascii="Arial" w:hAnsi="Arial" w:cs="Arial"/>
          <w:color w:val="000000"/>
        </w:rPr>
        <w:t>S</w:t>
      </w:r>
      <w:r w:rsidR="00AB48A0" w:rsidRPr="00440756">
        <w:rPr>
          <w:rFonts w:ascii="Arial" w:hAnsi="Arial" w:cs="Arial"/>
          <w:color w:val="000000"/>
        </w:rPr>
        <w:t>ystem (CJS) is intended to uphold justice and safeguard society</w:t>
      </w:r>
      <w:r w:rsidRPr="00440756">
        <w:rPr>
          <w:rFonts w:ascii="Arial" w:hAnsi="Arial" w:cs="Arial"/>
          <w:color w:val="000000"/>
        </w:rPr>
        <w:t>, however, a</w:t>
      </w:r>
      <w:r w:rsidR="00AB48A0" w:rsidRPr="00440756">
        <w:rPr>
          <w:rFonts w:ascii="Arial" w:hAnsi="Arial" w:cs="Arial"/>
          <w:color w:val="000000"/>
        </w:rPr>
        <w:t xml:space="preserve">ccording to </w:t>
      </w:r>
      <w:proofErr w:type="spellStart"/>
      <w:r w:rsidR="00AB48A0" w:rsidRPr="00440756">
        <w:rPr>
          <w:rFonts w:ascii="Arial" w:hAnsi="Arial" w:cs="Arial"/>
          <w:color w:val="000000"/>
        </w:rPr>
        <w:t>Baćak</w:t>
      </w:r>
      <w:proofErr w:type="spellEnd"/>
      <w:r w:rsidR="00AB48A0" w:rsidRPr="00440756">
        <w:rPr>
          <w:rFonts w:ascii="Arial" w:hAnsi="Arial" w:cs="Arial"/>
          <w:color w:val="000000"/>
        </w:rPr>
        <w:t xml:space="preserve"> (2023), the current system often exacerbates the vulnerabilities of transgender people, rather than protecting their rights.</w:t>
      </w:r>
      <w:r w:rsidRPr="00440756">
        <w:rPr>
          <w:rFonts w:ascii="Arial" w:hAnsi="Arial" w:cs="Arial"/>
          <w:color w:val="000000"/>
        </w:rPr>
        <w:t xml:space="preserve"> There are currently 262,000 transgender</w:t>
      </w:r>
      <w:r w:rsidR="009039AA" w:rsidRPr="00440756">
        <w:rPr>
          <w:rFonts w:ascii="Arial" w:hAnsi="Arial" w:cs="Arial"/>
          <w:color w:val="000000"/>
        </w:rPr>
        <w:t xml:space="preserve"> </w:t>
      </w:r>
      <w:r w:rsidRPr="00440756">
        <w:rPr>
          <w:rFonts w:ascii="Arial" w:hAnsi="Arial" w:cs="Arial"/>
          <w:color w:val="000000"/>
        </w:rPr>
        <w:t>individuals in the UK</w:t>
      </w:r>
      <w:r w:rsidR="008D7221">
        <w:rPr>
          <w:rFonts w:ascii="Arial" w:hAnsi="Arial" w:cs="Arial"/>
          <w:color w:val="000000"/>
        </w:rPr>
        <w:t xml:space="preserve"> </w:t>
      </w:r>
      <w:r w:rsidRPr="00440756">
        <w:rPr>
          <w:rFonts w:ascii="Arial" w:hAnsi="Arial" w:cs="Arial"/>
          <w:color w:val="000000"/>
        </w:rPr>
        <w:t>Office for National Statistics</w:t>
      </w:r>
      <w:r w:rsidR="008D7221">
        <w:rPr>
          <w:rFonts w:ascii="Arial" w:hAnsi="Arial" w:cs="Arial"/>
          <w:color w:val="000000"/>
        </w:rPr>
        <w:t xml:space="preserve"> (</w:t>
      </w:r>
      <w:r w:rsidRPr="00440756">
        <w:rPr>
          <w:rFonts w:ascii="Arial" w:hAnsi="Arial" w:cs="Arial"/>
          <w:color w:val="000000"/>
        </w:rPr>
        <w:t>2025) and 295 transgender</w:t>
      </w:r>
      <w:r w:rsidR="009039AA" w:rsidRPr="00440756">
        <w:rPr>
          <w:rFonts w:ascii="Arial" w:hAnsi="Arial" w:cs="Arial"/>
          <w:color w:val="000000"/>
        </w:rPr>
        <w:t xml:space="preserve"> </w:t>
      </w:r>
      <w:r w:rsidRPr="00440756">
        <w:rPr>
          <w:rFonts w:ascii="Arial" w:hAnsi="Arial" w:cs="Arial"/>
          <w:color w:val="000000"/>
        </w:rPr>
        <w:t>prisoners in UK prisons (Ministry of Justice</w:t>
      </w:r>
      <w:r w:rsidR="008D7221">
        <w:rPr>
          <w:rFonts w:ascii="Arial" w:hAnsi="Arial" w:cs="Arial"/>
          <w:color w:val="000000"/>
        </w:rPr>
        <w:t>, 2024</w:t>
      </w:r>
      <w:r w:rsidRPr="00440756">
        <w:rPr>
          <w:rFonts w:ascii="Arial" w:hAnsi="Arial" w:cs="Arial"/>
          <w:color w:val="000000"/>
        </w:rPr>
        <w:t>)</w:t>
      </w:r>
      <w:r w:rsidR="00AB48A0" w:rsidRPr="00440756">
        <w:rPr>
          <w:rFonts w:ascii="Arial" w:hAnsi="Arial" w:cs="Arial"/>
          <w:color w:val="000000"/>
        </w:rPr>
        <w:t xml:space="preserve"> This essay critically investigates the systemic prejudice against transgender people in policing, the judicial system, and penal facilities, illustrating how such marginalisation raises serious human rights problems. According to Avalos (2022), transgender people are routinely subjected to violence, harassment, legal impediments, and inadequate medical care, </w:t>
      </w:r>
      <w:r w:rsidRPr="00440756">
        <w:rPr>
          <w:rFonts w:ascii="Arial" w:hAnsi="Arial" w:cs="Arial"/>
          <w:color w:val="000000"/>
        </w:rPr>
        <w:t>resulting in increased</w:t>
      </w:r>
      <w:r w:rsidR="00AB48A0" w:rsidRPr="00440756">
        <w:rPr>
          <w:rFonts w:ascii="Arial" w:hAnsi="Arial" w:cs="Arial"/>
          <w:color w:val="000000"/>
        </w:rPr>
        <w:t xml:space="preserve"> social isolation. Furthermore</w:t>
      </w:r>
      <w:r w:rsidR="00993171" w:rsidRPr="00440756">
        <w:rPr>
          <w:rFonts w:ascii="Arial" w:hAnsi="Arial" w:cs="Arial"/>
          <w:color w:val="000000"/>
        </w:rPr>
        <w:t xml:space="preserve">, </w:t>
      </w:r>
      <w:proofErr w:type="spellStart"/>
      <w:r w:rsidR="00993171" w:rsidRPr="00440756">
        <w:rPr>
          <w:rFonts w:ascii="Arial" w:hAnsi="Arial" w:cs="Arial"/>
          <w:color w:val="000000"/>
        </w:rPr>
        <w:t>Brömdal</w:t>
      </w:r>
      <w:proofErr w:type="spellEnd"/>
      <w:r w:rsidR="00993171" w:rsidRPr="00440756">
        <w:rPr>
          <w:rFonts w:ascii="Arial" w:hAnsi="Arial" w:cs="Arial"/>
          <w:color w:val="000000"/>
        </w:rPr>
        <w:t xml:space="preserve"> et al (2024) states,</w:t>
      </w:r>
      <w:r w:rsidRPr="00440756">
        <w:rPr>
          <w:rFonts w:ascii="Arial" w:hAnsi="Arial" w:cs="Arial"/>
          <w:color w:val="000000"/>
        </w:rPr>
        <w:t xml:space="preserve"> that</w:t>
      </w:r>
      <w:r w:rsidR="00993171" w:rsidRPr="00440756">
        <w:rPr>
          <w:rFonts w:ascii="Arial" w:hAnsi="Arial" w:cs="Arial"/>
          <w:color w:val="000000"/>
        </w:rPr>
        <w:t xml:space="preserve"> </w:t>
      </w:r>
      <w:r w:rsidR="00AB48A0" w:rsidRPr="00440756">
        <w:rPr>
          <w:rFonts w:ascii="Arial" w:hAnsi="Arial" w:cs="Arial"/>
          <w:color w:val="000000"/>
        </w:rPr>
        <w:t xml:space="preserve">these systemic challenges result in disproportionate incarceration rates, often worsening the mental and physical suffering experienced by transgender people. By examining the interaction of gender identity and prejudice at several phases of the criminal justice system, this essay emphasises the critical need for reform to ensure that transgender persons are treated with the same decency, respect, and rights as </w:t>
      </w:r>
      <w:r w:rsidRPr="00440756">
        <w:rPr>
          <w:rFonts w:ascii="Arial" w:hAnsi="Arial" w:cs="Arial"/>
          <w:color w:val="000000"/>
        </w:rPr>
        <w:t>all other groups within</w:t>
      </w:r>
      <w:r w:rsidR="00AB48A0" w:rsidRPr="00440756">
        <w:rPr>
          <w:rFonts w:ascii="Arial" w:hAnsi="Arial" w:cs="Arial"/>
          <w:color w:val="000000"/>
        </w:rPr>
        <w:t xml:space="preserve"> the system.</w:t>
      </w:r>
    </w:p>
    <w:p w14:paraId="3072DA91" w14:textId="3EBA1D4B" w:rsidR="00AB48A0" w:rsidRPr="00440756" w:rsidRDefault="00033271" w:rsidP="00440756">
      <w:pPr>
        <w:pStyle w:val="NormalWeb"/>
        <w:spacing w:line="360" w:lineRule="auto"/>
        <w:rPr>
          <w:rFonts w:ascii="Arial" w:hAnsi="Arial" w:cs="Arial"/>
          <w:color w:val="000000"/>
        </w:rPr>
      </w:pPr>
      <w:r w:rsidRPr="00440756">
        <w:rPr>
          <w:rFonts w:ascii="Arial" w:hAnsi="Arial" w:cs="Arial"/>
          <w:color w:val="000000"/>
        </w:rPr>
        <w:t>Walters et al (2017) convey that, t</w:t>
      </w:r>
      <w:r w:rsidR="00AB48A0" w:rsidRPr="00440756">
        <w:rPr>
          <w:rFonts w:ascii="Arial" w:hAnsi="Arial" w:cs="Arial"/>
          <w:color w:val="000000"/>
        </w:rPr>
        <w:t>he experiences of transgender individuals within the Criminal Justice System (CJS) are fraught with systemic biases that obstruct their access to justice. According to Renz (2024), one of the primary issues is the misgendering of transgender individuals through legal documentation, which not only invalidates their gender identity but also creates barriers to receiving appropriate legal representation. The CJS, as Renz (2024) further contends, has been slow to implement policies that address the unique needs of transgender individuals, treating these concerns as secondary in comparison to broader systemic issues</w:t>
      </w:r>
      <w:r w:rsidR="00A14A55" w:rsidRPr="00440756">
        <w:rPr>
          <w:rFonts w:ascii="Arial" w:hAnsi="Arial" w:cs="Arial"/>
          <w:color w:val="000000"/>
        </w:rPr>
        <w:t xml:space="preserve">. Renz (2024) also </w:t>
      </w:r>
      <w:r w:rsidR="00B1527E" w:rsidRPr="00440756">
        <w:rPr>
          <w:rFonts w:ascii="Arial" w:hAnsi="Arial" w:cs="Arial"/>
          <w:color w:val="000000"/>
        </w:rPr>
        <w:t>argues</w:t>
      </w:r>
      <w:r w:rsidR="00A14A55" w:rsidRPr="00440756">
        <w:rPr>
          <w:rFonts w:ascii="Arial" w:hAnsi="Arial" w:cs="Arial"/>
          <w:color w:val="000000"/>
        </w:rPr>
        <w:t xml:space="preserve"> </w:t>
      </w:r>
      <w:proofErr w:type="gramStart"/>
      <w:r w:rsidR="00A14A55" w:rsidRPr="00440756">
        <w:rPr>
          <w:rFonts w:ascii="Arial" w:hAnsi="Arial" w:cs="Arial"/>
          <w:color w:val="000000"/>
        </w:rPr>
        <w:t>that,</w:t>
      </w:r>
      <w:proofErr w:type="gramEnd"/>
      <w:r w:rsidR="00A14A55" w:rsidRPr="00440756">
        <w:rPr>
          <w:rFonts w:ascii="Arial" w:hAnsi="Arial" w:cs="Arial"/>
          <w:color w:val="000000"/>
        </w:rPr>
        <w:t xml:space="preserve"> t</w:t>
      </w:r>
      <w:r w:rsidR="00AB48A0" w:rsidRPr="00440756">
        <w:rPr>
          <w:rFonts w:ascii="Arial" w:hAnsi="Arial" w:cs="Arial"/>
          <w:color w:val="000000"/>
        </w:rPr>
        <w:t xml:space="preserve">his lack of tailored policies is particularly evident in the failure to create an inclusive environment for transgender people, which directly affects their ability to access justice and fair treatment. In agreement, </w:t>
      </w:r>
      <w:proofErr w:type="spellStart"/>
      <w:r w:rsidR="00AB48A0" w:rsidRPr="00440756">
        <w:rPr>
          <w:rFonts w:ascii="Arial" w:hAnsi="Arial" w:cs="Arial"/>
          <w:color w:val="000000"/>
        </w:rPr>
        <w:t>Maycock</w:t>
      </w:r>
      <w:proofErr w:type="spellEnd"/>
      <w:r w:rsidR="00AB48A0" w:rsidRPr="00440756">
        <w:rPr>
          <w:rFonts w:ascii="Arial" w:hAnsi="Arial" w:cs="Arial"/>
          <w:color w:val="000000"/>
        </w:rPr>
        <w:t xml:space="preserve"> et al (2025) suggest that addressing these injustices requires a multifaceted approach involving comprehensive policy reforms, speciali</w:t>
      </w:r>
      <w:r w:rsidR="008D7221">
        <w:rPr>
          <w:rFonts w:ascii="Arial" w:hAnsi="Arial" w:cs="Arial"/>
          <w:color w:val="000000"/>
        </w:rPr>
        <w:t>s</w:t>
      </w:r>
      <w:r w:rsidR="00AB48A0" w:rsidRPr="00440756">
        <w:rPr>
          <w:rFonts w:ascii="Arial" w:hAnsi="Arial" w:cs="Arial"/>
          <w:color w:val="000000"/>
        </w:rPr>
        <w:t xml:space="preserve">ed training for law enforcement </w:t>
      </w:r>
      <w:r w:rsidR="00AB48A0" w:rsidRPr="00440756">
        <w:rPr>
          <w:rFonts w:ascii="Arial" w:hAnsi="Arial" w:cs="Arial"/>
          <w:color w:val="000000"/>
        </w:rPr>
        <w:lastRenderedPageBreak/>
        <w:t xml:space="preserve">personnel, and a shift in societal attitudes toward gender identity. </w:t>
      </w:r>
      <w:proofErr w:type="spellStart"/>
      <w:r w:rsidR="00A14A55" w:rsidRPr="00440756">
        <w:rPr>
          <w:rFonts w:ascii="Arial" w:hAnsi="Arial" w:cs="Arial"/>
          <w:color w:val="000000"/>
        </w:rPr>
        <w:t>Maycock</w:t>
      </w:r>
      <w:proofErr w:type="spellEnd"/>
      <w:r w:rsidR="00A14A55" w:rsidRPr="00440756">
        <w:rPr>
          <w:rFonts w:ascii="Arial" w:hAnsi="Arial" w:cs="Arial"/>
          <w:color w:val="000000"/>
        </w:rPr>
        <w:t xml:space="preserve"> et al (2025</w:t>
      </w:r>
      <w:r w:rsidR="00750A5C" w:rsidRPr="00440756">
        <w:rPr>
          <w:rFonts w:ascii="Arial" w:hAnsi="Arial" w:cs="Arial"/>
          <w:color w:val="000000"/>
        </w:rPr>
        <w:t>)</w:t>
      </w:r>
      <w:r w:rsidR="00A14A55" w:rsidRPr="00440756">
        <w:rPr>
          <w:rFonts w:ascii="Arial" w:hAnsi="Arial" w:cs="Arial"/>
          <w:color w:val="000000"/>
        </w:rPr>
        <w:t xml:space="preserve"> goes on to say that s</w:t>
      </w:r>
      <w:r w:rsidR="00AB48A0" w:rsidRPr="00440756">
        <w:rPr>
          <w:rFonts w:ascii="Arial" w:hAnsi="Arial" w:cs="Arial"/>
          <w:color w:val="000000"/>
        </w:rPr>
        <w:t>uch reforms would not only create a more inclusive system but also ensure the equitable treatment of transgender individuals, irrespective of their gender identity.</w:t>
      </w:r>
    </w:p>
    <w:p w14:paraId="4137A745" w14:textId="58209933" w:rsidR="00AB48A0" w:rsidRPr="00440756" w:rsidRDefault="00B1527E" w:rsidP="00440756">
      <w:pPr>
        <w:pStyle w:val="NormalWeb"/>
        <w:spacing w:line="360" w:lineRule="auto"/>
        <w:rPr>
          <w:rFonts w:ascii="Arial" w:hAnsi="Arial" w:cs="Arial"/>
          <w:color w:val="000000"/>
        </w:rPr>
      </w:pPr>
      <w:r w:rsidRPr="00440756">
        <w:rPr>
          <w:rFonts w:ascii="Arial" w:hAnsi="Arial" w:cs="Arial"/>
          <w:color w:val="000000"/>
        </w:rPr>
        <w:t xml:space="preserve">According to Van </w:t>
      </w:r>
      <w:proofErr w:type="spellStart"/>
      <w:r w:rsidRPr="00440756">
        <w:rPr>
          <w:rFonts w:ascii="Arial" w:hAnsi="Arial" w:cs="Arial"/>
          <w:color w:val="000000"/>
        </w:rPr>
        <w:t>Hout</w:t>
      </w:r>
      <w:proofErr w:type="spellEnd"/>
      <w:r w:rsidRPr="00440756">
        <w:rPr>
          <w:rFonts w:ascii="Arial" w:hAnsi="Arial" w:cs="Arial"/>
          <w:color w:val="000000"/>
        </w:rPr>
        <w:t xml:space="preserve"> and Crowley (2021) h</w:t>
      </w:r>
      <w:r w:rsidR="00AB48A0" w:rsidRPr="00440756">
        <w:rPr>
          <w:rFonts w:ascii="Arial" w:hAnsi="Arial" w:cs="Arial"/>
          <w:color w:val="000000"/>
        </w:rPr>
        <w:t xml:space="preserve">arassment and discrimination are pervasive issues for transgender individuals in the CJS, particularly within law enforcement and correctional settings. </w:t>
      </w:r>
      <w:r w:rsidRPr="00440756">
        <w:rPr>
          <w:rFonts w:ascii="Arial" w:hAnsi="Arial" w:cs="Arial"/>
          <w:color w:val="000000"/>
        </w:rPr>
        <w:t xml:space="preserve">They </w:t>
      </w:r>
      <w:r w:rsidR="00AB48A0" w:rsidRPr="00440756">
        <w:rPr>
          <w:rFonts w:ascii="Arial" w:hAnsi="Arial" w:cs="Arial"/>
          <w:color w:val="000000"/>
        </w:rPr>
        <w:t>argue that transgender individuals frequently face verbal and physical abuse from law enforcement officers, legal representatives, and fellow inmates. This assertion is supported by Jacobs (2024), who notes that transgender people are often subjected to routine mistreatment in various CJS settings. Abreu</w:t>
      </w:r>
      <w:r w:rsidR="0022350E" w:rsidRPr="00440756">
        <w:rPr>
          <w:rFonts w:ascii="Arial" w:hAnsi="Arial" w:cs="Arial"/>
          <w:color w:val="000000"/>
        </w:rPr>
        <w:t xml:space="preserve"> (</w:t>
      </w:r>
      <w:r w:rsidR="00AB48A0" w:rsidRPr="00440756">
        <w:rPr>
          <w:rFonts w:ascii="Arial" w:hAnsi="Arial" w:cs="Arial"/>
          <w:color w:val="000000"/>
        </w:rPr>
        <w:t>2021) provide</w:t>
      </w:r>
      <w:r w:rsidR="008D7221">
        <w:rPr>
          <w:rFonts w:ascii="Arial" w:hAnsi="Arial" w:cs="Arial"/>
          <w:color w:val="000000"/>
        </w:rPr>
        <w:t>s</w:t>
      </w:r>
      <w:r w:rsidR="00AB48A0" w:rsidRPr="00440756">
        <w:rPr>
          <w:rFonts w:ascii="Arial" w:hAnsi="Arial" w:cs="Arial"/>
          <w:color w:val="000000"/>
        </w:rPr>
        <w:t xml:space="preserve"> further insight into the dynamics of abuse, emphasi</w:t>
      </w:r>
      <w:r w:rsidR="008D7221">
        <w:rPr>
          <w:rFonts w:ascii="Arial" w:hAnsi="Arial" w:cs="Arial"/>
          <w:color w:val="000000"/>
        </w:rPr>
        <w:t>s</w:t>
      </w:r>
      <w:r w:rsidR="00AB48A0" w:rsidRPr="00440756">
        <w:rPr>
          <w:rFonts w:ascii="Arial" w:hAnsi="Arial" w:cs="Arial"/>
          <w:color w:val="000000"/>
        </w:rPr>
        <w:t xml:space="preserve">ing that law enforcement officers may intentionally demean transgender individuals, which results in a significant erosion of trust between the transgender community and the police. This hostile environment is exemplified in a case study by Taylor (2013), where police officers in central London allegedly mocked a transgender woman during her arrest, calling her "not normal." This case highlights the personal toll of discriminatory practices and the societal stigmas that transgender individuals face within the CJS. Moreover, </w:t>
      </w:r>
      <w:proofErr w:type="spellStart"/>
      <w:r w:rsidR="00AB48A0" w:rsidRPr="00440756">
        <w:rPr>
          <w:rFonts w:ascii="Arial" w:hAnsi="Arial" w:cs="Arial"/>
          <w:color w:val="000000"/>
        </w:rPr>
        <w:t>Suhomlinova</w:t>
      </w:r>
      <w:proofErr w:type="spellEnd"/>
      <w:r w:rsidR="00AB48A0" w:rsidRPr="00440756">
        <w:rPr>
          <w:rFonts w:ascii="Arial" w:hAnsi="Arial" w:cs="Arial"/>
          <w:color w:val="000000"/>
        </w:rPr>
        <w:t xml:space="preserve"> and O'Shea (2024</w:t>
      </w:r>
      <w:r w:rsidR="005D5A59" w:rsidRPr="00440756">
        <w:rPr>
          <w:rFonts w:ascii="Arial" w:hAnsi="Arial" w:cs="Arial"/>
          <w:color w:val="000000"/>
        </w:rPr>
        <w:t>b</w:t>
      </w:r>
      <w:r w:rsidR="00AB48A0" w:rsidRPr="00440756">
        <w:rPr>
          <w:rFonts w:ascii="Arial" w:hAnsi="Arial" w:cs="Arial"/>
          <w:color w:val="000000"/>
        </w:rPr>
        <w:t>) argue that this mistreatment extends into correctional facilities, where transgender inmates often experience discrimination not only from staff but also from fellow detainees. Walters (2024) reinforces this, noting that persistent misgendering and the refusal to acknowledge transgender identities create a toxic and hostile atmosphere that compounds the challenges transgender individuals face within the CJS.</w:t>
      </w:r>
    </w:p>
    <w:p w14:paraId="0F18DD8F" w14:textId="670440DA" w:rsidR="00AB48A0" w:rsidRPr="00440756" w:rsidRDefault="00AB48A0" w:rsidP="00440756">
      <w:pPr>
        <w:pStyle w:val="NormalWeb"/>
        <w:spacing w:line="360" w:lineRule="auto"/>
        <w:rPr>
          <w:rFonts w:ascii="Arial" w:hAnsi="Arial" w:cs="Arial"/>
          <w:color w:val="000000"/>
        </w:rPr>
      </w:pPr>
      <w:r w:rsidRPr="00440756">
        <w:rPr>
          <w:rFonts w:ascii="Arial" w:hAnsi="Arial" w:cs="Arial"/>
          <w:color w:val="000000"/>
        </w:rPr>
        <w:t>Freitas et al (2024) outline several manifestations of discrimination, such as the use of inappropriate terminology, denial of essential healthcare, and a failure to protect transgender individuals from physical and sexual violence. Avalos and Carrillo (2024) further argue that law enforcement officers may target transgender individuals for invasive searches, arrests, or questioning based on entrenched stereotypes and prejudices, which are often not addressed due to a lack of training in gender identity issues. Evans et al (2024) emphasi</w:t>
      </w:r>
      <w:r w:rsidR="008D7221">
        <w:rPr>
          <w:rFonts w:ascii="Arial" w:hAnsi="Arial" w:cs="Arial"/>
          <w:color w:val="000000"/>
        </w:rPr>
        <w:t>s</w:t>
      </w:r>
      <w:r w:rsidRPr="00440756">
        <w:rPr>
          <w:rFonts w:ascii="Arial" w:hAnsi="Arial" w:cs="Arial"/>
          <w:color w:val="000000"/>
        </w:rPr>
        <w:t xml:space="preserve">e that the systemic failure to provide appropriate housing for transgender individuals in correctional institutions is particularly </w:t>
      </w:r>
      <w:r w:rsidRPr="00440756">
        <w:rPr>
          <w:rFonts w:ascii="Arial" w:hAnsi="Arial" w:cs="Arial"/>
          <w:color w:val="000000"/>
        </w:rPr>
        <w:lastRenderedPageBreak/>
        <w:t>problematic, as many are placed in facilities that do not align with their gender identity, which significantly heightens their risk of physical and sexual violence. Saenz (2024) supports this view, arguing that such placements foster a climate of fear and isolation, which is compounded by the lack of institutional support to address the unique needs of transgender detainees.</w:t>
      </w:r>
    </w:p>
    <w:p w14:paraId="47F8621C" w14:textId="0424E257" w:rsidR="00AB48A0" w:rsidRPr="00440756" w:rsidRDefault="00AB48A0" w:rsidP="00440756">
      <w:pPr>
        <w:pStyle w:val="NormalWeb"/>
        <w:spacing w:line="360" w:lineRule="auto"/>
        <w:rPr>
          <w:rFonts w:ascii="Arial" w:hAnsi="Arial" w:cs="Arial"/>
          <w:color w:val="000000"/>
        </w:rPr>
      </w:pPr>
      <w:r w:rsidRPr="00440756">
        <w:rPr>
          <w:rFonts w:ascii="Arial" w:hAnsi="Arial" w:cs="Arial"/>
          <w:color w:val="000000"/>
        </w:rPr>
        <w:t>To address these concerns, Hester et al (2023) advocate for mandatory sensitivity training for law enforcement and correctional officers, emphasi</w:t>
      </w:r>
      <w:r w:rsidR="008D7221">
        <w:rPr>
          <w:rFonts w:ascii="Arial" w:hAnsi="Arial" w:cs="Arial"/>
          <w:color w:val="000000"/>
        </w:rPr>
        <w:t>s</w:t>
      </w:r>
      <w:r w:rsidRPr="00440756">
        <w:rPr>
          <w:rFonts w:ascii="Arial" w:hAnsi="Arial" w:cs="Arial"/>
          <w:color w:val="000000"/>
        </w:rPr>
        <w:t xml:space="preserve">ing the importance of understanding gender identity, using appropriate pronouns, and ensuring that transgender individuals are treated with dignity and respect. Similarly, Herman et al (2022) stress the need for stringent anti-discrimination policies throughout the CJS, with clear penalties for discriminatory conduct. These recommendations align with the </w:t>
      </w:r>
      <w:r w:rsidR="00993171" w:rsidRPr="00440756">
        <w:rPr>
          <w:rFonts w:ascii="Arial" w:hAnsi="Arial" w:cs="Arial"/>
          <w:color w:val="000000"/>
        </w:rPr>
        <w:t xml:space="preserve">American Civil Liberties Union </w:t>
      </w:r>
      <w:r w:rsidRPr="00440756">
        <w:rPr>
          <w:rFonts w:ascii="Arial" w:hAnsi="Arial" w:cs="Arial"/>
          <w:color w:val="000000"/>
        </w:rPr>
        <w:t>call for the establishment of independent monitoring bodies to investigate instances of discrimination, which would improve transparency and accountability. James et al</w:t>
      </w:r>
      <w:r w:rsidR="00993171" w:rsidRPr="00440756">
        <w:rPr>
          <w:rFonts w:ascii="Arial" w:hAnsi="Arial" w:cs="Arial"/>
          <w:color w:val="000000"/>
        </w:rPr>
        <w:t xml:space="preserve"> </w:t>
      </w:r>
      <w:r w:rsidRPr="00440756">
        <w:rPr>
          <w:rFonts w:ascii="Arial" w:hAnsi="Arial" w:cs="Arial"/>
          <w:color w:val="000000"/>
        </w:rPr>
        <w:t xml:space="preserve">(2021) and McKinnon (2023) both highlight significant obstacles </w:t>
      </w:r>
      <w:r w:rsidR="00B1527E" w:rsidRPr="00440756">
        <w:rPr>
          <w:rFonts w:ascii="Arial" w:hAnsi="Arial" w:cs="Arial"/>
          <w:color w:val="000000"/>
        </w:rPr>
        <w:t xml:space="preserve">faced by </w:t>
      </w:r>
      <w:r w:rsidRPr="00440756">
        <w:rPr>
          <w:rFonts w:ascii="Arial" w:hAnsi="Arial" w:cs="Arial"/>
          <w:color w:val="000000"/>
        </w:rPr>
        <w:t>transgender individuals in reporting crimes, with many being deterred by the fear of exposure, humiliation, or being disregarded by law enforcement. Ryan and Smith (2023) further argue that the scepticism and hostility often exhibited by law enforcement discourage transgender victims from coming forward.</w:t>
      </w:r>
    </w:p>
    <w:p w14:paraId="1ED897A1" w14:textId="6BD2B9CF" w:rsidR="00AB48A0" w:rsidRPr="00440756" w:rsidRDefault="00AB48A0" w:rsidP="00440756">
      <w:pPr>
        <w:pStyle w:val="NormalWeb"/>
        <w:spacing w:line="360" w:lineRule="auto"/>
        <w:rPr>
          <w:rFonts w:ascii="Arial" w:hAnsi="Arial" w:cs="Arial"/>
          <w:color w:val="000000"/>
        </w:rPr>
      </w:pPr>
      <w:r w:rsidRPr="00440756">
        <w:rPr>
          <w:rFonts w:ascii="Arial" w:hAnsi="Arial" w:cs="Arial"/>
          <w:color w:val="000000"/>
        </w:rPr>
        <w:t xml:space="preserve">Critically, while </w:t>
      </w:r>
      <w:proofErr w:type="spellStart"/>
      <w:r w:rsidRPr="00440756">
        <w:rPr>
          <w:rFonts w:ascii="Arial" w:hAnsi="Arial" w:cs="Arial"/>
          <w:color w:val="000000"/>
        </w:rPr>
        <w:t>Kosbie</w:t>
      </w:r>
      <w:proofErr w:type="spellEnd"/>
      <w:r w:rsidRPr="00440756">
        <w:rPr>
          <w:rFonts w:ascii="Arial" w:hAnsi="Arial" w:cs="Arial"/>
          <w:color w:val="000000"/>
        </w:rPr>
        <w:t xml:space="preserve"> (2021) suggests that speciali</w:t>
      </w:r>
      <w:r w:rsidR="008D7221">
        <w:rPr>
          <w:rFonts w:ascii="Arial" w:hAnsi="Arial" w:cs="Arial"/>
          <w:color w:val="000000"/>
        </w:rPr>
        <w:t>s</w:t>
      </w:r>
      <w:r w:rsidRPr="00440756">
        <w:rPr>
          <w:rFonts w:ascii="Arial" w:hAnsi="Arial" w:cs="Arial"/>
          <w:color w:val="000000"/>
        </w:rPr>
        <w:t xml:space="preserve">ed </w:t>
      </w:r>
      <w:r w:rsidR="00993171" w:rsidRPr="00440756">
        <w:rPr>
          <w:rFonts w:ascii="Arial" w:hAnsi="Arial" w:cs="Arial"/>
          <w:color w:val="000000"/>
        </w:rPr>
        <w:t>Lesbian, gay, bisexual and transgender (</w:t>
      </w:r>
      <w:r w:rsidRPr="00440756">
        <w:rPr>
          <w:rFonts w:ascii="Arial" w:hAnsi="Arial" w:cs="Arial"/>
          <w:color w:val="000000"/>
        </w:rPr>
        <w:t>LGBTQ+</w:t>
      </w:r>
      <w:r w:rsidR="00993171" w:rsidRPr="00440756">
        <w:rPr>
          <w:rFonts w:ascii="Arial" w:hAnsi="Arial" w:cs="Arial"/>
          <w:color w:val="000000"/>
        </w:rPr>
        <w:t>)</w:t>
      </w:r>
      <w:r w:rsidRPr="00440756">
        <w:rPr>
          <w:rFonts w:ascii="Arial" w:hAnsi="Arial" w:cs="Arial"/>
          <w:color w:val="000000"/>
        </w:rPr>
        <w:t xml:space="preserve"> units within law enforcement could improve community relations, Pickles (2019) highlights that these units may have limited effectiveness due to deeply ingrained institutional biases that persist within the system. Chang (2023) suggests that community outreach programs have the potential to foster trust between transgender individuals and law enforcement, but their success is dependent on institutional commitment and adequate funding. While safe and anonymous reporting mechanisms may mitigate some of the barriers to reporting, the </w:t>
      </w:r>
      <w:r w:rsidR="00B1527E" w:rsidRPr="00440756">
        <w:rPr>
          <w:rFonts w:ascii="Arial" w:hAnsi="Arial" w:cs="Arial"/>
          <w:color w:val="000000"/>
        </w:rPr>
        <w:t>American Civil Liberties Union (</w:t>
      </w:r>
      <w:r w:rsidRPr="00440756">
        <w:rPr>
          <w:rFonts w:ascii="Arial" w:hAnsi="Arial" w:cs="Arial"/>
          <w:color w:val="000000"/>
        </w:rPr>
        <w:t>ACLU</w:t>
      </w:r>
      <w:r w:rsidR="00235B2B">
        <w:rPr>
          <w:rFonts w:ascii="Arial" w:hAnsi="Arial" w:cs="Arial"/>
          <w:color w:val="000000"/>
        </w:rPr>
        <w:t>, 2</w:t>
      </w:r>
      <w:r w:rsidRPr="00440756">
        <w:rPr>
          <w:rFonts w:ascii="Arial" w:hAnsi="Arial" w:cs="Arial"/>
          <w:color w:val="000000"/>
        </w:rPr>
        <w:t>022</w:t>
      </w:r>
      <w:r w:rsidR="00235B2B">
        <w:rPr>
          <w:rFonts w:ascii="Arial" w:hAnsi="Arial" w:cs="Arial"/>
          <w:color w:val="000000"/>
        </w:rPr>
        <w:t>b</w:t>
      </w:r>
      <w:r w:rsidRPr="00440756">
        <w:rPr>
          <w:rFonts w:ascii="Arial" w:hAnsi="Arial" w:cs="Arial"/>
          <w:color w:val="000000"/>
        </w:rPr>
        <w:t xml:space="preserve">) cautions that such measures alone are insufficient to protect transgender individuals from ongoing discrimination within the legal system. </w:t>
      </w:r>
      <w:r w:rsidR="00033271" w:rsidRPr="00440756">
        <w:rPr>
          <w:rFonts w:ascii="Arial" w:hAnsi="Arial" w:cs="Arial"/>
          <w:color w:val="000000"/>
        </w:rPr>
        <w:t xml:space="preserve">Levi and Barry (2021) </w:t>
      </w:r>
      <w:r w:rsidR="008D7221" w:rsidRPr="00440756">
        <w:rPr>
          <w:rFonts w:ascii="Arial" w:hAnsi="Arial" w:cs="Arial"/>
          <w:color w:val="000000"/>
        </w:rPr>
        <w:t>declare</w:t>
      </w:r>
      <w:r w:rsidR="00033271" w:rsidRPr="00440756">
        <w:rPr>
          <w:rFonts w:ascii="Arial" w:hAnsi="Arial" w:cs="Arial"/>
          <w:color w:val="000000"/>
        </w:rPr>
        <w:t xml:space="preserve"> t</w:t>
      </w:r>
      <w:r w:rsidRPr="00440756">
        <w:rPr>
          <w:rFonts w:ascii="Arial" w:hAnsi="Arial" w:cs="Arial"/>
          <w:color w:val="000000"/>
        </w:rPr>
        <w:t>hese differing perspectives underscore the complexity of the issue and the need for a comprehensive approach to reform.</w:t>
      </w:r>
    </w:p>
    <w:p w14:paraId="56EC3BA6" w14:textId="3B22B24B" w:rsidR="00B1527E" w:rsidRPr="00440756" w:rsidRDefault="00B1527E" w:rsidP="00440756">
      <w:pPr>
        <w:pStyle w:val="NormalWeb"/>
        <w:spacing w:line="360" w:lineRule="auto"/>
        <w:rPr>
          <w:rFonts w:ascii="Arial" w:hAnsi="Arial" w:cs="Arial"/>
          <w:color w:val="000000"/>
        </w:rPr>
      </w:pPr>
      <w:proofErr w:type="spellStart"/>
      <w:r w:rsidRPr="00440756">
        <w:rPr>
          <w:rFonts w:ascii="Arial" w:hAnsi="Arial" w:cs="Arial"/>
          <w:color w:val="000000"/>
        </w:rPr>
        <w:lastRenderedPageBreak/>
        <w:t>Tarzwell</w:t>
      </w:r>
      <w:proofErr w:type="spellEnd"/>
      <w:r w:rsidRPr="00440756">
        <w:rPr>
          <w:rFonts w:ascii="Arial" w:hAnsi="Arial" w:cs="Arial"/>
          <w:color w:val="000000"/>
        </w:rPr>
        <w:t xml:space="preserve"> (2021) identifie</w:t>
      </w:r>
      <w:r w:rsidR="008D7221">
        <w:rPr>
          <w:rFonts w:ascii="Arial" w:hAnsi="Arial" w:cs="Arial"/>
          <w:color w:val="000000"/>
        </w:rPr>
        <w:t>d</w:t>
      </w:r>
      <w:r w:rsidRPr="00440756">
        <w:rPr>
          <w:rFonts w:ascii="Arial" w:hAnsi="Arial" w:cs="Arial"/>
          <w:color w:val="000000"/>
        </w:rPr>
        <w:t xml:space="preserve"> the issue of misgendering and the denial of gende</w:t>
      </w:r>
      <w:r w:rsidR="009039AA" w:rsidRPr="00440756">
        <w:rPr>
          <w:rFonts w:ascii="Arial" w:hAnsi="Arial" w:cs="Arial"/>
          <w:color w:val="000000"/>
        </w:rPr>
        <w:t xml:space="preserve">r </w:t>
      </w:r>
      <w:r w:rsidRPr="00440756">
        <w:rPr>
          <w:rFonts w:ascii="Arial" w:hAnsi="Arial" w:cs="Arial"/>
          <w:color w:val="000000"/>
        </w:rPr>
        <w:t>appropriate facilities as another significant challenge faced by transgender</w:t>
      </w:r>
      <w:r w:rsidR="009039AA" w:rsidRPr="00440756">
        <w:rPr>
          <w:rFonts w:ascii="Arial" w:hAnsi="Arial" w:cs="Arial"/>
          <w:color w:val="000000"/>
        </w:rPr>
        <w:t xml:space="preserve"> </w:t>
      </w:r>
      <w:r w:rsidRPr="00440756">
        <w:rPr>
          <w:rFonts w:ascii="Arial" w:hAnsi="Arial" w:cs="Arial"/>
          <w:color w:val="000000"/>
        </w:rPr>
        <w:t xml:space="preserve">individuals in the CJS. </w:t>
      </w:r>
      <w:proofErr w:type="spellStart"/>
      <w:r w:rsidRPr="00440756">
        <w:rPr>
          <w:rFonts w:ascii="Arial" w:hAnsi="Arial" w:cs="Arial"/>
          <w:color w:val="000000"/>
        </w:rPr>
        <w:t>Tarzwell</w:t>
      </w:r>
      <w:proofErr w:type="spellEnd"/>
      <w:r w:rsidRPr="00440756">
        <w:rPr>
          <w:rFonts w:ascii="Arial" w:hAnsi="Arial" w:cs="Arial"/>
          <w:color w:val="000000"/>
        </w:rPr>
        <w:t xml:space="preserve"> (2021) argues that these </w:t>
      </w:r>
      <w:r w:rsidR="005856DA" w:rsidRPr="00440756">
        <w:rPr>
          <w:rFonts w:ascii="Arial" w:hAnsi="Arial" w:cs="Arial"/>
          <w:color w:val="000000"/>
        </w:rPr>
        <w:t>are</w:t>
      </w:r>
      <w:r w:rsidRPr="00440756">
        <w:rPr>
          <w:rFonts w:ascii="Arial" w:hAnsi="Arial" w:cs="Arial"/>
          <w:color w:val="000000"/>
        </w:rPr>
        <w:t xml:space="preserve"> key obstacles</w:t>
      </w:r>
      <w:r w:rsidR="009039AA" w:rsidRPr="00440756">
        <w:rPr>
          <w:rFonts w:ascii="Arial" w:hAnsi="Arial" w:cs="Arial"/>
          <w:color w:val="000000"/>
        </w:rPr>
        <w:t xml:space="preserve"> </w:t>
      </w:r>
      <w:r w:rsidRPr="00440756">
        <w:rPr>
          <w:rFonts w:ascii="Arial" w:hAnsi="Arial" w:cs="Arial"/>
          <w:color w:val="000000"/>
        </w:rPr>
        <w:t>within the system, particularly within correctional institutions, where transgender</w:t>
      </w:r>
      <w:r w:rsidR="009039AA" w:rsidRPr="00440756">
        <w:rPr>
          <w:rFonts w:ascii="Arial" w:hAnsi="Arial" w:cs="Arial"/>
          <w:color w:val="000000"/>
        </w:rPr>
        <w:t xml:space="preserve"> </w:t>
      </w:r>
      <w:r w:rsidRPr="00440756">
        <w:rPr>
          <w:rFonts w:ascii="Arial" w:hAnsi="Arial" w:cs="Arial"/>
          <w:color w:val="000000"/>
        </w:rPr>
        <w:t>individuals are often placed in detention based on their sex at birth rather than their</w:t>
      </w:r>
      <w:r w:rsidR="009039AA" w:rsidRPr="00440756">
        <w:rPr>
          <w:rFonts w:ascii="Arial" w:hAnsi="Arial" w:cs="Arial"/>
          <w:color w:val="000000"/>
        </w:rPr>
        <w:t xml:space="preserve"> </w:t>
      </w:r>
      <w:r w:rsidRPr="00440756">
        <w:rPr>
          <w:rFonts w:ascii="Arial" w:hAnsi="Arial" w:cs="Arial"/>
          <w:color w:val="000000"/>
        </w:rPr>
        <w:t xml:space="preserve">gender identity. Hernández (2022) supports this, asserting that law enforcement </w:t>
      </w:r>
      <w:r w:rsidR="008D7221" w:rsidRPr="00440756">
        <w:rPr>
          <w:rFonts w:ascii="Arial" w:hAnsi="Arial" w:cs="Arial"/>
          <w:color w:val="000000"/>
        </w:rPr>
        <w:t>and correctional</w:t>
      </w:r>
      <w:r w:rsidRPr="00440756">
        <w:rPr>
          <w:rFonts w:ascii="Arial" w:hAnsi="Arial" w:cs="Arial"/>
          <w:color w:val="000000"/>
        </w:rPr>
        <w:t xml:space="preserve"> officers frequently disregard transgender individuals</w:t>
      </w:r>
      <w:r w:rsidR="009039AA" w:rsidRPr="00440756">
        <w:rPr>
          <w:rFonts w:ascii="Arial" w:hAnsi="Arial" w:cs="Arial"/>
          <w:color w:val="000000"/>
        </w:rPr>
        <w:t xml:space="preserve"> </w:t>
      </w:r>
      <w:r w:rsidRPr="00440756">
        <w:rPr>
          <w:rFonts w:ascii="Arial" w:hAnsi="Arial" w:cs="Arial"/>
          <w:color w:val="000000"/>
        </w:rPr>
        <w:t xml:space="preserve">preferred </w:t>
      </w:r>
      <w:r w:rsidR="009039AA" w:rsidRPr="00440756">
        <w:rPr>
          <w:rFonts w:ascii="Arial" w:hAnsi="Arial" w:cs="Arial"/>
          <w:color w:val="000000"/>
        </w:rPr>
        <w:t>pronouns, which</w:t>
      </w:r>
      <w:r w:rsidRPr="00440756">
        <w:rPr>
          <w:rFonts w:ascii="Arial" w:hAnsi="Arial" w:cs="Arial"/>
          <w:color w:val="000000"/>
        </w:rPr>
        <w:t xml:space="preserve"> exacerbates their psychological distress. Sumner and </w:t>
      </w:r>
      <w:proofErr w:type="spellStart"/>
      <w:r w:rsidRPr="00440756">
        <w:rPr>
          <w:rFonts w:ascii="Arial" w:hAnsi="Arial" w:cs="Arial"/>
          <w:color w:val="000000"/>
        </w:rPr>
        <w:t>Jenness</w:t>
      </w:r>
      <w:proofErr w:type="spellEnd"/>
      <w:r w:rsidRPr="00440756">
        <w:rPr>
          <w:rFonts w:ascii="Arial" w:hAnsi="Arial" w:cs="Arial"/>
          <w:color w:val="000000"/>
        </w:rPr>
        <w:t xml:space="preserve"> (2021) </w:t>
      </w:r>
      <w:r w:rsidR="009039AA" w:rsidRPr="00440756">
        <w:rPr>
          <w:rFonts w:ascii="Arial" w:hAnsi="Arial" w:cs="Arial"/>
          <w:color w:val="000000"/>
        </w:rPr>
        <w:t xml:space="preserve">argue </w:t>
      </w:r>
      <w:r w:rsidRPr="00440756">
        <w:rPr>
          <w:rFonts w:ascii="Arial" w:hAnsi="Arial" w:cs="Arial"/>
          <w:color w:val="000000"/>
        </w:rPr>
        <w:t>that this practice increases the risk of violence and further alienates transgender</w:t>
      </w:r>
      <w:r w:rsidR="009039AA" w:rsidRPr="00440756">
        <w:rPr>
          <w:rFonts w:ascii="Arial" w:hAnsi="Arial" w:cs="Arial"/>
          <w:color w:val="000000"/>
        </w:rPr>
        <w:t xml:space="preserve"> </w:t>
      </w:r>
      <w:r w:rsidRPr="00440756">
        <w:rPr>
          <w:rFonts w:ascii="Arial" w:hAnsi="Arial" w:cs="Arial"/>
          <w:color w:val="000000"/>
        </w:rPr>
        <w:t xml:space="preserve">individuals from the CJS. In contrast, </w:t>
      </w:r>
      <w:proofErr w:type="spellStart"/>
      <w:r w:rsidRPr="00440756">
        <w:rPr>
          <w:rFonts w:ascii="Arial" w:hAnsi="Arial" w:cs="Arial"/>
          <w:color w:val="000000"/>
        </w:rPr>
        <w:t>Stotzer</w:t>
      </w:r>
      <w:proofErr w:type="spellEnd"/>
      <w:r w:rsidRPr="00440756">
        <w:rPr>
          <w:rFonts w:ascii="Arial" w:hAnsi="Arial" w:cs="Arial"/>
          <w:color w:val="000000"/>
        </w:rPr>
        <w:t xml:space="preserve"> (2021), found</w:t>
      </w:r>
      <w:r w:rsidR="009039AA" w:rsidRPr="00440756">
        <w:rPr>
          <w:rFonts w:ascii="Arial" w:hAnsi="Arial" w:cs="Arial"/>
          <w:color w:val="000000"/>
        </w:rPr>
        <w:t xml:space="preserve"> </w:t>
      </w:r>
      <w:r w:rsidRPr="00440756">
        <w:rPr>
          <w:rFonts w:ascii="Arial" w:hAnsi="Arial" w:cs="Arial"/>
          <w:color w:val="000000"/>
        </w:rPr>
        <w:t>that jurisdictions that permit transgender detainees to be housed according to their</w:t>
      </w:r>
      <w:r w:rsidR="009039AA" w:rsidRPr="00440756">
        <w:rPr>
          <w:rFonts w:ascii="Arial" w:hAnsi="Arial" w:cs="Arial"/>
          <w:color w:val="000000"/>
        </w:rPr>
        <w:t xml:space="preserve"> </w:t>
      </w:r>
      <w:r w:rsidRPr="00440756">
        <w:rPr>
          <w:rFonts w:ascii="Arial" w:hAnsi="Arial" w:cs="Arial"/>
          <w:color w:val="000000"/>
        </w:rPr>
        <w:t>gender identity experience lower rates of violence against them. However, the ACLU</w:t>
      </w:r>
      <w:r w:rsidR="009039AA" w:rsidRPr="00440756">
        <w:rPr>
          <w:rFonts w:ascii="Arial" w:hAnsi="Arial" w:cs="Arial"/>
          <w:color w:val="000000"/>
        </w:rPr>
        <w:t xml:space="preserve"> </w:t>
      </w:r>
      <w:r w:rsidRPr="00440756">
        <w:rPr>
          <w:rFonts w:ascii="Arial" w:hAnsi="Arial" w:cs="Arial"/>
          <w:color w:val="000000"/>
        </w:rPr>
        <w:t>(2022</w:t>
      </w:r>
      <w:r w:rsidR="00235B2B">
        <w:rPr>
          <w:rFonts w:ascii="Arial" w:hAnsi="Arial" w:cs="Arial"/>
          <w:color w:val="000000"/>
        </w:rPr>
        <w:t>a</w:t>
      </w:r>
      <w:r w:rsidRPr="00440756">
        <w:rPr>
          <w:rFonts w:ascii="Arial" w:hAnsi="Arial" w:cs="Arial"/>
          <w:color w:val="000000"/>
        </w:rPr>
        <w:t>) contends that such policies are often inconsistently applied, leaving</w:t>
      </w:r>
      <w:r w:rsidR="009039AA" w:rsidRPr="00440756">
        <w:rPr>
          <w:rFonts w:ascii="Arial" w:hAnsi="Arial" w:cs="Arial"/>
          <w:color w:val="000000"/>
        </w:rPr>
        <w:t xml:space="preserve"> </w:t>
      </w:r>
      <w:r w:rsidRPr="00440756">
        <w:rPr>
          <w:rFonts w:ascii="Arial" w:hAnsi="Arial" w:cs="Arial"/>
          <w:color w:val="000000"/>
        </w:rPr>
        <w:t>transgender detainees vulnerable to the discretion of correctional officers who may</w:t>
      </w:r>
      <w:r w:rsidR="009039AA" w:rsidRPr="00440756">
        <w:rPr>
          <w:rFonts w:ascii="Arial" w:hAnsi="Arial" w:cs="Arial"/>
          <w:color w:val="000000"/>
        </w:rPr>
        <w:t xml:space="preserve"> </w:t>
      </w:r>
      <w:r w:rsidRPr="00440756">
        <w:rPr>
          <w:rFonts w:ascii="Arial" w:hAnsi="Arial" w:cs="Arial"/>
          <w:color w:val="000000"/>
        </w:rPr>
        <w:t xml:space="preserve">reinforce existing prejudices. As </w:t>
      </w:r>
      <w:proofErr w:type="spellStart"/>
      <w:r w:rsidRPr="00440756">
        <w:rPr>
          <w:rFonts w:ascii="Arial" w:hAnsi="Arial" w:cs="Arial"/>
          <w:color w:val="000000"/>
        </w:rPr>
        <w:t>Olebara</w:t>
      </w:r>
      <w:proofErr w:type="spellEnd"/>
      <w:r w:rsidRPr="00440756">
        <w:rPr>
          <w:rFonts w:ascii="Arial" w:hAnsi="Arial" w:cs="Arial"/>
          <w:color w:val="000000"/>
        </w:rPr>
        <w:t xml:space="preserve"> (2024) points out, this underscores the</w:t>
      </w:r>
      <w:r w:rsidR="009039AA" w:rsidRPr="00440756">
        <w:rPr>
          <w:rFonts w:ascii="Arial" w:hAnsi="Arial" w:cs="Arial"/>
          <w:color w:val="000000"/>
        </w:rPr>
        <w:t xml:space="preserve"> </w:t>
      </w:r>
      <w:r w:rsidRPr="00440756">
        <w:rPr>
          <w:rFonts w:ascii="Arial" w:hAnsi="Arial" w:cs="Arial"/>
          <w:color w:val="000000"/>
        </w:rPr>
        <w:t>need for consistent enforcement of gender identity policies and adequate oversight</w:t>
      </w:r>
      <w:r w:rsidR="009039AA" w:rsidRPr="00440756">
        <w:rPr>
          <w:rFonts w:ascii="Arial" w:hAnsi="Arial" w:cs="Arial"/>
          <w:color w:val="000000"/>
        </w:rPr>
        <w:t xml:space="preserve"> </w:t>
      </w:r>
      <w:r w:rsidRPr="00440756">
        <w:rPr>
          <w:rFonts w:ascii="Arial" w:hAnsi="Arial" w:cs="Arial"/>
          <w:color w:val="000000"/>
        </w:rPr>
        <w:t>to ensure the safety and dignity of transgender individuals within the system.</w:t>
      </w:r>
    </w:p>
    <w:p w14:paraId="36ECB139" w14:textId="49E1AA44" w:rsidR="00AB48A0" w:rsidRPr="005856DA" w:rsidRDefault="00AB48A0" w:rsidP="005856DA">
      <w:pPr>
        <w:pStyle w:val="NormalWeb"/>
        <w:spacing w:line="360" w:lineRule="auto"/>
        <w:rPr>
          <w:rFonts w:ascii="Arial" w:hAnsi="Arial" w:cs="Arial"/>
          <w:color w:val="000000"/>
        </w:rPr>
      </w:pPr>
      <w:r w:rsidRPr="005856DA">
        <w:rPr>
          <w:rFonts w:ascii="Arial" w:hAnsi="Arial" w:cs="Arial"/>
          <w:color w:val="000000"/>
        </w:rPr>
        <w:t xml:space="preserve">The case of Isla Bryson, discussed by </w:t>
      </w:r>
      <w:proofErr w:type="spellStart"/>
      <w:r w:rsidR="00440756" w:rsidRPr="005856DA">
        <w:rPr>
          <w:rStyle w:val="Strong"/>
          <w:rFonts w:ascii="Arial" w:eastAsiaTheme="majorEastAsia" w:hAnsi="Arial" w:cs="Arial"/>
          <w:b w:val="0"/>
          <w:bCs w:val="0"/>
          <w:color w:val="000000"/>
        </w:rPr>
        <w:t>Tarzwell</w:t>
      </w:r>
      <w:proofErr w:type="spellEnd"/>
      <w:r w:rsidR="00440756" w:rsidRPr="005856DA">
        <w:rPr>
          <w:rStyle w:val="Strong"/>
          <w:rFonts w:ascii="Arial" w:eastAsiaTheme="majorEastAsia" w:hAnsi="Arial" w:cs="Arial"/>
          <w:b w:val="0"/>
          <w:bCs w:val="0"/>
          <w:color w:val="000000"/>
        </w:rPr>
        <w:t xml:space="preserve"> (2021</w:t>
      </w:r>
      <w:r w:rsidR="008D7221" w:rsidRPr="005856DA">
        <w:rPr>
          <w:rStyle w:val="Strong"/>
          <w:rFonts w:ascii="Arial" w:eastAsiaTheme="majorEastAsia" w:hAnsi="Arial" w:cs="Arial"/>
          <w:b w:val="0"/>
          <w:bCs w:val="0"/>
          <w:color w:val="000000"/>
        </w:rPr>
        <w:t>)</w:t>
      </w:r>
      <w:r w:rsidR="008D7221" w:rsidRPr="005856DA">
        <w:rPr>
          <w:rFonts w:ascii="Arial" w:hAnsi="Arial" w:cs="Arial"/>
          <w:b/>
          <w:bCs/>
          <w:color w:val="000000"/>
        </w:rPr>
        <w:t>,</w:t>
      </w:r>
      <w:r w:rsidR="008D7221" w:rsidRPr="005856DA">
        <w:rPr>
          <w:rFonts w:ascii="Arial" w:hAnsi="Arial" w:cs="Arial"/>
          <w:color w:val="000000"/>
        </w:rPr>
        <w:t xml:space="preserve"> raises</w:t>
      </w:r>
      <w:r w:rsidRPr="005856DA">
        <w:rPr>
          <w:rFonts w:ascii="Arial" w:hAnsi="Arial" w:cs="Arial"/>
          <w:color w:val="000000"/>
        </w:rPr>
        <w:t xml:space="preserve"> further concerns about the suitability of gender self-identification in prison settings, particularly in cases where individuals with a history of violent </w:t>
      </w:r>
      <w:r w:rsidR="00993171" w:rsidRPr="005856DA">
        <w:rPr>
          <w:rFonts w:ascii="Arial" w:hAnsi="Arial" w:cs="Arial"/>
          <w:color w:val="000000"/>
        </w:rPr>
        <w:t>offences</w:t>
      </w:r>
      <w:r w:rsidRPr="005856DA">
        <w:rPr>
          <w:rFonts w:ascii="Arial" w:hAnsi="Arial" w:cs="Arial"/>
          <w:color w:val="000000"/>
        </w:rPr>
        <w:t xml:space="preserve"> are involved. Bryson, initially incarcerated in a female prison under the name Adam Graham before transitioning, was later transferred due to the severity of her </w:t>
      </w:r>
      <w:r w:rsidR="00993171" w:rsidRPr="005856DA">
        <w:rPr>
          <w:rFonts w:ascii="Arial" w:hAnsi="Arial" w:cs="Arial"/>
          <w:color w:val="000000"/>
        </w:rPr>
        <w:t>offences</w:t>
      </w:r>
      <w:r w:rsidRPr="005856DA">
        <w:rPr>
          <w:rFonts w:ascii="Arial" w:hAnsi="Arial" w:cs="Arial"/>
          <w:color w:val="000000"/>
        </w:rPr>
        <w:t xml:space="preserve">. This case has sparked debates about the potential implications of self-identification policies, particularly in the context of crimes such as rape, where the placement of transgender individuals in correctional facilities becomes contentious. Tan (2023) highlights another critical issue for transgender individuals in the </w:t>
      </w:r>
      <w:r w:rsidR="00993171" w:rsidRPr="005856DA">
        <w:rPr>
          <w:rFonts w:ascii="Arial" w:hAnsi="Arial" w:cs="Arial"/>
          <w:color w:val="000000"/>
        </w:rPr>
        <w:t>United Kingdom</w:t>
      </w:r>
      <w:r w:rsidRPr="005856DA">
        <w:rPr>
          <w:rFonts w:ascii="Arial" w:hAnsi="Arial" w:cs="Arial"/>
          <w:color w:val="000000"/>
        </w:rPr>
        <w:t xml:space="preserve"> CJS </w:t>
      </w:r>
      <w:r w:rsidR="009039AA" w:rsidRPr="005856DA">
        <w:rPr>
          <w:rFonts w:ascii="Arial" w:hAnsi="Arial" w:cs="Arial"/>
          <w:color w:val="000000"/>
        </w:rPr>
        <w:t xml:space="preserve">as being </w:t>
      </w:r>
      <w:r w:rsidRPr="005856DA">
        <w:rPr>
          <w:rFonts w:ascii="Arial" w:hAnsi="Arial" w:cs="Arial"/>
          <w:color w:val="000000"/>
        </w:rPr>
        <w:t>access to appropriate healthcare. Many correctional facilities lack adequate resources for gender-affirming medical care, including hormone therapy and mental health services. A 2020 investigation by the Equality and Human Rights Commission (EHRC) revealed that transgender prisoners often face significant delays or outright denial of necessary medical treatment. Elliott (2023) suggests that this inadequate healthcare exacerbates existing physical and mental health conditions, further diminishing the well-being of transgender prisoners.</w:t>
      </w:r>
    </w:p>
    <w:p w14:paraId="3157AACE" w14:textId="0DFEA114" w:rsidR="00AB48A0" w:rsidRPr="00440756" w:rsidRDefault="00AB48A0" w:rsidP="00440756">
      <w:pPr>
        <w:pStyle w:val="NormalWeb"/>
        <w:spacing w:line="360" w:lineRule="auto"/>
        <w:rPr>
          <w:rFonts w:ascii="Arial" w:hAnsi="Arial" w:cs="Arial"/>
          <w:color w:val="000000"/>
        </w:rPr>
      </w:pPr>
      <w:proofErr w:type="spellStart"/>
      <w:r w:rsidRPr="00440756">
        <w:rPr>
          <w:rFonts w:ascii="Arial" w:hAnsi="Arial" w:cs="Arial"/>
          <w:color w:val="000000"/>
        </w:rPr>
        <w:lastRenderedPageBreak/>
        <w:t>Hereth</w:t>
      </w:r>
      <w:proofErr w:type="spellEnd"/>
      <w:r w:rsidRPr="00440756">
        <w:rPr>
          <w:rFonts w:ascii="Arial" w:hAnsi="Arial" w:cs="Arial"/>
          <w:color w:val="000000"/>
        </w:rPr>
        <w:t xml:space="preserve"> (2022) and Ministry of Justice</w:t>
      </w:r>
      <w:r w:rsidR="005856DA">
        <w:rPr>
          <w:rFonts w:ascii="Arial" w:hAnsi="Arial" w:cs="Arial"/>
          <w:color w:val="000000"/>
        </w:rPr>
        <w:t xml:space="preserve"> (2024)</w:t>
      </w:r>
      <w:r w:rsidRPr="00440756">
        <w:rPr>
          <w:rFonts w:ascii="Arial" w:hAnsi="Arial" w:cs="Arial"/>
          <w:color w:val="000000"/>
        </w:rPr>
        <w:t xml:space="preserve"> data indicate that transgender individuals, particularly transgender women, are disproportionately represented within the CJS, often due to broader societal marginalization and the criminalization of their identities. </w:t>
      </w:r>
      <w:proofErr w:type="spellStart"/>
      <w:r w:rsidRPr="00440756">
        <w:rPr>
          <w:rFonts w:ascii="Arial" w:hAnsi="Arial" w:cs="Arial"/>
          <w:color w:val="000000"/>
        </w:rPr>
        <w:t>Hereth</w:t>
      </w:r>
      <w:proofErr w:type="spellEnd"/>
      <w:r w:rsidRPr="00440756">
        <w:rPr>
          <w:rFonts w:ascii="Arial" w:hAnsi="Arial" w:cs="Arial"/>
          <w:color w:val="000000"/>
        </w:rPr>
        <w:t xml:space="preserve"> (2024) notes that transgender women of </w:t>
      </w:r>
      <w:r w:rsidR="00993171" w:rsidRPr="00440756">
        <w:rPr>
          <w:rFonts w:ascii="Arial" w:hAnsi="Arial" w:cs="Arial"/>
          <w:color w:val="000000"/>
        </w:rPr>
        <w:t>colour</w:t>
      </w:r>
      <w:r w:rsidRPr="00440756">
        <w:rPr>
          <w:rFonts w:ascii="Arial" w:hAnsi="Arial" w:cs="Arial"/>
          <w:color w:val="000000"/>
        </w:rPr>
        <w:t xml:space="preserve"> are particularly vulnerable to targeted policing and incarceration. A report by the Centre for Crime and Justice Studies (2020) highlighted that factors such as poverty, homelessness, and the criminalization of sex work disproportionately drive transgender individuals into the CJS.</w:t>
      </w:r>
      <w:r w:rsidR="008D7221">
        <w:rPr>
          <w:rFonts w:ascii="Arial" w:hAnsi="Arial" w:cs="Arial"/>
          <w:color w:val="000000"/>
        </w:rPr>
        <w:t xml:space="preserve"> To address this,</w:t>
      </w:r>
      <w:r w:rsidRPr="00440756">
        <w:rPr>
          <w:rFonts w:ascii="Arial" w:hAnsi="Arial" w:cs="Arial"/>
          <w:color w:val="000000"/>
        </w:rPr>
        <w:t xml:space="preserve"> </w:t>
      </w:r>
      <w:r w:rsidR="00033271" w:rsidRPr="00440756">
        <w:rPr>
          <w:rFonts w:ascii="Arial" w:hAnsi="Arial" w:cs="Arial"/>
          <w:color w:val="000000"/>
        </w:rPr>
        <w:t>Faye (2024),</w:t>
      </w:r>
      <w:r w:rsidRPr="00440756">
        <w:rPr>
          <w:rFonts w:ascii="Arial" w:hAnsi="Arial" w:cs="Arial"/>
          <w:color w:val="000000"/>
        </w:rPr>
        <w:t xml:space="preserve"> highlights the need for systemic reforms that not only address the immediate issues of discrimination and mistreatment but also tackle the root causes of transgender individuals’ overrepresentation in the criminal justice system.</w:t>
      </w:r>
    </w:p>
    <w:p w14:paraId="0B40652D" w14:textId="579CC7B0" w:rsidR="00AB48A0" w:rsidRPr="00440756" w:rsidRDefault="00AB48A0" w:rsidP="00440756">
      <w:pPr>
        <w:spacing w:line="360" w:lineRule="auto"/>
        <w:rPr>
          <w:rStyle w:val="apple-converted-space"/>
          <w:rFonts w:ascii="Arial" w:eastAsiaTheme="majorEastAsia" w:hAnsi="Arial" w:cs="Arial"/>
          <w:color w:val="000000"/>
        </w:rPr>
      </w:pPr>
      <w:r w:rsidRPr="00440756">
        <w:rPr>
          <w:rFonts w:ascii="Arial" w:hAnsi="Arial" w:cs="Arial"/>
          <w:color w:val="000000"/>
        </w:rPr>
        <w:t xml:space="preserve">While </w:t>
      </w:r>
      <w:proofErr w:type="spellStart"/>
      <w:r w:rsidRPr="00440756">
        <w:rPr>
          <w:rFonts w:ascii="Arial" w:hAnsi="Arial" w:cs="Arial"/>
          <w:color w:val="000000"/>
        </w:rPr>
        <w:t>Suhomlinova</w:t>
      </w:r>
      <w:proofErr w:type="spellEnd"/>
      <w:r w:rsidRPr="00440756">
        <w:rPr>
          <w:rFonts w:ascii="Arial" w:hAnsi="Arial" w:cs="Arial"/>
          <w:color w:val="000000"/>
        </w:rPr>
        <w:t xml:space="preserve"> and O'Shea (2024</w:t>
      </w:r>
      <w:r w:rsidR="005D5A59" w:rsidRPr="00440756">
        <w:rPr>
          <w:rFonts w:ascii="Arial" w:hAnsi="Arial" w:cs="Arial"/>
          <w:color w:val="000000"/>
        </w:rPr>
        <w:t>a</w:t>
      </w:r>
      <w:r w:rsidRPr="00440756">
        <w:rPr>
          <w:rFonts w:ascii="Arial" w:hAnsi="Arial" w:cs="Arial"/>
          <w:color w:val="000000"/>
        </w:rPr>
        <w:t xml:space="preserve">) note that many transgender women are incarcerated for nonviolent </w:t>
      </w:r>
      <w:r w:rsidR="00993171" w:rsidRPr="00440756">
        <w:rPr>
          <w:rFonts w:ascii="Arial" w:hAnsi="Arial" w:cs="Arial"/>
          <w:color w:val="000000"/>
        </w:rPr>
        <w:t>offences</w:t>
      </w:r>
      <w:r w:rsidRPr="00440756">
        <w:rPr>
          <w:rFonts w:ascii="Arial" w:hAnsi="Arial" w:cs="Arial"/>
          <w:color w:val="000000"/>
        </w:rPr>
        <w:t xml:space="preserve">, Rayment (2024) presents contradictory findings, reporting that over 70% of transgender prisoners have been convicted of sex or violent crimes. This has sparked debates on whether transgender women should be housed in female prisons, with women's rights activists like Thomas (2023) arguing against their inclusion. However, Joseph (2023) counters that the systemic discrimination transgender individuals face is exacerbated by inadequate training for criminal justice professionals. According to a 2021 </w:t>
      </w:r>
      <w:r w:rsidR="009039AA" w:rsidRPr="00440756">
        <w:rPr>
          <w:rFonts w:ascii="Arial" w:hAnsi="Arial" w:cs="Arial"/>
          <w:color w:val="000000"/>
        </w:rPr>
        <w:t xml:space="preserve">study </w:t>
      </w:r>
      <w:r w:rsidRPr="00440756">
        <w:rPr>
          <w:rFonts w:ascii="Arial" w:hAnsi="Arial" w:cs="Arial"/>
          <w:color w:val="000000"/>
        </w:rPr>
        <w:t xml:space="preserve">by the Howard League for Penal Reform, many prison personnel and law enforcement officers lack LGBTQ+ training, which frequently results in the maltreatment of transgender people in jail. In the words of Coppola (2023), transgender prisoners may be asked inappropriate questions about their body, gender identity, and sexual history, aggravating their pain. In the opinion of Parr-Morley (2024), criminal justice workers must be trained to recognise the </w:t>
      </w:r>
      <w:proofErr w:type="gramStart"/>
      <w:r w:rsidRPr="00440756">
        <w:rPr>
          <w:rFonts w:ascii="Arial" w:hAnsi="Arial" w:cs="Arial"/>
          <w:color w:val="000000"/>
        </w:rPr>
        <w:t>particular needs</w:t>
      </w:r>
      <w:proofErr w:type="gramEnd"/>
      <w:r w:rsidRPr="00440756">
        <w:rPr>
          <w:rFonts w:ascii="Arial" w:hAnsi="Arial" w:cs="Arial"/>
          <w:color w:val="000000"/>
        </w:rPr>
        <w:t xml:space="preserve"> of transgender people, respect their gender identities, and foster a supportive and non-discriminatory atmosphere.</w:t>
      </w:r>
      <w:r w:rsidRPr="00440756">
        <w:rPr>
          <w:rStyle w:val="apple-converted-space"/>
          <w:rFonts w:ascii="Arial" w:eastAsiaTheme="majorEastAsia" w:hAnsi="Arial" w:cs="Arial"/>
          <w:color w:val="000000"/>
        </w:rPr>
        <w:t> </w:t>
      </w:r>
    </w:p>
    <w:p w14:paraId="407615A3" w14:textId="77777777" w:rsidR="00AB48A0" w:rsidRPr="00440756" w:rsidRDefault="00AB48A0" w:rsidP="00440756">
      <w:pPr>
        <w:spacing w:line="360" w:lineRule="auto"/>
        <w:rPr>
          <w:rFonts w:ascii="Arial" w:hAnsi="Arial" w:cs="Arial"/>
        </w:rPr>
      </w:pPr>
    </w:p>
    <w:p w14:paraId="0D28E117" w14:textId="17BBC192" w:rsidR="00AB48A0" w:rsidRPr="00440756" w:rsidRDefault="00AB48A0" w:rsidP="00440756">
      <w:pPr>
        <w:spacing w:line="360" w:lineRule="auto"/>
        <w:rPr>
          <w:rFonts w:ascii="Arial" w:hAnsi="Arial" w:cs="Arial"/>
          <w:color w:val="000000"/>
        </w:rPr>
      </w:pPr>
      <w:r w:rsidRPr="00440756">
        <w:rPr>
          <w:rFonts w:ascii="Arial" w:hAnsi="Arial" w:cs="Arial"/>
          <w:color w:val="000000"/>
        </w:rPr>
        <w:t xml:space="preserve">Singh et al (2021) proclaim that </w:t>
      </w:r>
      <w:proofErr w:type="gramStart"/>
      <w:r w:rsidRPr="00440756">
        <w:rPr>
          <w:rFonts w:ascii="Arial" w:hAnsi="Arial" w:cs="Arial"/>
          <w:color w:val="000000"/>
        </w:rPr>
        <w:t>in order to</w:t>
      </w:r>
      <w:proofErr w:type="gramEnd"/>
      <w:r w:rsidRPr="00440756">
        <w:rPr>
          <w:rFonts w:ascii="Arial" w:hAnsi="Arial" w:cs="Arial"/>
          <w:color w:val="000000"/>
        </w:rPr>
        <w:t xml:space="preserve"> address the issues that transgender people experience in the UK criminal justice system, a number of adjustments are required. </w:t>
      </w:r>
      <w:r w:rsidR="009039AA" w:rsidRPr="00440756">
        <w:rPr>
          <w:rFonts w:ascii="Arial" w:hAnsi="Arial" w:cs="Arial"/>
          <w:color w:val="000000"/>
        </w:rPr>
        <w:t>They state</w:t>
      </w:r>
      <w:r w:rsidRPr="00440756">
        <w:rPr>
          <w:rFonts w:ascii="Arial" w:hAnsi="Arial" w:cs="Arial"/>
          <w:color w:val="000000"/>
        </w:rPr>
        <w:t xml:space="preserve"> that firstly, healthcare rules should be changed to ensure that transgender people have prompt access to gender-affirming care, such as hormone therapies, mental health support, and, if necessary, gender-affirming procedures. </w:t>
      </w:r>
      <w:proofErr w:type="spellStart"/>
      <w:r w:rsidRPr="00440756">
        <w:rPr>
          <w:rFonts w:ascii="Arial" w:hAnsi="Arial" w:cs="Arial"/>
          <w:color w:val="000000"/>
        </w:rPr>
        <w:t>Jenness</w:t>
      </w:r>
      <w:proofErr w:type="spellEnd"/>
      <w:r w:rsidRPr="00440756">
        <w:rPr>
          <w:rFonts w:ascii="Arial" w:hAnsi="Arial" w:cs="Arial"/>
          <w:color w:val="000000"/>
        </w:rPr>
        <w:t xml:space="preserve"> (2021) also calls for change and </w:t>
      </w:r>
      <w:r w:rsidR="009039AA" w:rsidRPr="00440756">
        <w:rPr>
          <w:rFonts w:ascii="Arial" w:hAnsi="Arial" w:cs="Arial"/>
          <w:color w:val="000000"/>
        </w:rPr>
        <w:t>states</w:t>
      </w:r>
      <w:r w:rsidRPr="00440756">
        <w:rPr>
          <w:rFonts w:ascii="Arial" w:hAnsi="Arial" w:cs="Arial"/>
          <w:color w:val="000000"/>
        </w:rPr>
        <w:t xml:space="preserve"> that collaboration between the </w:t>
      </w:r>
      <w:r w:rsidRPr="00440756">
        <w:rPr>
          <w:rFonts w:ascii="Arial" w:hAnsi="Arial" w:cs="Arial"/>
          <w:color w:val="000000"/>
        </w:rPr>
        <w:lastRenderedPageBreak/>
        <w:t xml:space="preserve">Ministry of Justice and </w:t>
      </w:r>
      <w:r w:rsidR="00993171" w:rsidRPr="00440756">
        <w:rPr>
          <w:rFonts w:ascii="Arial" w:hAnsi="Arial" w:cs="Arial"/>
          <w:color w:val="000000"/>
        </w:rPr>
        <w:t>National Health Service (NHS)</w:t>
      </w:r>
      <w:r w:rsidRPr="00440756">
        <w:rPr>
          <w:rFonts w:ascii="Arial" w:hAnsi="Arial" w:cs="Arial"/>
          <w:color w:val="000000"/>
        </w:rPr>
        <w:t xml:space="preserve"> agencies is vital for establishing clear healthcare paths, reducing wait times, and ensuring appropriate treatments. Furthermore, Donohue et al (2021) insist that mental health treatments should be adapted to the specific requirements of transgender prisoners, with required LGBTQ+-related training for mental health professionals to provide culturally competent care.</w:t>
      </w:r>
    </w:p>
    <w:p w14:paraId="744FDEC8" w14:textId="77777777" w:rsidR="00AB48A0" w:rsidRPr="00440756" w:rsidRDefault="00AB48A0" w:rsidP="00440756">
      <w:pPr>
        <w:pStyle w:val="NormalWeb"/>
        <w:spacing w:line="360" w:lineRule="auto"/>
        <w:rPr>
          <w:rFonts w:ascii="Arial" w:hAnsi="Arial" w:cs="Arial"/>
          <w:color w:val="000000"/>
        </w:rPr>
      </w:pPr>
      <w:r w:rsidRPr="00440756">
        <w:rPr>
          <w:rFonts w:ascii="Arial" w:hAnsi="Arial" w:cs="Arial"/>
          <w:color w:val="000000"/>
        </w:rPr>
        <w:t>To summarize, transgender individuals in the UK criminal justice system face significant and often overlooked challenges, including limited access to healthcare, systemic bias, and over-representation. The absence of gender-affirming care, delays in hormone therapy, and obstacles to surgery and mental health services cause both physical and emotional distress for transgender prisoners. Additionally, transgender people are disproportionately represented in the criminal justice system, often due to societal marginalisation, the criminalisation of poverty, and a lack of adequate support systems. Systemic bias within the system worsens their experiences, leaving many vulnerable to harassment and harm. Tackling these issues requires a comprehensive approach that includes changes to healthcare policies, improved mental health support, specialized staff training, and diversion programs that address the root causes of criminal behaviour. Through these reforms, the UK can create a more inclusive and supportive criminal justice system that upholds transgender people's rights, dignity, and well-being, ensuring fair and compassionate treatment in their interactions with the system. Only through these efforts can we dismantle the barriers that prevent transgender people from fully engaging in society and enjoying the same rights and opportunities as everyone else.</w:t>
      </w:r>
    </w:p>
    <w:p w14:paraId="37229E09" w14:textId="77777777" w:rsidR="00AB48A0" w:rsidRPr="00440756" w:rsidRDefault="00AB48A0" w:rsidP="00440756">
      <w:pPr>
        <w:pStyle w:val="NormalWeb"/>
        <w:spacing w:line="360" w:lineRule="auto"/>
        <w:rPr>
          <w:rFonts w:ascii="Arial" w:hAnsi="Arial" w:cs="Arial"/>
          <w:color w:val="000000"/>
        </w:rPr>
      </w:pPr>
    </w:p>
    <w:p w14:paraId="46159104" w14:textId="77777777" w:rsidR="00AB48A0" w:rsidRPr="00440756" w:rsidRDefault="00AB48A0" w:rsidP="00440756">
      <w:pPr>
        <w:pStyle w:val="NormalWeb"/>
        <w:spacing w:line="360" w:lineRule="auto"/>
        <w:rPr>
          <w:rFonts w:ascii="Arial" w:hAnsi="Arial" w:cs="Arial"/>
          <w:color w:val="000000"/>
        </w:rPr>
      </w:pPr>
    </w:p>
    <w:p w14:paraId="43C2CD95" w14:textId="77777777" w:rsidR="009039AA" w:rsidRPr="00440756" w:rsidRDefault="009039AA" w:rsidP="00440756">
      <w:pPr>
        <w:spacing w:line="360" w:lineRule="auto"/>
        <w:rPr>
          <w:rFonts w:ascii="Arial" w:hAnsi="Arial" w:cs="Arial"/>
        </w:rPr>
      </w:pPr>
    </w:p>
    <w:p w14:paraId="2500BBC1" w14:textId="77777777" w:rsidR="009039AA" w:rsidRPr="00440756" w:rsidRDefault="009039AA" w:rsidP="00440756">
      <w:pPr>
        <w:spacing w:line="360" w:lineRule="auto"/>
        <w:rPr>
          <w:rFonts w:ascii="Arial" w:hAnsi="Arial" w:cs="Arial"/>
        </w:rPr>
      </w:pPr>
    </w:p>
    <w:p w14:paraId="4CDE737E" w14:textId="0F98E87A" w:rsidR="009039AA" w:rsidRPr="00440756" w:rsidRDefault="00AB48A0" w:rsidP="00440756">
      <w:pPr>
        <w:spacing w:line="360" w:lineRule="auto"/>
        <w:rPr>
          <w:rFonts w:ascii="Arial" w:hAnsi="Arial" w:cs="Arial"/>
        </w:rPr>
      </w:pPr>
      <w:r w:rsidRPr="00440756">
        <w:rPr>
          <w:rFonts w:ascii="Arial" w:hAnsi="Arial" w:cs="Arial"/>
        </w:rPr>
        <w:t xml:space="preserve">Word count- </w:t>
      </w:r>
      <w:r w:rsidR="009039AA" w:rsidRPr="00440756">
        <w:rPr>
          <w:rFonts w:ascii="Arial" w:hAnsi="Arial" w:cs="Arial"/>
        </w:rPr>
        <w:t>202</w:t>
      </w:r>
      <w:r w:rsidR="00D81558">
        <w:rPr>
          <w:rFonts w:ascii="Arial" w:hAnsi="Arial" w:cs="Arial"/>
        </w:rPr>
        <w:t>2</w:t>
      </w:r>
    </w:p>
    <w:p w14:paraId="47F0C732" w14:textId="77777777" w:rsidR="00D81558" w:rsidRDefault="00D81558" w:rsidP="00440756">
      <w:pPr>
        <w:spacing w:line="360" w:lineRule="auto"/>
        <w:rPr>
          <w:rFonts w:ascii="Arial" w:hAnsi="Arial" w:cs="Arial"/>
          <w:u w:val="single"/>
        </w:rPr>
      </w:pPr>
    </w:p>
    <w:p w14:paraId="3032DB1F" w14:textId="77777777" w:rsidR="00D81558" w:rsidRDefault="00D81558" w:rsidP="00440756">
      <w:pPr>
        <w:spacing w:line="360" w:lineRule="auto"/>
        <w:rPr>
          <w:rFonts w:ascii="Arial" w:hAnsi="Arial" w:cs="Arial"/>
          <w:u w:val="single"/>
        </w:rPr>
      </w:pPr>
    </w:p>
    <w:p w14:paraId="4E04D689" w14:textId="7B16AE8A" w:rsidR="00AB48A0" w:rsidRPr="00440756" w:rsidRDefault="00AB48A0" w:rsidP="00440756">
      <w:pPr>
        <w:spacing w:line="360" w:lineRule="auto"/>
        <w:rPr>
          <w:rFonts w:ascii="Arial" w:hAnsi="Arial" w:cs="Arial"/>
          <w:u w:val="single"/>
        </w:rPr>
      </w:pPr>
      <w:r w:rsidRPr="00440756">
        <w:rPr>
          <w:rFonts w:ascii="Arial" w:hAnsi="Arial" w:cs="Arial"/>
          <w:u w:val="single"/>
        </w:rPr>
        <w:lastRenderedPageBreak/>
        <w:t xml:space="preserve">References </w:t>
      </w:r>
    </w:p>
    <w:p w14:paraId="0773A91D" w14:textId="50C609C2" w:rsidR="00AB48A0" w:rsidRPr="00440756" w:rsidRDefault="00AB48A0" w:rsidP="00440756">
      <w:pPr>
        <w:spacing w:line="360" w:lineRule="auto"/>
        <w:rPr>
          <w:rFonts w:ascii="Arial" w:hAnsi="Arial" w:cs="Arial"/>
        </w:rPr>
      </w:pPr>
      <w:r w:rsidRPr="00440756">
        <w:rPr>
          <w:rFonts w:ascii="Arial" w:hAnsi="Arial" w:cs="Arial"/>
        </w:rPr>
        <w:t>Abreu, L (2021) 'Harassment and Discrimination in Law Enforcement: The Experiences of Transgender People', </w:t>
      </w:r>
      <w:r w:rsidRPr="00440756">
        <w:rPr>
          <w:rFonts w:ascii="Arial" w:hAnsi="Arial" w:cs="Arial"/>
          <w:i/>
          <w:iCs/>
        </w:rPr>
        <w:t>Journal of Criminal Justice</w:t>
      </w:r>
      <w:r w:rsidRPr="00440756">
        <w:rPr>
          <w:rFonts w:ascii="Arial" w:hAnsi="Arial" w:cs="Arial"/>
        </w:rPr>
        <w:t>, 58(3), pp. 47-59.</w:t>
      </w:r>
    </w:p>
    <w:p w14:paraId="28704F14" w14:textId="77777777" w:rsidR="00AB48A0" w:rsidRPr="00440756" w:rsidRDefault="00AB48A0" w:rsidP="00440756">
      <w:pPr>
        <w:spacing w:line="360" w:lineRule="auto"/>
        <w:rPr>
          <w:rFonts w:ascii="Arial" w:hAnsi="Arial" w:cs="Arial"/>
        </w:rPr>
      </w:pPr>
    </w:p>
    <w:p w14:paraId="4F27D467" w14:textId="53B80836" w:rsidR="00AB48A0" w:rsidRPr="00440756" w:rsidRDefault="00AB48A0" w:rsidP="00440756">
      <w:pPr>
        <w:spacing w:line="360" w:lineRule="auto"/>
        <w:rPr>
          <w:rFonts w:ascii="Arial" w:hAnsi="Arial" w:cs="Arial"/>
        </w:rPr>
      </w:pPr>
      <w:r w:rsidRPr="00440756">
        <w:rPr>
          <w:rFonts w:ascii="Arial" w:hAnsi="Arial" w:cs="Arial"/>
        </w:rPr>
        <w:t>ACLU (2022</w:t>
      </w:r>
      <w:r w:rsidR="00235B2B">
        <w:rPr>
          <w:rFonts w:ascii="Arial" w:hAnsi="Arial" w:cs="Arial"/>
        </w:rPr>
        <w:t>a</w:t>
      </w:r>
      <w:r w:rsidRPr="00440756">
        <w:rPr>
          <w:rFonts w:ascii="Arial" w:hAnsi="Arial" w:cs="Arial"/>
        </w:rPr>
        <w:t>) </w:t>
      </w:r>
      <w:r w:rsidRPr="00440756">
        <w:rPr>
          <w:rFonts w:ascii="Arial" w:hAnsi="Arial" w:cs="Arial"/>
          <w:i/>
          <w:iCs/>
        </w:rPr>
        <w:t>Anti-discrimination policies and the criminal justice system</w:t>
      </w:r>
      <w:r w:rsidRPr="00440756">
        <w:rPr>
          <w:rFonts w:ascii="Arial" w:hAnsi="Arial" w:cs="Arial"/>
        </w:rPr>
        <w:t>, American Civil Liberties Union.</w:t>
      </w:r>
    </w:p>
    <w:p w14:paraId="4817A469" w14:textId="77777777" w:rsidR="00AB48A0" w:rsidRPr="00440756" w:rsidRDefault="00AB48A0" w:rsidP="00440756">
      <w:pPr>
        <w:spacing w:line="360" w:lineRule="auto"/>
        <w:rPr>
          <w:rFonts w:ascii="Arial" w:hAnsi="Arial" w:cs="Arial"/>
        </w:rPr>
      </w:pPr>
    </w:p>
    <w:p w14:paraId="460C647C" w14:textId="561FDF86" w:rsidR="00AB48A0" w:rsidRPr="00440756" w:rsidRDefault="00AB48A0" w:rsidP="00440756">
      <w:pPr>
        <w:spacing w:line="360" w:lineRule="auto"/>
        <w:rPr>
          <w:rFonts w:ascii="Arial" w:hAnsi="Arial" w:cs="Arial"/>
        </w:rPr>
      </w:pPr>
      <w:r w:rsidRPr="00440756">
        <w:rPr>
          <w:rFonts w:ascii="Arial" w:hAnsi="Arial" w:cs="Arial"/>
        </w:rPr>
        <w:t>ACLU (2022</w:t>
      </w:r>
      <w:r w:rsidR="00235B2B">
        <w:rPr>
          <w:rFonts w:ascii="Arial" w:hAnsi="Arial" w:cs="Arial"/>
        </w:rPr>
        <w:t>b</w:t>
      </w:r>
      <w:r w:rsidRPr="00440756">
        <w:rPr>
          <w:rFonts w:ascii="Arial" w:hAnsi="Arial" w:cs="Arial"/>
        </w:rPr>
        <w:t>) </w:t>
      </w:r>
      <w:r w:rsidRPr="00440756">
        <w:rPr>
          <w:rFonts w:ascii="Arial" w:hAnsi="Arial" w:cs="Arial"/>
          <w:i/>
          <w:iCs/>
        </w:rPr>
        <w:t>Transgender Rights and the Criminal Justice System: A Call for Reform</w:t>
      </w:r>
      <w:r w:rsidRPr="00440756">
        <w:rPr>
          <w:rFonts w:ascii="Arial" w:hAnsi="Arial" w:cs="Arial"/>
        </w:rPr>
        <w:t>, American Civil Liberties Union.</w:t>
      </w:r>
    </w:p>
    <w:p w14:paraId="09C6A2D9" w14:textId="77777777" w:rsidR="00AB48A0" w:rsidRPr="00440756" w:rsidRDefault="00AB48A0" w:rsidP="00440756">
      <w:pPr>
        <w:spacing w:line="360" w:lineRule="auto"/>
        <w:rPr>
          <w:rFonts w:ascii="Arial" w:hAnsi="Arial" w:cs="Arial"/>
        </w:rPr>
      </w:pPr>
    </w:p>
    <w:p w14:paraId="271B9AC3" w14:textId="77777777" w:rsidR="00AB48A0" w:rsidRPr="00440756" w:rsidRDefault="00AB48A0" w:rsidP="00440756">
      <w:pPr>
        <w:spacing w:line="360" w:lineRule="auto"/>
        <w:rPr>
          <w:rFonts w:ascii="Arial" w:hAnsi="Arial" w:cs="Arial"/>
        </w:rPr>
      </w:pPr>
      <w:r w:rsidRPr="00440756">
        <w:rPr>
          <w:rFonts w:ascii="Arial" w:hAnsi="Arial" w:cs="Arial"/>
        </w:rPr>
        <w:t>Avalos, S. (2022) 'The trans experience with the criminal legal system', </w:t>
      </w:r>
      <w:r w:rsidRPr="00440756">
        <w:rPr>
          <w:rFonts w:ascii="Arial" w:hAnsi="Arial" w:cs="Arial"/>
          <w:i/>
          <w:iCs/>
        </w:rPr>
        <w:t>Crime &amp; Delinquency</w:t>
      </w:r>
      <w:r w:rsidRPr="00440756">
        <w:rPr>
          <w:rFonts w:ascii="Arial" w:hAnsi="Arial" w:cs="Arial"/>
        </w:rPr>
        <w:t>, 70(5), pp. 1505–1515. doi:10.1177/00111287221134914.</w:t>
      </w:r>
    </w:p>
    <w:p w14:paraId="326B250A" w14:textId="77777777" w:rsidR="00AB48A0" w:rsidRPr="00440756" w:rsidRDefault="00AB48A0" w:rsidP="00440756">
      <w:pPr>
        <w:spacing w:line="360" w:lineRule="auto"/>
        <w:rPr>
          <w:rFonts w:ascii="Arial" w:hAnsi="Arial" w:cs="Arial"/>
        </w:rPr>
      </w:pPr>
    </w:p>
    <w:p w14:paraId="14956CC0" w14:textId="45DC6990" w:rsidR="00AB48A0" w:rsidRPr="00440756" w:rsidRDefault="00AB48A0" w:rsidP="00440756">
      <w:pPr>
        <w:spacing w:line="360" w:lineRule="auto"/>
        <w:rPr>
          <w:rFonts w:ascii="Arial" w:hAnsi="Arial" w:cs="Arial"/>
        </w:rPr>
      </w:pPr>
      <w:r w:rsidRPr="00440756">
        <w:rPr>
          <w:rFonts w:ascii="Arial" w:hAnsi="Arial" w:cs="Arial"/>
        </w:rPr>
        <w:t xml:space="preserve">Avalos, S. </w:t>
      </w:r>
      <w:r w:rsidR="0022350E" w:rsidRPr="00440756">
        <w:rPr>
          <w:rFonts w:ascii="Arial" w:hAnsi="Arial" w:cs="Arial"/>
        </w:rPr>
        <w:t>and</w:t>
      </w:r>
      <w:r w:rsidRPr="00440756">
        <w:rPr>
          <w:rFonts w:ascii="Arial" w:hAnsi="Arial" w:cs="Arial"/>
        </w:rPr>
        <w:t xml:space="preserve"> Carrillo, A. (2024) '“Took my money, called me a guy, and made me sleep in jail overnight”: Police procedural failings when interacting with trans folx', </w:t>
      </w:r>
      <w:r w:rsidRPr="00440756">
        <w:rPr>
          <w:rFonts w:ascii="Arial" w:hAnsi="Arial" w:cs="Arial"/>
          <w:i/>
          <w:iCs/>
        </w:rPr>
        <w:t>Policing and Society</w:t>
      </w:r>
      <w:r w:rsidRPr="00440756">
        <w:rPr>
          <w:rFonts w:ascii="Arial" w:hAnsi="Arial" w:cs="Arial"/>
        </w:rPr>
        <w:t>, 34(6), pp. 489–504. doi:10.1080/10439463.2024.2304550.</w:t>
      </w:r>
    </w:p>
    <w:p w14:paraId="5C7ACFF0" w14:textId="77777777" w:rsidR="00AB48A0" w:rsidRPr="00440756" w:rsidRDefault="00AB48A0" w:rsidP="00440756">
      <w:pPr>
        <w:spacing w:line="360" w:lineRule="auto"/>
        <w:rPr>
          <w:rFonts w:ascii="Arial" w:hAnsi="Arial" w:cs="Arial"/>
        </w:rPr>
      </w:pPr>
    </w:p>
    <w:p w14:paraId="35904EB8" w14:textId="35A23D3E" w:rsidR="00993171" w:rsidRPr="00440756" w:rsidRDefault="00AB48A0" w:rsidP="00440756">
      <w:pPr>
        <w:spacing w:line="360" w:lineRule="auto"/>
        <w:rPr>
          <w:rFonts w:ascii="Arial" w:hAnsi="Arial" w:cs="Arial"/>
        </w:rPr>
      </w:pPr>
      <w:proofErr w:type="spellStart"/>
      <w:r w:rsidRPr="00440756">
        <w:rPr>
          <w:rFonts w:ascii="Arial" w:hAnsi="Arial" w:cs="Arial"/>
        </w:rPr>
        <w:t>Baćak</w:t>
      </w:r>
      <w:proofErr w:type="spellEnd"/>
      <w:r w:rsidRPr="00440756">
        <w:rPr>
          <w:rFonts w:ascii="Arial" w:hAnsi="Arial" w:cs="Arial"/>
        </w:rPr>
        <w:t>, V. (2023) 'Looking back: Victimization of transgender persons and the Criminal Legal System', </w:t>
      </w:r>
      <w:r w:rsidRPr="00440756">
        <w:rPr>
          <w:rFonts w:ascii="Arial" w:hAnsi="Arial" w:cs="Arial"/>
          <w:i/>
          <w:iCs/>
        </w:rPr>
        <w:t>American Journal of Public Health</w:t>
      </w:r>
      <w:r w:rsidRPr="00440756">
        <w:rPr>
          <w:rFonts w:ascii="Arial" w:hAnsi="Arial" w:cs="Arial"/>
        </w:rPr>
        <w:t>, 113(10), pp. 1043–1045. doi:10.2105/ajph.2023.307393.</w:t>
      </w:r>
    </w:p>
    <w:p w14:paraId="414BD60F" w14:textId="485DB951" w:rsidR="00993171" w:rsidRPr="00440756" w:rsidRDefault="00993171" w:rsidP="00440756">
      <w:pPr>
        <w:pStyle w:val="NormalWeb"/>
        <w:spacing w:line="360" w:lineRule="auto"/>
        <w:ind w:left="567" w:hanging="567"/>
        <w:rPr>
          <w:rFonts w:ascii="Arial" w:hAnsi="Arial" w:cs="Arial"/>
          <w:color w:val="000000"/>
        </w:rPr>
      </w:pPr>
      <w:proofErr w:type="spellStart"/>
      <w:r w:rsidRPr="00440756">
        <w:rPr>
          <w:rFonts w:ascii="Arial" w:hAnsi="Arial" w:cs="Arial"/>
          <w:color w:val="000000"/>
        </w:rPr>
        <w:t>Brömdal</w:t>
      </w:r>
      <w:proofErr w:type="spellEnd"/>
      <w:r w:rsidRPr="00440756">
        <w:rPr>
          <w:rFonts w:ascii="Arial" w:hAnsi="Arial" w:cs="Arial"/>
          <w:color w:val="000000"/>
        </w:rPr>
        <w:t>, A.</w:t>
      </w:r>
      <w:r w:rsidRPr="00440756">
        <w:rPr>
          <w:rStyle w:val="apple-converted-space"/>
          <w:rFonts w:ascii="Arial" w:eastAsiaTheme="majorEastAsia" w:hAnsi="Arial" w:cs="Arial"/>
          <w:color w:val="000000"/>
        </w:rPr>
        <w:t> </w:t>
      </w:r>
      <w:r w:rsidRPr="00440756">
        <w:rPr>
          <w:rFonts w:ascii="Arial" w:hAnsi="Arial" w:cs="Arial"/>
          <w:i/>
          <w:iCs/>
          <w:color w:val="000000"/>
        </w:rPr>
        <w:t>et al.</w:t>
      </w:r>
      <w:r w:rsidRPr="00440756">
        <w:rPr>
          <w:rStyle w:val="apple-converted-space"/>
          <w:rFonts w:ascii="Arial" w:eastAsiaTheme="majorEastAsia" w:hAnsi="Arial" w:cs="Arial"/>
          <w:color w:val="000000"/>
        </w:rPr>
        <w:t> </w:t>
      </w:r>
      <w:r w:rsidRPr="00440756">
        <w:rPr>
          <w:rFonts w:ascii="Arial" w:hAnsi="Arial" w:cs="Arial"/>
          <w:color w:val="000000"/>
        </w:rPr>
        <w:t>(2024) ‘Transformative trans incarceration research: Now and into the future’,</w:t>
      </w:r>
      <w:r w:rsidRPr="00440756">
        <w:rPr>
          <w:rStyle w:val="apple-converted-space"/>
          <w:rFonts w:ascii="Arial" w:eastAsiaTheme="majorEastAsia" w:hAnsi="Arial" w:cs="Arial"/>
          <w:color w:val="000000"/>
        </w:rPr>
        <w:t> </w:t>
      </w:r>
      <w:r w:rsidRPr="00440756">
        <w:rPr>
          <w:rFonts w:ascii="Arial" w:hAnsi="Arial" w:cs="Arial"/>
          <w:i/>
          <w:iCs/>
          <w:color w:val="000000"/>
        </w:rPr>
        <w:t>International Journal of Transgender Health</w:t>
      </w:r>
      <w:r w:rsidRPr="00440756">
        <w:rPr>
          <w:rFonts w:ascii="Arial" w:hAnsi="Arial" w:cs="Arial"/>
          <w:color w:val="000000"/>
        </w:rPr>
        <w:t>, 25(2), pp. 123–129. doi:10.1080/26895269.2024.2334499.</w:t>
      </w:r>
      <w:r w:rsidRPr="00440756">
        <w:rPr>
          <w:rStyle w:val="apple-converted-space"/>
          <w:rFonts w:ascii="Arial" w:eastAsiaTheme="majorEastAsia" w:hAnsi="Arial" w:cs="Arial"/>
          <w:color w:val="000000"/>
        </w:rPr>
        <w:t> </w:t>
      </w:r>
    </w:p>
    <w:p w14:paraId="7D893B36" w14:textId="77777777" w:rsidR="00AB48A0" w:rsidRPr="00440756" w:rsidRDefault="00AB48A0" w:rsidP="00440756">
      <w:pPr>
        <w:spacing w:line="360" w:lineRule="auto"/>
        <w:rPr>
          <w:rFonts w:ascii="Arial" w:hAnsi="Arial" w:cs="Arial"/>
        </w:rPr>
      </w:pPr>
    </w:p>
    <w:p w14:paraId="09F6BF38" w14:textId="73263AD7" w:rsidR="005D5A59" w:rsidRPr="00440756" w:rsidRDefault="00AB48A0" w:rsidP="00440756">
      <w:pPr>
        <w:spacing w:line="360" w:lineRule="auto"/>
        <w:rPr>
          <w:rFonts w:ascii="Arial" w:hAnsi="Arial" w:cs="Arial"/>
        </w:rPr>
      </w:pPr>
      <w:r w:rsidRPr="00440756">
        <w:rPr>
          <w:rFonts w:ascii="Arial" w:hAnsi="Arial" w:cs="Arial"/>
        </w:rPr>
        <w:t>Chang, J. (2023) 'Community outreach programs and their impact on transgender individuals and law enforcement', </w:t>
      </w:r>
      <w:r w:rsidRPr="00440756">
        <w:rPr>
          <w:rFonts w:ascii="Arial" w:hAnsi="Arial" w:cs="Arial"/>
          <w:i/>
          <w:iCs/>
        </w:rPr>
        <w:t>National Institute of Justice</w:t>
      </w:r>
      <w:r w:rsidRPr="00440756">
        <w:rPr>
          <w:rFonts w:ascii="Arial" w:hAnsi="Arial" w:cs="Arial"/>
        </w:rPr>
        <w:t>.</w:t>
      </w:r>
    </w:p>
    <w:p w14:paraId="5AF31DFD" w14:textId="6C6AF777" w:rsidR="005D5A59" w:rsidRPr="00440756" w:rsidRDefault="005D5A59" w:rsidP="00440756">
      <w:pPr>
        <w:pStyle w:val="NormalWeb"/>
        <w:spacing w:line="360" w:lineRule="auto"/>
        <w:ind w:left="567" w:hanging="567"/>
        <w:rPr>
          <w:rFonts w:ascii="Arial" w:hAnsi="Arial" w:cs="Arial"/>
          <w:color w:val="000000"/>
        </w:rPr>
      </w:pPr>
      <w:r w:rsidRPr="00440756">
        <w:rPr>
          <w:rFonts w:ascii="Arial" w:hAnsi="Arial" w:cs="Arial"/>
          <w:color w:val="000000"/>
        </w:rPr>
        <w:t xml:space="preserve"> Crime and Justice Studies (2020)</w:t>
      </w:r>
      <w:r w:rsidRPr="00440756">
        <w:rPr>
          <w:rStyle w:val="apple-converted-space"/>
          <w:rFonts w:ascii="Arial" w:eastAsiaTheme="majorEastAsia" w:hAnsi="Arial" w:cs="Arial"/>
          <w:color w:val="000000"/>
        </w:rPr>
        <w:t> </w:t>
      </w:r>
      <w:r w:rsidRPr="00440756">
        <w:rPr>
          <w:rFonts w:ascii="Arial" w:hAnsi="Arial" w:cs="Arial"/>
          <w:i/>
          <w:iCs/>
          <w:color w:val="000000"/>
        </w:rPr>
        <w:t>Search for transgender people are more likely to be involved in the...</w:t>
      </w:r>
      <w:r w:rsidRPr="00440756">
        <w:rPr>
          <w:rFonts w:ascii="Arial" w:hAnsi="Arial" w:cs="Arial"/>
          <w:color w:val="000000"/>
        </w:rPr>
        <w:t>,</w:t>
      </w:r>
      <w:r w:rsidRPr="00440756">
        <w:rPr>
          <w:rStyle w:val="apple-converted-space"/>
          <w:rFonts w:ascii="Arial" w:eastAsiaTheme="majorEastAsia" w:hAnsi="Arial" w:cs="Arial"/>
          <w:color w:val="000000"/>
        </w:rPr>
        <w:t> </w:t>
      </w:r>
      <w:r w:rsidRPr="00440756">
        <w:rPr>
          <w:rFonts w:ascii="Arial" w:hAnsi="Arial" w:cs="Arial"/>
          <w:i/>
          <w:iCs/>
          <w:color w:val="000000"/>
        </w:rPr>
        <w:t xml:space="preserve">Search for transgender people </w:t>
      </w:r>
      <w:proofErr w:type="gramStart"/>
      <w:r w:rsidRPr="00440756">
        <w:rPr>
          <w:rFonts w:ascii="Arial" w:hAnsi="Arial" w:cs="Arial"/>
          <w:i/>
          <w:iCs/>
          <w:color w:val="000000"/>
        </w:rPr>
        <w:t>are</w:t>
      </w:r>
      <w:proofErr w:type="gramEnd"/>
      <w:r w:rsidRPr="00440756">
        <w:rPr>
          <w:rFonts w:ascii="Arial" w:hAnsi="Arial" w:cs="Arial"/>
          <w:i/>
          <w:iCs/>
          <w:color w:val="000000"/>
        </w:rPr>
        <w:t xml:space="preserve"> more likely to be involved in the... | Centre for Crime and Justice Studies</w:t>
      </w:r>
      <w:r w:rsidRPr="00440756">
        <w:rPr>
          <w:rFonts w:ascii="Arial" w:hAnsi="Arial" w:cs="Arial"/>
          <w:color w:val="000000"/>
        </w:rPr>
        <w:t>. Available at: https://www.crimeandjustice.org.uk/search/node?keys=transgender+people+ar</w:t>
      </w:r>
      <w:r w:rsidRPr="00440756">
        <w:rPr>
          <w:rFonts w:ascii="Arial" w:hAnsi="Arial" w:cs="Arial"/>
          <w:color w:val="000000"/>
        </w:rPr>
        <w:lastRenderedPageBreak/>
        <w:t>e+more+likely+to+be+involved+in+the+criminal+justice+system+as+a+result+of+the+criminalisation+of+poverty (Accessed: 15 February 2025).</w:t>
      </w:r>
      <w:r w:rsidRPr="00440756">
        <w:rPr>
          <w:rStyle w:val="apple-converted-space"/>
          <w:rFonts w:ascii="Arial" w:eastAsiaTheme="majorEastAsia" w:hAnsi="Arial" w:cs="Arial"/>
          <w:color w:val="000000"/>
        </w:rPr>
        <w:t> </w:t>
      </w:r>
    </w:p>
    <w:p w14:paraId="79E15435" w14:textId="77777777" w:rsidR="00AB48A0" w:rsidRPr="00440756" w:rsidRDefault="00AB48A0" w:rsidP="00440756">
      <w:pPr>
        <w:spacing w:line="360" w:lineRule="auto"/>
        <w:rPr>
          <w:rFonts w:ascii="Arial" w:hAnsi="Arial" w:cs="Arial"/>
        </w:rPr>
      </w:pPr>
    </w:p>
    <w:p w14:paraId="1F972FB8" w14:textId="72261232" w:rsidR="00AB48A0" w:rsidRPr="00440756" w:rsidRDefault="00AB48A0" w:rsidP="00440756">
      <w:pPr>
        <w:spacing w:line="360" w:lineRule="auto"/>
        <w:rPr>
          <w:rFonts w:ascii="Arial" w:hAnsi="Arial" w:cs="Arial"/>
        </w:rPr>
      </w:pPr>
      <w:r w:rsidRPr="00440756">
        <w:rPr>
          <w:rFonts w:ascii="Arial" w:hAnsi="Arial" w:cs="Arial"/>
        </w:rPr>
        <w:t>Coppola, F. (2023) 'Gender identity in the era of mass incarceration: The cruel and unusual segregation of trans people in the United States', </w:t>
      </w:r>
      <w:r w:rsidRPr="00440756">
        <w:rPr>
          <w:rFonts w:ascii="Arial" w:hAnsi="Arial" w:cs="Arial"/>
          <w:i/>
          <w:iCs/>
        </w:rPr>
        <w:t>International Journal of Constitutional Law</w:t>
      </w:r>
      <w:r w:rsidRPr="00440756">
        <w:rPr>
          <w:rFonts w:ascii="Arial" w:hAnsi="Arial" w:cs="Arial"/>
        </w:rPr>
        <w:t>, 21(2), pp. 649–672. doi:10.1093/icon/moad046.</w:t>
      </w:r>
    </w:p>
    <w:p w14:paraId="45B40395" w14:textId="77777777" w:rsidR="00AB48A0" w:rsidRPr="00440756" w:rsidRDefault="00AB48A0" w:rsidP="00440756">
      <w:pPr>
        <w:spacing w:line="360" w:lineRule="auto"/>
        <w:rPr>
          <w:rFonts w:ascii="Arial" w:hAnsi="Arial" w:cs="Arial"/>
        </w:rPr>
      </w:pPr>
    </w:p>
    <w:p w14:paraId="117ED95C" w14:textId="7B985F91" w:rsidR="00AB48A0" w:rsidRPr="00440756" w:rsidRDefault="00AB48A0" w:rsidP="00440756">
      <w:pPr>
        <w:spacing w:line="360" w:lineRule="auto"/>
        <w:rPr>
          <w:rFonts w:ascii="Arial" w:hAnsi="Arial" w:cs="Arial"/>
        </w:rPr>
      </w:pPr>
      <w:r w:rsidRPr="00440756">
        <w:rPr>
          <w:rFonts w:ascii="Arial" w:hAnsi="Arial" w:cs="Arial"/>
        </w:rPr>
        <w:t>Cowan, D. (2023) 'Rapist guilty of attacking women before gender change', </w:t>
      </w:r>
      <w:r w:rsidRPr="00440756">
        <w:rPr>
          <w:rFonts w:ascii="Arial" w:hAnsi="Arial" w:cs="Arial"/>
          <w:i/>
          <w:iCs/>
        </w:rPr>
        <w:t>BBC News</w:t>
      </w:r>
      <w:r w:rsidRPr="00440756">
        <w:rPr>
          <w:rFonts w:ascii="Arial" w:hAnsi="Arial" w:cs="Arial"/>
        </w:rPr>
        <w:t>. Available at: </w:t>
      </w:r>
      <w:hyperlink r:id="rId7" w:tgtFrame="_new" w:history="1">
        <w:r w:rsidRPr="00440756">
          <w:rPr>
            <w:rFonts w:ascii="Arial" w:hAnsi="Arial" w:cs="Arial"/>
            <w:color w:val="0000FF"/>
            <w:u w:val="single"/>
          </w:rPr>
          <w:t>https://www.bbc.co.uk/news/uk-scotland-64388669</w:t>
        </w:r>
      </w:hyperlink>
      <w:r w:rsidRPr="00440756">
        <w:rPr>
          <w:rFonts w:ascii="Arial" w:hAnsi="Arial" w:cs="Arial"/>
        </w:rPr>
        <w:t> (Accessed: 15 February 2025).</w:t>
      </w:r>
    </w:p>
    <w:p w14:paraId="0D0991B5" w14:textId="77777777" w:rsidR="00AB48A0" w:rsidRPr="00440756" w:rsidRDefault="00AB48A0" w:rsidP="00440756">
      <w:pPr>
        <w:spacing w:line="360" w:lineRule="auto"/>
        <w:rPr>
          <w:rFonts w:ascii="Arial" w:hAnsi="Arial" w:cs="Arial"/>
        </w:rPr>
      </w:pPr>
    </w:p>
    <w:p w14:paraId="4A6548AE" w14:textId="61407097" w:rsidR="00AB48A0" w:rsidRPr="00440756" w:rsidRDefault="00AB48A0" w:rsidP="00440756">
      <w:pPr>
        <w:spacing w:line="360" w:lineRule="auto"/>
        <w:rPr>
          <w:rFonts w:ascii="Arial" w:hAnsi="Arial" w:cs="Arial"/>
        </w:rPr>
      </w:pPr>
      <w:r w:rsidRPr="00440756">
        <w:rPr>
          <w:rFonts w:ascii="Arial" w:hAnsi="Arial" w:cs="Arial"/>
        </w:rPr>
        <w:t>Cowan, J. (2023) 'Isla Bryson and the Debate on Gender Self-Identification in Prison', </w:t>
      </w:r>
      <w:r w:rsidRPr="00440756">
        <w:rPr>
          <w:rFonts w:ascii="Arial" w:hAnsi="Arial" w:cs="Arial"/>
          <w:i/>
          <w:iCs/>
        </w:rPr>
        <w:t>Journal of Criminal Law and Social Justice</w:t>
      </w:r>
      <w:r w:rsidRPr="00440756">
        <w:rPr>
          <w:rFonts w:ascii="Arial" w:hAnsi="Arial" w:cs="Arial"/>
        </w:rPr>
        <w:t>, 45(1), pp. 12-20.</w:t>
      </w:r>
    </w:p>
    <w:p w14:paraId="60E1A167" w14:textId="77777777" w:rsidR="00AB48A0" w:rsidRPr="00440756" w:rsidRDefault="00AB48A0" w:rsidP="00440756">
      <w:pPr>
        <w:spacing w:line="360" w:lineRule="auto"/>
        <w:rPr>
          <w:rFonts w:ascii="Arial" w:hAnsi="Arial" w:cs="Arial"/>
        </w:rPr>
      </w:pPr>
    </w:p>
    <w:p w14:paraId="2AA22623" w14:textId="002C491F" w:rsidR="00AB48A0" w:rsidRPr="00440756" w:rsidRDefault="00AB48A0" w:rsidP="00440756">
      <w:pPr>
        <w:spacing w:line="360" w:lineRule="auto"/>
        <w:rPr>
          <w:rFonts w:ascii="Arial" w:hAnsi="Arial" w:cs="Arial"/>
        </w:rPr>
      </w:pPr>
      <w:r w:rsidRPr="00440756">
        <w:rPr>
          <w:rFonts w:ascii="Arial" w:hAnsi="Arial" w:cs="Arial"/>
        </w:rPr>
        <w:t>Donohue, G., McCann, E. and Brown, M. (2021) 'Views and experiences of LGBTQ+ people in prison regarding their psychosocial needs: A systematic review of the qualitative research evidence', </w:t>
      </w:r>
      <w:r w:rsidRPr="00440756">
        <w:rPr>
          <w:rFonts w:ascii="Arial" w:hAnsi="Arial" w:cs="Arial"/>
          <w:i/>
          <w:iCs/>
        </w:rPr>
        <w:t>International Journal of Environmental Research and Public Health</w:t>
      </w:r>
      <w:r w:rsidRPr="00440756">
        <w:rPr>
          <w:rFonts w:ascii="Arial" w:hAnsi="Arial" w:cs="Arial"/>
        </w:rPr>
        <w:t>, 18(17), p. 9335. doi:10.3390/ijerph18179335.</w:t>
      </w:r>
    </w:p>
    <w:p w14:paraId="6B460300" w14:textId="77777777" w:rsidR="00AB48A0" w:rsidRPr="00440756" w:rsidRDefault="00AB48A0" w:rsidP="00440756">
      <w:pPr>
        <w:spacing w:line="360" w:lineRule="auto"/>
        <w:rPr>
          <w:rFonts w:ascii="Arial" w:hAnsi="Arial" w:cs="Arial"/>
        </w:rPr>
      </w:pPr>
    </w:p>
    <w:p w14:paraId="299DC7E9" w14:textId="1C2261CA" w:rsidR="00AB48A0" w:rsidRPr="00440756" w:rsidRDefault="00AB48A0" w:rsidP="00440756">
      <w:pPr>
        <w:spacing w:line="360" w:lineRule="auto"/>
        <w:rPr>
          <w:rFonts w:ascii="Arial" w:hAnsi="Arial" w:cs="Arial"/>
        </w:rPr>
      </w:pPr>
      <w:r w:rsidRPr="00440756">
        <w:rPr>
          <w:rFonts w:ascii="Arial" w:hAnsi="Arial" w:cs="Arial"/>
        </w:rPr>
        <w:t>Elliot, B.C. (2023) 'Chapter 17. Perinatal Psychiatry and affirming gender identity in the setting of pregnancy', </w:t>
      </w:r>
      <w:r w:rsidRPr="00440756">
        <w:rPr>
          <w:rFonts w:ascii="Arial" w:hAnsi="Arial" w:cs="Arial"/>
          <w:i/>
          <w:iCs/>
        </w:rPr>
        <w:t>Gender-Affirming Psychiatric Care</w:t>
      </w:r>
      <w:r w:rsidRPr="00440756">
        <w:rPr>
          <w:rFonts w:ascii="Arial" w:hAnsi="Arial" w:cs="Arial"/>
        </w:rPr>
        <w:t xml:space="preserve">, pp. 249-260. </w:t>
      </w:r>
      <w:proofErr w:type="gramStart"/>
      <w:r w:rsidRPr="00440756">
        <w:rPr>
          <w:rFonts w:ascii="Arial" w:hAnsi="Arial" w:cs="Arial"/>
        </w:rPr>
        <w:t>doi:10.1176/appi.books</w:t>
      </w:r>
      <w:proofErr w:type="gramEnd"/>
      <w:r w:rsidRPr="00440756">
        <w:rPr>
          <w:rFonts w:ascii="Arial" w:hAnsi="Arial" w:cs="Arial"/>
        </w:rPr>
        <w:t>.9781615379958.lg17.</w:t>
      </w:r>
    </w:p>
    <w:p w14:paraId="00D53BE8" w14:textId="77777777" w:rsidR="00AB48A0" w:rsidRPr="00440756" w:rsidRDefault="00AB48A0" w:rsidP="00440756">
      <w:pPr>
        <w:spacing w:line="360" w:lineRule="auto"/>
        <w:rPr>
          <w:rFonts w:ascii="Arial" w:hAnsi="Arial" w:cs="Arial"/>
        </w:rPr>
      </w:pPr>
    </w:p>
    <w:p w14:paraId="250AFC27" w14:textId="4572B945" w:rsidR="00AB48A0" w:rsidRPr="00440756" w:rsidRDefault="00AB48A0" w:rsidP="00440756">
      <w:pPr>
        <w:spacing w:line="360" w:lineRule="auto"/>
        <w:rPr>
          <w:rFonts w:ascii="Arial" w:hAnsi="Arial" w:cs="Arial"/>
        </w:rPr>
      </w:pPr>
      <w:r w:rsidRPr="00440756">
        <w:rPr>
          <w:rFonts w:ascii="Arial" w:hAnsi="Arial" w:cs="Arial"/>
        </w:rPr>
        <w:t>Elliott, L. (2023) 'Healthcare Inequities in the UK Prison System: Transgender Prisoners' Struggles', </w:t>
      </w:r>
      <w:r w:rsidRPr="00440756">
        <w:rPr>
          <w:rFonts w:ascii="Arial" w:hAnsi="Arial" w:cs="Arial"/>
          <w:i/>
          <w:iCs/>
        </w:rPr>
        <w:t>Health &amp; Justice</w:t>
      </w:r>
      <w:r w:rsidRPr="00440756">
        <w:rPr>
          <w:rFonts w:ascii="Arial" w:hAnsi="Arial" w:cs="Arial"/>
        </w:rPr>
        <w:t>, 21(4), pp. 100-112.</w:t>
      </w:r>
    </w:p>
    <w:p w14:paraId="210F2683" w14:textId="77777777" w:rsidR="00AB48A0" w:rsidRPr="00440756" w:rsidRDefault="00AB48A0" w:rsidP="00440756">
      <w:pPr>
        <w:spacing w:line="360" w:lineRule="auto"/>
        <w:rPr>
          <w:rFonts w:ascii="Arial" w:hAnsi="Arial" w:cs="Arial"/>
        </w:rPr>
      </w:pPr>
    </w:p>
    <w:p w14:paraId="31783B16" w14:textId="28554444" w:rsidR="00AB48A0" w:rsidRPr="00440756" w:rsidRDefault="00AB48A0" w:rsidP="00440756">
      <w:pPr>
        <w:spacing w:line="360" w:lineRule="auto"/>
        <w:rPr>
          <w:rFonts w:ascii="Arial" w:hAnsi="Arial" w:cs="Arial"/>
        </w:rPr>
      </w:pPr>
      <w:r w:rsidRPr="00440756">
        <w:rPr>
          <w:rFonts w:ascii="Arial" w:hAnsi="Arial" w:cs="Arial"/>
        </w:rPr>
        <w:t>Equality and Human Rights Commission (2020) </w:t>
      </w:r>
      <w:r w:rsidRPr="00440756">
        <w:rPr>
          <w:rFonts w:ascii="Arial" w:hAnsi="Arial" w:cs="Arial"/>
          <w:i/>
          <w:iCs/>
        </w:rPr>
        <w:t>Trans Research Review</w:t>
      </w:r>
      <w:r w:rsidRPr="00440756">
        <w:rPr>
          <w:rFonts w:ascii="Arial" w:hAnsi="Arial" w:cs="Arial"/>
        </w:rPr>
        <w:t>, Equality and Human Rights Commission Research report 27. Available at: </w:t>
      </w:r>
      <w:hyperlink r:id="rId8" w:tgtFrame="_new" w:history="1">
        <w:r w:rsidRPr="00440756">
          <w:rPr>
            <w:rFonts w:ascii="Arial" w:hAnsi="Arial" w:cs="Arial"/>
            <w:color w:val="0000FF"/>
            <w:u w:val="single"/>
          </w:rPr>
          <w:t>https://www.equalityhumanrights.com/sites/default/files/research_report_27_trans_research_review.pdf</w:t>
        </w:r>
      </w:hyperlink>
      <w:r w:rsidRPr="00440756">
        <w:rPr>
          <w:rFonts w:ascii="Arial" w:hAnsi="Arial" w:cs="Arial"/>
        </w:rPr>
        <w:t> (Accessed: 15 February 2025).</w:t>
      </w:r>
    </w:p>
    <w:p w14:paraId="36161B3F" w14:textId="77777777" w:rsidR="00AB48A0" w:rsidRPr="00440756" w:rsidRDefault="00AB48A0" w:rsidP="00440756">
      <w:pPr>
        <w:spacing w:line="360" w:lineRule="auto"/>
        <w:rPr>
          <w:rFonts w:ascii="Arial" w:hAnsi="Arial" w:cs="Arial"/>
        </w:rPr>
      </w:pPr>
    </w:p>
    <w:p w14:paraId="73C894B5" w14:textId="6EB970DA" w:rsidR="00AB48A0" w:rsidRPr="00440756" w:rsidRDefault="00AB48A0" w:rsidP="00440756">
      <w:pPr>
        <w:spacing w:line="360" w:lineRule="auto"/>
        <w:rPr>
          <w:rFonts w:ascii="Arial" w:hAnsi="Arial" w:cs="Arial"/>
        </w:rPr>
      </w:pPr>
      <w:r w:rsidRPr="00440756">
        <w:rPr>
          <w:rFonts w:ascii="Arial" w:hAnsi="Arial" w:cs="Arial"/>
        </w:rPr>
        <w:lastRenderedPageBreak/>
        <w:t>Evans, S.M., Jones, B.A. and McDermott, D.T. (2024) 'Trans and gender diverse offenders’ experiences of custody: A systematic review of empirical evidence', </w:t>
      </w:r>
      <w:r w:rsidRPr="00440756">
        <w:rPr>
          <w:rFonts w:ascii="Arial" w:hAnsi="Arial" w:cs="Arial"/>
          <w:i/>
          <w:iCs/>
        </w:rPr>
        <w:t>The Howard Journal of Crime and Justice</w:t>
      </w:r>
      <w:r w:rsidRPr="00440756">
        <w:rPr>
          <w:rFonts w:ascii="Arial" w:hAnsi="Arial" w:cs="Arial"/>
        </w:rPr>
        <w:t>, 63(3), pp. 321–349. doi:10.1111/hojo.12567.</w:t>
      </w:r>
    </w:p>
    <w:p w14:paraId="2F260AA4" w14:textId="1AD26483" w:rsidR="00AB48A0" w:rsidRPr="00440756" w:rsidRDefault="00033271" w:rsidP="00440756">
      <w:pPr>
        <w:pStyle w:val="NormalWeb"/>
        <w:spacing w:line="360" w:lineRule="auto"/>
        <w:ind w:left="567" w:hanging="567"/>
        <w:rPr>
          <w:rFonts w:ascii="Arial" w:hAnsi="Arial" w:cs="Arial"/>
          <w:color w:val="000000" w:themeColor="text1"/>
        </w:rPr>
      </w:pPr>
      <w:r w:rsidRPr="00440756">
        <w:rPr>
          <w:rFonts w:ascii="Arial" w:hAnsi="Arial" w:cs="Arial"/>
          <w:color w:val="000000" w:themeColor="text1"/>
        </w:rPr>
        <w:t>Faye, S. (2022)</w:t>
      </w:r>
      <w:r w:rsidRPr="00440756">
        <w:rPr>
          <w:rStyle w:val="apple-converted-space"/>
          <w:rFonts w:ascii="Arial" w:eastAsiaTheme="majorEastAsia" w:hAnsi="Arial" w:cs="Arial"/>
          <w:color w:val="000000" w:themeColor="text1"/>
        </w:rPr>
        <w:t> </w:t>
      </w:r>
      <w:r w:rsidRPr="00440756">
        <w:rPr>
          <w:rFonts w:ascii="Arial" w:hAnsi="Arial" w:cs="Arial"/>
          <w:i/>
          <w:iCs/>
          <w:color w:val="000000" w:themeColor="text1"/>
        </w:rPr>
        <w:t>The transgender issue: An argument for justice</w:t>
      </w:r>
      <w:r w:rsidRPr="00440756">
        <w:rPr>
          <w:rFonts w:ascii="Arial" w:hAnsi="Arial" w:cs="Arial"/>
          <w:color w:val="000000" w:themeColor="text1"/>
        </w:rPr>
        <w:t>. London: Penguin Books.</w:t>
      </w:r>
      <w:r w:rsidRPr="00440756">
        <w:rPr>
          <w:rStyle w:val="apple-converted-space"/>
          <w:rFonts w:ascii="Arial" w:eastAsiaTheme="majorEastAsia" w:hAnsi="Arial" w:cs="Arial"/>
          <w:color w:val="000000" w:themeColor="text1"/>
        </w:rPr>
        <w:t> </w:t>
      </w:r>
    </w:p>
    <w:p w14:paraId="14126558" w14:textId="77777777" w:rsidR="00AB48A0" w:rsidRPr="00440756" w:rsidRDefault="00AB48A0" w:rsidP="00440756">
      <w:pPr>
        <w:spacing w:line="360" w:lineRule="auto"/>
        <w:rPr>
          <w:rFonts w:ascii="Arial" w:hAnsi="Arial" w:cs="Arial"/>
        </w:rPr>
      </w:pPr>
    </w:p>
    <w:p w14:paraId="4CEB30BE" w14:textId="75B9CED9" w:rsidR="002F3A3C" w:rsidRPr="00440756" w:rsidRDefault="00AB48A0" w:rsidP="00440756">
      <w:pPr>
        <w:spacing w:line="360" w:lineRule="auto"/>
        <w:rPr>
          <w:rFonts w:ascii="Arial" w:hAnsi="Arial" w:cs="Arial"/>
        </w:rPr>
      </w:pPr>
      <w:r w:rsidRPr="00440756">
        <w:rPr>
          <w:rFonts w:ascii="Arial" w:hAnsi="Arial" w:cs="Arial"/>
        </w:rPr>
        <w:t>Freitas, M.,</w:t>
      </w:r>
      <w:r w:rsidR="0022350E" w:rsidRPr="00440756">
        <w:rPr>
          <w:rFonts w:ascii="Arial" w:hAnsi="Arial" w:cs="Arial"/>
        </w:rPr>
        <w:t xml:space="preserve"> Silva, M. and </w:t>
      </w:r>
      <w:proofErr w:type="spellStart"/>
      <w:proofErr w:type="gramStart"/>
      <w:r w:rsidR="0022350E" w:rsidRPr="00440756">
        <w:rPr>
          <w:rFonts w:ascii="Arial" w:hAnsi="Arial" w:cs="Arial"/>
        </w:rPr>
        <w:t>Lima,A</w:t>
      </w:r>
      <w:proofErr w:type="spellEnd"/>
      <w:r w:rsidR="0022350E" w:rsidRPr="00440756">
        <w:rPr>
          <w:rFonts w:ascii="Arial" w:hAnsi="Arial" w:cs="Arial"/>
        </w:rPr>
        <w:t>.</w:t>
      </w:r>
      <w:proofErr w:type="gramEnd"/>
      <w:r w:rsidR="0022350E" w:rsidRPr="00440756">
        <w:rPr>
          <w:rFonts w:ascii="Arial" w:hAnsi="Arial" w:cs="Arial"/>
        </w:rPr>
        <w:t xml:space="preserve"> </w:t>
      </w:r>
      <w:r w:rsidRPr="00440756">
        <w:rPr>
          <w:rFonts w:ascii="Arial" w:hAnsi="Arial" w:cs="Arial"/>
        </w:rPr>
        <w:t>(2024) 'The Intersection of Gender Identity and Discrimination in the CJS: Challenges and Barriers', </w:t>
      </w:r>
      <w:r w:rsidRPr="00440756">
        <w:rPr>
          <w:rFonts w:ascii="Arial" w:hAnsi="Arial" w:cs="Arial"/>
          <w:i/>
          <w:iCs/>
        </w:rPr>
        <w:t>Criminal Justice Review</w:t>
      </w:r>
      <w:r w:rsidRPr="00440756">
        <w:rPr>
          <w:rFonts w:ascii="Arial" w:hAnsi="Arial" w:cs="Arial"/>
        </w:rPr>
        <w:t>, 39(2), pp. 181-199.</w:t>
      </w:r>
    </w:p>
    <w:p w14:paraId="0DDD6D34" w14:textId="77777777" w:rsidR="005D5A59" w:rsidRPr="00440756" w:rsidRDefault="005D5A59" w:rsidP="00440756">
      <w:pPr>
        <w:spacing w:line="360" w:lineRule="auto"/>
        <w:rPr>
          <w:rFonts w:ascii="Arial" w:hAnsi="Arial" w:cs="Arial"/>
        </w:rPr>
      </w:pPr>
    </w:p>
    <w:p w14:paraId="301CBA2E" w14:textId="6B9EE952" w:rsidR="00AB48A0" w:rsidRPr="00440756" w:rsidRDefault="00AB48A0" w:rsidP="00440756">
      <w:pPr>
        <w:spacing w:line="360" w:lineRule="auto"/>
        <w:rPr>
          <w:rFonts w:ascii="Arial" w:hAnsi="Arial" w:cs="Arial"/>
        </w:rPr>
      </w:pPr>
      <w:proofErr w:type="spellStart"/>
      <w:r w:rsidRPr="00440756">
        <w:rPr>
          <w:rFonts w:ascii="Arial" w:hAnsi="Arial" w:cs="Arial"/>
        </w:rPr>
        <w:t>Hereth</w:t>
      </w:r>
      <w:proofErr w:type="spellEnd"/>
      <w:r w:rsidRPr="00440756">
        <w:rPr>
          <w:rFonts w:ascii="Arial" w:hAnsi="Arial" w:cs="Arial"/>
        </w:rPr>
        <w:t xml:space="preserve">, J. (2022) </w:t>
      </w:r>
      <w:r w:rsidR="001A12D4">
        <w:rPr>
          <w:rFonts w:ascii="Arial" w:hAnsi="Arial" w:cs="Arial"/>
        </w:rPr>
        <w:t>‘Overrepresentation</w:t>
      </w:r>
      <w:r w:rsidRPr="00440756">
        <w:rPr>
          <w:rFonts w:ascii="Arial" w:hAnsi="Arial" w:cs="Arial"/>
        </w:rPr>
        <w:t xml:space="preserve"> </w:t>
      </w:r>
      <w:r w:rsidR="001A12D4">
        <w:rPr>
          <w:rFonts w:ascii="Arial" w:hAnsi="Arial" w:cs="Arial"/>
        </w:rPr>
        <w:t>of</w:t>
      </w:r>
      <w:r w:rsidRPr="00440756">
        <w:rPr>
          <w:rFonts w:ascii="Arial" w:hAnsi="Arial" w:cs="Arial"/>
        </w:rPr>
        <w:t xml:space="preserve"> </w:t>
      </w:r>
      <w:r w:rsidR="001A12D4">
        <w:rPr>
          <w:rFonts w:ascii="Arial" w:hAnsi="Arial" w:cs="Arial"/>
        </w:rPr>
        <w:t>people</w:t>
      </w:r>
      <w:r w:rsidRPr="00440756">
        <w:rPr>
          <w:rFonts w:ascii="Arial" w:hAnsi="Arial" w:cs="Arial"/>
        </w:rPr>
        <w:t xml:space="preserve"> </w:t>
      </w:r>
      <w:r w:rsidR="001A12D4">
        <w:rPr>
          <w:rFonts w:ascii="Arial" w:hAnsi="Arial" w:cs="Arial"/>
        </w:rPr>
        <w:t>who</w:t>
      </w:r>
      <w:r w:rsidRPr="00440756">
        <w:rPr>
          <w:rFonts w:ascii="Arial" w:hAnsi="Arial" w:cs="Arial"/>
        </w:rPr>
        <w:t xml:space="preserve"> </w:t>
      </w:r>
      <w:r w:rsidR="001A12D4">
        <w:rPr>
          <w:rFonts w:ascii="Arial" w:hAnsi="Arial" w:cs="Arial"/>
        </w:rPr>
        <w:t>identify</w:t>
      </w:r>
      <w:r w:rsidRPr="00440756">
        <w:rPr>
          <w:rFonts w:ascii="Arial" w:hAnsi="Arial" w:cs="Arial"/>
        </w:rPr>
        <w:t xml:space="preserve"> </w:t>
      </w:r>
      <w:r w:rsidR="001A12D4">
        <w:rPr>
          <w:rFonts w:ascii="Arial" w:hAnsi="Arial" w:cs="Arial"/>
        </w:rPr>
        <w:t>as</w:t>
      </w:r>
      <w:r w:rsidRPr="00440756">
        <w:rPr>
          <w:rFonts w:ascii="Arial" w:hAnsi="Arial" w:cs="Arial"/>
        </w:rPr>
        <w:t xml:space="preserve"> LGBTQ+</w:t>
      </w:r>
      <w:r w:rsidR="001A12D4">
        <w:rPr>
          <w:rFonts w:ascii="Arial" w:hAnsi="Arial" w:cs="Arial"/>
        </w:rPr>
        <w:t>’</w:t>
      </w:r>
      <w:r w:rsidRPr="00440756">
        <w:rPr>
          <w:rFonts w:ascii="Arial" w:hAnsi="Arial" w:cs="Arial"/>
        </w:rPr>
        <w:t xml:space="preserve"> </w:t>
      </w:r>
      <w:r w:rsidR="001A12D4">
        <w:rPr>
          <w:rFonts w:ascii="Arial" w:hAnsi="Arial" w:cs="Arial"/>
        </w:rPr>
        <w:t>In</w:t>
      </w:r>
      <w:r w:rsidRPr="00440756">
        <w:rPr>
          <w:rFonts w:ascii="Arial" w:hAnsi="Arial" w:cs="Arial"/>
        </w:rPr>
        <w:t xml:space="preserve"> </w:t>
      </w:r>
      <w:proofErr w:type="gramStart"/>
      <w:r w:rsidR="001A12D4">
        <w:rPr>
          <w:rFonts w:ascii="Arial" w:hAnsi="Arial" w:cs="Arial"/>
        </w:rPr>
        <w:t>The</w:t>
      </w:r>
      <w:proofErr w:type="gramEnd"/>
      <w:r w:rsidRPr="00440756">
        <w:rPr>
          <w:rFonts w:ascii="Arial" w:hAnsi="Arial" w:cs="Arial"/>
        </w:rPr>
        <w:t xml:space="preserve"> </w:t>
      </w:r>
      <w:r w:rsidR="001A12D4">
        <w:rPr>
          <w:rFonts w:ascii="Arial" w:hAnsi="Arial" w:cs="Arial"/>
        </w:rPr>
        <w:t>Criminal</w:t>
      </w:r>
      <w:r w:rsidRPr="00440756">
        <w:rPr>
          <w:rFonts w:ascii="Arial" w:hAnsi="Arial" w:cs="Arial"/>
        </w:rPr>
        <w:t xml:space="preserve"> </w:t>
      </w:r>
      <w:r w:rsidR="001A12D4">
        <w:rPr>
          <w:rFonts w:ascii="Arial" w:hAnsi="Arial" w:cs="Arial"/>
        </w:rPr>
        <w:t>Legal</w:t>
      </w:r>
      <w:r w:rsidRPr="00440756">
        <w:rPr>
          <w:rFonts w:ascii="Arial" w:hAnsi="Arial" w:cs="Arial"/>
        </w:rPr>
        <w:t xml:space="preserve"> </w:t>
      </w:r>
      <w:r w:rsidR="001A12D4">
        <w:rPr>
          <w:rFonts w:ascii="Arial" w:hAnsi="Arial" w:cs="Arial"/>
        </w:rPr>
        <w:t>System</w:t>
      </w:r>
      <w:r w:rsidRPr="00440756">
        <w:rPr>
          <w:rFonts w:ascii="Arial" w:hAnsi="Arial" w:cs="Arial"/>
        </w:rPr>
        <w:t>, </w:t>
      </w:r>
      <w:r w:rsidRPr="00440756">
        <w:rPr>
          <w:rFonts w:ascii="Arial" w:hAnsi="Arial" w:cs="Arial"/>
          <w:i/>
          <w:iCs/>
        </w:rPr>
        <w:t>Safety and Justice Challenge</w:t>
      </w:r>
      <w:r w:rsidRPr="00440756">
        <w:rPr>
          <w:rFonts w:ascii="Arial" w:hAnsi="Arial" w:cs="Arial"/>
        </w:rPr>
        <w:t>.</w:t>
      </w:r>
    </w:p>
    <w:p w14:paraId="2DA49639" w14:textId="77777777" w:rsidR="00AB48A0" w:rsidRPr="00440756" w:rsidRDefault="00AB48A0" w:rsidP="00440756">
      <w:pPr>
        <w:spacing w:line="360" w:lineRule="auto"/>
        <w:rPr>
          <w:rFonts w:ascii="Arial" w:hAnsi="Arial" w:cs="Arial"/>
        </w:rPr>
      </w:pPr>
    </w:p>
    <w:p w14:paraId="591F43A9" w14:textId="604079DD" w:rsidR="00AB48A0" w:rsidRPr="00440756" w:rsidRDefault="00AB48A0" w:rsidP="00440756">
      <w:pPr>
        <w:spacing w:line="360" w:lineRule="auto"/>
        <w:rPr>
          <w:rFonts w:ascii="Arial" w:hAnsi="Arial" w:cs="Arial"/>
        </w:rPr>
      </w:pPr>
      <w:proofErr w:type="spellStart"/>
      <w:r w:rsidRPr="00440756">
        <w:rPr>
          <w:rFonts w:ascii="Arial" w:hAnsi="Arial" w:cs="Arial"/>
        </w:rPr>
        <w:t>Hereth</w:t>
      </w:r>
      <w:proofErr w:type="spellEnd"/>
      <w:r w:rsidRPr="00440756">
        <w:rPr>
          <w:rFonts w:ascii="Arial" w:hAnsi="Arial" w:cs="Arial"/>
        </w:rPr>
        <w:t>, J.E. (2024) 'Pathways leading to arrest for transgender women', </w:t>
      </w:r>
      <w:r w:rsidRPr="00440756">
        <w:rPr>
          <w:rFonts w:ascii="Arial" w:hAnsi="Arial" w:cs="Arial"/>
          <w:i/>
          <w:iCs/>
        </w:rPr>
        <w:t>Feminist Criminology</w:t>
      </w:r>
      <w:r w:rsidRPr="00440756">
        <w:rPr>
          <w:rFonts w:ascii="Arial" w:hAnsi="Arial" w:cs="Arial"/>
        </w:rPr>
        <w:t>. doi:10.1177/15570851241250126.</w:t>
      </w:r>
    </w:p>
    <w:p w14:paraId="61F623AF" w14:textId="77777777" w:rsidR="00AB48A0" w:rsidRPr="00440756" w:rsidRDefault="00AB48A0" w:rsidP="00440756">
      <w:pPr>
        <w:spacing w:line="360" w:lineRule="auto"/>
        <w:rPr>
          <w:rFonts w:ascii="Arial" w:hAnsi="Arial" w:cs="Arial"/>
        </w:rPr>
      </w:pPr>
    </w:p>
    <w:p w14:paraId="1F739924" w14:textId="0F19F26F" w:rsidR="00AB48A0" w:rsidRPr="00440756" w:rsidRDefault="00AB48A0" w:rsidP="00440756">
      <w:pPr>
        <w:spacing w:line="360" w:lineRule="auto"/>
        <w:rPr>
          <w:rFonts w:ascii="Arial" w:hAnsi="Arial" w:cs="Arial"/>
        </w:rPr>
      </w:pPr>
      <w:r w:rsidRPr="00440756">
        <w:rPr>
          <w:rFonts w:ascii="Arial" w:hAnsi="Arial" w:cs="Arial"/>
        </w:rPr>
        <w:t>Hester, M.</w:t>
      </w:r>
      <w:r w:rsidR="0022350E" w:rsidRPr="00440756">
        <w:rPr>
          <w:rFonts w:ascii="Arial" w:hAnsi="Arial" w:cs="Arial"/>
        </w:rPr>
        <w:t xml:space="preserve">, Williamson, E., Eisenstein, N., Abrahams, H., </w:t>
      </w:r>
      <w:proofErr w:type="spellStart"/>
      <w:r w:rsidR="0022350E" w:rsidRPr="00440756">
        <w:rPr>
          <w:rFonts w:ascii="Arial" w:hAnsi="Arial" w:cs="Arial"/>
        </w:rPr>
        <w:t>Aghtaie</w:t>
      </w:r>
      <w:proofErr w:type="spellEnd"/>
      <w:r w:rsidR="0022350E" w:rsidRPr="00440756">
        <w:rPr>
          <w:rFonts w:ascii="Arial" w:hAnsi="Arial" w:cs="Arial"/>
        </w:rPr>
        <w:t xml:space="preserve">, N., Bates, L., </w:t>
      </w:r>
      <w:proofErr w:type="spellStart"/>
      <w:r w:rsidR="0022350E" w:rsidRPr="00440756">
        <w:rPr>
          <w:rFonts w:ascii="Arial" w:hAnsi="Arial" w:cs="Arial"/>
        </w:rPr>
        <w:t>Gangoli</w:t>
      </w:r>
      <w:proofErr w:type="spellEnd"/>
      <w:r w:rsidR="0022350E" w:rsidRPr="00440756">
        <w:rPr>
          <w:rFonts w:ascii="Arial" w:hAnsi="Arial" w:cs="Arial"/>
        </w:rPr>
        <w:t xml:space="preserve">, G., Robinson, A., Walker, S., McCarthy, E. and </w:t>
      </w:r>
      <w:proofErr w:type="spellStart"/>
      <w:r w:rsidR="0022350E" w:rsidRPr="00440756">
        <w:rPr>
          <w:rFonts w:ascii="Arial" w:hAnsi="Arial" w:cs="Arial"/>
        </w:rPr>
        <w:t>Matolcsi</w:t>
      </w:r>
      <w:proofErr w:type="spellEnd"/>
      <w:r w:rsidR="0022350E" w:rsidRPr="00440756">
        <w:rPr>
          <w:rFonts w:ascii="Arial" w:hAnsi="Arial" w:cs="Arial"/>
        </w:rPr>
        <w:t xml:space="preserve">, A. </w:t>
      </w:r>
      <w:r w:rsidRPr="00440756">
        <w:rPr>
          <w:rFonts w:ascii="Arial" w:hAnsi="Arial" w:cs="Arial"/>
        </w:rPr>
        <w:t>(2023) 'What is Justice? perspectives of victims-survivors of gender-based violence', </w:t>
      </w:r>
      <w:r w:rsidRPr="00440756">
        <w:rPr>
          <w:rFonts w:ascii="Arial" w:hAnsi="Arial" w:cs="Arial"/>
          <w:i/>
          <w:iCs/>
        </w:rPr>
        <w:t>Violence Against Women</w:t>
      </w:r>
      <w:r w:rsidRPr="00440756">
        <w:rPr>
          <w:rFonts w:ascii="Arial" w:hAnsi="Arial" w:cs="Arial"/>
        </w:rPr>
        <w:t>, 31(2), pp. 570–597. doi:10.1177/10778012231214772.</w:t>
      </w:r>
    </w:p>
    <w:p w14:paraId="07D0ECCD" w14:textId="77777777" w:rsidR="00AB48A0" w:rsidRPr="00440756" w:rsidRDefault="00AB48A0" w:rsidP="00440756">
      <w:pPr>
        <w:spacing w:line="360" w:lineRule="auto"/>
        <w:rPr>
          <w:rFonts w:ascii="Arial" w:hAnsi="Arial" w:cs="Arial"/>
        </w:rPr>
      </w:pPr>
    </w:p>
    <w:p w14:paraId="30C6BF63" w14:textId="057B3328" w:rsidR="00AB48A0" w:rsidRPr="00440756" w:rsidRDefault="00AB48A0" w:rsidP="00440756">
      <w:pPr>
        <w:spacing w:line="360" w:lineRule="auto"/>
        <w:rPr>
          <w:rFonts w:ascii="Arial" w:hAnsi="Arial" w:cs="Arial"/>
        </w:rPr>
      </w:pPr>
      <w:r w:rsidRPr="00440756">
        <w:rPr>
          <w:rFonts w:ascii="Arial" w:hAnsi="Arial" w:cs="Arial"/>
        </w:rPr>
        <w:t xml:space="preserve">Herman, J. L., Brown, T. N., </w:t>
      </w:r>
      <w:r w:rsidR="0022350E" w:rsidRPr="00440756">
        <w:rPr>
          <w:rFonts w:ascii="Arial" w:hAnsi="Arial" w:cs="Arial"/>
        </w:rPr>
        <w:t xml:space="preserve">and </w:t>
      </w:r>
      <w:r w:rsidRPr="00440756">
        <w:rPr>
          <w:rFonts w:ascii="Arial" w:hAnsi="Arial" w:cs="Arial"/>
        </w:rPr>
        <w:t>Marks, A. L. (2022) 'Transgender justice and discrimination: A comprehensive report', </w:t>
      </w:r>
      <w:r w:rsidRPr="00440756">
        <w:rPr>
          <w:rFonts w:ascii="Arial" w:hAnsi="Arial" w:cs="Arial"/>
          <w:i/>
          <w:iCs/>
        </w:rPr>
        <w:t xml:space="preserve">National </w:t>
      </w:r>
      <w:proofErr w:type="spellStart"/>
      <w:r w:rsidRPr="00440756">
        <w:rPr>
          <w:rFonts w:ascii="Arial" w:hAnsi="Arial" w:cs="Arial"/>
          <w:i/>
          <w:iCs/>
        </w:rPr>
        <w:t>Center</w:t>
      </w:r>
      <w:proofErr w:type="spellEnd"/>
      <w:r w:rsidRPr="00440756">
        <w:rPr>
          <w:rFonts w:ascii="Arial" w:hAnsi="Arial" w:cs="Arial"/>
          <w:i/>
          <w:iCs/>
        </w:rPr>
        <w:t xml:space="preserve"> for Transgender Equality</w:t>
      </w:r>
      <w:r w:rsidRPr="00440756">
        <w:rPr>
          <w:rFonts w:ascii="Arial" w:hAnsi="Arial" w:cs="Arial"/>
        </w:rPr>
        <w:t>.</w:t>
      </w:r>
    </w:p>
    <w:p w14:paraId="5EE5408E" w14:textId="77777777" w:rsidR="00AB48A0" w:rsidRPr="00440756" w:rsidRDefault="00AB48A0" w:rsidP="00440756">
      <w:pPr>
        <w:spacing w:line="360" w:lineRule="auto"/>
        <w:rPr>
          <w:rFonts w:ascii="Arial" w:hAnsi="Arial" w:cs="Arial"/>
        </w:rPr>
      </w:pPr>
    </w:p>
    <w:p w14:paraId="53A9137A" w14:textId="2D9810EF" w:rsidR="00AB48A0" w:rsidRPr="00440756" w:rsidRDefault="00AB48A0" w:rsidP="00440756">
      <w:pPr>
        <w:spacing w:line="360" w:lineRule="auto"/>
        <w:rPr>
          <w:rFonts w:ascii="Arial" w:hAnsi="Arial" w:cs="Arial"/>
        </w:rPr>
      </w:pPr>
      <w:r w:rsidRPr="00440756">
        <w:rPr>
          <w:rFonts w:ascii="Arial" w:hAnsi="Arial" w:cs="Arial"/>
        </w:rPr>
        <w:t>Hernández, A. (2022) </w:t>
      </w:r>
      <w:r w:rsidRPr="00440756">
        <w:rPr>
          <w:rFonts w:ascii="Arial" w:hAnsi="Arial" w:cs="Arial"/>
          <w:i/>
          <w:iCs/>
        </w:rPr>
        <w:t>The treatment of transgender inmates: A legal and ethical perspective</w:t>
      </w:r>
      <w:r w:rsidRPr="00440756">
        <w:rPr>
          <w:rFonts w:ascii="Arial" w:hAnsi="Arial" w:cs="Arial"/>
        </w:rPr>
        <w:t>. Gender Justice Press.</w:t>
      </w:r>
    </w:p>
    <w:p w14:paraId="0B23D334" w14:textId="77777777" w:rsidR="00AB48A0" w:rsidRPr="00440756" w:rsidRDefault="00AB48A0" w:rsidP="00440756">
      <w:pPr>
        <w:spacing w:line="360" w:lineRule="auto"/>
        <w:rPr>
          <w:rFonts w:ascii="Arial" w:hAnsi="Arial" w:cs="Arial"/>
        </w:rPr>
      </w:pPr>
    </w:p>
    <w:p w14:paraId="776BF4CB" w14:textId="77777777" w:rsidR="00440756" w:rsidRPr="00440756" w:rsidRDefault="00440756" w:rsidP="00440756">
      <w:pPr>
        <w:pStyle w:val="NormalWeb"/>
        <w:spacing w:line="360" w:lineRule="auto"/>
        <w:ind w:left="567" w:hanging="567"/>
        <w:rPr>
          <w:rFonts w:ascii="Arial" w:hAnsi="Arial" w:cs="Arial"/>
          <w:color w:val="000000"/>
        </w:rPr>
      </w:pPr>
      <w:r w:rsidRPr="00440756">
        <w:rPr>
          <w:rFonts w:ascii="Arial" w:hAnsi="Arial" w:cs="Arial"/>
          <w:color w:val="000000"/>
        </w:rPr>
        <w:t>His Majesty’s Inspectorate of Constabulary and Fire &amp; Rescue Services (2024)</w:t>
      </w:r>
      <w:r w:rsidRPr="00440756">
        <w:rPr>
          <w:rStyle w:val="apple-converted-space"/>
          <w:rFonts w:ascii="Arial" w:eastAsiaTheme="majorEastAsia" w:hAnsi="Arial" w:cs="Arial"/>
          <w:color w:val="000000"/>
        </w:rPr>
        <w:t> </w:t>
      </w:r>
      <w:r w:rsidRPr="00440756">
        <w:rPr>
          <w:rFonts w:ascii="Arial" w:hAnsi="Arial" w:cs="Arial"/>
          <w:i/>
          <w:iCs/>
          <w:color w:val="000000"/>
        </w:rPr>
        <w:t>His Majesty’s Inspectorate of Constabulary and Fire &amp; Rescue Services</w:t>
      </w:r>
      <w:r w:rsidRPr="00440756">
        <w:rPr>
          <w:rFonts w:ascii="Arial" w:hAnsi="Arial" w:cs="Arial"/>
          <w:color w:val="000000"/>
        </w:rPr>
        <w:t>. Available at: https://hmicfrs.justiceinspectorates.gov.uk/ (Accessed: 05 March 2025).</w:t>
      </w:r>
      <w:r w:rsidRPr="00440756">
        <w:rPr>
          <w:rStyle w:val="apple-converted-space"/>
          <w:rFonts w:ascii="Arial" w:eastAsiaTheme="majorEastAsia" w:hAnsi="Arial" w:cs="Arial"/>
          <w:color w:val="000000"/>
        </w:rPr>
        <w:t> </w:t>
      </w:r>
    </w:p>
    <w:p w14:paraId="0EB4B291" w14:textId="77777777" w:rsidR="00AB48A0" w:rsidRPr="00440756" w:rsidRDefault="00AB48A0" w:rsidP="00440756">
      <w:pPr>
        <w:spacing w:line="360" w:lineRule="auto"/>
        <w:rPr>
          <w:rFonts w:ascii="Arial" w:hAnsi="Arial" w:cs="Arial"/>
        </w:rPr>
      </w:pPr>
    </w:p>
    <w:p w14:paraId="40551D33" w14:textId="46A8BE1A" w:rsidR="00AB48A0" w:rsidRPr="00440756" w:rsidRDefault="00AB48A0" w:rsidP="00440756">
      <w:pPr>
        <w:spacing w:line="360" w:lineRule="auto"/>
        <w:rPr>
          <w:rFonts w:ascii="Arial" w:hAnsi="Arial" w:cs="Arial"/>
        </w:rPr>
      </w:pPr>
      <w:r w:rsidRPr="00440756">
        <w:rPr>
          <w:rFonts w:ascii="Arial" w:hAnsi="Arial" w:cs="Arial"/>
        </w:rPr>
        <w:lastRenderedPageBreak/>
        <w:t>Jacobs, P. (2024) 'Transgender behind bars. The transgender pains of imprisonment in the light of the emerging and advancement of Human Rights Protection for transgender prisoners within the Council of Europe Context', </w:t>
      </w:r>
      <w:r w:rsidRPr="00440756">
        <w:rPr>
          <w:rFonts w:ascii="Arial" w:hAnsi="Arial" w:cs="Arial"/>
          <w:i/>
          <w:iCs/>
        </w:rPr>
        <w:t>New Journal of European Criminal Law</w:t>
      </w:r>
      <w:r w:rsidRPr="00440756">
        <w:rPr>
          <w:rFonts w:ascii="Arial" w:hAnsi="Arial" w:cs="Arial"/>
        </w:rPr>
        <w:t>, 15(2), pp. 225–240. doi:10.1177/20322844241250222.</w:t>
      </w:r>
    </w:p>
    <w:p w14:paraId="57CFF832" w14:textId="77777777" w:rsidR="00AB48A0" w:rsidRPr="00440756" w:rsidRDefault="00AB48A0" w:rsidP="00440756">
      <w:pPr>
        <w:spacing w:line="360" w:lineRule="auto"/>
        <w:rPr>
          <w:rFonts w:ascii="Arial" w:hAnsi="Arial" w:cs="Arial"/>
        </w:rPr>
      </w:pPr>
    </w:p>
    <w:p w14:paraId="1C4DFFE0" w14:textId="55977A7B" w:rsidR="00AB48A0" w:rsidRPr="00440756" w:rsidRDefault="00AB48A0" w:rsidP="00440756">
      <w:pPr>
        <w:spacing w:line="360" w:lineRule="auto"/>
        <w:rPr>
          <w:rFonts w:ascii="Arial" w:hAnsi="Arial" w:cs="Arial"/>
        </w:rPr>
      </w:pPr>
      <w:r w:rsidRPr="00440756">
        <w:rPr>
          <w:rFonts w:ascii="Arial" w:hAnsi="Arial" w:cs="Arial"/>
        </w:rPr>
        <w:t xml:space="preserve">James, S. E., Herman, J. L., </w:t>
      </w:r>
      <w:r w:rsidR="0022350E" w:rsidRPr="00440756">
        <w:rPr>
          <w:rFonts w:ascii="Arial" w:hAnsi="Arial" w:cs="Arial"/>
        </w:rPr>
        <w:t>and</w:t>
      </w:r>
      <w:r w:rsidRPr="00440756">
        <w:rPr>
          <w:rFonts w:ascii="Arial" w:hAnsi="Arial" w:cs="Arial"/>
        </w:rPr>
        <w:t xml:space="preserve"> </w:t>
      </w:r>
      <w:proofErr w:type="spellStart"/>
      <w:r w:rsidRPr="00440756">
        <w:rPr>
          <w:rFonts w:ascii="Arial" w:hAnsi="Arial" w:cs="Arial"/>
        </w:rPr>
        <w:t>Keisling</w:t>
      </w:r>
      <w:proofErr w:type="spellEnd"/>
      <w:r w:rsidRPr="00440756">
        <w:rPr>
          <w:rFonts w:ascii="Arial" w:hAnsi="Arial" w:cs="Arial"/>
        </w:rPr>
        <w:t>, M. (2021) 'Barriers to reporting crimes: Transgender individuals' experiences with law enforcement', </w:t>
      </w:r>
      <w:r w:rsidRPr="00440756">
        <w:rPr>
          <w:rFonts w:ascii="Arial" w:hAnsi="Arial" w:cs="Arial"/>
          <w:i/>
          <w:iCs/>
        </w:rPr>
        <w:t>LGBTQ+ Justice Report</w:t>
      </w:r>
      <w:r w:rsidRPr="00440756">
        <w:rPr>
          <w:rFonts w:ascii="Arial" w:hAnsi="Arial" w:cs="Arial"/>
        </w:rPr>
        <w:t>.</w:t>
      </w:r>
    </w:p>
    <w:p w14:paraId="7D2D0DA6" w14:textId="77777777" w:rsidR="00AB48A0" w:rsidRPr="00440756" w:rsidRDefault="00AB48A0" w:rsidP="00440756">
      <w:pPr>
        <w:spacing w:line="360" w:lineRule="auto"/>
        <w:rPr>
          <w:rFonts w:ascii="Arial" w:hAnsi="Arial" w:cs="Arial"/>
        </w:rPr>
      </w:pPr>
    </w:p>
    <w:p w14:paraId="775DFFC0" w14:textId="0D0FDBAA" w:rsidR="00AB48A0" w:rsidRPr="00440756" w:rsidRDefault="00AB48A0" w:rsidP="00440756">
      <w:pPr>
        <w:spacing w:line="360" w:lineRule="auto"/>
        <w:rPr>
          <w:rFonts w:ascii="Arial" w:hAnsi="Arial" w:cs="Arial"/>
        </w:rPr>
      </w:pPr>
      <w:proofErr w:type="spellStart"/>
      <w:r w:rsidRPr="00440756">
        <w:rPr>
          <w:rFonts w:ascii="Arial" w:hAnsi="Arial" w:cs="Arial"/>
        </w:rPr>
        <w:t>Jenness</w:t>
      </w:r>
      <w:proofErr w:type="spellEnd"/>
      <w:r w:rsidRPr="00440756">
        <w:rPr>
          <w:rFonts w:ascii="Arial" w:hAnsi="Arial" w:cs="Arial"/>
        </w:rPr>
        <w:t>, V. (2021) 'The social ecology of sexual victimization against transgender women who are incarcerated: A call for (more) research on modalities of Housing and Prison Violence', </w:t>
      </w:r>
      <w:r w:rsidRPr="00440756">
        <w:rPr>
          <w:rFonts w:ascii="Arial" w:hAnsi="Arial" w:cs="Arial"/>
          <w:i/>
          <w:iCs/>
        </w:rPr>
        <w:t>Criminology &amp; Public Policy</w:t>
      </w:r>
      <w:r w:rsidRPr="00440756">
        <w:rPr>
          <w:rFonts w:ascii="Arial" w:hAnsi="Arial" w:cs="Arial"/>
        </w:rPr>
        <w:t>, 20(1), pp. 3–18. doi:10.1111/1745-9133.12540.</w:t>
      </w:r>
    </w:p>
    <w:p w14:paraId="55881D0F" w14:textId="77777777" w:rsidR="00AB48A0" w:rsidRPr="00440756" w:rsidRDefault="00AB48A0" w:rsidP="00440756">
      <w:pPr>
        <w:spacing w:line="360" w:lineRule="auto"/>
        <w:rPr>
          <w:rFonts w:ascii="Arial" w:hAnsi="Arial" w:cs="Arial"/>
        </w:rPr>
      </w:pPr>
    </w:p>
    <w:p w14:paraId="6C295E9C" w14:textId="0C5B5CF3" w:rsidR="00AB48A0" w:rsidRPr="00440756" w:rsidRDefault="00AB48A0" w:rsidP="00440756">
      <w:pPr>
        <w:spacing w:line="360" w:lineRule="auto"/>
        <w:rPr>
          <w:rFonts w:ascii="Arial" w:hAnsi="Arial" w:cs="Arial"/>
        </w:rPr>
      </w:pPr>
      <w:r w:rsidRPr="00440756">
        <w:rPr>
          <w:rFonts w:ascii="Arial" w:hAnsi="Arial" w:cs="Arial"/>
        </w:rPr>
        <w:t>Joseph, R. (2023) </w:t>
      </w:r>
      <w:r w:rsidRPr="00440756">
        <w:rPr>
          <w:rFonts w:ascii="Arial" w:hAnsi="Arial" w:cs="Arial"/>
          <w:i/>
          <w:iCs/>
        </w:rPr>
        <w:t>Knowledge, Attitudes, Beliefs, and Training Experiences of Correctional, and Non-Correctional Healthcare Professionals About the LGBTQ+ Community</w:t>
      </w:r>
      <w:r w:rsidRPr="00440756">
        <w:rPr>
          <w:rFonts w:ascii="Arial" w:hAnsi="Arial" w:cs="Arial"/>
        </w:rPr>
        <w:t>.</w:t>
      </w:r>
    </w:p>
    <w:p w14:paraId="76131CBB" w14:textId="77777777" w:rsidR="00AB48A0" w:rsidRPr="00440756" w:rsidRDefault="00AB48A0" w:rsidP="00440756">
      <w:pPr>
        <w:spacing w:line="360" w:lineRule="auto"/>
        <w:rPr>
          <w:rFonts w:ascii="Arial" w:hAnsi="Arial" w:cs="Arial"/>
        </w:rPr>
      </w:pPr>
    </w:p>
    <w:p w14:paraId="0A1F7C3D" w14:textId="1C161ADD" w:rsidR="00AB48A0" w:rsidRPr="00440756" w:rsidRDefault="007F65B0" w:rsidP="00440756">
      <w:pPr>
        <w:spacing w:line="360" w:lineRule="auto"/>
        <w:rPr>
          <w:rFonts w:ascii="Arial" w:hAnsi="Arial" w:cs="Arial"/>
        </w:rPr>
      </w:pPr>
      <w:r>
        <w:rPr>
          <w:rFonts w:ascii="Arial" w:hAnsi="Arial" w:cs="Arial"/>
        </w:rPr>
        <w:t xml:space="preserve">Ministry </w:t>
      </w:r>
      <w:r w:rsidR="00AB48A0" w:rsidRPr="00440756">
        <w:rPr>
          <w:rFonts w:ascii="Arial" w:hAnsi="Arial" w:cs="Arial"/>
        </w:rPr>
        <w:t xml:space="preserve">of </w:t>
      </w:r>
      <w:r>
        <w:rPr>
          <w:rFonts w:ascii="Arial" w:hAnsi="Arial" w:cs="Arial"/>
        </w:rPr>
        <w:t xml:space="preserve">Justice </w:t>
      </w:r>
      <w:r w:rsidR="00AB48A0" w:rsidRPr="00440756">
        <w:rPr>
          <w:rFonts w:ascii="Arial" w:hAnsi="Arial" w:cs="Arial"/>
        </w:rPr>
        <w:t>(2024) </w:t>
      </w:r>
      <w:r w:rsidR="00AB48A0" w:rsidRPr="00440756">
        <w:rPr>
          <w:rFonts w:ascii="Arial" w:hAnsi="Arial" w:cs="Arial"/>
          <w:i/>
          <w:iCs/>
        </w:rPr>
        <w:t>The care and management of individuals who are transgender</w:t>
      </w:r>
      <w:r w:rsidR="00AB48A0" w:rsidRPr="00440756">
        <w:rPr>
          <w:rFonts w:ascii="Arial" w:hAnsi="Arial" w:cs="Arial"/>
        </w:rPr>
        <w:t>, GOV.UK. Available at: </w:t>
      </w:r>
      <w:hyperlink r:id="rId9" w:tgtFrame="_new" w:history="1">
        <w:r w:rsidR="00AB48A0" w:rsidRPr="00440756">
          <w:rPr>
            <w:rFonts w:ascii="Arial" w:hAnsi="Arial" w:cs="Arial"/>
            <w:color w:val="0000FF"/>
            <w:u w:val="single"/>
          </w:rPr>
          <w:t>https://www.gov.uk/government/publications/the-care-and-management-of-individuals-who-are-transgender</w:t>
        </w:r>
      </w:hyperlink>
      <w:r w:rsidR="00AB48A0" w:rsidRPr="00440756">
        <w:rPr>
          <w:rFonts w:ascii="Arial" w:hAnsi="Arial" w:cs="Arial"/>
        </w:rPr>
        <w:t> (Accessed: 15 February 2025).</w:t>
      </w:r>
    </w:p>
    <w:p w14:paraId="456D502C" w14:textId="77777777" w:rsidR="00AB48A0" w:rsidRPr="00440756" w:rsidRDefault="00AB48A0" w:rsidP="00440756">
      <w:pPr>
        <w:spacing w:line="360" w:lineRule="auto"/>
        <w:rPr>
          <w:rFonts w:ascii="Arial" w:hAnsi="Arial" w:cs="Arial"/>
        </w:rPr>
      </w:pPr>
    </w:p>
    <w:p w14:paraId="74EDE37C" w14:textId="55712AAF" w:rsidR="00AB48A0" w:rsidRPr="00440756" w:rsidRDefault="00AB48A0" w:rsidP="00440756">
      <w:pPr>
        <w:spacing w:line="360" w:lineRule="auto"/>
        <w:rPr>
          <w:rFonts w:ascii="Arial" w:hAnsi="Arial" w:cs="Arial"/>
        </w:rPr>
      </w:pPr>
      <w:r w:rsidRPr="00440756">
        <w:rPr>
          <w:rFonts w:ascii="Arial" w:hAnsi="Arial" w:cs="Arial"/>
        </w:rPr>
        <w:t>King, M. (2025) </w:t>
      </w:r>
      <w:r w:rsidRPr="00440756">
        <w:rPr>
          <w:rFonts w:ascii="Arial" w:hAnsi="Arial" w:cs="Arial"/>
          <w:i/>
          <w:iCs/>
        </w:rPr>
        <w:t>Framework of Criminal Justice</w:t>
      </w:r>
      <w:r w:rsidRPr="00440756">
        <w:rPr>
          <w:rFonts w:ascii="Arial" w:hAnsi="Arial" w:cs="Arial"/>
        </w:rPr>
        <w:t xml:space="preserve">. 1st </w:t>
      </w:r>
      <w:proofErr w:type="spellStart"/>
      <w:r w:rsidRPr="00440756">
        <w:rPr>
          <w:rFonts w:ascii="Arial" w:hAnsi="Arial" w:cs="Arial"/>
        </w:rPr>
        <w:t>edn</w:t>
      </w:r>
      <w:proofErr w:type="spellEnd"/>
      <w:r w:rsidRPr="00440756">
        <w:rPr>
          <w:rFonts w:ascii="Arial" w:hAnsi="Arial" w:cs="Arial"/>
        </w:rPr>
        <w:t xml:space="preserve">. </w:t>
      </w:r>
      <w:proofErr w:type="spellStart"/>
      <w:r w:rsidRPr="00440756">
        <w:rPr>
          <w:rFonts w:ascii="Arial" w:hAnsi="Arial" w:cs="Arial"/>
        </w:rPr>
        <w:t>S.l.</w:t>
      </w:r>
      <w:proofErr w:type="spellEnd"/>
      <w:r w:rsidRPr="00440756">
        <w:rPr>
          <w:rFonts w:ascii="Arial" w:hAnsi="Arial" w:cs="Arial"/>
        </w:rPr>
        <w:t xml:space="preserve">, London: </w:t>
      </w:r>
      <w:r w:rsidR="001A12D4">
        <w:rPr>
          <w:rFonts w:ascii="Arial" w:hAnsi="Arial" w:cs="Arial"/>
        </w:rPr>
        <w:t>Routledge</w:t>
      </w:r>
      <w:r w:rsidRPr="00440756">
        <w:rPr>
          <w:rFonts w:ascii="Arial" w:hAnsi="Arial" w:cs="Arial"/>
        </w:rPr>
        <w:t>.</w:t>
      </w:r>
    </w:p>
    <w:p w14:paraId="38094E4E" w14:textId="77777777" w:rsidR="00AB48A0" w:rsidRPr="00440756" w:rsidRDefault="00AB48A0" w:rsidP="00440756">
      <w:pPr>
        <w:spacing w:line="360" w:lineRule="auto"/>
        <w:rPr>
          <w:rFonts w:ascii="Arial" w:hAnsi="Arial" w:cs="Arial"/>
        </w:rPr>
      </w:pPr>
    </w:p>
    <w:p w14:paraId="653CF625" w14:textId="541A7900" w:rsidR="00AB48A0" w:rsidRPr="00440756" w:rsidRDefault="00AB48A0" w:rsidP="00440756">
      <w:pPr>
        <w:spacing w:line="360" w:lineRule="auto"/>
        <w:rPr>
          <w:rFonts w:ascii="Arial" w:hAnsi="Arial" w:cs="Arial"/>
        </w:rPr>
      </w:pPr>
      <w:proofErr w:type="spellStart"/>
      <w:r w:rsidRPr="00440756">
        <w:rPr>
          <w:rFonts w:ascii="Arial" w:hAnsi="Arial" w:cs="Arial"/>
        </w:rPr>
        <w:t>Kosbie</w:t>
      </w:r>
      <w:proofErr w:type="spellEnd"/>
      <w:r w:rsidRPr="00440756">
        <w:rPr>
          <w:rFonts w:ascii="Arial" w:hAnsi="Arial" w:cs="Arial"/>
        </w:rPr>
        <w:t>, D. (2021) 'The effectiveness of LGBTQ+ units within police forces: A review of current practices', </w:t>
      </w:r>
      <w:r w:rsidRPr="00440756">
        <w:rPr>
          <w:rFonts w:ascii="Arial" w:hAnsi="Arial" w:cs="Arial"/>
          <w:i/>
          <w:iCs/>
        </w:rPr>
        <w:t>Police Reform Initiative</w:t>
      </w:r>
      <w:r w:rsidRPr="00440756">
        <w:rPr>
          <w:rFonts w:ascii="Arial" w:hAnsi="Arial" w:cs="Arial"/>
        </w:rPr>
        <w:t>.</w:t>
      </w:r>
    </w:p>
    <w:p w14:paraId="312D7434" w14:textId="7C5B2584" w:rsidR="00AB48A0" w:rsidRPr="00440756" w:rsidRDefault="00033271" w:rsidP="00440756">
      <w:pPr>
        <w:pStyle w:val="NormalWeb"/>
        <w:spacing w:line="360" w:lineRule="auto"/>
        <w:ind w:left="567" w:hanging="567"/>
        <w:rPr>
          <w:rFonts w:ascii="Arial" w:hAnsi="Arial" w:cs="Arial"/>
          <w:color w:val="000000"/>
        </w:rPr>
      </w:pPr>
      <w:proofErr w:type="spellStart"/>
      <w:proofErr w:type="gramStart"/>
      <w:r w:rsidRPr="00440756">
        <w:rPr>
          <w:rFonts w:ascii="Arial" w:hAnsi="Arial" w:cs="Arial"/>
          <w:color w:val="000000"/>
        </w:rPr>
        <w:t>Levi</w:t>
      </w:r>
      <w:r w:rsidR="00440756">
        <w:rPr>
          <w:rFonts w:ascii="Arial" w:hAnsi="Arial" w:cs="Arial"/>
          <w:color w:val="000000"/>
        </w:rPr>
        <w:t>,</w:t>
      </w:r>
      <w:r w:rsidRPr="00440756">
        <w:rPr>
          <w:rFonts w:ascii="Arial" w:hAnsi="Arial" w:cs="Arial"/>
          <w:color w:val="000000"/>
        </w:rPr>
        <w:t>J</w:t>
      </w:r>
      <w:proofErr w:type="spellEnd"/>
      <w:r w:rsidRPr="00440756">
        <w:rPr>
          <w:rFonts w:ascii="Arial" w:hAnsi="Arial" w:cs="Arial"/>
          <w:color w:val="000000"/>
        </w:rPr>
        <w:t>.</w:t>
      </w:r>
      <w:proofErr w:type="gramEnd"/>
      <w:r w:rsidRPr="00440756">
        <w:rPr>
          <w:rFonts w:ascii="Arial" w:hAnsi="Arial" w:cs="Arial"/>
          <w:color w:val="000000"/>
        </w:rPr>
        <w:t xml:space="preserve"> and Barry , K. (2021)</w:t>
      </w:r>
      <w:r w:rsidRPr="00440756">
        <w:rPr>
          <w:rStyle w:val="apple-converted-space"/>
          <w:rFonts w:ascii="Arial" w:eastAsiaTheme="majorEastAsia" w:hAnsi="Arial" w:cs="Arial"/>
          <w:color w:val="000000"/>
        </w:rPr>
        <w:t> </w:t>
      </w:r>
      <w:r w:rsidR="001A12D4">
        <w:rPr>
          <w:rFonts w:ascii="Arial" w:hAnsi="Arial" w:cs="Arial"/>
          <w:i/>
          <w:iCs/>
          <w:color w:val="000000"/>
        </w:rPr>
        <w:t>Transgender</w:t>
      </w:r>
      <w:r w:rsidRPr="00440756">
        <w:rPr>
          <w:rFonts w:ascii="Arial" w:hAnsi="Arial" w:cs="Arial"/>
          <w:i/>
          <w:iCs/>
          <w:color w:val="000000"/>
        </w:rPr>
        <w:t xml:space="preserve"> </w:t>
      </w:r>
      <w:r w:rsidR="001A12D4">
        <w:rPr>
          <w:rFonts w:ascii="Arial" w:hAnsi="Arial" w:cs="Arial"/>
          <w:i/>
          <w:iCs/>
          <w:color w:val="000000"/>
        </w:rPr>
        <w:t>Rights</w:t>
      </w:r>
      <w:r w:rsidRPr="00440756">
        <w:rPr>
          <w:rFonts w:ascii="Arial" w:hAnsi="Arial" w:cs="Arial"/>
          <w:i/>
          <w:iCs/>
          <w:color w:val="000000"/>
        </w:rPr>
        <w:t xml:space="preserve"> &amp; </w:t>
      </w:r>
      <w:r w:rsidR="001A12D4">
        <w:rPr>
          <w:rFonts w:ascii="Arial" w:hAnsi="Arial" w:cs="Arial"/>
          <w:i/>
          <w:iCs/>
          <w:color w:val="000000"/>
        </w:rPr>
        <w:t>The</w:t>
      </w:r>
      <w:r w:rsidRPr="00440756">
        <w:rPr>
          <w:rFonts w:ascii="Arial" w:hAnsi="Arial" w:cs="Arial"/>
          <w:i/>
          <w:iCs/>
          <w:color w:val="000000"/>
        </w:rPr>
        <w:t xml:space="preserve"> </w:t>
      </w:r>
      <w:r w:rsidR="001A12D4">
        <w:rPr>
          <w:rFonts w:ascii="Arial" w:hAnsi="Arial" w:cs="Arial"/>
          <w:i/>
          <w:iCs/>
          <w:color w:val="000000"/>
        </w:rPr>
        <w:t>Eighth</w:t>
      </w:r>
      <w:r w:rsidRPr="00440756">
        <w:rPr>
          <w:rFonts w:ascii="Arial" w:hAnsi="Arial" w:cs="Arial"/>
          <w:i/>
          <w:iCs/>
          <w:color w:val="000000"/>
        </w:rPr>
        <w:t xml:space="preserve"> </w:t>
      </w:r>
      <w:r w:rsidR="001A12D4">
        <w:rPr>
          <w:rFonts w:ascii="Arial" w:hAnsi="Arial" w:cs="Arial"/>
          <w:i/>
          <w:iCs/>
          <w:color w:val="000000"/>
        </w:rPr>
        <w:t>Amendment</w:t>
      </w:r>
      <w:r w:rsidRPr="00440756">
        <w:rPr>
          <w:rStyle w:val="apple-converted-space"/>
          <w:rFonts w:ascii="Arial" w:eastAsiaTheme="majorEastAsia" w:hAnsi="Arial" w:cs="Arial"/>
          <w:color w:val="000000"/>
        </w:rPr>
        <w:t> </w:t>
      </w:r>
      <w:r w:rsidRPr="00440756">
        <w:rPr>
          <w:rFonts w:ascii="Arial" w:hAnsi="Arial" w:cs="Arial"/>
          <w:color w:val="000000"/>
        </w:rPr>
        <w:t>.</w:t>
      </w:r>
    </w:p>
    <w:p w14:paraId="356A6561" w14:textId="0792B885" w:rsidR="00AB48A0" w:rsidRPr="00440756" w:rsidRDefault="00AB48A0" w:rsidP="00440756">
      <w:pPr>
        <w:spacing w:line="360" w:lineRule="auto"/>
        <w:rPr>
          <w:rFonts w:ascii="Arial" w:hAnsi="Arial" w:cs="Arial"/>
        </w:rPr>
      </w:pPr>
      <w:proofErr w:type="spellStart"/>
      <w:r w:rsidRPr="00440756">
        <w:rPr>
          <w:rFonts w:ascii="Arial" w:hAnsi="Arial" w:cs="Arial"/>
        </w:rPr>
        <w:t>Maycock</w:t>
      </w:r>
      <w:proofErr w:type="spellEnd"/>
      <w:r w:rsidRPr="00440756">
        <w:rPr>
          <w:rFonts w:ascii="Arial" w:hAnsi="Arial" w:cs="Arial"/>
        </w:rPr>
        <w:t xml:space="preserve">, M., O’Shea, S. and </w:t>
      </w:r>
      <w:proofErr w:type="spellStart"/>
      <w:r w:rsidRPr="00440756">
        <w:rPr>
          <w:rFonts w:ascii="Arial" w:hAnsi="Arial" w:cs="Arial"/>
        </w:rPr>
        <w:t>Jenness</w:t>
      </w:r>
      <w:proofErr w:type="spellEnd"/>
      <w:r w:rsidRPr="00440756">
        <w:rPr>
          <w:rFonts w:ascii="Arial" w:hAnsi="Arial" w:cs="Arial"/>
        </w:rPr>
        <w:t>, V. (2025) </w:t>
      </w:r>
      <w:r w:rsidRPr="00440756">
        <w:rPr>
          <w:rFonts w:ascii="Arial" w:hAnsi="Arial" w:cs="Arial"/>
          <w:i/>
          <w:iCs/>
        </w:rPr>
        <w:t>Transgender people involved with Carceral Systems</w:t>
      </w:r>
      <w:r w:rsidRPr="00440756">
        <w:rPr>
          <w:rFonts w:ascii="Arial" w:hAnsi="Arial" w:cs="Arial"/>
        </w:rPr>
        <w:t>. Abingdon, Oxon, United Kingdom: Routledge.</w:t>
      </w:r>
    </w:p>
    <w:p w14:paraId="37CAB153" w14:textId="77777777" w:rsidR="00AB48A0" w:rsidRPr="00440756" w:rsidRDefault="00AB48A0" w:rsidP="00440756">
      <w:pPr>
        <w:spacing w:line="360" w:lineRule="auto"/>
        <w:rPr>
          <w:rFonts w:ascii="Arial" w:hAnsi="Arial" w:cs="Arial"/>
        </w:rPr>
      </w:pPr>
    </w:p>
    <w:p w14:paraId="4DC00D09" w14:textId="15AE4415" w:rsidR="00AB48A0" w:rsidRPr="00440756" w:rsidRDefault="00AB48A0" w:rsidP="00440756">
      <w:pPr>
        <w:spacing w:line="360" w:lineRule="auto"/>
        <w:rPr>
          <w:rFonts w:ascii="Arial" w:hAnsi="Arial" w:cs="Arial"/>
        </w:rPr>
      </w:pPr>
      <w:r w:rsidRPr="00440756">
        <w:rPr>
          <w:rFonts w:ascii="Arial" w:hAnsi="Arial" w:cs="Arial"/>
        </w:rPr>
        <w:lastRenderedPageBreak/>
        <w:t>McKinnon, M. (2023) 'Transgender survivors of violence: Police discrimination and fear of reporting', </w:t>
      </w:r>
      <w:r w:rsidRPr="00440756">
        <w:rPr>
          <w:rFonts w:ascii="Arial" w:hAnsi="Arial" w:cs="Arial"/>
          <w:i/>
          <w:iCs/>
        </w:rPr>
        <w:t>McKinnon Law Review</w:t>
      </w:r>
      <w:r w:rsidRPr="00440756">
        <w:rPr>
          <w:rFonts w:ascii="Arial" w:hAnsi="Arial" w:cs="Arial"/>
        </w:rPr>
        <w:t>.</w:t>
      </w:r>
    </w:p>
    <w:p w14:paraId="29DF567B" w14:textId="77777777" w:rsidR="005D5A59" w:rsidRPr="00440756" w:rsidRDefault="005D5A59" w:rsidP="00440756">
      <w:pPr>
        <w:spacing w:line="360" w:lineRule="auto"/>
        <w:rPr>
          <w:rFonts w:ascii="Arial" w:hAnsi="Arial" w:cs="Arial"/>
        </w:rPr>
      </w:pPr>
    </w:p>
    <w:p w14:paraId="345CA74A" w14:textId="77777777" w:rsidR="005D5A59" w:rsidRPr="00440756" w:rsidRDefault="005D5A59" w:rsidP="00440756">
      <w:pPr>
        <w:pStyle w:val="NormalWeb"/>
        <w:spacing w:line="360" w:lineRule="auto"/>
        <w:ind w:left="567" w:hanging="567"/>
        <w:rPr>
          <w:rFonts w:ascii="Arial" w:hAnsi="Arial" w:cs="Arial"/>
          <w:color w:val="000000"/>
        </w:rPr>
      </w:pPr>
      <w:r w:rsidRPr="00440756">
        <w:rPr>
          <w:rFonts w:ascii="Arial" w:hAnsi="Arial" w:cs="Arial"/>
          <w:color w:val="000000"/>
        </w:rPr>
        <w:t>Office for National Statistics (2025)</w:t>
      </w:r>
      <w:r w:rsidRPr="00440756">
        <w:rPr>
          <w:rStyle w:val="apple-converted-space"/>
          <w:rFonts w:ascii="Arial" w:eastAsiaTheme="majorEastAsia" w:hAnsi="Arial" w:cs="Arial"/>
          <w:color w:val="000000"/>
        </w:rPr>
        <w:t> </w:t>
      </w:r>
      <w:r w:rsidRPr="00440756">
        <w:rPr>
          <w:rFonts w:ascii="Arial" w:hAnsi="Arial" w:cs="Arial"/>
          <w:i/>
          <w:iCs/>
          <w:color w:val="000000"/>
        </w:rPr>
        <w:t>Home - Office for National Statistics</w:t>
      </w:r>
      <w:r w:rsidRPr="00440756">
        <w:rPr>
          <w:rFonts w:ascii="Arial" w:hAnsi="Arial" w:cs="Arial"/>
          <w:color w:val="000000"/>
        </w:rPr>
        <w:t>. Available at: https://www.ons.gov.uk/ (Accessed: 05 March 2025).</w:t>
      </w:r>
      <w:r w:rsidRPr="00440756">
        <w:rPr>
          <w:rStyle w:val="apple-converted-space"/>
          <w:rFonts w:ascii="Arial" w:eastAsiaTheme="majorEastAsia" w:hAnsi="Arial" w:cs="Arial"/>
          <w:color w:val="000000"/>
        </w:rPr>
        <w:t> </w:t>
      </w:r>
    </w:p>
    <w:p w14:paraId="4B852FD0" w14:textId="77777777" w:rsidR="00AB48A0" w:rsidRPr="00440756" w:rsidRDefault="00AB48A0" w:rsidP="00440756">
      <w:pPr>
        <w:spacing w:line="360" w:lineRule="auto"/>
        <w:rPr>
          <w:rFonts w:ascii="Arial" w:hAnsi="Arial" w:cs="Arial"/>
        </w:rPr>
      </w:pPr>
    </w:p>
    <w:p w14:paraId="0EE8BF3D" w14:textId="68264439" w:rsidR="00033271" w:rsidRPr="00440756" w:rsidRDefault="00033271" w:rsidP="00440756">
      <w:pPr>
        <w:pStyle w:val="NormalWeb"/>
        <w:spacing w:line="360" w:lineRule="auto"/>
        <w:ind w:left="567" w:hanging="567"/>
        <w:rPr>
          <w:rFonts w:ascii="Arial" w:hAnsi="Arial" w:cs="Arial"/>
          <w:color w:val="000000" w:themeColor="text1"/>
        </w:rPr>
      </w:pPr>
      <w:proofErr w:type="spellStart"/>
      <w:r w:rsidRPr="00440756">
        <w:rPr>
          <w:rFonts w:ascii="Arial" w:hAnsi="Arial" w:cs="Arial"/>
          <w:color w:val="000000" w:themeColor="text1"/>
        </w:rPr>
        <w:t>Olebara</w:t>
      </w:r>
      <w:proofErr w:type="spellEnd"/>
      <w:r w:rsidRPr="00440756">
        <w:rPr>
          <w:rFonts w:ascii="Arial" w:hAnsi="Arial" w:cs="Arial"/>
          <w:color w:val="000000" w:themeColor="text1"/>
        </w:rPr>
        <w:t>, P. (2024)</w:t>
      </w:r>
      <w:r w:rsidRPr="00440756">
        <w:rPr>
          <w:rStyle w:val="apple-converted-space"/>
          <w:rFonts w:ascii="Arial" w:eastAsiaTheme="majorEastAsia" w:hAnsi="Arial" w:cs="Arial"/>
          <w:color w:val="000000" w:themeColor="text1"/>
        </w:rPr>
        <w:t> </w:t>
      </w:r>
      <w:r w:rsidR="001A12D4">
        <w:rPr>
          <w:rFonts w:ascii="Arial" w:hAnsi="Arial" w:cs="Arial"/>
          <w:i/>
          <w:iCs/>
          <w:color w:val="000000" w:themeColor="text1"/>
        </w:rPr>
        <w:t>An</w:t>
      </w:r>
      <w:r w:rsidRPr="00440756">
        <w:rPr>
          <w:rFonts w:ascii="Arial" w:hAnsi="Arial" w:cs="Arial"/>
          <w:i/>
          <w:iCs/>
          <w:color w:val="000000" w:themeColor="text1"/>
        </w:rPr>
        <w:t xml:space="preserve"> </w:t>
      </w:r>
      <w:r w:rsidR="001A12D4">
        <w:rPr>
          <w:rFonts w:ascii="Arial" w:hAnsi="Arial" w:cs="Arial"/>
          <w:i/>
          <w:iCs/>
          <w:color w:val="000000" w:themeColor="text1"/>
        </w:rPr>
        <w:t>Overview</w:t>
      </w:r>
      <w:r w:rsidRPr="00440756">
        <w:rPr>
          <w:rFonts w:ascii="Arial" w:hAnsi="Arial" w:cs="Arial"/>
          <w:i/>
          <w:iCs/>
          <w:color w:val="000000" w:themeColor="text1"/>
        </w:rPr>
        <w:t xml:space="preserve"> </w:t>
      </w:r>
      <w:r w:rsidR="001A12D4">
        <w:rPr>
          <w:rFonts w:ascii="Arial" w:hAnsi="Arial" w:cs="Arial"/>
          <w:i/>
          <w:iCs/>
          <w:color w:val="000000" w:themeColor="text1"/>
        </w:rPr>
        <w:t>of</w:t>
      </w:r>
      <w:r w:rsidRPr="00440756">
        <w:rPr>
          <w:rFonts w:ascii="Arial" w:hAnsi="Arial" w:cs="Arial"/>
          <w:i/>
          <w:iCs/>
          <w:color w:val="000000" w:themeColor="text1"/>
        </w:rPr>
        <w:t xml:space="preserve"> </w:t>
      </w:r>
      <w:r w:rsidR="001A12D4">
        <w:rPr>
          <w:rFonts w:ascii="Arial" w:hAnsi="Arial" w:cs="Arial"/>
          <w:i/>
          <w:iCs/>
          <w:color w:val="000000" w:themeColor="text1"/>
        </w:rPr>
        <w:t>Sexual</w:t>
      </w:r>
      <w:r w:rsidRPr="00440756">
        <w:rPr>
          <w:rFonts w:ascii="Arial" w:hAnsi="Arial" w:cs="Arial"/>
          <w:i/>
          <w:iCs/>
          <w:color w:val="000000" w:themeColor="text1"/>
        </w:rPr>
        <w:t xml:space="preserve"> </w:t>
      </w:r>
      <w:r w:rsidR="001A12D4">
        <w:rPr>
          <w:rFonts w:ascii="Arial" w:hAnsi="Arial" w:cs="Arial"/>
          <w:i/>
          <w:iCs/>
          <w:color w:val="000000" w:themeColor="text1"/>
        </w:rPr>
        <w:t>Orientation</w:t>
      </w:r>
      <w:r w:rsidRPr="00440756">
        <w:rPr>
          <w:rFonts w:ascii="Arial" w:hAnsi="Arial" w:cs="Arial"/>
          <w:i/>
          <w:iCs/>
          <w:color w:val="000000" w:themeColor="text1"/>
        </w:rPr>
        <w:t xml:space="preserve"> </w:t>
      </w:r>
      <w:r w:rsidR="001A12D4">
        <w:rPr>
          <w:rFonts w:ascii="Arial" w:hAnsi="Arial" w:cs="Arial"/>
          <w:i/>
          <w:iCs/>
          <w:color w:val="000000" w:themeColor="text1"/>
        </w:rPr>
        <w:t>and</w:t>
      </w:r>
      <w:r w:rsidRPr="00440756">
        <w:rPr>
          <w:rFonts w:ascii="Arial" w:hAnsi="Arial" w:cs="Arial"/>
          <w:i/>
          <w:iCs/>
          <w:color w:val="000000" w:themeColor="text1"/>
        </w:rPr>
        <w:t xml:space="preserve"> </w:t>
      </w:r>
      <w:r w:rsidR="001A12D4">
        <w:rPr>
          <w:rFonts w:ascii="Arial" w:hAnsi="Arial" w:cs="Arial"/>
          <w:i/>
          <w:iCs/>
          <w:color w:val="000000" w:themeColor="text1"/>
        </w:rPr>
        <w:t>Gender</w:t>
      </w:r>
      <w:r w:rsidRPr="00440756">
        <w:rPr>
          <w:rFonts w:ascii="Arial" w:hAnsi="Arial" w:cs="Arial"/>
          <w:i/>
          <w:iCs/>
          <w:color w:val="000000" w:themeColor="text1"/>
        </w:rPr>
        <w:t xml:space="preserve"> </w:t>
      </w:r>
      <w:r w:rsidR="001A12D4">
        <w:rPr>
          <w:rFonts w:ascii="Arial" w:hAnsi="Arial" w:cs="Arial"/>
          <w:i/>
          <w:iCs/>
          <w:color w:val="000000" w:themeColor="text1"/>
        </w:rPr>
        <w:t>Identity</w:t>
      </w:r>
      <w:r w:rsidRPr="00440756">
        <w:rPr>
          <w:rFonts w:ascii="Arial" w:hAnsi="Arial" w:cs="Arial"/>
          <w:i/>
          <w:iCs/>
          <w:color w:val="000000" w:themeColor="text1"/>
        </w:rPr>
        <w:t xml:space="preserve">: </w:t>
      </w:r>
      <w:r w:rsidR="001A12D4">
        <w:rPr>
          <w:rFonts w:ascii="Arial" w:hAnsi="Arial" w:cs="Arial"/>
          <w:i/>
          <w:iCs/>
          <w:color w:val="000000" w:themeColor="text1"/>
        </w:rPr>
        <w:t>Balancing</w:t>
      </w:r>
      <w:r w:rsidRPr="00440756">
        <w:rPr>
          <w:rFonts w:ascii="Arial" w:hAnsi="Arial" w:cs="Arial"/>
          <w:i/>
          <w:iCs/>
          <w:color w:val="000000" w:themeColor="text1"/>
        </w:rPr>
        <w:t xml:space="preserve"> </w:t>
      </w:r>
      <w:proofErr w:type="gramStart"/>
      <w:r w:rsidR="001A12D4">
        <w:rPr>
          <w:rFonts w:ascii="Arial" w:hAnsi="Arial" w:cs="Arial"/>
          <w:i/>
          <w:iCs/>
          <w:color w:val="000000" w:themeColor="text1"/>
        </w:rPr>
        <w:t>The</w:t>
      </w:r>
      <w:proofErr w:type="gramEnd"/>
      <w:r w:rsidRPr="00440756">
        <w:rPr>
          <w:rFonts w:ascii="Arial" w:hAnsi="Arial" w:cs="Arial"/>
          <w:i/>
          <w:iCs/>
          <w:color w:val="000000" w:themeColor="text1"/>
        </w:rPr>
        <w:t xml:space="preserve"> </w:t>
      </w:r>
      <w:r w:rsidR="001A12D4">
        <w:rPr>
          <w:rFonts w:ascii="Arial" w:hAnsi="Arial" w:cs="Arial"/>
          <w:i/>
          <w:iCs/>
          <w:color w:val="000000" w:themeColor="text1"/>
        </w:rPr>
        <w:t>Contending</w:t>
      </w:r>
      <w:r w:rsidRPr="00440756">
        <w:rPr>
          <w:rFonts w:ascii="Arial" w:hAnsi="Arial" w:cs="Arial"/>
          <w:i/>
          <w:iCs/>
          <w:color w:val="000000" w:themeColor="text1"/>
        </w:rPr>
        <w:t xml:space="preserve"> </w:t>
      </w:r>
      <w:r w:rsidR="001A12D4">
        <w:rPr>
          <w:rFonts w:ascii="Arial" w:hAnsi="Arial" w:cs="Arial"/>
          <w:i/>
          <w:iCs/>
          <w:color w:val="000000" w:themeColor="text1"/>
        </w:rPr>
        <w:t>Rights</w:t>
      </w:r>
      <w:r w:rsidRPr="00440756">
        <w:rPr>
          <w:rStyle w:val="apple-converted-space"/>
          <w:rFonts w:ascii="Arial" w:eastAsiaTheme="majorEastAsia" w:hAnsi="Arial" w:cs="Arial"/>
          <w:color w:val="000000" w:themeColor="text1"/>
        </w:rPr>
        <w:t> </w:t>
      </w:r>
    </w:p>
    <w:p w14:paraId="35561F7C" w14:textId="77777777" w:rsidR="00AB48A0" w:rsidRPr="00440756" w:rsidRDefault="00AB48A0" w:rsidP="00440756">
      <w:pPr>
        <w:spacing w:line="360" w:lineRule="auto"/>
        <w:rPr>
          <w:rFonts w:ascii="Arial" w:hAnsi="Arial" w:cs="Arial"/>
        </w:rPr>
      </w:pPr>
    </w:p>
    <w:p w14:paraId="5FA9AA57" w14:textId="739F3C51" w:rsidR="00AB48A0" w:rsidRPr="00440756" w:rsidRDefault="00AB48A0" w:rsidP="00440756">
      <w:pPr>
        <w:spacing w:line="360" w:lineRule="auto"/>
        <w:rPr>
          <w:rFonts w:ascii="Arial" w:hAnsi="Arial" w:cs="Arial"/>
        </w:rPr>
      </w:pPr>
      <w:r w:rsidRPr="00440756">
        <w:rPr>
          <w:rFonts w:ascii="Arial" w:hAnsi="Arial" w:cs="Arial"/>
        </w:rPr>
        <w:t>Parr-Morley, B. (2024) </w:t>
      </w:r>
      <w:r w:rsidRPr="00440756">
        <w:rPr>
          <w:rFonts w:ascii="Arial" w:hAnsi="Arial" w:cs="Arial"/>
          <w:i/>
          <w:iCs/>
        </w:rPr>
        <w:t>The challenges of being transgender in prison</w:t>
      </w:r>
      <w:r w:rsidRPr="00440756">
        <w:rPr>
          <w:rFonts w:ascii="Arial" w:hAnsi="Arial" w:cs="Arial"/>
        </w:rPr>
        <w:t>, Catch22. Available at: </w:t>
      </w:r>
      <w:hyperlink r:id="rId10" w:tgtFrame="_new" w:history="1">
        <w:r w:rsidRPr="00440756">
          <w:rPr>
            <w:rFonts w:ascii="Arial" w:hAnsi="Arial" w:cs="Arial"/>
            <w:color w:val="0000FF"/>
            <w:u w:val="single"/>
          </w:rPr>
          <w:t>https://www.catch-22.org.uk/resources/the-challenges-of-being-transgender-in-prison/</w:t>
        </w:r>
      </w:hyperlink>
      <w:r w:rsidRPr="00440756">
        <w:rPr>
          <w:rFonts w:ascii="Arial" w:hAnsi="Arial" w:cs="Arial"/>
        </w:rPr>
        <w:t> (Accessed: 15 February 2025).</w:t>
      </w:r>
    </w:p>
    <w:p w14:paraId="34D135C3" w14:textId="77777777" w:rsidR="00AB48A0" w:rsidRPr="00440756" w:rsidRDefault="00AB48A0" w:rsidP="00440756">
      <w:pPr>
        <w:spacing w:line="360" w:lineRule="auto"/>
        <w:rPr>
          <w:rFonts w:ascii="Arial" w:hAnsi="Arial" w:cs="Arial"/>
        </w:rPr>
      </w:pPr>
    </w:p>
    <w:p w14:paraId="0AF8AA52" w14:textId="5DA35EDF" w:rsidR="00AB48A0" w:rsidRPr="00440756" w:rsidRDefault="00AB48A0" w:rsidP="00440756">
      <w:pPr>
        <w:spacing w:line="360" w:lineRule="auto"/>
        <w:rPr>
          <w:rFonts w:ascii="Arial" w:hAnsi="Arial" w:cs="Arial"/>
        </w:rPr>
      </w:pPr>
      <w:r w:rsidRPr="00440756">
        <w:rPr>
          <w:rFonts w:ascii="Arial" w:hAnsi="Arial" w:cs="Arial"/>
        </w:rPr>
        <w:t xml:space="preserve">Pickles, J. (2019) 'Policing hate and bridging communities: A qualitative evaluation of relations between LGBT+ people and the police within the </w:t>
      </w:r>
      <w:proofErr w:type="gramStart"/>
      <w:r w:rsidRPr="00440756">
        <w:rPr>
          <w:rFonts w:ascii="Arial" w:hAnsi="Arial" w:cs="Arial"/>
        </w:rPr>
        <w:t>North East</w:t>
      </w:r>
      <w:proofErr w:type="gramEnd"/>
      <w:r w:rsidRPr="00440756">
        <w:rPr>
          <w:rFonts w:ascii="Arial" w:hAnsi="Arial" w:cs="Arial"/>
        </w:rPr>
        <w:t xml:space="preserve"> of England', </w:t>
      </w:r>
      <w:r w:rsidRPr="00440756">
        <w:rPr>
          <w:rFonts w:ascii="Arial" w:hAnsi="Arial" w:cs="Arial"/>
          <w:i/>
          <w:iCs/>
        </w:rPr>
        <w:t>Policing and Society</w:t>
      </w:r>
      <w:r w:rsidRPr="00440756">
        <w:rPr>
          <w:rFonts w:ascii="Arial" w:hAnsi="Arial" w:cs="Arial"/>
        </w:rPr>
        <w:t>, 30(7), pp. 741–759. doi:10.1080/10439463.2019.1588269.</w:t>
      </w:r>
    </w:p>
    <w:p w14:paraId="56BC8D19" w14:textId="77777777" w:rsidR="00AB48A0" w:rsidRPr="00440756" w:rsidRDefault="00AB48A0" w:rsidP="00440756">
      <w:pPr>
        <w:spacing w:line="360" w:lineRule="auto"/>
        <w:rPr>
          <w:rFonts w:ascii="Arial" w:hAnsi="Arial" w:cs="Arial"/>
        </w:rPr>
      </w:pPr>
    </w:p>
    <w:p w14:paraId="599FE402" w14:textId="388164D7" w:rsidR="00AB48A0" w:rsidRPr="00440756" w:rsidRDefault="00AB48A0" w:rsidP="00440756">
      <w:pPr>
        <w:spacing w:line="360" w:lineRule="auto"/>
        <w:rPr>
          <w:rFonts w:ascii="Arial" w:hAnsi="Arial" w:cs="Arial"/>
        </w:rPr>
      </w:pPr>
      <w:r w:rsidRPr="00440756">
        <w:rPr>
          <w:rFonts w:ascii="Arial" w:hAnsi="Arial" w:cs="Arial"/>
        </w:rPr>
        <w:t>Rayment, S. (2024) 'More than 70 per cent of transgender prisoners are in for sex offences or violent crimes', </w:t>
      </w:r>
      <w:r w:rsidRPr="00440756">
        <w:rPr>
          <w:rFonts w:ascii="Arial" w:hAnsi="Arial" w:cs="Arial"/>
          <w:i/>
          <w:iCs/>
        </w:rPr>
        <w:t>The Telegraph</w:t>
      </w:r>
      <w:r w:rsidRPr="00440756">
        <w:rPr>
          <w:rFonts w:ascii="Arial" w:hAnsi="Arial" w:cs="Arial"/>
        </w:rPr>
        <w:t>. Available at: </w:t>
      </w:r>
      <w:hyperlink r:id="rId11" w:tgtFrame="_new" w:history="1">
        <w:r w:rsidRPr="00440756">
          <w:rPr>
            <w:rFonts w:ascii="Arial" w:hAnsi="Arial" w:cs="Arial"/>
            <w:color w:val="0000FF"/>
            <w:u w:val="single"/>
          </w:rPr>
          <w:t>https://www.telegraph.co.uk/news/2024/02/24/government-figures-70-per-cent-of-transgender-prisoners-are/</w:t>
        </w:r>
      </w:hyperlink>
      <w:r w:rsidRPr="00440756">
        <w:rPr>
          <w:rFonts w:ascii="Arial" w:hAnsi="Arial" w:cs="Arial"/>
        </w:rPr>
        <w:t> (Accessed: 15 February 2025).</w:t>
      </w:r>
    </w:p>
    <w:p w14:paraId="6B6BF40E" w14:textId="77777777" w:rsidR="00AB48A0" w:rsidRPr="00440756" w:rsidRDefault="00AB48A0" w:rsidP="00440756">
      <w:pPr>
        <w:spacing w:line="360" w:lineRule="auto"/>
        <w:rPr>
          <w:rFonts w:ascii="Arial" w:hAnsi="Arial" w:cs="Arial"/>
        </w:rPr>
      </w:pPr>
    </w:p>
    <w:p w14:paraId="65FAF941" w14:textId="4864C0BD" w:rsidR="00AB48A0" w:rsidRPr="00440756" w:rsidRDefault="00AB48A0" w:rsidP="00440756">
      <w:pPr>
        <w:spacing w:line="360" w:lineRule="auto"/>
        <w:rPr>
          <w:rFonts w:ascii="Arial" w:hAnsi="Arial" w:cs="Arial"/>
        </w:rPr>
      </w:pPr>
      <w:r w:rsidRPr="00440756">
        <w:rPr>
          <w:rFonts w:ascii="Arial" w:hAnsi="Arial" w:cs="Arial"/>
        </w:rPr>
        <w:t>Renz, F. (2024) </w:t>
      </w:r>
      <w:r w:rsidRPr="00440756">
        <w:rPr>
          <w:rFonts w:ascii="Arial" w:hAnsi="Arial" w:cs="Arial"/>
          <w:i/>
          <w:iCs/>
        </w:rPr>
        <w:t>Gender recognition and the law: Troubling transgender peoples’ engagement with legal regulation</w:t>
      </w:r>
      <w:r w:rsidRPr="00440756">
        <w:rPr>
          <w:rFonts w:ascii="Arial" w:hAnsi="Arial" w:cs="Arial"/>
        </w:rPr>
        <w:t xml:space="preserve">. Abingdon, Oxon, United </w:t>
      </w:r>
      <w:proofErr w:type="gramStart"/>
      <w:r w:rsidRPr="00440756">
        <w:rPr>
          <w:rFonts w:ascii="Arial" w:hAnsi="Arial" w:cs="Arial"/>
        </w:rPr>
        <w:t>Kingdom :</w:t>
      </w:r>
      <w:proofErr w:type="gramEnd"/>
      <w:r w:rsidRPr="00440756">
        <w:rPr>
          <w:rFonts w:ascii="Arial" w:hAnsi="Arial" w:cs="Arial"/>
        </w:rPr>
        <w:t xml:space="preserve"> Routledge.</w:t>
      </w:r>
    </w:p>
    <w:p w14:paraId="4128748C" w14:textId="77777777" w:rsidR="00AB48A0" w:rsidRPr="00440756" w:rsidRDefault="00AB48A0" w:rsidP="00440756">
      <w:pPr>
        <w:spacing w:line="360" w:lineRule="auto"/>
        <w:rPr>
          <w:rFonts w:ascii="Arial" w:hAnsi="Arial" w:cs="Arial"/>
        </w:rPr>
      </w:pPr>
    </w:p>
    <w:p w14:paraId="683910A5" w14:textId="7546E29E" w:rsidR="00AB48A0" w:rsidRPr="00440756" w:rsidRDefault="00AB48A0" w:rsidP="00440756">
      <w:pPr>
        <w:spacing w:line="360" w:lineRule="auto"/>
        <w:rPr>
          <w:rFonts w:ascii="Arial" w:hAnsi="Arial" w:cs="Arial"/>
        </w:rPr>
      </w:pPr>
      <w:r w:rsidRPr="00440756">
        <w:rPr>
          <w:rFonts w:ascii="Arial" w:hAnsi="Arial" w:cs="Arial"/>
        </w:rPr>
        <w:t>Rood, R. (2020) 'Experiences of transgender people who navigate the criminal justice system', </w:t>
      </w:r>
      <w:r w:rsidRPr="00440756">
        <w:rPr>
          <w:rFonts w:ascii="Arial" w:hAnsi="Arial" w:cs="Arial"/>
          <w:i/>
          <w:iCs/>
        </w:rPr>
        <w:t>Idea Stream Public media</w:t>
      </w:r>
      <w:r w:rsidRPr="00440756">
        <w:rPr>
          <w:rFonts w:ascii="Arial" w:hAnsi="Arial" w:cs="Arial"/>
        </w:rPr>
        <w:t xml:space="preserve">. </w:t>
      </w:r>
      <w:proofErr w:type="gramStart"/>
      <w:r w:rsidRPr="00440756">
        <w:rPr>
          <w:rFonts w:ascii="Arial" w:hAnsi="Arial" w:cs="Arial"/>
        </w:rPr>
        <w:t>doi:10.31979/etd.35y6-qmv9</w:t>
      </w:r>
      <w:proofErr w:type="gramEnd"/>
      <w:r w:rsidRPr="00440756">
        <w:rPr>
          <w:rFonts w:ascii="Arial" w:hAnsi="Arial" w:cs="Arial"/>
        </w:rPr>
        <w:t>.</w:t>
      </w:r>
    </w:p>
    <w:p w14:paraId="0F509131" w14:textId="77777777" w:rsidR="00AB48A0" w:rsidRPr="00440756" w:rsidRDefault="00AB48A0" w:rsidP="00440756">
      <w:pPr>
        <w:spacing w:line="360" w:lineRule="auto"/>
        <w:rPr>
          <w:rFonts w:ascii="Arial" w:hAnsi="Arial" w:cs="Arial"/>
        </w:rPr>
      </w:pPr>
    </w:p>
    <w:p w14:paraId="70408891" w14:textId="6FD704DF" w:rsidR="00AB48A0" w:rsidRPr="00440756" w:rsidRDefault="00AB48A0" w:rsidP="00440756">
      <w:pPr>
        <w:spacing w:line="360" w:lineRule="auto"/>
        <w:rPr>
          <w:rFonts w:ascii="Arial" w:hAnsi="Arial" w:cs="Arial"/>
        </w:rPr>
      </w:pPr>
      <w:r w:rsidRPr="00440756">
        <w:rPr>
          <w:rFonts w:ascii="Arial" w:hAnsi="Arial" w:cs="Arial"/>
        </w:rPr>
        <w:t xml:space="preserve">Ryan, M., </w:t>
      </w:r>
      <w:r w:rsidR="0022350E" w:rsidRPr="00440756">
        <w:rPr>
          <w:rFonts w:ascii="Arial" w:hAnsi="Arial" w:cs="Arial"/>
        </w:rPr>
        <w:t>and</w:t>
      </w:r>
      <w:r w:rsidRPr="00440756">
        <w:rPr>
          <w:rFonts w:ascii="Arial" w:hAnsi="Arial" w:cs="Arial"/>
        </w:rPr>
        <w:t xml:space="preserve"> Smith, R. (2023) 'Law enforcement's </w:t>
      </w:r>
      <w:proofErr w:type="spellStart"/>
      <w:r w:rsidRPr="00440756">
        <w:rPr>
          <w:rFonts w:ascii="Arial" w:hAnsi="Arial" w:cs="Arial"/>
        </w:rPr>
        <w:t>skepticism</w:t>
      </w:r>
      <w:proofErr w:type="spellEnd"/>
      <w:r w:rsidRPr="00440756">
        <w:rPr>
          <w:rFonts w:ascii="Arial" w:hAnsi="Arial" w:cs="Arial"/>
        </w:rPr>
        <w:t xml:space="preserve"> toward transgender crime victims: A review', </w:t>
      </w:r>
      <w:r w:rsidRPr="00440756">
        <w:rPr>
          <w:rFonts w:ascii="Arial" w:hAnsi="Arial" w:cs="Arial"/>
          <w:i/>
          <w:iCs/>
        </w:rPr>
        <w:t>Ryan &amp; Smith Legal Journal</w:t>
      </w:r>
      <w:r w:rsidRPr="00440756">
        <w:rPr>
          <w:rFonts w:ascii="Arial" w:hAnsi="Arial" w:cs="Arial"/>
        </w:rPr>
        <w:t>.</w:t>
      </w:r>
    </w:p>
    <w:p w14:paraId="1DC5D125" w14:textId="77777777" w:rsidR="00AB48A0" w:rsidRPr="00440756" w:rsidRDefault="00AB48A0" w:rsidP="00440756">
      <w:pPr>
        <w:spacing w:line="360" w:lineRule="auto"/>
        <w:rPr>
          <w:rFonts w:ascii="Arial" w:hAnsi="Arial" w:cs="Arial"/>
        </w:rPr>
      </w:pPr>
    </w:p>
    <w:p w14:paraId="76C421D3" w14:textId="12C26AA2" w:rsidR="00AB48A0" w:rsidRPr="00440756" w:rsidRDefault="00AB48A0" w:rsidP="00440756">
      <w:pPr>
        <w:spacing w:line="360" w:lineRule="auto"/>
        <w:rPr>
          <w:rFonts w:ascii="Arial" w:hAnsi="Arial" w:cs="Arial"/>
        </w:rPr>
      </w:pPr>
      <w:r w:rsidRPr="00440756">
        <w:rPr>
          <w:rFonts w:ascii="Arial" w:hAnsi="Arial" w:cs="Arial"/>
        </w:rPr>
        <w:t>Saenz, R. (2024) 'A Crisis Behind Bars: Legal Issues Impacting Transgender People in Prisons', </w:t>
      </w:r>
      <w:r w:rsidRPr="00440756">
        <w:rPr>
          <w:rFonts w:ascii="Arial" w:hAnsi="Arial" w:cs="Arial"/>
          <w:i/>
          <w:iCs/>
        </w:rPr>
        <w:t>Feature</w:t>
      </w:r>
      <w:r w:rsidRPr="00440756">
        <w:rPr>
          <w:rFonts w:ascii="Arial" w:hAnsi="Arial" w:cs="Arial"/>
        </w:rPr>
        <w:t>.</w:t>
      </w:r>
    </w:p>
    <w:p w14:paraId="034BE966" w14:textId="77777777" w:rsidR="00AB48A0" w:rsidRPr="00440756" w:rsidRDefault="00AB48A0" w:rsidP="00440756">
      <w:pPr>
        <w:spacing w:line="360" w:lineRule="auto"/>
        <w:rPr>
          <w:rFonts w:ascii="Arial" w:hAnsi="Arial" w:cs="Arial"/>
        </w:rPr>
      </w:pPr>
    </w:p>
    <w:p w14:paraId="5D52A54B" w14:textId="6A2070EE" w:rsidR="00AB48A0" w:rsidRPr="00440756" w:rsidRDefault="00AB48A0" w:rsidP="00440756">
      <w:pPr>
        <w:spacing w:line="360" w:lineRule="auto"/>
        <w:rPr>
          <w:rFonts w:ascii="Arial" w:hAnsi="Arial" w:cs="Arial"/>
        </w:rPr>
      </w:pPr>
      <w:r w:rsidRPr="00440756">
        <w:rPr>
          <w:rFonts w:ascii="Arial" w:hAnsi="Arial" w:cs="Arial"/>
        </w:rPr>
        <w:t>Singh, R.S.</w:t>
      </w:r>
      <w:r w:rsidR="0022350E" w:rsidRPr="00440756">
        <w:rPr>
          <w:rFonts w:ascii="Arial" w:hAnsi="Arial" w:cs="Arial"/>
        </w:rPr>
        <w:t xml:space="preserve">, </w:t>
      </w:r>
      <w:proofErr w:type="spellStart"/>
      <w:r w:rsidR="0022350E" w:rsidRPr="00440756">
        <w:rPr>
          <w:rFonts w:ascii="Arial" w:hAnsi="Arial" w:cs="Arial"/>
        </w:rPr>
        <w:t>Bhambhani</w:t>
      </w:r>
      <w:proofErr w:type="spellEnd"/>
      <w:r w:rsidR="0022350E" w:rsidRPr="00440756">
        <w:rPr>
          <w:rFonts w:ascii="Arial" w:hAnsi="Arial" w:cs="Arial"/>
        </w:rPr>
        <w:t xml:space="preserve">, Y., </w:t>
      </w:r>
      <w:proofErr w:type="spellStart"/>
      <w:r w:rsidR="0022350E" w:rsidRPr="00440756">
        <w:rPr>
          <w:rFonts w:ascii="Arial" w:hAnsi="Arial" w:cs="Arial"/>
        </w:rPr>
        <w:t>Skinta</w:t>
      </w:r>
      <w:proofErr w:type="spellEnd"/>
      <w:r w:rsidR="0022350E" w:rsidRPr="00440756">
        <w:rPr>
          <w:rFonts w:ascii="Arial" w:hAnsi="Arial" w:cs="Arial"/>
        </w:rPr>
        <w:t xml:space="preserve">, M. and Torres-Harding, S. </w:t>
      </w:r>
      <w:r w:rsidRPr="00440756">
        <w:rPr>
          <w:rFonts w:ascii="Arial" w:hAnsi="Arial" w:cs="Arial"/>
        </w:rPr>
        <w:t>(2021) 'Measurement of intersectional microaggressions: Conceptual barriers and recommendations', </w:t>
      </w:r>
      <w:r w:rsidRPr="00440756">
        <w:rPr>
          <w:rFonts w:ascii="Arial" w:hAnsi="Arial" w:cs="Arial"/>
          <w:i/>
          <w:iCs/>
        </w:rPr>
        <w:t>Perspectives on Psychological Science</w:t>
      </w:r>
      <w:r w:rsidRPr="00440756">
        <w:rPr>
          <w:rFonts w:ascii="Arial" w:hAnsi="Arial" w:cs="Arial"/>
        </w:rPr>
        <w:t>, 16(5), pp. 956–971. doi:10.1177/1745691621991855.</w:t>
      </w:r>
    </w:p>
    <w:p w14:paraId="119DEF40" w14:textId="77777777" w:rsidR="00AB48A0" w:rsidRPr="00440756" w:rsidRDefault="00AB48A0" w:rsidP="00440756">
      <w:pPr>
        <w:spacing w:line="360" w:lineRule="auto"/>
        <w:rPr>
          <w:rFonts w:ascii="Arial" w:hAnsi="Arial" w:cs="Arial"/>
        </w:rPr>
      </w:pPr>
    </w:p>
    <w:p w14:paraId="469C2203" w14:textId="7F75E4BA" w:rsidR="00AB48A0" w:rsidRPr="00440756" w:rsidRDefault="00AB48A0" w:rsidP="00440756">
      <w:pPr>
        <w:spacing w:line="360" w:lineRule="auto"/>
        <w:rPr>
          <w:rFonts w:ascii="Arial" w:hAnsi="Arial" w:cs="Arial"/>
        </w:rPr>
      </w:pPr>
      <w:proofErr w:type="spellStart"/>
      <w:r w:rsidRPr="00440756">
        <w:rPr>
          <w:rFonts w:ascii="Arial" w:hAnsi="Arial" w:cs="Arial"/>
        </w:rPr>
        <w:t>Stotzer</w:t>
      </w:r>
      <w:proofErr w:type="spellEnd"/>
      <w:r w:rsidRPr="00440756">
        <w:rPr>
          <w:rFonts w:ascii="Arial" w:hAnsi="Arial" w:cs="Arial"/>
        </w:rPr>
        <w:t>, R. L. (2021) 'Reducing violence against transgender inmates through gender identity recognition', </w:t>
      </w:r>
      <w:r w:rsidRPr="00440756">
        <w:rPr>
          <w:rFonts w:ascii="Arial" w:hAnsi="Arial" w:cs="Arial"/>
          <w:i/>
          <w:iCs/>
        </w:rPr>
        <w:t>Prison Studies Journal</w:t>
      </w:r>
      <w:r w:rsidRPr="00440756">
        <w:rPr>
          <w:rFonts w:ascii="Arial" w:hAnsi="Arial" w:cs="Arial"/>
        </w:rPr>
        <w:t>.</w:t>
      </w:r>
    </w:p>
    <w:p w14:paraId="036E9AB1" w14:textId="77777777" w:rsidR="00AB48A0" w:rsidRPr="00440756" w:rsidRDefault="00AB48A0" w:rsidP="00440756">
      <w:pPr>
        <w:spacing w:line="360" w:lineRule="auto"/>
        <w:rPr>
          <w:rFonts w:ascii="Arial" w:hAnsi="Arial" w:cs="Arial"/>
        </w:rPr>
      </w:pPr>
    </w:p>
    <w:p w14:paraId="6ED198EA" w14:textId="015941F9" w:rsidR="00AB48A0" w:rsidRPr="00440756" w:rsidRDefault="00AB48A0" w:rsidP="00440756">
      <w:pPr>
        <w:spacing w:line="360" w:lineRule="auto"/>
        <w:rPr>
          <w:rFonts w:ascii="Arial" w:hAnsi="Arial" w:cs="Arial"/>
        </w:rPr>
      </w:pPr>
      <w:proofErr w:type="spellStart"/>
      <w:r w:rsidRPr="00440756">
        <w:rPr>
          <w:rFonts w:ascii="Arial" w:hAnsi="Arial" w:cs="Arial"/>
        </w:rPr>
        <w:t>Suhomlinova</w:t>
      </w:r>
      <w:proofErr w:type="spellEnd"/>
      <w:r w:rsidRPr="00440756">
        <w:rPr>
          <w:rFonts w:ascii="Arial" w:hAnsi="Arial" w:cs="Arial"/>
        </w:rPr>
        <w:t>, O. and O’Shea, S.C. (2024a) '</w:t>
      </w:r>
      <w:proofErr w:type="gramStart"/>
      <w:r w:rsidRPr="00440756">
        <w:rPr>
          <w:rFonts w:ascii="Arial" w:hAnsi="Arial" w:cs="Arial"/>
        </w:rPr>
        <w:t>Non-binary</w:t>
      </w:r>
      <w:proofErr w:type="gramEnd"/>
      <w:r w:rsidRPr="00440756">
        <w:rPr>
          <w:rFonts w:ascii="Arial" w:hAnsi="Arial" w:cs="Arial"/>
        </w:rPr>
        <w:t xml:space="preserve"> prisoners', </w:t>
      </w:r>
      <w:r w:rsidRPr="00440756">
        <w:rPr>
          <w:rFonts w:ascii="Arial" w:hAnsi="Arial" w:cs="Arial"/>
          <w:i/>
          <w:iCs/>
        </w:rPr>
        <w:t>Transgender and Non-binary Prisoners’ Experiences in England and Wales</w:t>
      </w:r>
      <w:r w:rsidRPr="00440756">
        <w:rPr>
          <w:rFonts w:ascii="Arial" w:hAnsi="Arial" w:cs="Arial"/>
        </w:rPr>
        <w:t>, pp. 347–367. doi:10.1108/978-1-80071-044-320241009.</w:t>
      </w:r>
    </w:p>
    <w:p w14:paraId="092191B6" w14:textId="77777777" w:rsidR="00AB48A0" w:rsidRPr="00440756" w:rsidRDefault="00AB48A0" w:rsidP="00440756">
      <w:pPr>
        <w:spacing w:line="360" w:lineRule="auto"/>
        <w:rPr>
          <w:rFonts w:ascii="Arial" w:hAnsi="Arial" w:cs="Arial"/>
        </w:rPr>
      </w:pPr>
    </w:p>
    <w:p w14:paraId="79E44250" w14:textId="0A2FBD25" w:rsidR="00AB48A0" w:rsidRPr="00440756" w:rsidRDefault="00AB48A0" w:rsidP="00440756">
      <w:pPr>
        <w:spacing w:line="360" w:lineRule="auto"/>
        <w:rPr>
          <w:rFonts w:ascii="Arial" w:hAnsi="Arial" w:cs="Arial"/>
        </w:rPr>
      </w:pPr>
      <w:proofErr w:type="spellStart"/>
      <w:r w:rsidRPr="00440756">
        <w:rPr>
          <w:rFonts w:ascii="Arial" w:hAnsi="Arial" w:cs="Arial"/>
        </w:rPr>
        <w:t>Suhomlinova</w:t>
      </w:r>
      <w:proofErr w:type="spellEnd"/>
      <w:r w:rsidRPr="00440756">
        <w:rPr>
          <w:rFonts w:ascii="Arial" w:hAnsi="Arial" w:cs="Arial"/>
        </w:rPr>
        <w:t>, O. and O’Shea, S.C. (2024b) 'Trans prisoners in England and Wales: The past and the present', </w:t>
      </w:r>
      <w:r w:rsidRPr="00440756">
        <w:rPr>
          <w:rFonts w:ascii="Arial" w:hAnsi="Arial" w:cs="Arial"/>
          <w:i/>
          <w:iCs/>
        </w:rPr>
        <w:t>Transgender and Non-binary Prisoners’ Experiences in England and Wales</w:t>
      </w:r>
      <w:r w:rsidRPr="00440756">
        <w:rPr>
          <w:rFonts w:ascii="Arial" w:hAnsi="Arial" w:cs="Arial"/>
        </w:rPr>
        <w:t>, pp. 51–118. doi:10.1108/978-1-80071-044-320241003.</w:t>
      </w:r>
    </w:p>
    <w:p w14:paraId="0B5FD760" w14:textId="77777777" w:rsidR="00AB48A0" w:rsidRPr="00440756" w:rsidRDefault="00AB48A0" w:rsidP="00440756">
      <w:pPr>
        <w:spacing w:line="360" w:lineRule="auto"/>
        <w:rPr>
          <w:rFonts w:ascii="Arial" w:hAnsi="Arial" w:cs="Arial"/>
        </w:rPr>
      </w:pPr>
    </w:p>
    <w:p w14:paraId="44D0FA43" w14:textId="6ACE9D03" w:rsidR="00AB48A0" w:rsidRPr="00440756" w:rsidRDefault="00AB48A0" w:rsidP="00440756">
      <w:pPr>
        <w:spacing w:line="360" w:lineRule="auto"/>
        <w:rPr>
          <w:rFonts w:ascii="Arial" w:hAnsi="Arial" w:cs="Arial"/>
        </w:rPr>
      </w:pPr>
      <w:r w:rsidRPr="00440756">
        <w:rPr>
          <w:rFonts w:ascii="Arial" w:hAnsi="Arial" w:cs="Arial"/>
        </w:rPr>
        <w:t xml:space="preserve">Sumner, J., </w:t>
      </w:r>
      <w:r w:rsidR="0022350E" w:rsidRPr="00440756">
        <w:rPr>
          <w:rFonts w:ascii="Arial" w:hAnsi="Arial" w:cs="Arial"/>
        </w:rPr>
        <w:t>and</w:t>
      </w:r>
      <w:r w:rsidRPr="00440756">
        <w:rPr>
          <w:rFonts w:ascii="Arial" w:hAnsi="Arial" w:cs="Arial"/>
        </w:rPr>
        <w:t xml:space="preserve"> </w:t>
      </w:r>
      <w:proofErr w:type="spellStart"/>
      <w:r w:rsidRPr="00440756">
        <w:rPr>
          <w:rFonts w:ascii="Arial" w:hAnsi="Arial" w:cs="Arial"/>
        </w:rPr>
        <w:t>Jenness</w:t>
      </w:r>
      <w:proofErr w:type="spellEnd"/>
      <w:r w:rsidRPr="00440756">
        <w:rPr>
          <w:rFonts w:ascii="Arial" w:hAnsi="Arial" w:cs="Arial"/>
        </w:rPr>
        <w:t>, V. (2021) 'Misgendering in the correctional system: Impact on transgender individuals', </w:t>
      </w:r>
      <w:r w:rsidRPr="00440756">
        <w:rPr>
          <w:rFonts w:ascii="Arial" w:hAnsi="Arial" w:cs="Arial"/>
          <w:i/>
          <w:iCs/>
        </w:rPr>
        <w:t>LGBTQ+ Legal Advocacy Group</w:t>
      </w:r>
      <w:r w:rsidRPr="00440756">
        <w:rPr>
          <w:rFonts w:ascii="Arial" w:hAnsi="Arial" w:cs="Arial"/>
        </w:rPr>
        <w:t>.</w:t>
      </w:r>
    </w:p>
    <w:p w14:paraId="12BFD4E7" w14:textId="77777777" w:rsidR="00AB48A0" w:rsidRPr="00440756" w:rsidRDefault="00AB48A0" w:rsidP="00440756">
      <w:pPr>
        <w:spacing w:line="360" w:lineRule="auto"/>
        <w:rPr>
          <w:rFonts w:ascii="Arial" w:hAnsi="Arial" w:cs="Arial"/>
        </w:rPr>
      </w:pPr>
    </w:p>
    <w:p w14:paraId="201DB847" w14:textId="003E77EE" w:rsidR="00AB48A0" w:rsidRPr="00440756" w:rsidRDefault="00AB48A0" w:rsidP="00440756">
      <w:pPr>
        <w:spacing w:line="360" w:lineRule="auto"/>
        <w:rPr>
          <w:rFonts w:ascii="Arial" w:hAnsi="Arial" w:cs="Arial"/>
        </w:rPr>
      </w:pPr>
      <w:r w:rsidRPr="00440756">
        <w:rPr>
          <w:rFonts w:ascii="Arial" w:hAnsi="Arial" w:cs="Arial"/>
        </w:rPr>
        <w:t>Tan, J. (2023) 'Exploring the experiences of transgender women in the criminal justice system', </w:t>
      </w:r>
      <w:proofErr w:type="spellStart"/>
      <w:r w:rsidRPr="00440756">
        <w:rPr>
          <w:rFonts w:ascii="Arial" w:hAnsi="Arial" w:cs="Arial"/>
          <w:i/>
          <w:iCs/>
        </w:rPr>
        <w:t>Ubira</w:t>
      </w:r>
      <w:proofErr w:type="spellEnd"/>
      <w:r w:rsidRPr="00440756">
        <w:rPr>
          <w:rFonts w:ascii="Arial" w:hAnsi="Arial" w:cs="Arial"/>
          <w:i/>
          <w:iCs/>
        </w:rPr>
        <w:t xml:space="preserve"> Theses</w:t>
      </w:r>
      <w:r w:rsidRPr="00440756">
        <w:rPr>
          <w:rFonts w:ascii="Arial" w:hAnsi="Arial" w:cs="Arial"/>
        </w:rPr>
        <w:t>.</w:t>
      </w:r>
    </w:p>
    <w:p w14:paraId="09002C80" w14:textId="77777777" w:rsidR="00AB48A0" w:rsidRPr="00440756" w:rsidRDefault="00AB48A0" w:rsidP="00440756">
      <w:pPr>
        <w:spacing w:line="360" w:lineRule="auto"/>
        <w:rPr>
          <w:rFonts w:ascii="Arial" w:hAnsi="Arial" w:cs="Arial"/>
        </w:rPr>
      </w:pPr>
    </w:p>
    <w:p w14:paraId="2F3350C3" w14:textId="6627EB59" w:rsidR="00AB48A0" w:rsidRPr="00440756" w:rsidRDefault="00AB48A0" w:rsidP="00440756">
      <w:pPr>
        <w:spacing w:line="360" w:lineRule="auto"/>
        <w:rPr>
          <w:rFonts w:ascii="Arial" w:hAnsi="Arial" w:cs="Arial"/>
        </w:rPr>
      </w:pPr>
      <w:r w:rsidRPr="00440756">
        <w:rPr>
          <w:rFonts w:ascii="Arial" w:hAnsi="Arial" w:cs="Arial"/>
        </w:rPr>
        <w:t>Taylor, J. (2013) 'Police accused of mocking transgender woman during arrest', </w:t>
      </w:r>
      <w:r w:rsidRPr="00440756">
        <w:rPr>
          <w:rFonts w:ascii="Arial" w:hAnsi="Arial" w:cs="Arial"/>
          <w:i/>
          <w:iCs/>
        </w:rPr>
        <w:t>The Independent</w:t>
      </w:r>
      <w:r w:rsidRPr="00440756">
        <w:rPr>
          <w:rFonts w:ascii="Arial" w:hAnsi="Arial" w:cs="Arial"/>
        </w:rPr>
        <w:t>. Available at: </w:t>
      </w:r>
      <w:hyperlink r:id="rId12" w:tgtFrame="_new" w:history="1">
        <w:r w:rsidRPr="00440756">
          <w:rPr>
            <w:rFonts w:ascii="Arial" w:hAnsi="Arial" w:cs="Arial"/>
            <w:color w:val="0000FF"/>
            <w:u w:val="single"/>
          </w:rPr>
          <w:t>https://www.independent.co.uk/news/uk/crime/police-accused-of-mocking-transgender-woman-during-arrest-8505650.html</w:t>
        </w:r>
      </w:hyperlink>
      <w:r w:rsidRPr="00440756">
        <w:rPr>
          <w:rFonts w:ascii="Arial" w:hAnsi="Arial" w:cs="Arial"/>
        </w:rPr>
        <w:t> (Accessed: 15 February 2025).</w:t>
      </w:r>
    </w:p>
    <w:p w14:paraId="370ACEA6" w14:textId="77777777" w:rsidR="00AB48A0" w:rsidRPr="00440756" w:rsidRDefault="00AB48A0" w:rsidP="00440756">
      <w:pPr>
        <w:spacing w:line="360" w:lineRule="auto"/>
        <w:rPr>
          <w:rFonts w:ascii="Arial" w:hAnsi="Arial" w:cs="Arial"/>
        </w:rPr>
      </w:pPr>
    </w:p>
    <w:p w14:paraId="5EAE21EE" w14:textId="1E4EA6AD" w:rsidR="00AB48A0" w:rsidRPr="00440756" w:rsidRDefault="00AB48A0" w:rsidP="00440756">
      <w:pPr>
        <w:spacing w:line="360" w:lineRule="auto"/>
        <w:rPr>
          <w:rFonts w:ascii="Arial" w:hAnsi="Arial" w:cs="Arial"/>
        </w:rPr>
      </w:pPr>
      <w:proofErr w:type="spellStart"/>
      <w:r w:rsidRPr="00440756">
        <w:rPr>
          <w:rFonts w:ascii="Arial" w:hAnsi="Arial" w:cs="Arial"/>
        </w:rPr>
        <w:t>Tarzwell</w:t>
      </w:r>
      <w:proofErr w:type="spellEnd"/>
      <w:r w:rsidRPr="00440756">
        <w:rPr>
          <w:rFonts w:ascii="Arial" w:hAnsi="Arial" w:cs="Arial"/>
        </w:rPr>
        <w:t>, J. (2021) 'Denial of gender-affirming facilities in police and prison systems: Legal and psychological implications', </w:t>
      </w:r>
      <w:proofErr w:type="spellStart"/>
      <w:r w:rsidRPr="00440756">
        <w:rPr>
          <w:rFonts w:ascii="Arial" w:hAnsi="Arial" w:cs="Arial"/>
          <w:i/>
          <w:iCs/>
        </w:rPr>
        <w:t>Tarzwell</w:t>
      </w:r>
      <w:proofErr w:type="spellEnd"/>
      <w:r w:rsidRPr="00440756">
        <w:rPr>
          <w:rFonts w:ascii="Arial" w:hAnsi="Arial" w:cs="Arial"/>
          <w:i/>
          <w:iCs/>
        </w:rPr>
        <w:t xml:space="preserve"> Publishing</w:t>
      </w:r>
      <w:r w:rsidRPr="00440756">
        <w:rPr>
          <w:rFonts w:ascii="Arial" w:hAnsi="Arial" w:cs="Arial"/>
        </w:rPr>
        <w:t>.</w:t>
      </w:r>
    </w:p>
    <w:p w14:paraId="72CCC5F1" w14:textId="77777777" w:rsidR="00AB48A0" w:rsidRPr="00440756" w:rsidRDefault="00AB48A0" w:rsidP="00440756">
      <w:pPr>
        <w:spacing w:line="360" w:lineRule="auto"/>
        <w:rPr>
          <w:rFonts w:ascii="Arial" w:hAnsi="Arial" w:cs="Arial"/>
        </w:rPr>
      </w:pPr>
    </w:p>
    <w:p w14:paraId="5958802D" w14:textId="4779BB2B" w:rsidR="00AB48A0" w:rsidRPr="00440756" w:rsidRDefault="00AB48A0" w:rsidP="00440756">
      <w:pPr>
        <w:spacing w:line="360" w:lineRule="auto"/>
        <w:rPr>
          <w:rFonts w:ascii="Arial" w:hAnsi="Arial" w:cs="Arial"/>
        </w:rPr>
      </w:pPr>
      <w:r w:rsidRPr="00440756">
        <w:rPr>
          <w:rFonts w:ascii="Arial" w:hAnsi="Arial" w:cs="Arial"/>
        </w:rPr>
        <w:lastRenderedPageBreak/>
        <w:t>Thomas, K. (2023) 'Men have no place in women’s prisons', </w:t>
      </w:r>
      <w:r w:rsidRPr="00440756">
        <w:rPr>
          <w:rFonts w:ascii="Arial" w:hAnsi="Arial" w:cs="Arial"/>
          <w:i/>
          <w:iCs/>
        </w:rPr>
        <w:t>Centre for Crime and Justice Studies</w:t>
      </w:r>
      <w:r w:rsidRPr="00440756">
        <w:rPr>
          <w:rFonts w:ascii="Arial" w:hAnsi="Arial" w:cs="Arial"/>
        </w:rPr>
        <w:t>. Available at: </w:t>
      </w:r>
      <w:hyperlink r:id="rId13" w:tgtFrame="_new" w:history="1">
        <w:r w:rsidRPr="00440756">
          <w:rPr>
            <w:rFonts w:ascii="Arial" w:hAnsi="Arial" w:cs="Arial"/>
            <w:color w:val="0000FF"/>
            <w:u w:val="single"/>
          </w:rPr>
          <w:t>https://www.crimeandjustice.org.uk/men-have-no-place-women%E2%80%99s-prisons</w:t>
        </w:r>
      </w:hyperlink>
      <w:r w:rsidRPr="00440756">
        <w:rPr>
          <w:rFonts w:ascii="Arial" w:hAnsi="Arial" w:cs="Arial"/>
        </w:rPr>
        <w:t> (Accessed: 16 February 2025).</w:t>
      </w:r>
    </w:p>
    <w:p w14:paraId="0F4DCD78" w14:textId="77777777" w:rsidR="00AB48A0" w:rsidRPr="00440756" w:rsidRDefault="00AB48A0" w:rsidP="00440756">
      <w:pPr>
        <w:spacing w:line="360" w:lineRule="auto"/>
        <w:rPr>
          <w:rFonts w:ascii="Arial" w:hAnsi="Arial" w:cs="Arial"/>
        </w:rPr>
      </w:pPr>
    </w:p>
    <w:p w14:paraId="5C348D42" w14:textId="468558EC" w:rsidR="00AB48A0" w:rsidRPr="00440756" w:rsidRDefault="00AB48A0" w:rsidP="00440756">
      <w:pPr>
        <w:pStyle w:val="NormalWeb"/>
        <w:spacing w:line="360" w:lineRule="auto"/>
        <w:rPr>
          <w:rFonts w:ascii="Arial" w:hAnsi="Arial" w:cs="Arial"/>
          <w:color w:val="000000"/>
        </w:rPr>
      </w:pPr>
      <w:r w:rsidRPr="00440756">
        <w:rPr>
          <w:rFonts w:ascii="Arial" w:hAnsi="Arial" w:cs="Arial"/>
          <w:color w:val="000000"/>
        </w:rPr>
        <w:t xml:space="preserve">Van </w:t>
      </w:r>
      <w:proofErr w:type="spellStart"/>
      <w:r w:rsidRPr="00440756">
        <w:rPr>
          <w:rFonts w:ascii="Arial" w:hAnsi="Arial" w:cs="Arial"/>
          <w:color w:val="000000"/>
        </w:rPr>
        <w:t>Hout</w:t>
      </w:r>
      <w:proofErr w:type="spellEnd"/>
      <w:r w:rsidRPr="00440756">
        <w:rPr>
          <w:rFonts w:ascii="Arial" w:hAnsi="Arial" w:cs="Arial"/>
          <w:color w:val="000000"/>
        </w:rPr>
        <w:t>, M.C. and Crowley, D. (2021) ‘The “double punishment” of transgender prisoners: A human rights-based commentary on placement and conditions of detention’,</w:t>
      </w:r>
      <w:r w:rsidRPr="00440756">
        <w:rPr>
          <w:rStyle w:val="apple-converted-space"/>
          <w:rFonts w:ascii="Arial" w:eastAsiaTheme="majorEastAsia" w:hAnsi="Arial" w:cs="Arial"/>
          <w:color w:val="000000"/>
        </w:rPr>
        <w:t> </w:t>
      </w:r>
      <w:r w:rsidRPr="00440756">
        <w:rPr>
          <w:rFonts w:ascii="Arial" w:hAnsi="Arial" w:cs="Arial"/>
          <w:i/>
          <w:iCs/>
          <w:color w:val="000000"/>
        </w:rPr>
        <w:t>International Journal of Prisoner Health</w:t>
      </w:r>
      <w:r w:rsidRPr="00440756">
        <w:rPr>
          <w:rFonts w:ascii="Arial" w:hAnsi="Arial" w:cs="Arial"/>
          <w:color w:val="000000"/>
        </w:rPr>
        <w:t>, 17(4), pp. 439–451. doi:10.1108/ijph-10-2020-0083.</w:t>
      </w:r>
      <w:r w:rsidRPr="00440756">
        <w:rPr>
          <w:rStyle w:val="apple-converted-space"/>
          <w:rFonts w:ascii="Arial" w:eastAsiaTheme="majorEastAsia" w:hAnsi="Arial" w:cs="Arial"/>
          <w:color w:val="000000"/>
        </w:rPr>
        <w:t> </w:t>
      </w:r>
    </w:p>
    <w:p w14:paraId="571AB6F8" w14:textId="25F492FA" w:rsidR="00AB48A0" w:rsidRPr="00440756" w:rsidRDefault="00AB48A0" w:rsidP="00440756">
      <w:pPr>
        <w:spacing w:line="360" w:lineRule="auto"/>
        <w:rPr>
          <w:rFonts w:ascii="Arial" w:hAnsi="Arial" w:cs="Arial"/>
        </w:rPr>
      </w:pPr>
      <w:r w:rsidRPr="00440756">
        <w:rPr>
          <w:rFonts w:ascii="Arial" w:hAnsi="Arial" w:cs="Arial"/>
        </w:rPr>
        <w:t>Walters, M.A. (2024) ‘Legalizing transphobia: From courtroom to legislature, how gender</w:t>
      </w:r>
      <w:r w:rsidRPr="00440756">
        <w:rPr>
          <w:rFonts w:ascii="Cambria Math" w:hAnsi="Cambria Math" w:cs="Cambria Math"/>
        </w:rPr>
        <w:t>‐</w:t>
      </w:r>
      <w:r w:rsidRPr="00440756">
        <w:rPr>
          <w:rFonts w:ascii="Arial" w:hAnsi="Arial" w:cs="Arial"/>
        </w:rPr>
        <w:t>critical activism is hurting us all’, </w:t>
      </w:r>
      <w:r w:rsidRPr="00440756">
        <w:rPr>
          <w:rFonts w:ascii="Arial" w:hAnsi="Arial" w:cs="Arial"/>
          <w:i/>
          <w:iCs/>
        </w:rPr>
        <w:t>Journal of Law and Society</w:t>
      </w:r>
      <w:r w:rsidRPr="00440756">
        <w:rPr>
          <w:rFonts w:ascii="Arial" w:hAnsi="Arial" w:cs="Arial"/>
        </w:rPr>
        <w:t>, 51(3), pp. 343–366. doi:10.1111/jols.12491.</w:t>
      </w:r>
    </w:p>
    <w:p w14:paraId="43F1ABEF" w14:textId="77777777" w:rsidR="00033271" w:rsidRPr="00440756" w:rsidRDefault="00033271" w:rsidP="00440756">
      <w:pPr>
        <w:spacing w:line="360" w:lineRule="auto"/>
        <w:rPr>
          <w:rFonts w:ascii="Arial" w:hAnsi="Arial" w:cs="Arial"/>
        </w:rPr>
      </w:pPr>
    </w:p>
    <w:p w14:paraId="0C9B811E" w14:textId="1ECA5656" w:rsidR="00033271" w:rsidRPr="00440756" w:rsidRDefault="00033271" w:rsidP="00440756">
      <w:pPr>
        <w:pStyle w:val="NormalWeb"/>
        <w:spacing w:line="360" w:lineRule="auto"/>
        <w:ind w:left="567" w:hanging="567"/>
        <w:rPr>
          <w:rFonts w:ascii="Arial" w:hAnsi="Arial" w:cs="Arial"/>
          <w:color w:val="000000"/>
        </w:rPr>
      </w:pPr>
      <w:r w:rsidRPr="00440756">
        <w:rPr>
          <w:rFonts w:ascii="Arial" w:hAnsi="Arial" w:cs="Arial"/>
          <w:color w:val="000000"/>
        </w:rPr>
        <w:t>Walters, M.A.</w:t>
      </w:r>
      <w:r w:rsidRPr="00440756">
        <w:rPr>
          <w:rStyle w:val="apple-converted-space"/>
          <w:rFonts w:ascii="Arial" w:eastAsiaTheme="majorEastAsia" w:hAnsi="Arial" w:cs="Arial"/>
          <w:color w:val="000000"/>
        </w:rPr>
        <w:t xml:space="preserve">, Paterson, J., McDonnell, L. and Brown, R. </w:t>
      </w:r>
      <w:r w:rsidRPr="00440756">
        <w:rPr>
          <w:rFonts w:ascii="Arial" w:hAnsi="Arial" w:cs="Arial"/>
          <w:color w:val="000000"/>
        </w:rPr>
        <w:t xml:space="preserve">(2017) ‘Hate crimes against trans people: Assessing emotions, </w:t>
      </w:r>
      <w:proofErr w:type="spellStart"/>
      <w:r w:rsidRPr="00440756">
        <w:rPr>
          <w:rFonts w:ascii="Arial" w:hAnsi="Arial" w:cs="Arial"/>
          <w:color w:val="000000"/>
        </w:rPr>
        <w:t>behaviors</w:t>
      </w:r>
      <w:proofErr w:type="spellEnd"/>
      <w:r w:rsidRPr="00440756">
        <w:rPr>
          <w:rFonts w:ascii="Arial" w:hAnsi="Arial" w:cs="Arial"/>
          <w:color w:val="000000"/>
        </w:rPr>
        <w:t>, and attitudes toward criminal justice agencies’,</w:t>
      </w:r>
      <w:r w:rsidRPr="00440756">
        <w:rPr>
          <w:rStyle w:val="apple-converted-space"/>
          <w:rFonts w:ascii="Arial" w:eastAsiaTheme="majorEastAsia" w:hAnsi="Arial" w:cs="Arial"/>
          <w:color w:val="000000"/>
        </w:rPr>
        <w:t> </w:t>
      </w:r>
      <w:r w:rsidRPr="00440756">
        <w:rPr>
          <w:rFonts w:ascii="Arial" w:hAnsi="Arial" w:cs="Arial"/>
          <w:i/>
          <w:iCs/>
          <w:color w:val="000000"/>
        </w:rPr>
        <w:t>Journal of Interpersonal Violence</w:t>
      </w:r>
      <w:r w:rsidRPr="00440756">
        <w:rPr>
          <w:rFonts w:ascii="Arial" w:hAnsi="Arial" w:cs="Arial"/>
          <w:color w:val="000000"/>
        </w:rPr>
        <w:t>, 35(21–22), pp. 4583–4613. doi:10.1177/0886260517715026.</w:t>
      </w:r>
      <w:r w:rsidRPr="00440756">
        <w:rPr>
          <w:rStyle w:val="apple-converted-space"/>
          <w:rFonts w:ascii="Arial" w:eastAsiaTheme="majorEastAsia" w:hAnsi="Arial" w:cs="Arial"/>
          <w:color w:val="000000"/>
        </w:rPr>
        <w:t> </w:t>
      </w:r>
    </w:p>
    <w:p w14:paraId="6D24CF1C" w14:textId="77777777" w:rsidR="00AB48A0" w:rsidRPr="00440756" w:rsidRDefault="00AB48A0" w:rsidP="00440756">
      <w:pPr>
        <w:spacing w:line="360" w:lineRule="auto"/>
        <w:rPr>
          <w:rFonts w:ascii="Arial" w:hAnsi="Arial" w:cs="Arial"/>
        </w:rPr>
      </w:pPr>
    </w:p>
    <w:p w14:paraId="4C749193" w14:textId="77777777" w:rsidR="00AB48A0" w:rsidRPr="00440756" w:rsidRDefault="00AB48A0" w:rsidP="00440756">
      <w:pPr>
        <w:spacing w:line="360" w:lineRule="auto"/>
        <w:rPr>
          <w:rFonts w:ascii="Arial" w:hAnsi="Arial" w:cs="Arial"/>
        </w:rPr>
      </w:pPr>
    </w:p>
    <w:p w14:paraId="783484C7" w14:textId="1893BA85" w:rsidR="00AB48A0" w:rsidRPr="00440756" w:rsidRDefault="00AB48A0" w:rsidP="00440756">
      <w:pPr>
        <w:spacing w:line="360" w:lineRule="auto"/>
        <w:rPr>
          <w:rFonts w:ascii="Arial" w:hAnsi="Arial" w:cs="Arial"/>
          <w:color w:val="000000"/>
        </w:rPr>
      </w:pPr>
    </w:p>
    <w:sectPr w:rsidR="00AB48A0" w:rsidRPr="0044075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8A942B1"/>
    <w:multiLevelType w:val="hybridMultilevel"/>
    <w:tmpl w:val="9A4264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EF81D71"/>
    <w:multiLevelType w:val="multilevel"/>
    <w:tmpl w:val="391EB8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70975317">
    <w:abstractNumId w:val="0"/>
  </w:num>
  <w:num w:numId="2" w16cid:durableId="132743736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3BDB"/>
    <w:rsid w:val="00033271"/>
    <w:rsid w:val="0017261E"/>
    <w:rsid w:val="001A12D4"/>
    <w:rsid w:val="0022350E"/>
    <w:rsid w:val="00235B2B"/>
    <w:rsid w:val="002F3A3C"/>
    <w:rsid w:val="00330414"/>
    <w:rsid w:val="00384D32"/>
    <w:rsid w:val="003B4364"/>
    <w:rsid w:val="00440756"/>
    <w:rsid w:val="00453BDB"/>
    <w:rsid w:val="005856DA"/>
    <w:rsid w:val="005D5A59"/>
    <w:rsid w:val="006A06D6"/>
    <w:rsid w:val="00750A5C"/>
    <w:rsid w:val="007F65B0"/>
    <w:rsid w:val="008D7221"/>
    <w:rsid w:val="009039AA"/>
    <w:rsid w:val="00993171"/>
    <w:rsid w:val="00A01C36"/>
    <w:rsid w:val="00A14A55"/>
    <w:rsid w:val="00AA5118"/>
    <w:rsid w:val="00AB48A0"/>
    <w:rsid w:val="00B1527E"/>
    <w:rsid w:val="00B53232"/>
    <w:rsid w:val="00D81558"/>
    <w:rsid w:val="00E16D10"/>
    <w:rsid w:val="00F451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740292"/>
  <w15:chartTrackingRefBased/>
  <w15:docId w15:val="{D7A43411-25AB-AA41-B829-BB0170A2E9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B48A0"/>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453BD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53BD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53BD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53BD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53BD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53BDB"/>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53BDB"/>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53BDB"/>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53BDB"/>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53BD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53BD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453BD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53BD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53BD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53BD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53BD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53BD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53BDB"/>
    <w:rPr>
      <w:rFonts w:eastAsiaTheme="majorEastAsia" w:cstheme="majorBidi"/>
      <w:color w:val="272727" w:themeColor="text1" w:themeTint="D8"/>
    </w:rPr>
  </w:style>
  <w:style w:type="paragraph" w:styleId="Title">
    <w:name w:val="Title"/>
    <w:basedOn w:val="Normal"/>
    <w:next w:val="Normal"/>
    <w:link w:val="TitleChar"/>
    <w:uiPriority w:val="10"/>
    <w:qFormat/>
    <w:rsid w:val="00453BDB"/>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53BD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53BD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53BD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53BDB"/>
    <w:pPr>
      <w:spacing w:before="160"/>
      <w:jc w:val="center"/>
    </w:pPr>
    <w:rPr>
      <w:i/>
      <w:iCs/>
      <w:color w:val="404040" w:themeColor="text1" w:themeTint="BF"/>
    </w:rPr>
  </w:style>
  <w:style w:type="character" w:customStyle="1" w:styleId="QuoteChar">
    <w:name w:val="Quote Char"/>
    <w:basedOn w:val="DefaultParagraphFont"/>
    <w:link w:val="Quote"/>
    <w:uiPriority w:val="29"/>
    <w:rsid w:val="00453BDB"/>
    <w:rPr>
      <w:i/>
      <w:iCs/>
      <w:color w:val="404040" w:themeColor="text1" w:themeTint="BF"/>
    </w:rPr>
  </w:style>
  <w:style w:type="paragraph" w:styleId="ListParagraph">
    <w:name w:val="List Paragraph"/>
    <w:basedOn w:val="Normal"/>
    <w:uiPriority w:val="34"/>
    <w:qFormat/>
    <w:rsid w:val="00453BDB"/>
    <w:pPr>
      <w:ind w:left="720"/>
      <w:contextualSpacing/>
    </w:pPr>
  </w:style>
  <w:style w:type="character" w:styleId="IntenseEmphasis">
    <w:name w:val="Intense Emphasis"/>
    <w:basedOn w:val="DefaultParagraphFont"/>
    <w:uiPriority w:val="21"/>
    <w:qFormat/>
    <w:rsid w:val="00453BDB"/>
    <w:rPr>
      <w:i/>
      <w:iCs/>
      <w:color w:val="0F4761" w:themeColor="accent1" w:themeShade="BF"/>
    </w:rPr>
  </w:style>
  <w:style w:type="paragraph" w:styleId="IntenseQuote">
    <w:name w:val="Intense Quote"/>
    <w:basedOn w:val="Normal"/>
    <w:next w:val="Normal"/>
    <w:link w:val="IntenseQuoteChar"/>
    <w:uiPriority w:val="30"/>
    <w:qFormat/>
    <w:rsid w:val="00453BD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53BDB"/>
    <w:rPr>
      <w:i/>
      <w:iCs/>
      <w:color w:val="0F4761" w:themeColor="accent1" w:themeShade="BF"/>
    </w:rPr>
  </w:style>
  <w:style w:type="character" w:styleId="IntenseReference">
    <w:name w:val="Intense Reference"/>
    <w:basedOn w:val="DefaultParagraphFont"/>
    <w:uiPriority w:val="32"/>
    <w:qFormat/>
    <w:rsid w:val="00453BDB"/>
    <w:rPr>
      <w:b/>
      <w:bCs/>
      <w:smallCaps/>
      <w:color w:val="0F4761" w:themeColor="accent1" w:themeShade="BF"/>
      <w:spacing w:val="5"/>
    </w:rPr>
  </w:style>
  <w:style w:type="paragraph" w:styleId="NormalWeb">
    <w:name w:val="Normal (Web)"/>
    <w:basedOn w:val="Normal"/>
    <w:uiPriority w:val="99"/>
    <w:unhideWhenUsed/>
    <w:rsid w:val="00453BDB"/>
    <w:pPr>
      <w:spacing w:before="100" w:beforeAutospacing="1" w:after="100" w:afterAutospacing="1"/>
    </w:pPr>
  </w:style>
  <w:style w:type="character" w:customStyle="1" w:styleId="apple-converted-space">
    <w:name w:val="apple-converted-space"/>
    <w:basedOn w:val="DefaultParagraphFont"/>
    <w:rsid w:val="003B4364"/>
  </w:style>
  <w:style w:type="character" w:styleId="Emphasis">
    <w:name w:val="Emphasis"/>
    <w:basedOn w:val="DefaultParagraphFont"/>
    <w:uiPriority w:val="20"/>
    <w:qFormat/>
    <w:rsid w:val="00AA5118"/>
    <w:rPr>
      <w:i/>
      <w:iCs/>
    </w:rPr>
  </w:style>
  <w:style w:type="character" w:styleId="Strong">
    <w:name w:val="Strong"/>
    <w:basedOn w:val="DefaultParagraphFont"/>
    <w:uiPriority w:val="22"/>
    <w:qFormat/>
    <w:rsid w:val="00AA5118"/>
    <w:rPr>
      <w:b/>
      <w:bCs/>
    </w:rPr>
  </w:style>
  <w:style w:type="character" w:styleId="Hyperlink">
    <w:name w:val="Hyperlink"/>
    <w:basedOn w:val="DefaultParagraphFont"/>
    <w:uiPriority w:val="99"/>
    <w:unhideWhenUsed/>
    <w:rsid w:val="00AA5118"/>
    <w:rPr>
      <w:color w:val="467886" w:themeColor="hyperlink"/>
      <w:u w:val="single"/>
    </w:rPr>
  </w:style>
  <w:style w:type="character" w:styleId="UnresolvedMention">
    <w:name w:val="Unresolved Mention"/>
    <w:basedOn w:val="DefaultParagraphFont"/>
    <w:uiPriority w:val="99"/>
    <w:semiHidden/>
    <w:unhideWhenUsed/>
    <w:rsid w:val="00AA511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2776552">
      <w:bodyDiv w:val="1"/>
      <w:marLeft w:val="0"/>
      <w:marRight w:val="0"/>
      <w:marTop w:val="0"/>
      <w:marBottom w:val="0"/>
      <w:divBdr>
        <w:top w:val="none" w:sz="0" w:space="0" w:color="auto"/>
        <w:left w:val="none" w:sz="0" w:space="0" w:color="auto"/>
        <w:bottom w:val="none" w:sz="0" w:space="0" w:color="auto"/>
        <w:right w:val="none" w:sz="0" w:space="0" w:color="auto"/>
      </w:divBdr>
    </w:div>
    <w:div w:id="36467947">
      <w:bodyDiv w:val="1"/>
      <w:marLeft w:val="0"/>
      <w:marRight w:val="0"/>
      <w:marTop w:val="0"/>
      <w:marBottom w:val="0"/>
      <w:divBdr>
        <w:top w:val="none" w:sz="0" w:space="0" w:color="auto"/>
        <w:left w:val="none" w:sz="0" w:space="0" w:color="auto"/>
        <w:bottom w:val="none" w:sz="0" w:space="0" w:color="auto"/>
        <w:right w:val="none" w:sz="0" w:space="0" w:color="auto"/>
      </w:divBdr>
    </w:div>
    <w:div w:id="111290643">
      <w:bodyDiv w:val="1"/>
      <w:marLeft w:val="0"/>
      <w:marRight w:val="0"/>
      <w:marTop w:val="0"/>
      <w:marBottom w:val="0"/>
      <w:divBdr>
        <w:top w:val="none" w:sz="0" w:space="0" w:color="auto"/>
        <w:left w:val="none" w:sz="0" w:space="0" w:color="auto"/>
        <w:bottom w:val="none" w:sz="0" w:space="0" w:color="auto"/>
        <w:right w:val="none" w:sz="0" w:space="0" w:color="auto"/>
      </w:divBdr>
    </w:div>
    <w:div w:id="130365405">
      <w:bodyDiv w:val="1"/>
      <w:marLeft w:val="0"/>
      <w:marRight w:val="0"/>
      <w:marTop w:val="0"/>
      <w:marBottom w:val="0"/>
      <w:divBdr>
        <w:top w:val="none" w:sz="0" w:space="0" w:color="auto"/>
        <w:left w:val="none" w:sz="0" w:space="0" w:color="auto"/>
        <w:bottom w:val="none" w:sz="0" w:space="0" w:color="auto"/>
        <w:right w:val="none" w:sz="0" w:space="0" w:color="auto"/>
      </w:divBdr>
    </w:div>
    <w:div w:id="159586190">
      <w:bodyDiv w:val="1"/>
      <w:marLeft w:val="0"/>
      <w:marRight w:val="0"/>
      <w:marTop w:val="0"/>
      <w:marBottom w:val="0"/>
      <w:divBdr>
        <w:top w:val="none" w:sz="0" w:space="0" w:color="auto"/>
        <w:left w:val="none" w:sz="0" w:space="0" w:color="auto"/>
        <w:bottom w:val="none" w:sz="0" w:space="0" w:color="auto"/>
        <w:right w:val="none" w:sz="0" w:space="0" w:color="auto"/>
      </w:divBdr>
    </w:div>
    <w:div w:id="262962003">
      <w:bodyDiv w:val="1"/>
      <w:marLeft w:val="0"/>
      <w:marRight w:val="0"/>
      <w:marTop w:val="0"/>
      <w:marBottom w:val="0"/>
      <w:divBdr>
        <w:top w:val="none" w:sz="0" w:space="0" w:color="auto"/>
        <w:left w:val="none" w:sz="0" w:space="0" w:color="auto"/>
        <w:bottom w:val="none" w:sz="0" w:space="0" w:color="auto"/>
        <w:right w:val="none" w:sz="0" w:space="0" w:color="auto"/>
      </w:divBdr>
    </w:div>
    <w:div w:id="392657361">
      <w:bodyDiv w:val="1"/>
      <w:marLeft w:val="0"/>
      <w:marRight w:val="0"/>
      <w:marTop w:val="0"/>
      <w:marBottom w:val="0"/>
      <w:divBdr>
        <w:top w:val="none" w:sz="0" w:space="0" w:color="auto"/>
        <w:left w:val="none" w:sz="0" w:space="0" w:color="auto"/>
        <w:bottom w:val="none" w:sz="0" w:space="0" w:color="auto"/>
        <w:right w:val="none" w:sz="0" w:space="0" w:color="auto"/>
      </w:divBdr>
    </w:div>
    <w:div w:id="440078061">
      <w:bodyDiv w:val="1"/>
      <w:marLeft w:val="0"/>
      <w:marRight w:val="0"/>
      <w:marTop w:val="0"/>
      <w:marBottom w:val="0"/>
      <w:divBdr>
        <w:top w:val="none" w:sz="0" w:space="0" w:color="auto"/>
        <w:left w:val="none" w:sz="0" w:space="0" w:color="auto"/>
        <w:bottom w:val="none" w:sz="0" w:space="0" w:color="auto"/>
        <w:right w:val="none" w:sz="0" w:space="0" w:color="auto"/>
      </w:divBdr>
    </w:div>
    <w:div w:id="463617045">
      <w:bodyDiv w:val="1"/>
      <w:marLeft w:val="0"/>
      <w:marRight w:val="0"/>
      <w:marTop w:val="0"/>
      <w:marBottom w:val="0"/>
      <w:divBdr>
        <w:top w:val="none" w:sz="0" w:space="0" w:color="auto"/>
        <w:left w:val="none" w:sz="0" w:space="0" w:color="auto"/>
        <w:bottom w:val="none" w:sz="0" w:space="0" w:color="auto"/>
        <w:right w:val="none" w:sz="0" w:space="0" w:color="auto"/>
      </w:divBdr>
    </w:div>
    <w:div w:id="476649884">
      <w:bodyDiv w:val="1"/>
      <w:marLeft w:val="0"/>
      <w:marRight w:val="0"/>
      <w:marTop w:val="0"/>
      <w:marBottom w:val="0"/>
      <w:divBdr>
        <w:top w:val="none" w:sz="0" w:space="0" w:color="auto"/>
        <w:left w:val="none" w:sz="0" w:space="0" w:color="auto"/>
        <w:bottom w:val="none" w:sz="0" w:space="0" w:color="auto"/>
        <w:right w:val="none" w:sz="0" w:space="0" w:color="auto"/>
      </w:divBdr>
    </w:div>
    <w:div w:id="515966122">
      <w:bodyDiv w:val="1"/>
      <w:marLeft w:val="0"/>
      <w:marRight w:val="0"/>
      <w:marTop w:val="0"/>
      <w:marBottom w:val="0"/>
      <w:divBdr>
        <w:top w:val="none" w:sz="0" w:space="0" w:color="auto"/>
        <w:left w:val="none" w:sz="0" w:space="0" w:color="auto"/>
        <w:bottom w:val="none" w:sz="0" w:space="0" w:color="auto"/>
        <w:right w:val="none" w:sz="0" w:space="0" w:color="auto"/>
      </w:divBdr>
    </w:div>
    <w:div w:id="562255969">
      <w:bodyDiv w:val="1"/>
      <w:marLeft w:val="0"/>
      <w:marRight w:val="0"/>
      <w:marTop w:val="0"/>
      <w:marBottom w:val="0"/>
      <w:divBdr>
        <w:top w:val="none" w:sz="0" w:space="0" w:color="auto"/>
        <w:left w:val="none" w:sz="0" w:space="0" w:color="auto"/>
        <w:bottom w:val="none" w:sz="0" w:space="0" w:color="auto"/>
        <w:right w:val="none" w:sz="0" w:space="0" w:color="auto"/>
      </w:divBdr>
    </w:div>
    <w:div w:id="575743765">
      <w:bodyDiv w:val="1"/>
      <w:marLeft w:val="0"/>
      <w:marRight w:val="0"/>
      <w:marTop w:val="0"/>
      <w:marBottom w:val="0"/>
      <w:divBdr>
        <w:top w:val="none" w:sz="0" w:space="0" w:color="auto"/>
        <w:left w:val="none" w:sz="0" w:space="0" w:color="auto"/>
        <w:bottom w:val="none" w:sz="0" w:space="0" w:color="auto"/>
        <w:right w:val="none" w:sz="0" w:space="0" w:color="auto"/>
      </w:divBdr>
    </w:div>
    <w:div w:id="626158930">
      <w:bodyDiv w:val="1"/>
      <w:marLeft w:val="0"/>
      <w:marRight w:val="0"/>
      <w:marTop w:val="0"/>
      <w:marBottom w:val="0"/>
      <w:divBdr>
        <w:top w:val="none" w:sz="0" w:space="0" w:color="auto"/>
        <w:left w:val="none" w:sz="0" w:space="0" w:color="auto"/>
        <w:bottom w:val="none" w:sz="0" w:space="0" w:color="auto"/>
        <w:right w:val="none" w:sz="0" w:space="0" w:color="auto"/>
      </w:divBdr>
    </w:div>
    <w:div w:id="660888956">
      <w:bodyDiv w:val="1"/>
      <w:marLeft w:val="0"/>
      <w:marRight w:val="0"/>
      <w:marTop w:val="0"/>
      <w:marBottom w:val="0"/>
      <w:divBdr>
        <w:top w:val="none" w:sz="0" w:space="0" w:color="auto"/>
        <w:left w:val="none" w:sz="0" w:space="0" w:color="auto"/>
        <w:bottom w:val="none" w:sz="0" w:space="0" w:color="auto"/>
        <w:right w:val="none" w:sz="0" w:space="0" w:color="auto"/>
      </w:divBdr>
    </w:div>
    <w:div w:id="730229634">
      <w:bodyDiv w:val="1"/>
      <w:marLeft w:val="0"/>
      <w:marRight w:val="0"/>
      <w:marTop w:val="0"/>
      <w:marBottom w:val="0"/>
      <w:divBdr>
        <w:top w:val="none" w:sz="0" w:space="0" w:color="auto"/>
        <w:left w:val="none" w:sz="0" w:space="0" w:color="auto"/>
        <w:bottom w:val="none" w:sz="0" w:space="0" w:color="auto"/>
        <w:right w:val="none" w:sz="0" w:space="0" w:color="auto"/>
      </w:divBdr>
    </w:div>
    <w:div w:id="731078603">
      <w:bodyDiv w:val="1"/>
      <w:marLeft w:val="0"/>
      <w:marRight w:val="0"/>
      <w:marTop w:val="0"/>
      <w:marBottom w:val="0"/>
      <w:divBdr>
        <w:top w:val="none" w:sz="0" w:space="0" w:color="auto"/>
        <w:left w:val="none" w:sz="0" w:space="0" w:color="auto"/>
        <w:bottom w:val="none" w:sz="0" w:space="0" w:color="auto"/>
        <w:right w:val="none" w:sz="0" w:space="0" w:color="auto"/>
      </w:divBdr>
    </w:div>
    <w:div w:id="778528501">
      <w:bodyDiv w:val="1"/>
      <w:marLeft w:val="0"/>
      <w:marRight w:val="0"/>
      <w:marTop w:val="0"/>
      <w:marBottom w:val="0"/>
      <w:divBdr>
        <w:top w:val="none" w:sz="0" w:space="0" w:color="auto"/>
        <w:left w:val="none" w:sz="0" w:space="0" w:color="auto"/>
        <w:bottom w:val="none" w:sz="0" w:space="0" w:color="auto"/>
        <w:right w:val="none" w:sz="0" w:space="0" w:color="auto"/>
      </w:divBdr>
    </w:div>
    <w:div w:id="794567567">
      <w:bodyDiv w:val="1"/>
      <w:marLeft w:val="0"/>
      <w:marRight w:val="0"/>
      <w:marTop w:val="0"/>
      <w:marBottom w:val="0"/>
      <w:divBdr>
        <w:top w:val="none" w:sz="0" w:space="0" w:color="auto"/>
        <w:left w:val="none" w:sz="0" w:space="0" w:color="auto"/>
        <w:bottom w:val="none" w:sz="0" w:space="0" w:color="auto"/>
        <w:right w:val="none" w:sz="0" w:space="0" w:color="auto"/>
      </w:divBdr>
    </w:div>
    <w:div w:id="1050421404">
      <w:bodyDiv w:val="1"/>
      <w:marLeft w:val="0"/>
      <w:marRight w:val="0"/>
      <w:marTop w:val="0"/>
      <w:marBottom w:val="0"/>
      <w:divBdr>
        <w:top w:val="none" w:sz="0" w:space="0" w:color="auto"/>
        <w:left w:val="none" w:sz="0" w:space="0" w:color="auto"/>
        <w:bottom w:val="none" w:sz="0" w:space="0" w:color="auto"/>
        <w:right w:val="none" w:sz="0" w:space="0" w:color="auto"/>
      </w:divBdr>
    </w:div>
    <w:div w:id="1081371338">
      <w:bodyDiv w:val="1"/>
      <w:marLeft w:val="0"/>
      <w:marRight w:val="0"/>
      <w:marTop w:val="0"/>
      <w:marBottom w:val="0"/>
      <w:divBdr>
        <w:top w:val="none" w:sz="0" w:space="0" w:color="auto"/>
        <w:left w:val="none" w:sz="0" w:space="0" w:color="auto"/>
        <w:bottom w:val="none" w:sz="0" w:space="0" w:color="auto"/>
        <w:right w:val="none" w:sz="0" w:space="0" w:color="auto"/>
      </w:divBdr>
    </w:div>
    <w:div w:id="1092319787">
      <w:bodyDiv w:val="1"/>
      <w:marLeft w:val="0"/>
      <w:marRight w:val="0"/>
      <w:marTop w:val="0"/>
      <w:marBottom w:val="0"/>
      <w:divBdr>
        <w:top w:val="none" w:sz="0" w:space="0" w:color="auto"/>
        <w:left w:val="none" w:sz="0" w:space="0" w:color="auto"/>
        <w:bottom w:val="none" w:sz="0" w:space="0" w:color="auto"/>
        <w:right w:val="none" w:sz="0" w:space="0" w:color="auto"/>
      </w:divBdr>
    </w:div>
    <w:div w:id="1161578829">
      <w:bodyDiv w:val="1"/>
      <w:marLeft w:val="0"/>
      <w:marRight w:val="0"/>
      <w:marTop w:val="0"/>
      <w:marBottom w:val="0"/>
      <w:divBdr>
        <w:top w:val="none" w:sz="0" w:space="0" w:color="auto"/>
        <w:left w:val="none" w:sz="0" w:space="0" w:color="auto"/>
        <w:bottom w:val="none" w:sz="0" w:space="0" w:color="auto"/>
        <w:right w:val="none" w:sz="0" w:space="0" w:color="auto"/>
      </w:divBdr>
    </w:div>
    <w:div w:id="1278609139">
      <w:bodyDiv w:val="1"/>
      <w:marLeft w:val="0"/>
      <w:marRight w:val="0"/>
      <w:marTop w:val="0"/>
      <w:marBottom w:val="0"/>
      <w:divBdr>
        <w:top w:val="none" w:sz="0" w:space="0" w:color="auto"/>
        <w:left w:val="none" w:sz="0" w:space="0" w:color="auto"/>
        <w:bottom w:val="none" w:sz="0" w:space="0" w:color="auto"/>
        <w:right w:val="none" w:sz="0" w:space="0" w:color="auto"/>
      </w:divBdr>
    </w:div>
    <w:div w:id="1285192745">
      <w:bodyDiv w:val="1"/>
      <w:marLeft w:val="0"/>
      <w:marRight w:val="0"/>
      <w:marTop w:val="0"/>
      <w:marBottom w:val="0"/>
      <w:divBdr>
        <w:top w:val="none" w:sz="0" w:space="0" w:color="auto"/>
        <w:left w:val="none" w:sz="0" w:space="0" w:color="auto"/>
        <w:bottom w:val="none" w:sz="0" w:space="0" w:color="auto"/>
        <w:right w:val="none" w:sz="0" w:space="0" w:color="auto"/>
      </w:divBdr>
    </w:div>
    <w:div w:id="1366716132">
      <w:bodyDiv w:val="1"/>
      <w:marLeft w:val="0"/>
      <w:marRight w:val="0"/>
      <w:marTop w:val="0"/>
      <w:marBottom w:val="0"/>
      <w:divBdr>
        <w:top w:val="none" w:sz="0" w:space="0" w:color="auto"/>
        <w:left w:val="none" w:sz="0" w:space="0" w:color="auto"/>
        <w:bottom w:val="none" w:sz="0" w:space="0" w:color="auto"/>
        <w:right w:val="none" w:sz="0" w:space="0" w:color="auto"/>
      </w:divBdr>
      <w:divsChild>
        <w:div w:id="1971521285">
          <w:marLeft w:val="0"/>
          <w:marRight w:val="0"/>
          <w:marTop w:val="0"/>
          <w:marBottom w:val="0"/>
          <w:divBdr>
            <w:top w:val="none" w:sz="0" w:space="0" w:color="auto"/>
            <w:left w:val="none" w:sz="0" w:space="0" w:color="auto"/>
            <w:bottom w:val="none" w:sz="0" w:space="0" w:color="auto"/>
            <w:right w:val="none" w:sz="0" w:space="0" w:color="auto"/>
          </w:divBdr>
          <w:divsChild>
            <w:div w:id="446237032">
              <w:marLeft w:val="0"/>
              <w:marRight w:val="0"/>
              <w:marTop w:val="0"/>
              <w:marBottom w:val="0"/>
              <w:divBdr>
                <w:top w:val="none" w:sz="0" w:space="0" w:color="auto"/>
                <w:left w:val="none" w:sz="0" w:space="0" w:color="auto"/>
                <w:bottom w:val="none" w:sz="0" w:space="0" w:color="auto"/>
                <w:right w:val="none" w:sz="0" w:space="0" w:color="auto"/>
              </w:divBdr>
              <w:divsChild>
                <w:div w:id="967904091">
                  <w:marLeft w:val="0"/>
                  <w:marRight w:val="0"/>
                  <w:marTop w:val="0"/>
                  <w:marBottom w:val="0"/>
                  <w:divBdr>
                    <w:top w:val="none" w:sz="0" w:space="0" w:color="auto"/>
                    <w:left w:val="none" w:sz="0" w:space="0" w:color="auto"/>
                    <w:bottom w:val="none" w:sz="0" w:space="0" w:color="auto"/>
                    <w:right w:val="none" w:sz="0" w:space="0" w:color="auto"/>
                  </w:divBdr>
                  <w:divsChild>
                    <w:div w:id="6418127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15879049">
      <w:bodyDiv w:val="1"/>
      <w:marLeft w:val="0"/>
      <w:marRight w:val="0"/>
      <w:marTop w:val="0"/>
      <w:marBottom w:val="0"/>
      <w:divBdr>
        <w:top w:val="none" w:sz="0" w:space="0" w:color="auto"/>
        <w:left w:val="none" w:sz="0" w:space="0" w:color="auto"/>
        <w:bottom w:val="none" w:sz="0" w:space="0" w:color="auto"/>
        <w:right w:val="none" w:sz="0" w:space="0" w:color="auto"/>
      </w:divBdr>
    </w:div>
    <w:div w:id="1516581129">
      <w:bodyDiv w:val="1"/>
      <w:marLeft w:val="0"/>
      <w:marRight w:val="0"/>
      <w:marTop w:val="0"/>
      <w:marBottom w:val="0"/>
      <w:divBdr>
        <w:top w:val="none" w:sz="0" w:space="0" w:color="auto"/>
        <w:left w:val="none" w:sz="0" w:space="0" w:color="auto"/>
        <w:bottom w:val="none" w:sz="0" w:space="0" w:color="auto"/>
        <w:right w:val="none" w:sz="0" w:space="0" w:color="auto"/>
      </w:divBdr>
    </w:div>
    <w:div w:id="1658339041">
      <w:bodyDiv w:val="1"/>
      <w:marLeft w:val="0"/>
      <w:marRight w:val="0"/>
      <w:marTop w:val="0"/>
      <w:marBottom w:val="0"/>
      <w:divBdr>
        <w:top w:val="none" w:sz="0" w:space="0" w:color="auto"/>
        <w:left w:val="none" w:sz="0" w:space="0" w:color="auto"/>
        <w:bottom w:val="none" w:sz="0" w:space="0" w:color="auto"/>
        <w:right w:val="none" w:sz="0" w:space="0" w:color="auto"/>
      </w:divBdr>
    </w:div>
    <w:div w:id="1811480761">
      <w:bodyDiv w:val="1"/>
      <w:marLeft w:val="0"/>
      <w:marRight w:val="0"/>
      <w:marTop w:val="0"/>
      <w:marBottom w:val="0"/>
      <w:divBdr>
        <w:top w:val="none" w:sz="0" w:space="0" w:color="auto"/>
        <w:left w:val="none" w:sz="0" w:space="0" w:color="auto"/>
        <w:bottom w:val="none" w:sz="0" w:space="0" w:color="auto"/>
        <w:right w:val="none" w:sz="0" w:space="0" w:color="auto"/>
      </w:divBdr>
    </w:div>
    <w:div w:id="1853300915">
      <w:bodyDiv w:val="1"/>
      <w:marLeft w:val="0"/>
      <w:marRight w:val="0"/>
      <w:marTop w:val="0"/>
      <w:marBottom w:val="0"/>
      <w:divBdr>
        <w:top w:val="none" w:sz="0" w:space="0" w:color="auto"/>
        <w:left w:val="none" w:sz="0" w:space="0" w:color="auto"/>
        <w:bottom w:val="none" w:sz="0" w:space="0" w:color="auto"/>
        <w:right w:val="none" w:sz="0" w:space="0" w:color="auto"/>
      </w:divBdr>
    </w:div>
    <w:div w:id="1855680711">
      <w:bodyDiv w:val="1"/>
      <w:marLeft w:val="0"/>
      <w:marRight w:val="0"/>
      <w:marTop w:val="0"/>
      <w:marBottom w:val="0"/>
      <w:divBdr>
        <w:top w:val="none" w:sz="0" w:space="0" w:color="auto"/>
        <w:left w:val="none" w:sz="0" w:space="0" w:color="auto"/>
        <w:bottom w:val="none" w:sz="0" w:space="0" w:color="auto"/>
        <w:right w:val="none" w:sz="0" w:space="0" w:color="auto"/>
      </w:divBdr>
    </w:div>
    <w:div w:id="1868761039">
      <w:bodyDiv w:val="1"/>
      <w:marLeft w:val="0"/>
      <w:marRight w:val="0"/>
      <w:marTop w:val="0"/>
      <w:marBottom w:val="0"/>
      <w:divBdr>
        <w:top w:val="none" w:sz="0" w:space="0" w:color="auto"/>
        <w:left w:val="none" w:sz="0" w:space="0" w:color="auto"/>
        <w:bottom w:val="none" w:sz="0" w:space="0" w:color="auto"/>
        <w:right w:val="none" w:sz="0" w:space="0" w:color="auto"/>
      </w:divBdr>
    </w:div>
    <w:div w:id="2002855560">
      <w:bodyDiv w:val="1"/>
      <w:marLeft w:val="0"/>
      <w:marRight w:val="0"/>
      <w:marTop w:val="0"/>
      <w:marBottom w:val="0"/>
      <w:divBdr>
        <w:top w:val="none" w:sz="0" w:space="0" w:color="auto"/>
        <w:left w:val="none" w:sz="0" w:space="0" w:color="auto"/>
        <w:bottom w:val="none" w:sz="0" w:space="0" w:color="auto"/>
        <w:right w:val="none" w:sz="0" w:space="0" w:color="auto"/>
      </w:divBdr>
    </w:div>
    <w:div w:id="2049451966">
      <w:bodyDiv w:val="1"/>
      <w:marLeft w:val="0"/>
      <w:marRight w:val="0"/>
      <w:marTop w:val="0"/>
      <w:marBottom w:val="0"/>
      <w:divBdr>
        <w:top w:val="none" w:sz="0" w:space="0" w:color="auto"/>
        <w:left w:val="none" w:sz="0" w:space="0" w:color="auto"/>
        <w:bottom w:val="none" w:sz="0" w:space="0" w:color="auto"/>
        <w:right w:val="none" w:sz="0" w:space="0" w:color="auto"/>
      </w:divBdr>
    </w:div>
    <w:div w:id="2057311380">
      <w:bodyDiv w:val="1"/>
      <w:marLeft w:val="0"/>
      <w:marRight w:val="0"/>
      <w:marTop w:val="0"/>
      <w:marBottom w:val="0"/>
      <w:divBdr>
        <w:top w:val="none" w:sz="0" w:space="0" w:color="auto"/>
        <w:left w:val="none" w:sz="0" w:space="0" w:color="auto"/>
        <w:bottom w:val="none" w:sz="0" w:space="0" w:color="auto"/>
        <w:right w:val="none" w:sz="0" w:space="0" w:color="auto"/>
      </w:divBdr>
    </w:div>
    <w:div w:id="20689200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qualityhumanrights.com/sites/default/files/research_report_27_trans_research_review.pdf" TargetMode="External"/><Relationship Id="rId13" Type="http://schemas.openxmlformats.org/officeDocument/2006/relationships/hyperlink" Target="https://www.crimeandjustice.org.uk/men-have-no-place-women%E2%80%99s-prisons" TargetMode="External"/><Relationship Id="rId3" Type="http://schemas.openxmlformats.org/officeDocument/2006/relationships/styles" Target="styles.xml"/><Relationship Id="rId7" Type="http://schemas.openxmlformats.org/officeDocument/2006/relationships/hyperlink" Target="https://www.bbc.co.uk/news/uk-scotland-64388669" TargetMode="External"/><Relationship Id="rId12" Type="http://schemas.openxmlformats.org/officeDocument/2006/relationships/hyperlink" Target="https://www.independent.co.uk/news/uk/crime/police-accused-of-mocking-transgender-woman-during-arrest-8505650.html"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www.telegraph.co.uk/news/2024/02/24/government-figures-70-per-cent-of-transgender-prisoners-are/"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catch-22.org.uk/resources/the-challenges-of-being-transgender-in-prison/" TargetMode="External"/><Relationship Id="rId4" Type="http://schemas.openxmlformats.org/officeDocument/2006/relationships/settings" Target="settings.xml"/><Relationship Id="rId9" Type="http://schemas.openxmlformats.org/officeDocument/2006/relationships/hyperlink" Target="https://www.gov.uk/government/publications/the-care-and-management-of-individuals-who-are-transgender"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438E3CA-1EF4-3C4E-B3C2-3BA1D066F0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225</TotalTime>
  <Pages>14</Pages>
  <Words>3596</Words>
  <Characters>22550</Characters>
  <Application>Microsoft Office Word</Application>
  <DocSecurity>0</DocSecurity>
  <Lines>402</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Sadie Mason (2204171)</dc:creator>
  <cp:keywords/>
  <dc:description/>
  <cp:lastModifiedBy>Sadie Mason (2204171)</cp:lastModifiedBy>
  <cp:revision>17</cp:revision>
  <dcterms:created xsi:type="dcterms:W3CDTF">2025-02-07T21:01:00Z</dcterms:created>
  <dcterms:modified xsi:type="dcterms:W3CDTF">2025-03-07T10:12:00Z</dcterms:modified>
</cp:coreProperties>
</file>