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061BA" w14:textId="77777777" w:rsidR="00812108" w:rsidRDefault="00812108" w:rsidP="00812108">
      <w:pPr>
        <w:jc w:val="both"/>
        <w:rPr>
          <w:rFonts w:ascii="Arial" w:hAnsi="Arial" w:cs="Arial"/>
          <w:sz w:val="24"/>
        </w:rPr>
      </w:pPr>
      <w:r>
        <w:rPr>
          <w:rFonts w:ascii="Arial" w:hAnsi="Arial" w:cs="Arial"/>
          <w:sz w:val="24"/>
        </w:rPr>
        <w:t>BMPP5002D – PCDA Assignment 1</w:t>
      </w:r>
    </w:p>
    <w:p w14:paraId="37C206AB" w14:textId="77777777" w:rsidR="00812108" w:rsidRDefault="00812108" w:rsidP="00812108">
      <w:pPr>
        <w:jc w:val="both"/>
        <w:rPr>
          <w:rFonts w:ascii="Arial" w:hAnsi="Arial" w:cs="Arial"/>
          <w:sz w:val="24"/>
        </w:rPr>
      </w:pPr>
      <w:r>
        <w:rPr>
          <w:rFonts w:ascii="Arial" w:hAnsi="Arial" w:cs="Arial"/>
          <w:sz w:val="24"/>
        </w:rPr>
        <w:t>Jessica Thomas</w:t>
      </w:r>
    </w:p>
    <w:p w14:paraId="2986AFC1" w14:textId="77777777" w:rsidR="00812108" w:rsidRDefault="00812108" w:rsidP="00812108">
      <w:pPr>
        <w:jc w:val="both"/>
        <w:rPr>
          <w:rFonts w:ascii="Arial" w:hAnsi="Arial" w:cs="Arial"/>
          <w:sz w:val="24"/>
        </w:rPr>
      </w:pPr>
      <w:r>
        <w:rPr>
          <w:rFonts w:ascii="Arial" w:hAnsi="Arial" w:cs="Arial"/>
          <w:sz w:val="24"/>
        </w:rPr>
        <w:t>191068</w:t>
      </w:r>
    </w:p>
    <w:p w14:paraId="2F114C97" w14:textId="77777777" w:rsidR="00812108" w:rsidRDefault="00812108" w:rsidP="00DF0F22">
      <w:pPr>
        <w:jc w:val="both"/>
        <w:rPr>
          <w:rFonts w:ascii="Arial" w:hAnsi="Arial" w:cs="Arial"/>
          <w:sz w:val="24"/>
        </w:rPr>
      </w:pPr>
    </w:p>
    <w:p w14:paraId="45B40FA7" w14:textId="77777777" w:rsidR="00DF0F22" w:rsidRPr="00BE7F29" w:rsidRDefault="00DF0F22" w:rsidP="00DF0F22">
      <w:pPr>
        <w:jc w:val="both"/>
        <w:rPr>
          <w:rFonts w:ascii="Arial" w:hAnsi="Arial" w:cs="Arial"/>
          <w:sz w:val="24"/>
        </w:rPr>
      </w:pPr>
      <w:r w:rsidRPr="00BE7F29">
        <w:rPr>
          <w:rFonts w:ascii="Arial" w:hAnsi="Arial" w:cs="Arial"/>
          <w:sz w:val="24"/>
        </w:rPr>
        <w:t>Title 1: 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14:paraId="27C9487F" w14:textId="77777777" w:rsidR="00BE7F29" w:rsidRPr="002405C5" w:rsidRDefault="00BE7F29" w:rsidP="00BE7F29">
      <w:pPr>
        <w:jc w:val="both"/>
        <w:rPr>
          <w:rFonts w:ascii="Arial" w:hAnsi="Arial" w:cs="Arial"/>
          <w:sz w:val="24"/>
          <w:highlight w:val="yellow"/>
        </w:rPr>
      </w:pPr>
      <w:r w:rsidRPr="00BE7F29">
        <w:rPr>
          <w:rFonts w:ascii="Arial" w:hAnsi="Arial" w:cs="Arial"/>
          <w:sz w:val="24"/>
        </w:rPr>
        <w:t>“Public protection from sexual and violent offenders remains a high profile issue and in recent years there has been growing public and media concern over the effective management of high-risk offen</w:t>
      </w:r>
      <w:r>
        <w:rPr>
          <w:rFonts w:ascii="Arial" w:hAnsi="Arial" w:cs="Arial"/>
          <w:sz w:val="24"/>
        </w:rPr>
        <w:t>ders in the community” (Wood &amp; Kemshall</w:t>
      </w:r>
      <w:r w:rsidRPr="00BE7F29">
        <w:rPr>
          <w:rFonts w:ascii="Arial" w:hAnsi="Arial" w:cs="Arial"/>
          <w:sz w:val="24"/>
        </w:rPr>
        <w:t xml:space="preserve">, 2007). This essay analyses links between serious and organised crime and public protection issues, whilst assessing the role of Multi-Agency Public Protection Arrangements (MAPPA), its </w:t>
      </w:r>
      <w:r w:rsidRPr="003C4E39">
        <w:rPr>
          <w:rFonts w:ascii="Arial" w:hAnsi="Arial" w:cs="Arial"/>
          <w:sz w:val="24"/>
        </w:rPr>
        <w:t>impact and evaluating current public protection practices. It also considers the use of community intelligence in managing offenders and the effect media coverage has on public protection.</w:t>
      </w:r>
    </w:p>
    <w:p w14:paraId="6FEEE6E8" w14:textId="77777777" w:rsidR="00BE7F29" w:rsidRPr="00BE7F29" w:rsidRDefault="00BE7F29" w:rsidP="00BE7F29">
      <w:pPr>
        <w:jc w:val="both"/>
        <w:rPr>
          <w:rFonts w:ascii="Arial" w:hAnsi="Arial" w:cs="Arial"/>
          <w:sz w:val="24"/>
        </w:rPr>
      </w:pPr>
      <w:r w:rsidRPr="003C4E39">
        <w:rPr>
          <w:rFonts w:ascii="Arial" w:hAnsi="Arial" w:cs="Arial"/>
          <w:sz w:val="24"/>
        </w:rPr>
        <w:t xml:space="preserve">Serious and organised crime is </w:t>
      </w:r>
      <w:r w:rsidR="003C4E39" w:rsidRPr="003C4E39">
        <w:rPr>
          <w:rFonts w:ascii="Arial" w:hAnsi="Arial" w:cs="Arial"/>
          <w:sz w:val="24"/>
        </w:rPr>
        <w:t>strategic</w:t>
      </w:r>
      <w:r w:rsidRPr="003C4E39">
        <w:rPr>
          <w:rFonts w:ascii="Arial" w:hAnsi="Arial" w:cs="Arial"/>
          <w:sz w:val="24"/>
        </w:rPr>
        <w:t xml:space="preserve">, coordinated and committed by people working individually, in groups, or as part of transnational networks. The most </w:t>
      </w:r>
      <w:r w:rsidR="003C4E39" w:rsidRPr="003C4E39">
        <w:rPr>
          <w:rFonts w:ascii="Arial" w:hAnsi="Arial" w:cs="Arial"/>
          <w:sz w:val="24"/>
        </w:rPr>
        <w:t>dangerous</w:t>
      </w:r>
      <w:r w:rsidRPr="003C4E39">
        <w:rPr>
          <w:rFonts w:ascii="Arial" w:hAnsi="Arial" w:cs="Arial"/>
          <w:sz w:val="24"/>
        </w:rPr>
        <w:t xml:space="preserve"> serious and organised crimes can include </w:t>
      </w:r>
      <w:r w:rsidR="003C4E39" w:rsidRPr="003C4E39">
        <w:rPr>
          <w:rFonts w:ascii="Arial" w:hAnsi="Arial" w:cs="Arial"/>
          <w:sz w:val="24"/>
        </w:rPr>
        <w:t>human trafficking, modern slavery</w:t>
      </w:r>
      <w:r w:rsidRPr="003C4E39">
        <w:rPr>
          <w:rFonts w:ascii="Arial" w:hAnsi="Arial" w:cs="Arial"/>
          <w:sz w:val="24"/>
        </w:rPr>
        <w:t xml:space="preserve"> and child sexual exploitation. There are more than 4,500 organised crime groups identified in the UK who use violence and intimidation within communities to operate and prey on vulnerable people (The Comptroller &amp; Auditor General, 2019). A large amount of serious and organised crime remains hidden or underreported which creates greater risks for public protection. The</w:t>
      </w:r>
      <w:r w:rsidRPr="00BE7F29">
        <w:rPr>
          <w:rFonts w:ascii="Arial" w:hAnsi="Arial" w:cs="Arial"/>
          <w:sz w:val="24"/>
        </w:rPr>
        <w:t xml:space="preserve"> NCA’s National Strategic Assessment of Serious and Organised Crime (2019) found that the scale and complexity of organised crime was continuing to increase. </w:t>
      </w:r>
      <w:r w:rsidR="003C4E39" w:rsidRPr="003C4E39">
        <w:rPr>
          <w:rFonts w:ascii="Arial" w:hAnsi="Arial" w:cs="Arial"/>
          <w:sz w:val="24"/>
        </w:rPr>
        <w:t>Research</w:t>
      </w:r>
      <w:r w:rsidRPr="003C4E39">
        <w:rPr>
          <w:rFonts w:ascii="Arial" w:hAnsi="Arial" w:cs="Arial"/>
          <w:sz w:val="24"/>
        </w:rPr>
        <w:t xml:space="preserve"> data </w:t>
      </w:r>
      <w:r w:rsidR="003C4E39" w:rsidRPr="003C4E39">
        <w:rPr>
          <w:rFonts w:ascii="Arial" w:hAnsi="Arial" w:cs="Arial"/>
          <w:sz w:val="24"/>
        </w:rPr>
        <w:t xml:space="preserve">in the report </w:t>
      </w:r>
      <w:r w:rsidRPr="003C4E39">
        <w:rPr>
          <w:rFonts w:ascii="Arial" w:hAnsi="Arial" w:cs="Arial"/>
          <w:sz w:val="24"/>
        </w:rPr>
        <w:t>showed that 6,993 potential modern slavery and human trafficking victims were identified in 2018 and</w:t>
      </w:r>
      <w:r w:rsidRPr="00BE7F29">
        <w:rPr>
          <w:rFonts w:ascii="Arial" w:hAnsi="Arial" w:cs="Arial"/>
          <w:sz w:val="24"/>
        </w:rPr>
        <w:t xml:space="preserve"> sexual crimes against children increased 9% from 2017 to 2018, not including crimes involving indecent images. </w:t>
      </w:r>
    </w:p>
    <w:p w14:paraId="3B1D4A04" w14:textId="77777777" w:rsidR="00BE7F29" w:rsidRPr="00BE7F29" w:rsidRDefault="00BE7F29" w:rsidP="00BE7F29">
      <w:pPr>
        <w:jc w:val="both"/>
        <w:rPr>
          <w:rFonts w:ascii="Arial" w:hAnsi="Arial" w:cs="Arial"/>
          <w:sz w:val="24"/>
        </w:rPr>
      </w:pPr>
      <w:r w:rsidRPr="00BE7F29">
        <w:rPr>
          <w:rFonts w:ascii="Arial" w:hAnsi="Arial" w:cs="Arial"/>
          <w:sz w:val="24"/>
        </w:rPr>
        <w:t>The police strategy for managing and dealing with public protection issues is MAPPA. MAPPA is a process where the police, probation and prison services work together with other agencies to assess and manage violent and sexual offenders in order to protect the public from harm. It is a system of sharing information and combining resources enabling agencies involved to better discharge their responsibilities and protect the public in a coordinated way (HM Inspectorate of Probation and HM Inspectorate of Constabulary, 2015). MAPPA was introduced in 2001 under the Criminal Justice and Court Services Act 2000 and strengthened by the Criminal Justice Act 2003 when the Priso</w:t>
      </w:r>
      <w:r w:rsidR="003C4E39">
        <w:rPr>
          <w:rFonts w:ascii="Arial" w:hAnsi="Arial" w:cs="Arial"/>
          <w:sz w:val="24"/>
        </w:rPr>
        <w:t xml:space="preserve">n Service joined </w:t>
      </w:r>
      <w:r w:rsidRPr="00BE7F29">
        <w:rPr>
          <w:rFonts w:ascii="Arial" w:hAnsi="Arial" w:cs="Arial"/>
          <w:sz w:val="24"/>
        </w:rPr>
        <w:t xml:space="preserve">Probation Services </w:t>
      </w:r>
      <w:r w:rsidR="003C4E39">
        <w:rPr>
          <w:rFonts w:ascii="Arial" w:hAnsi="Arial" w:cs="Arial"/>
          <w:sz w:val="24"/>
        </w:rPr>
        <w:t xml:space="preserve">and the Police </w:t>
      </w:r>
      <w:r w:rsidRPr="00BE7F29">
        <w:rPr>
          <w:rFonts w:ascii="Arial" w:hAnsi="Arial" w:cs="Arial"/>
          <w:sz w:val="24"/>
        </w:rPr>
        <w:t xml:space="preserve">as another responsible authority (RA) (Peck, 2011). RAs for MAPPA are responsible for properly managing risks posed by qualifying offenders. Other agencies have a ‘Duty to Cooperate’ with RAs, including those covering areas such as education, employment, housing and social care (College of Policing, 2020). To be eligible for </w:t>
      </w:r>
      <w:r w:rsidRPr="00BE7F29">
        <w:rPr>
          <w:rFonts w:ascii="Arial" w:hAnsi="Arial" w:cs="Arial"/>
          <w:sz w:val="24"/>
        </w:rPr>
        <w:lastRenderedPageBreak/>
        <w:t>MAPPA, offenders must be in one of the three following categories. Category 1 is registered sex offenders, Category 2 is violent and other sexual offenders in receipt of 12 months or more imprisonment and Category 3 is other dangerous offender who do not meet the eligibility of Category 1 or 2 but are considered by RAs to pose a risk of harm to the public. Once categorised the offender is then allocated to one of three levels of management. RAs all work on the same National computer management system called VISOR, enabling the sharing of risk assessments and risk management information on individual violent and sex offenders. ViSOR is a secure database that holds details of all MAPPA offenders as well as, information on violent and potentially dangerous people (HM Inspectorate of Probation and HM Inspectorate of Constabulary, 2011).</w:t>
      </w:r>
    </w:p>
    <w:p w14:paraId="6DAD5F7B" w14:textId="77777777" w:rsidR="00BE7F29" w:rsidRPr="00BE7F29" w:rsidRDefault="00BE7F29" w:rsidP="00BE7F29">
      <w:pPr>
        <w:jc w:val="both"/>
        <w:rPr>
          <w:rFonts w:ascii="Arial" w:hAnsi="Arial" w:cs="Arial"/>
          <w:sz w:val="24"/>
        </w:rPr>
      </w:pPr>
      <w:r w:rsidRPr="00853C8A">
        <w:rPr>
          <w:rFonts w:ascii="Arial" w:hAnsi="Arial" w:cs="Arial"/>
          <w:sz w:val="24"/>
        </w:rPr>
        <w:t xml:space="preserve">The establishment and </w:t>
      </w:r>
      <w:r w:rsidR="00853C8A" w:rsidRPr="00853C8A">
        <w:rPr>
          <w:rFonts w:ascii="Arial" w:hAnsi="Arial" w:cs="Arial"/>
          <w:sz w:val="24"/>
        </w:rPr>
        <w:t>growth</w:t>
      </w:r>
      <w:r w:rsidRPr="00853C8A">
        <w:rPr>
          <w:rFonts w:ascii="Arial" w:hAnsi="Arial" w:cs="Arial"/>
          <w:sz w:val="24"/>
        </w:rPr>
        <w:t xml:space="preserve"> of MAPPA is one of the success stories of the criminal justice system. It has </w:t>
      </w:r>
      <w:r w:rsidR="00853C8A" w:rsidRPr="00853C8A">
        <w:rPr>
          <w:rFonts w:ascii="Arial" w:hAnsi="Arial" w:cs="Arial"/>
          <w:sz w:val="24"/>
        </w:rPr>
        <w:t>allowed</w:t>
      </w:r>
      <w:r w:rsidRPr="00853C8A">
        <w:rPr>
          <w:rFonts w:ascii="Arial" w:hAnsi="Arial" w:cs="Arial"/>
          <w:sz w:val="24"/>
        </w:rPr>
        <w:t xml:space="preserve"> criminal justice and other organisations to work together in a </w:t>
      </w:r>
      <w:r w:rsidR="00853C8A" w:rsidRPr="00853C8A">
        <w:rPr>
          <w:rFonts w:ascii="Arial" w:hAnsi="Arial" w:cs="Arial"/>
          <w:sz w:val="24"/>
        </w:rPr>
        <w:t>controlled</w:t>
      </w:r>
      <w:r w:rsidRPr="00853C8A">
        <w:rPr>
          <w:rFonts w:ascii="Arial" w:hAnsi="Arial" w:cs="Arial"/>
          <w:sz w:val="24"/>
        </w:rPr>
        <w:t xml:space="preserve"> way to improve public protection. An Inspection of MAPPA was conducted by HM Inspectorate of Probation and HM Inspectorate of Constabulary (2015) following their initial inspection in 2011. The report found that in three-quarters of cases, all reasonable action had been taken to keep the offender’s risk of harm to others to a minimum, most of the MAPPA offenders had not reoffended, good measures were being instituted to protect victims in most cases and cases were being managed at an appropriate level. However, the report also highlighted a total of 19 recommendations to areas where the processes were failing. Some of these were basic failings such as, the effective use of ViSOR, not keeping neighbourhood Police officers aware of registered sex offenders living locally and Police oversight at level 3 meetings being frequently delegated to Chief Inspectors attending as a replacement for Superintendents. However overall, this re-inspection found there had been measurable </w:t>
      </w:r>
      <w:r w:rsidR="00853C8A" w:rsidRPr="00853C8A">
        <w:rPr>
          <w:rFonts w:ascii="Arial" w:hAnsi="Arial" w:cs="Arial"/>
          <w:sz w:val="24"/>
        </w:rPr>
        <w:t>development</w:t>
      </w:r>
      <w:r w:rsidRPr="00853C8A">
        <w:rPr>
          <w:rFonts w:ascii="Arial" w:hAnsi="Arial" w:cs="Arial"/>
          <w:sz w:val="24"/>
        </w:rPr>
        <w:t xml:space="preserve"> in the quality of work </w:t>
      </w:r>
      <w:r w:rsidR="00853C8A" w:rsidRPr="00853C8A">
        <w:rPr>
          <w:rFonts w:ascii="Arial" w:hAnsi="Arial" w:cs="Arial"/>
          <w:sz w:val="24"/>
        </w:rPr>
        <w:t>carried out</w:t>
      </w:r>
      <w:r w:rsidRPr="00853C8A">
        <w:rPr>
          <w:rFonts w:ascii="Arial" w:hAnsi="Arial" w:cs="Arial"/>
          <w:sz w:val="24"/>
        </w:rPr>
        <w:t xml:space="preserve"> with MAPPA offenders</w:t>
      </w:r>
      <w:r w:rsidRPr="00BE7F29">
        <w:rPr>
          <w:rFonts w:ascii="Arial" w:hAnsi="Arial" w:cs="Arial"/>
          <w:sz w:val="24"/>
        </w:rPr>
        <w:t xml:space="preserve"> managed at level 2 and 3 compared with 2011. </w:t>
      </w:r>
    </w:p>
    <w:p w14:paraId="2F34DE55" w14:textId="77777777" w:rsidR="00BE7F29" w:rsidRPr="00BE7F29" w:rsidRDefault="00BE7F29" w:rsidP="00BE7F29">
      <w:pPr>
        <w:jc w:val="both"/>
        <w:rPr>
          <w:rFonts w:ascii="Arial" w:hAnsi="Arial" w:cs="Arial"/>
          <w:sz w:val="24"/>
        </w:rPr>
      </w:pPr>
      <w:r w:rsidRPr="00BE7F29">
        <w:rPr>
          <w:rFonts w:ascii="Arial" w:hAnsi="Arial" w:cs="Arial"/>
          <w:sz w:val="24"/>
        </w:rPr>
        <w:t>As more offenders are registered under MAPPA, collecting and disseminating information effectively becomes increasingly important. Community intelligence, Information sharing and partnership working is critical for MAPPA to be successful. Neighbourhood Policing teams (NPTS) are key contributors of local community information and intelligence as these officers often work in partnership with key community representatives allowing them to gather a range of information in their geogra</w:t>
      </w:r>
      <w:r>
        <w:rPr>
          <w:rFonts w:ascii="Arial" w:hAnsi="Arial" w:cs="Arial"/>
          <w:sz w:val="24"/>
        </w:rPr>
        <w:t xml:space="preserve">phic area (College of Policing, </w:t>
      </w:r>
      <w:r w:rsidRPr="00BE7F29">
        <w:rPr>
          <w:rFonts w:ascii="Arial" w:hAnsi="Arial" w:cs="Arial"/>
          <w:sz w:val="24"/>
        </w:rPr>
        <w:t>2020). Management of Sexual or Violent Offenders (MOSOVO) units should ensure that there are well-defined communications procedures with NPTs, informing them with relevant details of sexual and violent offenders in their geographic area. Intelligence and observations by these officers can be liaised back to MOSOVO to ensure offenders are compliant with the conditions placed upon them (College of Policing, 2020).</w:t>
      </w:r>
    </w:p>
    <w:p w14:paraId="1A42250B" w14:textId="77777777" w:rsidR="00BE7F29" w:rsidRPr="00BE7F29" w:rsidRDefault="00BE7F29" w:rsidP="00BE7F29">
      <w:pPr>
        <w:jc w:val="both"/>
        <w:rPr>
          <w:rFonts w:ascii="Arial" w:hAnsi="Arial" w:cs="Arial"/>
          <w:sz w:val="24"/>
        </w:rPr>
      </w:pPr>
      <w:r w:rsidRPr="00BE7F29">
        <w:rPr>
          <w:rFonts w:ascii="Arial" w:hAnsi="Arial" w:cs="Arial"/>
          <w:sz w:val="24"/>
        </w:rPr>
        <w:t xml:space="preserve">The media has a significant role in informing the public about news stories relating to social issues and has an influential role in improving policy and services. One case in particular where the media played an influential role on public protection and child protection in particular </w:t>
      </w:r>
      <w:r>
        <w:rPr>
          <w:rFonts w:ascii="Arial" w:hAnsi="Arial" w:cs="Arial"/>
          <w:sz w:val="24"/>
        </w:rPr>
        <w:t xml:space="preserve">was the case of Baby P (Elsley, </w:t>
      </w:r>
      <w:r w:rsidRPr="00BE7F29">
        <w:rPr>
          <w:rFonts w:ascii="Arial" w:hAnsi="Arial" w:cs="Arial"/>
          <w:sz w:val="24"/>
        </w:rPr>
        <w:t xml:space="preserve">2010). The death of Peter Connelly has become a reference point for child protection and the media coverage which began with such high intensity still exerts a powerful influence today. There were </w:t>
      </w:r>
      <w:r w:rsidRPr="00BE7F29">
        <w:rPr>
          <w:rFonts w:ascii="Arial" w:hAnsi="Arial" w:cs="Arial"/>
          <w:sz w:val="24"/>
        </w:rPr>
        <w:lastRenderedPageBreak/>
        <w:t>2832 mentions of the Baby P case in UK newspapers from November 2008 to November 2009 and exposed the very public nature of safeguarding and child protection. The media reporting identified numerous failings on the part of all agencies involved in the child protection process and highlighted the need for a more productive alliance</w:t>
      </w:r>
      <w:r>
        <w:rPr>
          <w:rFonts w:ascii="Arial" w:hAnsi="Arial" w:cs="Arial"/>
          <w:sz w:val="24"/>
        </w:rPr>
        <w:t xml:space="preserve"> between professionals (Elsley, </w:t>
      </w:r>
      <w:r w:rsidRPr="00BE7F29">
        <w:rPr>
          <w:rFonts w:ascii="Arial" w:hAnsi="Arial" w:cs="Arial"/>
          <w:sz w:val="24"/>
        </w:rPr>
        <w:t>2010).</w:t>
      </w:r>
    </w:p>
    <w:p w14:paraId="7693D961" w14:textId="77777777" w:rsidR="00BE7F29" w:rsidRPr="00BE7F29" w:rsidRDefault="00BE7F29" w:rsidP="00BE7F29">
      <w:pPr>
        <w:jc w:val="both"/>
        <w:rPr>
          <w:rFonts w:ascii="Arial" w:hAnsi="Arial" w:cs="Arial"/>
          <w:sz w:val="24"/>
        </w:rPr>
      </w:pPr>
      <w:r w:rsidRPr="00BE7F29">
        <w:rPr>
          <w:rFonts w:ascii="Arial" w:hAnsi="Arial" w:cs="Arial"/>
          <w:sz w:val="24"/>
        </w:rPr>
        <w:t xml:space="preserve">To conclude there are numerous ongoing issues with serious and organised crime which can be a challenge in managing public safety. Clearly MAPPA does go a long way in aiding and improving public safety however, due to the nature of ever-changing serious and organised crime this is often hard to manage and maintain. In the future we may see further influence from the media, driving policy changes and improvements from the government. </w:t>
      </w:r>
    </w:p>
    <w:p w14:paraId="21075BE5" w14:textId="77777777" w:rsidR="00BE7F29" w:rsidRPr="00BE7F29" w:rsidRDefault="003C4E39" w:rsidP="00DF0F22">
      <w:pPr>
        <w:jc w:val="both"/>
        <w:rPr>
          <w:rFonts w:ascii="Arial" w:hAnsi="Arial" w:cs="Arial"/>
          <w:sz w:val="24"/>
        </w:rPr>
      </w:pPr>
      <w:r>
        <w:rPr>
          <w:rFonts w:ascii="Arial" w:hAnsi="Arial" w:cs="Arial"/>
          <w:sz w:val="24"/>
        </w:rPr>
        <w:t>1085</w:t>
      </w:r>
      <w:r w:rsidR="00812108">
        <w:rPr>
          <w:rFonts w:ascii="Arial" w:hAnsi="Arial" w:cs="Arial"/>
          <w:sz w:val="24"/>
        </w:rPr>
        <w:t xml:space="preserve"> words.</w:t>
      </w:r>
    </w:p>
    <w:p w14:paraId="325D2B32" w14:textId="77777777" w:rsidR="00902B29" w:rsidRDefault="00902B29" w:rsidP="00BE7F29">
      <w:pPr>
        <w:jc w:val="both"/>
        <w:rPr>
          <w:rFonts w:ascii="Arial" w:hAnsi="Arial" w:cs="Arial"/>
          <w:sz w:val="24"/>
        </w:rPr>
      </w:pPr>
    </w:p>
    <w:p w14:paraId="3B4EF02F" w14:textId="77777777" w:rsidR="00BE7F29" w:rsidRDefault="00127A83" w:rsidP="00BE7F29">
      <w:pPr>
        <w:jc w:val="both"/>
        <w:rPr>
          <w:rFonts w:ascii="Arial" w:hAnsi="Arial" w:cs="Arial"/>
          <w:sz w:val="24"/>
        </w:rPr>
      </w:pPr>
      <w:r>
        <w:rPr>
          <w:rFonts w:ascii="Arial" w:hAnsi="Arial" w:cs="Arial"/>
          <w:sz w:val="24"/>
        </w:rPr>
        <w:t xml:space="preserve">Task 1 - </w:t>
      </w:r>
      <w:r w:rsidR="00BE7F29">
        <w:rPr>
          <w:rFonts w:ascii="Arial" w:hAnsi="Arial" w:cs="Arial"/>
          <w:sz w:val="24"/>
        </w:rPr>
        <w:t>References</w:t>
      </w:r>
    </w:p>
    <w:p w14:paraId="5E611ECD" w14:textId="77777777" w:rsidR="00BE7F29" w:rsidRPr="00BE7F29" w:rsidRDefault="00BE7F29" w:rsidP="00BE7F29">
      <w:pPr>
        <w:rPr>
          <w:rFonts w:ascii="Arial" w:hAnsi="Arial" w:cs="Arial"/>
          <w:sz w:val="24"/>
        </w:rPr>
      </w:pPr>
      <w:r w:rsidRPr="00BE7F29">
        <w:rPr>
          <w:rFonts w:ascii="Arial" w:hAnsi="Arial" w:cs="Arial"/>
          <w:sz w:val="24"/>
        </w:rPr>
        <w:t>College of Policing. (2020, January 30). College of Policing. Retrieved from Major investigation and public protection: Managing public protection information: https://www.app.college.police.uk/app-content/major-investigation-and-public-protection/managing-sexual-offenders-and-violent-offenders/managing-information/</w:t>
      </w:r>
    </w:p>
    <w:p w14:paraId="4EE7959C" w14:textId="77777777" w:rsidR="00BE7F29" w:rsidRPr="00BE7F29" w:rsidRDefault="00BE7F29" w:rsidP="00BE7F29">
      <w:pPr>
        <w:rPr>
          <w:rFonts w:ascii="Arial" w:hAnsi="Arial" w:cs="Arial"/>
          <w:sz w:val="24"/>
        </w:rPr>
      </w:pPr>
      <w:r w:rsidRPr="00BE7F29">
        <w:rPr>
          <w:rFonts w:ascii="Arial" w:hAnsi="Arial" w:cs="Arial"/>
          <w:sz w:val="24"/>
        </w:rPr>
        <w:t>College of Policing. (2020, January 21). Major investigation and public protection: Communication and media considerations. Retrieved from College of Policing: https://www.app.college.police.uk/app-content/major-investigation-and-public-protection/managing-sexual-offenders-and-violent-offenders/communication-and-media-considerations/</w:t>
      </w:r>
    </w:p>
    <w:p w14:paraId="2563542B" w14:textId="77777777" w:rsidR="00BE7F29" w:rsidRPr="00BE7F29" w:rsidRDefault="00BE7F29" w:rsidP="00BE7F29">
      <w:pPr>
        <w:rPr>
          <w:rFonts w:ascii="Arial" w:hAnsi="Arial" w:cs="Arial"/>
          <w:sz w:val="24"/>
        </w:rPr>
      </w:pPr>
      <w:r w:rsidRPr="00BE7F29">
        <w:rPr>
          <w:rFonts w:ascii="Arial" w:hAnsi="Arial" w:cs="Arial"/>
          <w:sz w:val="24"/>
        </w:rPr>
        <w:t>College of Policing. (2020, December 31). Major investigation and public protection: Introduction to managing sexual offenders and violent offenders. Retrieved from College of Policing: https://www.app.college.police.uk/app-content/major-investigation-and-public-protection/managing-sexual-offenders-and-violent-offenders/</w:t>
      </w:r>
    </w:p>
    <w:p w14:paraId="6EA0CEEF" w14:textId="77777777" w:rsidR="00BE7F29" w:rsidRPr="00BE7F29" w:rsidRDefault="00BE7F29" w:rsidP="00BE7F29">
      <w:pPr>
        <w:rPr>
          <w:rFonts w:ascii="Arial" w:hAnsi="Arial" w:cs="Arial"/>
          <w:sz w:val="24"/>
        </w:rPr>
      </w:pPr>
      <w:r w:rsidRPr="00BE7F29">
        <w:rPr>
          <w:rFonts w:ascii="Arial" w:hAnsi="Arial" w:cs="Arial"/>
          <w:sz w:val="24"/>
        </w:rPr>
        <w:t>Elsley, S. (2010, June 8). Media coverage of child deaths in the UK: The impact of Baby P: A case for influen</w:t>
      </w:r>
      <w:r w:rsidR="00902B29">
        <w:rPr>
          <w:rFonts w:ascii="Arial" w:hAnsi="Arial" w:cs="Arial"/>
          <w:sz w:val="24"/>
        </w:rPr>
        <w:t xml:space="preserve">ce? The University of Edinburgh &amp; </w:t>
      </w:r>
      <w:r w:rsidRPr="00BE7F29">
        <w:rPr>
          <w:rFonts w:ascii="Arial" w:hAnsi="Arial" w:cs="Arial"/>
          <w:sz w:val="24"/>
        </w:rPr>
        <w:t>NSPCC Child Protection Research Centre.</w:t>
      </w:r>
    </w:p>
    <w:p w14:paraId="2A2F9472" w14:textId="77777777" w:rsidR="00BE7F29" w:rsidRPr="00BE7F29" w:rsidRDefault="00BE7F29" w:rsidP="00BE7F29">
      <w:pPr>
        <w:rPr>
          <w:rFonts w:ascii="Arial" w:hAnsi="Arial" w:cs="Arial"/>
          <w:sz w:val="24"/>
        </w:rPr>
      </w:pPr>
      <w:r w:rsidRPr="00BE7F29">
        <w:rPr>
          <w:rFonts w:ascii="Arial" w:hAnsi="Arial" w:cs="Arial"/>
          <w:sz w:val="24"/>
        </w:rPr>
        <w:t>HM Inspectorate of Probation and HM Inspectorate of Constabulary. (2011, November). An inspection of Multi-Agency Public Protection Arrangements. Thematic Inspection Report: Putting the pieces together. Criminal Justice Joint Inspection.</w:t>
      </w:r>
    </w:p>
    <w:p w14:paraId="7E5EA95C" w14:textId="77777777" w:rsidR="00BE7F29" w:rsidRPr="00BE7F29" w:rsidRDefault="00BE7F29" w:rsidP="00BE7F29">
      <w:pPr>
        <w:rPr>
          <w:rFonts w:ascii="Arial" w:hAnsi="Arial" w:cs="Arial"/>
          <w:sz w:val="24"/>
        </w:rPr>
      </w:pPr>
      <w:r w:rsidRPr="00BE7F29">
        <w:rPr>
          <w:rFonts w:ascii="Arial" w:hAnsi="Arial" w:cs="Arial"/>
          <w:sz w:val="24"/>
        </w:rPr>
        <w:t>HM Inspectorate of Probation and HM Inspectorate of Constabulary. (2015). A follow-up inspection of Multi-Agency Public Protection Arrangements. Manchester: Her Majesty’s Inspectorate of Probation.</w:t>
      </w:r>
    </w:p>
    <w:p w14:paraId="1094275C" w14:textId="77777777" w:rsidR="00BE7F29" w:rsidRPr="00BE7F29" w:rsidRDefault="00BE7F29" w:rsidP="00BE7F29">
      <w:pPr>
        <w:rPr>
          <w:rFonts w:ascii="Arial" w:hAnsi="Arial" w:cs="Arial"/>
          <w:sz w:val="24"/>
        </w:rPr>
      </w:pPr>
      <w:r w:rsidRPr="00BE7F29">
        <w:rPr>
          <w:rFonts w:ascii="Arial" w:hAnsi="Arial" w:cs="Arial"/>
          <w:sz w:val="24"/>
        </w:rPr>
        <w:t>National Crime Agency. (2019). National Strategic Assessment of Serious and Organised Crime. Retrieved from https://nationalcrimeagency.gov.uk/who-we-</w:t>
      </w:r>
      <w:r w:rsidRPr="00BE7F29">
        <w:rPr>
          <w:rFonts w:ascii="Arial" w:hAnsi="Arial" w:cs="Arial"/>
          <w:sz w:val="24"/>
        </w:rPr>
        <w:lastRenderedPageBreak/>
        <w:t>are/publications/296-national-strategic-assessment-of-serious-organised-crime-2019/file</w:t>
      </w:r>
    </w:p>
    <w:p w14:paraId="1EB6AE7E" w14:textId="77777777" w:rsidR="00BE7F29" w:rsidRDefault="00BE7F29" w:rsidP="00BE7F29">
      <w:pPr>
        <w:rPr>
          <w:rFonts w:ascii="Arial" w:hAnsi="Arial" w:cs="Arial"/>
          <w:sz w:val="24"/>
        </w:rPr>
      </w:pPr>
      <w:r w:rsidRPr="00BE7F29">
        <w:rPr>
          <w:rFonts w:ascii="Arial" w:hAnsi="Arial" w:cs="Arial"/>
          <w:sz w:val="24"/>
        </w:rPr>
        <w:t>Peck, M. (2011). Patterns of reconviction among offenders eligible for Multi-Agency Public Protection Arrangements (MAPPA). Ministry of Justice.</w:t>
      </w:r>
    </w:p>
    <w:p w14:paraId="6150E8D8" w14:textId="77777777" w:rsidR="004A5CCF" w:rsidRPr="00BE7F29" w:rsidRDefault="004A5CCF" w:rsidP="00BE7F29">
      <w:pPr>
        <w:rPr>
          <w:rFonts w:ascii="Arial" w:hAnsi="Arial" w:cs="Arial"/>
          <w:sz w:val="24"/>
        </w:rPr>
      </w:pPr>
      <w:r w:rsidRPr="004A5CCF">
        <w:rPr>
          <w:rFonts w:ascii="Arial" w:hAnsi="Arial" w:cs="Arial"/>
          <w:sz w:val="24"/>
        </w:rPr>
        <w:t>The Comptroller &amp; Auditor General. (2019). Tackling serious and organised crime. London: National Audit Office.</w:t>
      </w:r>
    </w:p>
    <w:p w14:paraId="780194D6" w14:textId="77777777" w:rsidR="00BE7F29" w:rsidRPr="00BE7F29" w:rsidRDefault="00BE7F29" w:rsidP="00BE7F29">
      <w:pPr>
        <w:rPr>
          <w:rFonts w:ascii="Arial" w:hAnsi="Arial" w:cs="Arial"/>
          <w:sz w:val="24"/>
        </w:rPr>
      </w:pPr>
      <w:r w:rsidRPr="00BE7F29">
        <w:rPr>
          <w:rFonts w:ascii="Arial" w:hAnsi="Arial" w:cs="Arial"/>
          <w:sz w:val="24"/>
        </w:rPr>
        <w:t>Wood, J &amp; Kemshall, H. (2007). The operation and experience of Multi-Agency Public Protection Arrangements (MAPPA). London: Home Office.</w:t>
      </w:r>
    </w:p>
    <w:p w14:paraId="6FB7C4EF" w14:textId="77777777" w:rsidR="00BE7F29" w:rsidRPr="00BE7F29" w:rsidRDefault="00BE7F29" w:rsidP="00DF0F22">
      <w:pPr>
        <w:jc w:val="both"/>
        <w:rPr>
          <w:rFonts w:ascii="Arial" w:hAnsi="Arial" w:cs="Arial"/>
          <w:sz w:val="24"/>
        </w:rPr>
      </w:pPr>
    </w:p>
    <w:p w14:paraId="780AF3F1" w14:textId="77777777" w:rsidR="00BE7F29" w:rsidRPr="00BE7F29" w:rsidRDefault="00BE7F29" w:rsidP="00DF0F22">
      <w:pPr>
        <w:jc w:val="both"/>
        <w:rPr>
          <w:rFonts w:ascii="Arial" w:hAnsi="Arial" w:cs="Arial"/>
          <w:sz w:val="24"/>
        </w:rPr>
      </w:pPr>
    </w:p>
    <w:p w14:paraId="573D4CC6" w14:textId="77777777" w:rsidR="00BE7F29" w:rsidRDefault="00BE7F29" w:rsidP="00DF0F22">
      <w:pPr>
        <w:jc w:val="both"/>
        <w:rPr>
          <w:rFonts w:ascii="Arial" w:hAnsi="Arial" w:cs="Arial"/>
          <w:sz w:val="24"/>
        </w:rPr>
      </w:pPr>
    </w:p>
    <w:p w14:paraId="65B73B3E" w14:textId="77777777" w:rsidR="00BE7F29" w:rsidRDefault="00BE7F29" w:rsidP="00DF0F22">
      <w:pPr>
        <w:jc w:val="both"/>
        <w:rPr>
          <w:rFonts w:ascii="Arial" w:hAnsi="Arial" w:cs="Arial"/>
          <w:sz w:val="24"/>
        </w:rPr>
      </w:pPr>
    </w:p>
    <w:p w14:paraId="4168A845" w14:textId="77777777" w:rsidR="00BE7F29" w:rsidRDefault="00BE7F29" w:rsidP="00DF0F22">
      <w:pPr>
        <w:jc w:val="both"/>
        <w:rPr>
          <w:rFonts w:ascii="Arial" w:hAnsi="Arial" w:cs="Arial"/>
          <w:sz w:val="24"/>
        </w:rPr>
      </w:pPr>
    </w:p>
    <w:p w14:paraId="670C245F" w14:textId="77777777" w:rsidR="00BE7F29" w:rsidRDefault="00BE7F29" w:rsidP="00DF0F22">
      <w:pPr>
        <w:jc w:val="both"/>
        <w:rPr>
          <w:rFonts w:ascii="Arial" w:hAnsi="Arial" w:cs="Arial"/>
          <w:sz w:val="24"/>
        </w:rPr>
      </w:pPr>
    </w:p>
    <w:p w14:paraId="57DC5163" w14:textId="77777777" w:rsidR="00BE7F29" w:rsidRDefault="00BE7F29" w:rsidP="00DF0F22">
      <w:pPr>
        <w:jc w:val="both"/>
        <w:rPr>
          <w:rFonts w:ascii="Arial" w:hAnsi="Arial" w:cs="Arial"/>
          <w:sz w:val="24"/>
        </w:rPr>
      </w:pPr>
    </w:p>
    <w:p w14:paraId="3A2B2CFD" w14:textId="77777777" w:rsidR="00BE7F29" w:rsidRDefault="00BE7F29" w:rsidP="00DF0F22">
      <w:pPr>
        <w:jc w:val="both"/>
        <w:rPr>
          <w:rFonts w:ascii="Arial" w:hAnsi="Arial" w:cs="Arial"/>
          <w:sz w:val="24"/>
        </w:rPr>
      </w:pPr>
    </w:p>
    <w:p w14:paraId="2569C093" w14:textId="77777777" w:rsidR="00BE7F29" w:rsidRDefault="00BE7F29" w:rsidP="00DF0F22">
      <w:pPr>
        <w:jc w:val="both"/>
        <w:rPr>
          <w:rFonts w:ascii="Arial" w:hAnsi="Arial" w:cs="Arial"/>
          <w:sz w:val="24"/>
        </w:rPr>
      </w:pPr>
    </w:p>
    <w:p w14:paraId="650D98FF" w14:textId="77777777" w:rsidR="00BE7F29" w:rsidRDefault="00BE7F29" w:rsidP="00DF0F22">
      <w:pPr>
        <w:jc w:val="both"/>
        <w:rPr>
          <w:rFonts w:ascii="Arial" w:hAnsi="Arial" w:cs="Arial"/>
          <w:sz w:val="24"/>
        </w:rPr>
      </w:pPr>
    </w:p>
    <w:p w14:paraId="55B3676C" w14:textId="77777777" w:rsidR="00BE7F29" w:rsidRDefault="00BE7F29" w:rsidP="00DF0F22">
      <w:pPr>
        <w:jc w:val="both"/>
        <w:rPr>
          <w:rFonts w:ascii="Arial" w:hAnsi="Arial" w:cs="Arial"/>
          <w:sz w:val="24"/>
        </w:rPr>
      </w:pPr>
    </w:p>
    <w:p w14:paraId="5E936C94" w14:textId="77777777" w:rsidR="00BE7F29" w:rsidRDefault="00BE7F29" w:rsidP="00DF0F22">
      <w:pPr>
        <w:jc w:val="both"/>
        <w:rPr>
          <w:rFonts w:ascii="Arial" w:hAnsi="Arial" w:cs="Arial"/>
          <w:sz w:val="24"/>
        </w:rPr>
      </w:pPr>
    </w:p>
    <w:p w14:paraId="58B95B81" w14:textId="77777777" w:rsidR="00BE7F29" w:rsidRDefault="00BE7F29" w:rsidP="00DF0F22">
      <w:pPr>
        <w:jc w:val="both"/>
        <w:rPr>
          <w:rFonts w:ascii="Arial" w:hAnsi="Arial" w:cs="Arial"/>
          <w:sz w:val="24"/>
        </w:rPr>
      </w:pPr>
    </w:p>
    <w:p w14:paraId="59F859B9" w14:textId="77777777" w:rsidR="00BE7F29" w:rsidRDefault="00BE7F29" w:rsidP="00DF0F22">
      <w:pPr>
        <w:jc w:val="both"/>
        <w:rPr>
          <w:rFonts w:ascii="Arial" w:hAnsi="Arial" w:cs="Arial"/>
          <w:sz w:val="24"/>
        </w:rPr>
      </w:pPr>
    </w:p>
    <w:p w14:paraId="279703B2" w14:textId="77777777" w:rsidR="00BE7F29" w:rsidRDefault="00BE7F29" w:rsidP="00DF0F22">
      <w:pPr>
        <w:jc w:val="both"/>
        <w:rPr>
          <w:rFonts w:ascii="Arial" w:hAnsi="Arial" w:cs="Arial"/>
          <w:sz w:val="24"/>
        </w:rPr>
      </w:pPr>
    </w:p>
    <w:p w14:paraId="6775964F" w14:textId="77777777" w:rsidR="00BE7F29" w:rsidRDefault="00BE7F29" w:rsidP="00DF0F22">
      <w:pPr>
        <w:jc w:val="both"/>
        <w:rPr>
          <w:rFonts w:ascii="Arial" w:hAnsi="Arial" w:cs="Arial"/>
          <w:sz w:val="24"/>
        </w:rPr>
      </w:pPr>
    </w:p>
    <w:p w14:paraId="25143BF4" w14:textId="77777777" w:rsidR="00BE7F29" w:rsidRDefault="00BE7F29" w:rsidP="00DF0F22">
      <w:pPr>
        <w:jc w:val="both"/>
        <w:rPr>
          <w:rFonts w:ascii="Arial" w:hAnsi="Arial" w:cs="Arial"/>
          <w:sz w:val="24"/>
        </w:rPr>
      </w:pPr>
    </w:p>
    <w:p w14:paraId="144CBEA9" w14:textId="77777777" w:rsidR="00BE7F29" w:rsidRDefault="00BE7F29" w:rsidP="00DF0F22">
      <w:pPr>
        <w:jc w:val="both"/>
        <w:rPr>
          <w:rFonts w:ascii="Arial" w:hAnsi="Arial" w:cs="Arial"/>
          <w:sz w:val="24"/>
        </w:rPr>
      </w:pPr>
    </w:p>
    <w:p w14:paraId="5F3B03A7" w14:textId="77777777" w:rsidR="00BE7F29" w:rsidRDefault="00BE7F29" w:rsidP="00DF0F22">
      <w:pPr>
        <w:jc w:val="both"/>
        <w:rPr>
          <w:rFonts w:ascii="Arial" w:hAnsi="Arial" w:cs="Arial"/>
          <w:sz w:val="24"/>
        </w:rPr>
      </w:pPr>
    </w:p>
    <w:p w14:paraId="76080896" w14:textId="77777777" w:rsidR="00BE7F29" w:rsidRDefault="00BE7F29" w:rsidP="00DF0F22">
      <w:pPr>
        <w:jc w:val="both"/>
        <w:rPr>
          <w:rFonts w:ascii="Arial" w:hAnsi="Arial" w:cs="Arial"/>
          <w:sz w:val="24"/>
        </w:rPr>
      </w:pPr>
    </w:p>
    <w:p w14:paraId="2D3E6A6A" w14:textId="77777777" w:rsidR="00BE7F29" w:rsidRDefault="00BE7F29" w:rsidP="00DF0F22">
      <w:pPr>
        <w:jc w:val="both"/>
        <w:rPr>
          <w:rFonts w:ascii="Arial" w:hAnsi="Arial" w:cs="Arial"/>
          <w:sz w:val="24"/>
        </w:rPr>
      </w:pPr>
    </w:p>
    <w:p w14:paraId="4E852B2A" w14:textId="77777777" w:rsidR="00812108" w:rsidRDefault="00812108" w:rsidP="00DF0F22">
      <w:pPr>
        <w:jc w:val="both"/>
        <w:rPr>
          <w:rFonts w:ascii="Arial" w:hAnsi="Arial" w:cs="Arial"/>
          <w:sz w:val="24"/>
        </w:rPr>
      </w:pPr>
    </w:p>
    <w:p w14:paraId="65D5CF1C" w14:textId="77777777" w:rsidR="00DF0F22" w:rsidRPr="00BE7F29" w:rsidRDefault="00DF0F22" w:rsidP="00DF0F22">
      <w:pPr>
        <w:jc w:val="both"/>
        <w:rPr>
          <w:rFonts w:ascii="Arial" w:hAnsi="Arial" w:cs="Arial"/>
          <w:sz w:val="24"/>
        </w:rPr>
      </w:pPr>
      <w:r w:rsidRPr="00BE7F29">
        <w:rPr>
          <w:rFonts w:ascii="Arial" w:hAnsi="Arial" w:cs="Arial"/>
          <w:sz w:val="24"/>
        </w:rPr>
        <w:lastRenderedPageBreak/>
        <w:t>Title 2: Analyse the role of professional standards and independent bodies such as the IOPC or HMICFRS in holding the police accountable to the public and the impact of malpractice and corruption on policing using examples to support your argument.</w:t>
      </w:r>
    </w:p>
    <w:p w14:paraId="567751BE" w14:textId="77777777" w:rsidR="004A5CCF" w:rsidRPr="004A5CCF" w:rsidRDefault="004A5CCF" w:rsidP="004A5CCF">
      <w:pPr>
        <w:jc w:val="both"/>
        <w:rPr>
          <w:rFonts w:ascii="Arial" w:hAnsi="Arial" w:cs="Arial"/>
          <w:sz w:val="24"/>
        </w:rPr>
      </w:pPr>
      <w:r w:rsidRPr="004A5CCF">
        <w:rPr>
          <w:rFonts w:ascii="Arial" w:hAnsi="Arial" w:cs="Arial"/>
          <w:sz w:val="24"/>
        </w:rPr>
        <w:t xml:space="preserve">The actions of police officers are governed by the ten standards of professional behaviour which focus heavily on the importance of public support and respect. While the majority of people in policing act with honesty and integrity, any unprofessional behaviour diminishes the service provided to the public and harms the profession’s reputation (College of Policing, 2014). This essay analyses the role of professional standard’s and independent bodies such as the Independent Office for Police Conduct (IOPC) in holding the police accountable to the public as well as the impact of malpractice and corruption on policing.  </w:t>
      </w:r>
    </w:p>
    <w:p w14:paraId="3A87C76E" w14:textId="77777777" w:rsidR="004A5CCF" w:rsidRPr="004A5CCF" w:rsidRDefault="004A5CCF" w:rsidP="004A5CCF">
      <w:pPr>
        <w:jc w:val="both"/>
        <w:rPr>
          <w:rFonts w:ascii="Arial" w:hAnsi="Arial" w:cs="Arial"/>
          <w:sz w:val="24"/>
        </w:rPr>
      </w:pPr>
      <w:r w:rsidRPr="004A5CCF">
        <w:rPr>
          <w:rFonts w:ascii="Arial" w:hAnsi="Arial" w:cs="Arial"/>
          <w:sz w:val="24"/>
        </w:rPr>
        <w:t xml:space="preserve">Allegations concerning the conduct of a Police officer fall into one of two categories, conduct matters and complaint matters. Conduct matters are concern allegations made against officers by a colleague and complaint allegations are allegations made by a member of the public (Bryant &amp; Bryant 2019). The investigations of complaints against police are managed by two bodies, force Professional Standards Departments (PSDs) and the IOPC. </w:t>
      </w:r>
      <w:r w:rsidR="003C4E39" w:rsidRPr="003C4E39">
        <w:rPr>
          <w:rFonts w:ascii="Arial" w:hAnsi="Arial" w:cs="Arial"/>
          <w:sz w:val="24"/>
        </w:rPr>
        <w:t>PSDs play a</w:t>
      </w:r>
      <w:r w:rsidRPr="003C4E39">
        <w:rPr>
          <w:rFonts w:ascii="Arial" w:hAnsi="Arial" w:cs="Arial"/>
          <w:sz w:val="24"/>
        </w:rPr>
        <w:t xml:space="preserve"> </w:t>
      </w:r>
      <w:r w:rsidR="003C4E39" w:rsidRPr="003C4E39">
        <w:rPr>
          <w:rFonts w:ascii="Arial" w:hAnsi="Arial" w:cs="Arial"/>
          <w:sz w:val="24"/>
        </w:rPr>
        <w:t>significant</w:t>
      </w:r>
      <w:r w:rsidRPr="003C4E39">
        <w:rPr>
          <w:rFonts w:ascii="Arial" w:hAnsi="Arial" w:cs="Arial"/>
          <w:sz w:val="24"/>
        </w:rPr>
        <w:t xml:space="preserve"> role in the </w:t>
      </w:r>
      <w:r w:rsidR="003C4E39" w:rsidRPr="003C4E39">
        <w:rPr>
          <w:rFonts w:ascii="Arial" w:hAnsi="Arial" w:cs="Arial"/>
          <w:sz w:val="24"/>
        </w:rPr>
        <w:t>upkeep</w:t>
      </w:r>
      <w:r w:rsidRPr="003C4E39">
        <w:rPr>
          <w:rFonts w:ascii="Arial" w:hAnsi="Arial" w:cs="Arial"/>
          <w:sz w:val="24"/>
        </w:rPr>
        <w:t xml:space="preserve"> of the public’s trust and confidence in the Police. Trust can be </w:t>
      </w:r>
      <w:r w:rsidR="003C4E39" w:rsidRPr="003C4E39">
        <w:rPr>
          <w:rFonts w:ascii="Arial" w:hAnsi="Arial" w:cs="Arial"/>
          <w:sz w:val="24"/>
        </w:rPr>
        <w:t>weakened</w:t>
      </w:r>
      <w:r w:rsidRPr="003C4E39">
        <w:rPr>
          <w:rFonts w:ascii="Arial" w:hAnsi="Arial" w:cs="Arial"/>
          <w:sz w:val="24"/>
        </w:rPr>
        <w:t xml:space="preserve"> by failure to manage misconduct and complaints effectively therefore, it’s essential that such issues are dealt with openly and in accordance with the Code of Ethics. PSD is responsible for investigating complaints and allegations of misconduct against</w:t>
      </w:r>
      <w:r w:rsidRPr="004A5CCF">
        <w:rPr>
          <w:rFonts w:ascii="Arial" w:hAnsi="Arial" w:cs="Arial"/>
          <w:sz w:val="24"/>
        </w:rPr>
        <w:t xml:space="preserve"> officers and staff. It receives, records, investigates and resolves public complaints and misconduct allegations. Professional standards consist of Counter corruption, vetting, complaints and misconduct and governance. The main purposes of PSDs is to maintain public confidence, uphold high standards of policing and deter misconduct (College of Policing, 2015).</w:t>
      </w:r>
    </w:p>
    <w:p w14:paraId="05FAA5E6" w14:textId="77777777" w:rsidR="004A5CCF" w:rsidRPr="004A5CCF" w:rsidRDefault="004A5CCF" w:rsidP="004A5CCF">
      <w:pPr>
        <w:jc w:val="both"/>
        <w:rPr>
          <w:rFonts w:ascii="Arial" w:hAnsi="Arial" w:cs="Arial"/>
          <w:sz w:val="24"/>
        </w:rPr>
      </w:pPr>
      <w:r w:rsidRPr="004A5CCF">
        <w:rPr>
          <w:rFonts w:ascii="Arial" w:hAnsi="Arial" w:cs="Arial"/>
          <w:sz w:val="24"/>
        </w:rPr>
        <w:t xml:space="preserve">Investigations and complaints into more serious matters will involve the IOPC, who is an independent body responsible for investigating and overseeing complaints against Police in England and Wales. The IOPC was set up in January 2018 taking over the Independent Police Complaints Commission (IPCC) following the Policing and Crime Act 2017 (GOV.UK, 2018). Unlike the IPCC, the IOPC now has the power to initiate investigations without the need of a referral from a force. When the IOPC receives a referral from a police force the IOPC assessment unit reviews the information and decide if the matter requires an investigation and if so what type. There are four different types of investigations, local, supervised, managed, and independent. The more serious the matter, the greater level of direct IOPC involvement.  An IOPC supervised investigation are when the investigation is conducted and controlled by the police but is supervised by the IOPC. An IOPC managed investigation takes place </w:t>
      </w:r>
      <w:r w:rsidRPr="003C4E39">
        <w:rPr>
          <w:rFonts w:ascii="Arial" w:hAnsi="Arial" w:cs="Arial"/>
          <w:sz w:val="24"/>
        </w:rPr>
        <w:t xml:space="preserve">when the alleged incident is more </w:t>
      </w:r>
      <w:r w:rsidR="003C4E39" w:rsidRPr="003C4E39">
        <w:rPr>
          <w:rFonts w:ascii="Arial" w:hAnsi="Arial" w:cs="Arial"/>
          <w:sz w:val="24"/>
        </w:rPr>
        <w:t>severe</w:t>
      </w:r>
      <w:r w:rsidRPr="003C4E39">
        <w:rPr>
          <w:rFonts w:ascii="Arial" w:hAnsi="Arial" w:cs="Arial"/>
          <w:sz w:val="24"/>
        </w:rPr>
        <w:t xml:space="preserve"> and likely to cause </w:t>
      </w:r>
      <w:r w:rsidR="003C4E39" w:rsidRPr="003C4E39">
        <w:rPr>
          <w:rFonts w:ascii="Arial" w:hAnsi="Arial" w:cs="Arial"/>
          <w:sz w:val="24"/>
        </w:rPr>
        <w:t>advanced</w:t>
      </w:r>
      <w:r w:rsidRPr="003C4E39">
        <w:rPr>
          <w:rFonts w:ascii="Arial" w:hAnsi="Arial" w:cs="Arial"/>
          <w:sz w:val="24"/>
        </w:rPr>
        <w:t xml:space="preserve"> levels of public concern. Therefore these investigations must allow an independent element and the IOPC direct and control the process whilst the police conduct the investigation (Bryant &amp; Bryant 2019). Finally an independent IOPC investigation is used for incidents that poses serious risk to the reputation of the</w:t>
      </w:r>
      <w:r w:rsidRPr="004A5CCF">
        <w:rPr>
          <w:rFonts w:ascii="Arial" w:hAnsi="Arial" w:cs="Arial"/>
          <w:sz w:val="24"/>
        </w:rPr>
        <w:t xml:space="preserve"> police force or may cause the greatest level of public concern. This requires an entirely independent investigation by IOPC staff only. </w:t>
      </w:r>
    </w:p>
    <w:p w14:paraId="7BBB2159" w14:textId="77777777" w:rsidR="004A5CCF" w:rsidRPr="004A5CCF" w:rsidRDefault="004A5CCF" w:rsidP="00582FEA">
      <w:pPr>
        <w:jc w:val="both"/>
        <w:rPr>
          <w:rFonts w:ascii="Arial" w:hAnsi="Arial" w:cs="Arial"/>
          <w:sz w:val="24"/>
        </w:rPr>
      </w:pPr>
      <w:r w:rsidRPr="004A5CCF">
        <w:rPr>
          <w:rFonts w:ascii="Arial" w:hAnsi="Arial" w:cs="Arial"/>
          <w:sz w:val="24"/>
        </w:rPr>
        <w:lastRenderedPageBreak/>
        <w:t xml:space="preserve">There have been many highly reported investigations conducted PSDs and the IOPC, where Police officers have acted with incompetence causing huge levels of public concern. One example being the IOPC investigation into the Stephen Lawrence investigation. </w:t>
      </w:r>
      <w:r w:rsidR="00582FEA" w:rsidRPr="00582FEA">
        <w:rPr>
          <w:rFonts w:ascii="Arial" w:hAnsi="Arial" w:cs="Arial"/>
          <w:sz w:val="24"/>
        </w:rPr>
        <w:t>The Macpherson Report was published in 1999 and concluded</w:t>
      </w:r>
      <w:r w:rsidRPr="00582FEA">
        <w:rPr>
          <w:rFonts w:ascii="Arial" w:hAnsi="Arial" w:cs="Arial"/>
          <w:sz w:val="24"/>
        </w:rPr>
        <w:t xml:space="preserve"> </w:t>
      </w:r>
      <w:r w:rsidR="00582FEA" w:rsidRPr="00582FEA">
        <w:rPr>
          <w:rFonts w:ascii="Arial" w:hAnsi="Arial" w:cs="Arial"/>
          <w:sz w:val="24"/>
        </w:rPr>
        <w:t xml:space="preserve">the </w:t>
      </w:r>
      <w:r w:rsidRPr="00582FEA">
        <w:rPr>
          <w:rFonts w:ascii="Arial" w:hAnsi="Arial" w:cs="Arial"/>
          <w:sz w:val="24"/>
        </w:rPr>
        <w:t xml:space="preserve">initial </w:t>
      </w:r>
      <w:r w:rsidR="00582FEA" w:rsidRPr="00582FEA">
        <w:rPr>
          <w:rFonts w:ascii="Arial" w:hAnsi="Arial" w:cs="Arial"/>
          <w:sz w:val="24"/>
        </w:rPr>
        <w:t>inquiry to identify Stephen Lawrence’s killer was</w:t>
      </w:r>
      <w:r w:rsidRPr="00582FEA">
        <w:rPr>
          <w:rFonts w:ascii="Arial" w:hAnsi="Arial" w:cs="Arial"/>
          <w:sz w:val="24"/>
        </w:rPr>
        <w:t xml:space="preserve"> hampered by incompetence and "institutional racism" in the Metropolitan Police. The IOPC inquiry launched in 2014 was initially </w:t>
      </w:r>
      <w:r w:rsidR="00582FEA" w:rsidRPr="00582FEA">
        <w:rPr>
          <w:rFonts w:ascii="Arial" w:hAnsi="Arial" w:cs="Arial"/>
          <w:sz w:val="24"/>
        </w:rPr>
        <w:t xml:space="preserve">set up to investigate whether one officer who dealt with the original case had acted corruptly </w:t>
      </w:r>
      <w:r w:rsidRPr="00582FEA">
        <w:rPr>
          <w:rFonts w:ascii="Arial" w:hAnsi="Arial" w:cs="Arial"/>
          <w:sz w:val="24"/>
        </w:rPr>
        <w:t>however, investigators found no indication of corruption in that case. Other</w:t>
      </w:r>
      <w:r w:rsidRPr="004A5CCF">
        <w:rPr>
          <w:rFonts w:ascii="Arial" w:hAnsi="Arial" w:cs="Arial"/>
          <w:sz w:val="24"/>
        </w:rPr>
        <w:t xml:space="preserve"> </w:t>
      </w:r>
      <w:r w:rsidRPr="00582FEA">
        <w:rPr>
          <w:rFonts w:ascii="Arial" w:hAnsi="Arial" w:cs="Arial"/>
          <w:sz w:val="24"/>
        </w:rPr>
        <w:t xml:space="preserve">evidence </w:t>
      </w:r>
      <w:r w:rsidR="00582FEA" w:rsidRPr="00582FEA">
        <w:rPr>
          <w:rFonts w:ascii="Arial" w:hAnsi="Arial" w:cs="Arial"/>
          <w:sz w:val="24"/>
        </w:rPr>
        <w:t>uncovered</w:t>
      </w:r>
      <w:r w:rsidRPr="00582FEA">
        <w:rPr>
          <w:rFonts w:ascii="Arial" w:hAnsi="Arial" w:cs="Arial"/>
          <w:sz w:val="24"/>
        </w:rPr>
        <w:t xml:space="preserve"> during the inquiry</w:t>
      </w:r>
      <w:r w:rsidRPr="004A5CCF">
        <w:rPr>
          <w:rFonts w:ascii="Arial" w:hAnsi="Arial" w:cs="Arial"/>
          <w:sz w:val="24"/>
        </w:rPr>
        <w:t xml:space="preserve"> however, which led the IOPC asking t</w:t>
      </w:r>
      <w:r w:rsidR="00582FEA">
        <w:rPr>
          <w:rFonts w:ascii="Arial" w:hAnsi="Arial" w:cs="Arial"/>
          <w:sz w:val="24"/>
        </w:rPr>
        <w:t>he Metropolitan Police to refer</w:t>
      </w:r>
      <w:r w:rsidRPr="004A5CCF">
        <w:rPr>
          <w:rFonts w:ascii="Arial" w:hAnsi="Arial" w:cs="Arial"/>
          <w:sz w:val="24"/>
        </w:rPr>
        <w:t xml:space="preserve"> four other officers. The National Crime Agency interviewed more than 150 people on behalf of the IOPC, including serving and former police officers, staff involved in the original murder inquiry, and relevant witnesses (BBC, 2020). Following the 6 year enquiry into whether corruption played a part in the failure of the original investigation, the IOPC came to the conclusion that four former officers may have committed the offence of misconduct in public office in relation to their actions during the Stephen Lawrence enquiry. </w:t>
      </w:r>
      <w:r w:rsidR="00582FEA" w:rsidRPr="00582FEA">
        <w:rPr>
          <w:rFonts w:ascii="Arial" w:hAnsi="Arial" w:cs="Arial"/>
          <w:sz w:val="24"/>
        </w:rPr>
        <w:t>T</w:t>
      </w:r>
      <w:r w:rsidRPr="00582FEA">
        <w:rPr>
          <w:rFonts w:ascii="Arial" w:hAnsi="Arial" w:cs="Arial"/>
          <w:sz w:val="24"/>
        </w:rPr>
        <w:t xml:space="preserve">he IOPC </w:t>
      </w:r>
      <w:r w:rsidR="00582FEA" w:rsidRPr="00582FEA">
        <w:rPr>
          <w:rFonts w:ascii="Arial" w:hAnsi="Arial" w:cs="Arial"/>
          <w:sz w:val="24"/>
        </w:rPr>
        <w:t>therefore, sent a</w:t>
      </w:r>
      <w:r w:rsidRPr="00582FEA">
        <w:rPr>
          <w:rFonts w:ascii="Arial" w:hAnsi="Arial" w:cs="Arial"/>
          <w:sz w:val="24"/>
        </w:rPr>
        <w:t xml:space="preserve"> file of evidence to the Crown Prosecution Service to </w:t>
      </w:r>
      <w:r w:rsidR="00582FEA" w:rsidRPr="00582FEA">
        <w:rPr>
          <w:rFonts w:ascii="Arial" w:hAnsi="Arial" w:cs="Arial"/>
          <w:sz w:val="24"/>
        </w:rPr>
        <w:t xml:space="preserve">allow </w:t>
      </w:r>
      <w:r w:rsidRPr="00582FEA">
        <w:rPr>
          <w:rFonts w:ascii="Arial" w:hAnsi="Arial" w:cs="Arial"/>
          <w:sz w:val="24"/>
        </w:rPr>
        <w:t xml:space="preserve">them to </w:t>
      </w:r>
      <w:r w:rsidR="00582FEA" w:rsidRPr="00582FEA">
        <w:rPr>
          <w:rFonts w:ascii="Arial" w:hAnsi="Arial" w:cs="Arial"/>
          <w:sz w:val="24"/>
        </w:rPr>
        <w:t>decide</w:t>
      </w:r>
      <w:r w:rsidRPr="00582FEA">
        <w:rPr>
          <w:rFonts w:ascii="Arial" w:hAnsi="Arial" w:cs="Arial"/>
          <w:sz w:val="24"/>
        </w:rPr>
        <w:t xml:space="preserve"> whether charges should </w:t>
      </w:r>
      <w:r w:rsidR="00582FEA" w:rsidRPr="00582FEA">
        <w:rPr>
          <w:rFonts w:ascii="Arial" w:hAnsi="Arial" w:cs="Arial"/>
          <w:sz w:val="24"/>
        </w:rPr>
        <w:t>made</w:t>
      </w:r>
      <w:r w:rsidR="00582FEA">
        <w:rPr>
          <w:rFonts w:ascii="Arial" w:hAnsi="Arial" w:cs="Arial"/>
          <w:sz w:val="24"/>
        </w:rPr>
        <w:t xml:space="preserve"> and if so, for whom</w:t>
      </w:r>
      <w:r w:rsidRPr="00582FEA">
        <w:rPr>
          <w:rFonts w:ascii="Arial" w:hAnsi="Arial" w:cs="Arial"/>
          <w:sz w:val="24"/>
        </w:rPr>
        <w:t xml:space="preserve"> (Thompson</w:t>
      </w:r>
      <w:r w:rsidRPr="004A5CCF">
        <w:rPr>
          <w:rFonts w:ascii="Arial" w:hAnsi="Arial" w:cs="Arial"/>
          <w:sz w:val="24"/>
        </w:rPr>
        <w:t xml:space="preserve">, 2020). </w:t>
      </w:r>
    </w:p>
    <w:p w14:paraId="54FB4765" w14:textId="77777777" w:rsidR="004A5CCF" w:rsidRPr="004A5CCF" w:rsidRDefault="004A5CCF" w:rsidP="004A5CCF">
      <w:pPr>
        <w:jc w:val="both"/>
        <w:rPr>
          <w:rFonts w:ascii="Arial" w:hAnsi="Arial" w:cs="Arial"/>
          <w:sz w:val="24"/>
        </w:rPr>
      </w:pPr>
      <w:r w:rsidRPr="004A5CCF">
        <w:rPr>
          <w:rFonts w:ascii="Arial" w:hAnsi="Arial" w:cs="Arial"/>
          <w:sz w:val="24"/>
        </w:rPr>
        <w:t>Another example whereby Police officers were held accountable for misconduct was the IPCC investigation into the 1989 Hillsborough disaster. The investigation began in 2012, prior to the IPCC’s establishment into the IOPC and was one of two criminal investigations conduc</w:t>
      </w:r>
      <w:r w:rsidRPr="003C4E39">
        <w:rPr>
          <w:rFonts w:ascii="Arial" w:hAnsi="Arial" w:cs="Arial"/>
          <w:sz w:val="24"/>
        </w:rPr>
        <w:t xml:space="preserve">ted following the Hillsborough Independent Panel’s Report. The Hillsborough investigation was the </w:t>
      </w:r>
      <w:r w:rsidR="003C4E39" w:rsidRPr="003C4E39">
        <w:rPr>
          <w:rFonts w:ascii="Arial" w:hAnsi="Arial" w:cs="Arial"/>
          <w:sz w:val="24"/>
        </w:rPr>
        <w:t>largest</w:t>
      </w:r>
      <w:r w:rsidRPr="004A5CCF">
        <w:rPr>
          <w:rFonts w:ascii="Arial" w:hAnsi="Arial" w:cs="Arial"/>
          <w:sz w:val="24"/>
        </w:rPr>
        <w:t xml:space="preserve"> criminal investigation into alleged police misconduct ever conducted in England and Wales (Independent Office for Police Conduct, 2018). Their investigation looked into at least 10,000 lines of enquiry, took 120 survivor complaints and at least 4,000 statements which led to three former senior South Yorkshire Police officers and a solicitor who represent the force being charged with criminal offences. These officers included former Chief Superintendent Donald Denton, former Detective Chief Inspector Alan Foster who were charged with intent to pervert the course of justice, Sir Norman Bettison a former Chief Inspector and Superintendent who was charged with misconduct in a public office and Peter Metcalf was charged with doing acts with intent to pervert the course of justice (Worley, 2017). The second criminal investigation was Operation Resolve, </w:t>
      </w:r>
      <w:r w:rsidRPr="003C4E39">
        <w:rPr>
          <w:rFonts w:ascii="Arial" w:hAnsi="Arial" w:cs="Arial"/>
          <w:sz w:val="24"/>
        </w:rPr>
        <w:t xml:space="preserve">which </w:t>
      </w:r>
      <w:r w:rsidR="003C4E39" w:rsidRPr="003C4E39">
        <w:rPr>
          <w:rFonts w:ascii="Arial" w:hAnsi="Arial" w:cs="Arial"/>
          <w:sz w:val="24"/>
        </w:rPr>
        <w:t>observed</w:t>
      </w:r>
      <w:r w:rsidRPr="003C4E39">
        <w:rPr>
          <w:rFonts w:ascii="Arial" w:hAnsi="Arial" w:cs="Arial"/>
          <w:sz w:val="24"/>
        </w:rPr>
        <w:t xml:space="preserve"> the causes of the dis</w:t>
      </w:r>
      <w:r w:rsidR="003C4E39" w:rsidRPr="003C4E39">
        <w:rPr>
          <w:rFonts w:ascii="Arial" w:hAnsi="Arial" w:cs="Arial"/>
          <w:sz w:val="24"/>
        </w:rPr>
        <w:t>aster, including match day planning and stadium design</w:t>
      </w:r>
      <w:r w:rsidRPr="003C4E39">
        <w:rPr>
          <w:rFonts w:ascii="Arial" w:hAnsi="Arial" w:cs="Arial"/>
          <w:sz w:val="24"/>
        </w:rPr>
        <w:t>. The</w:t>
      </w:r>
      <w:r w:rsidRPr="004A5CCF">
        <w:rPr>
          <w:rFonts w:ascii="Arial" w:hAnsi="Arial" w:cs="Arial"/>
          <w:sz w:val="24"/>
        </w:rPr>
        <w:t xml:space="preserve"> IPCC managed part of Operation Resolve where inquires involved examining the actions of South Yorkshire Police. Operation Resolve examined 17,000 lines of enquiry, took 11,000 statements and interviewed more than 9,000 witnesses. Its investigation resulted in two charges against David Duckenfield, the most senior Police officer in charge of safety on the day of the match, and Graham Mackrell who was Sheffield Wednesday’s company secretary and safety officer</w:t>
      </w:r>
      <w:r>
        <w:rPr>
          <w:rFonts w:ascii="Arial" w:hAnsi="Arial" w:cs="Arial"/>
          <w:sz w:val="24"/>
        </w:rPr>
        <w:t xml:space="preserve"> at the time (Operation Resolve</w:t>
      </w:r>
      <w:r w:rsidRPr="004A5CCF">
        <w:rPr>
          <w:rFonts w:ascii="Arial" w:hAnsi="Arial" w:cs="Arial"/>
          <w:sz w:val="24"/>
        </w:rPr>
        <w:t>, 2021).</w:t>
      </w:r>
    </w:p>
    <w:p w14:paraId="46EED578" w14:textId="77777777" w:rsidR="00DF0F22" w:rsidRPr="00BE7F29" w:rsidRDefault="004A5CCF" w:rsidP="004A5CCF">
      <w:pPr>
        <w:jc w:val="both"/>
        <w:rPr>
          <w:rFonts w:ascii="Arial" w:hAnsi="Arial" w:cs="Arial"/>
          <w:sz w:val="24"/>
        </w:rPr>
      </w:pPr>
      <w:r w:rsidRPr="004A5CCF">
        <w:rPr>
          <w:rFonts w:ascii="Arial" w:hAnsi="Arial" w:cs="Arial"/>
          <w:sz w:val="24"/>
        </w:rPr>
        <w:t xml:space="preserve">To conclude, the role of PSD and the IOPC in holding the police accountable for misconduct and malpractice has been proven successful, as seen in the IOPC investigation into the Stephen Lawrence inquiry and the IPCC investigation into the Hillsborough disaster. PSD and IOPC investigations give confidence to the public that the Police will be held accountable for misconduct however, will often have a negative </w:t>
      </w:r>
      <w:r w:rsidRPr="004A5CCF">
        <w:rPr>
          <w:rFonts w:ascii="Arial" w:hAnsi="Arial" w:cs="Arial"/>
          <w:sz w:val="24"/>
        </w:rPr>
        <w:lastRenderedPageBreak/>
        <w:t>impact on policing. Any unprofessional behaviour diminishes the reputation of the Police causing distrust between them and the public.</w:t>
      </w:r>
    </w:p>
    <w:p w14:paraId="53802606" w14:textId="77777777" w:rsidR="00BE7F29" w:rsidRDefault="00582FEA" w:rsidP="00DF0F22">
      <w:pPr>
        <w:jc w:val="both"/>
        <w:rPr>
          <w:rFonts w:ascii="Arial" w:hAnsi="Arial" w:cs="Arial"/>
          <w:sz w:val="24"/>
        </w:rPr>
      </w:pPr>
      <w:r>
        <w:rPr>
          <w:rFonts w:ascii="Arial" w:hAnsi="Arial" w:cs="Arial"/>
          <w:sz w:val="24"/>
        </w:rPr>
        <w:t>1081</w:t>
      </w:r>
      <w:r w:rsidR="00812108">
        <w:rPr>
          <w:rFonts w:ascii="Arial" w:hAnsi="Arial" w:cs="Arial"/>
          <w:sz w:val="24"/>
        </w:rPr>
        <w:t xml:space="preserve"> words.</w:t>
      </w:r>
    </w:p>
    <w:p w14:paraId="763F8E51" w14:textId="77777777" w:rsidR="00812108" w:rsidRDefault="00812108" w:rsidP="00DF0F22">
      <w:pPr>
        <w:jc w:val="both"/>
        <w:rPr>
          <w:rFonts w:ascii="Arial" w:hAnsi="Arial" w:cs="Arial"/>
          <w:sz w:val="24"/>
        </w:rPr>
      </w:pPr>
    </w:p>
    <w:p w14:paraId="7F43A6F8" w14:textId="77777777" w:rsidR="00BE7F29" w:rsidRDefault="004A5CCF" w:rsidP="00DF0F22">
      <w:pPr>
        <w:jc w:val="both"/>
        <w:rPr>
          <w:rFonts w:ascii="Arial" w:hAnsi="Arial" w:cs="Arial"/>
          <w:sz w:val="24"/>
        </w:rPr>
      </w:pPr>
      <w:r>
        <w:rPr>
          <w:rFonts w:ascii="Arial" w:hAnsi="Arial" w:cs="Arial"/>
          <w:sz w:val="24"/>
        </w:rPr>
        <w:t xml:space="preserve">Task 2 – References </w:t>
      </w:r>
    </w:p>
    <w:p w14:paraId="61696783" w14:textId="77777777" w:rsidR="009572C4" w:rsidRPr="004A5CCF" w:rsidRDefault="009572C4" w:rsidP="004A5CCF">
      <w:pPr>
        <w:rPr>
          <w:rFonts w:ascii="Arial" w:hAnsi="Arial" w:cs="Arial"/>
          <w:sz w:val="24"/>
        </w:rPr>
      </w:pPr>
      <w:r>
        <w:rPr>
          <w:rFonts w:ascii="Arial" w:hAnsi="Arial" w:cs="Arial"/>
          <w:sz w:val="24"/>
        </w:rPr>
        <w:t>BBC.</w:t>
      </w:r>
      <w:r w:rsidRPr="004A5CCF">
        <w:rPr>
          <w:rFonts w:ascii="Arial" w:hAnsi="Arial" w:cs="Arial"/>
          <w:sz w:val="24"/>
        </w:rPr>
        <w:t xml:space="preserve"> (2020, November 3). Stephen Lawrence murder: Met Police officers could face criminal charges. Retrieved from BBC: https://www.bbc.co.uk/news/uk-england-london-54797993</w:t>
      </w:r>
    </w:p>
    <w:p w14:paraId="23B4EA54" w14:textId="77777777" w:rsidR="009572C4" w:rsidRPr="004A5CCF" w:rsidRDefault="009572C4" w:rsidP="004A5CCF">
      <w:pPr>
        <w:rPr>
          <w:rFonts w:ascii="Arial" w:hAnsi="Arial" w:cs="Arial"/>
          <w:sz w:val="24"/>
        </w:rPr>
      </w:pPr>
      <w:r w:rsidRPr="004A5CCF">
        <w:rPr>
          <w:rFonts w:ascii="Arial" w:hAnsi="Arial" w:cs="Arial"/>
          <w:sz w:val="24"/>
        </w:rPr>
        <w:t>Bryant, R &amp; Bryant, S. (2019). Blackstone's Handbook for Policing Students. Oxford: Oxford University Press.</w:t>
      </w:r>
    </w:p>
    <w:p w14:paraId="6E8E54E8" w14:textId="77777777" w:rsidR="009572C4" w:rsidRPr="004A5CCF" w:rsidRDefault="009572C4" w:rsidP="004A5CCF">
      <w:pPr>
        <w:rPr>
          <w:rFonts w:ascii="Arial" w:hAnsi="Arial" w:cs="Arial"/>
          <w:sz w:val="24"/>
        </w:rPr>
      </w:pPr>
      <w:r w:rsidRPr="004A5CCF">
        <w:rPr>
          <w:rFonts w:ascii="Arial" w:hAnsi="Arial" w:cs="Arial"/>
          <w:sz w:val="24"/>
        </w:rPr>
        <w:t>College of Policing. (2014). Code of Ethics: A Code of Practice for the Principles and Standards of Professional Behaviour for the Policing Profession of England and Wales. Coventry: College of Policing Limited.</w:t>
      </w:r>
    </w:p>
    <w:p w14:paraId="655C318E" w14:textId="77777777" w:rsidR="009572C4" w:rsidRPr="004A5CCF" w:rsidRDefault="009572C4" w:rsidP="004A5CCF">
      <w:pPr>
        <w:rPr>
          <w:rFonts w:ascii="Arial" w:hAnsi="Arial" w:cs="Arial"/>
          <w:sz w:val="24"/>
        </w:rPr>
      </w:pPr>
      <w:r w:rsidRPr="004A5CCF">
        <w:rPr>
          <w:rFonts w:ascii="Arial" w:hAnsi="Arial" w:cs="Arial"/>
          <w:sz w:val="24"/>
        </w:rPr>
        <w:t>College of Policing. (2015, July). Professional Standards. Retrieved from College of Policing : https://www.app.college.police.uk/app-content/professional-standards/#:~:text=Professional%20standards%20departments%20(PSDs)%20can,investigate%20counter%2Dcorruption%20activities%20effectively.</w:t>
      </w:r>
    </w:p>
    <w:p w14:paraId="1CE5F65F" w14:textId="77777777" w:rsidR="009572C4" w:rsidRPr="004A5CCF" w:rsidRDefault="009572C4" w:rsidP="004A5CCF">
      <w:pPr>
        <w:rPr>
          <w:rFonts w:ascii="Arial" w:hAnsi="Arial" w:cs="Arial"/>
          <w:sz w:val="24"/>
        </w:rPr>
      </w:pPr>
      <w:r w:rsidRPr="004A5CCF">
        <w:rPr>
          <w:rFonts w:ascii="Arial" w:hAnsi="Arial" w:cs="Arial"/>
          <w:sz w:val="24"/>
        </w:rPr>
        <w:t>GOV.UK. (2018, January). Independent Office for Police Conduct launches. Retrieved from GOV.UK: https://www.gov.uk/government/news/independent-office-for-police-conduct-launches-today</w:t>
      </w:r>
    </w:p>
    <w:p w14:paraId="3D294F90" w14:textId="77777777" w:rsidR="009572C4" w:rsidRPr="004A5CCF" w:rsidRDefault="009572C4" w:rsidP="004A5CCF">
      <w:pPr>
        <w:rPr>
          <w:rFonts w:ascii="Arial" w:hAnsi="Arial" w:cs="Arial"/>
          <w:sz w:val="24"/>
        </w:rPr>
      </w:pPr>
      <w:r w:rsidRPr="004A5CCF">
        <w:rPr>
          <w:rFonts w:ascii="Arial" w:hAnsi="Arial" w:cs="Arial"/>
          <w:sz w:val="24"/>
        </w:rPr>
        <w:t>Independent Office for Police Conduct. (2018, January 7). Hillsborough investigation. Retrieved from Independent Office for Police Conduct: https://www.policeconduct.gov.uk/investigations/hillsborough-investigation</w:t>
      </w:r>
    </w:p>
    <w:p w14:paraId="74DE11DD" w14:textId="77777777" w:rsidR="009572C4" w:rsidRPr="004A5CCF" w:rsidRDefault="009572C4" w:rsidP="004A5CCF">
      <w:pPr>
        <w:rPr>
          <w:rFonts w:ascii="Arial" w:hAnsi="Arial" w:cs="Arial"/>
          <w:sz w:val="24"/>
        </w:rPr>
      </w:pPr>
      <w:r w:rsidRPr="004A5CCF">
        <w:rPr>
          <w:rFonts w:ascii="Arial" w:hAnsi="Arial" w:cs="Arial"/>
          <w:sz w:val="24"/>
        </w:rPr>
        <w:t>Operation Resolve. (2021). The Investigation. Retrieved from Operation Resolve: http://operationresolve.co.uk/the-investigation/</w:t>
      </w:r>
    </w:p>
    <w:p w14:paraId="0660413A" w14:textId="77777777" w:rsidR="009572C4" w:rsidRPr="004A5CCF" w:rsidRDefault="009572C4" w:rsidP="004A5CCF">
      <w:pPr>
        <w:rPr>
          <w:rFonts w:ascii="Arial" w:hAnsi="Arial" w:cs="Arial"/>
          <w:sz w:val="24"/>
        </w:rPr>
      </w:pPr>
      <w:r w:rsidRPr="004A5CCF">
        <w:rPr>
          <w:rFonts w:ascii="Arial" w:hAnsi="Arial" w:cs="Arial"/>
          <w:sz w:val="24"/>
        </w:rPr>
        <w:t>Thompson, T. (2020, November 3). Former MPS officers may face charges as IOPC concludes Stephen Lawrence corruption investigation. Retrieved from Police Professional: https://www.policeprofessional.com/news/former-mps-officer-may-face-charges-as-iopc-concludes-stephen-lawrence-corruption-investigation/</w:t>
      </w:r>
    </w:p>
    <w:p w14:paraId="35B2FDF3" w14:textId="77777777" w:rsidR="009572C4" w:rsidRPr="004A5CCF" w:rsidRDefault="009572C4" w:rsidP="004A5CCF">
      <w:pPr>
        <w:rPr>
          <w:rFonts w:ascii="Arial" w:hAnsi="Arial" w:cs="Arial"/>
          <w:sz w:val="24"/>
        </w:rPr>
      </w:pPr>
      <w:r w:rsidRPr="004A5CCF">
        <w:rPr>
          <w:rFonts w:ascii="Arial" w:hAnsi="Arial" w:cs="Arial"/>
          <w:sz w:val="24"/>
        </w:rPr>
        <w:t>Worley, W. (2017, June 29). Hillsborough disaster: The investigations which led to six people being charged in connection with tragedy. Retrieved from Independent: https://www.independent.co.uk/news/uk/home-news/hillsborough-disaster-investigations-six-people-charged-ipcc-operation-resolve-david-duckenfield-a7813441.html</w:t>
      </w:r>
    </w:p>
    <w:p w14:paraId="2EC52FBD" w14:textId="77777777" w:rsidR="00812108" w:rsidRDefault="00812108" w:rsidP="00DF0F22">
      <w:pPr>
        <w:jc w:val="both"/>
        <w:rPr>
          <w:rFonts w:ascii="Arial" w:hAnsi="Arial" w:cs="Arial"/>
          <w:sz w:val="24"/>
        </w:rPr>
      </w:pPr>
    </w:p>
    <w:p w14:paraId="5DC5450B" w14:textId="77777777" w:rsidR="00582FEA" w:rsidRDefault="00582FEA" w:rsidP="00DF0F22">
      <w:pPr>
        <w:jc w:val="both"/>
        <w:rPr>
          <w:rFonts w:ascii="Arial" w:hAnsi="Arial" w:cs="Arial"/>
          <w:sz w:val="24"/>
        </w:rPr>
      </w:pPr>
    </w:p>
    <w:p w14:paraId="73F69999" w14:textId="77777777" w:rsidR="00DF0F22" w:rsidRPr="00BE7F29" w:rsidRDefault="00DF0F22" w:rsidP="00DF0F22">
      <w:pPr>
        <w:jc w:val="both"/>
        <w:rPr>
          <w:rFonts w:ascii="Arial" w:hAnsi="Arial" w:cs="Arial"/>
          <w:sz w:val="24"/>
        </w:rPr>
      </w:pPr>
      <w:r w:rsidRPr="00BE7F29">
        <w:rPr>
          <w:rFonts w:ascii="Arial" w:hAnsi="Arial" w:cs="Arial"/>
          <w:sz w:val="24"/>
        </w:rPr>
        <w:lastRenderedPageBreak/>
        <w:t>Title 3: Analyse the developing issues of youth gangs, and why people are drawn into becoming part of a gang culture. Consider how gangs target vulnerable people, people at risk of harm and the theories of victimology.</w:t>
      </w:r>
    </w:p>
    <w:p w14:paraId="566F8448" w14:textId="77777777" w:rsidR="00BE7F29" w:rsidRPr="00BE7F29" w:rsidRDefault="00BE7F29" w:rsidP="00BE7F29">
      <w:pPr>
        <w:jc w:val="both"/>
        <w:rPr>
          <w:rFonts w:ascii="Arial" w:hAnsi="Arial" w:cs="Arial"/>
          <w:sz w:val="24"/>
        </w:rPr>
      </w:pPr>
      <w:r w:rsidRPr="00BE7F29">
        <w:rPr>
          <w:rFonts w:ascii="Arial" w:hAnsi="Arial" w:cs="Arial"/>
          <w:sz w:val="24"/>
        </w:rPr>
        <w:t>Criminal gangs operating in the UK are complex organisations which use sophisticated techniques to prey on vulnerable children and use levels of violence to keep them compliant (Children's Commissioner Report, 2019). This essay discusses the developing issues of youth gangs, why young people are drawn into gang culture, how gangs target vulnerable people and discusses theories of victimology.  There is much debate surrounding what the definition of a gang is.</w:t>
      </w:r>
      <w:r>
        <w:rPr>
          <w:rFonts w:ascii="Arial" w:hAnsi="Arial" w:cs="Arial"/>
          <w:sz w:val="24"/>
        </w:rPr>
        <w:t xml:space="preserve"> The Jill Dando Institute </w:t>
      </w:r>
      <w:r w:rsidRPr="00BE7F29">
        <w:rPr>
          <w:rFonts w:ascii="Arial" w:hAnsi="Arial" w:cs="Arial"/>
          <w:sz w:val="24"/>
        </w:rPr>
        <w:t>report states “gangs are not a singular phenomenon” (2005), meaning there is not one singular type of gang. It also went on to categorise gangs into three groups. The peer group, the gang and the organised crime group. A peer group is a small unorganised group of peers who share the same space and common history. A gang mostly consists of street based groups of young people where crime and violence is fundamental to the group’s identity. Finally an organised criminal group is a group of individuals for whom involvement in crime is for personal gain and is probably their main occupation.</w:t>
      </w:r>
    </w:p>
    <w:p w14:paraId="0F32A82F" w14:textId="77777777" w:rsidR="00BE7F29" w:rsidRPr="00BE7F29" w:rsidRDefault="00BE7F29" w:rsidP="000244A6">
      <w:pPr>
        <w:jc w:val="both"/>
        <w:rPr>
          <w:rFonts w:ascii="Arial" w:hAnsi="Arial" w:cs="Arial"/>
          <w:sz w:val="24"/>
        </w:rPr>
      </w:pPr>
      <w:r w:rsidRPr="00BE7F29">
        <w:rPr>
          <w:rFonts w:ascii="Arial" w:hAnsi="Arial" w:cs="Arial"/>
          <w:sz w:val="24"/>
        </w:rPr>
        <w:t xml:space="preserve">Whilst it is not illegal for a young person to be in a gang, membership in some cases can be linked to illegal activity, particularly organised crime such as drug dealing (NSPCC, 2021). As such, many children who associate with gangs are at an increased risk of committing crime, leading to juvenile conviction and incarceration. As stated by Youth.Gov (2021) a young person’s involvement with gangs may also lead to an increased prospect of economic hardship, family problems and drug and alcohol abuse in adulthood. Data held by the Office of National Statistics from the British Crime Survey, stated that there are 27,000 children in England who identify as a gang member and new analysis by the Children’s Commissioner’s Office stated that there are 313,000 children who know someone they would define as a street gang member. Within these statistic, 33,000 children are a sibling to a gang member and 34,000 have been victims of a violent crime in the last year. Only 6,560 of these children are known to </w:t>
      </w:r>
      <w:r w:rsidR="000244A6">
        <w:rPr>
          <w:rFonts w:ascii="Arial" w:hAnsi="Arial" w:cs="Arial"/>
          <w:sz w:val="24"/>
        </w:rPr>
        <w:t xml:space="preserve">authorities, such as children services, </w:t>
      </w:r>
      <w:r w:rsidRPr="00BE7F29">
        <w:rPr>
          <w:rFonts w:ascii="Arial" w:hAnsi="Arial" w:cs="Arial"/>
          <w:sz w:val="24"/>
        </w:rPr>
        <w:t xml:space="preserve">which means there are more than 27,000 children in England that </w:t>
      </w:r>
      <w:r w:rsidRPr="00582FEA">
        <w:rPr>
          <w:rFonts w:ascii="Arial" w:hAnsi="Arial" w:cs="Arial"/>
          <w:sz w:val="24"/>
        </w:rPr>
        <w:t xml:space="preserve">are </w:t>
      </w:r>
      <w:r w:rsidR="00582FEA" w:rsidRPr="00582FEA">
        <w:rPr>
          <w:rFonts w:ascii="Arial" w:hAnsi="Arial" w:cs="Arial"/>
          <w:sz w:val="24"/>
        </w:rPr>
        <w:t>being subjected to</w:t>
      </w:r>
      <w:r w:rsidRPr="00582FEA">
        <w:rPr>
          <w:rFonts w:ascii="Arial" w:hAnsi="Arial" w:cs="Arial"/>
          <w:sz w:val="24"/>
        </w:rPr>
        <w:t xml:space="preserve"> gang</w:t>
      </w:r>
      <w:r w:rsidRPr="00BE7F29">
        <w:rPr>
          <w:rFonts w:ascii="Arial" w:hAnsi="Arial" w:cs="Arial"/>
          <w:sz w:val="24"/>
        </w:rPr>
        <w:t xml:space="preserve"> violence but are not identified by authorities (Children's Commissioner Report, 2019). This questions whether authorities i.e. police and social services are doing enough to identify and safeguard them. In addition they are exposed to an increased risk of committing crime and incarceration which in turn will contribute to long term issues such as unemployment and substance abuse.</w:t>
      </w:r>
    </w:p>
    <w:p w14:paraId="256AC760" w14:textId="77777777" w:rsidR="00BE7F29" w:rsidRPr="00BE7F29" w:rsidRDefault="00BE7F29" w:rsidP="00BE7F29">
      <w:pPr>
        <w:jc w:val="both"/>
        <w:rPr>
          <w:rFonts w:ascii="Arial" w:hAnsi="Arial" w:cs="Arial"/>
          <w:sz w:val="24"/>
        </w:rPr>
      </w:pPr>
      <w:r w:rsidRPr="00BE7F29">
        <w:rPr>
          <w:rFonts w:ascii="Arial" w:hAnsi="Arial" w:cs="Arial"/>
          <w:sz w:val="24"/>
        </w:rPr>
        <w:t xml:space="preserve">There are many psychological and sociological reasons illustrating why young people are drawn into gang culture. Bennett and Holloway (2004) </w:t>
      </w:r>
      <w:r w:rsidRPr="000244A6">
        <w:rPr>
          <w:rFonts w:ascii="Arial" w:hAnsi="Arial" w:cs="Arial"/>
          <w:sz w:val="24"/>
        </w:rPr>
        <w:t xml:space="preserve">found evidence from national newspapers and government reports </w:t>
      </w:r>
      <w:r w:rsidR="00582FEA" w:rsidRPr="000244A6">
        <w:rPr>
          <w:rFonts w:ascii="Arial" w:hAnsi="Arial" w:cs="Arial"/>
          <w:sz w:val="24"/>
        </w:rPr>
        <w:t>suggesting</w:t>
      </w:r>
      <w:r w:rsidRPr="000244A6">
        <w:rPr>
          <w:rFonts w:ascii="Arial" w:hAnsi="Arial" w:cs="Arial"/>
          <w:sz w:val="24"/>
        </w:rPr>
        <w:t xml:space="preserve"> that the number of gangs and gang members in the United Kingdom were increasing and</w:t>
      </w:r>
      <w:r w:rsidRPr="00BE7F29">
        <w:rPr>
          <w:rFonts w:ascii="Arial" w:hAnsi="Arial" w:cs="Arial"/>
          <w:sz w:val="24"/>
        </w:rPr>
        <w:t xml:space="preserve"> discussed reasons as to why young people join gangs. They suggested that young males especially, do so to gain respect and status, to have a sense of belonging, for financial gain and others for protection. Since 2014 there has been an 85% increase in knife crime in England and Wales (Office for National Statistics, 2020), which is causing many young people to turn to gangs for protection.</w:t>
      </w:r>
    </w:p>
    <w:p w14:paraId="0C6F7F7A" w14:textId="77777777" w:rsidR="00BE7F29" w:rsidRPr="00BE7F29" w:rsidRDefault="00BE7F29" w:rsidP="00BE7F29">
      <w:pPr>
        <w:jc w:val="both"/>
        <w:rPr>
          <w:rFonts w:ascii="Arial" w:hAnsi="Arial" w:cs="Arial"/>
          <w:sz w:val="24"/>
        </w:rPr>
      </w:pPr>
      <w:r w:rsidRPr="00BE7F29">
        <w:rPr>
          <w:rFonts w:ascii="Arial" w:hAnsi="Arial" w:cs="Arial"/>
          <w:sz w:val="24"/>
        </w:rPr>
        <w:lastRenderedPageBreak/>
        <w:t xml:space="preserve">It is important to remember that some children will fall victim to gangs and criminal exploitation. When children’s services assessed these children compared to others, it revealed </w:t>
      </w:r>
      <w:r w:rsidRPr="000244A6">
        <w:rPr>
          <w:rFonts w:ascii="Arial" w:hAnsi="Arial" w:cs="Arial"/>
          <w:sz w:val="24"/>
        </w:rPr>
        <w:t xml:space="preserve">that children in gangs are </w:t>
      </w:r>
      <w:r w:rsidR="000244A6" w:rsidRPr="000244A6">
        <w:rPr>
          <w:rFonts w:ascii="Arial" w:hAnsi="Arial" w:cs="Arial"/>
          <w:sz w:val="24"/>
        </w:rPr>
        <w:t>“</w:t>
      </w:r>
      <w:r w:rsidRPr="000244A6">
        <w:rPr>
          <w:rFonts w:ascii="Arial" w:hAnsi="Arial" w:cs="Arial"/>
          <w:sz w:val="24"/>
        </w:rPr>
        <w:t>95% more likely to have social and emotional health issues, more than twice as likely to be self-harming, 41% more likely to have a parent or carer misusing substances and eight times more likely to be misusing substances themselves</w:t>
      </w:r>
      <w:r w:rsidR="000244A6" w:rsidRPr="000244A6">
        <w:rPr>
          <w:rFonts w:ascii="Arial" w:hAnsi="Arial" w:cs="Arial"/>
          <w:sz w:val="24"/>
        </w:rPr>
        <w:t>”</w:t>
      </w:r>
      <w:r w:rsidR="000244A6">
        <w:rPr>
          <w:rFonts w:ascii="Arial" w:hAnsi="Arial" w:cs="Arial"/>
          <w:sz w:val="24"/>
        </w:rPr>
        <w:t xml:space="preserve"> </w:t>
      </w:r>
      <w:r w:rsidRPr="00BE7F29">
        <w:rPr>
          <w:rFonts w:ascii="Arial" w:hAnsi="Arial" w:cs="Arial"/>
          <w:sz w:val="24"/>
        </w:rPr>
        <w:t xml:space="preserve">(Children's Commissioner Report, 2019). Gangs purposely target children as they are vulnerable and easier to exploit. Studies show that gangs are more likely to recruit children who are experiencing mental health issues, have an unstable home environment or have been excluded from school. Organised criminal gangs will also groom children and young people because they’re less suspicious and are usually given lighter sentences than adults (NSPCC, 2021). </w:t>
      </w:r>
    </w:p>
    <w:p w14:paraId="2C7A1761" w14:textId="77777777" w:rsidR="00BE7F29" w:rsidRPr="00BE7F29" w:rsidRDefault="00BE7F29" w:rsidP="00BE7F29">
      <w:pPr>
        <w:jc w:val="both"/>
        <w:rPr>
          <w:rFonts w:ascii="Arial" w:hAnsi="Arial" w:cs="Arial"/>
          <w:sz w:val="24"/>
        </w:rPr>
      </w:pPr>
      <w:r w:rsidRPr="00BE7F29">
        <w:rPr>
          <w:rFonts w:ascii="Arial" w:hAnsi="Arial" w:cs="Arial"/>
          <w:sz w:val="24"/>
        </w:rPr>
        <w:t>This essay has looked into why people are drawn into gang culture and how gangs target vulnerable people. It is evident that gang members may be both perpetrators of crime and victims of crime as they have been coerced, exploited or groomed into criminal activity. Victimology is</w:t>
      </w:r>
      <w:r w:rsidR="000244A6">
        <w:rPr>
          <w:rFonts w:ascii="Arial" w:hAnsi="Arial" w:cs="Arial"/>
          <w:sz w:val="24"/>
        </w:rPr>
        <w:t xml:space="preserve"> the study of victimisation, which acknowledges</w:t>
      </w:r>
      <w:r w:rsidRPr="00BE7F29">
        <w:rPr>
          <w:rFonts w:ascii="Arial" w:hAnsi="Arial" w:cs="Arial"/>
          <w:sz w:val="24"/>
        </w:rPr>
        <w:t xml:space="preserve"> </w:t>
      </w:r>
      <w:r w:rsidR="000244A6">
        <w:rPr>
          <w:rFonts w:ascii="Arial" w:hAnsi="Arial" w:cs="Arial"/>
          <w:sz w:val="24"/>
        </w:rPr>
        <w:t xml:space="preserve">the causes as to why </w:t>
      </w:r>
      <w:r w:rsidRPr="000244A6">
        <w:rPr>
          <w:rFonts w:ascii="Arial" w:hAnsi="Arial" w:cs="Arial"/>
          <w:sz w:val="24"/>
        </w:rPr>
        <w:t xml:space="preserve">some people are more </w:t>
      </w:r>
      <w:r w:rsidR="000244A6" w:rsidRPr="000244A6">
        <w:rPr>
          <w:rFonts w:ascii="Arial" w:hAnsi="Arial" w:cs="Arial"/>
          <w:sz w:val="24"/>
        </w:rPr>
        <w:t>susceptible</w:t>
      </w:r>
      <w:r w:rsidRPr="000244A6">
        <w:rPr>
          <w:rFonts w:ascii="Arial" w:hAnsi="Arial" w:cs="Arial"/>
          <w:sz w:val="24"/>
        </w:rPr>
        <w:t xml:space="preserve"> in becoming victims of crime</w:t>
      </w:r>
      <w:r w:rsidRPr="00BE7F29">
        <w:rPr>
          <w:rFonts w:ascii="Arial" w:hAnsi="Arial" w:cs="Arial"/>
          <w:sz w:val="24"/>
        </w:rPr>
        <w:t xml:space="preserve">. The textbook, Criminology by Larry J. Segal (2016) explained major theories on victimology, including the lifestyle theory, the deviant place theory and the routine activities theory. The Lifestyle Theory discusses how some criminologists believe that people may become victims of crime because their lifestyle increases their exposure to criminal offenders. The Deviant Place Theory is similar to the Lifestyle Theory, whereby victims do not </w:t>
      </w:r>
      <w:r w:rsidRPr="000244A6">
        <w:rPr>
          <w:rFonts w:ascii="Arial" w:hAnsi="Arial" w:cs="Arial"/>
          <w:sz w:val="24"/>
        </w:rPr>
        <w:t xml:space="preserve">necessarily encourage crime, but are </w:t>
      </w:r>
      <w:r w:rsidR="000244A6" w:rsidRPr="000244A6">
        <w:rPr>
          <w:rFonts w:ascii="Arial" w:hAnsi="Arial" w:cs="Arial"/>
          <w:sz w:val="24"/>
        </w:rPr>
        <w:t>more likely to become a victim of crime because they reside in a high-crime area</w:t>
      </w:r>
      <w:r w:rsidR="000244A6">
        <w:rPr>
          <w:rFonts w:ascii="Arial" w:hAnsi="Arial" w:cs="Arial"/>
          <w:sz w:val="24"/>
        </w:rPr>
        <w:t xml:space="preserve"> for example </w:t>
      </w:r>
      <w:r w:rsidRPr="00BE7F29">
        <w:rPr>
          <w:rFonts w:ascii="Arial" w:hAnsi="Arial" w:cs="Arial"/>
          <w:sz w:val="24"/>
        </w:rPr>
        <w:t>and the Routine Activities Theory is a theory that looks at crime from an offender's point of view. This theory was developed by Cohen and Felson who stated “rather than emphasizing the characteristics of offenders, with this approach we concentrate upon the circumstances in which they carry out predatory criminal acts” (Cohen &amp; Felson 1979). The theory emphasizes that in order for crime to be committed, three closely related elements must be involved which are: a motivated offender, a suitable target and the absence of a capable guardian.</w:t>
      </w:r>
    </w:p>
    <w:p w14:paraId="62DFB695" w14:textId="77777777" w:rsidR="00BE7F29" w:rsidRPr="00BE7F29" w:rsidRDefault="00BE7F29" w:rsidP="00BE7F29">
      <w:pPr>
        <w:jc w:val="both"/>
        <w:rPr>
          <w:rFonts w:ascii="Arial" w:hAnsi="Arial" w:cs="Arial"/>
          <w:sz w:val="24"/>
        </w:rPr>
      </w:pPr>
      <w:r w:rsidRPr="00BE7F29">
        <w:rPr>
          <w:rFonts w:ascii="Arial" w:hAnsi="Arial" w:cs="Arial"/>
          <w:sz w:val="24"/>
        </w:rPr>
        <w:t xml:space="preserve">The main purpose of the essay has been to analyse the developing issues of youth gangs, why people are drawn into gang culture and to explore different theories of victimology. All theories of victimology discussed are alike however, the routine activities theory in particular corroborates the reasons why young people are drawn into gang culture and how gangs target vulnerable people. There is a substantial amount of children experiencing gang violence in the UK that are not identified by authorities and research has shown that gangs will most likely target children who are experiencing mental health issues or who have an unstable home environment. As per Cohen and Felson’s theory (1979) without a stable home life and authorities to rely on, children are left in the absence of a capable guardian making them a suitable target for gangs or any other motivated offender. Overall, the high number of children being groomed and coerced into gang culture creates concern for their safety and questions whether enough is being done to safeguard these individuals. </w:t>
      </w:r>
    </w:p>
    <w:p w14:paraId="3B6C63DF" w14:textId="77777777" w:rsidR="00BE7F29" w:rsidRDefault="000244A6" w:rsidP="00DF0F22">
      <w:pPr>
        <w:jc w:val="both"/>
        <w:rPr>
          <w:rFonts w:ascii="Arial" w:hAnsi="Arial" w:cs="Arial"/>
          <w:sz w:val="24"/>
        </w:rPr>
      </w:pPr>
      <w:r>
        <w:rPr>
          <w:rFonts w:ascii="Arial" w:hAnsi="Arial" w:cs="Arial"/>
          <w:sz w:val="24"/>
        </w:rPr>
        <w:t>1087</w:t>
      </w:r>
      <w:r w:rsidR="00812108">
        <w:rPr>
          <w:rFonts w:ascii="Arial" w:hAnsi="Arial" w:cs="Arial"/>
          <w:sz w:val="24"/>
        </w:rPr>
        <w:t xml:space="preserve"> words.</w:t>
      </w:r>
    </w:p>
    <w:p w14:paraId="48403183" w14:textId="77777777" w:rsidR="00BE7F29" w:rsidRDefault="00BE7F29" w:rsidP="00DF0F22">
      <w:pPr>
        <w:jc w:val="both"/>
        <w:rPr>
          <w:rFonts w:ascii="Arial" w:hAnsi="Arial" w:cs="Arial"/>
          <w:sz w:val="24"/>
        </w:rPr>
      </w:pPr>
      <w:r>
        <w:rPr>
          <w:rFonts w:ascii="Arial" w:hAnsi="Arial" w:cs="Arial"/>
          <w:sz w:val="24"/>
        </w:rPr>
        <w:lastRenderedPageBreak/>
        <w:t xml:space="preserve">Task 3 – References </w:t>
      </w:r>
    </w:p>
    <w:p w14:paraId="61B83DB6" w14:textId="77777777" w:rsidR="00BE7F29" w:rsidRDefault="00BE7F29" w:rsidP="00BE7F29">
      <w:pPr>
        <w:rPr>
          <w:rFonts w:ascii="Arial" w:hAnsi="Arial" w:cs="Arial"/>
          <w:sz w:val="24"/>
        </w:rPr>
      </w:pPr>
      <w:r>
        <w:rPr>
          <w:rFonts w:ascii="Arial" w:hAnsi="Arial" w:cs="Arial"/>
          <w:sz w:val="24"/>
        </w:rPr>
        <w:t xml:space="preserve">Ben Marshal, Barry Webb &amp; Nick Tilley. (2005, November). </w:t>
      </w:r>
      <w:r w:rsidR="00103904">
        <w:rPr>
          <w:rFonts w:ascii="Arial" w:hAnsi="Arial" w:cs="Arial"/>
          <w:sz w:val="24"/>
        </w:rPr>
        <w:t>Rationalisation</w:t>
      </w:r>
      <w:r>
        <w:rPr>
          <w:rFonts w:ascii="Arial" w:hAnsi="Arial" w:cs="Arial"/>
          <w:sz w:val="24"/>
        </w:rPr>
        <w:t xml:space="preserve"> of Current Research on Guns, Gangs and Other Weapons: Phase 1. Retrieved from Jill Dando </w:t>
      </w:r>
      <w:r w:rsidR="00103904">
        <w:rPr>
          <w:rFonts w:ascii="Arial" w:hAnsi="Arial" w:cs="Arial"/>
          <w:sz w:val="24"/>
        </w:rPr>
        <w:t>Institute</w:t>
      </w:r>
      <w:r>
        <w:rPr>
          <w:rFonts w:ascii="Arial" w:hAnsi="Arial" w:cs="Arial"/>
          <w:sz w:val="24"/>
        </w:rPr>
        <w:t xml:space="preserve"> of Crime Science, University College London: https://nomsintranet.org.uk/roh/offical-documents/Marshall_Webb_Till</w:t>
      </w:r>
      <w:r w:rsidR="00103904">
        <w:rPr>
          <w:rFonts w:ascii="Arial" w:hAnsi="Arial" w:cs="Arial"/>
          <w:sz w:val="24"/>
        </w:rPr>
        <w:t>y_gangs_and_guns_2005.pdf</w:t>
      </w:r>
    </w:p>
    <w:p w14:paraId="74246820" w14:textId="77777777" w:rsidR="00BE7F29" w:rsidRDefault="00BE7F29" w:rsidP="00BE7F29">
      <w:pPr>
        <w:rPr>
          <w:rFonts w:ascii="Arial" w:hAnsi="Arial" w:cs="Arial"/>
          <w:sz w:val="24"/>
        </w:rPr>
      </w:pPr>
      <w:r>
        <w:rPr>
          <w:rFonts w:ascii="Arial" w:hAnsi="Arial" w:cs="Arial"/>
          <w:sz w:val="24"/>
        </w:rPr>
        <w:t>Children’s Commissioner Report. (2019). Keeping Children Safe: Improving safeguarding response to gang violence and criminal exploitation. Retrieved from Children’s Commissioner Report: https://www.childrencommissioner.gov.uk/wp-content/uploads/2019/02/CCO-Gangs.pdf</w:t>
      </w:r>
    </w:p>
    <w:p w14:paraId="33BB7AE1" w14:textId="77777777" w:rsidR="00BE7F29" w:rsidRPr="00BE7F29" w:rsidRDefault="00BE7F29" w:rsidP="00BE7F29">
      <w:pPr>
        <w:rPr>
          <w:rFonts w:ascii="Arial" w:hAnsi="Arial" w:cs="Arial"/>
          <w:sz w:val="24"/>
        </w:rPr>
      </w:pPr>
      <w:r w:rsidRPr="00BE7F29">
        <w:rPr>
          <w:rFonts w:ascii="Arial" w:hAnsi="Arial" w:cs="Arial"/>
          <w:sz w:val="24"/>
        </w:rPr>
        <w:t>Larry J. Segal. (1983). Criminology. Wadsworth Publishing Company.</w:t>
      </w:r>
    </w:p>
    <w:p w14:paraId="3A65C8E7" w14:textId="77777777" w:rsidR="00BE7F29" w:rsidRPr="00BE7F29" w:rsidRDefault="00BE7F29" w:rsidP="00BE7F29">
      <w:pPr>
        <w:rPr>
          <w:rFonts w:ascii="Arial" w:hAnsi="Arial" w:cs="Arial"/>
          <w:sz w:val="24"/>
        </w:rPr>
      </w:pPr>
      <w:r w:rsidRPr="00BE7F29">
        <w:rPr>
          <w:rFonts w:ascii="Arial" w:hAnsi="Arial" w:cs="Arial"/>
          <w:sz w:val="24"/>
        </w:rPr>
        <w:t>Lawrence E. Cohen &amp; Marcus Felson. (1979). Social Change and Crime Rate Trends: A Routine Activity Approach. American Sociological Association.</w:t>
      </w:r>
    </w:p>
    <w:p w14:paraId="6DD9247A" w14:textId="77777777" w:rsidR="00BE7F29" w:rsidRPr="00BE7F29" w:rsidRDefault="00BE7F29" w:rsidP="00BE7F29">
      <w:pPr>
        <w:rPr>
          <w:rFonts w:ascii="Arial" w:hAnsi="Arial" w:cs="Arial"/>
          <w:sz w:val="24"/>
        </w:rPr>
      </w:pPr>
      <w:r w:rsidRPr="00BE7F29">
        <w:rPr>
          <w:rFonts w:ascii="Arial" w:hAnsi="Arial" w:cs="Arial"/>
          <w:sz w:val="24"/>
        </w:rPr>
        <w:t>NSPCC. (2021). Criminal Exploitation and Gangs. Retrieved from NSPCC: https://www.nspcc.org.uk/what-is-child-abuse/types-of-abuse/gangs-criminal-exploitation/</w:t>
      </w:r>
    </w:p>
    <w:p w14:paraId="3E593F00" w14:textId="77777777" w:rsidR="00103904" w:rsidRDefault="00103904" w:rsidP="00103904">
      <w:pPr>
        <w:rPr>
          <w:rFonts w:ascii="Arial" w:hAnsi="Arial" w:cs="Arial"/>
          <w:sz w:val="24"/>
        </w:rPr>
      </w:pPr>
      <w:r w:rsidRPr="00103904">
        <w:rPr>
          <w:rFonts w:ascii="Arial" w:hAnsi="Arial" w:cs="Arial"/>
          <w:sz w:val="24"/>
        </w:rPr>
        <w:t>Office for National Statistics. (2020, October 28). Crime in England and Wales: year ending June 2020. Retrieved from Officer for National Statistics: https://www.ons.gov.uk/peoplepopulationandcommunity/crimeandjustice/bulletins/crimeinenglandandwales/yearendingjune2020?_ga=2.64566767.1555848154.1610909303-1384811924.1610909303&amp;_gac=1.153406732.1610909303.EAIaIQobChMI1bi3ls6j7gIVxbHtCh2B5Aw0EAAYASABEgIH</w:t>
      </w:r>
    </w:p>
    <w:p w14:paraId="00D2C563" w14:textId="77777777" w:rsidR="00BE7F29" w:rsidRPr="00BE7F29" w:rsidRDefault="00BE7F29" w:rsidP="00BE7F29">
      <w:pPr>
        <w:rPr>
          <w:rFonts w:ascii="Arial" w:hAnsi="Arial" w:cs="Arial"/>
          <w:sz w:val="24"/>
        </w:rPr>
      </w:pPr>
      <w:r w:rsidRPr="00BE7F29">
        <w:rPr>
          <w:rFonts w:ascii="Arial" w:hAnsi="Arial" w:cs="Arial"/>
          <w:sz w:val="24"/>
        </w:rPr>
        <w:t>Trevor H. Bennett &amp; Katy Holloway. (2004). Gang Membership, Drugs and Crime in the UK. British Journal of Criminology.</w:t>
      </w:r>
    </w:p>
    <w:p w14:paraId="30EB0709" w14:textId="77777777" w:rsidR="00BE7F29" w:rsidRPr="00BE7F29" w:rsidRDefault="00BE7F29" w:rsidP="00BE7F29">
      <w:pPr>
        <w:rPr>
          <w:rFonts w:ascii="Arial" w:hAnsi="Arial" w:cs="Arial"/>
          <w:sz w:val="24"/>
        </w:rPr>
      </w:pPr>
      <w:r w:rsidRPr="00BE7F29">
        <w:rPr>
          <w:rFonts w:ascii="Arial" w:hAnsi="Arial" w:cs="Arial"/>
          <w:sz w:val="24"/>
        </w:rPr>
        <w:t>Youth.Gov. (2021). Gang Involvement Prevention, Adverse Effects. Retrieved from Youth.Gov: https://youth.gov/youth-topics/preventing-gang-involvement/adverse-effects</w:t>
      </w:r>
    </w:p>
    <w:p w14:paraId="4379B438" w14:textId="77777777" w:rsidR="00BE7F29" w:rsidRDefault="00BE7F29" w:rsidP="00BE7F29">
      <w:pPr>
        <w:rPr>
          <w:rFonts w:ascii="Arial" w:hAnsi="Arial" w:cs="Arial"/>
          <w:sz w:val="24"/>
        </w:rPr>
      </w:pPr>
    </w:p>
    <w:p w14:paraId="2F03A66B" w14:textId="77777777" w:rsidR="00BE7F29" w:rsidRDefault="00BE7F29" w:rsidP="00DF0F22">
      <w:pPr>
        <w:jc w:val="both"/>
        <w:rPr>
          <w:rFonts w:ascii="Arial" w:hAnsi="Arial" w:cs="Arial"/>
          <w:sz w:val="24"/>
        </w:rPr>
      </w:pPr>
    </w:p>
    <w:p w14:paraId="3A141F67" w14:textId="77777777" w:rsidR="00BE7F29" w:rsidRDefault="00BE7F29" w:rsidP="00DF0F22">
      <w:pPr>
        <w:jc w:val="both"/>
        <w:rPr>
          <w:rFonts w:ascii="Arial" w:hAnsi="Arial" w:cs="Arial"/>
          <w:sz w:val="24"/>
        </w:rPr>
      </w:pPr>
    </w:p>
    <w:p w14:paraId="310585AA" w14:textId="77777777" w:rsidR="00BE7F29" w:rsidRDefault="00BE7F29" w:rsidP="00DF0F22">
      <w:pPr>
        <w:jc w:val="both"/>
        <w:rPr>
          <w:rFonts w:ascii="Arial" w:hAnsi="Arial" w:cs="Arial"/>
          <w:sz w:val="24"/>
        </w:rPr>
      </w:pPr>
    </w:p>
    <w:p w14:paraId="3BE59D08" w14:textId="77777777" w:rsidR="00BE7F29" w:rsidRDefault="00BE7F29" w:rsidP="00DF0F22">
      <w:pPr>
        <w:jc w:val="both"/>
        <w:rPr>
          <w:rFonts w:ascii="Arial" w:hAnsi="Arial" w:cs="Arial"/>
          <w:sz w:val="24"/>
        </w:rPr>
      </w:pPr>
    </w:p>
    <w:p w14:paraId="72C60050" w14:textId="77777777" w:rsidR="00BE7F29" w:rsidRDefault="00BE7F29" w:rsidP="00DF0F22">
      <w:pPr>
        <w:jc w:val="both"/>
        <w:rPr>
          <w:rFonts w:ascii="Arial" w:hAnsi="Arial" w:cs="Arial"/>
          <w:sz w:val="24"/>
        </w:rPr>
      </w:pPr>
    </w:p>
    <w:p w14:paraId="3106F70C" w14:textId="77777777" w:rsidR="00BE7F29" w:rsidRDefault="00BE7F29" w:rsidP="00DF0F22">
      <w:pPr>
        <w:jc w:val="both"/>
        <w:rPr>
          <w:rFonts w:ascii="Arial" w:hAnsi="Arial" w:cs="Arial"/>
          <w:sz w:val="24"/>
        </w:rPr>
      </w:pPr>
    </w:p>
    <w:p w14:paraId="7340561B" w14:textId="77777777" w:rsidR="00103904" w:rsidRDefault="00103904" w:rsidP="00DF0F22">
      <w:pPr>
        <w:jc w:val="both"/>
        <w:rPr>
          <w:rFonts w:ascii="Arial" w:hAnsi="Arial" w:cs="Arial"/>
          <w:sz w:val="24"/>
        </w:rPr>
      </w:pPr>
    </w:p>
    <w:p w14:paraId="06344658" w14:textId="77777777" w:rsidR="00103904" w:rsidRDefault="00DF0F22" w:rsidP="00DF0F22">
      <w:pPr>
        <w:jc w:val="both"/>
        <w:rPr>
          <w:rFonts w:ascii="Arial" w:hAnsi="Arial" w:cs="Arial"/>
          <w:sz w:val="24"/>
        </w:rPr>
      </w:pPr>
      <w:r w:rsidRPr="00BE7F29">
        <w:rPr>
          <w:rFonts w:ascii="Arial" w:hAnsi="Arial" w:cs="Arial"/>
          <w:sz w:val="24"/>
        </w:rPr>
        <w:lastRenderedPageBreak/>
        <w:t>Title 4: Critically evaluate the impact upon policing of differing values, ethics and norms within diverse communities and the importance of effective communication when working within these communities.</w:t>
      </w:r>
    </w:p>
    <w:p w14:paraId="1E7B4D40" w14:textId="77777777" w:rsidR="00103904" w:rsidRPr="00103904" w:rsidRDefault="00103904" w:rsidP="00103904">
      <w:pPr>
        <w:jc w:val="both"/>
        <w:rPr>
          <w:rFonts w:ascii="Arial" w:hAnsi="Arial" w:cs="Arial"/>
          <w:sz w:val="24"/>
        </w:rPr>
      </w:pPr>
      <w:r w:rsidRPr="00103904">
        <w:rPr>
          <w:rFonts w:ascii="Arial" w:hAnsi="Arial" w:cs="Arial"/>
          <w:sz w:val="24"/>
        </w:rPr>
        <w:t xml:space="preserve">Society is </w:t>
      </w:r>
      <w:r w:rsidRPr="00EC4175">
        <w:rPr>
          <w:rFonts w:ascii="Arial" w:hAnsi="Arial" w:cs="Arial"/>
          <w:sz w:val="24"/>
        </w:rPr>
        <w:t xml:space="preserve">becoming </w:t>
      </w:r>
      <w:r w:rsidR="000244A6" w:rsidRPr="00EC4175">
        <w:rPr>
          <w:rFonts w:ascii="Arial" w:hAnsi="Arial" w:cs="Arial"/>
          <w:sz w:val="24"/>
        </w:rPr>
        <w:t>progressively</w:t>
      </w:r>
      <w:r w:rsidRPr="00EC4175">
        <w:rPr>
          <w:rFonts w:ascii="Arial" w:hAnsi="Arial" w:cs="Arial"/>
          <w:sz w:val="24"/>
        </w:rPr>
        <w:t xml:space="preserve"> more diverse in terms of ethnicity, religious beliefs and sexual orientation but more </w:t>
      </w:r>
      <w:r w:rsidR="000244A6" w:rsidRPr="00EC4175">
        <w:rPr>
          <w:rFonts w:ascii="Arial" w:hAnsi="Arial" w:cs="Arial"/>
          <w:sz w:val="24"/>
        </w:rPr>
        <w:t>notably</w:t>
      </w:r>
      <w:r w:rsidRPr="00EC4175">
        <w:rPr>
          <w:rFonts w:ascii="Arial" w:hAnsi="Arial" w:cs="Arial"/>
          <w:sz w:val="24"/>
        </w:rPr>
        <w:t xml:space="preserve"> we have become more conscious of</w:t>
      </w:r>
      <w:r w:rsidRPr="00103904">
        <w:rPr>
          <w:rFonts w:ascii="Arial" w:hAnsi="Arial" w:cs="Arial"/>
          <w:sz w:val="24"/>
        </w:rPr>
        <w:t xml:space="preserve"> such differences and much </w:t>
      </w:r>
      <w:r w:rsidRPr="00EC4175">
        <w:rPr>
          <w:rFonts w:ascii="Arial" w:hAnsi="Arial" w:cs="Arial"/>
          <w:sz w:val="24"/>
        </w:rPr>
        <w:t xml:space="preserve">more determined to </w:t>
      </w:r>
      <w:r w:rsidR="00EC4175" w:rsidRPr="00EC4175">
        <w:rPr>
          <w:rFonts w:ascii="Arial" w:hAnsi="Arial" w:cs="Arial"/>
          <w:sz w:val="24"/>
        </w:rPr>
        <w:t xml:space="preserve">provide </w:t>
      </w:r>
      <w:r w:rsidRPr="00EC4175">
        <w:rPr>
          <w:rFonts w:ascii="Arial" w:hAnsi="Arial" w:cs="Arial"/>
          <w:sz w:val="24"/>
        </w:rPr>
        <w:t>equal status to</w:t>
      </w:r>
      <w:r w:rsidRPr="00103904">
        <w:rPr>
          <w:rFonts w:ascii="Arial" w:hAnsi="Arial" w:cs="Arial"/>
          <w:sz w:val="24"/>
        </w:rPr>
        <w:t xml:space="preserve"> individuals from diverse backgrounds (Bryant and Bryant</w:t>
      </w:r>
      <w:r>
        <w:rPr>
          <w:rFonts w:ascii="Arial" w:hAnsi="Arial" w:cs="Arial"/>
          <w:sz w:val="24"/>
        </w:rPr>
        <w:t>,</w:t>
      </w:r>
      <w:r w:rsidRPr="00103904">
        <w:rPr>
          <w:rFonts w:ascii="Arial" w:hAnsi="Arial" w:cs="Arial"/>
          <w:sz w:val="24"/>
        </w:rPr>
        <w:t xml:space="preserve"> 2019). This essay will be discussing and evaluating the impact upon policing of differing values, ethics and norms within diverse communities and the importance of effective communication when working within these communities.</w:t>
      </w:r>
    </w:p>
    <w:p w14:paraId="7B4F5B53" w14:textId="77777777" w:rsidR="00103904" w:rsidRPr="00103904" w:rsidRDefault="00103904" w:rsidP="00103904">
      <w:pPr>
        <w:jc w:val="both"/>
        <w:rPr>
          <w:rFonts w:ascii="Arial" w:hAnsi="Arial" w:cs="Arial"/>
          <w:sz w:val="24"/>
        </w:rPr>
      </w:pPr>
      <w:r w:rsidRPr="00EC4175">
        <w:rPr>
          <w:rFonts w:ascii="Arial" w:hAnsi="Arial" w:cs="Arial"/>
          <w:sz w:val="24"/>
        </w:rPr>
        <w:t xml:space="preserve">Diversity is any </w:t>
      </w:r>
      <w:r w:rsidR="00EC4175" w:rsidRPr="00EC4175">
        <w:rPr>
          <w:rFonts w:ascii="Arial" w:hAnsi="Arial" w:cs="Arial"/>
          <w:sz w:val="24"/>
        </w:rPr>
        <w:t>element</w:t>
      </w:r>
      <w:r w:rsidRPr="00EC4175">
        <w:rPr>
          <w:rFonts w:ascii="Arial" w:hAnsi="Arial" w:cs="Arial"/>
          <w:sz w:val="24"/>
        </w:rPr>
        <w:t xml:space="preserve"> that can be used to differentiate groups</w:t>
      </w:r>
      <w:r w:rsidRPr="00103904">
        <w:rPr>
          <w:rFonts w:ascii="Arial" w:hAnsi="Arial" w:cs="Arial"/>
          <w:sz w:val="24"/>
        </w:rPr>
        <w:t xml:space="preserve"> and people from one to another. The power of diversity and its benefits can only be reaped when these differences are recognised and we learn to respect and value each individual irrelevant of their background (Global Diversity Practice, 2021). The delivery of policing should not be greatly inferior for some social groups than others but yet research evidence shows that, in general, white ethnic groups tend to have a more satisfactory experience of the police than any other ethnic groups (Bowling and Phillips</w:t>
      </w:r>
      <w:r>
        <w:rPr>
          <w:rFonts w:ascii="Arial" w:hAnsi="Arial" w:cs="Arial"/>
          <w:sz w:val="24"/>
        </w:rPr>
        <w:t>,</w:t>
      </w:r>
      <w:r w:rsidRPr="00103904">
        <w:rPr>
          <w:rFonts w:ascii="Arial" w:hAnsi="Arial" w:cs="Arial"/>
          <w:sz w:val="24"/>
        </w:rPr>
        <w:t xml:space="preserve"> 2003). The police have been under scrutiny for discrimination for a number of decades causing massive mistrust between the Police and minority ethnic communities. Both the Scarman Report published in 1981 following the Brixton riots in London and the Macpherson Report published in 1999 following the murder of Stephen Lawrence refer to racial discrimination by the Police and gives rise to concerted effort to improve relations between police and minority ethnic groups (Bryant and Bryant</w:t>
      </w:r>
      <w:r>
        <w:rPr>
          <w:rFonts w:ascii="Arial" w:hAnsi="Arial" w:cs="Arial"/>
          <w:sz w:val="24"/>
        </w:rPr>
        <w:t>,</w:t>
      </w:r>
      <w:r w:rsidRPr="00103904">
        <w:rPr>
          <w:rFonts w:ascii="Arial" w:hAnsi="Arial" w:cs="Arial"/>
          <w:sz w:val="24"/>
        </w:rPr>
        <w:t xml:space="preserve"> 2019). The Macpherson Report concluded that the investigation into Stephen Lawrence’s killing had been “marred by a combination of professional </w:t>
      </w:r>
      <w:r w:rsidRPr="00EC4175">
        <w:rPr>
          <w:rFonts w:ascii="Arial" w:hAnsi="Arial" w:cs="Arial"/>
          <w:sz w:val="24"/>
        </w:rPr>
        <w:t xml:space="preserve">incompetence, institutional racism and a failure of leadership”. A total of 70 recommendations </w:t>
      </w:r>
      <w:r w:rsidR="00EC4175" w:rsidRPr="00EC4175">
        <w:rPr>
          <w:rFonts w:ascii="Arial" w:hAnsi="Arial" w:cs="Arial"/>
          <w:sz w:val="24"/>
        </w:rPr>
        <w:t>intended</w:t>
      </w:r>
      <w:r w:rsidRPr="00EC4175">
        <w:rPr>
          <w:rFonts w:ascii="Arial" w:hAnsi="Arial" w:cs="Arial"/>
          <w:sz w:val="24"/>
        </w:rPr>
        <w:t xml:space="preserve"> to manifest no tolerance for racism in society were made and included </w:t>
      </w:r>
      <w:r w:rsidR="00EC4175" w:rsidRPr="00EC4175">
        <w:rPr>
          <w:rFonts w:ascii="Arial" w:hAnsi="Arial" w:cs="Arial"/>
          <w:sz w:val="24"/>
        </w:rPr>
        <w:t>actions</w:t>
      </w:r>
      <w:r w:rsidRPr="00EC4175">
        <w:rPr>
          <w:rFonts w:ascii="Arial" w:hAnsi="Arial" w:cs="Arial"/>
          <w:sz w:val="24"/>
        </w:rPr>
        <w:t xml:space="preserve"> to transform the attitude of the police towards race relations and improve </w:t>
      </w:r>
      <w:r w:rsidR="00EC4175" w:rsidRPr="00EC4175">
        <w:rPr>
          <w:rFonts w:ascii="Arial" w:hAnsi="Arial" w:cs="Arial"/>
          <w:sz w:val="24"/>
        </w:rPr>
        <w:t>responsibility</w:t>
      </w:r>
      <w:r w:rsidRPr="00103904">
        <w:rPr>
          <w:rFonts w:ascii="Arial" w:hAnsi="Arial" w:cs="Arial"/>
          <w:sz w:val="24"/>
        </w:rPr>
        <w:t xml:space="preserve"> (Quinn, 2019). One of the report’s recommendations was diversifying those working within the force which led to the introduction of targeted recruitment of black and Asian officers. Predominantly, the report identified an absence of ‘confidence and trust’ in the police among minori</w:t>
      </w:r>
      <w:r>
        <w:rPr>
          <w:rFonts w:ascii="Arial" w:hAnsi="Arial" w:cs="Arial"/>
          <w:sz w:val="24"/>
        </w:rPr>
        <w:t xml:space="preserve">ty ethnic communities (Bowling </w:t>
      </w:r>
      <w:r w:rsidRPr="00103904">
        <w:rPr>
          <w:rFonts w:ascii="Arial" w:hAnsi="Arial" w:cs="Arial"/>
          <w:sz w:val="24"/>
        </w:rPr>
        <w:t>and Phillips</w:t>
      </w:r>
      <w:r>
        <w:rPr>
          <w:rFonts w:ascii="Arial" w:hAnsi="Arial" w:cs="Arial"/>
          <w:sz w:val="24"/>
        </w:rPr>
        <w:t>,</w:t>
      </w:r>
      <w:r w:rsidRPr="00103904">
        <w:rPr>
          <w:rFonts w:ascii="Arial" w:hAnsi="Arial" w:cs="Arial"/>
          <w:sz w:val="24"/>
        </w:rPr>
        <w:t xml:space="preserve"> 2003). Ethnic minority groups are more likely to be victims of crime at 19% compared with 15% of their white counterparts (Bulman, 2017). The proportion of white adults experiencing at least one crime fell from 17 per cent to 15 per cent from 2013 to 2016 however there was no significant fall for ethnic minorities (Ministry of Justice, 2017). However, research evidence has shown black respondents are somewhat less satisfied with police action and they perceive the police to be unfair to certain groups and, therefore, not surprisingly, are less willing to co-operate with the police than white respondents (Bowling and Phillips</w:t>
      </w:r>
      <w:r>
        <w:rPr>
          <w:rFonts w:ascii="Arial" w:hAnsi="Arial" w:cs="Arial"/>
          <w:sz w:val="24"/>
        </w:rPr>
        <w:t>,</w:t>
      </w:r>
      <w:r w:rsidRPr="00103904">
        <w:rPr>
          <w:rFonts w:ascii="Arial" w:hAnsi="Arial" w:cs="Arial"/>
          <w:sz w:val="24"/>
        </w:rPr>
        <w:t xml:space="preserve"> 2003).</w:t>
      </w:r>
    </w:p>
    <w:p w14:paraId="2E6F7F82" w14:textId="77777777" w:rsidR="00103904" w:rsidRPr="00103904" w:rsidRDefault="00103904" w:rsidP="00103904">
      <w:pPr>
        <w:jc w:val="both"/>
        <w:rPr>
          <w:rFonts w:ascii="Arial" w:hAnsi="Arial" w:cs="Arial"/>
          <w:sz w:val="24"/>
        </w:rPr>
      </w:pPr>
      <w:r w:rsidRPr="00103904">
        <w:rPr>
          <w:rFonts w:ascii="Arial" w:hAnsi="Arial" w:cs="Arial"/>
          <w:sz w:val="24"/>
        </w:rPr>
        <w:t xml:space="preserve">Effective policing is dependent on communication and engagement with the public and this can only be achieved by building relations with all communities. As stated above many diverse communities have a lack of trust in the police therefore interacting with these communities, listening to their views and acting upon them helps build relationships and trust. The needs of one group may not reflect the needs of others </w:t>
      </w:r>
      <w:r w:rsidRPr="00103904">
        <w:rPr>
          <w:rFonts w:ascii="Arial" w:hAnsi="Arial" w:cs="Arial"/>
          <w:sz w:val="24"/>
        </w:rPr>
        <w:lastRenderedPageBreak/>
        <w:t xml:space="preserve">and therefore engagement and communication should be managed in a way that is proportionate to differing communities. An understanding of these needs and requirements are only achieved through well managed engagement and communication.  “Positive face-to-face interaction can promote trust and understanding between the public and police” (College of Policing, 2020). Successful communication allows for better outcomes when it comes to public safety by encouraging communities to report crime. When officers don’t communicate properly it can lead to various misinterpretations and can impact the trust and cooperation of the public. Which in turn will cause reluctance in the community to report crime. An article written in the International Journal of Police Science and Management by Bain, Robinson and Conser (2014) looked into the perceptions of policing and communication improvements. They concluded that a lack of information and poor communication can lead individuals to feel under-valued, under-represented and isolated, reducing the likelihood of them reporting crime. They also argued that where positive encounters are fostered an increased public confidence in local policing will develop. </w:t>
      </w:r>
    </w:p>
    <w:p w14:paraId="067B578D" w14:textId="77777777" w:rsidR="00103904" w:rsidRPr="00103904" w:rsidRDefault="00103904" w:rsidP="00103904">
      <w:pPr>
        <w:jc w:val="both"/>
        <w:rPr>
          <w:rFonts w:ascii="Arial" w:hAnsi="Arial" w:cs="Arial"/>
          <w:sz w:val="24"/>
        </w:rPr>
      </w:pPr>
      <w:r w:rsidRPr="00103904">
        <w:rPr>
          <w:rFonts w:ascii="Arial" w:hAnsi="Arial" w:cs="Arial"/>
          <w:sz w:val="24"/>
        </w:rPr>
        <w:t xml:space="preserve">Understanding diversity issues has become a fundamental component of policing. In some cases, police officers may be presented with a member of the public who does not share the same understanding or beliefs as them, creating resistance. One communication theory that can address this is the cognitive dissonance theory. </w:t>
      </w:r>
      <w:r w:rsidRPr="00EC4175">
        <w:rPr>
          <w:rFonts w:ascii="Arial" w:hAnsi="Arial" w:cs="Arial"/>
          <w:sz w:val="24"/>
        </w:rPr>
        <w:t>Cognitiv</w:t>
      </w:r>
      <w:r w:rsidR="00EC4175" w:rsidRPr="00EC4175">
        <w:rPr>
          <w:rFonts w:ascii="Arial" w:hAnsi="Arial" w:cs="Arial"/>
          <w:sz w:val="24"/>
        </w:rPr>
        <w:t>e dissonance is a theory</w:t>
      </w:r>
      <w:r w:rsidRPr="00EC4175">
        <w:rPr>
          <w:rFonts w:ascii="Arial" w:hAnsi="Arial" w:cs="Arial"/>
          <w:sz w:val="24"/>
        </w:rPr>
        <w:t xml:space="preserve"> used to explain how people </w:t>
      </w:r>
      <w:r w:rsidR="00EC4175" w:rsidRPr="00EC4175">
        <w:rPr>
          <w:rFonts w:ascii="Arial" w:hAnsi="Arial" w:cs="Arial"/>
          <w:sz w:val="24"/>
        </w:rPr>
        <w:t>react</w:t>
      </w:r>
      <w:r w:rsidRPr="00EC4175">
        <w:rPr>
          <w:rFonts w:ascii="Arial" w:hAnsi="Arial" w:cs="Arial"/>
          <w:sz w:val="24"/>
        </w:rPr>
        <w:t xml:space="preserve"> to information that does not coincide with their </w:t>
      </w:r>
      <w:r w:rsidR="00EC4175" w:rsidRPr="00EC4175">
        <w:rPr>
          <w:rFonts w:ascii="Arial" w:hAnsi="Arial" w:cs="Arial"/>
          <w:sz w:val="24"/>
        </w:rPr>
        <w:t>existing</w:t>
      </w:r>
      <w:r w:rsidRPr="00EC4175">
        <w:rPr>
          <w:rFonts w:ascii="Arial" w:hAnsi="Arial" w:cs="Arial"/>
          <w:sz w:val="24"/>
        </w:rPr>
        <w:t xml:space="preserve"> understandings or beliefs</w:t>
      </w:r>
      <w:r w:rsidRPr="00103904">
        <w:rPr>
          <w:rFonts w:ascii="Arial" w:hAnsi="Arial" w:cs="Arial"/>
          <w:sz w:val="24"/>
        </w:rPr>
        <w:t xml:space="preserve"> (McFalls &amp; Cobb-Roberts 2001). </w:t>
      </w:r>
      <w:r w:rsidR="00EC4175" w:rsidRPr="00EC4175">
        <w:rPr>
          <w:rFonts w:ascii="Arial" w:hAnsi="Arial" w:cs="Arial"/>
          <w:sz w:val="24"/>
        </w:rPr>
        <w:t>According to the theory</w:t>
      </w:r>
      <w:r w:rsidRPr="00EC4175">
        <w:rPr>
          <w:rFonts w:ascii="Arial" w:hAnsi="Arial" w:cs="Arial"/>
          <w:sz w:val="24"/>
        </w:rPr>
        <w:t xml:space="preserve">, an individual can experience psychological tension or dissonance when new knowledge is </w:t>
      </w:r>
      <w:r w:rsidR="00EC4175" w:rsidRPr="00EC4175">
        <w:rPr>
          <w:rFonts w:ascii="Arial" w:hAnsi="Arial" w:cs="Arial"/>
          <w:sz w:val="24"/>
        </w:rPr>
        <w:t>contrary</w:t>
      </w:r>
      <w:r w:rsidRPr="00EC4175">
        <w:rPr>
          <w:rFonts w:ascii="Arial" w:hAnsi="Arial" w:cs="Arial"/>
          <w:sz w:val="24"/>
        </w:rPr>
        <w:t xml:space="preserve"> with </w:t>
      </w:r>
      <w:r w:rsidR="00EC4175" w:rsidRPr="00EC4175">
        <w:rPr>
          <w:rFonts w:ascii="Arial" w:hAnsi="Arial" w:cs="Arial"/>
          <w:sz w:val="24"/>
        </w:rPr>
        <w:t>formerly</w:t>
      </w:r>
      <w:r w:rsidRPr="00EC4175">
        <w:rPr>
          <w:rFonts w:ascii="Arial" w:hAnsi="Arial" w:cs="Arial"/>
          <w:sz w:val="24"/>
        </w:rPr>
        <w:t xml:space="preserve"> acquired knowledge. (Cherry, 2020</w:t>
      </w:r>
      <w:r w:rsidRPr="00103904">
        <w:rPr>
          <w:rFonts w:ascii="Arial" w:hAnsi="Arial" w:cs="Arial"/>
          <w:sz w:val="24"/>
        </w:rPr>
        <w:t xml:space="preserve">). Festinger (1957) first proposed the theory of cognitive dissonance and suggested that we have an inner drive to hold all our beliefs, ideas and values in harmony and avoid disharmony. An article written in the International Journal of Teacher Education by McFalls and Cobb-Roberts (2001) studied the cognitive dissonance theory and used it as a mechanism to help students understand their reactions when hearing or reading information that is inconsistent with their current beliefs or opinions. The study concluded that reducing resistance can be achieved by encouraging openness and debate about diversity. By encouraging openness and debate and making a real effort to hear arguments and process information that conflicts with our beliefs can lead to change and growth. </w:t>
      </w:r>
    </w:p>
    <w:p w14:paraId="44DA6DFA" w14:textId="77777777" w:rsidR="00103904" w:rsidRPr="00103904" w:rsidRDefault="00103904" w:rsidP="00103904">
      <w:pPr>
        <w:jc w:val="both"/>
        <w:rPr>
          <w:rFonts w:ascii="Arial" w:hAnsi="Arial" w:cs="Arial"/>
          <w:sz w:val="24"/>
        </w:rPr>
      </w:pPr>
      <w:r w:rsidRPr="00103904">
        <w:rPr>
          <w:rFonts w:ascii="Arial" w:hAnsi="Arial" w:cs="Arial"/>
          <w:sz w:val="24"/>
        </w:rPr>
        <w:t xml:space="preserve">To conclude the impacts upon policing of differing values, ethics and norms within diverse communities is completely dependent on respect and communication. The </w:t>
      </w:r>
      <w:r w:rsidR="00EC4175" w:rsidRPr="00EC4175">
        <w:rPr>
          <w:rFonts w:ascii="Arial" w:hAnsi="Arial" w:cs="Arial"/>
          <w:sz w:val="24"/>
        </w:rPr>
        <w:t>lack</w:t>
      </w:r>
      <w:r w:rsidRPr="00EC4175">
        <w:rPr>
          <w:rFonts w:ascii="Arial" w:hAnsi="Arial" w:cs="Arial"/>
          <w:sz w:val="24"/>
        </w:rPr>
        <w:t xml:space="preserve"> of confidence and trust in the police </w:t>
      </w:r>
      <w:r w:rsidR="00EC4175" w:rsidRPr="00EC4175">
        <w:rPr>
          <w:rFonts w:ascii="Arial" w:hAnsi="Arial" w:cs="Arial"/>
          <w:sz w:val="24"/>
        </w:rPr>
        <w:t>amongst</w:t>
      </w:r>
      <w:r w:rsidRPr="00EC4175">
        <w:rPr>
          <w:rFonts w:ascii="Arial" w:hAnsi="Arial" w:cs="Arial"/>
          <w:sz w:val="24"/>
        </w:rPr>
        <w:t xml:space="preserve"> minority</w:t>
      </w:r>
      <w:r w:rsidRPr="00103904">
        <w:rPr>
          <w:rFonts w:ascii="Arial" w:hAnsi="Arial" w:cs="Arial"/>
          <w:sz w:val="24"/>
        </w:rPr>
        <w:t xml:space="preserve"> ethnic communities was highlighted in both the Scarman Report and the Macpherson Report. This absence of trust and poor perception of the Police within ethnic communities means they are often less willing to report crime and co-operate. Therefore communication is essential for officers to be able to respond and meet the needs and expectations of these communities efficiently. </w:t>
      </w:r>
    </w:p>
    <w:p w14:paraId="0AB9DAAD" w14:textId="77777777" w:rsidR="00103904" w:rsidRDefault="00EC4175" w:rsidP="00812108">
      <w:pPr>
        <w:spacing w:line="360" w:lineRule="auto"/>
        <w:jc w:val="both"/>
        <w:rPr>
          <w:rFonts w:ascii="Arial" w:hAnsi="Arial" w:cs="Arial"/>
          <w:sz w:val="24"/>
        </w:rPr>
      </w:pPr>
      <w:r>
        <w:rPr>
          <w:rFonts w:ascii="Arial" w:hAnsi="Arial" w:cs="Arial"/>
          <w:sz w:val="24"/>
        </w:rPr>
        <w:t xml:space="preserve">1001 </w:t>
      </w:r>
      <w:r w:rsidR="00812108">
        <w:rPr>
          <w:rFonts w:ascii="Arial" w:hAnsi="Arial" w:cs="Arial"/>
          <w:sz w:val="24"/>
        </w:rPr>
        <w:t>words.</w:t>
      </w:r>
    </w:p>
    <w:p w14:paraId="1706E3EF" w14:textId="77777777" w:rsidR="00902B29" w:rsidRDefault="00902B29" w:rsidP="00103904">
      <w:pPr>
        <w:jc w:val="both"/>
        <w:rPr>
          <w:rFonts w:ascii="Arial" w:hAnsi="Arial" w:cs="Arial"/>
          <w:sz w:val="24"/>
        </w:rPr>
      </w:pPr>
    </w:p>
    <w:p w14:paraId="7E630D6E" w14:textId="77777777" w:rsidR="00103904" w:rsidRDefault="00103904" w:rsidP="00103904">
      <w:pPr>
        <w:jc w:val="both"/>
        <w:rPr>
          <w:rFonts w:ascii="Arial" w:hAnsi="Arial" w:cs="Arial"/>
          <w:sz w:val="24"/>
        </w:rPr>
      </w:pPr>
      <w:r>
        <w:rPr>
          <w:rFonts w:ascii="Arial" w:hAnsi="Arial" w:cs="Arial"/>
          <w:sz w:val="24"/>
        </w:rPr>
        <w:lastRenderedPageBreak/>
        <w:t xml:space="preserve">Task 4 – References </w:t>
      </w:r>
    </w:p>
    <w:p w14:paraId="39072B59" w14:textId="77777777" w:rsidR="009572C4" w:rsidRPr="00103904" w:rsidRDefault="009572C4" w:rsidP="00103904">
      <w:pPr>
        <w:rPr>
          <w:rFonts w:ascii="Arial" w:hAnsi="Arial" w:cs="Arial"/>
          <w:sz w:val="24"/>
        </w:rPr>
      </w:pPr>
      <w:r w:rsidRPr="00103904">
        <w:rPr>
          <w:rFonts w:ascii="Arial" w:hAnsi="Arial" w:cs="Arial"/>
          <w:sz w:val="24"/>
        </w:rPr>
        <w:t>Bain, A., Robinson, B. K. and Conser, J. (2014). Perceptions of Policing: Improving Communication in Local Communities. International Journal of Police Science and Management, 267-276.</w:t>
      </w:r>
    </w:p>
    <w:p w14:paraId="6316CEDF" w14:textId="77777777" w:rsidR="009572C4" w:rsidRPr="00103904" w:rsidRDefault="009572C4" w:rsidP="00103904">
      <w:pPr>
        <w:rPr>
          <w:rFonts w:ascii="Arial" w:hAnsi="Arial" w:cs="Arial"/>
          <w:sz w:val="24"/>
        </w:rPr>
      </w:pPr>
      <w:r w:rsidRPr="00103904">
        <w:rPr>
          <w:rFonts w:ascii="Arial" w:hAnsi="Arial" w:cs="Arial"/>
          <w:sz w:val="24"/>
        </w:rPr>
        <w:t>Bowling, B. and Phillips, C. (2003). Policing ethnic minority communities. In T. Newburn, Ha</w:t>
      </w:r>
      <w:r>
        <w:rPr>
          <w:rFonts w:ascii="Arial" w:hAnsi="Arial" w:cs="Arial"/>
          <w:sz w:val="24"/>
        </w:rPr>
        <w:t>ndbook of Policing (pp. 528-555</w:t>
      </w:r>
      <w:r w:rsidRPr="00103904">
        <w:rPr>
          <w:rFonts w:ascii="Arial" w:hAnsi="Arial" w:cs="Arial"/>
          <w:sz w:val="24"/>
        </w:rPr>
        <w:t>). Devon: Willan Publishing.</w:t>
      </w:r>
    </w:p>
    <w:p w14:paraId="7D0B1D2C" w14:textId="77777777" w:rsidR="009572C4" w:rsidRPr="00103904" w:rsidRDefault="009572C4" w:rsidP="00103904">
      <w:pPr>
        <w:rPr>
          <w:rFonts w:ascii="Arial" w:hAnsi="Arial" w:cs="Arial"/>
          <w:sz w:val="24"/>
        </w:rPr>
      </w:pPr>
      <w:r w:rsidRPr="00103904">
        <w:rPr>
          <w:rFonts w:ascii="Arial" w:hAnsi="Arial" w:cs="Arial"/>
          <w:sz w:val="24"/>
        </w:rPr>
        <w:t>Bryant, R. and Bryant, S. (2019). Blackstone's Handbook for Policing Students 2020. Oxford: Oxford University Press.</w:t>
      </w:r>
    </w:p>
    <w:p w14:paraId="2E6B0ADC" w14:textId="77777777" w:rsidR="009572C4" w:rsidRPr="00103904" w:rsidRDefault="009572C4" w:rsidP="00103904">
      <w:pPr>
        <w:rPr>
          <w:rFonts w:ascii="Arial" w:hAnsi="Arial" w:cs="Arial"/>
          <w:sz w:val="24"/>
        </w:rPr>
      </w:pPr>
      <w:r w:rsidRPr="00103904">
        <w:rPr>
          <w:rFonts w:ascii="Arial" w:hAnsi="Arial" w:cs="Arial"/>
          <w:sz w:val="24"/>
        </w:rPr>
        <w:t>Bulman, M. (2017, October 11). Ethnic minorities most likely to be both victims and suspects of crime, UK race report finds. Retrieved from Independent: https://www.independent.co.uk/news/uk/home-news/ethnic-minorities-crime-victims-perpetrators-uk-race-report-a7993521.html</w:t>
      </w:r>
    </w:p>
    <w:p w14:paraId="5B8C66B9" w14:textId="77777777" w:rsidR="009572C4" w:rsidRPr="00103904" w:rsidRDefault="009572C4" w:rsidP="00103904">
      <w:pPr>
        <w:rPr>
          <w:rFonts w:ascii="Arial" w:hAnsi="Arial" w:cs="Arial"/>
          <w:sz w:val="24"/>
        </w:rPr>
      </w:pPr>
      <w:r w:rsidRPr="00103904">
        <w:rPr>
          <w:rFonts w:ascii="Arial" w:hAnsi="Arial" w:cs="Arial"/>
          <w:sz w:val="24"/>
        </w:rPr>
        <w:t>Cherry, K. (2020, July). What is Cognitive Dissonance. Retrieved from verywellmind: https://www.verywellmind.com/what-is-cognitive-dissonance-2795012</w:t>
      </w:r>
    </w:p>
    <w:p w14:paraId="344DA804" w14:textId="77777777" w:rsidR="009572C4" w:rsidRPr="00103904" w:rsidRDefault="009572C4" w:rsidP="00103904">
      <w:pPr>
        <w:rPr>
          <w:rFonts w:ascii="Arial" w:hAnsi="Arial" w:cs="Arial"/>
          <w:sz w:val="24"/>
        </w:rPr>
      </w:pPr>
      <w:r w:rsidRPr="00103904">
        <w:rPr>
          <w:rFonts w:ascii="Arial" w:hAnsi="Arial" w:cs="Arial"/>
          <w:sz w:val="24"/>
        </w:rPr>
        <w:t>College of Policing. (2020, January 30). Engagement and Communication. Retrieved from College of Policing: https://www.app.college.police.uk/app-content/engagement-and-communication/communications/</w:t>
      </w:r>
    </w:p>
    <w:p w14:paraId="22336F02" w14:textId="77777777" w:rsidR="009572C4" w:rsidRPr="00103904" w:rsidRDefault="009572C4" w:rsidP="00103904">
      <w:pPr>
        <w:rPr>
          <w:rFonts w:ascii="Arial" w:hAnsi="Arial" w:cs="Arial"/>
          <w:sz w:val="24"/>
        </w:rPr>
      </w:pPr>
      <w:r w:rsidRPr="00103904">
        <w:rPr>
          <w:rFonts w:ascii="Arial" w:hAnsi="Arial" w:cs="Arial"/>
          <w:sz w:val="24"/>
        </w:rPr>
        <w:t>Festinger, L. (1957). A Theory of Cognitive Dissonance. Stanford University Press.</w:t>
      </w:r>
    </w:p>
    <w:p w14:paraId="2A365321" w14:textId="77777777" w:rsidR="009572C4" w:rsidRPr="00103904" w:rsidRDefault="009572C4" w:rsidP="00103904">
      <w:pPr>
        <w:rPr>
          <w:rFonts w:ascii="Arial" w:hAnsi="Arial" w:cs="Arial"/>
          <w:sz w:val="24"/>
        </w:rPr>
      </w:pPr>
      <w:r w:rsidRPr="00103904">
        <w:rPr>
          <w:rFonts w:ascii="Arial" w:hAnsi="Arial" w:cs="Arial"/>
          <w:sz w:val="24"/>
        </w:rPr>
        <w:t>Global Diversity Pr</w:t>
      </w:r>
      <w:r>
        <w:rPr>
          <w:rFonts w:ascii="Arial" w:hAnsi="Arial" w:cs="Arial"/>
          <w:sz w:val="24"/>
        </w:rPr>
        <w:t xml:space="preserve">actice. (2021). </w:t>
      </w:r>
      <w:r w:rsidRPr="00103904">
        <w:rPr>
          <w:rFonts w:ascii="Arial" w:hAnsi="Arial" w:cs="Arial"/>
          <w:sz w:val="24"/>
        </w:rPr>
        <w:t>What is Diversity and Inclusion? Retrieved from Global Diversity Practice: https://globaldiversitypractice.com/what-is-diversity-inclusion/</w:t>
      </w:r>
    </w:p>
    <w:p w14:paraId="011FE3B2" w14:textId="77777777" w:rsidR="009572C4" w:rsidRPr="00103904" w:rsidRDefault="009572C4" w:rsidP="00103904">
      <w:pPr>
        <w:rPr>
          <w:rFonts w:ascii="Arial" w:hAnsi="Arial" w:cs="Arial"/>
          <w:sz w:val="24"/>
        </w:rPr>
      </w:pPr>
      <w:r w:rsidRPr="00103904">
        <w:rPr>
          <w:rFonts w:ascii="Arial" w:hAnsi="Arial" w:cs="Arial"/>
          <w:sz w:val="24"/>
        </w:rPr>
        <w:t>Home Office. (2019, 08 18). Police workforce, England and Wales: 31 March 2019 second edition. Retrieved from Gov.uk: https://www.gov.uk/government/statistics/police-workforce-england-and-wales-31-march-2019</w:t>
      </w:r>
    </w:p>
    <w:p w14:paraId="3F6EDAD0" w14:textId="77777777" w:rsidR="009572C4" w:rsidRPr="00103904" w:rsidRDefault="009572C4" w:rsidP="00103904">
      <w:pPr>
        <w:rPr>
          <w:rFonts w:ascii="Arial" w:hAnsi="Arial" w:cs="Arial"/>
          <w:sz w:val="24"/>
        </w:rPr>
      </w:pPr>
      <w:r w:rsidRPr="00103904">
        <w:rPr>
          <w:rFonts w:ascii="Arial" w:hAnsi="Arial" w:cs="Arial"/>
          <w:sz w:val="24"/>
        </w:rPr>
        <w:t>McFalls, E.L. &amp; Cobb-Roberts, D. (2001). Reducing resistance to diversity through cognitive dissonance inst. Journal of Teacher Education 52(2), 164-172.</w:t>
      </w:r>
    </w:p>
    <w:p w14:paraId="1ACD2B6B" w14:textId="77777777" w:rsidR="009572C4" w:rsidRPr="00103904" w:rsidRDefault="009572C4" w:rsidP="00103904">
      <w:pPr>
        <w:rPr>
          <w:rFonts w:ascii="Arial" w:hAnsi="Arial" w:cs="Arial"/>
          <w:sz w:val="24"/>
        </w:rPr>
      </w:pPr>
      <w:r w:rsidRPr="00103904">
        <w:rPr>
          <w:rFonts w:ascii="Arial" w:hAnsi="Arial" w:cs="Arial"/>
          <w:sz w:val="24"/>
        </w:rPr>
        <w:t>Ministry of Justice. (2017). Statistics on Race and the Criminal Justice System 2016; A Ministry of Justice publication under Section 95. London: Ministry of Justice.</w:t>
      </w:r>
    </w:p>
    <w:p w14:paraId="4C075C3F" w14:textId="77777777" w:rsidR="009572C4" w:rsidRPr="00103904" w:rsidRDefault="009572C4" w:rsidP="00103904">
      <w:pPr>
        <w:rPr>
          <w:rFonts w:ascii="Arial" w:hAnsi="Arial" w:cs="Arial"/>
          <w:sz w:val="24"/>
        </w:rPr>
      </w:pPr>
      <w:r w:rsidRPr="00103904">
        <w:rPr>
          <w:rFonts w:ascii="Arial" w:hAnsi="Arial" w:cs="Arial"/>
          <w:sz w:val="24"/>
        </w:rPr>
        <w:t>Quinn, B. (2019, 02 22). Macpherson report: what was it and what impact did it have? Retrieved from The Guardian: https://www.theguardian.com/uk-news/2019/feb/22/macpherson-report-what-was-it-and-what-impact-did-it-have</w:t>
      </w:r>
    </w:p>
    <w:p w14:paraId="516AB574" w14:textId="77777777" w:rsidR="009572C4" w:rsidRPr="00103904" w:rsidRDefault="009572C4" w:rsidP="00103904">
      <w:pPr>
        <w:rPr>
          <w:rFonts w:ascii="Arial" w:hAnsi="Arial" w:cs="Arial"/>
          <w:sz w:val="24"/>
        </w:rPr>
      </w:pPr>
      <w:r>
        <w:rPr>
          <w:rFonts w:ascii="Arial" w:hAnsi="Arial" w:cs="Arial"/>
          <w:sz w:val="24"/>
        </w:rPr>
        <w:t xml:space="preserve">South Wales Police. (2021). </w:t>
      </w:r>
      <w:r w:rsidRPr="00103904">
        <w:rPr>
          <w:rFonts w:ascii="Arial" w:hAnsi="Arial" w:cs="Arial"/>
          <w:sz w:val="24"/>
        </w:rPr>
        <w:t>Our vision, values and ethics. Retrieved from South Wales Police: https://www.south-wales.police.uk/police-forces/south-wales-police/areas/about-us/about-us/our-vision-values-and-ethics/</w:t>
      </w:r>
    </w:p>
    <w:p w14:paraId="05BFF172" w14:textId="77777777" w:rsidR="00103904" w:rsidRPr="00103904" w:rsidRDefault="00103904" w:rsidP="00103904">
      <w:pPr>
        <w:jc w:val="both"/>
        <w:rPr>
          <w:rFonts w:ascii="Arial" w:hAnsi="Arial" w:cs="Arial"/>
          <w:sz w:val="24"/>
        </w:rPr>
      </w:pPr>
    </w:p>
    <w:sectPr w:rsidR="00103904" w:rsidRPr="00103904" w:rsidSect="00DF0F2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F73DC9" w14:textId="77777777" w:rsidR="000244A6" w:rsidRDefault="000244A6" w:rsidP="00DF0F22">
      <w:pPr>
        <w:spacing w:after="0" w:line="240" w:lineRule="auto"/>
      </w:pPr>
      <w:r>
        <w:separator/>
      </w:r>
    </w:p>
  </w:endnote>
  <w:endnote w:type="continuationSeparator" w:id="0">
    <w:p w14:paraId="1AD35CD7" w14:textId="77777777" w:rsidR="000244A6" w:rsidRDefault="000244A6" w:rsidP="00DF0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92302" w14:textId="77777777" w:rsidR="000244A6" w:rsidRDefault="00ED4C7C" w:rsidP="00ED4C7C">
    <w:pPr>
      <w:pStyle w:val="Footer"/>
      <w:rPr>
        <w:color w:val="000000"/>
        <w:sz w:val="17"/>
      </w:rPr>
    </w:pPr>
    <w:bookmarkStart w:id="2" w:name="TITUS1FooterEvenPages"/>
    <w:r>
      <w:rPr>
        <w:color w:val="000000"/>
        <w:sz w:val="17"/>
      </w:rPr>
      <w:t> </w:t>
    </w:r>
  </w:p>
  <w:bookmarkEnd w:id="2"/>
  <w:p w14:paraId="01E0C3A5" w14:textId="77777777" w:rsidR="000244A6" w:rsidRDefault="000244A6" w:rsidP="00C436A7">
    <w:pPr>
      <w:pStyle w:val="Footer"/>
    </w:pPr>
  </w:p>
  <w:p w14:paraId="26BE4219" w14:textId="77777777" w:rsidR="000244A6" w:rsidRDefault="000244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98848" w14:textId="77777777" w:rsidR="000244A6" w:rsidRDefault="00ED4C7C" w:rsidP="00ED4C7C">
    <w:pPr>
      <w:pStyle w:val="Footer"/>
      <w:rPr>
        <w:color w:val="000000"/>
        <w:sz w:val="17"/>
      </w:rPr>
    </w:pPr>
    <w:bookmarkStart w:id="3" w:name="TITUS1FooterPrimary"/>
    <w:r>
      <w:rPr>
        <w:color w:val="000000"/>
        <w:sz w:val="17"/>
      </w:rPr>
      <w:t> </w:t>
    </w:r>
  </w:p>
  <w:bookmarkEnd w:id="3"/>
  <w:p w14:paraId="42BDEBC7" w14:textId="77777777" w:rsidR="000244A6" w:rsidRDefault="00024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E208E" w14:textId="77777777" w:rsidR="000244A6" w:rsidRDefault="00ED4C7C" w:rsidP="00ED4C7C">
    <w:pPr>
      <w:pStyle w:val="Footer"/>
      <w:rPr>
        <w:color w:val="000000"/>
        <w:sz w:val="17"/>
      </w:rPr>
    </w:pPr>
    <w:bookmarkStart w:id="5" w:name="TITUS1FooterFirstPage"/>
    <w:r>
      <w:rPr>
        <w:color w:val="000000"/>
        <w:sz w:val="17"/>
      </w:rPr>
      <w:t> </w:t>
    </w:r>
  </w:p>
  <w:bookmarkEnd w:id="5"/>
  <w:p w14:paraId="3FA3E803" w14:textId="77777777" w:rsidR="000244A6" w:rsidRDefault="00024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9E4EC6" w14:textId="77777777" w:rsidR="000244A6" w:rsidRDefault="000244A6" w:rsidP="00DF0F22">
      <w:pPr>
        <w:spacing w:after="0" w:line="240" w:lineRule="auto"/>
      </w:pPr>
      <w:r>
        <w:separator/>
      </w:r>
    </w:p>
  </w:footnote>
  <w:footnote w:type="continuationSeparator" w:id="0">
    <w:p w14:paraId="3B8A0547" w14:textId="77777777" w:rsidR="000244A6" w:rsidRDefault="000244A6" w:rsidP="00DF0F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1E205" w14:textId="77777777" w:rsidR="000244A6" w:rsidRDefault="00ED4C7C" w:rsidP="00ED4C7C">
    <w:pPr>
      <w:pStyle w:val="Header"/>
      <w:rPr>
        <w:color w:val="000000"/>
        <w:sz w:val="17"/>
      </w:rPr>
    </w:pPr>
    <w:bookmarkStart w:id="0" w:name="TITUS1HeaderEvenPages"/>
    <w:r>
      <w:rPr>
        <w:color w:val="000000"/>
        <w:sz w:val="17"/>
      </w:rPr>
      <w:t> </w:t>
    </w:r>
  </w:p>
  <w:bookmarkEnd w:id="0"/>
  <w:p w14:paraId="02A8C3D8" w14:textId="77777777" w:rsidR="000244A6" w:rsidRDefault="000244A6" w:rsidP="00C436A7">
    <w:pPr>
      <w:pStyle w:val="Header"/>
    </w:pPr>
  </w:p>
  <w:p w14:paraId="1F6DE9C5" w14:textId="77777777" w:rsidR="000244A6" w:rsidRDefault="000244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AFC0AE" w14:textId="77777777" w:rsidR="000244A6" w:rsidRDefault="00ED4C7C" w:rsidP="00ED4C7C">
    <w:pPr>
      <w:pStyle w:val="Header"/>
      <w:rPr>
        <w:color w:val="000000"/>
        <w:sz w:val="17"/>
      </w:rPr>
    </w:pPr>
    <w:bookmarkStart w:id="1" w:name="TITUS1HeaderPrimary"/>
    <w:r>
      <w:rPr>
        <w:color w:val="000000"/>
        <w:sz w:val="17"/>
      </w:rPr>
      <w:t> </w:t>
    </w:r>
  </w:p>
  <w:bookmarkEnd w:id="1"/>
  <w:p w14:paraId="507FC2DA" w14:textId="77777777" w:rsidR="000244A6" w:rsidRDefault="000244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2751B" w14:textId="77777777" w:rsidR="000244A6" w:rsidRDefault="00ED4C7C" w:rsidP="00ED4C7C">
    <w:pPr>
      <w:pStyle w:val="Header"/>
      <w:rPr>
        <w:color w:val="000000"/>
        <w:sz w:val="17"/>
      </w:rPr>
    </w:pPr>
    <w:bookmarkStart w:id="4" w:name="TITUS1HeaderFirstPage"/>
    <w:r>
      <w:rPr>
        <w:color w:val="000000"/>
        <w:sz w:val="17"/>
      </w:rPr>
      <w:t> </w:t>
    </w:r>
  </w:p>
  <w:bookmarkEnd w:id="4"/>
  <w:p w14:paraId="6DB370AF" w14:textId="77777777" w:rsidR="000244A6" w:rsidRDefault="000244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F22"/>
    <w:rsid w:val="000244A6"/>
    <w:rsid w:val="00103904"/>
    <w:rsid w:val="00127A83"/>
    <w:rsid w:val="00187EA9"/>
    <w:rsid w:val="001E41DD"/>
    <w:rsid w:val="002405C5"/>
    <w:rsid w:val="003C4E39"/>
    <w:rsid w:val="004A5CCF"/>
    <w:rsid w:val="00582FEA"/>
    <w:rsid w:val="005A5B95"/>
    <w:rsid w:val="00812108"/>
    <w:rsid w:val="00853C8A"/>
    <w:rsid w:val="0088735C"/>
    <w:rsid w:val="00902B29"/>
    <w:rsid w:val="009572C4"/>
    <w:rsid w:val="009976D9"/>
    <w:rsid w:val="00A17565"/>
    <w:rsid w:val="00BE7F29"/>
    <w:rsid w:val="00C436A7"/>
    <w:rsid w:val="00C84962"/>
    <w:rsid w:val="00DF0F22"/>
    <w:rsid w:val="00EC4175"/>
    <w:rsid w:val="00ED4C7C"/>
    <w:rsid w:val="00F64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1F732"/>
  <w15:chartTrackingRefBased/>
  <w15:docId w15:val="{2E99909F-3E1E-4788-8706-297E9FC97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0F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F22"/>
  </w:style>
  <w:style w:type="paragraph" w:styleId="Footer">
    <w:name w:val="footer"/>
    <w:basedOn w:val="Normal"/>
    <w:link w:val="FooterChar"/>
    <w:uiPriority w:val="99"/>
    <w:unhideWhenUsed/>
    <w:rsid w:val="00DF0F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F22"/>
  </w:style>
  <w:style w:type="character" w:styleId="Hyperlink">
    <w:name w:val="Hyperlink"/>
    <w:basedOn w:val="DefaultParagraphFont"/>
    <w:uiPriority w:val="99"/>
    <w:unhideWhenUsed/>
    <w:rsid w:val="00BE7F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5533</Words>
  <Characters>31543</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Thomas,Jessica swp6578</dc:creator>
  <cp:keywords/>
  <dc:description/>
  <cp:lastModifiedBy>Sarah Jones (IMH)</cp:lastModifiedBy>
  <cp:revision>2</cp:revision>
  <dcterms:created xsi:type="dcterms:W3CDTF">2021-02-16T09:12:00Z</dcterms:created>
  <dcterms:modified xsi:type="dcterms:W3CDTF">2021-02-16T09:12:00Z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c22e39c3-133b-4a00-b52c-059b57eab7a4</vt:lpwstr>
  </property>
  <property fmtid="{D5CDD505-2E9C-101B-9397-08002B2CF9AE}" pid="3" name="Classification">
    <vt:lpwstr>OFFICIAL</vt:lpwstr>
  </property>
  <property fmtid="{D5CDD505-2E9C-101B-9397-08002B2CF9AE}" pid="4" name="Visibility">
    <vt:lpwstr>NOT VISIBLE</vt:lpwstr>
  </property>
</Properties>
</file>