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7AE278D7" w14:textId="08161DEA" w:rsidR="007D1947" w:rsidRPr="00F06156" w:rsidRDefault="007D1947" w:rsidP="008C014A">
          <w:pPr>
            <w:pStyle w:val="NoSpacing"/>
            <w:spacing w:before="1540" w:after="240" w:line="360" w:lineRule="auto"/>
            <w:jc w:val="center"/>
            <w:rPr>
              <w:rFonts w:ascii="Arial" w:hAnsi="Arial" w:cs="Arial"/>
              <w:color w:val="5B9BD5" w:themeColor="accent1"/>
              <w:sz w:val="24"/>
              <w:szCs w:val="24"/>
            </w:rPr>
          </w:pPr>
          <w:r w:rsidRPr="00F06156">
            <w:rPr>
              <w:rFonts w:ascii="Arial" w:hAnsi="Arial" w:cs="Arial"/>
              <w:noProof/>
              <w:color w:val="5B9BD5" w:themeColor="accent1"/>
              <w:sz w:val="24"/>
              <w:szCs w:val="24"/>
              <w:lang w:val="en-GB" w:eastAsia="en-GB"/>
            </w:rPr>
            <w:drawing>
              <wp:inline distT="0" distB="0" distL="0" distR="0" wp14:anchorId="7AE27984" wp14:editId="7AE279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5BEF5B8" w14:textId="49E5636B" w:rsidR="001E44A5" w:rsidRPr="008C014A" w:rsidRDefault="000511CD" w:rsidP="008C014A">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34"/>
              <w:szCs w:val="34"/>
            </w:rPr>
          </w:pPr>
          <w:r w:rsidRPr="008C014A">
            <w:rPr>
              <w:rFonts w:ascii="Arial" w:eastAsiaTheme="majorEastAsia" w:hAnsi="Arial" w:cs="Arial"/>
              <w:caps/>
              <w:color w:val="5B9BD5" w:themeColor="accent1"/>
              <w:sz w:val="34"/>
              <w:szCs w:val="34"/>
            </w:rPr>
            <w:t>Financial Management for the Hotel Industry</w:t>
          </w:r>
        </w:p>
        <w:p w14:paraId="7AE278D9" w14:textId="0023D5F8" w:rsidR="007D1947" w:rsidRPr="008C014A" w:rsidRDefault="00C64B63" w:rsidP="008C014A">
          <w:pPr>
            <w:pStyle w:val="NoSpacing"/>
            <w:pBdr>
              <w:top w:val="single" w:sz="6" w:space="6" w:color="5B9BD5" w:themeColor="accent1"/>
              <w:bottom w:val="single" w:sz="6" w:space="6" w:color="5B9BD5" w:themeColor="accent1"/>
            </w:pBdr>
            <w:spacing w:after="240" w:line="360" w:lineRule="auto"/>
            <w:jc w:val="center"/>
            <w:rPr>
              <w:rFonts w:ascii="Arial" w:hAnsi="Arial" w:cs="Arial"/>
              <w:color w:val="5B9BD5" w:themeColor="accent1"/>
              <w:sz w:val="34"/>
              <w:szCs w:val="34"/>
            </w:rPr>
          </w:pPr>
          <w:sdt>
            <w:sdtPr>
              <w:rPr>
                <w:rFonts w:ascii="Arial" w:hAnsi="Arial" w:cs="Arial"/>
                <w:color w:val="5B9BD5" w:themeColor="accent1"/>
                <w:sz w:val="34"/>
                <w:szCs w:val="3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r w:rsidR="000511CD" w:rsidRPr="008C014A">
                <w:rPr>
                  <w:rFonts w:ascii="Arial" w:hAnsi="Arial" w:cs="Arial"/>
                  <w:color w:val="5B9BD5" w:themeColor="accent1"/>
                  <w:sz w:val="34"/>
                  <w:szCs w:val="34"/>
                </w:rPr>
                <w:t>Analysis of the Financial Statements</w:t>
              </w:r>
            </w:sdtContent>
          </w:sdt>
        </w:p>
        <w:p w14:paraId="7AE278DA" w14:textId="21E4DE80" w:rsidR="007D1947" w:rsidRPr="00F06156" w:rsidRDefault="007D1947" w:rsidP="008C014A">
          <w:pPr>
            <w:pStyle w:val="NoSpacing"/>
            <w:spacing w:before="480" w:line="360" w:lineRule="auto"/>
            <w:jc w:val="center"/>
            <w:rPr>
              <w:rFonts w:ascii="Arial" w:hAnsi="Arial" w:cs="Arial"/>
              <w:color w:val="5B9BD5" w:themeColor="accent1"/>
              <w:sz w:val="24"/>
              <w:szCs w:val="24"/>
            </w:rPr>
          </w:pPr>
          <w:r w:rsidRPr="00F06156">
            <w:rPr>
              <w:rFonts w:ascii="Arial" w:hAnsi="Arial" w:cs="Arial"/>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7AE27986" wp14:editId="7AE2798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E2798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7AE2798B" w14:textId="77777777" w:rsidR="007D1947" w:rsidRDefault="00C64B6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AE2798C" w14:textId="77777777" w:rsidR="007D1947" w:rsidRDefault="00C64B6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E2798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AE2798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7AE2798B" w14:textId="77777777" w:rsidR="007D1947" w:rsidRDefault="00F0615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AE2798C" w14:textId="77777777" w:rsidR="007D1947" w:rsidRDefault="00F0615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F06156">
            <w:rPr>
              <w:rFonts w:ascii="Arial" w:hAnsi="Arial" w:cs="Arial"/>
              <w:noProof/>
              <w:color w:val="5B9BD5" w:themeColor="accent1"/>
              <w:sz w:val="24"/>
              <w:szCs w:val="24"/>
              <w:lang w:val="en-GB" w:eastAsia="en-GB"/>
            </w:rPr>
            <w:drawing>
              <wp:inline distT="0" distB="0" distL="0" distR="0" wp14:anchorId="7AE27988" wp14:editId="7AE2798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C4A61E" w14:textId="6641D5BE" w:rsidR="00CC6691" w:rsidRDefault="00CC6691" w:rsidP="00F06156">
          <w:pPr>
            <w:pStyle w:val="Heading1"/>
            <w:spacing w:line="360" w:lineRule="auto"/>
            <w:rPr>
              <w:rFonts w:ascii="Arial" w:hAnsi="Arial" w:cs="Arial"/>
              <w:sz w:val="24"/>
              <w:szCs w:val="24"/>
            </w:rPr>
          </w:pPr>
        </w:p>
        <w:p w14:paraId="4DB90DE5" w14:textId="0A79BD8D" w:rsidR="00D17388" w:rsidRDefault="00D17388" w:rsidP="00D17388">
          <w:pPr>
            <w:pStyle w:val="Heading1"/>
            <w:spacing w:line="360" w:lineRule="auto"/>
            <w:rPr>
              <w:rFonts w:ascii="Arial" w:hAnsi="Arial" w:cs="Arial"/>
              <w:sz w:val="24"/>
              <w:szCs w:val="24"/>
            </w:rPr>
          </w:pPr>
        </w:p>
        <w:p w14:paraId="7D92E6D6" w14:textId="1CE35A7A" w:rsidR="00D17388" w:rsidRDefault="00D17388" w:rsidP="00D17388">
          <w:r>
            <w:t>Student Name: Md Saiful Islam</w:t>
          </w:r>
        </w:p>
        <w:p w14:paraId="77040226" w14:textId="36322BBC" w:rsidR="00D17388" w:rsidRDefault="00D17388" w:rsidP="00D17388">
          <w:r>
            <w:t>Student ID: 2016119</w:t>
          </w:r>
        </w:p>
        <w:p w14:paraId="3DC48BA9" w14:textId="78A1A6F0" w:rsidR="00D17388" w:rsidRDefault="00D17388" w:rsidP="00D17388">
          <w:r>
            <w:t>Module Title: Financial Management BMIH5007</w:t>
          </w:r>
        </w:p>
        <w:p w14:paraId="6C8E2EFC" w14:textId="064EAE69" w:rsidR="00D17388" w:rsidRPr="00D17388" w:rsidRDefault="00D17388" w:rsidP="00D17388">
          <w:r>
            <w:t>Lecturer Name: Dale Clarke</w:t>
          </w:r>
        </w:p>
        <w:p w14:paraId="65A2FCB9" w14:textId="77777777" w:rsidR="00CC6691" w:rsidRPr="00CC6691" w:rsidRDefault="00CC6691" w:rsidP="00CC6691"/>
        <w:p w14:paraId="7AE278DB" w14:textId="5925C1DC" w:rsidR="007D1947" w:rsidRPr="00F06156" w:rsidRDefault="007D1947" w:rsidP="00F06156">
          <w:pPr>
            <w:pStyle w:val="Heading1"/>
            <w:spacing w:line="360" w:lineRule="auto"/>
            <w:rPr>
              <w:rFonts w:ascii="Arial" w:hAnsi="Arial" w:cs="Arial"/>
              <w:sz w:val="24"/>
              <w:szCs w:val="24"/>
            </w:rPr>
          </w:pPr>
          <w:r w:rsidRPr="00F06156">
            <w:rPr>
              <w:rFonts w:ascii="Arial" w:hAnsi="Arial" w:cs="Arial"/>
              <w:sz w:val="24"/>
              <w:szCs w:val="24"/>
            </w:rPr>
            <w:br w:type="page"/>
          </w:r>
          <w:bookmarkStart w:id="0" w:name="_Toc104108525"/>
          <w:r w:rsidRPr="00F06156">
            <w:rPr>
              <w:rFonts w:ascii="Arial" w:hAnsi="Arial" w:cs="Arial"/>
              <w:sz w:val="24"/>
              <w:szCs w:val="24"/>
            </w:rPr>
            <w:lastRenderedPageBreak/>
            <w:t>Executive Summary</w:t>
          </w:r>
          <w:bookmarkEnd w:id="0"/>
        </w:p>
        <w:p w14:paraId="0488CCB8" w14:textId="1E3BBDE4" w:rsidR="00792BA5" w:rsidRPr="00F06156" w:rsidRDefault="00792BA5" w:rsidP="00F06156">
          <w:pPr>
            <w:spacing w:line="360" w:lineRule="auto"/>
            <w:rPr>
              <w:rFonts w:cs="Arial"/>
              <w:szCs w:val="24"/>
            </w:rPr>
          </w:pPr>
          <w:r w:rsidRPr="00F06156">
            <w:rPr>
              <w:rFonts w:cs="Arial"/>
              <w:szCs w:val="24"/>
            </w:rPr>
            <w:t xml:space="preserve">The following financial ratio is of interest to stockholders, short-term lenders, and long-term lenders alike: quick ratio, current ratio, and debt-to-equity ratio. Short-term lenders have a strong preference for the liquidity ratio (quick ratio). This ratio becomes more important when </w:t>
          </w:r>
          <w:r w:rsidR="00F705DC">
            <w:rPr>
              <w:rFonts w:cs="Arial"/>
              <w:szCs w:val="24"/>
            </w:rPr>
            <w:t>users</w:t>
          </w:r>
          <w:r w:rsidRPr="00F06156">
            <w:rPr>
              <w:rFonts w:cs="Arial"/>
              <w:szCs w:val="24"/>
            </w:rPr>
            <w:t xml:space="preserve"> extend </w:t>
          </w:r>
          <w:r w:rsidR="00F705DC">
            <w:rPr>
              <w:rFonts w:cs="Arial"/>
              <w:szCs w:val="24"/>
            </w:rPr>
            <w:t>the</w:t>
          </w:r>
          <w:r w:rsidRPr="00F06156">
            <w:rPr>
              <w:rFonts w:cs="Arial"/>
              <w:szCs w:val="24"/>
            </w:rPr>
            <w:t xml:space="preserve"> sense of responsibility for the short term to the form</w:t>
          </w:r>
          <w:r w:rsidR="00F705DC">
            <w:rPr>
              <w:rFonts w:cs="Arial"/>
              <w:szCs w:val="24"/>
            </w:rPr>
            <w:t xml:space="preserve"> (Mautz et al., 2022)</w:t>
          </w:r>
          <w:r w:rsidRPr="00F06156">
            <w:rPr>
              <w:rFonts w:cs="Arial"/>
              <w:szCs w:val="24"/>
            </w:rPr>
            <w:t>.</w:t>
          </w:r>
          <w:r w:rsidR="00AF2898">
            <w:rPr>
              <w:rFonts w:cs="Arial"/>
              <w:szCs w:val="24"/>
            </w:rPr>
            <w:t xml:space="preserve"> </w:t>
          </w:r>
          <w:r w:rsidRPr="00F06156">
            <w:rPr>
              <w:rFonts w:cs="Arial"/>
              <w:szCs w:val="24"/>
            </w:rPr>
            <w:t>Lenders working with longer terms make use of the solvency ratio. A creditor with a long-term investment in the company might gain an idea of the company's ability to repay the debt by using this ratio</w:t>
          </w:r>
          <w:r w:rsidR="00AF2898">
            <w:rPr>
              <w:rFonts w:cs="Arial"/>
              <w:szCs w:val="24"/>
            </w:rPr>
            <w:t xml:space="preserve"> </w:t>
          </w:r>
          <w:r w:rsidR="00147AB8">
            <w:rPr>
              <w:rFonts w:cs="Arial"/>
              <w:szCs w:val="24"/>
            </w:rPr>
            <w:t>(Lesakova, 2021)</w:t>
          </w:r>
          <w:r w:rsidRPr="00F06156">
            <w:rPr>
              <w:rFonts w:cs="Arial"/>
              <w:szCs w:val="24"/>
            </w:rPr>
            <w:t>.</w:t>
          </w:r>
        </w:p>
        <w:p w14:paraId="0025D6BD" w14:textId="004FCFB6" w:rsidR="006A6D21" w:rsidRPr="00F06156" w:rsidRDefault="00792BA5" w:rsidP="00F06156">
          <w:pPr>
            <w:spacing w:line="360" w:lineRule="auto"/>
            <w:rPr>
              <w:rFonts w:cs="Arial"/>
              <w:szCs w:val="24"/>
            </w:rPr>
          </w:pPr>
          <w:r w:rsidRPr="00F06156">
            <w:rPr>
              <w:rFonts w:cs="Arial"/>
              <w:szCs w:val="24"/>
            </w:rPr>
            <w:t xml:space="preserve">As a direct consequence of this, </w:t>
          </w:r>
          <w:r w:rsidR="00316EDC">
            <w:rPr>
              <w:rFonts w:cs="Arial"/>
              <w:szCs w:val="24"/>
            </w:rPr>
            <w:t>a corporation must</w:t>
          </w:r>
          <w:r w:rsidRPr="00F06156">
            <w:rPr>
              <w:rFonts w:cs="Arial"/>
              <w:szCs w:val="24"/>
            </w:rPr>
            <w:t xml:space="preserve"> utilise both financial ratios and financial analytical procedures. It is essential to employ them alternately because this reveals both their strong points and their weak points, as well as how well they can compete with one another.</w:t>
          </w:r>
          <w:r w:rsidR="00BD79AE">
            <w:rPr>
              <w:rFonts w:cs="Arial"/>
              <w:szCs w:val="24"/>
            </w:rPr>
            <w:t xml:space="preserve"> The Following Assignment provides the ratio analysis of Hilton Incorporation for the years 2019 and 2020 where </w:t>
          </w:r>
          <w:r w:rsidR="00316EDC">
            <w:rPr>
              <w:rFonts w:cs="Arial"/>
              <w:szCs w:val="24"/>
            </w:rPr>
            <w:t xml:space="preserve">the </w:t>
          </w:r>
          <w:r w:rsidR="00BD79AE">
            <w:rPr>
              <w:rFonts w:cs="Arial"/>
              <w:szCs w:val="24"/>
            </w:rPr>
            <w:t>year 2020 provides negative results in maximum cases.</w:t>
          </w:r>
          <w:r w:rsidR="006A6D21" w:rsidRPr="00F06156">
            <w:rPr>
              <w:rFonts w:cs="Arial"/>
              <w:szCs w:val="24"/>
            </w:rPr>
            <w:br w:type="page"/>
          </w: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7E557C38" w14:textId="77777777" w:rsidR="006A6D21" w:rsidRPr="00F06156" w:rsidRDefault="006A6D21" w:rsidP="00F06156">
              <w:pPr>
                <w:pStyle w:val="TOCHeading"/>
                <w:spacing w:line="360" w:lineRule="auto"/>
                <w:rPr>
                  <w:rFonts w:ascii="Arial" w:hAnsi="Arial" w:cs="Arial"/>
                  <w:sz w:val="24"/>
                  <w:szCs w:val="24"/>
                </w:rPr>
              </w:pPr>
              <w:r w:rsidRPr="00F06156">
                <w:rPr>
                  <w:rFonts w:ascii="Arial" w:hAnsi="Arial" w:cs="Arial"/>
                  <w:sz w:val="24"/>
                  <w:szCs w:val="24"/>
                </w:rPr>
                <w:t>Table of Contents</w:t>
              </w:r>
            </w:p>
            <w:p w14:paraId="32FDDC99" w14:textId="268C6885" w:rsidR="008C014A" w:rsidRDefault="006A6D21">
              <w:pPr>
                <w:pStyle w:val="TOC1"/>
                <w:tabs>
                  <w:tab w:val="right" w:leader="dot" w:pos="9016"/>
                </w:tabs>
                <w:rPr>
                  <w:rFonts w:asciiTheme="minorHAnsi" w:eastAsiaTheme="minorEastAsia" w:hAnsiTheme="minorHAnsi"/>
                  <w:noProof/>
                  <w:sz w:val="22"/>
                  <w:lang w:val="en-US"/>
                </w:rPr>
              </w:pPr>
              <w:r w:rsidRPr="00F06156">
                <w:rPr>
                  <w:rFonts w:cs="Arial"/>
                  <w:szCs w:val="24"/>
                </w:rPr>
                <w:fldChar w:fldCharType="begin"/>
              </w:r>
              <w:r w:rsidRPr="00F06156">
                <w:rPr>
                  <w:rFonts w:cs="Arial"/>
                  <w:szCs w:val="24"/>
                </w:rPr>
                <w:instrText xml:space="preserve"> TOC \o "1-3" \h \z \u </w:instrText>
              </w:r>
              <w:r w:rsidRPr="00F06156">
                <w:rPr>
                  <w:rFonts w:cs="Arial"/>
                  <w:szCs w:val="24"/>
                </w:rPr>
                <w:fldChar w:fldCharType="separate"/>
              </w:r>
              <w:hyperlink w:anchor="_Toc104108525" w:history="1">
                <w:r w:rsidR="008C014A" w:rsidRPr="00252306">
                  <w:rPr>
                    <w:rStyle w:val="Hyperlink"/>
                    <w:rFonts w:cs="Arial"/>
                    <w:noProof/>
                  </w:rPr>
                  <w:t>Executive Summary</w:t>
                </w:r>
                <w:r w:rsidR="008C014A">
                  <w:rPr>
                    <w:noProof/>
                    <w:webHidden/>
                  </w:rPr>
                  <w:tab/>
                </w:r>
                <w:r w:rsidR="008C014A">
                  <w:rPr>
                    <w:noProof/>
                    <w:webHidden/>
                  </w:rPr>
                  <w:fldChar w:fldCharType="begin"/>
                </w:r>
                <w:r w:rsidR="008C014A">
                  <w:rPr>
                    <w:noProof/>
                    <w:webHidden/>
                  </w:rPr>
                  <w:instrText xml:space="preserve"> PAGEREF _Toc104108525 \h </w:instrText>
                </w:r>
                <w:r w:rsidR="008C014A">
                  <w:rPr>
                    <w:noProof/>
                    <w:webHidden/>
                  </w:rPr>
                </w:r>
                <w:r w:rsidR="008C014A">
                  <w:rPr>
                    <w:noProof/>
                    <w:webHidden/>
                  </w:rPr>
                  <w:fldChar w:fldCharType="separate"/>
                </w:r>
                <w:r w:rsidR="008C014A">
                  <w:rPr>
                    <w:noProof/>
                    <w:webHidden/>
                  </w:rPr>
                  <w:t>1</w:t>
                </w:r>
                <w:r w:rsidR="008C014A">
                  <w:rPr>
                    <w:noProof/>
                    <w:webHidden/>
                  </w:rPr>
                  <w:fldChar w:fldCharType="end"/>
                </w:r>
              </w:hyperlink>
            </w:p>
            <w:p w14:paraId="5004A1AA" w14:textId="768EC957" w:rsidR="008C014A" w:rsidRDefault="00C64B63">
              <w:pPr>
                <w:pStyle w:val="TOC1"/>
                <w:tabs>
                  <w:tab w:val="right" w:leader="dot" w:pos="9016"/>
                </w:tabs>
                <w:rPr>
                  <w:rFonts w:asciiTheme="minorHAnsi" w:eastAsiaTheme="minorEastAsia" w:hAnsiTheme="minorHAnsi"/>
                  <w:noProof/>
                  <w:sz w:val="22"/>
                  <w:lang w:val="en-US"/>
                </w:rPr>
              </w:pPr>
              <w:hyperlink w:anchor="_Toc104108526" w:history="1">
                <w:r w:rsidR="008C014A" w:rsidRPr="00252306">
                  <w:rPr>
                    <w:rStyle w:val="Hyperlink"/>
                    <w:rFonts w:cs="Arial"/>
                    <w:noProof/>
                  </w:rPr>
                  <w:t>Introduction</w:t>
                </w:r>
                <w:r w:rsidR="008C014A">
                  <w:rPr>
                    <w:noProof/>
                    <w:webHidden/>
                  </w:rPr>
                  <w:tab/>
                </w:r>
                <w:r w:rsidR="008C014A">
                  <w:rPr>
                    <w:noProof/>
                    <w:webHidden/>
                  </w:rPr>
                  <w:fldChar w:fldCharType="begin"/>
                </w:r>
                <w:r w:rsidR="008C014A">
                  <w:rPr>
                    <w:noProof/>
                    <w:webHidden/>
                  </w:rPr>
                  <w:instrText xml:space="preserve"> PAGEREF _Toc104108526 \h </w:instrText>
                </w:r>
                <w:r w:rsidR="008C014A">
                  <w:rPr>
                    <w:noProof/>
                    <w:webHidden/>
                  </w:rPr>
                </w:r>
                <w:r w:rsidR="008C014A">
                  <w:rPr>
                    <w:noProof/>
                    <w:webHidden/>
                  </w:rPr>
                  <w:fldChar w:fldCharType="separate"/>
                </w:r>
                <w:r w:rsidR="008C014A">
                  <w:rPr>
                    <w:noProof/>
                    <w:webHidden/>
                  </w:rPr>
                  <w:t>3</w:t>
                </w:r>
                <w:r w:rsidR="008C014A">
                  <w:rPr>
                    <w:noProof/>
                    <w:webHidden/>
                  </w:rPr>
                  <w:fldChar w:fldCharType="end"/>
                </w:r>
              </w:hyperlink>
            </w:p>
            <w:p w14:paraId="5CBAC68E" w14:textId="7F1FEE45" w:rsidR="008C014A" w:rsidRDefault="00C64B63">
              <w:pPr>
                <w:pStyle w:val="TOC1"/>
                <w:tabs>
                  <w:tab w:val="right" w:leader="dot" w:pos="9016"/>
                </w:tabs>
                <w:rPr>
                  <w:rFonts w:asciiTheme="minorHAnsi" w:eastAsiaTheme="minorEastAsia" w:hAnsiTheme="minorHAnsi"/>
                  <w:noProof/>
                  <w:sz w:val="22"/>
                  <w:lang w:val="en-US"/>
                </w:rPr>
              </w:pPr>
              <w:hyperlink w:anchor="_Toc104108527" w:history="1">
                <w:r w:rsidR="008C014A" w:rsidRPr="00252306">
                  <w:rPr>
                    <w:rStyle w:val="Hyperlink"/>
                    <w:rFonts w:cs="Arial"/>
                    <w:noProof/>
                  </w:rPr>
                  <w:t>Financial Analysis</w:t>
                </w:r>
                <w:r w:rsidR="008C014A">
                  <w:rPr>
                    <w:noProof/>
                    <w:webHidden/>
                  </w:rPr>
                  <w:tab/>
                </w:r>
                <w:r w:rsidR="008C014A">
                  <w:rPr>
                    <w:noProof/>
                    <w:webHidden/>
                  </w:rPr>
                  <w:fldChar w:fldCharType="begin"/>
                </w:r>
                <w:r w:rsidR="008C014A">
                  <w:rPr>
                    <w:noProof/>
                    <w:webHidden/>
                  </w:rPr>
                  <w:instrText xml:space="preserve"> PAGEREF _Toc104108527 \h </w:instrText>
                </w:r>
                <w:r w:rsidR="008C014A">
                  <w:rPr>
                    <w:noProof/>
                    <w:webHidden/>
                  </w:rPr>
                </w:r>
                <w:r w:rsidR="008C014A">
                  <w:rPr>
                    <w:noProof/>
                    <w:webHidden/>
                  </w:rPr>
                  <w:fldChar w:fldCharType="separate"/>
                </w:r>
                <w:r w:rsidR="008C014A">
                  <w:rPr>
                    <w:noProof/>
                    <w:webHidden/>
                  </w:rPr>
                  <w:t>3</w:t>
                </w:r>
                <w:r w:rsidR="008C014A">
                  <w:rPr>
                    <w:noProof/>
                    <w:webHidden/>
                  </w:rPr>
                  <w:fldChar w:fldCharType="end"/>
                </w:r>
              </w:hyperlink>
            </w:p>
            <w:p w14:paraId="04602096" w14:textId="5A5AA58D" w:rsidR="008C014A" w:rsidRDefault="00C64B63">
              <w:pPr>
                <w:pStyle w:val="TOC1"/>
                <w:tabs>
                  <w:tab w:val="right" w:leader="dot" w:pos="9016"/>
                </w:tabs>
                <w:rPr>
                  <w:rFonts w:asciiTheme="minorHAnsi" w:eastAsiaTheme="minorEastAsia" w:hAnsiTheme="minorHAnsi"/>
                  <w:noProof/>
                  <w:sz w:val="22"/>
                  <w:lang w:val="en-US"/>
                </w:rPr>
              </w:pPr>
              <w:hyperlink w:anchor="_Toc104108528" w:history="1">
                <w:r w:rsidR="008C014A" w:rsidRPr="00252306">
                  <w:rPr>
                    <w:rStyle w:val="Hyperlink"/>
                    <w:rFonts w:cs="Arial"/>
                    <w:noProof/>
                  </w:rPr>
                  <w:t>Financial Analysis Trends</w:t>
                </w:r>
                <w:r w:rsidR="008C014A">
                  <w:rPr>
                    <w:noProof/>
                    <w:webHidden/>
                  </w:rPr>
                  <w:tab/>
                </w:r>
                <w:r w:rsidR="008C014A">
                  <w:rPr>
                    <w:noProof/>
                    <w:webHidden/>
                  </w:rPr>
                  <w:fldChar w:fldCharType="begin"/>
                </w:r>
                <w:r w:rsidR="008C014A">
                  <w:rPr>
                    <w:noProof/>
                    <w:webHidden/>
                  </w:rPr>
                  <w:instrText xml:space="preserve"> PAGEREF _Toc104108528 \h </w:instrText>
                </w:r>
                <w:r w:rsidR="008C014A">
                  <w:rPr>
                    <w:noProof/>
                    <w:webHidden/>
                  </w:rPr>
                </w:r>
                <w:r w:rsidR="008C014A">
                  <w:rPr>
                    <w:noProof/>
                    <w:webHidden/>
                  </w:rPr>
                  <w:fldChar w:fldCharType="separate"/>
                </w:r>
                <w:r w:rsidR="008C014A">
                  <w:rPr>
                    <w:noProof/>
                    <w:webHidden/>
                  </w:rPr>
                  <w:t>7</w:t>
                </w:r>
                <w:r w:rsidR="008C014A">
                  <w:rPr>
                    <w:noProof/>
                    <w:webHidden/>
                  </w:rPr>
                  <w:fldChar w:fldCharType="end"/>
                </w:r>
              </w:hyperlink>
            </w:p>
            <w:p w14:paraId="76CEDCA7" w14:textId="20FE5C5D" w:rsidR="008C014A" w:rsidRDefault="00C64B63">
              <w:pPr>
                <w:pStyle w:val="TOC2"/>
                <w:tabs>
                  <w:tab w:val="right" w:leader="dot" w:pos="9016"/>
                </w:tabs>
                <w:rPr>
                  <w:rFonts w:asciiTheme="minorHAnsi" w:eastAsiaTheme="minorEastAsia" w:hAnsiTheme="minorHAnsi"/>
                  <w:noProof/>
                  <w:sz w:val="22"/>
                  <w:lang w:val="en-US"/>
                </w:rPr>
              </w:pPr>
              <w:hyperlink w:anchor="_Toc104108529" w:history="1">
                <w:r w:rsidR="008C014A" w:rsidRPr="00252306">
                  <w:rPr>
                    <w:rStyle w:val="Hyperlink"/>
                    <w:rFonts w:cs="Arial"/>
                    <w:noProof/>
                  </w:rPr>
                  <w:t>Profitability</w:t>
                </w:r>
                <w:r w:rsidR="008C014A">
                  <w:rPr>
                    <w:noProof/>
                    <w:webHidden/>
                  </w:rPr>
                  <w:tab/>
                </w:r>
                <w:r w:rsidR="008C014A">
                  <w:rPr>
                    <w:noProof/>
                    <w:webHidden/>
                  </w:rPr>
                  <w:fldChar w:fldCharType="begin"/>
                </w:r>
                <w:r w:rsidR="008C014A">
                  <w:rPr>
                    <w:noProof/>
                    <w:webHidden/>
                  </w:rPr>
                  <w:instrText xml:space="preserve"> PAGEREF _Toc104108529 \h </w:instrText>
                </w:r>
                <w:r w:rsidR="008C014A">
                  <w:rPr>
                    <w:noProof/>
                    <w:webHidden/>
                  </w:rPr>
                </w:r>
                <w:r w:rsidR="008C014A">
                  <w:rPr>
                    <w:noProof/>
                    <w:webHidden/>
                  </w:rPr>
                  <w:fldChar w:fldCharType="separate"/>
                </w:r>
                <w:r w:rsidR="008C014A">
                  <w:rPr>
                    <w:noProof/>
                    <w:webHidden/>
                  </w:rPr>
                  <w:t>7</w:t>
                </w:r>
                <w:r w:rsidR="008C014A">
                  <w:rPr>
                    <w:noProof/>
                    <w:webHidden/>
                  </w:rPr>
                  <w:fldChar w:fldCharType="end"/>
                </w:r>
              </w:hyperlink>
            </w:p>
            <w:p w14:paraId="78F3DB6A" w14:textId="1D4EA177" w:rsidR="008C014A" w:rsidRDefault="00C64B63">
              <w:pPr>
                <w:pStyle w:val="TOC2"/>
                <w:tabs>
                  <w:tab w:val="right" w:leader="dot" w:pos="9016"/>
                </w:tabs>
                <w:rPr>
                  <w:rFonts w:asciiTheme="minorHAnsi" w:eastAsiaTheme="minorEastAsia" w:hAnsiTheme="minorHAnsi"/>
                  <w:noProof/>
                  <w:sz w:val="22"/>
                  <w:lang w:val="en-US"/>
                </w:rPr>
              </w:pPr>
              <w:hyperlink w:anchor="_Toc104108530" w:history="1">
                <w:r w:rsidR="008C014A" w:rsidRPr="00252306">
                  <w:rPr>
                    <w:rStyle w:val="Hyperlink"/>
                    <w:rFonts w:cs="Arial"/>
                    <w:noProof/>
                  </w:rPr>
                  <w:t>Liquidity</w:t>
                </w:r>
                <w:r w:rsidR="008C014A">
                  <w:rPr>
                    <w:noProof/>
                    <w:webHidden/>
                  </w:rPr>
                  <w:tab/>
                </w:r>
                <w:r w:rsidR="008C014A">
                  <w:rPr>
                    <w:noProof/>
                    <w:webHidden/>
                  </w:rPr>
                  <w:fldChar w:fldCharType="begin"/>
                </w:r>
                <w:r w:rsidR="008C014A">
                  <w:rPr>
                    <w:noProof/>
                    <w:webHidden/>
                  </w:rPr>
                  <w:instrText xml:space="preserve"> PAGEREF _Toc104108530 \h </w:instrText>
                </w:r>
                <w:r w:rsidR="008C014A">
                  <w:rPr>
                    <w:noProof/>
                    <w:webHidden/>
                  </w:rPr>
                </w:r>
                <w:r w:rsidR="008C014A">
                  <w:rPr>
                    <w:noProof/>
                    <w:webHidden/>
                  </w:rPr>
                  <w:fldChar w:fldCharType="separate"/>
                </w:r>
                <w:r w:rsidR="008C014A">
                  <w:rPr>
                    <w:noProof/>
                    <w:webHidden/>
                  </w:rPr>
                  <w:t>8</w:t>
                </w:r>
                <w:r w:rsidR="008C014A">
                  <w:rPr>
                    <w:noProof/>
                    <w:webHidden/>
                  </w:rPr>
                  <w:fldChar w:fldCharType="end"/>
                </w:r>
              </w:hyperlink>
            </w:p>
            <w:p w14:paraId="3E356F50" w14:textId="1C0008A1" w:rsidR="008C014A" w:rsidRDefault="00C64B63">
              <w:pPr>
                <w:pStyle w:val="TOC2"/>
                <w:tabs>
                  <w:tab w:val="right" w:leader="dot" w:pos="9016"/>
                </w:tabs>
                <w:rPr>
                  <w:rFonts w:asciiTheme="minorHAnsi" w:eastAsiaTheme="minorEastAsia" w:hAnsiTheme="minorHAnsi"/>
                  <w:noProof/>
                  <w:sz w:val="22"/>
                  <w:lang w:val="en-US"/>
                </w:rPr>
              </w:pPr>
              <w:hyperlink w:anchor="_Toc104108531" w:history="1">
                <w:r w:rsidR="008C014A" w:rsidRPr="00252306">
                  <w:rPr>
                    <w:rStyle w:val="Hyperlink"/>
                    <w:rFonts w:cs="Arial"/>
                    <w:noProof/>
                  </w:rPr>
                  <w:t>Gearing</w:t>
                </w:r>
                <w:r w:rsidR="008C014A">
                  <w:rPr>
                    <w:noProof/>
                    <w:webHidden/>
                  </w:rPr>
                  <w:tab/>
                </w:r>
                <w:r w:rsidR="008C014A">
                  <w:rPr>
                    <w:noProof/>
                    <w:webHidden/>
                  </w:rPr>
                  <w:fldChar w:fldCharType="begin"/>
                </w:r>
                <w:r w:rsidR="008C014A">
                  <w:rPr>
                    <w:noProof/>
                    <w:webHidden/>
                  </w:rPr>
                  <w:instrText xml:space="preserve"> PAGEREF _Toc104108531 \h </w:instrText>
                </w:r>
                <w:r w:rsidR="008C014A">
                  <w:rPr>
                    <w:noProof/>
                    <w:webHidden/>
                  </w:rPr>
                </w:r>
                <w:r w:rsidR="008C014A">
                  <w:rPr>
                    <w:noProof/>
                    <w:webHidden/>
                  </w:rPr>
                  <w:fldChar w:fldCharType="separate"/>
                </w:r>
                <w:r w:rsidR="008C014A">
                  <w:rPr>
                    <w:noProof/>
                    <w:webHidden/>
                  </w:rPr>
                  <w:t>8</w:t>
                </w:r>
                <w:r w:rsidR="008C014A">
                  <w:rPr>
                    <w:noProof/>
                    <w:webHidden/>
                  </w:rPr>
                  <w:fldChar w:fldCharType="end"/>
                </w:r>
              </w:hyperlink>
            </w:p>
            <w:p w14:paraId="22FC2901" w14:textId="241AB827" w:rsidR="008C014A" w:rsidRDefault="00C64B63">
              <w:pPr>
                <w:pStyle w:val="TOC1"/>
                <w:tabs>
                  <w:tab w:val="right" w:leader="dot" w:pos="9016"/>
                </w:tabs>
                <w:rPr>
                  <w:rFonts w:asciiTheme="minorHAnsi" w:eastAsiaTheme="minorEastAsia" w:hAnsiTheme="minorHAnsi"/>
                  <w:noProof/>
                  <w:sz w:val="22"/>
                  <w:lang w:val="en-US"/>
                </w:rPr>
              </w:pPr>
              <w:hyperlink w:anchor="_Toc104108532" w:history="1">
                <w:r w:rsidR="008C014A" w:rsidRPr="00252306">
                  <w:rPr>
                    <w:rStyle w:val="Hyperlink"/>
                    <w:rFonts w:cs="Arial"/>
                    <w:noProof/>
                  </w:rPr>
                  <w:t>Importance of Using Ratio Analysis</w:t>
                </w:r>
                <w:r w:rsidR="008C014A">
                  <w:rPr>
                    <w:noProof/>
                    <w:webHidden/>
                  </w:rPr>
                  <w:tab/>
                </w:r>
                <w:r w:rsidR="008C014A">
                  <w:rPr>
                    <w:noProof/>
                    <w:webHidden/>
                  </w:rPr>
                  <w:fldChar w:fldCharType="begin"/>
                </w:r>
                <w:r w:rsidR="008C014A">
                  <w:rPr>
                    <w:noProof/>
                    <w:webHidden/>
                  </w:rPr>
                  <w:instrText xml:space="preserve"> PAGEREF _Toc104108532 \h </w:instrText>
                </w:r>
                <w:r w:rsidR="008C014A">
                  <w:rPr>
                    <w:noProof/>
                    <w:webHidden/>
                  </w:rPr>
                </w:r>
                <w:r w:rsidR="008C014A">
                  <w:rPr>
                    <w:noProof/>
                    <w:webHidden/>
                  </w:rPr>
                  <w:fldChar w:fldCharType="separate"/>
                </w:r>
                <w:r w:rsidR="008C014A">
                  <w:rPr>
                    <w:noProof/>
                    <w:webHidden/>
                  </w:rPr>
                  <w:t>8</w:t>
                </w:r>
                <w:r w:rsidR="008C014A">
                  <w:rPr>
                    <w:noProof/>
                    <w:webHidden/>
                  </w:rPr>
                  <w:fldChar w:fldCharType="end"/>
                </w:r>
              </w:hyperlink>
            </w:p>
            <w:p w14:paraId="3EBDD624" w14:textId="59B2E044" w:rsidR="008C014A" w:rsidRDefault="00C64B63">
              <w:pPr>
                <w:pStyle w:val="TOC1"/>
                <w:tabs>
                  <w:tab w:val="right" w:leader="dot" w:pos="9016"/>
                </w:tabs>
                <w:rPr>
                  <w:rFonts w:asciiTheme="minorHAnsi" w:eastAsiaTheme="minorEastAsia" w:hAnsiTheme="minorHAnsi"/>
                  <w:noProof/>
                  <w:sz w:val="22"/>
                  <w:lang w:val="en-US"/>
                </w:rPr>
              </w:pPr>
              <w:hyperlink w:anchor="_Toc104108533" w:history="1">
                <w:r w:rsidR="008C014A" w:rsidRPr="00252306">
                  <w:rPr>
                    <w:rStyle w:val="Hyperlink"/>
                    <w:rFonts w:cs="Arial"/>
                    <w:noProof/>
                  </w:rPr>
                  <w:t>Limitations and Essentiality of doing Ratio Analysis</w:t>
                </w:r>
                <w:r w:rsidR="008C014A">
                  <w:rPr>
                    <w:noProof/>
                    <w:webHidden/>
                  </w:rPr>
                  <w:tab/>
                </w:r>
                <w:r w:rsidR="008C014A">
                  <w:rPr>
                    <w:noProof/>
                    <w:webHidden/>
                  </w:rPr>
                  <w:fldChar w:fldCharType="begin"/>
                </w:r>
                <w:r w:rsidR="008C014A">
                  <w:rPr>
                    <w:noProof/>
                    <w:webHidden/>
                  </w:rPr>
                  <w:instrText xml:space="preserve"> PAGEREF _Toc104108533 \h </w:instrText>
                </w:r>
                <w:r w:rsidR="008C014A">
                  <w:rPr>
                    <w:noProof/>
                    <w:webHidden/>
                  </w:rPr>
                </w:r>
                <w:r w:rsidR="008C014A">
                  <w:rPr>
                    <w:noProof/>
                    <w:webHidden/>
                  </w:rPr>
                  <w:fldChar w:fldCharType="separate"/>
                </w:r>
                <w:r w:rsidR="008C014A">
                  <w:rPr>
                    <w:noProof/>
                    <w:webHidden/>
                  </w:rPr>
                  <w:t>10</w:t>
                </w:r>
                <w:r w:rsidR="008C014A">
                  <w:rPr>
                    <w:noProof/>
                    <w:webHidden/>
                  </w:rPr>
                  <w:fldChar w:fldCharType="end"/>
                </w:r>
              </w:hyperlink>
            </w:p>
            <w:p w14:paraId="13CD078F" w14:textId="0D489946" w:rsidR="008C014A" w:rsidRDefault="00C64B63">
              <w:pPr>
                <w:pStyle w:val="TOC1"/>
                <w:tabs>
                  <w:tab w:val="right" w:leader="dot" w:pos="9016"/>
                </w:tabs>
                <w:rPr>
                  <w:rFonts w:asciiTheme="minorHAnsi" w:eastAsiaTheme="minorEastAsia" w:hAnsiTheme="minorHAnsi"/>
                  <w:noProof/>
                  <w:sz w:val="22"/>
                  <w:lang w:val="en-US"/>
                </w:rPr>
              </w:pPr>
              <w:hyperlink w:anchor="_Toc104108534" w:history="1">
                <w:r w:rsidR="008C014A" w:rsidRPr="00252306">
                  <w:rPr>
                    <w:rStyle w:val="Hyperlink"/>
                    <w:rFonts w:cs="Arial"/>
                    <w:noProof/>
                  </w:rPr>
                  <w:t>Conclusion</w:t>
                </w:r>
                <w:r w:rsidR="008C014A">
                  <w:rPr>
                    <w:noProof/>
                    <w:webHidden/>
                  </w:rPr>
                  <w:tab/>
                </w:r>
                <w:r w:rsidR="008C014A">
                  <w:rPr>
                    <w:noProof/>
                    <w:webHidden/>
                  </w:rPr>
                  <w:fldChar w:fldCharType="begin"/>
                </w:r>
                <w:r w:rsidR="008C014A">
                  <w:rPr>
                    <w:noProof/>
                    <w:webHidden/>
                  </w:rPr>
                  <w:instrText xml:space="preserve"> PAGEREF _Toc104108534 \h </w:instrText>
                </w:r>
                <w:r w:rsidR="008C014A">
                  <w:rPr>
                    <w:noProof/>
                    <w:webHidden/>
                  </w:rPr>
                </w:r>
                <w:r w:rsidR="008C014A">
                  <w:rPr>
                    <w:noProof/>
                    <w:webHidden/>
                  </w:rPr>
                  <w:fldChar w:fldCharType="separate"/>
                </w:r>
                <w:r w:rsidR="008C014A">
                  <w:rPr>
                    <w:noProof/>
                    <w:webHidden/>
                  </w:rPr>
                  <w:t>11</w:t>
                </w:r>
                <w:r w:rsidR="008C014A">
                  <w:rPr>
                    <w:noProof/>
                    <w:webHidden/>
                  </w:rPr>
                  <w:fldChar w:fldCharType="end"/>
                </w:r>
              </w:hyperlink>
            </w:p>
            <w:p w14:paraId="3BA7C2AE" w14:textId="56E121E9" w:rsidR="008C014A" w:rsidRDefault="00C64B63">
              <w:pPr>
                <w:pStyle w:val="TOC1"/>
                <w:tabs>
                  <w:tab w:val="right" w:leader="dot" w:pos="9016"/>
                </w:tabs>
                <w:rPr>
                  <w:rFonts w:asciiTheme="minorHAnsi" w:eastAsiaTheme="minorEastAsia" w:hAnsiTheme="minorHAnsi"/>
                  <w:noProof/>
                  <w:sz w:val="22"/>
                  <w:lang w:val="en-US"/>
                </w:rPr>
              </w:pPr>
              <w:hyperlink w:anchor="_Toc104108535" w:history="1">
                <w:r w:rsidR="008C014A" w:rsidRPr="00252306">
                  <w:rPr>
                    <w:rStyle w:val="Hyperlink"/>
                    <w:rFonts w:cs="Arial"/>
                    <w:noProof/>
                  </w:rPr>
                  <w:t>Bibliography</w:t>
                </w:r>
                <w:r w:rsidR="008C014A">
                  <w:rPr>
                    <w:noProof/>
                    <w:webHidden/>
                  </w:rPr>
                  <w:tab/>
                </w:r>
                <w:r w:rsidR="008C014A">
                  <w:rPr>
                    <w:noProof/>
                    <w:webHidden/>
                  </w:rPr>
                  <w:fldChar w:fldCharType="begin"/>
                </w:r>
                <w:r w:rsidR="008C014A">
                  <w:rPr>
                    <w:noProof/>
                    <w:webHidden/>
                  </w:rPr>
                  <w:instrText xml:space="preserve"> PAGEREF _Toc104108535 \h </w:instrText>
                </w:r>
                <w:r w:rsidR="008C014A">
                  <w:rPr>
                    <w:noProof/>
                    <w:webHidden/>
                  </w:rPr>
                </w:r>
                <w:r w:rsidR="008C014A">
                  <w:rPr>
                    <w:noProof/>
                    <w:webHidden/>
                  </w:rPr>
                  <w:fldChar w:fldCharType="separate"/>
                </w:r>
                <w:r w:rsidR="008C014A">
                  <w:rPr>
                    <w:noProof/>
                    <w:webHidden/>
                  </w:rPr>
                  <w:t>12</w:t>
                </w:r>
                <w:r w:rsidR="008C014A">
                  <w:rPr>
                    <w:noProof/>
                    <w:webHidden/>
                  </w:rPr>
                  <w:fldChar w:fldCharType="end"/>
                </w:r>
              </w:hyperlink>
            </w:p>
            <w:p w14:paraId="3D296D6F" w14:textId="2DE45CDC" w:rsidR="007523A4" w:rsidRPr="00F06156" w:rsidRDefault="006A6D21" w:rsidP="00F06156">
              <w:pPr>
                <w:spacing w:line="360" w:lineRule="auto"/>
                <w:rPr>
                  <w:rFonts w:cs="Arial"/>
                  <w:b/>
                  <w:bCs/>
                  <w:noProof/>
                  <w:szCs w:val="24"/>
                </w:rPr>
              </w:pPr>
              <w:r w:rsidRPr="00F06156">
                <w:rPr>
                  <w:rFonts w:cs="Arial"/>
                  <w:b/>
                  <w:bCs/>
                  <w:noProof/>
                  <w:szCs w:val="24"/>
                </w:rPr>
                <w:fldChar w:fldCharType="end"/>
              </w:r>
            </w:p>
          </w:sdtContent>
        </w:sdt>
        <w:p w14:paraId="49F215BF" w14:textId="77777777" w:rsidR="007523A4" w:rsidRPr="00F06156" w:rsidRDefault="007523A4" w:rsidP="00F06156">
          <w:pPr>
            <w:spacing w:line="360" w:lineRule="auto"/>
            <w:rPr>
              <w:rFonts w:cs="Arial"/>
              <w:szCs w:val="24"/>
            </w:rPr>
          </w:pPr>
        </w:p>
        <w:p w14:paraId="164B0240" w14:textId="77777777" w:rsidR="007523A4" w:rsidRPr="00F06156" w:rsidRDefault="007523A4" w:rsidP="00F06156">
          <w:pPr>
            <w:spacing w:line="360" w:lineRule="auto"/>
            <w:rPr>
              <w:rFonts w:cs="Arial"/>
              <w:szCs w:val="24"/>
            </w:rPr>
          </w:pPr>
          <w:r w:rsidRPr="00F06156">
            <w:rPr>
              <w:rFonts w:cs="Arial"/>
              <w:szCs w:val="24"/>
            </w:rPr>
            <w:br w:type="page"/>
          </w:r>
        </w:p>
        <w:p w14:paraId="56A21CC7" w14:textId="16159775" w:rsidR="007523A4" w:rsidRPr="00F06156" w:rsidRDefault="007523A4" w:rsidP="00F06156">
          <w:pPr>
            <w:pStyle w:val="Heading1"/>
            <w:spacing w:line="360" w:lineRule="auto"/>
            <w:rPr>
              <w:rFonts w:ascii="Arial" w:hAnsi="Arial" w:cs="Arial"/>
              <w:sz w:val="24"/>
              <w:szCs w:val="24"/>
            </w:rPr>
          </w:pPr>
          <w:bookmarkStart w:id="1" w:name="_Toc104108526"/>
          <w:r w:rsidRPr="00F06156">
            <w:rPr>
              <w:rFonts w:ascii="Arial" w:hAnsi="Arial" w:cs="Arial"/>
              <w:sz w:val="24"/>
              <w:szCs w:val="24"/>
            </w:rPr>
            <w:lastRenderedPageBreak/>
            <w:t>Introduction</w:t>
          </w:r>
          <w:bookmarkEnd w:id="1"/>
        </w:p>
        <w:p w14:paraId="6B3A4955" w14:textId="09403CBD" w:rsidR="00D04C2D" w:rsidRPr="00F06156" w:rsidRDefault="00D04C2D" w:rsidP="00F06156">
          <w:pPr>
            <w:spacing w:line="360" w:lineRule="auto"/>
            <w:rPr>
              <w:rFonts w:cs="Arial"/>
              <w:szCs w:val="24"/>
            </w:rPr>
          </w:pPr>
          <w:r w:rsidRPr="00F06156">
            <w:rPr>
              <w:rFonts w:cs="Arial"/>
              <w:szCs w:val="24"/>
            </w:rPr>
            <w:t xml:space="preserve">Financial ratios can be used by business owners and managers to keep track of how their organisations are progressing toward achieving their goals. Using these ratios over a </w:t>
          </w:r>
          <w:r w:rsidR="00DE68A5" w:rsidRPr="00F06156">
            <w:rPr>
              <w:rFonts w:cs="Arial"/>
              <w:szCs w:val="24"/>
            </w:rPr>
            <w:t>whil</w:t>
          </w:r>
          <w:r w:rsidRPr="00F06156">
            <w:rPr>
              <w:rFonts w:cs="Arial"/>
              <w:szCs w:val="24"/>
            </w:rPr>
            <w:t>e reveals how company trends change over time</w:t>
          </w:r>
          <w:r w:rsidR="00147AB8">
            <w:rPr>
              <w:rFonts w:cs="Arial"/>
              <w:szCs w:val="24"/>
            </w:rPr>
            <w:t xml:space="preserve"> (Rakhmawati, 2022)</w:t>
          </w:r>
          <w:r w:rsidRPr="00F06156">
            <w:rPr>
              <w:rFonts w:cs="Arial"/>
              <w:szCs w:val="24"/>
            </w:rPr>
            <w:t>. Correlation created from financial data kept by a company and used for benchmarking is called a financial ratio. Finding the product of dividing one financial data by another produces the resulting financial ratios</w:t>
          </w:r>
          <w:r w:rsidR="003554C8">
            <w:rPr>
              <w:rFonts w:cs="Arial"/>
              <w:szCs w:val="24"/>
            </w:rPr>
            <w:t xml:space="preserve"> (Tinkelman et al., 2022)</w:t>
          </w:r>
          <w:r w:rsidRPr="00F06156">
            <w:rPr>
              <w:rFonts w:cs="Arial"/>
              <w:szCs w:val="24"/>
            </w:rPr>
            <w:t>. Financial ratios are critical to understanding a company's image at the time the underlying numbers are being calculated. One of the reasons financial ratios are so important is because of this.</w:t>
          </w:r>
        </w:p>
        <w:p w14:paraId="55600E83" w14:textId="10E022B5" w:rsidR="00DA4C62" w:rsidRPr="00F06156" w:rsidRDefault="00D04C2D" w:rsidP="00F06156">
          <w:pPr>
            <w:spacing w:line="360" w:lineRule="auto"/>
            <w:rPr>
              <w:rFonts w:cs="Arial"/>
              <w:szCs w:val="24"/>
            </w:rPr>
          </w:pPr>
          <w:r w:rsidRPr="00F06156">
            <w:rPr>
              <w:rFonts w:cs="Arial"/>
              <w:szCs w:val="24"/>
            </w:rPr>
            <w:t xml:space="preserve">However, </w:t>
          </w:r>
          <w:r w:rsidR="00DE68A5" w:rsidRPr="00F06156">
            <w:rPr>
              <w:rFonts w:cs="Arial"/>
              <w:szCs w:val="24"/>
            </w:rPr>
            <w:t xml:space="preserve">the </w:t>
          </w:r>
          <w:r w:rsidRPr="00F06156">
            <w:rPr>
              <w:rFonts w:cs="Arial"/>
              <w:szCs w:val="24"/>
            </w:rPr>
            <w:t>financial analysis examines a company's activities and transactions to determine whether or not they are reasonable and how effective they are. Analy</w:t>
          </w:r>
          <w:r w:rsidR="00A307B3">
            <w:rPr>
              <w:rFonts w:cs="Arial"/>
              <w:szCs w:val="24"/>
            </w:rPr>
            <w:t>s</w:t>
          </w:r>
          <w:r w:rsidRPr="00F06156">
            <w:rPr>
              <w:rFonts w:cs="Arial"/>
              <w:szCs w:val="24"/>
            </w:rPr>
            <w:t>ing historical financial data is fundamental to financial analysis, which aims to provide light on a company's current and future financial state</w:t>
          </w:r>
          <w:r w:rsidR="00147AB8">
            <w:rPr>
              <w:rFonts w:cs="Arial"/>
              <w:szCs w:val="24"/>
            </w:rPr>
            <w:t xml:space="preserve"> (Mautz et al., 2022)</w:t>
          </w:r>
          <w:r w:rsidRPr="00F06156">
            <w:rPr>
              <w:rFonts w:cs="Arial"/>
              <w:szCs w:val="24"/>
            </w:rPr>
            <w:t>. An evaluation's objective is to determine a company's future revenue, as well as its profitability, accountability and strengths.</w:t>
          </w:r>
          <w:r w:rsidR="00A307B3">
            <w:rPr>
              <w:rFonts w:cs="Arial"/>
              <w:szCs w:val="24"/>
            </w:rPr>
            <w:t xml:space="preserve"> Let us analyse the financial performance of Hilton Incorporation along with the limitations and importance of </w:t>
          </w:r>
          <w:r w:rsidR="00316EDC">
            <w:rPr>
              <w:rFonts w:cs="Arial"/>
              <w:szCs w:val="24"/>
            </w:rPr>
            <w:t xml:space="preserve">the </w:t>
          </w:r>
          <w:r w:rsidR="00A307B3">
            <w:rPr>
              <w:rFonts w:cs="Arial"/>
              <w:szCs w:val="24"/>
            </w:rPr>
            <w:t>Ratio Analysis discussion.</w:t>
          </w:r>
        </w:p>
        <w:p w14:paraId="67985BD0" w14:textId="330C2C35" w:rsidR="007523A4" w:rsidRDefault="007523A4" w:rsidP="00F06156">
          <w:pPr>
            <w:pStyle w:val="Heading1"/>
            <w:spacing w:line="360" w:lineRule="auto"/>
            <w:rPr>
              <w:rFonts w:ascii="Arial" w:hAnsi="Arial" w:cs="Arial"/>
              <w:sz w:val="24"/>
              <w:szCs w:val="24"/>
            </w:rPr>
          </w:pPr>
          <w:bookmarkStart w:id="2" w:name="_Toc104108527"/>
          <w:r w:rsidRPr="00F06156">
            <w:rPr>
              <w:rFonts w:ascii="Arial" w:hAnsi="Arial" w:cs="Arial"/>
              <w:sz w:val="24"/>
              <w:szCs w:val="24"/>
            </w:rPr>
            <w:t>Financial Analysis</w:t>
          </w:r>
          <w:bookmarkEnd w:id="2"/>
        </w:p>
        <w:p w14:paraId="7508AD77" w14:textId="71449720" w:rsidR="001B0EFB" w:rsidRDefault="001B0EFB" w:rsidP="001B0EFB">
          <w:r>
            <w:t>Before Analysi</w:t>
          </w:r>
          <w:r w:rsidR="004F714E">
            <w:t>ng</w:t>
          </w:r>
          <w:r>
            <w:t xml:space="preserve"> the Ratio of Hilton Incorporation, let us define the changes that occurred in the financial statement of Hilton Incorporation</w:t>
          </w:r>
          <w:r w:rsidR="004F714E">
            <w:t xml:space="preserve"> between 2020 and 2019 fiscal year.</w:t>
          </w:r>
        </w:p>
        <w:p w14:paraId="757CFE76" w14:textId="77777777" w:rsidR="001B0EFB" w:rsidRPr="00781CD3" w:rsidRDefault="001B0EFB" w:rsidP="001B0EFB">
          <w:pPr>
            <w:rPr>
              <w:rFonts w:cs="Arial"/>
              <w:b/>
              <w:sz w:val="28"/>
              <w:szCs w:val="28"/>
              <w:u w:val="single"/>
            </w:rPr>
          </w:pPr>
          <w:r>
            <w:rPr>
              <w:rFonts w:cs="Arial"/>
              <w:b/>
              <w:sz w:val="28"/>
              <w:szCs w:val="28"/>
              <w:u w:val="single"/>
            </w:rPr>
            <w:t>Income statement 2019 &amp; 2020</w:t>
          </w:r>
        </w:p>
        <w:p w14:paraId="0A2958B0" w14:textId="77777777" w:rsidR="001B0EFB" w:rsidRPr="006424EB" w:rsidRDefault="001B0EFB" w:rsidP="001B0EFB">
          <w:pPr>
            <w:rPr>
              <w:rFonts w:cs="Arial"/>
              <w:b/>
              <w:bCs/>
              <w:color w:val="232A31"/>
              <w:sz w:val="22"/>
            </w:rPr>
          </w:pPr>
          <w:r w:rsidRPr="006424EB">
            <w:rPr>
              <w:rFonts w:cs="Arial"/>
              <w:b/>
              <w:bCs/>
              <w:color w:val="232A31"/>
              <w:sz w:val="22"/>
            </w:rPr>
            <w:t>Hilton Worldwide Holdings Inc. (HLT)</w:t>
          </w:r>
        </w:p>
        <w:tbl>
          <w:tblPr>
            <w:tblStyle w:val="TableGrid"/>
            <w:tblW w:w="0" w:type="auto"/>
            <w:tblLook w:val="04A0" w:firstRow="1" w:lastRow="0" w:firstColumn="1" w:lastColumn="0" w:noHBand="0" w:noVBand="1"/>
          </w:tblPr>
          <w:tblGrid>
            <w:gridCol w:w="9016"/>
          </w:tblGrid>
          <w:tr w:rsidR="00BC468A" w:rsidRPr="00BC468A" w14:paraId="4A2E61EB" w14:textId="77777777" w:rsidTr="00BC468A">
            <w:tc>
              <w:tcPr>
                <w:tcW w:w="9016" w:type="dxa"/>
              </w:tcPr>
              <w:tbl>
                <w:tblPr>
                  <w:tblW w:w="8800" w:type="dxa"/>
                  <w:tblBorders>
                    <w:top w:val="single" w:sz="12" w:space="0" w:color="4472C4" w:themeColor="accent5"/>
                    <w:left w:val="single" w:sz="12" w:space="0" w:color="4472C4" w:themeColor="accent5"/>
                    <w:bottom w:val="single" w:sz="12" w:space="0" w:color="4472C4" w:themeColor="accent5"/>
                    <w:right w:val="single" w:sz="12" w:space="0" w:color="4472C4" w:themeColor="accent5"/>
                    <w:insideH w:val="single" w:sz="12" w:space="0" w:color="4472C4" w:themeColor="accent5"/>
                    <w:insideV w:val="single" w:sz="12" w:space="0" w:color="4472C4" w:themeColor="accent5"/>
                  </w:tblBorders>
                  <w:tblLook w:val="04A0" w:firstRow="1" w:lastRow="0" w:firstColumn="1" w:lastColumn="0" w:noHBand="0" w:noVBand="1"/>
                </w:tblPr>
                <w:tblGrid>
                  <w:gridCol w:w="2843"/>
                  <w:gridCol w:w="1433"/>
                  <w:gridCol w:w="1908"/>
                  <w:gridCol w:w="1275"/>
                  <w:gridCol w:w="1311"/>
                </w:tblGrid>
                <w:tr w:rsidR="00BC468A" w:rsidRPr="00BC468A" w14:paraId="51FB2BC4" w14:textId="77777777" w:rsidTr="00947012">
                  <w:trPr>
                    <w:trHeight w:val="288"/>
                  </w:trPr>
                  <w:tc>
                    <w:tcPr>
                      <w:tcW w:w="2853" w:type="dxa"/>
                      <w:shd w:val="clear" w:color="auto" w:fill="auto"/>
                      <w:noWrap/>
                      <w:vAlign w:val="bottom"/>
                      <w:hideMark/>
                    </w:tcPr>
                    <w:p w14:paraId="5C8A2AD8" w14:textId="77777777" w:rsidR="00BC468A" w:rsidRPr="00BC468A" w:rsidRDefault="00BC468A" w:rsidP="00FB6343">
                      <w:pPr>
                        <w:rPr>
                          <w:szCs w:val="24"/>
                        </w:rPr>
                      </w:pPr>
                    </w:p>
                  </w:tc>
                  <w:tc>
                    <w:tcPr>
                      <w:tcW w:w="1438" w:type="dxa"/>
                      <w:shd w:val="clear" w:color="auto" w:fill="auto"/>
                      <w:noWrap/>
                      <w:vAlign w:val="bottom"/>
                      <w:hideMark/>
                    </w:tcPr>
                    <w:p w14:paraId="3B9A876C" w14:textId="77777777" w:rsidR="00BC468A" w:rsidRPr="00BC468A" w:rsidRDefault="00BC468A" w:rsidP="00FB6343">
                      <w:pPr>
                        <w:jc w:val="right"/>
                        <w:rPr>
                          <w:rFonts w:ascii="Calibri" w:hAnsi="Calibri" w:cs="Calibri"/>
                          <w:color w:val="000000"/>
                          <w:sz w:val="22"/>
                        </w:rPr>
                      </w:pPr>
                      <w:r w:rsidRPr="00BC468A">
                        <w:rPr>
                          <w:rFonts w:ascii="Calibri" w:hAnsi="Calibri" w:cs="Calibri"/>
                          <w:color w:val="000000"/>
                          <w:sz w:val="22"/>
                        </w:rPr>
                        <w:t>2020</w:t>
                      </w:r>
                    </w:p>
                  </w:tc>
                  <w:tc>
                    <w:tcPr>
                      <w:tcW w:w="1915" w:type="dxa"/>
                      <w:shd w:val="clear" w:color="auto" w:fill="auto"/>
                      <w:noWrap/>
                      <w:vAlign w:val="bottom"/>
                      <w:hideMark/>
                    </w:tcPr>
                    <w:p w14:paraId="324A03BD" w14:textId="77777777" w:rsidR="00BC468A" w:rsidRPr="00BC468A" w:rsidRDefault="00BC468A" w:rsidP="00FB6343">
                      <w:pPr>
                        <w:jc w:val="right"/>
                        <w:rPr>
                          <w:rFonts w:ascii="Calibri" w:hAnsi="Calibri" w:cs="Calibri"/>
                          <w:color w:val="000000"/>
                          <w:sz w:val="22"/>
                        </w:rPr>
                      </w:pPr>
                      <w:r w:rsidRPr="00BC468A">
                        <w:rPr>
                          <w:rFonts w:ascii="Calibri" w:hAnsi="Calibri" w:cs="Calibri"/>
                          <w:color w:val="000000"/>
                          <w:sz w:val="22"/>
                        </w:rPr>
                        <w:t>2019</w:t>
                      </w:r>
                    </w:p>
                  </w:tc>
                  <w:tc>
                    <w:tcPr>
                      <w:tcW w:w="1279" w:type="dxa"/>
                      <w:shd w:val="clear" w:color="auto" w:fill="auto"/>
                      <w:noWrap/>
                      <w:vAlign w:val="bottom"/>
                      <w:hideMark/>
                    </w:tcPr>
                    <w:p w14:paraId="5C7E4AC4" w14:textId="77777777" w:rsidR="00BC468A" w:rsidRPr="00BC468A" w:rsidRDefault="00BC468A" w:rsidP="00FB6343">
                      <w:pPr>
                        <w:rPr>
                          <w:rFonts w:ascii="Calibri" w:hAnsi="Calibri" w:cs="Calibri"/>
                          <w:color w:val="000000"/>
                          <w:sz w:val="22"/>
                        </w:rPr>
                      </w:pPr>
                      <w:r w:rsidRPr="00BC468A">
                        <w:rPr>
                          <w:rFonts w:ascii="Calibri" w:hAnsi="Calibri" w:cs="Calibri"/>
                          <w:color w:val="000000"/>
                          <w:sz w:val="22"/>
                        </w:rPr>
                        <w:t>Change</w:t>
                      </w:r>
                    </w:p>
                  </w:tc>
                  <w:tc>
                    <w:tcPr>
                      <w:tcW w:w="1315" w:type="dxa"/>
                      <w:shd w:val="clear" w:color="auto" w:fill="auto"/>
                      <w:noWrap/>
                      <w:vAlign w:val="bottom"/>
                      <w:hideMark/>
                    </w:tcPr>
                    <w:p w14:paraId="74072AA0" w14:textId="77777777" w:rsidR="00BC468A" w:rsidRPr="00BC468A" w:rsidRDefault="00BC468A" w:rsidP="00FB6343">
                      <w:pPr>
                        <w:rPr>
                          <w:rFonts w:ascii="Calibri" w:hAnsi="Calibri" w:cs="Calibri"/>
                          <w:color w:val="000000"/>
                          <w:sz w:val="22"/>
                        </w:rPr>
                      </w:pPr>
                      <w:r w:rsidRPr="00BC468A">
                        <w:rPr>
                          <w:rFonts w:ascii="Calibri" w:hAnsi="Calibri" w:cs="Calibri"/>
                          <w:color w:val="000000"/>
                          <w:sz w:val="22"/>
                        </w:rPr>
                        <w:t>% Change</w:t>
                      </w:r>
                    </w:p>
                  </w:tc>
                </w:tr>
                <w:tr w:rsidR="00BC468A" w:rsidRPr="00BC468A" w14:paraId="65E6D020" w14:textId="77777777" w:rsidTr="00947012">
                  <w:trPr>
                    <w:trHeight w:val="288"/>
                  </w:trPr>
                  <w:tc>
                    <w:tcPr>
                      <w:tcW w:w="2853" w:type="dxa"/>
                      <w:shd w:val="clear" w:color="auto" w:fill="auto"/>
                      <w:noWrap/>
                      <w:vAlign w:val="bottom"/>
                      <w:hideMark/>
                    </w:tcPr>
                    <w:p w14:paraId="2BCAF0EB" w14:textId="77777777" w:rsidR="00BC468A" w:rsidRPr="00BC468A" w:rsidRDefault="00BC468A" w:rsidP="00FB6343">
                      <w:pPr>
                        <w:rPr>
                          <w:rFonts w:ascii="Calibri" w:hAnsi="Calibri" w:cs="Calibri"/>
                          <w:color w:val="000000"/>
                          <w:sz w:val="22"/>
                        </w:rPr>
                      </w:pPr>
                      <w:r w:rsidRPr="00BC468A">
                        <w:rPr>
                          <w:rFonts w:ascii="Calibri" w:hAnsi="Calibri" w:cs="Calibri"/>
                          <w:color w:val="000000"/>
                          <w:sz w:val="22"/>
                        </w:rPr>
                        <w:t>Fiscal Year Ends</w:t>
                      </w:r>
                    </w:p>
                  </w:tc>
                  <w:tc>
                    <w:tcPr>
                      <w:tcW w:w="1438" w:type="dxa"/>
                      <w:shd w:val="clear" w:color="auto" w:fill="auto"/>
                      <w:noWrap/>
                      <w:vAlign w:val="bottom"/>
                      <w:hideMark/>
                    </w:tcPr>
                    <w:p w14:paraId="238944BC" w14:textId="77777777" w:rsidR="00BC468A" w:rsidRPr="00BC468A" w:rsidRDefault="00BC468A" w:rsidP="00FB6343">
                      <w:pPr>
                        <w:jc w:val="right"/>
                        <w:rPr>
                          <w:rFonts w:ascii="Calibri" w:hAnsi="Calibri" w:cs="Calibri"/>
                          <w:color w:val="000000"/>
                          <w:sz w:val="22"/>
                        </w:rPr>
                      </w:pPr>
                      <w:r w:rsidRPr="00BC468A">
                        <w:rPr>
                          <w:rFonts w:ascii="Calibri" w:hAnsi="Calibri" w:cs="Calibri"/>
                          <w:color w:val="000000"/>
                          <w:sz w:val="22"/>
                        </w:rPr>
                        <w:t>31/12/2021</w:t>
                      </w:r>
                    </w:p>
                  </w:tc>
                  <w:tc>
                    <w:tcPr>
                      <w:tcW w:w="1915" w:type="dxa"/>
                      <w:shd w:val="clear" w:color="auto" w:fill="auto"/>
                      <w:noWrap/>
                      <w:vAlign w:val="bottom"/>
                      <w:hideMark/>
                    </w:tcPr>
                    <w:p w14:paraId="641EA035" w14:textId="77777777" w:rsidR="00BC468A" w:rsidRPr="00BC468A" w:rsidRDefault="00BC468A" w:rsidP="00FB6343">
                      <w:pPr>
                        <w:jc w:val="right"/>
                        <w:rPr>
                          <w:rFonts w:ascii="Calibri" w:hAnsi="Calibri" w:cs="Calibri"/>
                          <w:color w:val="000000"/>
                          <w:sz w:val="22"/>
                        </w:rPr>
                      </w:pPr>
                      <w:r w:rsidRPr="00BC468A">
                        <w:rPr>
                          <w:rFonts w:ascii="Calibri" w:hAnsi="Calibri" w:cs="Calibri"/>
                          <w:color w:val="000000"/>
                          <w:sz w:val="22"/>
                        </w:rPr>
                        <w:t>31/12/2020</w:t>
                      </w:r>
                    </w:p>
                  </w:tc>
                  <w:tc>
                    <w:tcPr>
                      <w:tcW w:w="1279" w:type="dxa"/>
                      <w:shd w:val="clear" w:color="auto" w:fill="auto"/>
                      <w:noWrap/>
                      <w:vAlign w:val="bottom"/>
                    </w:tcPr>
                    <w:p w14:paraId="05F50F23" w14:textId="67BBCCD9" w:rsidR="00BC468A" w:rsidRPr="00BC468A" w:rsidRDefault="00BC468A" w:rsidP="00FB6343">
                      <w:pPr>
                        <w:jc w:val="right"/>
                        <w:rPr>
                          <w:rFonts w:ascii="Calibri" w:hAnsi="Calibri" w:cs="Calibri"/>
                          <w:color w:val="000000"/>
                          <w:sz w:val="22"/>
                        </w:rPr>
                      </w:pPr>
                    </w:p>
                  </w:tc>
                  <w:tc>
                    <w:tcPr>
                      <w:tcW w:w="1315" w:type="dxa"/>
                      <w:shd w:val="clear" w:color="auto" w:fill="auto"/>
                      <w:noWrap/>
                      <w:vAlign w:val="bottom"/>
                    </w:tcPr>
                    <w:p w14:paraId="25526B30" w14:textId="77777777" w:rsidR="00BC468A" w:rsidRPr="00BC468A" w:rsidRDefault="00BC468A" w:rsidP="00FB6343"/>
                  </w:tc>
                </w:tr>
                <w:tr w:rsidR="008F1D71" w:rsidRPr="00BC468A" w14:paraId="3D52A346" w14:textId="77777777" w:rsidTr="00947012">
                  <w:trPr>
                    <w:trHeight w:val="288"/>
                  </w:trPr>
                  <w:tc>
                    <w:tcPr>
                      <w:tcW w:w="2853" w:type="dxa"/>
                      <w:shd w:val="clear" w:color="auto" w:fill="auto"/>
                      <w:noWrap/>
                      <w:vAlign w:val="bottom"/>
                      <w:hideMark/>
                    </w:tcPr>
                    <w:p w14:paraId="62CB4499"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t>Sales</w:t>
                      </w:r>
                    </w:p>
                  </w:tc>
                  <w:tc>
                    <w:tcPr>
                      <w:tcW w:w="1438" w:type="dxa"/>
                      <w:shd w:val="clear" w:color="auto" w:fill="auto"/>
                      <w:noWrap/>
                      <w:vAlign w:val="bottom"/>
                      <w:hideMark/>
                    </w:tcPr>
                    <w:p w14:paraId="2B138DC8"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4,307,000</w:t>
                      </w:r>
                    </w:p>
                  </w:tc>
                  <w:tc>
                    <w:tcPr>
                      <w:tcW w:w="1915" w:type="dxa"/>
                      <w:shd w:val="clear" w:color="auto" w:fill="auto"/>
                      <w:noWrap/>
                      <w:vAlign w:val="bottom"/>
                      <w:hideMark/>
                    </w:tcPr>
                    <w:p w14:paraId="2832F039"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 xml:space="preserve">9,452,000   </w:t>
                      </w:r>
                    </w:p>
                  </w:tc>
                  <w:tc>
                    <w:tcPr>
                      <w:tcW w:w="1279" w:type="dxa"/>
                      <w:shd w:val="clear" w:color="auto" w:fill="auto"/>
                      <w:noWrap/>
                      <w:vAlign w:val="bottom"/>
                      <w:hideMark/>
                    </w:tcPr>
                    <w:p w14:paraId="453687E2" w14:textId="3AB818B1" w:rsidR="008F1D71" w:rsidRPr="00BC468A" w:rsidRDefault="000F7686" w:rsidP="008F1D71">
                      <w:pPr>
                        <w:jc w:val="right"/>
                        <w:rPr>
                          <w:rFonts w:ascii="Calibri" w:hAnsi="Calibri" w:cs="Calibri"/>
                          <w:color w:val="000000"/>
                          <w:sz w:val="22"/>
                        </w:rPr>
                      </w:pPr>
                      <w:r>
                        <w:rPr>
                          <w:rFonts w:ascii="Calibri" w:hAnsi="Calibri" w:cs="Calibri"/>
                          <w:color w:val="000000"/>
                          <w:sz w:val="22"/>
                        </w:rPr>
                        <w:t>-</w:t>
                      </w:r>
                      <w:r w:rsidR="008F1D71">
                        <w:rPr>
                          <w:rFonts w:ascii="Calibri" w:hAnsi="Calibri" w:cs="Calibri"/>
                          <w:color w:val="000000"/>
                          <w:sz w:val="22"/>
                        </w:rPr>
                        <w:t>5145000</w:t>
                      </w:r>
                    </w:p>
                  </w:tc>
                  <w:tc>
                    <w:tcPr>
                      <w:tcW w:w="1315" w:type="dxa"/>
                      <w:shd w:val="clear" w:color="auto" w:fill="auto"/>
                      <w:noWrap/>
                      <w:vAlign w:val="bottom"/>
                      <w:hideMark/>
                    </w:tcPr>
                    <w:p w14:paraId="5807C663" w14:textId="4398088E" w:rsidR="008F1D71" w:rsidRPr="00BC468A" w:rsidRDefault="000F7686" w:rsidP="008F1D71">
                      <w:r>
                        <w:t>-</w:t>
                      </w:r>
                      <w:r w:rsidR="00057EB2">
                        <w:t>54.43%</w:t>
                      </w:r>
                    </w:p>
                  </w:tc>
                </w:tr>
                <w:tr w:rsidR="008F1D71" w:rsidRPr="00BC468A" w14:paraId="060C9CA4" w14:textId="77777777" w:rsidTr="00947012">
                  <w:trPr>
                    <w:trHeight w:val="288"/>
                  </w:trPr>
                  <w:tc>
                    <w:tcPr>
                      <w:tcW w:w="2853" w:type="dxa"/>
                      <w:shd w:val="clear" w:color="auto" w:fill="auto"/>
                      <w:noWrap/>
                      <w:vAlign w:val="bottom"/>
                      <w:hideMark/>
                    </w:tcPr>
                    <w:p w14:paraId="264E9012"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lastRenderedPageBreak/>
                        <w:t>Cost of goods sold</w:t>
                      </w:r>
                    </w:p>
                  </w:tc>
                  <w:tc>
                    <w:tcPr>
                      <w:tcW w:w="1438" w:type="dxa"/>
                      <w:shd w:val="clear" w:color="auto" w:fill="auto"/>
                      <w:noWrap/>
                      <w:vAlign w:val="bottom"/>
                      <w:hideMark/>
                    </w:tcPr>
                    <w:p w14:paraId="2EF9BBA3"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3,724,000</w:t>
                      </w:r>
                    </w:p>
                  </w:tc>
                  <w:tc>
                    <w:tcPr>
                      <w:tcW w:w="1915" w:type="dxa"/>
                      <w:shd w:val="clear" w:color="auto" w:fill="auto"/>
                      <w:noWrap/>
                      <w:vAlign w:val="bottom"/>
                      <w:hideMark/>
                    </w:tcPr>
                    <w:p w14:paraId="3DA01F6D"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7,017,000</w:t>
                      </w:r>
                    </w:p>
                  </w:tc>
                  <w:tc>
                    <w:tcPr>
                      <w:tcW w:w="1279" w:type="dxa"/>
                      <w:shd w:val="clear" w:color="auto" w:fill="auto"/>
                      <w:noWrap/>
                      <w:vAlign w:val="bottom"/>
                      <w:hideMark/>
                    </w:tcPr>
                    <w:p w14:paraId="42E26FD0" w14:textId="3A8D09A7" w:rsidR="008F1D71" w:rsidRPr="00BC468A" w:rsidRDefault="000F7686" w:rsidP="008F1D71">
                      <w:pPr>
                        <w:jc w:val="right"/>
                        <w:rPr>
                          <w:rFonts w:ascii="Calibri" w:hAnsi="Calibri" w:cs="Calibri"/>
                          <w:color w:val="000000"/>
                          <w:sz w:val="22"/>
                        </w:rPr>
                      </w:pPr>
                      <w:r>
                        <w:rPr>
                          <w:rFonts w:ascii="Calibri" w:hAnsi="Calibri" w:cs="Calibri"/>
                          <w:color w:val="000000"/>
                          <w:sz w:val="22"/>
                        </w:rPr>
                        <w:t>-</w:t>
                      </w:r>
                      <w:r w:rsidR="00D905D5">
                        <w:rPr>
                          <w:rFonts w:ascii="Calibri" w:hAnsi="Calibri" w:cs="Calibri"/>
                          <w:color w:val="000000"/>
                          <w:sz w:val="22"/>
                        </w:rPr>
                        <w:t>3293000</w:t>
                      </w:r>
                    </w:p>
                  </w:tc>
                  <w:tc>
                    <w:tcPr>
                      <w:tcW w:w="1315" w:type="dxa"/>
                      <w:shd w:val="clear" w:color="auto" w:fill="auto"/>
                      <w:noWrap/>
                      <w:vAlign w:val="bottom"/>
                      <w:hideMark/>
                    </w:tcPr>
                    <w:p w14:paraId="03E868E4" w14:textId="4FB80BE2" w:rsidR="008F1D71" w:rsidRPr="00BC468A" w:rsidRDefault="000F7686" w:rsidP="008F1D71">
                      <w:r>
                        <w:t>-</w:t>
                      </w:r>
                      <w:r w:rsidR="00D905D5">
                        <w:t>46.93%</w:t>
                      </w:r>
                    </w:p>
                  </w:tc>
                </w:tr>
                <w:tr w:rsidR="008F1D71" w:rsidRPr="00BC468A" w14:paraId="01863BD5" w14:textId="77777777" w:rsidTr="00947012">
                  <w:trPr>
                    <w:trHeight w:val="288"/>
                  </w:trPr>
                  <w:tc>
                    <w:tcPr>
                      <w:tcW w:w="2853" w:type="dxa"/>
                      <w:shd w:val="clear" w:color="auto" w:fill="auto"/>
                      <w:noWrap/>
                      <w:vAlign w:val="bottom"/>
                      <w:hideMark/>
                    </w:tcPr>
                    <w:p w14:paraId="2CE200B1"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t>Gross profit</w:t>
                      </w:r>
                    </w:p>
                  </w:tc>
                  <w:tc>
                    <w:tcPr>
                      <w:tcW w:w="1438" w:type="dxa"/>
                      <w:shd w:val="clear" w:color="auto" w:fill="auto"/>
                      <w:noWrap/>
                      <w:vAlign w:val="bottom"/>
                      <w:hideMark/>
                    </w:tcPr>
                    <w:p w14:paraId="75415A38"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583,000</w:t>
                      </w:r>
                    </w:p>
                  </w:tc>
                  <w:tc>
                    <w:tcPr>
                      <w:tcW w:w="1915" w:type="dxa"/>
                      <w:shd w:val="clear" w:color="auto" w:fill="auto"/>
                      <w:noWrap/>
                      <w:vAlign w:val="bottom"/>
                      <w:hideMark/>
                    </w:tcPr>
                    <w:p w14:paraId="672F00F7"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2,435,000</w:t>
                      </w:r>
                    </w:p>
                  </w:tc>
                  <w:tc>
                    <w:tcPr>
                      <w:tcW w:w="1279" w:type="dxa"/>
                      <w:shd w:val="clear" w:color="auto" w:fill="auto"/>
                      <w:noWrap/>
                      <w:vAlign w:val="bottom"/>
                      <w:hideMark/>
                    </w:tcPr>
                    <w:p w14:paraId="1144EFDB" w14:textId="62ACAA20" w:rsidR="008F1D71" w:rsidRPr="00BC468A" w:rsidRDefault="000F7686" w:rsidP="008F1D71">
                      <w:pPr>
                        <w:jc w:val="right"/>
                        <w:rPr>
                          <w:rFonts w:ascii="Calibri" w:hAnsi="Calibri" w:cs="Calibri"/>
                          <w:color w:val="000000"/>
                          <w:sz w:val="22"/>
                        </w:rPr>
                      </w:pPr>
                      <w:r>
                        <w:rPr>
                          <w:rFonts w:ascii="Calibri" w:hAnsi="Calibri" w:cs="Calibri"/>
                          <w:color w:val="000000"/>
                          <w:sz w:val="22"/>
                        </w:rPr>
                        <w:t>-</w:t>
                      </w:r>
                      <w:r w:rsidR="001C1492">
                        <w:rPr>
                          <w:rFonts w:ascii="Calibri" w:hAnsi="Calibri" w:cs="Calibri"/>
                          <w:color w:val="000000"/>
                          <w:sz w:val="22"/>
                        </w:rPr>
                        <w:t>185,2000</w:t>
                      </w:r>
                    </w:p>
                  </w:tc>
                  <w:tc>
                    <w:tcPr>
                      <w:tcW w:w="1315" w:type="dxa"/>
                      <w:shd w:val="clear" w:color="auto" w:fill="auto"/>
                      <w:noWrap/>
                      <w:vAlign w:val="bottom"/>
                      <w:hideMark/>
                    </w:tcPr>
                    <w:p w14:paraId="1CB25C28" w14:textId="15078357" w:rsidR="008F1D71" w:rsidRPr="00BC468A" w:rsidRDefault="000F7686" w:rsidP="008F1D71">
                      <w:r>
                        <w:t>-</w:t>
                      </w:r>
                      <w:r w:rsidR="001C1492">
                        <w:t>76.06%</w:t>
                      </w:r>
                    </w:p>
                  </w:tc>
                </w:tr>
                <w:tr w:rsidR="008F1D71" w:rsidRPr="00BC468A" w14:paraId="44FF9FFC" w14:textId="77777777" w:rsidTr="00947012">
                  <w:trPr>
                    <w:trHeight w:val="288"/>
                  </w:trPr>
                  <w:tc>
                    <w:tcPr>
                      <w:tcW w:w="2853" w:type="dxa"/>
                      <w:shd w:val="clear" w:color="auto" w:fill="auto"/>
                      <w:noWrap/>
                      <w:vAlign w:val="bottom"/>
                      <w:hideMark/>
                    </w:tcPr>
                    <w:p w14:paraId="15B210EE"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t>Operating Expenses</w:t>
                      </w:r>
                    </w:p>
                  </w:tc>
                  <w:tc>
                    <w:tcPr>
                      <w:tcW w:w="1438" w:type="dxa"/>
                      <w:shd w:val="clear" w:color="auto" w:fill="auto"/>
                      <w:noWrap/>
                      <w:vAlign w:val="bottom"/>
                      <w:hideMark/>
                    </w:tcPr>
                    <w:p w14:paraId="6B4036ED"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702,000</w:t>
                      </w:r>
                    </w:p>
                  </w:tc>
                  <w:tc>
                    <w:tcPr>
                      <w:tcW w:w="1915" w:type="dxa"/>
                      <w:shd w:val="clear" w:color="auto" w:fill="auto"/>
                      <w:noWrap/>
                      <w:vAlign w:val="bottom"/>
                      <w:hideMark/>
                    </w:tcPr>
                    <w:p w14:paraId="19881DD8"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859,000</w:t>
                      </w:r>
                    </w:p>
                  </w:tc>
                  <w:tc>
                    <w:tcPr>
                      <w:tcW w:w="1279" w:type="dxa"/>
                      <w:shd w:val="clear" w:color="auto" w:fill="auto"/>
                      <w:noWrap/>
                      <w:vAlign w:val="bottom"/>
                      <w:hideMark/>
                    </w:tcPr>
                    <w:p w14:paraId="15EDAD61" w14:textId="5C4661CB" w:rsidR="008F1D71" w:rsidRPr="00BC468A" w:rsidRDefault="000F7686" w:rsidP="008F1D71">
                      <w:pPr>
                        <w:jc w:val="right"/>
                        <w:rPr>
                          <w:rFonts w:ascii="Calibri" w:hAnsi="Calibri" w:cs="Calibri"/>
                          <w:color w:val="000000"/>
                          <w:sz w:val="22"/>
                        </w:rPr>
                      </w:pPr>
                      <w:r>
                        <w:rPr>
                          <w:rFonts w:ascii="Calibri" w:hAnsi="Calibri" w:cs="Calibri"/>
                          <w:color w:val="000000"/>
                          <w:sz w:val="22"/>
                        </w:rPr>
                        <w:t>-</w:t>
                      </w:r>
                      <w:r w:rsidR="00A3384D">
                        <w:rPr>
                          <w:rFonts w:ascii="Calibri" w:hAnsi="Calibri" w:cs="Calibri"/>
                          <w:color w:val="000000"/>
                          <w:sz w:val="22"/>
                        </w:rPr>
                        <w:t>157,000</w:t>
                      </w:r>
                    </w:p>
                  </w:tc>
                  <w:tc>
                    <w:tcPr>
                      <w:tcW w:w="1315" w:type="dxa"/>
                      <w:shd w:val="clear" w:color="auto" w:fill="auto"/>
                      <w:noWrap/>
                      <w:vAlign w:val="bottom"/>
                      <w:hideMark/>
                    </w:tcPr>
                    <w:p w14:paraId="5A2127C5" w14:textId="132283A3" w:rsidR="008F1D71" w:rsidRPr="00BC468A" w:rsidRDefault="000F7686" w:rsidP="008F1D71">
                      <w:r>
                        <w:t>-</w:t>
                      </w:r>
                      <w:r w:rsidR="00A3384D">
                        <w:t>18.28%</w:t>
                      </w:r>
                    </w:p>
                  </w:tc>
                </w:tr>
                <w:tr w:rsidR="008F1D71" w:rsidRPr="00BC468A" w14:paraId="489F18D5" w14:textId="77777777" w:rsidTr="00947012">
                  <w:trPr>
                    <w:trHeight w:val="288"/>
                  </w:trPr>
                  <w:tc>
                    <w:tcPr>
                      <w:tcW w:w="2853" w:type="dxa"/>
                      <w:shd w:val="clear" w:color="auto" w:fill="auto"/>
                      <w:noWrap/>
                      <w:vAlign w:val="bottom"/>
                      <w:hideMark/>
                    </w:tcPr>
                    <w:p w14:paraId="1DA96436"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t>Operating income</w:t>
                      </w:r>
                    </w:p>
                  </w:tc>
                  <w:tc>
                    <w:tcPr>
                      <w:tcW w:w="1438" w:type="dxa"/>
                      <w:shd w:val="clear" w:color="auto" w:fill="auto"/>
                      <w:noWrap/>
                      <w:vAlign w:val="bottom"/>
                      <w:hideMark/>
                    </w:tcPr>
                    <w:p w14:paraId="0676210B"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-119,000</w:t>
                      </w:r>
                    </w:p>
                  </w:tc>
                  <w:tc>
                    <w:tcPr>
                      <w:tcW w:w="1915" w:type="dxa"/>
                      <w:shd w:val="clear" w:color="auto" w:fill="auto"/>
                      <w:noWrap/>
                      <w:vAlign w:val="bottom"/>
                      <w:hideMark/>
                    </w:tcPr>
                    <w:p w14:paraId="7CDE6A06"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1,576,000</w:t>
                      </w:r>
                    </w:p>
                  </w:tc>
                  <w:tc>
                    <w:tcPr>
                      <w:tcW w:w="1279" w:type="dxa"/>
                      <w:shd w:val="clear" w:color="auto" w:fill="auto"/>
                      <w:noWrap/>
                      <w:vAlign w:val="bottom"/>
                      <w:hideMark/>
                    </w:tcPr>
                    <w:p w14:paraId="7B966FDF" w14:textId="0B48FB85" w:rsidR="008F1D71" w:rsidRPr="00BC468A" w:rsidRDefault="00A03DB2" w:rsidP="008F1D71">
                      <w:pPr>
                        <w:jc w:val="right"/>
                        <w:rPr>
                          <w:rFonts w:ascii="Calibri" w:hAnsi="Calibri" w:cs="Calibri"/>
                          <w:color w:val="000000"/>
                          <w:sz w:val="22"/>
                        </w:rPr>
                      </w:pPr>
                      <w:r>
                        <w:rPr>
                          <w:rFonts w:ascii="Calibri" w:hAnsi="Calibri" w:cs="Calibri"/>
                          <w:color w:val="000000"/>
                          <w:sz w:val="22"/>
                        </w:rPr>
                        <w:t>-</w:t>
                      </w:r>
                      <w:r w:rsidR="001755C5">
                        <w:rPr>
                          <w:rFonts w:ascii="Calibri" w:hAnsi="Calibri" w:cs="Calibri"/>
                          <w:color w:val="000000"/>
                          <w:sz w:val="22"/>
                        </w:rPr>
                        <w:t>169,5000</w:t>
                      </w:r>
                    </w:p>
                  </w:tc>
                  <w:tc>
                    <w:tcPr>
                      <w:tcW w:w="1315" w:type="dxa"/>
                      <w:shd w:val="clear" w:color="auto" w:fill="auto"/>
                      <w:noWrap/>
                      <w:vAlign w:val="bottom"/>
                      <w:hideMark/>
                    </w:tcPr>
                    <w:p w14:paraId="554EBC6A" w14:textId="09E5CC4D" w:rsidR="008F1D71" w:rsidRPr="00BC468A" w:rsidRDefault="00A03DB2" w:rsidP="008F1D71">
                      <w:r>
                        <w:t>-</w:t>
                      </w:r>
                      <w:r w:rsidR="001755C5">
                        <w:t>107.55%</w:t>
                      </w:r>
                    </w:p>
                  </w:tc>
                </w:tr>
                <w:tr w:rsidR="008F1D71" w:rsidRPr="00BC468A" w14:paraId="02354AEC" w14:textId="77777777" w:rsidTr="00947012">
                  <w:trPr>
                    <w:trHeight w:val="288"/>
                  </w:trPr>
                  <w:tc>
                    <w:tcPr>
                      <w:tcW w:w="2853" w:type="dxa"/>
                      <w:shd w:val="clear" w:color="auto" w:fill="auto"/>
                      <w:noWrap/>
                      <w:vAlign w:val="bottom"/>
                      <w:hideMark/>
                    </w:tcPr>
                    <w:p w14:paraId="1A88738E"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t>Interest Expense</w:t>
                      </w:r>
                    </w:p>
                  </w:tc>
                  <w:tc>
                    <w:tcPr>
                      <w:tcW w:w="1438" w:type="dxa"/>
                      <w:shd w:val="clear" w:color="auto" w:fill="auto"/>
                      <w:noWrap/>
                      <w:vAlign w:val="bottom"/>
                      <w:hideMark/>
                    </w:tcPr>
                    <w:p w14:paraId="7FC5CFB2"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429,000</w:t>
                      </w:r>
                    </w:p>
                  </w:tc>
                  <w:tc>
                    <w:tcPr>
                      <w:tcW w:w="1915" w:type="dxa"/>
                      <w:shd w:val="clear" w:color="auto" w:fill="auto"/>
                      <w:noWrap/>
                      <w:vAlign w:val="bottom"/>
                      <w:hideMark/>
                    </w:tcPr>
                    <w:p w14:paraId="62BDD9F2"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414,000</w:t>
                      </w:r>
                    </w:p>
                  </w:tc>
                  <w:tc>
                    <w:tcPr>
                      <w:tcW w:w="1279" w:type="dxa"/>
                      <w:shd w:val="clear" w:color="auto" w:fill="auto"/>
                      <w:noWrap/>
                      <w:vAlign w:val="bottom"/>
                      <w:hideMark/>
                    </w:tcPr>
                    <w:p w14:paraId="285F038A" w14:textId="4FDB552D" w:rsidR="008F1D71" w:rsidRPr="00BC468A" w:rsidRDefault="00283332" w:rsidP="008F1D71">
                      <w:pPr>
                        <w:jc w:val="right"/>
                        <w:rPr>
                          <w:rFonts w:ascii="Calibri" w:hAnsi="Calibri" w:cs="Calibri"/>
                          <w:color w:val="000000"/>
                          <w:sz w:val="22"/>
                        </w:rPr>
                      </w:pPr>
                      <w:r>
                        <w:rPr>
                          <w:rFonts w:ascii="Calibri" w:hAnsi="Calibri" w:cs="Calibri"/>
                          <w:color w:val="000000"/>
                          <w:sz w:val="22"/>
                        </w:rPr>
                        <w:t>15,000</w:t>
                      </w:r>
                    </w:p>
                  </w:tc>
                  <w:tc>
                    <w:tcPr>
                      <w:tcW w:w="1315" w:type="dxa"/>
                      <w:shd w:val="clear" w:color="auto" w:fill="auto"/>
                      <w:noWrap/>
                      <w:vAlign w:val="bottom"/>
                      <w:hideMark/>
                    </w:tcPr>
                    <w:p w14:paraId="60178AD1" w14:textId="2C5F89D3" w:rsidR="008F1D71" w:rsidRPr="00BC468A" w:rsidRDefault="00283332" w:rsidP="008F1D71">
                      <w:r>
                        <w:t>3.62%</w:t>
                      </w:r>
                    </w:p>
                  </w:tc>
                </w:tr>
                <w:tr w:rsidR="008F1D71" w:rsidRPr="00BC468A" w14:paraId="787A88C3" w14:textId="77777777" w:rsidTr="00947012">
                  <w:trPr>
                    <w:trHeight w:val="288"/>
                  </w:trPr>
                  <w:tc>
                    <w:tcPr>
                      <w:tcW w:w="2853" w:type="dxa"/>
                      <w:shd w:val="clear" w:color="auto" w:fill="auto"/>
                      <w:noWrap/>
                      <w:vAlign w:val="bottom"/>
                      <w:hideMark/>
                    </w:tcPr>
                    <w:p w14:paraId="5187EECA"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t xml:space="preserve">Total Other income/ expenses net </w:t>
                      </w:r>
                    </w:p>
                  </w:tc>
                  <w:tc>
                    <w:tcPr>
                      <w:tcW w:w="1438" w:type="dxa"/>
                      <w:shd w:val="clear" w:color="auto" w:fill="auto"/>
                      <w:noWrap/>
                      <w:vAlign w:val="bottom"/>
                      <w:hideMark/>
                    </w:tcPr>
                    <w:p w14:paraId="66E097EB"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-376,000</w:t>
                      </w:r>
                    </w:p>
                  </w:tc>
                  <w:tc>
                    <w:tcPr>
                      <w:tcW w:w="1915" w:type="dxa"/>
                      <w:shd w:val="clear" w:color="auto" w:fill="auto"/>
                      <w:noWrap/>
                      <w:vAlign w:val="bottom"/>
                      <w:hideMark/>
                    </w:tcPr>
                    <w:p w14:paraId="51310FBA"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82,000</w:t>
                      </w:r>
                    </w:p>
                  </w:tc>
                  <w:tc>
                    <w:tcPr>
                      <w:tcW w:w="1279" w:type="dxa"/>
                      <w:shd w:val="clear" w:color="auto" w:fill="auto"/>
                      <w:noWrap/>
                      <w:vAlign w:val="bottom"/>
                      <w:hideMark/>
                    </w:tcPr>
                    <w:p w14:paraId="623527FD" w14:textId="68371B66" w:rsidR="008F1D71" w:rsidRPr="00BC468A" w:rsidRDefault="00A03DB2" w:rsidP="008F1D71">
                      <w:pPr>
                        <w:jc w:val="right"/>
                        <w:rPr>
                          <w:rFonts w:ascii="Calibri" w:hAnsi="Calibri" w:cs="Calibri"/>
                          <w:color w:val="000000"/>
                          <w:sz w:val="22"/>
                        </w:rPr>
                      </w:pPr>
                      <w:r>
                        <w:rPr>
                          <w:rFonts w:ascii="Calibri" w:hAnsi="Calibri" w:cs="Calibri"/>
                          <w:color w:val="000000"/>
                          <w:sz w:val="22"/>
                        </w:rPr>
                        <w:t>-</w:t>
                      </w:r>
                      <w:r w:rsidR="00283332">
                        <w:rPr>
                          <w:rFonts w:ascii="Calibri" w:hAnsi="Calibri" w:cs="Calibri"/>
                          <w:color w:val="000000"/>
                          <w:sz w:val="22"/>
                        </w:rPr>
                        <w:t>458,000</w:t>
                      </w:r>
                    </w:p>
                  </w:tc>
                  <w:tc>
                    <w:tcPr>
                      <w:tcW w:w="1315" w:type="dxa"/>
                      <w:shd w:val="clear" w:color="auto" w:fill="auto"/>
                      <w:noWrap/>
                      <w:vAlign w:val="bottom"/>
                      <w:hideMark/>
                    </w:tcPr>
                    <w:p w14:paraId="2C4BF173" w14:textId="2522F74A" w:rsidR="008F1D71" w:rsidRPr="00BC468A" w:rsidRDefault="00A03DB2" w:rsidP="008F1D71">
                      <w:r>
                        <w:t>-</w:t>
                      </w:r>
                      <w:r w:rsidR="003A47DB">
                        <w:t>558.54%</w:t>
                      </w:r>
                    </w:p>
                  </w:tc>
                </w:tr>
                <w:tr w:rsidR="008F1D71" w:rsidRPr="00BC468A" w14:paraId="1FB00BA1" w14:textId="77777777" w:rsidTr="00947012">
                  <w:trPr>
                    <w:trHeight w:val="288"/>
                  </w:trPr>
                  <w:tc>
                    <w:tcPr>
                      <w:tcW w:w="2853" w:type="dxa"/>
                      <w:shd w:val="clear" w:color="auto" w:fill="auto"/>
                      <w:noWrap/>
                      <w:vAlign w:val="bottom"/>
                      <w:hideMark/>
                    </w:tcPr>
                    <w:p w14:paraId="0FDDA5B1"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t>Income before taxes</w:t>
                      </w:r>
                    </w:p>
                  </w:tc>
                  <w:tc>
                    <w:tcPr>
                      <w:tcW w:w="1438" w:type="dxa"/>
                      <w:shd w:val="clear" w:color="auto" w:fill="auto"/>
                      <w:noWrap/>
                      <w:vAlign w:val="bottom"/>
                      <w:hideMark/>
                    </w:tcPr>
                    <w:p w14:paraId="452A2CBA"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-924,000</w:t>
                      </w:r>
                    </w:p>
                  </w:tc>
                  <w:tc>
                    <w:tcPr>
                      <w:tcW w:w="1915" w:type="dxa"/>
                      <w:shd w:val="clear" w:color="auto" w:fill="auto"/>
                      <w:noWrap/>
                      <w:vAlign w:val="bottom"/>
                      <w:hideMark/>
                    </w:tcPr>
                    <w:p w14:paraId="7E02A299"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1,244,000</w:t>
                      </w:r>
                    </w:p>
                  </w:tc>
                  <w:tc>
                    <w:tcPr>
                      <w:tcW w:w="1279" w:type="dxa"/>
                      <w:shd w:val="clear" w:color="auto" w:fill="auto"/>
                      <w:noWrap/>
                      <w:vAlign w:val="bottom"/>
                      <w:hideMark/>
                    </w:tcPr>
                    <w:p w14:paraId="4624CF47" w14:textId="4975A68D" w:rsidR="008F1D71" w:rsidRPr="00BC468A" w:rsidRDefault="00A03DB2" w:rsidP="008F1D71">
                      <w:pPr>
                        <w:jc w:val="right"/>
                        <w:rPr>
                          <w:rFonts w:ascii="Calibri" w:hAnsi="Calibri" w:cs="Calibri"/>
                          <w:color w:val="000000"/>
                          <w:sz w:val="22"/>
                        </w:rPr>
                      </w:pPr>
                      <w:r>
                        <w:rPr>
                          <w:rFonts w:ascii="Calibri" w:hAnsi="Calibri" w:cs="Calibri"/>
                          <w:color w:val="000000"/>
                          <w:sz w:val="22"/>
                        </w:rPr>
                        <w:t>-</w:t>
                      </w:r>
                      <w:r w:rsidR="003A47DB">
                        <w:rPr>
                          <w:rFonts w:ascii="Calibri" w:hAnsi="Calibri" w:cs="Calibri"/>
                          <w:color w:val="000000"/>
                          <w:sz w:val="22"/>
                        </w:rPr>
                        <w:t>2168000</w:t>
                      </w:r>
                    </w:p>
                  </w:tc>
                  <w:tc>
                    <w:tcPr>
                      <w:tcW w:w="1315" w:type="dxa"/>
                      <w:shd w:val="clear" w:color="auto" w:fill="auto"/>
                      <w:noWrap/>
                      <w:vAlign w:val="bottom"/>
                      <w:hideMark/>
                    </w:tcPr>
                    <w:p w14:paraId="0D30AED6" w14:textId="2743F796" w:rsidR="008F1D71" w:rsidRPr="00BC468A" w:rsidRDefault="00A03DB2" w:rsidP="008F1D71">
                      <w:r>
                        <w:t>-</w:t>
                      </w:r>
                      <w:r w:rsidR="007D0247">
                        <w:t>174.28</w:t>
                      </w:r>
                      <w:r w:rsidR="00CB18D6">
                        <w:t>%</w:t>
                      </w:r>
                    </w:p>
                  </w:tc>
                </w:tr>
                <w:tr w:rsidR="008F1D71" w:rsidRPr="00BC468A" w14:paraId="30B31EA0" w14:textId="77777777" w:rsidTr="00947012">
                  <w:trPr>
                    <w:trHeight w:val="288"/>
                  </w:trPr>
                  <w:tc>
                    <w:tcPr>
                      <w:tcW w:w="2853" w:type="dxa"/>
                      <w:shd w:val="clear" w:color="auto" w:fill="auto"/>
                      <w:noWrap/>
                      <w:vAlign w:val="bottom"/>
                      <w:hideMark/>
                    </w:tcPr>
                    <w:p w14:paraId="3FBAE8B2" w14:textId="77777777" w:rsidR="008F1D71" w:rsidRPr="00BC468A" w:rsidRDefault="008F1D71" w:rsidP="008F1D71">
                      <w:pPr>
                        <w:rPr>
                          <w:rFonts w:ascii="Calibri" w:hAnsi="Calibri" w:cs="Calibri"/>
                          <w:color w:val="000000"/>
                          <w:sz w:val="22"/>
                        </w:rPr>
                      </w:pPr>
                      <w:r w:rsidRPr="00BC468A">
                        <w:rPr>
                          <w:rFonts w:ascii="Calibri" w:hAnsi="Calibri" w:cs="Calibri"/>
                          <w:color w:val="000000"/>
                          <w:sz w:val="22"/>
                        </w:rPr>
                        <w:t>Net income</w:t>
                      </w:r>
                    </w:p>
                  </w:tc>
                  <w:tc>
                    <w:tcPr>
                      <w:tcW w:w="1438" w:type="dxa"/>
                      <w:shd w:val="clear" w:color="auto" w:fill="auto"/>
                      <w:noWrap/>
                      <w:vAlign w:val="bottom"/>
                      <w:hideMark/>
                    </w:tcPr>
                    <w:p w14:paraId="007DB9E7"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-715,000</w:t>
                      </w:r>
                    </w:p>
                  </w:tc>
                  <w:tc>
                    <w:tcPr>
                      <w:tcW w:w="1915" w:type="dxa"/>
                      <w:shd w:val="clear" w:color="auto" w:fill="auto"/>
                      <w:noWrap/>
                      <w:vAlign w:val="bottom"/>
                      <w:hideMark/>
                    </w:tcPr>
                    <w:p w14:paraId="72518019" w14:textId="77777777" w:rsidR="008F1D71" w:rsidRPr="00BC468A" w:rsidRDefault="008F1D71" w:rsidP="008F1D71">
                      <w:pPr>
                        <w:jc w:val="right"/>
                        <w:rPr>
                          <w:rFonts w:ascii="Calibri" w:hAnsi="Calibri" w:cs="Calibri"/>
                          <w:color w:val="000000"/>
                          <w:sz w:val="22"/>
                        </w:rPr>
                      </w:pPr>
                      <w:r w:rsidRPr="00BC468A">
                        <w:rPr>
                          <w:rFonts w:ascii="Calibri" w:hAnsi="Calibri" w:cs="Calibri"/>
                          <w:color w:val="000000"/>
                          <w:sz w:val="22"/>
                        </w:rPr>
                        <w:t>881,000</w:t>
                      </w:r>
                    </w:p>
                  </w:tc>
                  <w:tc>
                    <w:tcPr>
                      <w:tcW w:w="1279" w:type="dxa"/>
                      <w:shd w:val="clear" w:color="auto" w:fill="auto"/>
                      <w:noWrap/>
                      <w:vAlign w:val="bottom"/>
                      <w:hideMark/>
                    </w:tcPr>
                    <w:p w14:paraId="3BAC2D3A" w14:textId="660C6BAC" w:rsidR="008F1D71" w:rsidRPr="00BC468A" w:rsidRDefault="00A03DB2" w:rsidP="008F1D71">
                      <w:pPr>
                        <w:jc w:val="right"/>
                        <w:rPr>
                          <w:rFonts w:ascii="Calibri" w:hAnsi="Calibri" w:cs="Calibri"/>
                          <w:color w:val="000000"/>
                          <w:sz w:val="22"/>
                        </w:rPr>
                      </w:pPr>
                      <w:r>
                        <w:rPr>
                          <w:rFonts w:ascii="Calibri" w:hAnsi="Calibri" w:cs="Calibri"/>
                          <w:color w:val="000000"/>
                          <w:sz w:val="22"/>
                        </w:rPr>
                        <w:t>-</w:t>
                      </w:r>
                      <w:r w:rsidR="007D0247">
                        <w:rPr>
                          <w:rFonts w:ascii="Calibri" w:hAnsi="Calibri" w:cs="Calibri"/>
                          <w:color w:val="000000"/>
                          <w:sz w:val="22"/>
                        </w:rPr>
                        <w:t>1596000</w:t>
                      </w:r>
                    </w:p>
                  </w:tc>
                  <w:tc>
                    <w:tcPr>
                      <w:tcW w:w="1315" w:type="dxa"/>
                      <w:shd w:val="clear" w:color="auto" w:fill="auto"/>
                      <w:noWrap/>
                      <w:vAlign w:val="bottom"/>
                      <w:hideMark/>
                    </w:tcPr>
                    <w:p w14:paraId="574FEFE6" w14:textId="058B803A" w:rsidR="008F1D71" w:rsidRPr="00BC468A" w:rsidRDefault="00A03DB2" w:rsidP="008F1D71">
                      <w:r>
                        <w:t>-</w:t>
                      </w:r>
                      <w:r w:rsidR="007D0247">
                        <w:t>181.16%</w:t>
                      </w:r>
                    </w:p>
                  </w:tc>
                </w:tr>
                <w:tr w:rsidR="008F1D71" w:rsidRPr="00BC468A" w14:paraId="5A2499F5" w14:textId="77777777" w:rsidTr="00947012">
                  <w:trPr>
                    <w:trHeight w:val="288"/>
                  </w:trPr>
                  <w:tc>
                    <w:tcPr>
                      <w:tcW w:w="2853" w:type="dxa"/>
                      <w:shd w:val="clear" w:color="auto" w:fill="auto"/>
                      <w:noWrap/>
                      <w:vAlign w:val="bottom"/>
                      <w:hideMark/>
                    </w:tcPr>
                    <w:p w14:paraId="62AAB252" w14:textId="77777777" w:rsidR="008F1D71" w:rsidRPr="00BC468A" w:rsidRDefault="008F1D71" w:rsidP="008F1D71"/>
                  </w:tc>
                  <w:tc>
                    <w:tcPr>
                      <w:tcW w:w="1438" w:type="dxa"/>
                      <w:shd w:val="clear" w:color="auto" w:fill="auto"/>
                      <w:noWrap/>
                      <w:vAlign w:val="bottom"/>
                      <w:hideMark/>
                    </w:tcPr>
                    <w:p w14:paraId="4987D798" w14:textId="77777777" w:rsidR="008F1D71" w:rsidRPr="00BC468A" w:rsidRDefault="008F1D71" w:rsidP="008F1D71"/>
                  </w:tc>
                  <w:tc>
                    <w:tcPr>
                      <w:tcW w:w="1915" w:type="dxa"/>
                      <w:shd w:val="clear" w:color="auto" w:fill="auto"/>
                      <w:noWrap/>
                      <w:vAlign w:val="bottom"/>
                      <w:hideMark/>
                    </w:tcPr>
                    <w:p w14:paraId="7B66B9F5" w14:textId="77777777" w:rsidR="008F1D71" w:rsidRPr="00BC468A" w:rsidRDefault="008F1D71" w:rsidP="008F1D71"/>
                  </w:tc>
                  <w:tc>
                    <w:tcPr>
                      <w:tcW w:w="1279" w:type="dxa"/>
                      <w:shd w:val="clear" w:color="auto" w:fill="auto"/>
                      <w:noWrap/>
                      <w:vAlign w:val="bottom"/>
                      <w:hideMark/>
                    </w:tcPr>
                    <w:p w14:paraId="2EF8E0BE" w14:textId="77777777" w:rsidR="008F1D71" w:rsidRPr="00BC468A" w:rsidRDefault="008F1D71" w:rsidP="008F1D71"/>
                  </w:tc>
                  <w:tc>
                    <w:tcPr>
                      <w:tcW w:w="1315" w:type="dxa"/>
                      <w:shd w:val="clear" w:color="auto" w:fill="auto"/>
                      <w:noWrap/>
                      <w:vAlign w:val="bottom"/>
                      <w:hideMark/>
                    </w:tcPr>
                    <w:p w14:paraId="1CD2B2DD" w14:textId="77777777" w:rsidR="008F1D71" w:rsidRPr="00BC468A" w:rsidRDefault="008F1D71" w:rsidP="008F1D71"/>
                  </w:tc>
                </w:tr>
              </w:tbl>
              <w:p w14:paraId="49332565" w14:textId="77777777" w:rsidR="00BC468A" w:rsidRPr="00BC468A" w:rsidRDefault="00BC468A" w:rsidP="00FB6343">
                <w:pPr>
                  <w:rPr>
                    <w:rFonts w:cs="Arial"/>
                  </w:rPr>
                </w:pPr>
              </w:p>
            </w:tc>
          </w:tr>
        </w:tbl>
        <w:p w14:paraId="7C6CB2D6" w14:textId="24E4087E" w:rsidR="001B0EFB" w:rsidRDefault="001B0EFB" w:rsidP="001B0EFB">
          <w:pPr>
            <w:rPr>
              <w:rFonts w:cs="Arial"/>
            </w:rPr>
          </w:pPr>
        </w:p>
        <w:p w14:paraId="2FD61080" w14:textId="77777777" w:rsidR="001B0EFB" w:rsidRDefault="001B0EFB" w:rsidP="001B0EFB">
          <w:pPr>
            <w:rPr>
              <w:rFonts w:cs="Arial"/>
              <w:b/>
              <w:sz w:val="28"/>
              <w:szCs w:val="28"/>
              <w:u w:val="single"/>
            </w:rPr>
          </w:pPr>
          <w:r w:rsidRPr="00781CD3">
            <w:rPr>
              <w:rFonts w:cs="Arial"/>
              <w:b/>
              <w:sz w:val="28"/>
              <w:szCs w:val="28"/>
              <w:u w:val="single"/>
            </w:rPr>
            <w:t xml:space="preserve">Balance Sheet </w:t>
          </w:r>
          <w:r>
            <w:rPr>
              <w:rFonts w:cs="Arial"/>
              <w:b/>
              <w:sz w:val="28"/>
              <w:szCs w:val="28"/>
              <w:u w:val="single"/>
            </w:rPr>
            <w:t>2019 &amp; 2020</w:t>
          </w:r>
        </w:p>
        <w:p w14:paraId="3D45B081" w14:textId="77777777" w:rsidR="001B0EFB" w:rsidRPr="006424EB" w:rsidRDefault="001B0EFB" w:rsidP="001B0EFB">
          <w:pPr>
            <w:rPr>
              <w:rFonts w:cs="Arial"/>
              <w:b/>
              <w:bCs/>
              <w:color w:val="232A31"/>
              <w:sz w:val="22"/>
            </w:rPr>
          </w:pPr>
          <w:r w:rsidRPr="006424EB">
            <w:rPr>
              <w:rFonts w:cs="Arial"/>
              <w:b/>
              <w:bCs/>
              <w:color w:val="232A31"/>
              <w:sz w:val="22"/>
            </w:rPr>
            <w:t>Hilton Worldwide Holdings Inc. (HLT)</w:t>
          </w:r>
        </w:p>
        <w:tbl>
          <w:tblPr>
            <w:tblStyle w:val="TableGrid"/>
            <w:tblW w:w="0" w:type="auto"/>
            <w:tblLook w:val="04A0" w:firstRow="1" w:lastRow="0" w:firstColumn="1" w:lastColumn="0" w:noHBand="0" w:noVBand="1"/>
          </w:tblPr>
          <w:tblGrid>
            <w:gridCol w:w="9016"/>
          </w:tblGrid>
          <w:tr w:rsidR="00947012" w14:paraId="0CCF640D" w14:textId="77777777" w:rsidTr="00947012">
            <w:tc>
              <w:tcPr>
                <w:tcW w:w="9016" w:type="dxa"/>
              </w:tcPr>
              <w:tbl>
                <w:tblPr>
                  <w:tblStyle w:val="GridTable1Light-Accent6"/>
                  <w:tblW w:w="859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860"/>
                  <w:gridCol w:w="1600"/>
                  <w:gridCol w:w="1540"/>
                  <w:gridCol w:w="1220"/>
                  <w:gridCol w:w="1375"/>
                </w:tblGrid>
                <w:tr w:rsidR="00947012" w:rsidRPr="00947012" w14:paraId="0E9D299E" w14:textId="77777777" w:rsidTr="00CB18D6">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60" w:type="dxa"/>
                      <w:tcBorders>
                        <w:bottom w:val="none" w:sz="0" w:space="0" w:color="auto"/>
                      </w:tcBorders>
                      <w:noWrap/>
                      <w:hideMark/>
                    </w:tcPr>
                    <w:p w14:paraId="4D988874" w14:textId="77777777" w:rsidR="00947012" w:rsidRPr="00947012" w:rsidRDefault="00947012" w:rsidP="00DB5C72">
                      <w:pPr>
                        <w:rPr>
                          <w:szCs w:val="24"/>
                        </w:rPr>
                      </w:pPr>
                    </w:p>
                  </w:tc>
                  <w:tc>
                    <w:tcPr>
                      <w:tcW w:w="1600" w:type="dxa"/>
                      <w:tcBorders>
                        <w:bottom w:val="none" w:sz="0" w:space="0" w:color="auto"/>
                      </w:tcBorders>
                      <w:noWrap/>
                      <w:hideMark/>
                    </w:tcPr>
                    <w:p w14:paraId="6FB7B98E" w14:textId="77777777" w:rsidR="00947012" w:rsidRPr="00947012" w:rsidRDefault="00947012" w:rsidP="00DB5C72">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2020</w:t>
                      </w:r>
                    </w:p>
                  </w:tc>
                  <w:tc>
                    <w:tcPr>
                      <w:tcW w:w="1540" w:type="dxa"/>
                      <w:tcBorders>
                        <w:bottom w:val="none" w:sz="0" w:space="0" w:color="auto"/>
                      </w:tcBorders>
                      <w:noWrap/>
                      <w:hideMark/>
                    </w:tcPr>
                    <w:p w14:paraId="7656809B" w14:textId="77777777" w:rsidR="00947012" w:rsidRPr="00947012" w:rsidRDefault="00947012" w:rsidP="00DB5C72">
                      <w:pPr>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2019</w:t>
                      </w:r>
                    </w:p>
                  </w:tc>
                  <w:tc>
                    <w:tcPr>
                      <w:tcW w:w="1220" w:type="dxa"/>
                      <w:tcBorders>
                        <w:bottom w:val="none" w:sz="0" w:space="0" w:color="auto"/>
                      </w:tcBorders>
                      <w:noWrap/>
                      <w:hideMark/>
                    </w:tcPr>
                    <w:p w14:paraId="6F90BC9B" w14:textId="77777777" w:rsidR="00947012" w:rsidRPr="00947012" w:rsidRDefault="00947012" w:rsidP="00DB5C72">
                      <w:pP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 xml:space="preserve">   Change</w:t>
                      </w:r>
                    </w:p>
                  </w:tc>
                  <w:tc>
                    <w:tcPr>
                      <w:tcW w:w="1375" w:type="dxa"/>
                      <w:tcBorders>
                        <w:bottom w:val="none" w:sz="0" w:space="0" w:color="auto"/>
                      </w:tcBorders>
                      <w:noWrap/>
                      <w:hideMark/>
                    </w:tcPr>
                    <w:p w14:paraId="1EA081B8" w14:textId="77777777" w:rsidR="00947012" w:rsidRPr="00947012" w:rsidRDefault="00947012" w:rsidP="00DB5C72">
                      <w:pP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    Change</w:t>
                      </w:r>
                    </w:p>
                  </w:tc>
                </w:tr>
                <w:tr w:rsidR="00947012" w:rsidRPr="00947012" w14:paraId="5A4A0819"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3E524799"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Current Asset</w:t>
                      </w:r>
                    </w:p>
                  </w:tc>
                  <w:tc>
                    <w:tcPr>
                      <w:tcW w:w="1600" w:type="dxa"/>
                      <w:noWrap/>
                      <w:hideMark/>
                    </w:tcPr>
                    <w:p w14:paraId="75919112"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4,202,000</w:t>
                      </w:r>
                    </w:p>
                  </w:tc>
                  <w:tc>
                    <w:tcPr>
                      <w:tcW w:w="1540" w:type="dxa"/>
                      <w:noWrap/>
                      <w:hideMark/>
                    </w:tcPr>
                    <w:p w14:paraId="6C774D3B"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2,093,000</w:t>
                      </w:r>
                    </w:p>
                  </w:tc>
                  <w:tc>
                    <w:tcPr>
                      <w:tcW w:w="1220" w:type="dxa"/>
                      <w:noWrap/>
                      <w:hideMark/>
                    </w:tcPr>
                    <w:p w14:paraId="37DACDA4" w14:textId="7A8DA244" w:rsidR="00947012" w:rsidRPr="00947012" w:rsidRDefault="00F37AAA"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-167,2800</w:t>
                      </w:r>
                    </w:p>
                  </w:tc>
                  <w:tc>
                    <w:tcPr>
                      <w:tcW w:w="1375" w:type="dxa"/>
                      <w:noWrap/>
                      <w:hideMark/>
                    </w:tcPr>
                    <w:p w14:paraId="600FD422" w14:textId="3A1C0D0A" w:rsidR="00947012" w:rsidRPr="00947012" w:rsidRDefault="00F37AAA" w:rsidP="00DB5C72">
                      <w:pPr>
                        <w:cnfStyle w:val="000000000000" w:firstRow="0" w:lastRow="0" w:firstColumn="0" w:lastColumn="0" w:oddVBand="0" w:evenVBand="0" w:oddHBand="0" w:evenHBand="0" w:firstRowFirstColumn="0" w:firstRowLastColumn="0" w:lastRowFirstColumn="0" w:lastRowLastColumn="0"/>
                      </w:pPr>
                      <w:r>
                        <w:t>-79.92</w:t>
                      </w:r>
                      <w:r w:rsidR="00CB18D6">
                        <w:t>%</w:t>
                      </w:r>
                    </w:p>
                  </w:tc>
                </w:tr>
                <w:tr w:rsidR="00947012" w:rsidRPr="00947012" w14:paraId="5F2EB1D6"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65258890"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Non Current Asset</w:t>
                      </w:r>
                    </w:p>
                  </w:tc>
                  <w:tc>
                    <w:tcPr>
                      <w:tcW w:w="1600" w:type="dxa"/>
                      <w:noWrap/>
                      <w:hideMark/>
                    </w:tcPr>
                    <w:p w14:paraId="6BF4E236"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15,810,000</w:t>
                      </w:r>
                    </w:p>
                  </w:tc>
                  <w:tc>
                    <w:tcPr>
                      <w:tcW w:w="1540" w:type="dxa"/>
                      <w:noWrap/>
                      <w:hideMark/>
                    </w:tcPr>
                    <w:p w14:paraId="2C973305"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12,558,000</w:t>
                      </w:r>
                    </w:p>
                  </w:tc>
                  <w:tc>
                    <w:tcPr>
                      <w:tcW w:w="1220" w:type="dxa"/>
                      <w:noWrap/>
                      <w:hideMark/>
                    </w:tcPr>
                    <w:p w14:paraId="3F8D14F8" w14:textId="6FECD764" w:rsidR="00947012" w:rsidRPr="00947012" w:rsidRDefault="00F37AAA"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325,2000</w:t>
                      </w:r>
                    </w:p>
                  </w:tc>
                  <w:tc>
                    <w:tcPr>
                      <w:tcW w:w="1375" w:type="dxa"/>
                      <w:noWrap/>
                      <w:hideMark/>
                    </w:tcPr>
                    <w:p w14:paraId="226A32E1" w14:textId="0BF7BD0B" w:rsidR="00947012" w:rsidRPr="00947012" w:rsidRDefault="00CB18D6" w:rsidP="00DB5C72">
                      <w:pPr>
                        <w:cnfStyle w:val="000000000000" w:firstRow="0" w:lastRow="0" w:firstColumn="0" w:lastColumn="0" w:oddVBand="0" w:evenVBand="0" w:oddHBand="0" w:evenHBand="0" w:firstRowFirstColumn="0" w:firstRowLastColumn="0" w:lastRowFirstColumn="0" w:lastRowLastColumn="0"/>
                      </w:pPr>
                      <w:r>
                        <w:t>25.89%</w:t>
                      </w:r>
                    </w:p>
                  </w:tc>
                </w:tr>
                <w:tr w:rsidR="00947012" w:rsidRPr="00947012" w14:paraId="5326059E"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1D693F41"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Total Asset</w:t>
                      </w:r>
                    </w:p>
                  </w:tc>
                  <w:tc>
                    <w:tcPr>
                      <w:tcW w:w="1600" w:type="dxa"/>
                      <w:noWrap/>
                      <w:hideMark/>
                    </w:tcPr>
                    <w:p w14:paraId="69AC524A"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16,755,000</w:t>
                      </w:r>
                    </w:p>
                  </w:tc>
                  <w:tc>
                    <w:tcPr>
                      <w:tcW w:w="1540" w:type="dxa"/>
                      <w:noWrap/>
                      <w:hideMark/>
                    </w:tcPr>
                    <w:p w14:paraId="12DDCB22"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14,957,000</w:t>
                      </w:r>
                    </w:p>
                  </w:tc>
                  <w:tc>
                    <w:tcPr>
                      <w:tcW w:w="1220" w:type="dxa"/>
                      <w:noWrap/>
                      <w:hideMark/>
                    </w:tcPr>
                    <w:p w14:paraId="61C6A08E" w14:textId="18C1F3EC" w:rsidR="00947012" w:rsidRPr="00947012" w:rsidRDefault="00CB18D6"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17,98,000</w:t>
                      </w:r>
                    </w:p>
                  </w:tc>
                  <w:tc>
                    <w:tcPr>
                      <w:tcW w:w="1375" w:type="dxa"/>
                      <w:noWrap/>
                      <w:hideMark/>
                    </w:tcPr>
                    <w:p w14:paraId="1C0A532F" w14:textId="300DE4AD" w:rsidR="00947012" w:rsidRPr="00947012" w:rsidRDefault="00462F38" w:rsidP="00DB5C72">
                      <w:pPr>
                        <w:cnfStyle w:val="000000000000" w:firstRow="0" w:lastRow="0" w:firstColumn="0" w:lastColumn="0" w:oddVBand="0" w:evenVBand="0" w:oddHBand="0" w:evenHBand="0" w:firstRowFirstColumn="0" w:firstRowLastColumn="0" w:lastRowFirstColumn="0" w:lastRowLastColumn="0"/>
                      </w:pPr>
                      <w:r>
                        <w:t>12.02%</w:t>
                      </w:r>
                    </w:p>
                  </w:tc>
                </w:tr>
                <w:tr w:rsidR="00947012" w:rsidRPr="00947012" w14:paraId="6B8DFF37"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74B26C8A"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Current Liabilities</w:t>
                      </w:r>
                    </w:p>
                  </w:tc>
                  <w:tc>
                    <w:tcPr>
                      <w:tcW w:w="1600" w:type="dxa"/>
                      <w:noWrap/>
                      <w:hideMark/>
                    </w:tcPr>
                    <w:p w14:paraId="7BFAEAC8"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2,431,000</w:t>
                      </w:r>
                    </w:p>
                  </w:tc>
                  <w:tc>
                    <w:tcPr>
                      <w:tcW w:w="1540" w:type="dxa"/>
                      <w:noWrap/>
                      <w:hideMark/>
                    </w:tcPr>
                    <w:p w14:paraId="640DF636"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2,871,000</w:t>
                      </w:r>
                    </w:p>
                  </w:tc>
                  <w:tc>
                    <w:tcPr>
                      <w:tcW w:w="1220" w:type="dxa"/>
                      <w:noWrap/>
                      <w:hideMark/>
                    </w:tcPr>
                    <w:p w14:paraId="06AB63B1" w14:textId="64B04463" w:rsidR="00947012" w:rsidRPr="00947012" w:rsidRDefault="00462F38"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-440000</w:t>
                      </w:r>
                    </w:p>
                  </w:tc>
                  <w:tc>
                    <w:tcPr>
                      <w:tcW w:w="1375" w:type="dxa"/>
                      <w:noWrap/>
                      <w:hideMark/>
                    </w:tcPr>
                    <w:p w14:paraId="781C2A41" w14:textId="51FF80D5" w:rsidR="00947012" w:rsidRPr="00947012" w:rsidRDefault="00462F38" w:rsidP="00DB5C72">
                      <w:pPr>
                        <w:cnfStyle w:val="000000000000" w:firstRow="0" w:lastRow="0" w:firstColumn="0" w:lastColumn="0" w:oddVBand="0" w:evenVBand="0" w:oddHBand="0" w:evenHBand="0" w:firstRowFirstColumn="0" w:firstRowLastColumn="0" w:lastRowFirstColumn="0" w:lastRowLastColumn="0"/>
                      </w:pPr>
                      <w:r>
                        <w:t>-15.33%</w:t>
                      </w:r>
                    </w:p>
                  </w:tc>
                </w:tr>
                <w:tr w:rsidR="00947012" w:rsidRPr="00947012" w14:paraId="7680ECB1"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4184C7B5"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Non current Liabilities</w:t>
                      </w:r>
                    </w:p>
                  </w:tc>
                  <w:tc>
                    <w:tcPr>
                      <w:tcW w:w="1600" w:type="dxa"/>
                      <w:noWrap/>
                      <w:hideMark/>
                    </w:tcPr>
                    <w:p w14:paraId="1DEE45CB"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15,810,000</w:t>
                      </w:r>
                    </w:p>
                  </w:tc>
                  <w:tc>
                    <w:tcPr>
                      <w:tcW w:w="1540" w:type="dxa"/>
                      <w:noWrap/>
                      <w:hideMark/>
                    </w:tcPr>
                    <w:p w14:paraId="58F84AD2"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12,558,000</w:t>
                      </w:r>
                    </w:p>
                  </w:tc>
                  <w:tc>
                    <w:tcPr>
                      <w:tcW w:w="1220" w:type="dxa"/>
                      <w:noWrap/>
                      <w:hideMark/>
                    </w:tcPr>
                    <w:p w14:paraId="485B3E78" w14:textId="262652F5" w:rsidR="00947012" w:rsidRPr="00947012" w:rsidRDefault="0084584B"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325,2000</w:t>
                      </w:r>
                    </w:p>
                  </w:tc>
                  <w:tc>
                    <w:tcPr>
                      <w:tcW w:w="1375" w:type="dxa"/>
                      <w:noWrap/>
                      <w:hideMark/>
                    </w:tcPr>
                    <w:p w14:paraId="6F7855D0" w14:textId="06414C2D" w:rsidR="00947012" w:rsidRPr="00947012" w:rsidRDefault="0084584B" w:rsidP="00DB5C72">
                      <w:pPr>
                        <w:cnfStyle w:val="000000000000" w:firstRow="0" w:lastRow="0" w:firstColumn="0" w:lastColumn="0" w:oddVBand="0" w:evenVBand="0" w:oddHBand="0" w:evenHBand="0" w:firstRowFirstColumn="0" w:firstRowLastColumn="0" w:lastRowFirstColumn="0" w:lastRowLastColumn="0"/>
                      </w:pPr>
                      <w:r>
                        <w:t>25.89%</w:t>
                      </w:r>
                    </w:p>
                  </w:tc>
                </w:tr>
                <w:tr w:rsidR="00947012" w:rsidRPr="00947012" w14:paraId="72F65F8E"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4B05444D"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Total Liabilities</w:t>
                      </w:r>
                    </w:p>
                  </w:tc>
                  <w:tc>
                    <w:tcPr>
                      <w:tcW w:w="1600" w:type="dxa"/>
                      <w:noWrap/>
                      <w:hideMark/>
                    </w:tcPr>
                    <w:p w14:paraId="241A1D82"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18,241,000</w:t>
                      </w:r>
                    </w:p>
                  </w:tc>
                  <w:tc>
                    <w:tcPr>
                      <w:tcW w:w="1540" w:type="dxa"/>
                      <w:noWrap/>
                      <w:hideMark/>
                    </w:tcPr>
                    <w:p w14:paraId="18EACE69"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15,429,000</w:t>
                      </w:r>
                    </w:p>
                  </w:tc>
                  <w:tc>
                    <w:tcPr>
                      <w:tcW w:w="1220" w:type="dxa"/>
                      <w:noWrap/>
                      <w:hideMark/>
                    </w:tcPr>
                    <w:p w14:paraId="02FD3EE1" w14:textId="417AF621" w:rsidR="00947012" w:rsidRPr="00947012" w:rsidRDefault="00AA06FC"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2812000</w:t>
                      </w:r>
                    </w:p>
                  </w:tc>
                  <w:tc>
                    <w:tcPr>
                      <w:tcW w:w="1375" w:type="dxa"/>
                      <w:noWrap/>
                      <w:hideMark/>
                    </w:tcPr>
                    <w:p w14:paraId="48620213" w14:textId="21E25DD7" w:rsidR="00947012" w:rsidRPr="00947012" w:rsidRDefault="00AA06FC" w:rsidP="00DB5C72">
                      <w:pPr>
                        <w:cnfStyle w:val="000000000000" w:firstRow="0" w:lastRow="0" w:firstColumn="0" w:lastColumn="0" w:oddVBand="0" w:evenVBand="0" w:oddHBand="0" w:evenHBand="0" w:firstRowFirstColumn="0" w:firstRowLastColumn="0" w:lastRowFirstColumn="0" w:lastRowLastColumn="0"/>
                      </w:pPr>
                      <w:r>
                        <w:t>18.23%</w:t>
                      </w:r>
                    </w:p>
                  </w:tc>
                </w:tr>
                <w:tr w:rsidR="00947012" w:rsidRPr="00947012" w14:paraId="433F4F77"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70BCB475"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Common Stock</w:t>
                      </w:r>
                    </w:p>
                  </w:tc>
                  <w:tc>
                    <w:tcPr>
                      <w:tcW w:w="1600" w:type="dxa"/>
                      <w:noWrap/>
                      <w:hideMark/>
                    </w:tcPr>
                    <w:p w14:paraId="1263DFAC"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3,000</w:t>
                      </w:r>
                    </w:p>
                  </w:tc>
                  <w:tc>
                    <w:tcPr>
                      <w:tcW w:w="1540" w:type="dxa"/>
                      <w:noWrap/>
                      <w:hideMark/>
                    </w:tcPr>
                    <w:p w14:paraId="1C888402"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3,000</w:t>
                      </w:r>
                    </w:p>
                  </w:tc>
                  <w:tc>
                    <w:tcPr>
                      <w:tcW w:w="1220" w:type="dxa"/>
                      <w:noWrap/>
                      <w:hideMark/>
                    </w:tcPr>
                    <w:p w14:paraId="3C3CEEE2" w14:textId="0436BC14" w:rsidR="00947012" w:rsidRPr="00947012" w:rsidRDefault="00AA06FC"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0</w:t>
                      </w:r>
                    </w:p>
                  </w:tc>
                  <w:tc>
                    <w:tcPr>
                      <w:tcW w:w="1375" w:type="dxa"/>
                      <w:noWrap/>
                      <w:hideMark/>
                    </w:tcPr>
                    <w:p w14:paraId="08A529C0" w14:textId="7F99D03D" w:rsidR="00947012" w:rsidRPr="00947012" w:rsidRDefault="00AA06FC" w:rsidP="00DB5C72">
                      <w:pPr>
                        <w:cnfStyle w:val="000000000000" w:firstRow="0" w:lastRow="0" w:firstColumn="0" w:lastColumn="0" w:oddVBand="0" w:evenVBand="0" w:oddHBand="0" w:evenHBand="0" w:firstRowFirstColumn="0" w:firstRowLastColumn="0" w:lastRowFirstColumn="0" w:lastRowLastColumn="0"/>
                      </w:pPr>
                      <w:r>
                        <w:t>0%</w:t>
                      </w:r>
                    </w:p>
                  </w:tc>
                </w:tr>
                <w:tr w:rsidR="00947012" w:rsidRPr="00947012" w14:paraId="1D02F5C3"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6ED86238"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lastRenderedPageBreak/>
                        <w:t>Retained Earnings</w:t>
                      </w:r>
                    </w:p>
                  </w:tc>
                  <w:tc>
                    <w:tcPr>
                      <w:tcW w:w="1600" w:type="dxa"/>
                      <w:noWrap/>
                      <w:hideMark/>
                    </w:tcPr>
                    <w:p w14:paraId="7E3CDDF3"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-6,732,000</w:t>
                      </w:r>
                    </w:p>
                  </w:tc>
                  <w:tc>
                    <w:tcPr>
                      <w:tcW w:w="1540" w:type="dxa"/>
                      <w:noWrap/>
                      <w:hideMark/>
                    </w:tcPr>
                    <w:p w14:paraId="001BAACB"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-5,965,000</w:t>
                      </w:r>
                    </w:p>
                  </w:tc>
                  <w:tc>
                    <w:tcPr>
                      <w:tcW w:w="1220" w:type="dxa"/>
                      <w:noWrap/>
                      <w:hideMark/>
                    </w:tcPr>
                    <w:p w14:paraId="4073D66F" w14:textId="4BF09718" w:rsidR="00947012" w:rsidRPr="00947012" w:rsidRDefault="00BE0B6B"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-76,70,00</w:t>
                      </w:r>
                    </w:p>
                  </w:tc>
                  <w:tc>
                    <w:tcPr>
                      <w:tcW w:w="1375" w:type="dxa"/>
                      <w:noWrap/>
                      <w:hideMark/>
                    </w:tcPr>
                    <w:p w14:paraId="36F62C01" w14:textId="7F2B5D22" w:rsidR="00947012" w:rsidRPr="00947012" w:rsidRDefault="00BE0B6B" w:rsidP="00DB5C72">
                      <w:pPr>
                        <w:cnfStyle w:val="000000000000" w:firstRow="0" w:lastRow="0" w:firstColumn="0" w:lastColumn="0" w:oddVBand="0" w:evenVBand="0" w:oddHBand="0" w:evenHBand="0" w:firstRowFirstColumn="0" w:firstRowLastColumn="0" w:lastRowFirstColumn="0" w:lastRowLastColumn="0"/>
                      </w:pPr>
                      <w:r>
                        <w:t>12.86%</w:t>
                      </w:r>
                    </w:p>
                  </w:tc>
                </w:tr>
                <w:tr w:rsidR="00947012" w:rsidRPr="00947012" w14:paraId="68A30FB1"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159AF3B0"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Total Stockholders' Equity</w:t>
                      </w:r>
                    </w:p>
                  </w:tc>
                  <w:tc>
                    <w:tcPr>
                      <w:tcW w:w="1600" w:type="dxa"/>
                      <w:noWrap/>
                      <w:hideMark/>
                    </w:tcPr>
                    <w:p w14:paraId="7483631A" w14:textId="074BFE65" w:rsidR="00947012" w:rsidRPr="00947012" w:rsidRDefault="00433534"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-1,490,000</w:t>
                      </w:r>
                    </w:p>
                  </w:tc>
                  <w:tc>
                    <w:tcPr>
                      <w:tcW w:w="1540" w:type="dxa"/>
                      <w:noWrap/>
                      <w:hideMark/>
                    </w:tcPr>
                    <w:p w14:paraId="6F7DD72D"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-482,000</w:t>
                      </w:r>
                    </w:p>
                  </w:tc>
                  <w:tc>
                    <w:tcPr>
                      <w:tcW w:w="1220" w:type="dxa"/>
                      <w:noWrap/>
                      <w:hideMark/>
                    </w:tcPr>
                    <w:p w14:paraId="49B4C791" w14:textId="22FED0B1" w:rsidR="00947012" w:rsidRPr="00947012" w:rsidRDefault="00433534"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-1008000</w:t>
                      </w:r>
                    </w:p>
                  </w:tc>
                  <w:tc>
                    <w:tcPr>
                      <w:tcW w:w="1375" w:type="dxa"/>
                      <w:noWrap/>
                      <w:hideMark/>
                    </w:tcPr>
                    <w:p w14:paraId="3758E702" w14:textId="614A573D" w:rsidR="00947012" w:rsidRPr="00947012" w:rsidRDefault="00FC217E" w:rsidP="00DB5C72">
                      <w:pPr>
                        <w:cnfStyle w:val="000000000000" w:firstRow="0" w:lastRow="0" w:firstColumn="0" w:lastColumn="0" w:oddVBand="0" w:evenVBand="0" w:oddHBand="0" w:evenHBand="0" w:firstRowFirstColumn="0" w:firstRowLastColumn="0" w:lastRowFirstColumn="0" w:lastRowLastColumn="0"/>
                      </w:pPr>
                      <w:r>
                        <w:t>209.13%</w:t>
                      </w:r>
                    </w:p>
                  </w:tc>
                </w:tr>
                <w:tr w:rsidR="00947012" w:rsidRPr="00947012" w14:paraId="0953CB8C"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529DDC94" w14:textId="77777777" w:rsidR="00947012" w:rsidRPr="00947012" w:rsidRDefault="00947012" w:rsidP="00DB5C72">
                      <w:pPr>
                        <w:rPr>
                          <w:rFonts w:ascii="Calibri" w:hAnsi="Calibri" w:cs="Calibri"/>
                          <w:color w:val="000000"/>
                          <w:sz w:val="22"/>
                        </w:rPr>
                      </w:pPr>
                      <w:r w:rsidRPr="00947012">
                        <w:rPr>
                          <w:rFonts w:ascii="Calibri" w:hAnsi="Calibri" w:cs="Calibri"/>
                          <w:color w:val="000000"/>
                          <w:sz w:val="22"/>
                        </w:rPr>
                        <w:t>Total Liabilities and Stockholder</w:t>
                      </w:r>
                    </w:p>
                  </w:tc>
                  <w:tc>
                    <w:tcPr>
                      <w:tcW w:w="1600" w:type="dxa"/>
                      <w:noWrap/>
                      <w:hideMark/>
                    </w:tcPr>
                    <w:p w14:paraId="0D240D75"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16,755,000</w:t>
                      </w:r>
                    </w:p>
                  </w:tc>
                  <w:tc>
                    <w:tcPr>
                      <w:tcW w:w="1540" w:type="dxa"/>
                      <w:noWrap/>
                      <w:hideMark/>
                    </w:tcPr>
                    <w:p w14:paraId="3B25065D" w14:textId="77777777" w:rsidR="00947012" w:rsidRPr="00947012" w:rsidRDefault="00947012"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sidRPr="00947012">
                        <w:rPr>
                          <w:rFonts w:ascii="Calibri" w:hAnsi="Calibri" w:cs="Calibri"/>
                          <w:color w:val="000000"/>
                          <w:sz w:val="22"/>
                        </w:rPr>
                        <w:t>14,957,000</w:t>
                      </w:r>
                    </w:p>
                  </w:tc>
                  <w:tc>
                    <w:tcPr>
                      <w:tcW w:w="1220" w:type="dxa"/>
                      <w:noWrap/>
                      <w:hideMark/>
                    </w:tcPr>
                    <w:p w14:paraId="1671F4DB" w14:textId="61CFC8C2" w:rsidR="00947012" w:rsidRPr="00947012" w:rsidRDefault="00FC217E" w:rsidP="00DB5C7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rPr>
                      </w:pPr>
                      <w:r>
                        <w:rPr>
                          <w:rFonts w:ascii="Calibri" w:hAnsi="Calibri" w:cs="Calibri"/>
                          <w:color w:val="000000"/>
                          <w:sz w:val="22"/>
                        </w:rPr>
                        <w:t>179,8000</w:t>
                      </w:r>
                    </w:p>
                  </w:tc>
                  <w:tc>
                    <w:tcPr>
                      <w:tcW w:w="1375" w:type="dxa"/>
                      <w:noWrap/>
                      <w:hideMark/>
                    </w:tcPr>
                    <w:p w14:paraId="2CCB2B95" w14:textId="408B9730" w:rsidR="00947012" w:rsidRPr="00947012" w:rsidRDefault="00FC217E" w:rsidP="00DB5C72">
                      <w:pPr>
                        <w:cnfStyle w:val="000000000000" w:firstRow="0" w:lastRow="0" w:firstColumn="0" w:lastColumn="0" w:oddVBand="0" w:evenVBand="0" w:oddHBand="0" w:evenHBand="0" w:firstRowFirstColumn="0" w:firstRowLastColumn="0" w:lastRowFirstColumn="0" w:lastRowLastColumn="0"/>
                      </w:pPr>
                      <w:r>
                        <w:t>12.02%</w:t>
                      </w:r>
                    </w:p>
                  </w:tc>
                </w:tr>
                <w:tr w:rsidR="00947012" w:rsidRPr="00947012" w14:paraId="2C71E9F0" w14:textId="77777777" w:rsidTr="00CB18D6">
                  <w:trPr>
                    <w:trHeight w:val="288"/>
                  </w:trPr>
                  <w:tc>
                    <w:tcPr>
                      <w:cnfStyle w:val="001000000000" w:firstRow="0" w:lastRow="0" w:firstColumn="1" w:lastColumn="0" w:oddVBand="0" w:evenVBand="0" w:oddHBand="0" w:evenHBand="0" w:firstRowFirstColumn="0" w:firstRowLastColumn="0" w:lastRowFirstColumn="0" w:lastRowLastColumn="0"/>
                      <w:tcW w:w="2860" w:type="dxa"/>
                      <w:noWrap/>
                      <w:hideMark/>
                    </w:tcPr>
                    <w:p w14:paraId="6EB47A38" w14:textId="77777777" w:rsidR="00947012" w:rsidRPr="00947012" w:rsidRDefault="00947012" w:rsidP="00DB5C72"/>
                  </w:tc>
                  <w:tc>
                    <w:tcPr>
                      <w:tcW w:w="1600" w:type="dxa"/>
                      <w:noWrap/>
                      <w:hideMark/>
                    </w:tcPr>
                    <w:p w14:paraId="1CC1B7AC" w14:textId="77777777" w:rsidR="00947012" w:rsidRPr="00947012" w:rsidRDefault="00947012" w:rsidP="00DB5C72">
                      <w:pPr>
                        <w:cnfStyle w:val="000000000000" w:firstRow="0" w:lastRow="0" w:firstColumn="0" w:lastColumn="0" w:oddVBand="0" w:evenVBand="0" w:oddHBand="0" w:evenHBand="0" w:firstRowFirstColumn="0" w:firstRowLastColumn="0" w:lastRowFirstColumn="0" w:lastRowLastColumn="0"/>
                      </w:pPr>
                    </w:p>
                  </w:tc>
                  <w:tc>
                    <w:tcPr>
                      <w:tcW w:w="1540" w:type="dxa"/>
                      <w:noWrap/>
                      <w:hideMark/>
                    </w:tcPr>
                    <w:p w14:paraId="4EB008BE" w14:textId="77777777" w:rsidR="00947012" w:rsidRPr="00947012" w:rsidRDefault="00947012" w:rsidP="00DB5C72">
                      <w:pPr>
                        <w:cnfStyle w:val="000000000000" w:firstRow="0" w:lastRow="0" w:firstColumn="0" w:lastColumn="0" w:oddVBand="0" w:evenVBand="0" w:oddHBand="0" w:evenHBand="0" w:firstRowFirstColumn="0" w:firstRowLastColumn="0" w:lastRowFirstColumn="0" w:lastRowLastColumn="0"/>
                      </w:pPr>
                    </w:p>
                  </w:tc>
                  <w:tc>
                    <w:tcPr>
                      <w:tcW w:w="1220" w:type="dxa"/>
                      <w:noWrap/>
                      <w:hideMark/>
                    </w:tcPr>
                    <w:p w14:paraId="524C30E5" w14:textId="77777777" w:rsidR="00947012" w:rsidRPr="00947012" w:rsidRDefault="00947012" w:rsidP="00DB5C72">
                      <w:pPr>
                        <w:cnfStyle w:val="000000000000" w:firstRow="0" w:lastRow="0" w:firstColumn="0" w:lastColumn="0" w:oddVBand="0" w:evenVBand="0" w:oddHBand="0" w:evenHBand="0" w:firstRowFirstColumn="0" w:firstRowLastColumn="0" w:lastRowFirstColumn="0" w:lastRowLastColumn="0"/>
                      </w:pPr>
                    </w:p>
                  </w:tc>
                  <w:tc>
                    <w:tcPr>
                      <w:tcW w:w="1375" w:type="dxa"/>
                      <w:noWrap/>
                      <w:hideMark/>
                    </w:tcPr>
                    <w:p w14:paraId="4FFCB328" w14:textId="77777777" w:rsidR="00947012" w:rsidRPr="00947012" w:rsidRDefault="00947012" w:rsidP="00DB5C72">
                      <w:pPr>
                        <w:cnfStyle w:val="000000000000" w:firstRow="0" w:lastRow="0" w:firstColumn="0" w:lastColumn="0" w:oddVBand="0" w:evenVBand="0" w:oddHBand="0" w:evenHBand="0" w:firstRowFirstColumn="0" w:firstRowLastColumn="0" w:lastRowFirstColumn="0" w:lastRowLastColumn="0"/>
                      </w:pPr>
                    </w:p>
                  </w:tc>
                </w:tr>
              </w:tbl>
              <w:p w14:paraId="29285EF3" w14:textId="77777777" w:rsidR="00947012" w:rsidRDefault="00947012"/>
            </w:tc>
          </w:tr>
        </w:tbl>
        <w:p w14:paraId="55446290" w14:textId="77777777" w:rsidR="001B0EFB" w:rsidRPr="001B0EFB" w:rsidRDefault="001B0EFB" w:rsidP="001B0EFB"/>
        <w:p w14:paraId="5B073452" w14:textId="35455E70" w:rsidR="007523A4" w:rsidRPr="00F06156" w:rsidRDefault="00FA0308" w:rsidP="00F06156">
          <w:pPr>
            <w:spacing w:line="360" w:lineRule="auto"/>
            <w:rPr>
              <w:rFonts w:cs="Arial"/>
              <w:b/>
              <w:bCs/>
              <w:szCs w:val="24"/>
            </w:rPr>
          </w:pPr>
          <w:r w:rsidRPr="00F06156">
            <w:rPr>
              <w:rFonts w:cs="Arial"/>
              <w:b/>
              <w:bCs/>
              <w:szCs w:val="24"/>
            </w:rPr>
            <w:t>Ratio Calculation</w:t>
          </w:r>
        </w:p>
        <w:p w14:paraId="2E3BA9CE" w14:textId="539266B2" w:rsidR="008040CD" w:rsidRPr="00F06156" w:rsidRDefault="008040CD" w:rsidP="00F06156">
          <w:pPr>
            <w:spacing w:line="360" w:lineRule="auto"/>
            <w:rPr>
              <w:rFonts w:cs="Arial"/>
              <w:b/>
              <w:bCs/>
              <w:szCs w:val="24"/>
              <w:lang w:val="en-US"/>
            </w:rPr>
          </w:pPr>
          <w:r w:rsidRPr="00F06156">
            <w:rPr>
              <w:rFonts w:cs="Arial"/>
              <w:b/>
              <w:bCs/>
              <w:szCs w:val="24"/>
              <w:lang w:val="en-US"/>
            </w:rPr>
            <w:t>Profitabil</w:t>
          </w:r>
          <w:r w:rsidR="00EB277B" w:rsidRPr="00F06156">
            <w:rPr>
              <w:rFonts w:cs="Arial"/>
              <w:b/>
              <w:bCs/>
              <w:szCs w:val="24"/>
              <w:lang w:val="en-US"/>
            </w:rPr>
            <w:t>i</w:t>
          </w:r>
          <w:r w:rsidRPr="00F06156">
            <w:rPr>
              <w:rFonts w:cs="Arial"/>
              <w:b/>
              <w:bCs/>
              <w:szCs w:val="24"/>
              <w:lang w:val="en-US"/>
            </w:rPr>
            <w:t>ty Ratio</w:t>
          </w:r>
        </w:p>
        <w:p w14:paraId="5540A1A2" w14:textId="0A5ED515" w:rsidR="00974AE2" w:rsidRPr="00F06156" w:rsidRDefault="00974AE2" w:rsidP="00F06156">
          <w:pPr>
            <w:spacing w:line="360" w:lineRule="auto"/>
            <w:rPr>
              <w:rFonts w:cs="Arial"/>
              <w:szCs w:val="24"/>
              <w:lang w:val="en-US"/>
            </w:rPr>
          </w:pPr>
          <w:r w:rsidRPr="00F06156">
            <w:rPr>
              <w:rFonts w:cs="Arial"/>
              <w:b/>
              <w:bCs/>
              <w:szCs w:val="24"/>
              <w:lang w:val="en-US"/>
            </w:rPr>
            <w:t>Operating Ratio</w:t>
          </w:r>
          <w:r w:rsidR="008040CD" w:rsidRPr="00F06156">
            <w:rPr>
              <w:rFonts w:cs="Arial"/>
              <w:b/>
              <w:bCs/>
              <w:szCs w:val="24"/>
              <w:lang w:val="en-US"/>
            </w:rPr>
            <w:t>:</w:t>
          </w:r>
          <w:r w:rsidR="00C455C7" w:rsidRPr="00F06156">
            <w:rPr>
              <w:rFonts w:cs="Arial"/>
              <w:szCs w:val="24"/>
            </w:rPr>
            <w:t xml:space="preserve"> </w:t>
          </w:r>
          <w:r w:rsidR="00C455C7" w:rsidRPr="00F06156">
            <w:rPr>
              <w:rFonts w:cs="Arial"/>
              <w:szCs w:val="24"/>
              <w:lang w:val="en-US"/>
            </w:rPr>
            <w:t>Operational expenses as a percentage of sales are known as the operational ratio in accounting. Organizations like railroads, wh</w:t>
          </w:r>
          <w:r w:rsidR="00316EDC">
            <w:rPr>
              <w:rFonts w:cs="Arial"/>
              <w:szCs w:val="24"/>
              <w:lang w:val="en-US"/>
            </w:rPr>
            <w:t>ich</w:t>
          </w:r>
          <w:r w:rsidR="00C455C7" w:rsidRPr="00F06156">
            <w:rPr>
              <w:rFonts w:cs="Arial"/>
              <w:szCs w:val="24"/>
              <w:lang w:val="en-US"/>
            </w:rPr>
            <w:t xml:space="preserve"> rely on a large percentage of revenue to run their business, commonly use this financial ratio. An operating ratio of 80 or lower is regarded </w:t>
          </w:r>
          <w:r w:rsidR="00316EDC">
            <w:rPr>
              <w:rFonts w:cs="Arial"/>
              <w:szCs w:val="24"/>
              <w:lang w:val="en-US"/>
            </w:rPr>
            <w:t xml:space="preserve">as </w:t>
          </w:r>
          <w:r w:rsidR="00C455C7" w:rsidRPr="00F06156">
            <w:rPr>
              <w:rFonts w:cs="Arial"/>
              <w:szCs w:val="24"/>
              <w:lang w:val="en-US"/>
            </w:rPr>
            <w:t>ideal in the railroad industry</w:t>
          </w:r>
          <w:r w:rsidR="00147AB8">
            <w:rPr>
              <w:rFonts w:cs="Arial"/>
              <w:szCs w:val="24"/>
              <w:lang w:val="en-US"/>
            </w:rPr>
            <w:t xml:space="preserve"> (Tinkelman et al., 2022)</w:t>
          </w:r>
          <w:r w:rsidR="00C455C7" w:rsidRPr="00F06156">
            <w:rPr>
              <w:rFonts w:cs="Arial"/>
              <w:szCs w:val="24"/>
              <w:lang w:val="en-US"/>
            </w:rPr>
            <w:t>.</w:t>
          </w:r>
          <w:r w:rsidR="00A307B3">
            <w:rPr>
              <w:rFonts w:cs="Arial"/>
              <w:szCs w:val="24"/>
              <w:lang w:val="en-US"/>
            </w:rPr>
            <w:t xml:space="preserve"> The following result shows that 2020 presents </w:t>
          </w:r>
          <w:r w:rsidR="00316EDC">
            <w:rPr>
              <w:rFonts w:cs="Arial"/>
              <w:szCs w:val="24"/>
              <w:lang w:val="en-US"/>
            </w:rPr>
            <w:t xml:space="preserve">a </w:t>
          </w:r>
          <w:r w:rsidR="00A307B3">
            <w:rPr>
              <w:rFonts w:cs="Arial"/>
              <w:szCs w:val="24"/>
              <w:lang w:val="en-US"/>
            </w:rPr>
            <w:t>huge negative result</w:t>
          </w:r>
          <w:r w:rsidR="00432858">
            <w:rPr>
              <w:rFonts w:cs="Arial"/>
              <w:szCs w:val="24"/>
              <w:lang w:val="en-US"/>
            </w:rPr>
            <w:t xml:space="preserve"> as revenue is negative.</w:t>
          </w:r>
        </w:p>
        <w:p w14:paraId="2B85B080" w14:textId="02783833" w:rsidR="00974AE2" w:rsidRPr="00F06156" w:rsidRDefault="00974AE2" w:rsidP="0072314A">
          <w:pPr>
            <w:spacing w:line="360" w:lineRule="auto"/>
            <w:jc w:val="center"/>
            <w:rPr>
              <w:rFonts w:cs="Arial"/>
              <w:szCs w:val="24"/>
              <w:lang w:val="en-US"/>
            </w:rPr>
          </w:pPr>
          <w:r w:rsidRPr="00F06156">
            <w:rPr>
              <w:rFonts w:cs="Arial"/>
              <w:szCs w:val="24"/>
              <w:lang w:val="en-US"/>
            </w:rPr>
            <w:t xml:space="preserve">Operating Ratio = </w:t>
          </w:r>
          <m:oMath>
            <m:f>
              <m:fPr>
                <m:ctrlPr>
                  <w:rPr>
                    <w:rFonts w:ascii="Cambria Math" w:hAnsi="Cambria Math" w:cs="Arial"/>
                    <w:i/>
                    <w:szCs w:val="24"/>
                    <w:lang w:val="en-US"/>
                  </w:rPr>
                </m:ctrlPr>
              </m:fPr>
              <m:num>
                <m:r>
                  <m:rPr>
                    <m:sty m:val="p"/>
                  </m:rPr>
                  <w:rPr>
                    <w:rFonts w:ascii="Cambria Math" w:hAnsi="Cambria Math" w:cs="Arial"/>
                    <w:szCs w:val="24"/>
                    <w:lang w:val="en-US"/>
                  </w:rPr>
                  <m:t>Operating Cost</m:t>
                </m:r>
              </m:num>
              <m:den>
                <m:r>
                  <m:rPr>
                    <m:sty m:val="p"/>
                  </m:rPr>
                  <w:rPr>
                    <w:rFonts w:ascii="Cambria Math" w:hAnsi="Cambria Math" w:cs="Arial"/>
                    <w:szCs w:val="24"/>
                    <w:lang w:val="en-US"/>
                  </w:rPr>
                  <m:t>Revenue from Operations</m:t>
                </m:r>
                <m:r>
                  <w:rPr>
                    <w:rFonts w:ascii="Cambria Math" w:hAnsi="Cambria Math" w:cs="Arial"/>
                    <w:szCs w:val="24"/>
                    <w:lang w:val="en-US"/>
                  </w:rPr>
                  <m:t xml:space="preserve"> </m:t>
                </m:r>
              </m:den>
            </m:f>
            <m:r>
              <w:rPr>
                <w:rFonts w:ascii="Cambria Math" w:hAnsi="Cambria Math" w:cs="Arial"/>
                <w:szCs w:val="24"/>
                <w:lang w:val="en-US"/>
              </w:rPr>
              <m:t>×100</m:t>
            </m:r>
          </m:oMath>
        </w:p>
        <w:p w14:paraId="6241DC67" w14:textId="730F3C02" w:rsidR="00974AE2" w:rsidRPr="00F06156" w:rsidRDefault="00974AE2" w:rsidP="00F06156">
          <w:pPr>
            <w:spacing w:line="360" w:lineRule="auto"/>
            <w:rPr>
              <w:rFonts w:cs="Arial"/>
              <w:szCs w:val="24"/>
              <w:lang w:val="en-US"/>
            </w:rPr>
          </w:pPr>
          <w:r w:rsidRPr="00F06156">
            <w:rPr>
              <w:rFonts w:cs="Arial"/>
              <w:szCs w:val="24"/>
              <w:lang w:val="en-US"/>
            </w:rPr>
            <w:t>.</w:t>
          </w:r>
        </w:p>
        <w:p w14:paraId="13B13AF4" w14:textId="77777777" w:rsidR="00974AE2" w:rsidRPr="00F06156" w:rsidRDefault="00974AE2" w:rsidP="00F06156">
          <w:pPr>
            <w:spacing w:line="360" w:lineRule="auto"/>
            <w:rPr>
              <w:rFonts w:cs="Arial"/>
              <w:szCs w:val="24"/>
              <w:lang w:val="en-US"/>
            </w:rPr>
          </w:pPr>
          <w:r w:rsidRPr="00F06156">
            <w:rPr>
              <w:rFonts w:cs="Arial"/>
              <w:szCs w:val="24"/>
              <w:lang w:val="en-US"/>
            </w:rPr>
            <w:t>Explanation:</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974AE2" w:rsidRPr="00F06156" w14:paraId="224CA54D" w14:textId="77777777" w:rsidTr="0072314A">
            <w:tc>
              <w:tcPr>
                <w:tcW w:w="4675" w:type="dxa"/>
                <w:vAlign w:val="center"/>
              </w:tcPr>
              <w:p w14:paraId="112F6CD3" w14:textId="77777777" w:rsidR="00974AE2" w:rsidRPr="00F06156" w:rsidRDefault="00974AE2" w:rsidP="0072314A">
                <w:pPr>
                  <w:spacing w:after="160" w:line="360" w:lineRule="auto"/>
                  <w:jc w:val="center"/>
                  <w:rPr>
                    <w:rFonts w:cs="Arial"/>
                    <w:szCs w:val="24"/>
                    <w:lang w:val="en-US"/>
                  </w:rPr>
                </w:pPr>
                <w:r w:rsidRPr="00F06156">
                  <w:rPr>
                    <w:rFonts w:cs="Arial"/>
                    <w:szCs w:val="24"/>
                    <w:lang w:val="en-US"/>
                  </w:rPr>
                  <w:t>2020</w:t>
                </w:r>
              </w:p>
            </w:tc>
            <w:tc>
              <w:tcPr>
                <w:tcW w:w="4675" w:type="dxa"/>
                <w:vAlign w:val="center"/>
              </w:tcPr>
              <w:p w14:paraId="636E8762" w14:textId="77777777" w:rsidR="00974AE2" w:rsidRPr="00F06156" w:rsidRDefault="00974AE2" w:rsidP="0072314A">
                <w:pPr>
                  <w:spacing w:after="160" w:line="360" w:lineRule="auto"/>
                  <w:jc w:val="center"/>
                  <w:rPr>
                    <w:rFonts w:cs="Arial"/>
                    <w:szCs w:val="24"/>
                    <w:lang w:val="en-US"/>
                  </w:rPr>
                </w:pPr>
                <w:r w:rsidRPr="00F06156">
                  <w:rPr>
                    <w:rFonts w:cs="Arial"/>
                    <w:szCs w:val="24"/>
                    <w:lang w:val="en-US"/>
                  </w:rPr>
                  <w:t>2019</w:t>
                </w:r>
              </w:p>
            </w:tc>
          </w:tr>
          <w:tr w:rsidR="00974AE2" w:rsidRPr="00F06156" w14:paraId="60D9E794" w14:textId="77777777" w:rsidTr="0072314A">
            <w:trPr>
              <w:trHeight w:val="980"/>
            </w:trPr>
            <w:tc>
              <w:tcPr>
                <w:tcW w:w="4675" w:type="dxa"/>
                <w:vAlign w:val="center"/>
              </w:tcPr>
              <w:p w14:paraId="716E479F" w14:textId="3B56C990" w:rsidR="00974AE2" w:rsidRPr="00F06156" w:rsidRDefault="00C64B63" w:rsidP="0072314A">
                <w:pPr>
                  <w:spacing w:after="160" w:line="360" w:lineRule="auto"/>
                  <w:jc w:val="center"/>
                  <w:rPr>
                    <w:rFonts w:cs="Arial"/>
                    <w:szCs w:val="24"/>
                    <w:lang w:val="en-US"/>
                  </w:rPr>
                </w:pPr>
                <m:oMathPara>
                  <m:oMath>
                    <m:f>
                      <m:fPr>
                        <m:ctrlPr>
                          <w:rPr>
                            <w:rFonts w:ascii="Cambria Math" w:hAnsi="Cambria Math" w:cs="Arial"/>
                            <w:i/>
                            <w:szCs w:val="24"/>
                            <w:lang w:val="en-US"/>
                          </w:rPr>
                        </m:ctrlPr>
                      </m:fPr>
                      <m:num>
                        <m:r>
                          <w:rPr>
                            <w:rFonts w:ascii="Cambria Math" w:hAnsi="Cambria Math" w:cs="Arial"/>
                            <w:szCs w:val="24"/>
                            <w:lang w:val="en-US"/>
                          </w:rPr>
                          <m:t>702,000</m:t>
                        </m:r>
                      </m:num>
                      <m:den>
                        <m:r>
                          <w:rPr>
                            <w:rFonts w:ascii="Cambria Math" w:hAnsi="Cambria Math" w:cs="Arial"/>
                            <w:szCs w:val="24"/>
                            <w:lang w:val="en-US"/>
                          </w:rPr>
                          <m:t>-119,000</m:t>
                        </m:r>
                      </m:den>
                    </m:f>
                    <m:r>
                      <w:rPr>
                        <w:rFonts w:ascii="Cambria Math" w:hAnsi="Cambria Math" w:cs="Arial"/>
                        <w:szCs w:val="24"/>
                        <w:lang w:val="en-US"/>
                      </w:rPr>
                      <m:t>×100</m:t>
                    </m:r>
                  </m:oMath>
                </m:oMathPara>
              </w:p>
            </w:tc>
            <w:tc>
              <w:tcPr>
                <w:tcW w:w="4675" w:type="dxa"/>
                <w:vAlign w:val="center"/>
              </w:tcPr>
              <w:p w14:paraId="2EBE97FF" w14:textId="3BEA2005" w:rsidR="00974AE2" w:rsidRPr="00F06156" w:rsidRDefault="00C64B63" w:rsidP="0072314A">
                <w:pPr>
                  <w:spacing w:after="160" w:line="360" w:lineRule="auto"/>
                  <w:jc w:val="center"/>
                  <w:rPr>
                    <w:rFonts w:cs="Arial"/>
                    <w:szCs w:val="24"/>
                    <w:lang w:val="en-US"/>
                  </w:rPr>
                </w:pPr>
                <m:oMathPara>
                  <m:oMath>
                    <m:f>
                      <m:fPr>
                        <m:ctrlPr>
                          <w:rPr>
                            <w:rFonts w:ascii="Cambria Math" w:hAnsi="Cambria Math" w:cs="Arial"/>
                            <w:i/>
                            <w:szCs w:val="24"/>
                            <w:lang w:val="en-US"/>
                          </w:rPr>
                        </m:ctrlPr>
                      </m:fPr>
                      <m:num>
                        <m:r>
                          <w:rPr>
                            <w:rFonts w:ascii="Cambria Math" w:hAnsi="Cambria Math" w:cs="Arial"/>
                            <w:szCs w:val="24"/>
                            <w:lang w:val="en-US"/>
                          </w:rPr>
                          <m:t>859,000</m:t>
                        </m:r>
                      </m:num>
                      <m:den>
                        <m:r>
                          <w:rPr>
                            <w:rFonts w:ascii="Cambria Math" w:hAnsi="Cambria Math" w:cs="Arial"/>
                            <w:szCs w:val="24"/>
                            <w:lang w:val="en-US"/>
                          </w:rPr>
                          <m:t>1,576,000</m:t>
                        </m:r>
                      </m:den>
                    </m:f>
                    <m:r>
                      <w:rPr>
                        <w:rFonts w:ascii="Cambria Math" w:hAnsi="Cambria Math" w:cs="Arial"/>
                        <w:szCs w:val="24"/>
                        <w:lang w:val="en-US"/>
                      </w:rPr>
                      <m:t>×100</m:t>
                    </m:r>
                  </m:oMath>
                </m:oMathPara>
              </w:p>
            </w:tc>
          </w:tr>
          <w:tr w:rsidR="00974AE2" w:rsidRPr="00F06156" w14:paraId="1C73DA71" w14:textId="77777777" w:rsidTr="0072314A">
            <w:tc>
              <w:tcPr>
                <w:tcW w:w="4675" w:type="dxa"/>
                <w:vAlign w:val="center"/>
              </w:tcPr>
              <w:p w14:paraId="2295FFB8" w14:textId="40F239FA" w:rsidR="00974AE2" w:rsidRPr="00F06156" w:rsidRDefault="00974AE2" w:rsidP="0072314A">
                <w:pPr>
                  <w:spacing w:after="160" w:line="360" w:lineRule="auto"/>
                  <w:jc w:val="center"/>
                  <w:rPr>
                    <w:rFonts w:cs="Arial"/>
                    <w:szCs w:val="24"/>
                    <w:lang w:val="en-US"/>
                  </w:rPr>
                </w:pPr>
                <w:r w:rsidRPr="00F06156">
                  <w:rPr>
                    <w:rFonts w:cs="Arial"/>
                    <w:szCs w:val="24"/>
                    <w:lang w:val="en-US"/>
                  </w:rPr>
                  <w:t xml:space="preserve">= </w:t>
                </w:r>
                <w:r w:rsidR="00792BA5" w:rsidRPr="00F06156">
                  <w:rPr>
                    <w:rFonts w:cs="Arial"/>
                    <w:szCs w:val="24"/>
                    <w:lang w:val="en-US"/>
                  </w:rPr>
                  <w:t>-589.91</w:t>
                </w:r>
                <w:r w:rsidRPr="00F06156">
                  <w:rPr>
                    <w:rFonts w:cs="Arial"/>
                    <w:szCs w:val="24"/>
                    <w:lang w:val="en-US"/>
                  </w:rPr>
                  <w:t>%</w:t>
                </w:r>
              </w:p>
            </w:tc>
            <w:tc>
              <w:tcPr>
                <w:tcW w:w="4675" w:type="dxa"/>
                <w:vAlign w:val="center"/>
              </w:tcPr>
              <w:p w14:paraId="6F7FFF59" w14:textId="695DABAB" w:rsidR="00974AE2" w:rsidRPr="00F06156" w:rsidRDefault="00974AE2" w:rsidP="0072314A">
                <w:pPr>
                  <w:spacing w:after="160" w:line="360" w:lineRule="auto"/>
                  <w:jc w:val="center"/>
                  <w:rPr>
                    <w:rFonts w:cs="Arial"/>
                    <w:szCs w:val="24"/>
                    <w:lang w:val="en-US"/>
                  </w:rPr>
                </w:pPr>
                <w:r w:rsidRPr="00F06156">
                  <w:rPr>
                    <w:rFonts w:cs="Arial"/>
                    <w:szCs w:val="24"/>
                    <w:lang w:val="en-US"/>
                  </w:rPr>
                  <w:t xml:space="preserve">= </w:t>
                </w:r>
                <w:r w:rsidR="00792BA5" w:rsidRPr="00F06156">
                  <w:rPr>
                    <w:rFonts w:cs="Arial"/>
                    <w:szCs w:val="24"/>
                    <w:lang w:val="en-US"/>
                  </w:rPr>
                  <w:t>54</w:t>
                </w:r>
                <w:r w:rsidRPr="00F06156">
                  <w:rPr>
                    <w:rFonts w:cs="Arial"/>
                    <w:szCs w:val="24"/>
                    <w:lang w:val="en-US"/>
                  </w:rPr>
                  <w:t>.</w:t>
                </w:r>
                <w:r w:rsidR="00792BA5" w:rsidRPr="00F06156">
                  <w:rPr>
                    <w:rFonts w:cs="Arial"/>
                    <w:szCs w:val="24"/>
                    <w:lang w:val="en-US"/>
                  </w:rPr>
                  <w:t>51</w:t>
                </w:r>
                <w:r w:rsidRPr="00F06156">
                  <w:rPr>
                    <w:rFonts w:cs="Arial"/>
                    <w:szCs w:val="24"/>
                    <w:lang w:val="en-US"/>
                  </w:rPr>
                  <w:t>%</w:t>
                </w:r>
              </w:p>
            </w:tc>
          </w:tr>
        </w:tbl>
        <w:p w14:paraId="238FE41D" w14:textId="77777777" w:rsidR="00974AE2" w:rsidRPr="00F06156" w:rsidRDefault="00974AE2" w:rsidP="00F06156">
          <w:pPr>
            <w:spacing w:line="360" w:lineRule="auto"/>
            <w:rPr>
              <w:rFonts w:cs="Arial"/>
              <w:szCs w:val="24"/>
              <w:lang w:val="en-US"/>
            </w:rPr>
          </w:pPr>
        </w:p>
        <w:p w14:paraId="0B23EA8D" w14:textId="7C8039B3" w:rsidR="00792BA5" w:rsidRPr="00F06156" w:rsidRDefault="00792BA5" w:rsidP="00F06156">
          <w:pPr>
            <w:spacing w:line="360" w:lineRule="auto"/>
            <w:rPr>
              <w:rFonts w:cs="Arial"/>
              <w:b/>
              <w:bCs/>
              <w:szCs w:val="24"/>
            </w:rPr>
          </w:pPr>
          <w:r w:rsidRPr="00F06156">
            <w:rPr>
              <w:rFonts w:cs="Arial"/>
              <w:b/>
              <w:bCs/>
              <w:szCs w:val="24"/>
            </w:rPr>
            <w:t>Gross Profit Margin</w:t>
          </w:r>
          <w:r w:rsidR="00C455C7" w:rsidRPr="00F06156">
            <w:rPr>
              <w:rFonts w:cs="Arial"/>
              <w:b/>
              <w:bCs/>
              <w:szCs w:val="24"/>
            </w:rPr>
            <w:t xml:space="preserve">: </w:t>
          </w:r>
          <w:r w:rsidR="00C455C7" w:rsidRPr="00F06156">
            <w:rPr>
              <w:rFonts w:cs="Arial"/>
              <w:szCs w:val="24"/>
            </w:rPr>
            <w:t xml:space="preserve">Ratios used to represent gross margins include </w:t>
          </w:r>
          <w:proofErr w:type="gramStart"/>
          <w:r w:rsidR="00C455C7" w:rsidRPr="00F06156">
            <w:rPr>
              <w:rFonts w:cs="Arial"/>
              <w:szCs w:val="24"/>
            </w:rPr>
            <w:t>In</w:t>
          </w:r>
          <w:proofErr w:type="gramEnd"/>
          <w:r w:rsidR="00C455C7" w:rsidRPr="00F06156">
            <w:rPr>
              <w:rFonts w:cs="Arial"/>
              <w:szCs w:val="24"/>
            </w:rPr>
            <w:t xml:space="preserve"> most cases, computed by subtracting the item's selling price from the cost of goods sold and dividing the result by the original price</w:t>
          </w:r>
          <w:r w:rsidR="00147AB8">
            <w:rPr>
              <w:rFonts w:cs="Arial"/>
              <w:szCs w:val="24"/>
            </w:rPr>
            <w:t xml:space="preserve"> (Kamnikar et al., 2022)</w:t>
          </w:r>
          <w:r w:rsidR="00C455C7" w:rsidRPr="00F06156">
            <w:rPr>
              <w:rFonts w:cs="Arial"/>
              <w:b/>
              <w:bCs/>
              <w:szCs w:val="24"/>
            </w:rPr>
            <w:t>.</w:t>
          </w:r>
          <w:r w:rsidR="00432858">
            <w:rPr>
              <w:rFonts w:cs="Arial"/>
              <w:b/>
              <w:bCs/>
              <w:szCs w:val="24"/>
            </w:rPr>
            <w:t xml:space="preserve"> </w:t>
          </w:r>
          <w:r w:rsidR="00432858" w:rsidRPr="00432858">
            <w:rPr>
              <w:rFonts w:cs="Arial"/>
              <w:szCs w:val="24"/>
            </w:rPr>
            <w:t xml:space="preserve">The </w:t>
          </w:r>
          <w:r w:rsidR="00432858">
            <w:rPr>
              <w:rFonts w:cs="Arial"/>
              <w:szCs w:val="24"/>
            </w:rPr>
            <w:t>following result enunciates that gross profit decre</w:t>
          </w:r>
          <w:r w:rsidR="00316EDC">
            <w:rPr>
              <w:rFonts w:cs="Arial"/>
              <w:szCs w:val="24"/>
            </w:rPr>
            <w:t>a</w:t>
          </w:r>
          <w:r w:rsidR="00432858">
            <w:rPr>
              <w:rFonts w:cs="Arial"/>
              <w:szCs w:val="24"/>
            </w:rPr>
            <w:t>ses by 12% in 2020.</w:t>
          </w:r>
        </w:p>
        <w:p w14:paraId="7BE9C982" w14:textId="77777777" w:rsidR="00792BA5" w:rsidRPr="00F06156" w:rsidRDefault="00792BA5" w:rsidP="0072314A">
          <w:pPr>
            <w:spacing w:line="360" w:lineRule="auto"/>
            <w:jc w:val="center"/>
            <w:rPr>
              <w:rFonts w:cs="Arial"/>
              <w:szCs w:val="24"/>
            </w:rPr>
          </w:pPr>
          <w:r w:rsidRPr="00F06156">
            <w:rPr>
              <w:rFonts w:cs="Arial"/>
              <w:szCs w:val="24"/>
            </w:rPr>
            <w:lastRenderedPageBreak/>
            <w:t xml:space="preserve">Gross Profit Margin = </w:t>
          </w:r>
          <m:oMath>
            <m:f>
              <m:fPr>
                <m:ctrlPr>
                  <w:rPr>
                    <w:rFonts w:ascii="Cambria Math" w:hAnsi="Cambria Math" w:cs="Arial"/>
                    <w:i/>
                    <w:szCs w:val="24"/>
                  </w:rPr>
                </m:ctrlPr>
              </m:fPr>
              <m:num>
                <m:r>
                  <w:rPr>
                    <w:rFonts w:ascii="Cambria Math" w:hAnsi="Cambria Math" w:cs="Arial"/>
                    <w:szCs w:val="24"/>
                  </w:rPr>
                  <m:t>Revenue-Cost of Goods Sold</m:t>
                </m:r>
              </m:num>
              <m:den>
                <m:r>
                  <w:rPr>
                    <w:rFonts w:ascii="Cambria Math" w:hAnsi="Cambria Math" w:cs="Arial"/>
                    <w:szCs w:val="24"/>
                  </w:rPr>
                  <m:t xml:space="preserve">Revenue </m:t>
                </m:r>
              </m:den>
            </m:f>
            <m:r>
              <w:rPr>
                <w:rFonts w:ascii="Cambria Math" w:hAnsi="Cambria Math" w:cs="Arial"/>
                <w:szCs w:val="24"/>
              </w:rPr>
              <m:t>×100</m:t>
            </m:r>
          </m:oMath>
        </w:p>
        <w:p w14:paraId="52E47976" w14:textId="77777777" w:rsidR="00792BA5" w:rsidRPr="00F06156" w:rsidRDefault="00792BA5" w:rsidP="00F06156">
          <w:pPr>
            <w:spacing w:line="360" w:lineRule="auto"/>
            <w:rPr>
              <w:rFonts w:cs="Arial"/>
              <w:szCs w:val="24"/>
            </w:rPr>
          </w:pPr>
          <w:r w:rsidRPr="00F06156">
            <w:rPr>
              <w:rFonts w:cs="Arial"/>
              <w:szCs w:val="24"/>
            </w:rPr>
            <w:t>Explanation:</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792BA5" w:rsidRPr="00F06156" w14:paraId="25775EAD" w14:textId="77777777" w:rsidTr="0072314A">
            <w:tc>
              <w:tcPr>
                <w:tcW w:w="4675" w:type="dxa"/>
                <w:vAlign w:val="center"/>
              </w:tcPr>
              <w:p w14:paraId="221479D0" w14:textId="67D0077E" w:rsidR="00792BA5" w:rsidRPr="00F06156" w:rsidRDefault="00792BA5" w:rsidP="0072314A">
                <w:pPr>
                  <w:spacing w:after="160" w:line="360" w:lineRule="auto"/>
                  <w:jc w:val="center"/>
                  <w:rPr>
                    <w:rFonts w:ascii="Cambria Math" w:hAnsi="Cambria Math" w:cs="Arial"/>
                    <w:szCs w:val="24"/>
                    <w:lang w:val="en-US"/>
                    <w:oMath/>
                  </w:rPr>
                </w:pPr>
                <m:oMathPara>
                  <m:oMath>
                    <m:r>
                      <w:rPr>
                        <w:rFonts w:ascii="Cambria Math" w:hAnsi="Cambria Math" w:cs="Arial"/>
                        <w:szCs w:val="24"/>
                        <w:lang w:val="en-US"/>
                      </w:rPr>
                      <m:t>2020</m:t>
                    </m:r>
                  </m:oMath>
                </m:oMathPara>
              </w:p>
            </w:tc>
            <w:tc>
              <w:tcPr>
                <w:tcW w:w="4675" w:type="dxa"/>
                <w:vAlign w:val="center"/>
              </w:tcPr>
              <w:p w14:paraId="0691E128" w14:textId="7D6375E4" w:rsidR="00792BA5" w:rsidRPr="00F06156" w:rsidRDefault="00792BA5" w:rsidP="0072314A">
                <w:pPr>
                  <w:spacing w:after="160" w:line="360" w:lineRule="auto"/>
                  <w:jc w:val="center"/>
                  <w:rPr>
                    <w:rFonts w:ascii="Cambria Math" w:hAnsi="Cambria Math" w:cs="Arial"/>
                    <w:szCs w:val="24"/>
                    <w:lang w:val="en-US"/>
                    <w:oMath/>
                  </w:rPr>
                </w:pPr>
                <m:oMathPara>
                  <m:oMath>
                    <m:r>
                      <w:rPr>
                        <w:rFonts w:ascii="Cambria Math" w:hAnsi="Cambria Math" w:cs="Arial"/>
                        <w:szCs w:val="24"/>
                        <w:lang w:val="en-US"/>
                      </w:rPr>
                      <m:t>2019</m:t>
                    </m:r>
                  </m:oMath>
                </m:oMathPara>
              </w:p>
            </w:tc>
          </w:tr>
          <w:tr w:rsidR="00792BA5" w:rsidRPr="00F06156" w14:paraId="27E5AA83" w14:textId="77777777" w:rsidTr="0072314A">
            <w:trPr>
              <w:trHeight w:val="980"/>
            </w:trPr>
            <w:tc>
              <w:tcPr>
                <w:tcW w:w="4675" w:type="dxa"/>
                <w:vAlign w:val="center"/>
              </w:tcPr>
              <w:p w14:paraId="6F77CD97" w14:textId="5637361C" w:rsidR="00792BA5" w:rsidRPr="00F06156" w:rsidRDefault="00C64B63" w:rsidP="0072314A">
                <w:pPr>
                  <w:spacing w:after="160" w:line="360" w:lineRule="auto"/>
                  <w:jc w:val="center"/>
                  <w:rPr>
                    <w:rFonts w:ascii="Cambria Math" w:hAnsi="Cambria Math" w:cs="Arial"/>
                    <w:szCs w:val="24"/>
                    <w:lang w:val="en-US"/>
                    <w:oMath/>
                  </w:rPr>
                </w:pPr>
                <m:oMathPara>
                  <m:oMath>
                    <m:f>
                      <m:fPr>
                        <m:ctrlPr>
                          <w:rPr>
                            <w:rFonts w:ascii="Cambria Math" w:hAnsi="Cambria Math" w:cs="Arial"/>
                            <w:i/>
                            <w:szCs w:val="24"/>
                            <w:lang w:val="en-US"/>
                          </w:rPr>
                        </m:ctrlPr>
                      </m:fPr>
                      <m:num>
                        <m:r>
                          <w:rPr>
                            <w:rFonts w:ascii="Cambria Math" w:hAnsi="Cambria Math" w:cs="Arial"/>
                            <w:szCs w:val="24"/>
                            <w:lang w:val="en-US"/>
                          </w:rPr>
                          <m:t>4,307,000-3,724,000</m:t>
                        </m:r>
                      </m:num>
                      <m:den>
                        <m:r>
                          <w:rPr>
                            <w:rFonts w:ascii="Cambria Math" w:hAnsi="Cambria Math" w:cs="Arial"/>
                            <w:szCs w:val="24"/>
                            <w:lang w:val="en-US"/>
                          </w:rPr>
                          <m:t>4,307,000</m:t>
                        </m:r>
                      </m:den>
                    </m:f>
                    <m:r>
                      <w:rPr>
                        <w:rFonts w:ascii="Cambria Math" w:hAnsi="Cambria Math" w:cs="Arial"/>
                        <w:szCs w:val="24"/>
                        <w:lang w:val="en-US"/>
                      </w:rPr>
                      <m:t>×100</m:t>
                    </m:r>
                  </m:oMath>
                </m:oMathPara>
              </w:p>
            </w:tc>
            <w:tc>
              <w:tcPr>
                <w:tcW w:w="4675" w:type="dxa"/>
                <w:vAlign w:val="center"/>
              </w:tcPr>
              <w:p w14:paraId="62170347" w14:textId="52C16EC0" w:rsidR="00792BA5" w:rsidRPr="00F06156" w:rsidRDefault="00C64B63" w:rsidP="0072314A">
                <w:pPr>
                  <w:spacing w:after="160" w:line="360" w:lineRule="auto"/>
                  <w:jc w:val="center"/>
                  <w:rPr>
                    <w:rFonts w:ascii="Cambria Math" w:hAnsi="Cambria Math" w:cs="Arial"/>
                    <w:szCs w:val="24"/>
                    <w:lang w:val="en-US"/>
                    <w:oMath/>
                  </w:rPr>
                </w:pPr>
                <m:oMathPara>
                  <m:oMath>
                    <m:f>
                      <m:fPr>
                        <m:ctrlPr>
                          <w:rPr>
                            <w:rFonts w:ascii="Cambria Math" w:hAnsi="Cambria Math" w:cs="Arial"/>
                            <w:i/>
                            <w:szCs w:val="24"/>
                            <w:lang w:val="en-US"/>
                          </w:rPr>
                        </m:ctrlPr>
                      </m:fPr>
                      <m:num>
                        <m:r>
                          <w:rPr>
                            <w:rFonts w:ascii="Cambria Math" w:hAnsi="Cambria Math" w:cs="Arial"/>
                            <w:szCs w:val="24"/>
                            <w:lang w:val="en-US"/>
                          </w:rPr>
                          <m:t>9,452,000-7,017,000</m:t>
                        </m:r>
                      </m:num>
                      <m:den>
                        <m:r>
                          <w:rPr>
                            <w:rFonts w:ascii="Cambria Math" w:hAnsi="Cambria Math" w:cs="Arial"/>
                            <w:szCs w:val="24"/>
                            <w:lang w:val="en-US"/>
                          </w:rPr>
                          <m:t>9,452,000</m:t>
                        </m:r>
                      </m:den>
                    </m:f>
                    <m:r>
                      <w:rPr>
                        <w:rFonts w:ascii="Cambria Math" w:hAnsi="Cambria Math" w:cs="Arial"/>
                        <w:szCs w:val="24"/>
                        <w:lang w:val="en-US"/>
                      </w:rPr>
                      <m:t>×100</m:t>
                    </m:r>
                  </m:oMath>
                </m:oMathPara>
              </w:p>
            </w:tc>
          </w:tr>
          <w:tr w:rsidR="00792BA5" w:rsidRPr="00F06156" w14:paraId="56592DF9" w14:textId="77777777" w:rsidTr="0072314A">
            <w:tc>
              <w:tcPr>
                <w:tcW w:w="4675" w:type="dxa"/>
                <w:vAlign w:val="center"/>
              </w:tcPr>
              <w:p w14:paraId="30CB36C3" w14:textId="2D8BA720" w:rsidR="00792BA5" w:rsidRPr="00F06156" w:rsidRDefault="00792BA5" w:rsidP="0072314A">
                <w:pPr>
                  <w:spacing w:after="160" w:line="360" w:lineRule="auto"/>
                  <w:jc w:val="center"/>
                  <w:rPr>
                    <w:rFonts w:ascii="Cambria Math" w:hAnsi="Cambria Math" w:cs="Arial"/>
                    <w:szCs w:val="24"/>
                    <w:lang w:val="en-US"/>
                    <w:oMath/>
                  </w:rPr>
                </w:pPr>
                <m:oMathPara>
                  <m:oMath>
                    <m:r>
                      <w:rPr>
                        <w:rFonts w:ascii="Cambria Math" w:hAnsi="Cambria Math" w:cs="Arial"/>
                        <w:szCs w:val="24"/>
                        <w:lang w:val="en-US"/>
                      </w:rPr>
                      <m:t>= 13.54%</m:t>
                    </m:r>
                  </m:oMath>
                </m:oMathPara>
              </w:p>
            </w:tc>
            <w:tc>
              <w:tcPr>
                <w:tcW w:w="4675" w:type="dxa"/>
                <w:vAlign w:val="center"/>
              </w:tcPr>
              <w:p w14:paraId="7F00A224" w14:textId="0BC68D3D" w:rsidR="00792BA5" w:rsidRPr="00F06156" w:rsidRDefault="00792BA5" w:rsidP="0072314A">
                <w:pPr>
                  <w:spacing w:after="160" w:line="360" w:lineRule="auto"/>
                  <w:jc w:val="center"/>
                  <w:rPr>
                    <w:rFonts w:ascii="Cambria Math" w:hAnsi="Cambria Math" w:cs="Arial"/>
                    <w:szCs w:val="24"/>
                    <w:lang w:val="en-US"/>
                    <w:oMath/>
                  </w:rPr>
                </w:pPr>
                <m:oMathPara>
                  <m:oMath>
                    <m:r>
                      <w:rPr>
                        <w:rFonts w:ascii="Cambria Math" w:hAnsi="Cambria Math" w:cs="Arial"/>
                        <w:szCs w:val="24"/>
                        <w:lang w:val="en-US"/>
                      </w:rPr>
                      <m:t>= 25.74%</m:t>
                    </m:r>
                  </m:oMath>
                </m:oMathPara>
              </w:p>
            </w:tc>
          </w:tr>
        </w:tbl>
        <w:p w14:paraId="36457CB4" w14:textId="77777777" w:rsidR="00792BA5" w:rsidRPr="00F06156" w:rsidRDefault="00792BA5" w:rsidP="00F06156">
          <w:pPr>
            <w:spacing w:line="360" w:lineRule="auto"/>
            <w:rPr>
              <w:rFonts w:cs="Arial"/>
              <w:szCs w:val="24"/>
            </w:rPr>
          </w:pPr>
        </w:p>
        <w:p w14:paraId="22CDD7AA" w14:textId="60AC067D" w:rsidR="00792BA5" w:rsidRPr="00F06156" w:rsidRDefault="00792BA5" w:rsidP="00F06156">
          <w:pPr>
            <w:spacing w:line="360" w:lineRule="auto"/>
            <w:rPr>
              <w:rFonts w:cs="Arial"/>
              <w:szCs w:val="24"/>
            </w:rPr>
          </w:pPr>
          <w:r w:rsidRPr="00F06156">
            <w:rPr>
              <w:rFonts w:cs="Arial"/>
              <w:b/>
              <w:bCs/>
              <w:szCs w:val="24"/>
            </w:rPr>
            <w:t>Operating Profit Margin</w:t>
          </w:r>
          <w:r w:rsidR="00C455C7" w:rsidRPr="00F06156">
            <w:rPr>
              <w:rFonts w:cs="Arial"/>
              <w:b/>
              <w:bCs/>
              <w:szCs w:val="24"/>
            </w:rPr>
            <w:t xml:space="preserve">: </w:t>
          </w:r>
          <w:r w:rsidR="00C455C7" w:rsidRPr="00F06156">
            <w:rPr>
              <w:rFonts w:cs="Arial"/>
              <w:szCs w:val="24"/>
            </w:rPr>
            <w:t xml:space="preserve">An organization's operating margin will tell </w:t>
          </w:r>
          <w:r w:rsidR="00AE14FF">
            <w:rPr>
              <w:rFonts w:cs="Arial"/>
              <w:szCs w:val="24"/>
            </w:rPr>
            <w:t>users</w:t>
          </w:r>
          <w:r w:rsidR="00C455C7" w:rsidRPr="00F06156">
            <w:rPr>
              <w:rFonts w:cs="Arial"/>
              <w:szCs w:val="24"/>
            </w:rPr>
            <w:t xml:space="preserve"> how much money it makes on each pound of sales after all variable production expenses, such as labour and raw materials, have been paid for, but before interest or tax payments have been made</w:t>
          </w:r>
          <w:r w:rsidR="00F649D4">
            <w:rPr>
              <w:rFonts w:cs="Arial"/>
              <w:szCs w:val="24"/>
            </w:rPr>
            <w:t xml:space="preserve"> (Guan et al., 2021)</w:t>
          </w:r>
          <w:r w:rsidR="00C455C7" w:rsidRPr="00F06156">
            <w:rPr>
              <w:rFonts w:cs="Arial"/>
              <w:szCs w:val="24"/>
            </w:rPr>
            <w:t>. The formula for determining this amount, which is employed to arrive at this result, is the operating income of a business divided by its net sales.</w:t>
          </w:r>
          <w:r w:rsidR="002B3CE7">
            <w:rPr>
              <w:rFonts w:cs="Arial"/>
              <w:szCs w:val="24"/>
            </w:rPr>
            <w:t xml:space="preserve"> Since the revenue in 2020 is neg</w:t>
          </w:r>
          <w:r w:rsidR="00316EDC">
            <w:rPr>
              <w:rFonts w:cs="Arial"/>
              <w:szCs w:val="24"/>
            </w:rPr>
            <w:t>at</w:t>
          </w:r>
          <w:r w:rsidR="002B3CE7">
            <w:rPr>
              <w:rFonts w:cs="Arial"/>
              <w:szCs w:val="24"/>
            </w:rPr>
            <w:t xml:space="preserve">ive, thus it provides </w:t>
          </w:r>
          <w:r w:rsidR="00316EDC">
            <w:rPr>
              <w:rFonts w:cs="Arial"/>
              <w:szCs w:val="24"/>
            </w:rPr>
            <w:t xml:space="preserve">a </w:t>
          </w:r>
          <w:r w:rsidR="002B3CE7">
            <w:rPr>
              <w:rFonts w:cs="Arial"/>
              <w:szCs w:val="24"/>
            </w:rPr>
            <w:t>-.2.76 result.</w:t>
          </w:r>
        </w:p>
        <w:p w14:paraId="4DD7592B" w14:textId="77777777" w:rsidR="00792BA5" w:rsidRPr="00F06156" w:rsidRDefault="00792BA5" w:rsidP="00F06156">
          <w:pPr>
            <w:pStyle w:val="ListParagraph"/>
            <w:spacing w:line="360" w:lineRule="auto"/>
            <w:rPr>
              <w:rFonts w:cs="Arial"/>
              <w:b/>
              <w:bCs/>
              <w:szCs w:val="24"/>
            </w:rPr>
          </w:pPr>
        </w:p>
        <w:p w14:paraId="59849A3D" w14:textId="77777777" w:rsidR="00792BA5" w:rsidRPr="00F06156" w:rsidRDefault="00792BA5" w:rsidP="0072314A">
          <w:pPr>
            <w:pStyle w:val="ListParagraph"/>
            <w:spacing w:line="360" w:lineRule="auto"/>
            <w:jc w:val="center"/>
            <w:rPr>
              <w:rFonts w:cs="Arial"/>
              <w:szCs w:val="24"/>
            </w:rPr>
          </w:pPr>
          <w:r w:rsidRPr="00F06156">
            <w:rPr>
              <w:rFonts w:cs="Arial"/>
              <w:szCs w:val="24"/>
            </w:rPr>
            <w:t xml:space="preserve">Operating Profit Margin = </w:t>
          </w:r>
          <m:oMath>
            <m:f>
              <m:fPr>
                <m:ctrlPr>
                  <w:rPr>
                    <w:rFonts w:ascii="Cambria Math" w:hAnsi="Cambria Math" w:cs="Arial"/>
                    <w:i/>
                    <w:szCs w:val="24"/>
                  </w:rPr>
                </m:ctrlPr>
              </m:fPr>
              <m:num>
                <m:r>
                  <w:rPr>
                    <w:rFonts w:ascii="Cambria Math" w:hAnsi="Cambria Math" w:cs="Arial"/>
                    <w:szCs w:val="24"/>
                  </w:rPr>
                  <m:t>Operating Profit</m:t>
                </m:r>
              </m:num>
              <m:den>
                <m:r>
                  <w:rPr>
                    <w:rFonts w:ascii="Cambria Math" w:hAnsi="Cambria Math" w:cs="Arial"/>
                    <w:szCs w:val="24"/>
                  </w:rPr>
                  <m:t xml:space="preserve">Revenue </m:t>
                </m:r>
              </m:den>
            </m:f>
            <m:r>
              <w:rPr>
                <w:rFonts w:ascii="Cambria Math" w:hAnsi="Cambria Math" w:cs="Arial"/>
                <w:szCs w:val="24"/>
              </w:rPr>
              <m:t>×100</m:t>
            </m:r>
          </m:oMath>
        </w:p>
        <w:p w14:paraId="4F1E0B46" w14:textId="77777777" w:rsidR="00792BA5" w:rsidRPr="00F06156" w:rsidRDefault="00792BA5" w:rsidP="00F06156">
          <w:pPr>
            <w:spacing w:line="360" w:lineRule="auto"/>
            <w:rPr>
              <w:rFonts w:cs="Arial"/>
              <w:szCs w:val="24"/>
            </w:rPr>
          </w:pPr>
          <w:r w:rsidRPr="00F06156">
            <w:rPr>
              <w:rFonts w:cs="Arial"/>
              <w:szCs w:val="24"/>
            </w:rPr>
            <w:t>Explanation:</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9"/>
            <w:gridCol w:w="4497"/>
          </w:tblGrid>
          <w:tr w:rsidR="00792BA5" w:rsidRPr="00F06156" w14:paraId="45C4F568" w14:textId="77777777" w:rsidTr="00586C3C">
            <w:tc>
              <w:tcPr>
                <w:tcW w:w="4675" w:type="dxa"/>
                <w:vAlign w:val="center"/>
              </w:tcPr>
              <w:p w14:paraId="4EA35299" w14:textId="14D2A938" w:rsidR="00792BA5" w:rsidRPr="00F06156" w:rsidRDefault="00792BA5" w:rsidP="00F06156">
                <w:pPr>
                  <w:spacing w:after="160" w:line="360" w:lineRule="auto"/>
                  <w:rPr>
                    <w:rFonts w:ascii="Cambria Math" w:hAnsi="Cambria Math" w:cs="Arial"/>
                    <w:szCs w:val="24"/>
                    <w:lang w:val="en-US"/>
                    <w:oMath/>
                  </w:rPr>
                </w:pPr>
                <m:oMathPara>
                  <m:oMath>
                    <m:r>
                      <w:rPr>
                        <w:rFonts w:ascii="Cambria Math" w:hAnsi="Cambria Math" w:cs="Arial"/>
                        <w:szCs w:val="24"/>
                        <w:lang w:val="en-US"/>
                      </w:rPr>
                      <m:t>2020</m:t>
                    </m:r>
                  </m:oMath>
                </m:oMathPara>
              </w:p>
            </w:tc>
            <w:tc>
              <w:tcPr>
                <w:tcW w:w="4675" w:type="dxa"/>
                <w:vAlign w:val="center"/>
              </w:tcPr>
              <w:p w14:paraId="6AA48D13" w14:textId="0D7932CA" w:rsidR="00792BA5" w:rsidRPr="00F06156" w:rsidRDefault="00792BA5" w:rsidP="00F06156">
                <w:pPr>
                  <w:spacing w:after="160" w:line="360" w:lineRule="auto"/>
                  <w:rPr>
                    <w:rFonts w:ascii="Cambria Math" w:hAnsi="Cambria Math" w:cs="Arial"/>
                    <w:szCs w:val="24"/>
                    <w:lang w:val="en-US"/>
                    <w:oMath/>
                  </w:rPr>
                </w:pPr>
                <m:oMathPara>
                  <m:oMath>
                    <m:r>
                      <w:rPr>
                        <w:rFonts w:ascii="Cambria Math" w:hAnsi="Cambria Math" w:cs="Arial"/>
                        <w:szCs w:val="24"/>
                        <w:lang w:val="en-US"/>
                      </w:rPr>
                      <m:t>2019</m:t>
                    </m:r>
                  </m:oMath>
                </m:oMathPara>
              </w:p>
            </w:tc>
          </w:tr>
          <w:tr w:rsidR="00792BA5" w:rsidRPr="00F06156" w14:paraId="6A40B077" w14:textId="77777777" w:rsidTr="00586C3C">
            <w:trPr>
              <w:trHeight w:val="980"/>
            </w:trPr>
            <w:tc>
              <w:tcPr>
                <w:tcW w:w="4675" w:type="dxa"/>
                <w:vAlign w:val="center"/>
              </w:tcPr>
              <w:p w14:paraId="30077903" w14:textId="7EC986C0" w:rsidR="00792BA5" w:rsidRPr="00F06156" w:rsidRDefault="00C64B63" w:rsidP="00F06156">
                <w:pPr>
                  <w:spacing w:after="160" w:line="360" w:lineRule="auto"/>
                  <w:rPr>
                    <w:rFonts w:ascii="Cambria Math" w:hAnsi="Cambria Math" w:cs="Arial"/>
                    <w:szCs w:val="24"/>
                    <w:lang w:val="en-US"/>
                    <w:oMath/>
                  </w:rPr>
                </w:pPr>
                <m:oMathPara>
                  <m:oMath>
                    <m:f>
                      <m:fPr>
                        <m:ctrlPr>
                          <w:rPr>
                            <w:rFonts w:ascii="Cambria Math" w:hAnsi="Cambria Math" w:cs="Arial"/>
                            <w:i/>
                            <w:szCs w:val="24"/>
                            <w:lang w:val="en-US"/>
                          </w:rPr>
                        </m:ctrlPr>
                      </m:fPr>
                      <m:num>
                        <m:r>
                          <w:rPr>
                            <w:rFonts w:ascii="Cambria Math" w:hAnsi="Cambria Math" w:cs="Arial"/>
                            <w:szCs w:val="24"/>
                            <w:lang w:val="en-US"/>
                          </w:rPr>
                          <m:t>-119,000</m:t>
                        </m:r>
                      </m:num>
                      <m:den>
                        <m:r>
                          <w:rPr>
                            <w:rFonts w:ascii="Cambria Math" w:hAnsi="Cambria Math" w:cs="Arial"/>
                            <w:szCs w:val="24"/>
                            <w:lang w:val="en-US"/>
                          </w:rPr>
                          <m:t>4,307,000</m:t>
                        </m:r>
                      </m:den>
                    </m:f>
                    <m:r>
                      <w:rPr>
                        <w:rFonts w:ascii="Cambria Math" w:hAnsi="Cambria Math" w:cs="Arial"/>
                        <w:szCs w:val="24"/>
                        <w:lang w:val="en-US"/>
                      </w:rPr>
                      <m:t>×100</m:t>
                    </m:r>
                  </m:oMath>
                </m:oMathPara>
              </w:p>
            </w:tc>
            <w:tc>
              <w:tcPr>
                <w:tcW w:w="4675" w:type="dxa"/>
                <w:vAlign w:val="center"/>
              </w:tcPr>
              <w:p w14:paraId="29BA46F3" w14:textId="21F021C1" w:rsidR="00792BA5" w:rsidRPr="00F06156" w:rsidRDefault="00C64B63" w:rsidP="00F06156">
                <w:pPr>
                  <w:spacing w:after="160" w:line="360" w:lineRule="auto"/>
                  <w:rPr>
                    <w:rFonts w:ascii="Cambria Math" w:hAnsi="Cambria Math" w:cs="Arial"/>
                    <w:szCs w:val="24"/>
                    <w:lang w:val="en-US"/>
                    <w:oMath/>
                  </w:rPr>
                </w:pPr>
                <m:oMathPara>
                  <m:oMath>
                    <m:f>
                      <m:fPr>
                        <m:ctrlPr>
                          <w:rPr>
                            <w:rFonts w:ascii="Cambria Math" w:hAnsi="Cambria Math" w:cs="Arial"/>
                            <w:i/>
                            <w:szCs w:val="24"/>
                            <w:lang w:val="en-US"/>
                          </w:rPr>
                        </m:ctrlPr>
                      </m:fPr>
                      <m:num>
                        <m:r>
                          <w:rPr>
                            <w:rFonts w:ascii="Cambria Math" w:hAnsi="Cambria Math" w:cs="Arial"/>
                            <w:szCs w:val="24"/>
                            <w:lang w:val="en-US"/>
                          </w:rPr>
                          <m:t>1,576,000</m:t>
                        </m:r>
                      </m:num>
                      <m:den>
                        <m:r>
                          <w:rPr>
                            <w:rFonts w:ascii="Cambria Math" w:hAnsi="Cambria Math" w:cs="Arial"/>
                            <w:szCs w:val="24"/>
                            <w:lang w:val="en-US"/>
                          </w:rPr>
                          <m:t>9,452,000</m:t>
                        </m:r>
                      </m:den>
                    </m:f>
                    <m:r>
                      <w:rPr>
                        <w:rFonts w:ascii="Cambria Math" w:hAnsi="Cambria Math" w:cs="Arial"/>
                        <w:szCs w:val="24"/>
                        <w:lang w:val="en-US"/>
                      </w:rPr>
                      <m:t>×100</m:t>
                    </m:r>
                  </m:oMath>
                </m:oMathPara>
              </w:p>
            </w:tc>
          </w:tr>
          <w:tr w:rsidR="00792BA5" w:rsidRPr="00F06156" w14:paraId="62C341B9" w14:textId="77777777" w:rsidTr="00586C3C">
            <w:tc>
              <w:tcPr>
                <w:tcW w:w="4675" w:type="dxa"/>
                <w:vAlign w:val="center"/>
              </w:tcPr>
              <w:p w14:paraId="4EBEBD6A" w14:textId="3C5EBF86" w:rsidR="00792BA5" w:rsidRPr="00F06156" w:rsidRDefault="00792BA5" w:rsidP="00F06156">
                <w:pPr>
                  <w:spacing w:after="160" w:line="360" w:lineRule="auto"/>
                  <w:rPr>
                    <w:rFonts w:ascii="Cambria Math" w:hAnsi="Cambria Math" w:cs="Arial"/>
                    <w:szCs w:val="24"/>
                    <w:lang w:val="en-US"/>
                    <w:oMath/>
                  </w:rPr>
                </w:pPr>
                <m:oMathPara>
                  <m:oMath>
                    <m:r>
                      <w:rPr>
                        <w:rFonts w:ascii="Cambria Math" w:hAnsi="Cambria Math" w:cs="Arial"/>
                        <w:szCs w:val="24"/>
                        <w:lang w:val="en-US"/>
                      </w:rPr>
                      <m:t>= -2.76%</m:t>
                    </m:r>
                  </m:oMath>
                </m:oMathPara>
              </w:p>
            </w:tc>
            <w:tc>
              <w:tcPr>
                <w:tcW w:w="4675" w:type="dxa"/>
                <w:vAlign w:val="center"/>
              </w:tcPr>
              <w:p w14:paraId="067572D6" w14:textId="674B24FE" w:rsidR="00792BA5" w:rsidRPr="00F06156" w:rsidRDefault="00792BA5" w:rsidP="00F06156">
                <w:pPr>
                  <w:spacing w:after="160" w:line="360" w:lineRule="auto"/>
                  <w:rPr>
                    <w:rFonts w:ascii="Cambria Math" w:hAnsi="Cambria Math" w:cs="Arial"/>
                    <w:szCs w:val="24"/>
                    <w:lang w:val="en-US"/>
                    <w:oMath/>
                  </w:rPr>
                </w:pPr>
                <m:oMathPara>
                  <m:oMath>
                    <m:r>
                      <w:rPr>
                        <w:rFonts w:ascii="Cambria Math" w:hAnsi="Cambria Math" w:cs="Arial"/>
                        <w:szCs w:val="24"/>
                        <w:lang w:val="en-US"/>
                      </w:rPr>
                      <m:t>= 16.67%</m:t>
                    </m:r>
                  </m:oMath>
                </m:oMathPara>
              </w:p>
            </w:tc>
          </w:tr>
        </w:tbl>
        <w:p w14:paraId="77BD4912" w14:textId="77777777" w:rsidR="00792BA5" w:rsidRPr="00F06156" w:rsidRDefault="00792BA5" w:rsidP="00F06156">
          <w:pPr>
            <w:pStyle w:val="ListParagraph"/>
            <w:spacing w:line="360" w:lineRule="auto"/>
            <w:rPr>
              <w:rFonts w:cs="Arial"/>
              <w:szCs w:val="24"/>
            </w:rPr>
          </w:pPr>
        </w:p>
        <w:p w14:paraId="7B85F870" w14:textId="544D896B" w:rsidR="00792BA5" w:rsidRPr="00F06156" w:rsidRDefault="00792BA5" w:rsidP="00F06156">
          <w:pPr>
            <w:spacing w:line="360" w:lineRule="auto"/>
            <w:rPr>
              <w:rFonts w:cs="Arial"/>
              <w:b/>
              <w:bCs/>
              <w:szCs w:val="24"/>
            </w:rPr>
          </w:pPr>
          <w:bookmarkStart w:id="3" w:name="_Toc79164794"/>
          <w:bookmarkStart w:id="4" w:name="_Toc95074437"/>
          <w:r w:rsidRPr="00F06156">
            <w:rPr>
              <w:rFonts w:cs="Arial"/>
              <w:b/>
              <w:bCs/>
              <w:szCs w:val="24"/>
            </w:rPr>
            <w:t>Return on Capital Employed</w:t>
          </w:r>
          <w:r w:rsidR="00C455C7" w:rsidRPr="00F06156">
            <w:rPr>
              <w:rFonts w:cs="Arial"/>
              <w:b/>
              <w:bCs/>
              <w:szCs w:val="24"/>
            </w:rPr>
            <w:t xml:space="preserve">: </w:t>
          </w:r>
          <w:proofErr w:type="gramStart"/>
          <w:r w:rsidR="00C455C7" w:rsidRPr="00F06156">
            <w:rPr>
              <w:rFonts w:cs="Arial"/>
              <w:szCs w:val="24"/>
            </w:rPr>
            <w:t>An</w:t>
          </w:r>
          <w:proofErr w:type="gramEnd"/>
          <w:r w:rsidR="00C455C7" w:rsidRPr="00F06156">
            <w:rPr>
              <w:rFonts w:cs="Arial"/>
              <w:szCs w:val="24"/>
            </w:rPr>
            <w:t xml:space="preserve"> financial ratio known as return on capital employed is utilised in the fields of finance, valuation, and accounting</w:t>
          </w:r>
          <w:r w:rsidR="00F649D4">
            <w:rPr>
              <w:rFonts w:cs="Arial"/>
              <w:szCs w:val="24"/>
            </w:rPr>
            <w:t xml:space="preserve"> (</w:t>
          </w:r>
          <w:proofErr w:type="spellStart"/>
          <w:r w:rsidR="00F649D4">
            <w:rPr>
              <w:rFonts w:cs="Arial"/>
              <w:szCs w:val="24"/>
            </w:rPr>
            <w:t>Yanghon</w:t>
          </w:r>
          <w:proofErr w:type="spellEnd"/>
          <w:r w:rsidR="00F649D4">
            <w:rPr>
              <w:rFonts w:cs="Arial"/>
              <w:szCs w:val="24"/>
            </w:rPr>
            <w:t xml:space="preserve"> et al., 2021)</w:t>
          </w:r>
          <w:r w:rsidR="00C455C7" w:rsidRPr="00F06156">
            <w:rPr>
              <w:rFonts w:cs="Arial"/>
              <w:szCs w:val="24"/>
            </w:rPr>
            <w:t>. After taking into consideration the total amount of money that was invested, it is a helpful indicator for comparing the relative financial performance of selected businesses.</w:t>
          </w:r>
          <w:r w:rsidR="009B547D">
            <w:rPr>
              <w:rFonts w:cs="Arial"/>
              <w:szCs w:val="24"/>
            </w:rPr>
            <w:t xml:space="preserve"> 2019 provides </w:t>
          </w:r>
          <w:r w:rsidR="00316EDC">
            <w:rPr>
              <w:rFonts w:cs="Arial"/>
              <w:szCs w:val="24"/>
            </w:rPr>
            <w:t xml:space="preserve">a </w:t>
          </w:r>
          <w:r w:rsidR="009B547D">
            <w:rPr>
              <w:rFonts w:cs="Arial"/>
              <w:szCs w:val="24"/>
            </w:rPr>
            <w:t xml:space="preserve">positive return on investment but 2022 provides </w:t>
          </w:r>
          <w:r w:rsidR="00316EDC">
            <w:rPr>
              <w:rFonts w:cs="Arial"/>
              <w:szCs w:val="24"/>
            </w:rPr>
            <w:t xml:space="preserve">a </w:t>
          </w:r>
          <w:r w:rsidR="009B547D">
            <w:rPr>
              <w:rFonts w:cs="Arial"/>
              <w:szCs w:val="24"/>
            </w:rPr>
            <w:t>negative return.</w:t>
          </w:r>
        </w:p>
        <w:p w14:paraId="5D98E95B" w14:textId="04931AA9" w:rsidR="00792BA5" w:rsidRPr="00F06156" w:rsidRDefault="00792BA5" w:rsidP="002B3CE7">
          <w:pPr>
            <w:tabs>
              <w:tab w:val="left" w:pos="1560"/>
            </w:tabs>
            <w:spacing w:line="360" w:lineRule="auto"/>
            <w:jc w:val="center"/>
            <w:rPr>
              <w:rFonts w:cs="Arial"/>
              <w:szCs w:val="24"/>
            </w:rPr>
          </w:pPr>
          <w:r w:rsidRPr="00F06156">
            <w:rPr>
              <w:rFonts w:cs="Arial"/>
              <w:szCs w:val="24"/>
            </w:rPr>
            <w:lastRenderedPageBreak/>
            <w:t xml:space="preserve">ROCE = </w:t>
          </w:r>
          <m:oMath>
            <m:f>
              <m:fPr>
                <m:ctrlPr>
                  <w:rPr>
                    <w:rFonts w:ascii="Cambria Math" w:hAnsi="Cambria Math" w:cs="Arial"/>
                    <w:i/>
                    <w:szCs w:val="24"/>
                  </w:rPr>
                </m:ctrlPr>
              </m:fPr>
              <m:num>
                <m:r>
                  <w:rPr>
                    <w:rFonts w:ascii="Cambria Math" w:hAnsi="Cambria Math" w:cs="Arial"/>
                    <w:szCs w:val="24"/>
                  </w:rPr>
                  <m:t>Earnings Before Interest and Taxes</m:t>
                </m:r>
              </m:num>
              <m:den>
                <m:r>
                  <w:rPr>
                    <w:rFonts w:ascii="Cambria Math" w:hAnsi="Cambria Math" w:cs="Arial"/>
                    <w:szCs w:val="24"/>
                  </w:rPr>
                  <m:t>Total Asset-Current Liability</m:t>
                </m:r>
              </m:den>
            </m:f>
            <m:r>
              <w:rPr>
                <w:rFonts w:ascii="Cambria Math" w:hAnsi="Cambria Math" w:cs="Arial"/>
                <w:szCs w:val="24"/>
              </w:rPr>
              <m:t>×100</m:t>
            </m:r>
          </m:oMath>
        </w:p>
        <w:p w14:paraId="4E3D2DE3" w14:textId="77777777" w:rsidR="00792BA5" w:rsidRPr="00F06156" w:rsidRDefault="00792BA5" w:rsidP="00F06156">
          <w:pPr>
            <w:spacing w:line="360" w:lineRule="auto"/>
            <w:rPr>
              <w:rFonts w:cs="Arial"/>
              <w:szCs w:val="24"/>
            </w:rPr>
          </w:pPr>
          <w:r w:rsidRPr="00F06156">
            <w:rPr>
              <w:rFonts w:cs="Arial"/>
              <w:szCs w:val="24"/>
            </w:rPr>
            <w:t>Explanation:</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6"/>
            <w:gridCol w:w="4500"/>
          </w:tblGrid>
          <w:tr w:rsidR="00792BA5" w:rsidRPr="00F06156" w14:paraId="681EB588" w14:textId="77777777" w:rsidTr="00586C3C">
            <w:tc>
              <w:tcPr>
                <w:tcW w:w="4675" w:type="dxa"/>
                <w:vAlign w:val="center"/>
              </w:tcPr>
              <w:p w14:paraId="1C163189" w14:textId="115302C3" w:rsidR="00792BA5" w:rsidRPr="00F06156" w:rsidRDefault="00792BA5" w:rsidP="00F06156">
                <w:pPr>
                  <w:spacing w:after="160" w:line="360" w:lineRule="auto"/>
                  <w:rPr>
                    <w:rFonts w:ascii="Cambria Math" w:hAnsi="Cambria Math" w:cs="Arial"/>
                    <w:szCs w:val="24"/>
                    <w:lang w:val="en-US"/>
                    <w:oMath/>
                  </w:rPr>
                </w:pPr>
                <m:oMathPara>
                  <m:oMath>
                    <m:r>
                      <w:rPr>
                        <w:rFonts w:ascii="Cambria Math" w:hAnsi="Cambria Math" w:cs="Arial"/>
                        <w:szCs w:val="24"/>
                        <w:lang w:val="en-US"/>
                      </w:rPr>
                      <m:t>2020</m:t>
                    </m:r>
                  </m:oMath>
                </m:oMathPara>
              </w:p>
            </w:tc>
            <w:tc>
              <w:tcPr>
                <w:tcW w:w="4675" w:type="dxa"/>
                <w:vAlign w:val="center"/>
              </w:tcPr>
              <w:p w14:paraId="1A7726F8" w14:textId="12C5F151" w:rsidR="00792BA5" w:rsidRPr="00F06156" w:rsidRDefault="00792BA5" w:rsidP="00F06156">
                <w:pPr>
                  <w:spacing w:after="160" w:line="360" w:lineRule="auto"/>
                  <w:rPr>
                    <w:rFonts w:ascii="Cambria Math" w:hAnsi="Cambria Math" w:cs="Arial"/>
                    <w:szCs w:val="24"/>
                    <w:lang w:val="en-US"/>
                    <w:oMath/>
                  </w:rPr>
                </w:pPr>
                <m:oMathPara>
                  <m:oMath>
                    <m:r>
                      <w:rPr>
                        <w:rFonts w:ascii="Cambria Math" w:hAnsi="Cambria Math" w:cs="Arial"/>
                        <w:szCs w:val="24"/>
                        <w:lang w:val="en-US"/>
                      </w:rPr>
                      <m:t>2019</m:t>
                    </m:r>
                  </m:oMath>
                </m:oMathPara>
              </w:p>
            </w:tc>
          </w:tr>
          <w:tr w:rsidR="00792BA5" w:rsidRPr="00F06156" w14:paraId="4CCC5092" w14:textId="77777777" w:rsidTr="00586C3C">
            <w:trPr>
              <w:trHeight w:val="980"/>
            </w:trPr>
            <w:tc>
              <w:tcPr>
                <w:tcW w:w="4675" w:type="dxa"/>
                <w:vAlign w:val="center"/>
              </w:tcPr>
              <w:p w14:paraId="7D272082" w14:textId="54C0DC35" w:rsidR="00792BA5" w:rsidRPr="00F06156" w:rsidRDefault="00C64B63" w:rsidP="00F06156">
                <w:pPr>
                  <w:spacing w:after="160" w:line="360" w:lineRule="auto"/>
                  <w:rPr>
                    <w:rFonts w:ascii="Cambria Math" w:hAnsi="Cambria Math" w:cs="Arial"/>
                    <w:szCs w:val="24"/>
                    <w:lang w:val="en-US"/>
                    <w:oMath/>
                  </w:rPr>
                </w:pPr>
                <m:oMathPara>
                  <m:oMath>
                    <m:f>
                      <m:fPr>
                        <m:ctrlPr>
                          <w:rPr>
                            <w:rFonts w:ascii="Cambria Math" w:hAnsi="Cambria Math" w:cs="Arial"/>
                            <w:i/>
                            <w:szCs w:val="24"/>
                            <w:lang w:val="en-US"/>
                          </w:rPr>
                        </m:ctrlPr>
                      </m:fPr>
                      <m:num>
                        <m:r>
                          <w:rPr>
                            <w:rFonts w:ascii="Cambria Math" w:hAnsi="Cambria Math" w:cs="Arial"/>
                            <w:szCs w:val="24"/>
                            <w:lang w:val="en-US"/>
                          </w:rPr>
                          <m:t>-924,000</m:t>
                        </m:r>
                      </m:num>
                      <m:den>
                        <m:r>
                          <w:rPr>
                            <w:rFonts w:ascii="Cambria Math" w:hAnsi="Cambria Math" w:cs="Arial"/>
                            <w:szCs w:val="24"/>
                            <w:lang w:val="en-US"/>
                          </w:rPr>
                          <m:t>16,755,000-2431,000</m:t>
                        </m:r>
                      </m:den>
                    </m:f>
                    <m:r>
                      <w:rPr>
                        <w:rFonts w:ascii="Cambria Math" w:hAnsi="Cambria Math" w:cs="Arial"/>
                        <w:szCs w:val="24"/>
                        <w:lang w:val="en-US"/>
                      </w:rPr>
                      <m:t>×100</m:t>
                    </m:r>
                  </m:oMath>
                </m:oMathPara>
              </w:p>
            </w:tc>
            <w:tc>
              <w:tcPr>
                <w:tcW w:w="4675" w:type="dxa"/>
                <w:vAlign w:val="center"/>
              </w:tcPr>
              <w:p w14:paraId="61170FF7" w14:textId="100EFB80" w:rsidR="00792BA5" w:rsidRPr="00F06156" w:rsidRDefault="00C64B63" w:rsidP="00F06156">
                <w:pPr>
                  <w:spacing w:after="160" w:line="360" w:lineRule="auto"/>
                  <w:rPr>
                    <w:rFonts w:ascii="Cambria Math" w:hAnsi="Cambria Math" w:cs="Arial"/>
                    <w:szCs w:val="24"/>
                    <w:lang w:val="en-US"/>
                    <w:oMath/>
                  </w:rPr>
                </w:pPr>
                <m:oMathPara>
                  <m:oMath>
                    <m:f>
                      <m:fPr>
                        <m:ctrlPr>
                          <w:rPr>
                            <w:rFonts w:ascii="Cambria Math" w:hAnsi="Cambria Math" w:cs="Arial"/>
                            <w:i/>
                            <w:szCs w:val="24"/>
                            <w:lang w:val="en-US"/>
                          </w:rPr>
                        </m:ctrlPr>
                      </m:fPr>
                      <m:num>
                        <m:r>
                          <w:rPr>
                            <w:rFonts w:ascii="Cambria Math" w:hAnsi="Cambria Math" w:cs="Arial"/>
                            <w:szCs w:val="24"/>
                            <w:lang w:val="en-US"/>
                          </w:rPr>
                          <m:t>1,244,000</m:t>
                        </m:r>
                      </m:num>
                      <m:den>
                        <m:r>
                          <w:rPr>
                            <w:rFonts w:ascii="Cambria Math" w:hAnsi="Cambria Math" w:cs="Arial"/>
                            <w:szCs w:val="24"/>
                            <w:lang w:val="en-US"/>
                          </w:rPr>
                          <m:t>14,957,000-2,871,000</m:t>
                        </m:r>
                      </m:den>
                    </m:f>
                    <m:r>
                      <w:rPr>
                        <w:rFonts w:ascii="Cambria Math" w:hAnsi="Cambria Math" w:cs="Arial"/>
                        <w:szCs w:val="24"/>
                        <w:lang w:val="en-US"/>
                      </w:rPr>
                      <m:t>×100</m:t>
                    </m:r>
                  </m:oMath>
                </m:oMathPara>
              </w:p>
            </w:tc>
          </w:tr>
          <w:tr w:rsidR="00792BA5" w:rsidRPr="00F06156" w14:paraId="3572DE74" w14:textId="77777777" w:rsidTr="00586C3C">
            <w:tc>
              <w:tcPr>
                <w:tcW w:w="4675" w:type="dxa"/>
                <w:vAlign w:val="center"/>
              </w:tcPr>
              <w:p w14:paraId="553BC2B6" w14:textId="38482308" w:rsidR="00792BA5" w:rsidRPr="00F06156" w:rsidRDefault="00792BA5" w:rsidP="00F06156">
                <w:pPr>
                  <w:spacing w:after="160" w:line="360" w:lineRule="auto"/>
                  <w:rPr>
                    <w:rFonts w:ascii="Cambria Math" w:hAnsi="Cambria Math" w:cs="Arial"/>
                    <w:szCs w:val="24"/>
                    <w:lang w:val="en-US"/>
                    <w:oMath/>
                  </w:rPr>
                </w:pPr>
                <m:oMathPara>
                  <m:oMath>
                    <m:r>
                      <w:rPr>
                        <w:rFonts w:ascii="Cambria Math" w:hAnsi="Cambria Math" w:cs="Arial"/>
                        <w:szCs w:val="24"/>
                        <w:lang w:val="en-US"/>
                      </w:rPr>
                      <m:t>= -6.45%</m:t>
                    </m:r>
                  </m:oMath>
                </m:oMathPara>
              </w:p>
            </w:tc>
            <w:tc>
              <w:tcPr>
                <w:tcW w:w="4675" w:type="dxa"/>
                <w:vAlign w:val="center"/>
              </w:tcPr>
              <w:p w14:paraId="70A99981" w14:textId="46731C59" w:rsidR="00792BA5" w:rsidRPr="00F06156" w:rsidRDefault="00792BA5" w:rsidP="00F06156">
                <w:pPr>
                  <w:spacing w:after="160" w:line="360" w:lineRule="auto"/>
                  <w:rPr>
                    <w:rFonts w:ascii="Cambria Math" w:hAnsi="Cambria Math" w:cs="Arial"/>
                    <w:szCs w:val="24"/>
                    <w:lang w:val="en-US"/>
                    <w:oMath/>
                  </w:rPr>
                </w:pPr>
                <m:oMathPara>
                  <m:oMath>
                    <m:r>
                      <w:rPr>
                        <w:rFonts w:ascii="Cambria Math" w:hAnsi="Cambria Math" w:cs="Arial"/>
                        <w:szCs w:val="24"/>
                        <w:lang w:val="en-US"/>
                      </w:rPr>
                      <m:t>= 10.29%</m:t>
                    </m:r>
                  </m:oMath>
                </m:oMathPara>
              </w:p>
            </w:tc>
          </w:tr>
        </w:tbl>
        <w:p w14:paraId="55AC5355" w14:textId="77777777" w:rsidR="00792BA5" w:rsidRPr="00F06156" w:rsidRDefault="00792BA5" w:rsidP="00F06156">
          <w:pPr>
            <w:spacing w:line="360" w:lineRule="auto"/>
            <w:rPr>
              <w:rFonts w:cs="Arial"/>
              <w:b/>
              <w:szCs w:val="24"/>
              <w:lang w:val="en-US"/>
            </w:rPr>
          </w:pPr>
        </w:p>
        <w:p w14:paraId="3E1D6BE5" w14:textId="4D1FBD41" w:rsidR="00974AE2" w:rsidRPr="00F06156" w:rsidRDefault="00974AE2" w:rsidP="00F06156">
          <w:pPr>
            <w:spacing w:line="360" w:lineRule="auto"/>
            <w:rPr>
              <w:rFonts w:cs="Arial"/>
              <w:b/>
              <w:szCs w:val="24"/>
              <w:lang w:val="en-US"/>
            </w:rPr>
          </w:pPr>
          <w:r w:rsidRPr="00F06156">
            <w:rPr>
              <w:rFonts w:cs="Arial"/>
              <w:b/>
              <w:szCs w:val="24"/>
              <w:lang w:val="en-US"/>
            </w:rPr>
            <w:t>Liquidity Ratio</w:t>
          </w:r>
          <w:bookmarkEnd w:id="3"/>
          <w:bookmarkEnd w:id="4"/>
        </w:p>
        <w:p w14:paraId="716CC661" w14:textId="511CC252" w:rsidR="00792BA5" w:rsidRPr="00F06156" w:rsidRDefault="00792BA5" w:rsidP="00F06156">
          <w:pPr>
            <w:spacing w:line="360" w:lineRule="auto"/>
            <w:rPr>
              <w:rFonts w:cs="Arial"/>
              <w:szCs w:val="24"/>
            </w:rPr>
          </w:pPr>
          <w:r w:rsidRPr="00F06156">
            <w:rPr>
              <w:rFonts w:cs="Arial"/>
              <w:b/>
              <w:bCs/>
              <w:szCs w:val="24"/>
            </w:rPr>
            <w:t>Current Ratio</w:t>
          </w:r>
          <w:r w:rsidR="00E773F4" w:rsidRPr="00F06156">
            <w:rPr>
              <w:rFonts w:cs="Arial"/>
              <w:b/>
              <w:bCs/>
              <w:szCs w:val="24"/>
            </w:rPr>
            <w:t xml:space="preserve">: </w:t>
          </w:r>
          <w:r w:rsidR="00E773F4" w:rsidRPr="00F06156">
            <w:rPr>
              <w:rFonts w:cs="Arial"/>
              <w:szCs w:val="24"/>
            </w:rPr>
            <w:t xml:space="preserve">The current ratio is one of the most important liquidity ratios since it determines </w:t>
          </w:r>
          <w:proofErr w:type="gramStart"/>
          <w:r w:rsidR="00E773F4" w:rsidRPr="00F06156">
            <w:rPr>
              <w:rFonts w:cs="Arial"/>
              <w:szCs w:val="24"/>
            </w:rPr>
            <w:t>whether or not</w:t>
          </w:r>
          <w:proofErr w:type="gramEnd"/>
          <w:r w:rsidR="00E773F4" w:rsidRPr="00F06156">
            <w:rPr>
              <w:rFonts w:cs="Arial"/>
              <w:szCs w:val="24"/>
            </w:rPr>
            <w:t xml:space="preserve"> a company </w:t>
          </w:r>
          <w:r w:rsidR="00316EDC">
            <w:rPr>
              <w:rFonts w:cs="Arial"/>
              <w:szCs w:val="24"/>
            </w:rPr>
            <w:t>can</w:t>
          </w:r>
          <w:r w:rsidR="00E773F4" w:rsidRPr="00F06156">
            <w:rPr>
              <w:rFonts w:cs="Arial"/>
              <w:szCs w:val="24"/>
            </w:rPr>
            <w:t xml:space="preserve"> meet its short-term commitments using the assets it now possesses</w:t>
          </w:r>
          <w:r w:rsidR="00F649D4">
            <w:rPr>
              <w:rFonts w:cs="Arial"/>
              <w:szCs w:val="24"/>
            </w:rPr>
            <w:t xml:space="preserve"> (Biancone, 2022)</w:t>
          </w:r>
          <w:r w:rsidR="00E773F4" w:rsidRPr="00F06156">
            <w:rPr>
              <w:rFonts w:cs="Arial"/>
              <w:szCs w:val="24"/>
            </w:rPr>
            <w:t xml:space="preserve">. The current ratio is a useful metric for determining </w:t>
          </w:r>
          <w:proofErr w:type="gramStart"/>
          <w:r w:rsidR="00E773F4" w:rsidRPr="00F06156">
            <w:rPr>
              <w:rFonts w:cs="Arial"/>
              <w:szCs w:val="24"/>
            </w:rPr>
            <w:t>whether or not</w:t>
          </w:r>
          <w:proofErr w:type="gramEnd"/>
          <w:r w:rsidR="00E773F4" w:rsidRPr="00F06156">
            <w:rPr>
              <w:rFonts w:cs="Arial"/>
              <w:szCs w:val="24"/>
            </w:rPr>
            <w:t xml:space="preserve"> the current assets are adequate to satisfy the current liabilities.</w:t>
          </w:r>
          <w:r w:rsidR="009B547D">
            <w:rPr>
              <w:rFonts w:cs="Arial"/>
              <w:szCs w:val="24"/>
            </w:rPr>
            <w:t xml:space="preserve"> 2020 provides </w:t>
          </w:r>
          <w:r w:rsidR="00316EDC">
            <w:rPr>
              <w:rFonts w:cs="Arial"/>
              <w:szCs w:val="24"/>
            </w:rPr>
            <w:t xml:space="preserve">a </w:t>
          </w:r>
          <w:r w:rsidR="009B547D">
            <w:rPr>
              <w:rFonts w:cs="Arial"/>
              <w:szCs w:val="24"/>
            </w:rPr>
            <w:t xml:space="preserve">good ratio as it is above 1.00. </w:t>
          </w:r>
          <w:r w:rsidR="00316EDC">
            <w:rPr>
              <w:rFonts w:cs="Arial"/>
              <w:szCs w:val="24"/>
            </w:rPr>
            <w:t>The m</w:t>
          </w:r>
          <w:r w:rsidR="009B547D">
            <w:rPr>
              <w:rFonts w:cs="Arial"/>
              <w:szCs w:val="24"/>
            </w:rPr>
            <w:t>ain reason behind it is low liability</w:t>
          </w:r>
        </w:p>
        <w:p w14:paraId="75037A49" w14:textId="77777777" w:rsidR="00792BA5" w:rsidRPr="00F06156" w:rsidRDefault="00792BA5" w:rsidP="006E4AB0">
          <w:pPr>
            <w:pStyle w:val="ListParagraph"/>
            <w:spacing w:line="360" w:lineRule="auto"/>
            <w:jc w:val="center"/>
            <w:rPr>
              <w:rFonts w:cs="Arial"/>
              <w:szCs w:val="24"/>
            </w:rPr>
          </w:pPr>
          <w:r w:rsidRPr="00F06156">
            <w:rPr>
              <w:rFonts w:cs="Arial"/>
              <w:szCs w:val="24"/>
            </w:rPr>
            <w:t xml:space="preserve">Current Ratio = </w:t>
          </w:r>
          <m:oMath>
            <m:f>
              <m:fPr>
                <m:ctrlPr>
                  <w:rPr>
                    <w:rFonts w:ascii="Cambria Math" w:hAnsi="Cambria Math" w:cs="Arial"/>
                    <w:i/>
                    <w:szCs w:val="24"/>
                  </w:rPr>
                </m:ctrlPr>
              </m:fPr>
              <m:num>
                <m:r>
                  <w:rPr>
                    <w:rFonts w:ascii="Cambria Math" w:hAnsi="Cambria Math" w:cs="Arial"/>
                    <w:szCs w:val="24"/>
                  </w:rPr>
                  <m:t>Current Asset</m:t>
                </m:r>
              </m:num>
              <m:den>
                <m:r>
                  <w:rPr>
                    <w:rFonts w:ascii="Cambria Math" w:hAnsi="Cambria Math" w:cs="Arial"/>
                    <w:szCs w:val="24"/>
                  </w:rPr>
                  <m:t>Current Liabilities</m:t>
                </m:r>
              </m:den>
            </m:f>
          </m:oMath>
        </w:p>
        <w:p w14:paraId="217736E3" w14:textId="77777777" w:rsidR="00792BA5" w:rsidRPr="00F06156" w:rsidRDefault="00792BA5" w:rsidP="00F06156">
          <w:pPr>
            <w:spacing w:line="360" w:lineRule="auto"/>
            <w:rPr>
              <w:rFonts w:cs="Arial"/>
              <w:szCs w:val="24"/>
            </w:rPr>
          </w:pPr>
          <w:r w:rsidRPr="00F06156">
            <w:rPr>
              <w:rFonts w:cs="Arial"/>
              <w:szCs w:val="24"/>
            </w:rPr>
            <w:t>Explanation:</w:t>
          </w:r>
        </w:p>
        <w:tbl>
          <w:tblPr>
            <w:tblStyle w:val="TableGrid"/>
            <w:tblW w:w="0" w:type="auto"/>
            <w:tblLook w:val="04A0" w:firstRow="1" w:lastRow="0" w:firstColumn="1" w:lastColumn="0" w:noHBand="0" w:noVBand="1"/>
          </w:tblPr>
          <w:tblGrid>
            <w:gridCol w:w="4508"/>
            <w:gridCol w:w="4508"/>
          </w:tblGrid>
          <w:tr w:rsidR="00792BA5" w:rsidRPr="00F06156" w14:paraId="3949FB11" w14:textId="77777777" w:rsidTr="0072314A">
            <w:tc>
              <w:tcPr>
                <w:tcW w:w="4675" w:type="dxa"/>
                <w:vAlign w:val="center"/>
              </w:tcPr>
              <w:p w14:paraId="75815962" w14:textId="29CF2F50" w:rsidR="00792BA5" w:rsidRPr="00F06156" w:rsidRDefault="00792BA5" w:rsidP="0072314A">
                <w:pPr>
                  <w:spacing w:after="160" w:line="360" w:lineRule="auto"/>
                  <w:jc w:val="center"/>
                  <w:rPr>
                    <w:rFonts w:cs="Arial"/>
                    <w:szCs w:val="24"/>
                    <w:lang w:val="en-US"/>
                  </w:rPr>
                </w:pPr>
                <w:r w:rsidRPr="00F06156">
                  <w:rPr>
                    <w:rFonts w:cs="Arial"/>
                    <w:szCs w:val="24"/>
                    <w:lang w:val="en-US"/>
                  </w:rPr>
                  <w:t>2020</w:t>
                </w:r>
              </w:p>
            </w:tc>
            <w:tc>
              <w:tcPr>
                <w:tcW w:w="4675" w:type="dxa"/>
                <w:vAlign w:val="center"/>
              </w:tcPr>
              <w:p w14:paraId="7E4F0A45" w14:textId="7B5E2B59" w:rsidR="00792BA5" w:rsidRPr="00F06156" w:rsidRDefault="00792BA5" w:rsidP="0072314A">
                <w:pPr>
                  <w:spacing w:after="160" w:line="360" w:lineRule="auto"/>
                  <w:jc w:val="center"/>
                  <w:rPr>
                    <w:rFonts w:cs="Arial"/>
                    <w:szCs w:val="24"/>
                    <w:lang w:val="en-US"/>
                  </w:rPr>
                </w:pPr>
                <w:r w:rsidRPr="00F06156">
                  <w:rPr>
                    <w:rFonts w:cs="Arial"/>
                    <w:szCs w:val="24"/>
                    <w:lang w:val="en-US"/>
                  </w:rPr>
                  <w:t>2019</w:t>
                </w:r>
              </w:p>
            </w:tc>
          </w:tr>
          <w:tr w:rsidR="00792BA5" w:rsidRPr="00F06156" w14:paraId="2CA9F0B5" w14:textId="77777777" w:rsidTr="0072314A">
            <w:trPr>
              <w:trHeight w:val="980"/>
            </w:trPr>
            <w:tc>
              <w:tcPr>
                <w:tcW w:w="4675" w:type="dxa"/>
                <w:vAlign w:val="center"/>
              </w:tcPr>
              <w:p w14:paraId="66319AB5" w14:textId="404C71DF" w:rsidR="00792BA5" w:rsidRPr="00F06156" w:rsidRDefault="00C64B63" w:rsidP="0072314A">
                <w:pPr>
                  <w:spacing w:after="160" w:line="360" w:lineRule="auto"/>
                  <w:jc w:val="center"/>
                  <w:rPr>
                    <w:rFonts w:cs="Arial"/>
                    <w:szCs w:val="24"/>
                    <w:lang w:val="en-US"/>
                  </w:rPr>
                </w:pPr>
                <m:oMathPara>
                  <m:oMath>
                    <m:f>
                      <m:fPr>
                        <m:ctrlPr>
                          <w:rPr>
                            <w:rFonts w:ascii="Cambria Math" w:hAnsi="Cambria Math" w:cs="Arial"/>
                            <w:i/>
                            <w:szCs w:val="24"/>
                            <w:lang w:val="en-US"/>
                          </w:rPr>
                        </m:ctrlPr>
                      </m:fPr>
                      <m:num>
                        <m:r>
                          <w:rPr>
                            <w:rFonts w:ascii="Cambria Math" w:hAnsi="Cambria Math" w:cs="Arial"/>
                            <w:szCs w:val="24"/>
                            <w:lang w:val="en-US"/>
                          </w:rPr>
                          <m:t>4,202,000</m:t>
                        </m:r>
                      </m:num>
                      <m:den>
                        <m:r>
                          <w:rPr>
                            <w:rFonts w:ascii="Cambria Math" w:hAnsi="Cambria Math" w:cs="Arial"/>
                            <w:szCs w:val="24"/>
                            <w:lang w:val="en-US"/>
                          </w:rPr>
                          <m:t>2,431,000</m:t>
                        </m:r>
                      </m:den>
                    </m:f>
                  </m:oMath>
                </m:oMathPara>
              </w:p>
            </w:tc>
            <w:tc>
              <w:tcPr>
                <w:tcW w:w="4675" w:type="dxa"/>
                <w:vAlign w:val="center"/>
              </w:tcPr>
              <w:p w14:paraId="1809024D" w14:textId="73FF97EF" w:rsidR="00792BA5" w:rsidRPr="00F06156" w:rsidRDefault="00C64B63" w:rsidP="0072314A">
                <w:pPr>
                  <w:spacing w:after="160" w:line="360" w:lineRule="auto"/>
                  <w:jc w:val="center"/>
                  <w:rPr>
                    <w:rFonts w:cs="Arial"/>
                    <w:szCs w:val="24"/>
                    <w:lang w:val="en-US"/>
                  </w:rPr>
                </w:pPr>
                <m:oMathPara>
                  <m:oMath>
                    <m:f>
                      <m:fPr>
                        <m:ctrlPr>
                          <w:rPr>
                            <w:rFonts w:ascii="Cambria Math" w:hAnsi="Cambria Math" w:cs="Arial"/>
                            <w:i/>
                            <w:szCs w:val="24"/>
                            <w:lang w:val="en-US"/>
                          </w:rPr>
                        </m:ctrlPr>
                      </m:fPr>
                      <m:num>
                        <m:r>
                          <w:rPr>
                            <w:rFonts w:ascii="Cambria Math" w:hAnsi="Cambria Math" w:cs="Arial"/>
                            <w:szCs w:val="24"/>
                            <w:lang w:val="en-US"/>
                          </w:rPr>
                          <m:t>2,093,000</m:t>
                        </m:r>
                      </m:num>
                      <m:den>
                        <m:r>
                          <w:rPr>
                            <w:rFonts w:ascii="Cambria Math" w:hAnsi="Cambria Math" w:cs="Arial"/>
                            <w:szCs w:val="24"/>
                            <w:lang w:val="en-US"/>
                          </w:rPr>
                          <m:t>2,871,000</m:t>
                        </m:r>
                      </m:den>
                    </m:f>
                  </m:oMath>
                </m:oMathPara>
              </w:p>
            </w:tc>
          </w:tr>
          <w:tr w:rsidR="00792BA5" w:rsidRPr="00F06156" w14:paraId="2DC5B699" w14:textId="77777777" w:rsidTr="0072314A">
            <w:tc>
              <w:tcPr>
                <w:tcW w:w="4675" w:type="dxa"/>
                <w:vAlign w:val="center"/>
              </w:tcPr>
              <w:p w14:paraId="0E841418" w14:textId="13730DC6" w:rsidR="00792BA5" w:rsidRPr="00F06156" w:rsidRDefault="00792BA5" w:rsidP="0072314A">
                <w:pPr>
                  <w:spacing w:after="160" w:line="360" w:lineRule="auto"/>
                  <w:jc w:val="center"/>
                  <w:rPr>
                    <w:rFonts w:cs="Arial"/>
                    <w:szCs w:val="24"/>
                    <w:lang w:val="en-US"/>
                  </w:rPr>
                </w:pPr>
                <w:r w:rsidRPr="00F06156">
                  <w:rPr>
                    <w:rFonts w:cs="Arial"/>
                    <w:szCs w:val="24"/>
                    <w:lang w:val="en-US"/>
                  </w:rPr>
                  <w:t>= 1.73</w:t>
                </w:r>
              </w:p>
            </w:tc>
            <w:tc>
              <w:tcPr>
                <w:tcW w:w="4675" w:type="dxa"/>
                <w:vAlign w:val="center"/>
              </w:tcPr>
              <w:p w14:paraId="7C038301" w14:textId="020AA9EB" w:rsidR="00792BA5" w:rsidRPr="00F06156" w:rsidRDefault="00792BA5" w:rsidP="0072314A">
                <w:pPr>
                  <w:spacing w:after="160" w:line="360" w:lineRule="auto"/>
                  <w:jc w:val="center"/>
                  <w:rPr>
                    <w:rFonts w:cs="Arial"/>
                    <w:szCs w:val="24"/>
                    <w:lang w:val="en-US"/>
                  </w:rPr>
                </w:pPr>
                <w:r w:rsidRPr="00F06156">
                  <w:rPr>
                    <w:rFonts w:cs="Arial"/>
                    <w:szCs w:val="24"/>
                    <w:lang w:val="en-US"/>
                  </w:rPr>
                  <w:t>= 0.73</w:t>
                </w:r>
              </w:p>
            </w:tc>
          </w:tr>
        </w:tbl>
        <w:p w14:paraId="2141B941" w14:textId="77777777" w:rsidR="00792BA5" w:rsidRPr="00F06156" w:rsidRDefault="00792BA5" w:rsidP="00F06156">
          <w:pPr>
            <w:spacing w:line="360" w:lineRule="auto"/>
            <w:rPr>
              <w:rFonts w:cs="Arial"/>
              <w:b/>
              <w:bCs/>
              <w:szCs w:val="24"/>
              <w:lang w:val="en-US"/>
            </w:rPr>
          </w:pPr>
        </w:p>
        <w:p w14:paraId="05761229" w14:textId="7497483E" w:rsidR="00974AE2" w:rsidRPr="00F06156" w:rsidRDefault="00974AE2" w:rsidP="00F06156">
          <w:pPr>
            <w:spacing w:line="360" w:lineRule="auto"/>
            <w:rPr>
              <w:rFonts w:cs="Arial"/>
              <w:szCs w:val="24"/>
              <w:lang w:val="en-US"/>
            </w:rPr>
          </w:pPr>
          <w:r w:rsidRPr="00F06156">
            <w:rPr>
              <w:rFonts w:cs="Arial"/>
              <w:szCs w:val="24"/>
              <w:lang w:val="en-US"/>
            </w:rPr>
            <w:t xml:space="preserve">  </w:t>
          </w:r>
        </w:p>
        <w:p w14:paraId="1DA36A8A" w14:textId="77777777" w:rsidR="00974AE2" w:rsidRPr="00F06156" w:rsidRDefault="00974AE2" w:rsidP="00F06156">
          <w:pPr>
            <w:spacing w:line="360" w:lineRule="auto"/>
            <w:rPr>
              <w:rFonts w:cs="Arial"/>
              <w:b/>
              <w:szCs w:val="24"/>
              <w:lang w:val="en-US"/>
            </w:rPr>
          </w:pPr>
          <w:bookmarkStart w:id="5" w:name="_Toc95074438"/>
          <w:r w:rsidRPr="00F06156">
            <w:rPr>
              <w:rFonts w:cs="Arial"/>
              <w:b/>
              <w:szCs w:val="24"/>
              <w:lang w:val="en-US"/>
            </w:rPr>
            <w:t>Gearing Ratio</w:t>
          </w:r>
          <w:bookmarkEnd w:id="5"/>
        </w:p>
        <w:p w14:paraId="213AFA17" w14:textId="4BE67B5D" w:rsidR="00974AE2" w:rsidRPr="00F06156" w:rsidRDefault="00974AE2" w:rsidP="00F06156">
          <w:pPr>
            <w:spacing w:line="360" w:lineRule="auto"/>
            <w:rPr>
              <w:rFonts w:cs="Arial"/>
              <w:szCs w:val="24"/>
              <w:lang w:val="en-US"/>
            </w:rPr>
          </w:pPr>
          <w:r w:rsidRPr="00F06156">
            <w:rPr>
              <w:rFonts w:cs="Arial"/>
              <w:b/>
              <w:bCs/>
              <w:szCs w:val="24"/>
              <w:lang w:val="en-US"/>
            </w:rPr>
            <w:t>Equity Ratio:</w:t>
          </w:r>
          <w:r w:rsidR="00E773F4" w:rsidRPr="00F06156">
            <w:rPr>
              <w:rFonts w:cs="Arial"/>
              <w:b/>
              <w:bCs/>
              <w:szCs w:val="24"/>
              <w:lang w:val="en-US"/>
            </w:rPr>
            <w:t xml:space="preserve"> </w:t>
          </w:r>
          <w:r w:rsidR="00E773F4" w:rsidRPr="00F06156">
            <w:rPr>
              <w:rFonts w:cs="Arial"/>
              <w:szCs w:val="24"/>
              <w:lang w:val="en-US"/>
            </w:rPr>
            <w:t xml:space="preserve">One type of financial ratio is known as the equity ratio, and it indicates the relative share of stock that is </w:t>
          </w:r>
          <w:proofErr w:type="spellStart"/>
          <w:r w:rsidR="00E773F4" w:rsidRPr="00F06156">
            <w:rPr>
              <w:rFonts w:cs="Arial"/>
              <w:szCs w:val="24"/>
              <w:lang w:val="en-US"/>
            </w:rPr>
            <w:t>utilised</w:t>
          </w:r>
          <w:proofErr w:type="spellEnd"/>
          <w:r w:rsidR="00E773F4" w:rsidRPr="00F06156">
            <w:rPr>
              <w:rFonts w:cs="Arial"/>
              <w:szCs w:val="24"/>
              <w:lang w:val="en-US"/>
            </w:rPr>
            <w:t xml:space="preserve"> to finance an </w:t>
          </w:r>
          <w:proofErr w:type="spellStart"/>
          <w:r w:rsidR="00E773F4" w:rsidRPr="00F06156">
            <w:rPr>
              <w:rFonts w:cs="Arial"/>
              <w:szCs w:val="24"/>
              <w:lang w:val="en-US"/>
            </w:rPr>
            <w:t>organisation's</w:t>
          </w:r>
          <w:proofErr w:type="spellEnd"/>
          <w:r w:rsidR="00E773F4" w:rsidRPr="00F06156">
            <w:rPr>
              <w:rFonts w:cs="Arial"/>
              <w:szCs w:val="24"/>
              <w:lang w:val="en-US"/>
            </w:rPr>
            <w:t xml:space="preserve"> assets</w:t>
          </w:r>
          <w:r w:rsidR="00F649D4">
            <w:rPr>
              <w:rFonts w:cs="Arial"/>
              <w:szCs w:val="24"/>
              <w:lang w:val="en-US"/>
            </w:rPr>
            <w:t xml:space="preserve"> (</w:t>
          </w:r>
          <w:proofErr w:type="spellStart"/>
          <w:r w:rsidR="00F649D4">
            <w:rPr>
              <w:rFonts w:cs="Arial"/>
              <w:szCs w:val="24"/>
              <w:lang w:val="en-US"/>
            </w:rPr>
            <w:t>Mautz</w:t>
          </w:r>
          <w:proofErr w:type="spellEnd"/>
          <w:r w:rsidR="00F649D4">
            <w:rPr>
              <w:rFonts w:cs="Arial"/>
              <w:szCs w:val="24"/>
              <w:lang w:val="en-US"/>
            </w:rPr>
            <w:t xml:space="preserve">, </w:t>
          </w:r>
          <w:r w:rsidR="00F649D4">
            <w:rPr>
              <w:rFonts w:cs="Arial"/>
              <w:szCs w:val="24"/>
              <w:lang w:val="en-US"/>
            </w:rPr>
            <w:lastRenderedPageBreak/>
            <w:t>2022)</w:t>
          </w:r>
          <w:r w:rsidR="00E773F4" w:rsidRPr="00F06156">
            <w:rPr>
              <w:rFonts w:cs="Arial"/>
              <w:szCs w:val="24"/>
              <w:lang w:val="en-US"/>
            </w:rPr>
            <w:t>.</w:t>
          </w:r>
          <w:r w:rsidR="00702856">
            <w:rPr>
              <w:rFonts w:cs="Arial"/>
              <w:szCs w:val="24"/>
              <w:lang w:val="en-US"/>
            </w:rPr>
            <w:t xml:space="preserve"> </w:t>
          </w:r>
          <w:r w:rsidR="00316EDC">
            <w:rPr>
              <w:rFonts w:cs="Arial"/>
              <w:szCs w:val="24"/>
              <w:lang w:val="en-US"/>
            </w:rPr>
            <w:t>The g</w:t>
          </w:r>
          <w:r w:rsidR="00702856">
            <w:rPr>
              <w:rFonts w:cs="Arial"/>
              <w:szCs w:val="24"/>
              <w:lang w:val="en-US"/>
            </w:rPr>
            <w:t>ood Equity ratio should be 0.05 or above. In the follo</w:t>
          </w:r>
          <w:r w:rsidR="00316EDC">
            <w:rPr>
              <w:rFonts w:cs="Arial"/>
              <w:szCs w:val="24"/>
              <w:lang w:val="en-US"/>
            </w:rPr>
            <w:t>w</w:t>
          </w:r>
          <w:r w:rsidR="00702856">
            <w:rPr>
              <w:rFonts w:cs="Arial"/>
              <w:szCs w:val="24"/>
              <w:lang w:val="en-US"/>
            </w:rPr>
            <w:t>ing case, 2020 y</w:t>
          </w:r>
          <w:r w:rsidR="00316EDC">
            <w:rPr>
              <w:rFonts w:cs="Arial"/>
              <w:szCs w:val="24"/>
              <w:lang w:val="en-US"/>
            </w:rPr>
            <w:t>ea</w:t>
          </w:r>
          <w:r w:rsidR="00702856">
            <w:rPr>
              <w:rFonts w:cs="Arial"/>
              <w:szCs w:val="24"/>
              <w:lang w:val="en-US"/>
            </w:rPr>
            <w:t>rs provides a good one.</w:t>
          </w:r>
        </w:p>
        <w:p w14:paraId="6E99028B" w14:textId="77777777" w:rsidR="00974AE2" w:rsidRPr="00F06156" w:rsidRDefault="00974AE2" w:rsidP="00F06156">
          <w:pPr>
            <w:spacing w:line="360" w:lineRule="auto"/>
            <w:rPr>
              <w:rFonts w:cs="Arial"/>
              <w:szCs w:val="24"/>
              <w:lang w:val="en-US"/>
            </w:rPr>
          </w:pPr>
        </w:p>
        <w:p w14:paraId="7F03858E" w14:textId="4001E614" w:rsidR="00974AE2" w:rsidRPr="00F06156" w:rsidRDefault="00974AE2" w:rsidP="006E4AB0">
          <w:pPr>
            <w:spacing w:line="360" w:lineRule="auto"/>
            <w:jc w:val="center"/>
            <w:rPr>
              <w:rFonts w:cs="Arial"/>
              <w:szCs w:val="24"/>
              <w:lang w:val="en-US"/>
            </w:rPr>
          </w:pPr>
          <w:r w:rsidRPr="00F06156">
            <w:rPr>
              <w:rFonts w:cs="Arial"/>
              <w:szCs w:val="24"/>
              <w:lang w:val="en-US"/>
            </w:rPr>
            <w:t xml:space="preserve">Equity Ratio = </w:t>
          </w:r>
          <m:oMath>
            <m:f>
              <m:fPr>
                <m:ctrlPr>
                  <w:rPr>
                    <w:rFonts w:ascii="Cambria Math" w:hAnsi="Cambria Math" w:cs="Arial"/>
                    <w:i/>
                    <w:szCs w:val="24"/>
                    <w:lang w:val="en-US"/>
                  </w:rPr>
                </m:ctrlPr>
              </m:fPr>
              <m:num>
                <m:r>
                  <w:rPr>
                    <w:rFonts w:ascii="Cambria Math" w:hAnsi="Cambria Math" w:cs="Arial"/>
                    <w:szCs w:val="24"/>
                    <w:lang w:val="en-US"/>
                  </w:rPr>
                  <m:t>Total Equity</m:t>
                </m:r>
              </m:num>
              <m:den>
                <m:r>
                  <w:rPr>
                    <w:rFonts w:ascii="Cambria Math" w:hAnsi="Cambria Math" w:cs="Arial"/>
                    <w:szCs w:val="24"/>
                    <w:lang w:val="en-US"/>
                  </w:rPr>
                  <m:t>Total Assets</m:t>
                </m:r>
              </m:den>
            </m:f>
          </m:oMath>
        </w:p>
        <w:p w14:paraId="45278A8D" w14:textId="77777777" w:rsidR="00974AE2" w:rsidRPr="00F06156" w:rsidRDefault="00974AE2" w:rsidP="00F06156">
          <w:pPr>
            <w:spacing w:line="360" w:lineRule="auto"/>
            <w:rPr>
              <w:rFonts w:cs="Arial"/>
              <w:szCs w:val="24"/>
              <w:lang w:val="en-US"/>
            </w:rPr>
          </w:pPr>
          <w:r w:rsidRPr="00F06156">
            <w:rPr>
              <w:rFonts w:cs="Arial"/>
              <w:szCs w:val="24"/>
              <w:lang w:val="en-US"/>
            </w:rPr>
            <w:t>Explanation:</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974AE2" w:rsidRPr="00F06156" w14:paraId="0171EAEA" w14:textId="77777777" w:rsidTr="0072314A">
            <w:tc>
              <w:tcPr>
                <w:tcW w:w="4675" w:type="dxa"/>
                <w:vAlign w:val="center"/>
              </w:tcPr>
              <w:p w14:paraId="18FB27B4" w14:textId="77777777" w:rsidR="00974AE2" w:rsidRPr="00F06156" w:rsidRDefault="00974AE2" w:rsidP="0072314A">
                <w:pPr>
                  <w:spacing w:after="160" w:line="360" w:lineRule="auto"/>
                  <w:jc w:val="center"/>
                  <w:rPr>
                    <w:rFonts w:cs="Arial"/>
                    <w:szCs w:val="24"/>
                    <w:lang w:val="en-US"/>
                  </w:rPr>
                </w:pPr>
                <w:r w:rsidRPr="00F06156">
                  <w:rPr>
                    <w:rFonts w:cs="Arial"/>
                    <w:szCs w:val="24"/>
                    <w:lang w:val="en-US"/>
                  </w:rPr>
                  <w:t>2020</w:t>
                </w:r>
              </w:p>
            </w:tc>
            <w:tc>
              <w:tcPr>
                <w:tcW w:w="4675" w:type="dxa"/>
                <w:vAlign w:val="center"/>
              </w:tcPr>
              <w:p w14:paraId="762EEE1E" w14:textId="77777777" w:rsidR="00974AE2" w:rsidRPr="00F06156" w:rsidRDefault="00974AE2" w:rsidP="0072314A">
                <w:pPr>
                  <w:spacing w:after="160" w:line="360" w:lineRule="auto"/>
                  <w:jc w:val="center"/>
                  <w:rPr>
                    <w:rFonts w:cs="Arial"/>
                    <w:szCs w:val="24"/>
                    <w:lang w:val="en-US"/>
                  </w:rPr>
                </w:pPr>
                <w:r w:rsidRPr="00F06156">
                  <w:rPr>
                    <w:rFonts w:cs="Arial"/>
                    <w:szCs w:val="24"/>
                    <w:lang w:val="en-US"/>
                  </w:rPr>
                  <w:t>2019</w:t>
                </w:r>
              </w:p>
            </w:tc>
          </w:tr>
          <w:tr w:rsidR="00974AE2" w:rsidRPr="00F06156" w14:paraId="4F0D2EEC" w14:textId="77777777" w:rsidTr="0072314A">
            <w:trPr>
              <w:trHeight w:val="980"/>
            </w:trPr>
            <w:tc>
              <w:tcPr>
                <w:tcW w:w="4675" w:type="dxa"/>
                <w:vAlign w:val="center"/>
              </w:tcPr>
              <w:p w14:paraId="0A4DC9C9" w14:textId="0ED29053" w:rsidR="00974AE2" w:rsidRPr="00F06156" w:rsidRDefault="00C64B63" w:rsidP="0072314A">
                <w:pPr>
                  <w:spacing w:after="160" w:line="360" w:lineRule="auto"/>
                  <w:jc w:val="center"/>
                  <w:rPr>
                    <w:rFonts w:cs="Arial"/>
                    <w:szCs w:val="24"/>
                    <w:lang w:val="en-US"/>
                  </w:rPr>
                </w:pPr>
                <m:oMathPara>
                  <m:oMath>
                    <m:f>
                      <m:fPr>
                        <m:ctrlPr>
                          <w:rPr>
                            <w:rFonts w:ascii="Cambria Math" w:hAnsi="Cambria Math" w:cs="Arial"/>
                            <w:i/>
                            <w:szCs w:val="24"/>
                            <w:lang w:val="en-US"/>
                          </w:rPr>
                        </m:ctrlPr>
                      </m:fPr>
                      <m:num>
                        <m:r>
                          <w:rPr>
                            <w:rFonts w:ascii="Cambria Math" w:hAnsi="Cambria Math" w:cs="Arial"/>
                            <w:szCs w:val="24"/>
                            <w:lang w:val="en-US"/>
                          </w:rPr>
                          <m:t>1490,000</m:t>
                        </m:r>
                      </m:num>
                      <m:den>
                        <m:r>
                          <w:rPr>
                            <w:rFonts w:ascii="Cambria Math" w:hAnsi="Cambria Math" w:cs="Arial"/>
                            <w:szCs w:val="24"/>
                            <w:lang w:val="en-US"/>
                          </w:rPr>
                          <m:t>16,755,000</m:t>
                        </m:r>
                      </m:den>
                    </m:f>
                  </m:oMath>
                </m:oMathPara>
              </w:p>
            </w:tc>
            <w:tc>
              <w:tcPr>
                <w:tcW w:w="4675" w:type="dxa"/>
                <w:vAlign w:val="center"/>
              </w:tcPr>
              <w:p w14:paraId="6542CF07" w14:textId="03060F38" w:rsidR="00974AE2" w:rsidRPr="00F06156" w:rsidRDefault="00C64B63" w:rsidP="0072314A">
                <w:pPr>
                  <w:spacing w:after="160" w:line="360" w:lineRule="auto"/>
                  <w:jc w:val="center"/>
                  <w:rPr>
                    <w:rFonts w:cs="Arial"/>
                    <w:szCs w:val="24"/>
                    <w:lang w:val="en-US"/>
                  </w:rPr>
                </w:pPr>
                <m:oMathPara>
                  <m:oMath>
                    <m:f>
                      <m:fPr>
                        <m:ctrlPr>
                          <w:rPr>
                            <w:rFonts w:ascii="Cambria Math" w:hAnsi="Cambria Math" w:cs="Arial"/>
                            <w:i/>
                            <w:szCs w:val="24"/>
                            <w:lang w:val="en-US"/>
                          </w:rPr>
                        </m:ctrlPr>
                      </m:fPr>
                      <m:num>
                        <m:r>
                          <w:rPr>
                            <w:rFonts w:ascii="Cambria Math" w:hAnsi="Cambria Math" w:cs="Arial"/>
                            <w:szCs w:val="24"/>
                            <w:lang w:val="en-US"/>
                          </w:rPr>
                          <m:t>482,000</m:t>
                        </m:r>
                      </m:num>
                      <m:den>
                        <m:r>
                          <w:rPr>
                            <w:rFonts w:ascii="Cambria Math" w:hAnsi="Cambria Math" w:cs="Arial"/>
                            <w:szCs w:val="24"/>
                            <w:lang w:val="en-US"/>
                          </w:rPr>
                          <m:t>14,957,000</m:t>
                        </m:r>
                      </m:den>
                    </m:f>
                  </m:oMath>
                </m:oMathPara>
              </w:p>
            </w:tc>
          </w:tr>
          <w:tr w:rsidR="00974AE2" w:rsidRPr="00F06156" w14:paraId="4C6091C1" w14:textId="77777777" w:rsidTr="0072314A">
            <w:tc>
              <w:tcPr>
                <w:tcW w:w="4675" w:type="dxa"/>
                <w:vAlign w:val="center"/>
              </w:tcPr>
              <w:p w14:paraId="47CE0121" w14:textId="517525DC" w:rsidR="00974AE2" w:rsidRPr="00F06156" w:rsidRDefault="00974AE2" w:rsidP="0072314A">
                <w:pPr>
                  <w:spacing w:after="160" w:line="360" w:lineRule="auto"/>
                  <w:jc w:val="center"/>
                  <w:rPr>
                    <w:rFonts w:cs="Arial"/>
                    <w:szCs w:val="24"/>
                    <w:lang w:val="en-US"/>
                  </w:rPr>
                </w:pPr>
                <w:r w:rsidRPr="00F06156">
                  <w:rPr>
                    <w:rFonts w:cs="Arial"/>
                    <w:szCs w:val="24"/>
                    <w:lang w:val="en-US"/>
                  </w:rPr>
                  <w:t xml:space="preserve">= </w:t>
                </w:r>
                <w:r w:rsidR="00792BA5" w:rsidRPr="00F06156">
                  <w:rPr>
                    <w:rFonts w:cs="Arial"/>
                    <w:szCs w:val="24"/>
                    <w:lang w:val="en-US"/>
                  </w:rPr>
                  <w:t>0.09</w:t>
                </w:r>
              </w:p>
            </w:tc>
            <w:tc>
              <w:tcPr>
                <w:tcW w:w="4675" w:type="dxa"/>
                <w:vAlign w:val="center"/>
              </w:tcPr>
              <w:p w14:paraId="450E3052" w14:textId="3B05389C" w:rsidR="00974AE2" w:rsidRPr="00F06156" w:rsidRDefault="00974AE2" w:rsidP="0072314A">
                <w:pPr>
                  <w:spacing w:after="160" w:line="360" w:lineRule="auto"/>
                  <w:jc w:val="center"/>
                  <w:rPr>
                    <w:rFonts w:cs="Arial"/>
                    <w:szCs w:val="24"/>
                    <w:lang w:val="en-US"/>
                  </w:rPr>
                </w:pPr>
                <w:r w:rsidRPr="00F06156">
                  <w:rPr>
                    <w:rFonts w:cs="Arial"/>
                    <w:szCs w:val="24"/>
                    <w:lang w:val="en-US"/>
                  </w:rPr>
                  <w:t>= 0.</w:t>
                </w:r>
                <w:r w:rsidR="00792BA5" w:rsidRPr="00F06156">
                  <w:rPr>
                    <w:rFonts w:cs="Arial"/>
                    <w:szCs w:val="24"/>
                    <w:lang w:val="en-US"/>
                  </w:rPr>
                  <w:t>03</w:t>
                </w:r>
              </w:p>
            </w:tc>
          </w:tr>
        </w:tbl>
        <w:p w14:paraId="2FC47C65" w14:textId="77777777" w:rsidR="00974AE2" w:rsidRPr="00F06156" w:rsidRDefault="00974AE2" w:rsidP="00F06156">
          <w:pPr>
            <w:spacing w:line="360" w:lineRule="auto"/>
            <w:rPr>
              <w:rFonts w:cs="Arial"/>
              <w:szCs w:val="24"/>
              <w:lang w:val="en-US"/>
            </w:rPr>
          </w:pPr>
        </w:p>
        <w:p w14:paraId="2EA510AD" w14:textId="3BA203A7" w:rsidR="00A95B76" w:rsidRPr="00F06156" w:rsidRDefault="00974AE2" w:rsidP="00F06156">
          <w:pPr>
            <w:spacing w:line="360" w:lineRule="auto"/>
            <w:rPr>
              <w:rFonts w:cs="Arial"/>
              <w:szCs w:val="24"/>
              <w:lang w:val="en-US"/>
            </w:rPr>
          </w:pPr>
          <w:r w:rsidRPr="00F06156">
            <w:rPr>
              <w:rFonts w:cs="Arial"/>
              <w:b/>
              <w:bCs/>
              <w:szCs w:val="24"/>
              <w:lang w:val="en-US"/>
            </w:rPr>
            <w:t>Debt to Equity Ratio:</w:t>
          </w:r>
          <w:r w:rsidR="0091346F" w:rsidRPr="00F06156">
            <w:rPr>
              <w:rFonts w:cs="Arial"/>
              <w:b/>
              <w:bCs/>
              <w:szCs w:val="24"/>
              <w:lang w:val="en-US"/>
            </w:rPr>
            <w:t xml:space="preserve"> </w:t>
          </w:r>
          <w:r w:rsidR="00D54B74">
            <w:rPr>
              <w:rFonts w:cs="Arial"/>
              <w:szCs w:val="24"/>
              <w:lang w:val="en-US"/>
            </w:rPr>
            <w:t>It</w:t>
          </w:r>
          <w:r w:rsidR="0091346F" w:rsidRPr="00F06156">
            <w:rPr>
              <w:rFonts w:cs="Arial"/>
              <w:szCs w:val="24"/>
              <w:lang w:val="en-US"/>
            </w:rPr>
            <w:t xml:space="preserve"> is a financial measure that indicates the relative amount of owners' equity and debt that </w:t>
          </w:r>
          <w:r w:rsidR="00316EDC">
            <w:rPr>
              <w:rFonts w:cs="Arial"/>
              <w:szCs w:val="24"/>
              <w:lang w:val="en-US"/>
            </w:rPr>
            <w:t xml:space="preserve">is </w:t>
          </w:r>
          <w:r w:rsidR="0091346F" w:rsidRPr="00F06156">
            <w:rPr>
              <w:rFonts w:cs="Arial"/>
              <w:szCs w:val="24"/>
              <w:lang w:val="en-US"/>
            </w:rPr>
            <w:t xml:space="preserve">used </w:t>
          </w:r>
          <w:r w:rsidR="00316EDC">
            <w:rPr>
              <w:rFonts w:cs="Arial"/>
              <w:szCs w:val="24"/>
              <w:lang w:val="en-US"/>
            </w:rPr>
            <w:t xml:space="preserve">to </w:t>
          </w:r>
          <w:r w:rsidR="0091346F" w:rsidRPr="00F06156">
            <w:rPr>
              <w:rFonts w:cs="Arial"/>
              <w:szCs w:val="24"/>
              <w:lang w:val="en-US"/>
            </w:rPr>
            <w:t>finance a firm's resources. This share is indicated by the debt-to-equity ratio</w:t>
          </w:r>
          <w:r w:rsidR="00D54B74">
            <w:rPr>
              <w:rFonts w:cs="Arial"/>
              <w:szCs w:val="24"/>
              <w:lang w:val="en-US"/>
            </w:rPr>
            <w:t xml:space="preserve"> (Tinkelman, 2022)</w:t>
          </w:r>
          <w:r w:rsidR="0091346F" w:rsidRPr="00F06156">
            <w:rPr>
              <w:rFonts w:cs="Arial"/>
              <w:szCs w:val="24"/>
              <w:lang w:val="en-US"/>
            </w:rPr>
            <w:t>. The ratio is also known as risk, gearing, or leverage, and it is closely tied to the concept of leveraging.</w:t>
          </w:r>
          <w:r w:rsidR="002F5CE9">
            <w:rPr>
              <w:rFonts w:cs="Arial"/>
              <w:szCs w:val="24"/>
              <w:lang w:val="en-US"/>
            </w:rPr>
            <w:t xml:space="preserve"> The lower it is, the better it is. But in </w:t>
          </w:r>
          <w:r w:rsidR="00316EDC">
            <w:rPr>
              <w:rFonts w:cs="Arial"/>
              <w:szCs w:val="24"/>
              <w:lang w:val="en-US"/>
            </w:rPr>
            <w:t xml:space="preserve">the </w:t>
          </w:r>
          <w:r w:rsidR="002F5CE9">
            <w:rPr>
              <w:rFonts w:cs="Arial"/>
              <w:szCs w:val="24"/>
              <w:lang w:val="en-US"/>
            </w:rPr>
            <w:t>following cases</w:t>
          </w:r>
          <w:r w:rsidR="00316EDC">
            <w:rPr>
              <w:rFonts w:cs="Arial"/>
              <w:szCs w:val="24"/>
              <w:lang w:val="en-US"/>
            </w:rPr>
            <w:t>,</w:t>
          </w:r>
          <w:r w:rsidR="002F5CE9">
            <w:rPr>
              <w:rFonts w:cs="Arial"/>
              <w:szCs w:val="24"/>
              <w:lang w:val="en-US"/>
            </w:rPr>
            <w:t xml:space="preserve"> both are too high indicating </w:t>
          </w:r>
          <w:r w:rsidR="00316EDC">
            <w:rPr>
              <w:rFonts w:cs="Arial"/>
              <w:szCs w:val="24"/>
              <w:lang w:val="en-US"/>
            </w:rPr>
            <w:t xml:space="preserve">a </w:t>
          </w:r>
          <w:r w:rsidR="002F5CE9">
            <w:rPr>
              <w:rFonts w:cs="Arial"/>
              <w:szCs w:val="24"/>
              <w:lang w:val="en-US"/>
            </w:rPr>
            <w:t>huge amount of debt of Hilton Incorporation.</w:t>
          </w:r>
        </w:p>
        <w:p w14:paraId="12D27F1C" w14:textId="4FC7B990" w:rsidR="00974AE2" w:rsidRPr="00F06156" w:rsidRDefault="00974AE2" w:rsidP="006E4AB0">
          <w:pPr>
            <w:spacing w:line="360" w:lineRule="auto"/>
            <w:jc w:val="center"/>
            <w:rPr>
              <w:rFonts w:cs="Arial"/>
              <w:szCs w:val="24"/>
              <w:lang w:val="en-US"/>
            </w:rPr>
          </w:pPr>
          <w:r w:rsidRPr="00F06156">
            <w:rPr>
              <w:rFonts w:cs="Arial"/>
              <w:szCs w:val="24"/>
              <w:lang w:val="en-US"/>
            </w:rPr>
            <w:t xml:space="preserve">Debt to Equity Ratio = </w:t>
          </w:r>
          <m:oMath>
            <m:f>
              <m:fPr>
                <m:ctrlPr>
                  <w:rPr>
                    <w:rFonts w:ascii="Cambria Math" w:hAnsi="Cambria Math" w:cs="Arial"/>
                    <w:i/>
                    <w:szCs w:val="24"/>
                    <w:lang w:val="en-US"/>
                  </w:rPr>
                </m:ctrlPr>
              </m:fPr>
              <m:num>
                <m:r>
                  <w:rPr>
                    <w:rFonts w:ascii="Cambria Math" w:hAnsi="Cambria Math" w:cs="Arial"/>
                    <w:szCs w:val="24"/>
                    <w:lang w:val="en-US"/>
                  </w:rPr>
                  <m:t>Total Debt</m:t>
                </m:r>
              </m:num>
              <m:den>
                <m:r>
                  <w:rPr>
                    <w:rFonts w:ascii="Cambria Math" w:hAnsi="Cambria Math" w:cs="Arial"/>
                    <w:szCs w:val="24"/>
                    <w:lang w:val="en-US"/>
                  </w:rPr>
                  <m:t>Shareholder Equity</m:t>
                </m:r>
              </m:den>
            </m:f>
          </m:oMath>
        </w:p>
        <w:p w14:paraId="30631589" w14:textId="77777777" w:rsidR="00974AE2" w:rsidRPr="00F06156" w:rsidRDefault="00974AE2" w:rsidP="00F06156">
          <w:pPr>
            <w:spacing w:line="360" w:lineRule="auto"/>
            <w:rPr>
              <w:rFonts w:cs="Arial"/>
              <w:szCs w:val="24"/>
              <w:lang w:val="en-US"/>
            </w:rPr>
          </w:pPr>
          <w:r w:rsidRPr="00F06156">
            <w:rPr>
              <w:rFonts w:cs="Arial"/>
              <w:szCs w:val="24"/>
              <w:lang w:val="en-US"/>
            </w:rPr>
            <w:t>Explanation:</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974AE2" w:rsidRPr="00F06156" w14:paraId="46F5F9B8" w14:textId="77777777" w:rsidTr="0072314A">
            <w:tc>
              <w:tcPr>
                <w:tcW w:w="4675" w:type="dxa"/>
                <w:vAlign w:val="center"/>
              </w:tcPr>
              <w:p w14:paraId="643E03BB" w14:textId="77777777" w:rsidR="00974AE2" w:rsidRPr="00F06156" w:rsidRDefault="00974AE2" w:rsidP="0072314A">
                <w:pPr>
                  <w:spacing w:after="160" w:line="360" w:lineRule="auto"/>
                  <w:jc w:val="center"/>
                  <w:rPr>
                    <w:rFonts w:cs="Arial"/>
                    <w:szCs w:val="24"/>
                    <w:lang w:val="en-US"/>
                  </w:rPr>
                </w:pPr>
                <w:r w:rsidRPr="00F06156">
                  <w:rPr>
                    <w:rFonts w:cs="Arial"/>
                    <w:szCs w:val="24"/>
                    <w:lang w:val="en-US"/>
                  </w:rPr>
                  <w:t>2020</w:t>
                </w:r>
              </w:p>
            </w:tc>
            <w:tc>
              <w:tcPr>
                <w:tcW w:w="4675" w:type="dxa"/>
                <w:vAlign w:val="center"/>
              </w:tcPr>
              <w:p w14:paraId="3A220A68" w14:textId="77777777" w:rsidR="00974AE2" w:rsidRPr="00F06156" w:rsidRDefault="00974AE2" w:rsidP="0072314A">
                <w:pPr>
                  <w:spacing w:after="160" w:line="360" w:lineRule="auto"/>
                  <w:jc w:val="center"/>
                  <w:rPr>
                    <w:rFonts w:cs="Arial"/>
                    <w:szCs w:val="24"/>
                    <w:lang w:val="en-US"/>
                  </w:rPr>
                </w:pPr>
                <w:r w:rsidRPr="00F06156">
                  <w:rPr>
                    <w:rFonts w:cs="Arial"/>
                    <w:szCs w:val="24"/>
                    <w:lang w:val="en-US"/>
                  </w:rPr>
                  <w:t>2019</w:t>
                </w:r>
              </w:p>
            </w:tc>
          </w:tr>
          <w:tr w:rsidR="00974AE2" w:rsidRPr="00F06156" w14:paraId="54B4DB06" w14:textId="77777777" w:rsidTr="0072314A">
            <w:trPr>
              <w:trHeight w:val="980"/>
            </w:trPr>
            <w:tc>
              <w:tcPr>
                <w:tcW w:w="4675" w:type="dxa"/>
                <w:vAlign w:val="center"/>
              </w:tcPr>
              <w:p w14:paraId="6579DBB0" w14:textId="6C8CBD82" w:rsidR="00974AE2" w:rsidRPr="00F06156" w:rsidRDefault="00C64B63" w:rsidP="0072314A">
                <w:pPr>
                  <w:spacing w:after="160" w:line="360" w:lineRule="auto"/>
                  <w:jc w:val="center"/>
                  <w:rPr>
                    <w:rFonts w:cs="Arial"/>
                    <w:szCs w:val="24"/>
                    <w:lang w:val="en-US"/>
                  </w:rPr>
                </w:pPr>
                <m:oMathPara>
                  <m:oMath>
                    <m:f>
                      <m:fPr>
                        <m:ctrlPr>
                          <w:rPr>
                            <w:rFonts w:ascii="Cambria Math" w:hAnsi="Cambria Math" w:cs="Arial"/>
                            <w:i/>
                            <w:szCs w:val="24"/>
                            <w:lang w:val="en-US"/>
                          </w:rPr>
                        </m:ctrlPr>
                      </m:fPr>
                      <m:num>
                        <m:r>
                          <w:rPr>
                            <w:rFonts w:ascii="Cambria Math" w:hAnsi="Cambria Math" w:cs="Arial"/>
                            <w:szCs w:val="24"/>
                            <w:lang w:val="en-US"/>
                          </w:rPr>
                          <m:t>18,241,000</m:t>
                        </m:r>
                      </m:num>
                      <m:den>
                        <m:r>
                          <w:rPr>
                            <w:rFonts w:ascii="Cambria Math" w:hAnsi="Cambria Math" w:cs="Arial"/>
                            <w:szCs w:val="24"/>
                            <w:lang w:val="en-US"/>
                          </w:rPr>
                          <m:t>1490,000</m:t>
                        </m:r>
                      </m:den>
                    </m:f>
                  </m:oMath>
                </m:oMathPara>
              </w:p>
            </w:tc>
            <w:tc>
              <w:tcPr>
                <w:tcW w:w="4675" w:type="dxa"/>
                <w:vAlign w:val="center"/>
              </w:tcPr>
              <w:p w14:paraId="0EEDD298" w14:textId="723863AE" w:rsidR="00974AE2" w:rsidRPr="00F06156" w:rsidRDefault="00C64B63" w:rsidP="0072314A">
                <w:pPr>
                  <w:spacing w:after="160" w:line="360" w:lineRule="auto"/>
                  <w:jc w:val="center"/>
                  <w:rPr>
                    <w:rFonts w:cs="Arial"/>
                    <w:szCs w:val="24"/>
                    <w:lang w:val="en-US"/>
                  </w:rPr>
                </w:pPr>
                <m:oMathPara>
                  <m:oMath>
                    <m:f>
                      <m:fPr>
                        <m:ctrlPr>
                          <w:rPr>
                            <w:rFonts w:ascii="Cambria Math" w:hAnsi="Cambria Math" w:cs="Arial"/>
                            <w:i/>
                            <w:szCs w:val="24"/>
                            <w:lang w:val="en-US"/>
                          </w:rPr>
                        </m:ctrlPr>
                      </m:fPr>
                      <m:num>
                        <m:r>
                          <w:rPr>
                            <w:rFonts w:ascii="Cambria Math" w:hAnsi="Cambria Math" w:cs="Arial"/>
                            <w:szCs w:val="24"/>
                            <w:lang w:val="en-US"/>
                          </w:rPr>
                          <m:t>15,429,000</m:t>
                        </m:r>
                      </m:num>
                      <m:den>
                        <m:r>
                          <w:rPr>
                            <w:rFonts w:ascii="Cambria Math" w:hAnsi="Cambria Math" w:cs="Arial"/>
                            <w:szCs w:val="24"/>
                            <w:lang w:val="en-US"/>
                          </w:rPr>
                          <m:t>482,000</m:t>
                        </m:r>
                      </m:den>
                    </m:f>
                  </m:oMath>
                </m:oMathPara>
              </w:p>
            </w:tc>
          </w:tr>
          <w:tr w:rsidR="00974AE2" w:rsidRPr="00F06156" w14:paraId="04EB7F81" w14:textId="77777777" w:rsidTr="0072314A">
            <w:tc>
              <w:tcPr>
                <w:tcW w:w="4675" w:type="dxa"/>
                <w:vAlign w:val="center"/>
              </w:tcPr>
              <w:p w14:paraId="39434BCC" w14:textId="0678E31B" w:rsidR="00974AE2" w:rsidRPr="00F06156" w:rsidRDefault="00974AE2" w:rsidP="0072314A">
                <w:pPr>
                  <w:spacing w:after="160" w:line="360" w:lineRule="auto"/>
                  <w:jc w:val="center"/>
                  <w:rPr>
                    <w:rFonts w:cs="Arial"/>
                    <w:szCs w:val="24"/>
                    <w:lang w:val="en-US"/>
                  </w:rPr>
                </w:pPr>
                <w:r w:rsidRPr="00F06156">
                  <w:rPr>
                    <w:rFonts w:cs="Arial"/>
                    <w:szCs w:val="24"/>
                    <w:lang w:val="en-US"/>
                  </w:rPr>
                  <w:t>=</w:t>
                </w:r>
                <w:r w:rsidR="00792BA5" w:rsidRPr="00F06156">
                  <w:rPr>
                    <w:rFonts w:cs="Arial"/>
                    <w:szCs w:val="24"/>
                    <w:lang w:val="en-US"/>
                  </w:rPr>
                  <w:t xml:space="preserve"> 12.24</w:t>
                </w:r>
              </w:p>
            </w:tc>
            <w:tc>
              <w:tcPr>
                <w:tcW w:w="4675" w:type="dxa"/>
                <w:vAlign w:val="center"/>
              </w:tcPr>
              <w:p w14:paraId="65BFAA0C" w14:textId="0F20D2DB" w:rsidR="00974AE2" w:rsidRPr="00F06156" w:rsidRDefault="00974AE2" w:rsidP="0072314A">
                <w:pPr>
                  <w:spacing w:after="160" w:line="360" w:lineRule="auto"/>
                  <w:jc w:val="center"/>
                  <w:rPr>
                    <w:rFonts w:cs="Arial"/>
                    <w:szCs w:val="24"/>
                    <w:lang w:val="en-US"/>
                  </w:rPr>
                </w:pPr>
                <w:r w:rsidRPr="00F06156">
                  <w:rPr>
                    <w:rFonts w:cs="Arial"/>
                    <w:szCs w:val="24"/>
                    <w:lang w:val="en-US"/>
                  </w:rPr>
                  <w:t xml:space="preserve">= </w:t>
                </w:r>
                <w:r w:rsidR="00792BA5" w:rsidRPr="00F06156">
                  <w:rPr>
                    <w:rFonts w:cs="Arial"/>
                    <w:szCs w:val="24"/>
                    <w:lang w:val="en-US"/>
                  </w:rPr>
                  <w:t>32.01</w:t>
                </w:r>
              </w:p>
            </w:tc>
          </w:tr>
        </w:tbl>
        <w:p w14:paraId="598735FA" w14:textId="77777777" w:rsidR="00974AE2" w:rsidRPr="00F06156" w:rsidRDefault="00974AE2" w:rsidP="00F06156">
          <w:pPr>
            <w:spacing w:line="360" w:lineRule="auto"/>
            <w:rPr>
              <w:rFonts w:cs="Arial"/>
              <w:szCs w:val="24"/>
              <w:lang w:val="en-US"/>
            </w:rPr>
          </w:pPr>
        </w:p>
        <w:p w14:paraId="332EA7EA" w14:textId="45E44ABA" w:rsidR="00974AE2" w:rsidRPr="00F06156" w:rsidRDefault="00974AE2" w:rsidP="00F06156">
          <w:pPr>
            <w:spacing w:line="360" w:lineRule="auto"/>
            <w:rPr>
              <w:rFonts w:cs="Arial"/>
              <w:szCs w:val="24"/>
              <w:lang w:val="en-US"/>
            </w:rPr>
          </w:pPr>
          <w:r w:rsidRPr="00F06156">
            <w:rPr>
              <w:rFonts w:cs="Arial"/>
              <w:szCs w:val="24"/>
              <w:lang w:val="en-US"/>
            </w:rPr>
            <w:t xml:space="preserve">. </w:t>
          </w:r>
        </w:p>
        <w:p w14:paraId="34BB310F" w14:textId="77777777" w:rsidR="00423051" w:rsidRPr="00F06156" w:rsidRDefault="00423051" w:rsidP="00F06156">
          <w:pPr>
            <w:pStyle w:val="Heading1"/>
            <w:spacing w:line="360" w:lineRule="auto"/>
            <w:rPr>
              <w:rFonts w:ascii="Arial" w:hAnsi="Arial" w:cs="Arial"/>
              <w:sz w:val="24"/>
              <w:szCs w:val="24"/>
            </w:rPr>
          </w:pPr>
          <w:bookmarkStart w:id="6" w:name="_Toc104108528"/>
          <w:r w:rsidRPr="00F06156">
            <w:rPr>
              <w:rFonts w:ascii="Arial" w:hAnsi="Arial" w:cs="Arial"/>
              <w:sz w:val="24"/>
              <w:szCs w:val="24"/>
            </w:rPr>
            <w:lastRenderedPageBreak/>
            <w:t>Financial Analysis Trends</w:t>
          </w:r>
          <w:bookmarkEnd w:id="6"/>
        </w:p>
        <w:p w14:paraId="0C55DBBA" w14:textId="77777777" w:rsidR="00423051" w:rsidRPr="00F06156" w:rsidRDefault="00423051" w:rsidP="00F06156">
          <w:pPr>
            <w:pStyle w:val="Heading2"/>
            <w:spacing w:line="360" w:lineRule="auto"/>
            <w:rPr>
              <w:rFonts w:ascii="Arial" w:hAnsi="Arial" w:cs="Arial"/>
              <w:sz w:val="24"/>
              <w:szCs w:val="24"/>
            </w:rPr>
          </w:pPr>
          <w:bookmarkStart w:id="7" w:name="_Toc104108529"/>
          <w:r w:rsidRPr="00F06156">
            <w:rPr>
              <w:rFonts w:ascii="Arial" w:hAnsi="Arial" w:cs="Arial"/>
              <w:sz w:val="24"/>
              <w:szCs w:val="24"/>
            </w:rPr>
            <w:t>Profitability</w:t>
          </w:r>
          <w:bookmarkEnd w:id="7"/>
        </w:p>
        <w:p w14:paraId="54DB372D" w14:textId="47F73618" w:rsidR="00423051" w:rsidRPr="00F06156" w:rsidRDefault="00B60A3F" w:rsidP="00F06156">
          <w:pPr>
            <w:spacing w:line="360" w:lineRule="auto"/>
            <w:rPr>
              <w:rFonts w:cs="Arial"/>
              <w:szCs w:val="24"/>
            </w:rPr>
          </w:pPr>
          <w:r w:rsidRPr="00F06156">
            <w:rPr>
              <w:rFonts w:cs="Arial"/>
              <w:szCs w:val="24"/>
            </w:rPr>
            <w:t>The following are Hilton Incorporation's profitability ratios for 2019 and 2020. It reveals that 2020 has performed worse than 2019 in terms of negative performance.</w:t>
          </w:r>
        </w:p>
        <w:tbl>
          <w:tblPr>
            <w:tblStyle w:val="TableGrid"/>
            <w:tblW w:w="0" w:type="auto"/>
            <w:tblLook w:val="04A0" w:firstRow="1" w:lastRow="0" w:firstColumn="1" w:lastColumn="0" w:noHBand="0" w:noVBand="1"/>
          </w:tblPr>
          <w:tblGrid>
            <w:gridCol w:w="819"/>
            <w:gridCol w:w="1450"/>
            <w:gridCol w:w="1941"/>
            <w:gridCol w:w="1941"/>
            <w:gridCol w:w="2865"/>
          </w:tblGrid>
          <w:tr w:rsidR="00FF0C24" w:rsidRPr="00F06156" w14:paraId="0EC4191C" w14:textId="77777777" w:rsidTr="0072314A">
            <w:tc>
              <w:tcPr>
                <w:tcW w:w="819" w:type="dxa"/>
                <w:vAlign w:val="center"/>
              </w:tcPr>
              <w:p w14:paraId="484F40FF" w14:textId="4519AEF2" w:rsidR="00FF0C24" w:rsidRPr="00F06156" w:rsidRDefault="00FF0C24" w:rsidP="0072314A">
                <w:pPr>
                  <w:spacing w:line="360" w:lineRule="auto"/>
                  <w:jc w:val="center"/>
                  <w:rPr>
                    <w:rFonts w:cs="Arial"/>
                    <w:szCs w:val="24"/>
                  </w:rPr>
                </w:pPr>
                <w:r w:rsidRPr="00F06156">
                  <w:rPr>
                    <w:rFonts w:cs="Arial"/>
                    <w:szCs w:val="24"/>
                  </w:rPr>
                  <w:t>Year</w:t>
                </w:r>
              </w:p>
            </w:tc>
            <w:tc>
              <w:tcPr>
                <w:tcW w:w="1450" w:type="dxa"/>
                <w:vAlign w:val="center"/>
              </w:tcPr>
              <w:p w14:paraId="237D59C5" w14:textId="336A0063" w:rsidR="00FF0C24" w:rsidRPr="00F06156" w:rsidRDefault="00FF0C24" w:rsidP="0072314A">
                <w:pPr>
                  <w:spacing w:line="360" w:lineRule="auto"/>
                  <w:jc w:val="center"/>
                  <w:rPr>
                    <w:rFonts w:cs="Arial"/>
                    <w:szCs w:val="24"/>
                  </w:rPr>
                </w:pPr>
                <w:r w:rsidRPr="00F06156">
                  <w:rPr>
                    <w:rFonts w:cs="Arial"/>
                    <w:szCs w:val="24"/>
                  </w:rPr>
                  <w:t>Operating Ratio</w:t>
                </w:r>
              </w:p>
            </w:tc>
            <w:tc>
              <w:tcPr>
                <w:tcW w:w="1941" w:type="dxa"/>
                <w:vAlign w:val="center"/>
              </w:tcPr>
              <w:p w14:paraId="2B4BC4A0" w14:textId="42B27257" w:rsidR="00FF0C24" w:rsidRPr="00F06156" w:rsidRDefault="00FF0C24" w:rsidP="0072314A">
                <w:pPr>
                  <w:spacing w:line="360" w:lineRule="auto"/>
                  <w:jc w:val="center"/>
                  <w:rPr>
                    <w:rFonts w:cs="Arial"/>
                    <w:szCs w:val="24"/>
                  </w:rPr>
                </w:pPr>
                <w:r w:rsidRPr="00F06156">
                  <w:rPr>
                    <w:rFonts w:cs="Arial"/>
                    <w:szCs w:val="24"/>
                  </w:rPr>
                  <w:t>Gross Profit Margin</w:t>
                </w:r>
              </w:p>
            </w:tc>
            <w:tc>
              <w:tcPr>
                <w:tcW w:w="1941" w:type="dxa"/>
                <w:vAlign w:val="center"/>
              </w:tcPr>
              <w:p w14:paraId="4D93D71A" w14:textId="201D0457" w:rsidR="00FF0C24" w:rsidRPr="00F06156" w:rsidRDefault="00FF0C24" w:rsidP="0072314A">
                <w:pPr>
                  <w:spacing w:line="360" w:lineRule="auto"/>
                  <w:jc w:val="center"/>
                  <w:rPr>
                    <w:rFonts w:cs="Arial"/>
                    <w:szCs w:val="24"/>
                  </w:rPr>
                </w:pPr>
                <w:r w:rsidRPr="00F06156">
                  <w:rPr>
                    <w:rFonts w:cs="Arial"/>
                    <w:szCs w:val="24"/>
                  </w:rPr>
                  <w:t>Operating Profit Margin</w:t>
                </w:r>
              </w:p>
            </w:tc>
            <w:tc>
              <w:tcPr>
                <w:tcW w:w="2865" w:type="dxa"/>
                <w:vAlign w:val="center"/>
              </w:tcPr>
              <w:p w14:paraId="1AE999F5" w14:textId="735AF148" w:rsidR="00FF0C24" w:rsidRPr="00F06156" w:rsidRDefault="00FF0C24" w:rsidP="0072314A">
                <w:pPr>
                  <w:spacing w:line="360" w:lineRule="auto"/>
                  <w:jc w:val="center"/>
                  <w:rPr>
                    <w:rFonts w:cs="Arial"/>
                    <w:szCs w:val="24"/>
                  </w:rPr>
                </w:pPr>
                <w:r w:rsidRPr="00F06156">
                  <w:rPr>
                    <w:rFonts w:cs="Arial"/>
                    <w:szCs w:val="24"/>
                  </w:rPr>
                  <w:t>Return on Capital Employment</w:t>
                </w:r>
              </w:p>
            </w:tc>
          </w:tr>
          <w:tr w:rsidR="00FF0C24" w:rsidRPr="00F06156" w14:paraId="19E21777" w14:textId="77777777" w:rsidTr="0072314A">
            <w:tc>
              <w:tcPr>
                <w:tcW w:w="819" w:type="dxa"/>
                <w:vAlign w:val="center"/>
              </w:tcPr>
              <w:p w14:paraId="1403F721" w14:textId="17D17009" w:rsidR="00FF0C24" w:rsidRPr="00F06156" w:rsidRDefault="00FF0C24" w:rsidP="0072314A">
                <w:pPr>
                  <w:spacing w:line="360" w:lineRule="auto"/>
                  <w:jc w:val="center"/>
                  <w:rPr>
                    <w:rFonts w:cs="Arial"/>
                    <w:szCs w:val="24"/>
                  </w:rPr>
                </w:pPr>
                <w:r w:rsidRPr="00F06156">
                  <w:rPr>
                    <w:rFonts w:cs="Arial"/>
                    <w:szCs w:val="24"/>
                  </w:rPr>
                  <w:t>2019</w:t>
                </w:r>
              </w:p>
            </w:tc>
            <w:tc>
              <w:tcPr>
                <w:tcW w:w="1450" w:type="dxa"/>
                <w:vAlign w:val="center"/>
              </w:tcPr>
              <w:p w14:paraId="772C6A0D" w14:textId="5B3EEE6E" w:rsidR="00FF0C24" w:rsidRPr="00F06156" w:rsidRDefault="00FF0C24" w:rsidP="0072314A">
                <w:pPr>
                  <w:spacing w:line="360" w:lineRule="auto"/>
                  <w:jc w:val="center"/>
                  <w:rPr>
                    <w:rFonts w:cs="Arial"/>
                    <w:szCs w:val="24"/>
                  </w:rPr>
                </w:pPr>
                <w:r w:rsidRPr="00F06156">
                  <w:rPr>
                    <w:rFonts w:cs="Arial"/>
                    <w:szCs w:val="24"/>
                  </w:rPr>
                  <w:t>54.51%</w:t>
                </w:r>
              </w:p>
            </w:tc>
            <w:tc>
              <w:tcPr>
                <w:tcW w:w="1941" w:type="dxa"/>
                <w:vAlign w:val="center"/>
              </w:tcPr>
              <w:p w14:paraId="18D06382" w14:textId="5C13B4E4" w:rsidR="00FF0C24" w:rsidRPr="00F06156" w:rsidRDefault="00FF0C24" w:rsidP="0072314A">
                <w:pPr>
                  <w:spacing w:line="360" w:lineRule="auto"/>
                  <w:jc w:val="center"/>
                  <w:rPr>
                    <w:rFonts w:cs="Arial"/>
                    <w:szCs w:val="24"/>
                  </w:rPr>
                </w:pPr>
                <w:r w:rsidRPr="00F06156">
                  <w:rPr>
                    <w:rFonts w:cs="Arial"/>
                    <w:szCs w:val="24"/>
                  </w:rPr>
                  <w:t>25.74%</w:t>
                </w:r>
              </w:p>
            </w:tc>
            <w:tc>
              <w:tcPr>
                <w:tcW w:w="1941" w:type="dxa"/>
                <w:vAlign w:val="center"/>
              </w:tcPr>
              <w:p w14:paraId="6524EAE1" w14:textId="30B67571" w:rsidR="00FF0C24" w:rsidRPr="00F06156" w:rsidRDefault="00FF0C24" w:rsidP="0072314A">
                <w:pPr>
                  <w:spacing w:line="360" w:lineRule="auto"/>
                  <w:jc w:val="center"/>
                  <w:rPr>
                    <w:rFonts w:cs="Arial"/>
                    <w:szCs w:val="24"/>
                  </w:rPr>
                </w:pPr>
                <w:r w:rsidRPr="00F06156">
                  <w:rPr>
                    <w:rFonts w:cs="Arial"/>
                    <w:szCs w:val="24"/>
                  </w:rPr>
                  <w:t>16.67%</w:t>
                </w:r>
              </w:p>
            </w:tc>
            <w:tc>
              <w:tcPr>
                <w:tcW w:w="2865" w:type="dxa"/>
                <w:vAlign w:val="center"/>
              </w:tcPr>
              <w:p w14:paraId="7DED7658" w14:textId="5A679CB9" w:rsidR="00FF0C24" w:rsidRPr="00F06156" w:rsidRDefault="00FF0C24" w:rsidP="0072314A">
                <w:pPr>
                  <w:spacing w:line="360" w:lineRule="auto"/>
                  <w:jc w:val="center"/>
                  <w:rPr>
                    <w:rFonts w:cs="Arial"/>
                    <w:szCs w:val="24"/>
                  </w:rPr>
                </w:pPr>
                <w:r w:rsidRPr="00F06156">
                  <w:rPr>
                    <w:rFonts w:cs="Arial"/>
                    <w:szCs w:val="24"/>
                  </w:rPr>
                  <w:t>10.29%</w:t>
                </w:r>
              </w:p>
            </w:tc>
          </w:tr>
          <w:tr w:rsidR="00FF0C24" w:rsidRPr="00F06156" w14:paraId="6A4A3693" w14:textId="77777777" w:rsidTr="0072314A">
            <w:tc>
              <w:tcPr>
                <w:tcW w:w="819" w:type="dxa"/>
                <w:vAlign w:val="center"/>
              </w:tcPr>
              <w:p w14:paraId="11AAEFB3" w14:textId="5C8ED0B6" w:rsidR="00FF0C24" w:rsidRPr="00F06156" w:rsidRDefault="00FF0C24" w:rsidP="0072314A">
                <w:pPr>
                  <w:spacing w:line="360" w:lineRule="auto"/>
                  <w:jc w:val="center"/>
                  <w:rPr>
                    <w:rFonts w:cs="Arial"/>
                    <w:szCs w:val="24"/>
                  </w:rPr>
                </w:pPr>
                <w:r w:rsidRPr="00F06156">
                  <w:rPr>
                    <w:rFonts w:cs="Arial"/>
                    <w:szCs w:val="24"/>
                  </w:rPr>
                  <w:t>2020</w:t>
                </w:r>
              </w:p>
            </w:tc>
            <w:tc>
              <w:tcPr>
                <w:tcW w:w="1450" w:type="dxa"/>
                <w:vAlign w:val="center"/>
              </w:tcPr>
              <w:p w14:paraId="65BA53BB" w14:textId="0B57DFB3" w:rsidR="00FF0C24" w:rsidRPr="00F06156" w:rsidRDefault="00FF0C24" w:rsidP="0072314A">
                <w:pPr>
                  <w:spacing w:line="360" w:lineRule="auto"/>
                  <w:jc w:val="center"/>
                  <w:rPr>
                    <w:rFonts w:cs="Arial"/>
                    <w:szCs w:val="24"/>
                  </w:rPr>
                </w:pPr>
                <w:r w:rsidRPr="00F06156">
                  <w:rPr>
                    <w:rFonts w:cs="Arial"/>
                    <w:szCs w:val="24"/>
                  </w:rPr>
                  <w:t>-589.91%</w:t>
                </w:r>
              </w:p>
            </w:tc>
            <w:tc>
              <w:tcPr>
                <w:tcW w:w="1941" w:type="dxa"/>
                <w:vAlign w:val="center"/>
              </w:tcPr>
              <w:p w14:paraId="71A2D68E" w14:textId="5FFAF06F" w:rsidR="00FF0C24" w:rsidRPr="00F06156" w:rsidRDefault="00FF0C24" w:rsidP="0072314A">
                <w:pPr>
                  <w:spacing w:line="360" w:lineRule="auto"/>
                  <w:jc w:val="center"/>
                  <w:rPr>
                    <w:rFonts w:cs="Arial"/>
                    <w:szCs w:val="24"/>
                  </w:rPr>
                </w:pPr>
                <w:r w:rsidRPr="00F06156">
                  <w:rPr>
                    <w:rFonts w:cs="Arial"/>
                    <w:szCs w:val="24"/>
                  </w:rPr>
                  <w:t>13.54%</w:t>
                </w:r>
              </w:p>
            </w:tc>
            <w:tc>
              <w:tcPr>
                <w:tcW w:w="1941" w:type="dxa"/>
                <w:vAlign w:val="center"/>
              </w:tcPr>
              <w:p w14:paraId="26C715A1" w14:textId="3EB135B7" w:rsidR="00FF0C24" w:rsidRPr="00F06156" w:rsidRDefault="00FF0C24" w:rsidP="0072314A">
                <w:pPr>
                  <w:spacing w:line="360" w:lineRule="auto"/>
                  <w:jc w:val="center"/>
                  <w:rPr>
                    <w:rFonts w:cs="Arial"/>
                    <w:szCs w:val="24"/>
                  </w:rPr>
                </w:pPr>
                <w:r w:rsidRPr="00F06156">
                  <w:rPr>
                    <w:rFonts w:cs="Arial"/>
                    <w:szCs w:val="24"/>
                  </w:rPr>
                  <w:t>-2.76%</w:t>
                </w:r>
              </w:p>
            </w:tc>
            <w:tc>
              <w:tcPr>
                <w:tcW w:w="2865" w:type="dxa"/>
                <w:vAlign w:val="center"/>
              </w:tcPr>
              <w:p w14:paraId="382B257E" w14:textId="5D2936EE" w:rsidR="00FF0C24" w:rsidRPr="00F06156" w:rsidRDefault="00FF0C24" w:rsidP="0072314A">
                <w:pPr>
                  <w:spacing w:line="360" w:lineRule="auto"/>
                  <w:jc w:val="center"/>
                  <w:rPr>
                    <w:rFonts w:cs="Arial"/>
                    <w:szCs w:val="24"/>
                  </w:rPr>
                </w:pPr>
                <w:r w:rsidRPr="00F06156">
                  <w:rPr>
                    <w:rFonts w:cs="Arial"/>
                    <w:szCs w:val="24"/>
                  </w:rPr>
                  <w:t>-6.45%</w:t>
                </w:r>
              </w:p>
            </w:tc>
          </w:tr>
        </w:tbl>
        <w:p w14:paraId="37F5E656" w14:textId="1BA09068" w:rsidR="00713F45" w:rsidRPr="00F06156" w:rsidRDefault="00713F45" w:rsidP="00F06156">
          <w:pPr>
            <w:spacing w:line="360" w:lineRule="auto"/>
            <w:rPr>
              <w:rFonts w:cs="Arial"/>
              <w:szCs w:val="24"/>
            </w:rPr>
          </w:pPr>
        </w:p>
        <w:p w14:paraId="3A57CAFB" w14:textId="77777777" w:rsidR="007523A4" w:rsidRPr="00F06156" w:rsidRDefault="007523A4" w:rsidP="00F06156">
          <w:pPr>
            <w:pStyle w:val="Heading2"/>
            <w:spacing w:line="360" w:lineRule="auto"/>
            <w:rPr>
              <w:rFonts w:ascii="Arial" w:hAnsi="Arial" w:cs="Arial"/>
              <w:sz w:val="24"/>
              <w:szCs w:val="24"/>
            </w:rPr>
          </w:pPr>
          <w:bookmarkStart w:id="8" w:name="_Toc104108530"/>
          <w:r w:rsidRPr="00F06156">
            <w:rPr>
              <w:rFonts w:ascii="Arial" w:hAnsi="Arial" w:cs="Arial"/>
              <w:sz w:val="24"/>
              <w:szCs w:val="24"/>
            </w:rPr>
            <w:t>Liquidity</w:t>
          </w:r>
          <w:bookmarkEnd w:id="8"/>
        </w:p>
        <w:p w14:paraId="5512D281" w14:textId="7147F549" w:rsidR="007523A4" w:rsidRPr="00F06156" w:rsidRDefault="00B60A3F" w:rsidP="00F06156">
          <w:pPr>
            <w:spacing w:line="360" w:lineRule="auto"/>
            <w:rPr>
              <w:rFonts w:cs="Arial"/>
              <w:szCs w:val="24"/>
            </w:rPr>
          </w:pPr>
          <w:r w:rsidRPr="00F06156">
            <w:rPr>
              <w:rFonts w:cs="Arial"/>
              <w:szCs w:val="24"/>
            </w:rPr>
            <w:t xml:space="preserve">There has been a poor result in every field of fund management for the year 2019. This is something for which Hilton Incorporation needs to </w:t>
          </w:r>
          <w:proofErr w:type="gramStart"/>
          <w:r w:rsidRPr="00F06156">
            <w:rPr>
              <w:rFonts w:cs="Arial"/>
              <w:szCs w:val="24"/>
            </w:rPr>
            <w:t>plan ahead</w:t>
          </w:r>
          <w:proofErr w:type="gramEnd"/>
          <w:r w:rsidRPr="00F06156">
            <w:rPr>
              <w:rFonts w:cs="Arial"/>
              <w:szCs w:val="24"/>
            </w:rPr>
            <w:t xml:space="preserve"> of time.</w:t>
          </w:r>
        </w:p>
        <w:tbl>
          <w:tblPr>
            <w:tblStyle w:val="TableGrid"/>
            <w:tblW w:w="0" w:type="auto"/>
            <w:jc w:val="center"/>
            <w:tblLook w:val="04A0" w:firstRow="1" w:lastRow="0" w:firstColumn="1" w:lastColumn="0" w:noHBand="0" w:noVBand="1"/>
          </w:tblPr>
          <w:tblGrid>
            <w:gridCol w:w="3005"/>
            <w:gridCol w:w="3005"/>
          </w:tblGrid>
          <w:tr w:rsidR="00FF0C24" w:rsidRPr="00F06156" w14:paraId="23EE42FB" w14:textId="77777777" w:rsidTr="0072314A">
            <w:trPr>
              <w:jc w:val="center"/>
            </w:trPr>
            <w:tc>
              <w:tcPr>
                <w:tcW w:w="3005" w:type="dxa"/>
                <w:vAlign w:val="center"/>
              </w:tcPr>
              <w:p w14:paraId="13B19602" w14:textId="77777777" w:rsidR="00FF0C24" w:rsidRPr="00F06156" w:rsidRDefault="00FF0C24" w:rsidP="0072314A">
                <w:pPr>
                  <w:spacing w:line="360" w:lineRule="auto"/>
                  <w:jc w:val="center"/>
                  <w:rPr>
                    <w:rFonts w:cs="Arial"/>
                    <w:szCs w:val="24"/>
                  </w:rPr>
                </w:pPr>
                <w:r w:rsidRPr="00F06156">
                  <w:rPr>
                    <w:rFonts w:cs="Arial"/>
                    <w:szCs w:val="24"/>
                  </w:rPr>
                  <w:t>Year</w:t>
                </w:r>
              </w:p>
            </w:tc>
            <w:tc>
              <w:tcPr>
                <w:tcW w:w="3005" w:type="dxa"/>
                <w:vAlign w:val="center"/>
              </w:tcPr>
              <w:p w14:paraId="1ED49342" w14:textId="0AFC1EC6" w:rsidR="00FF0C24" w:rsidRPr="00F06156" w:rsidRDefault="00FF0C24" w:rsidP="0072314A">
                <w:pPr>
                  <w:spacing w:line="360" w:lineRule="auto"/>
                  <w:jc w:val="center"/>
                  <w:rPr>
                    <w:rFonts w:cs="Arial"/>
                    <w:szCs w:val="24"/>
                  </w:rPr>
                </w:pPr>
                <w:r w:rsidRPr="00F06156">
                  <w:rPr>
                    <w:rFonts w:cs="Arial"/>
                    <w:szCs w:val="24"/>
                  </w:rPr>
                  <w:t>Current Ratio</w:t>
                </w:r>
              </w:p>
            </w:tc>
          </w:tr>
          <w:tr w:rsidR="00FF0C24" w:rsidRPr="00F06156" w14:paraId="6FE886B9" w14:textId="77777777" w:rsidTr="0072314A">
            <w:trPr>
              <w:jc w:val="center"/>
            </w:trPr>
            <w:tc>
              <w:tcPr>
                <w:tcW w:w="3005" w:type="dxa"/>
                <w:vAlign w:val="center"/>
              </w:tcPr>
              <w:p w14:paraId="068C5B99" w14:textId="77777777" w:rsidR="00FF0C24" w:rsidRPr="00F06156" w:rsidRDefault="00FF0C24" w:rsidP="0072314A">
                <w:pPr>
                  <w:spacing w:line="360" w:lineRule="auto"/>
                  <w:jc w:val="center"/>
                  <w:rPr>
                    <w:rFonts w:cs="Arial"/>
                    <w:szCs w:val="24"/>
                  </w:rPr>
                </w:pPr>
                <w:r w:rsidRPr="00F06156">
                  <w:rPr>
                    <w:rFonts w:cs="Arial"/>
                    <w:szCs w:val="24"/>
                  </w:rPr>
                  <w:t>2019</w:t>
                </w:r>
              </w:p>
            </w:tc>
            <w:tc>
              <w:tcPr>
                <w:tcW w:w="3005" w:type="dxa"/>
                <w:vAlign w:val="center"/>
              </w:tcPr>
              <w:p w14:paraId="51A2A9D7" w14:textId="706FB3C5" w:rsidR="00FF0C24" w:rsidRPr="00F06156" w:rsidRDefault="00FF0C24" w:rsidP="0072314A">
                <w:pPr>
                  <w:spacing w:line="360" w:lineRule="auto"/>
                  <w:jc w:val="center"/>
                  <w:rPr>
                    <w:rFonts w:cs="Arial"/>
                    <w:szCs w:val="24"/>
                  </w:rPr>
                </w:pPr>
                <w:r w:rsidRPr="00F06156">
                  <w:rPr>
                    <w:rFonts w:cs="Arial"/>
                    <w:szCs w:val="24"/>
                  </w:rPr>
                  <w:t>0.73</w:t>
                </w:r>
              </w:p>
            </w:tc>
          </w:tr>
          <w:tr w:rsidR="00FF0C24" w:rsidRPr="00F06156" w14:paraId="461986C8" w14:textId="77777777" w:rsidTr="0072314A">
            <w:trPr>
              <w:jc w:val="center"/>
            </w:trPr>
            <w:tc>
              <w:tcPr>
                <w:tcW w:w="3005" w:type="dxa"/>
                <w:vAlign w:val="center"/>
              </w:tcPr>
              <w:p w14:paraId="46856310" w14:textId="77777777" w:rsidR="00FF0C24" w:rsidRPr="00F06156" w:rsidRDefault="00FF0C24" w:rsidP="0072314A">
                <w:pPr>
                  <w:spacing w:line="360" w:lineRule="auto"/>
                  <w:jc w:val="center"/>
                  <w:rPr>
                    <w:rFonts w:cs="Arial"/>
                    <w:szCs w:val="24"/>
                  </w:rPr>
                </w:pPr>
                <w:r w:rsidRPr="00F06156">
                  <w:rPr>
                    <w:rFonts w:cs="Arial"/>
                    <w:szCs w:val="24"/>
                  </w:rPr>
                  <w:t>2020</w:t>
                </w:r>
              </w:p>
            </w:tc>
            <w:tc>
              <w:tcPr>
                <w:tcW w:w="3005" w:type="dxa"/>
                <w:vAlign w:val="center"/>
              </w:tcPr>
              <w:p w14:paraId="06364065" w14:textId="7BBF8B69" w:rsidR="00FF0C24" w:rsidRPr="00F06156" w:rsidRDefault="00FF0C24" w:rsidP="0072314A">
                <w:pPr>
                  <w:spacing w:line="360" w:lineRule="auto"/>
                  <w:jc w:val="center"/>
                  <w:rPr>
                    <w:rFonts w:cs="Arial"/>
                    <w:szCs w:val="24"/>
                  </w:rPr>
                </w:pPr>
                <w:r w:rsidRPr="00F06156">
                  <w:rPr>
                    <w:rFonts w:cs="Arial"/>
                    <w:szCs w:val="24"/>
                  </w:rPr>
                  <w:t>1.73</w:t>
                </w:r>
              </w:p>
            </w:tc>
          </w:tr>
        </w:tbl>
        <w:p w14:paraId="603F9151" w14:textId="2F57CA20" w:rsidR="00DC0E33" w:rsidRPr="00F06156" w:rsidRDefault="00DC0E33" w:rsidP="00F06156">
          <w:pPr>
            <w:spacing w:line="360" w:lineRule="auto"/>
            <w:rPr>
              <w:rFonts w:cs="Arial"/>
              <w:szCs w:val="24"/>
            </w:rPr>
          </w:pPr>
        </w:p>
        <w:p w14:paraId="4E22781A" w14:textId="77777777" w:rsidR="007523A4" w:rsidRPr="00F06156" w:rsidRDefault="007523A4" w:rsidP="00F06156">
          <w:pPr>
            <w:pStyle w:val="Heading2"/>
            <w:spacing w:line="360" w:lineRule="auto"/>
            <w:rPr>
              <w:rFonts w:ascii="Arial" w:hAnsi="Arial" w:cs="Arial"/>
              <w:sz w:val="24"/>
              <w:szCs w:val="24"/>
            </w:rPr>
          </w:pPr>
          <w:bookmarkStart w:id="9" w:name="_Toc104108531"/>
          <w:r w:rsidRPr="00F06156">
            <w:rPr>
              <w:rFonts w:ascii="Arial" w:hAnsi="Arial" w:cs="Arial"/>
              <w:sz w:val="24"/>
              <w:szCs w:val="24"/>
            </w:rPr>
            <w:t>Gearing</w:t>
          </w:r>
          <w:bookmarkEnd w:id="9"/>
        </w:p>
        <w:p w14:paraId="1B66641A" w14:textId="1F6C7E64" w:rsidR="007523A4" w:rsidRPr="00F06156" w:rsidRDefault="00B60A3F" w:rsidP="00F06156">
          <w:pPr>
            <w:spacing w:line="360" w:lineRule="auto"/>
            <w:rPr>
              <w:rFonts w:cs="Arial"/>
              <w:szCs w:val="24"/>
            </w:rPr>
          </w:pPr>
          <w:r w:rsidRPr="00F06156">
            <w:rPr>
              <w:rFonts w:cs="Arial"/>
              <w:szCs w:val="24"/>
            </w:rPr>
            <w:t xml:space="preserve">According to the information provided below, it can be inferred that the company is taking out additional loans from third parties to cover its expenses, indicating that it has grown financially </w:t>
          </w:r>
          <w:r w:rsidR="0048106B">
            <w:rPr>
              <w:rFonts w:cs="Arial"/>
              <w:szCs w:val="24"/>
            </w:rPr>
            <w:t>very weak</w:t>
          </w:r>
          <w:r w:rsidRPr="00F06156">
            <w:rPr>
              <w:rFonts w:cs="Arial"/>
              <w:szCs w:val="24"/>
            </w:rPr>
            <w:t xml:space="preserve"> enough to pay back its debts.</w:t>
          </w:r>
          <w:r w:rsidR="0048106B">
            <w:rPr>
              <w:rFonts w:cs="Arial"/>
              <w:szCs w:val="24"/>
            </w:rPr>
            <w:t xml:space="preserve"> But in 2020 it becomes much lower compared to that of 2019.</w:t>
          </w:r>
        </w:p>
        <w:tbl>
          <w:tblPr>
            <w:tblStyle w:val="TableGrid"/>
            <w:tblW w:w="0" w:type="auto"/>
            <w:tblLook w:val="04A0" w:firstRow="1" w:lastRow="0" w:firstColumn="1" w:lastColumn="0" w:noHBand="0" w:noVBand="1"/>
          </w:tblPr>
          <w:tblGrid>
            <w:gridCol w:w="3005"/>
            <w:gridCol w:w="3005"/>
            <w:gridCol w:w="3006"/>
          </w:tblGrid>
          <w:tr w:rsidR="006117AE" w:rsidRPr="00F06156" w14:paraId="47B6021C" w14:textId="77777777" w:rsidTr="00F35325">
            <w:tc>
              <w:tcPr>
                <w:tcW w:w="3005" w:type="dxa"/>
              </w:tcPr>
              <w:p w14:paraId="30A17C02" w14:textId="77777777" w:rsidR="006117AE" w:rsidRPr="00F06156" w:rsidRDefault="006117AE" w:rsidP="00F06156">
                <w:pPr>
                  <w:spacing w:line="360" w:lineRule="auto"/>
                  <w:rPr>
                    <w:rFonts w:cs="Arial"/>
                    <w:szCs w:val="24"/>
                  </w:rPr>
                </w:pPr>
                <w:r w:rsidRPr="00F06156">
                  <w:rPr>
                    <w:rFonts w:cs="Arial"/>
                    <w:szCs w:val="24"/>
                  </w:rPr>
                  <w:t>Year</w:t>
                </w:r>
              </w:p>
            </w:tc>
            <w:tc>
              <w:tcPr>
                <w:tcW w:w="3005" w:type="dxa"/>
              </w:tcPr>
              <w:p w14:paraId="3E1F2B73" w14:textId="21B54601" w:rsidR="006117AE" w:rsidRPr="00F06156" w:rsidRDefault="00F91D2B" w:rsidP="00F06156">
                <w:pPr>
                  <w:spacing w:line="360" w:lineRule="auto"/>
                  <w:rPr>
                    <w:rFonts w:cs="Arial"/>
                    <w:szCs w:val="24"/>
                  </w:rPr>
                </w:pPr>
                <w:r w:rsidRPr="00F06156">
                  <w:rPr>
                    <w:rFonts w:cs="Arial"/>
                    <w:szCs w:val="24"/>
                  </w:rPr>
                  <w:t>Equity</w:t>
                </w:r>
                <w:r w:rsidR="006117AE" w:rsidRPr="00F06156">
                  <w:rPr>
                    <w:rFonts w:cs="Arial"/>
                    <w:szCs w:val="24"/>
                  </w:rPr>
                  <w:t xml:space="preserve"> Ratio</w:t>
                </w:r>
              </w:p>
            </w:tc>
            <w:tc>
              <w:tcPr>
                <w:tcW w:w="3006" w:type="dxa"/>
              </w:tcPr>
              <w:p w14:paraId="4CD2A2A2" w14:textId="3B113855" w:rsidR="006117AE" w:rsidRPr="00F06156" w:rsidRDefault="00F91D2B" w:rsidP="00F06156">
                <w:pPr>
                  <w:spacing w:line="360" w:lineRule="auto"/>
                  <w:rPr>
                    <w:rFonts w:cs="Arial"/>
                    <w:szCs w:val="24"/>
                  </w:rPr>
                </w:pPr>
                <w:r w:rsidRPr="00F06156">
                  <w:rPr>
                    <w:rFonts w:cs="Arial"/>
                    <w:szCs w:val="24"/>
                  </w:rPr>
                  <w:t>Debt to Equity Ratio</w:t>
                </w:r>
              </w:p>
            </w:tc>
          </w:tr>
          <w:tr w:rsidR="006117AE" w:rsidRPr="00F06156" w14:paraId="3A9679BC" w14:textId="77777777" w:rsidTr="00F35325">
            <w:tc>
              <w:tcPr>
                <w:tcW w:w="3005" w:type="dxa"/>
              </w:tcPr>
              <w:p w14:paraId="2C7BBD2C" w14:textId="77777777" w:rsidR="006117AE" w:rsidRPr="00F06156" w:rsidRDefault="006117AE" w:rsidP="00F06156">
                <w:pPr>
                  <w:spacing w:line="360" w:lineRule="auto"/>
                  <w:rPr>
                    <w:rFonts w:cs="Arial"/>
                    <w:szCs w:val="24"/>
                  </w:rPr>
                </w:pPr>
                <w:r w:rsidRPr="00F06156">
                  <w:rPr>
                    <w:rFonts w:cs="Arial"/>
                    <w:szCs w:val="24"/>
                  </w:rPr>
                  <w:t>2019</w:t>
                </w:r>
              </w:p>
            </w:tc>
            <w:tc>
              <w:tcPr>
                <w:tcW w:w="3005" w:type="dxa"/>
              </w:tcPr>
              <w:p w14:paraId="22150206" w14:textId="7E78CE0A" w:rsidR="006117AE" w:rsidRPr="00F06156" w:rsidRDefault="00F91D2B" w:rsidP="00F06156">
                <w:pPr>
                  <w:spacing w:line="360" w:lineRule="auto"/>
                  <w:rPr>
                    <w:rFonts w:cs="Arial"/>
                    <w:szCs w:val="24"/>
                  </w:rPr>
                </w:pPr>
                <w:r w:rsidRPr="00F06156">
                  <w:rPr>
                    <w:rFonts w:cs="Arial"/>
                    <w:szCs w:val="24"/>
                  </w:rPr>
                  <w:t>0.</w:t>
                </w:r>
                <w:r w:rsidR="00FF0C24" w:rsidRPr="00F06156">
                  <w:rPr>
                    <w:rFonts w:cs="Arial"/>
                    <w:szCs w:val="24"/>
                  </w:rPr>
                  <w:t>0</w:t>
                </w:r>
                <w:r w:rsidRPr="00F06156">
                  <w:rPr>
                    <w:rFonts w:cs="Arial"/>
                    <w:szCs w:val="24"/>
                  </w:rPr>
                  <w:t>3</w:t>
                </w:r>
              </w:p>
            </w:tc>
            <w:tc>
              <w:tcPr>
                <w:tcW w:w="3006" w:type="dxa"/>
              </w:tcPr>
              <w:p w14:paraId="1AFB6D22" w14:textId="11042534" w:rsidR="006117AE" w:rsidRPr="00F06156" w:rsidRDefault="00FF0C24" w:rsidP="00F06156">
                <w:pPr>
                  <w:spacing w:line="360" w:lineRule="auto"/>
                  <w:rPr>
                    <w:rFonts w:cs="Arial"/>
                    <w:szCs w:val="24"/>
                  </w:rPr>
                </w:pPr>
                <w:r w:rsidRPr="00F06156">
                  <w:rPr>
                    <w:rFonts w:cs="Arial"/>
                    <w:szCs w:val="24"/>
                  </w:rPr>
                  <w:t>32.01</w:t>
                </w:r>
              </w:p>
            </w:tc>
          </w:tr>
          <w:tr w:rsidR="006117AE" w:rsidRPr="00F06156" w14:paraId="1578A3CE" w14:textId="77777777" w:rsidTr="00F35325">
            <w:tc>
              <w:tcPr>
                <w:tcW w:w="3005" w:type="dxa"/>
              </w:tcPr>
              <w:p w14:paraId="39C8E69B" w14:textId="77777777" w:rsidR="006117AE" w:rsidRPr="00F06156" w:rsidRDefault="006117AE" w:rsidP="00F06156">
                <w:pPr>
                  <w:spacing w:line="360" w:lineRule="auto"/>
                  <w:rPr>
                    <w:rFonts w:cs="Arial"/>
                    <w:szCs w:val="24"/>
                  </w:rPr>
                </w:pPr>
                <w:r w:rsidRPr="00F06156">
                  <w:rPr>
                    <w:rFonts w:cs="Arial"/>
                    <w:szCs w:val="24"/>
                  </w:rPr>
                  <w:t>2020</w:t>
                </w:r>
              </w:p>
            </w:tc>
            <w:tc>
              <w:tcPr>
                <w:tcW w:w="3005" w:type="dxa"/>
              </w:tcPr>
              <w:p w14:paraId="6B43A2D2" w14:textId="05559DDA" w:rsidR="006117AE" w:rsidRPr="00F06156" w:rsidRDefault="00F91D2B" w:rsidP="00F06156">
                <w:pPr>
                  <w:spacing w:line="360" w:lineRule="auto"/>
                  <w:rPr>
                    <w:rFonts w:cs="Arial"/>
                    <w:szCs w:val="24"/>
                  </w:rPr>
                </w:pPr>
                <w:r w:rsidRPr="00F06156">
                  <w:rPr>
                    <w:rFonts w:cs="Arial"/>
                    <w:szCs w:val="24"/>
                  </w:rPr>
                  <w:t>0</w:t>
                </w:r>
                <w:r w:rsidR="00FF0C24" w:rsidRPr="00F06156">
                  <w:rPr>
                    <w:rFonts w:cs="Arial"/>
                    <w:szCs w:val="24"/>
                  </w:rPr>
                  <w:t>.09</w:t>
                </w:r>
              </w:p>
            </w:tc>
            <w:tc>
              <w:tcPr>
                <w:tcW w:w="3006" w:type="dxa"/>
              </w:tcPr>
              <w:p w14:paraId="1CCA3C51" w14:textId="6CBD7856" w:rsidR="006117AE" w:rsidRPr="00F06156" w:rsidRDefault="00FF0C24" w:rsidP="00F06156">
                <w:pPr>
                  <w:spacing w:line="360" w:lineRule="auto"/>
                  <w:rPr>
                    <w:rFonts w:cs="Arial"/>
                    <w:szCs w:val="24"/>
                  </w:rPr>
                </w:pPr>
                <w:r w:rsidRPr="00F06156">
                  <w:rPr>
                    <w:rFonts w:cs="Arial"/>
                    <w:szCs w:val="24"/>
                  </w:rPr>
                  <w:t>12.24</w:t>
                </w:r>
              </w:p>
            </w:tc>
          </w:tr>
        </w:tbl>
        <w:p w14:paraId="37EC667E" w14:textId="5C547F38" w:rsidR="00612F0B" w:rsidRPr="00F06156" w:rsidRDefault="00612F0B" w:rsidP="00F06156">
          <w:pPr>
            <w:spacing w:line="360" w:lineRule="auto"/>
            <w:rPr>
              <w:rFonts w:cs="Arial"/>
              <w:szCs w:val="24"/>
            </w:rPr>
          </w:pPr>
        </w:p>
        <w:p w14:paraId="421AE714" w14:textId="645B9745" w:rsidR="007523A4" w:rsidRPr="00F06156" w:rsidRDefault="00A32D94" w:rsidP="00F06156">
          <w:pPr>
            <w:pStyle w:val="Heading1"/>
            <w:spacing w:line="360" w:lineRule="auto"/>
            <w:rPr>
              <w:rFonts w:ascii="Arial" w:hAnsi="Arial" w:cs="Arial"/>
              <w:sz w:val="24"/>
              <w:szCs w:val="24"/>
            </w:rPr>
          </w:pPr>
          <w:bookmarkStart w:id="10" w:name="_Toc104108532"/>
          <w:r w:rsidRPr="00F06156">
            <w:rPr>
              <w:rFonts w:ascii="Arial" w:hAnsi="Arial" w:cs="Arial"/>
              <w:sz w:val="24"/>
              <w:szCs w:val="24"/>
            </w:rPr>
            <w:t>Importance of Using</w:t>
          </w:r>
          <w:r w:rsidR="007523A4" w:rsidRPr="00F06156">
            <w:rPr>
              <w:rFonts w:ascii="Arial" w:hAnsi="Arial" w:cs="Arial"/>
              <w:sz w:val="24"/>
              <w:szCs w:val="24"/>
            </w:rPr>
            <w:t xml:space="preserve"> Ratio Analysis</w:t>
          </w:r>
          <w:bookmarkEnd w:id="10"/>
        </w:p>
        <w:p w14:paraId="5E15CCF9" w14:textId="5278ED14" w:rsidR="005F3A2D" w:rsidRPr="00F06156" w:rsidRDefault="005F3A2D" w:rsidP="00F06156">
          <w:pPr>
            <w:spacing w:line="360" w:lineRule="auto"/>
            <w:rPr>
              <w:rFonts w:cs="Arial"/>
              <w:szCs w:val="24"/>
              <w:lang w:val="en-US"/>
            </w:rPr>
          </w:pPr>
          <w:r w:rsidRPr="005F3A2D">
            <w:rPr>
              <w:rFonts w:cs="Arial"/>
              <w:szCs w:val="24"/>
              <w:lang w:val="en-US"/>
            </w:rPr>
            <w:t xml:space="preserve">The following are the importance of financial ratios in </w:t>
          </w:r>
          <w:r w:rsidR="00AF2898">
            <w:rPr>
              <w:rFonts w:cs="Arial"/>
              <w:szCs w:val="24"/>
              <w:lang w:val="en-US"/>
            </w:rPr>
            <w:t xml:space="preserve">Hospitality </w:t>
          </w:r>
          <w:r w:rsidRPr="005F3A2D">
            <w:rPr>
              <w:rFonts w:cs="Arial"/>
              <w:szCs w:val="24"/>
              <w:lang w:val="en-US"/>
            </w:rPr>
            <w:t>businesses.</w:t>
          </w:r>
        </w:p>
        <w:p w14:paraId="72666A34" w14:textId="1A63CDC1" w:rsidR="00DE68A5" w:rsidRPr="00F06156" w:rsidRDefault="005F3A2D" w:rsidP="00F06156">
          <w:pPr>
            <w:spacing w:line="360" w:lineRule="auto"/>
            <w:rPr>
              <w:rFonts w:cs="Arial"/>
              <w:szCs w:val="24"/>
              <w:lang w:val="en-US"/>
            </w:rPr>
          </w:pPr>
          <w:r w:rsidRPr="00D600AC">
            <w:rPr>
              <w:rFonts w:cs="Arial"/>
              <w:b/>
              <w:bCs/>
              <w:szCs w:val="24"/>
              <w:lang w:val="en-US"/>
            </w:rPr>
            <w:t>They provide a standardized method of comparison</w:t>
          </w:r>
          <w:r w:rsidR="00D600AC" w:rsidRPr="00D600AC">
            <w:rPr>
              <w:rFonts w:cs="Arial"/>
              <w:b/>
              <w:bCs/>
              <w:szCs w:val="24"/>
              <w:lang w:val="en-US"/>
            </w:rPr>
            <w:t>:</w:t>
          </w:r>
          <w:r w:rsidR="00D600AC">
            <w:rPr>
              <w:rFonts w:cs="Arial"/>
              <w:szCs w:val="24"/>
              <w:lang w:val="en-US"/>
            </w:rPr>
            <w:t xml:space="preserve"> </w:t>
          </w:r>
          <w:r w:rsidRPr="005F3A2D">
            <w:rPr>
              <w:rFonts w:cs="Arial"/>
              <w:szCs w:val="24"/>
              <w:lang w:val="en-US"/>
            </w:rPr>
            <w:t>Financial ratios provide a standardized method with which to compare companies and</w:t>
          </w:r>
          <w:r w:rsidR="00DE68A5" w:rsidRPr="00F06156">
            <w:rPr>
              <w:rFonts w:cs="Arial"/>
              <w:szCs w:val="24"/>
              <w:lang w:val="en-US"/>
            </w:rPr>
            <w:t xml:space="preserve"> </w:t>
          </w:r>
          <w:r w:rsidRPr="005F3A2D">
            <w:rPr>
              <w:rFonts w:cs="Arial"/>
              <w:szCs w:val="24"/>
              <w:lang w:val="en-US"/>
            </w:rPr>
            <w:t xml:space="preserve">industries. </w:t>
          </w:r>
          <w:r w:rsidR="00DE68A5" w:rsidRPr="00F06156">
            <w:rPr>
              <w:rFonts w:cs="Arial"/>
              <w:szCs w:val="24"/>
              <w:lang w:val="en-US"/>
            </w:rPr>
            <w:t>The u</w:t>
          </w:r>
          <w:r w:rsidRPr="005F3A2D">
            <w:rPr>
              <w:rFonts w:cs="Arial"/>
              <w:szCs w:val="24"/>
              <w:lang w:val="en-US"/>
            </w:rPr>
            <w:t>se of ratios in companies enables their owners to understand deeply the</w:t>
          </w:r>
          <w:r w:rsidR="00DE68A5" w:rsidRPr="00F06156">
            <w:rPr>
              <w:rFonts w:cs="Arial"/>
              <w:szCs w:val="24"/>
              <w:lang w:val="en-US"/>
            </w:rPr>
            <w:t xml:space="preserve"> </w:t>
          </w:r>
          <w:r w:rsidRPr="005F3A2D">
            <w:rPr>
              <w:rFonts w:cs="Arial"/>
              <w:szCs w:val="24"/>
              <w:lang w:val="en-US"/>
            </w:rPr>
            <w:t xml:space="preserve">performance of </w:t>
          </w:r>
          <w:r w:rsidRPr="005F3A2D">
            <w:rPr>
              <w:rFonts w:cs="Arial"/>
              <w:szCs w:val="24"/>
              <w:lang w:val="en-US"/>
            </w:rPr>
            <w:lastRenderedPageBreak/>
            <w:t>their business and those of their competitors without considering the size of the</w:t>
          </w:r>
          <w:r w:rsidR="00DE68A5" w:rsidRPr="00F06156">
            <w:rPr>
              <w:rFonts w:cs="Arial"/>
              <w:szCs w:val="24"/>
              <w:lang w:val="en-US"/>
            </w:rPr>
            <w:t xml:space="preserve"> </w:t>
          </w:r>
          <w:r w:rsidRPr="005F3A2D">
            <w:rPr>
              <w:rFonts w:cs="Arial"/>
              <w:szCs w:val="24"/>
              <w:lang w:val="en-US"/>
            </w:rPr>
            <w:t>business or the sales volume</w:t>
          </w:r>
          <w:r w:rsidR="0096336E">
            <w:rPr>
              <w:rFonts w:cs="Arial"/>
              <w:szCs w:val="24"/>
              <w:lang w:val="en-US"/>
            </w:rPr>
            <w:t xml:space="preserve"> (Kamnikar et al., 2022)</w:t>
          </w:r>
          <w:r w:rsidRPr="005F3A2D">
            <w:rPr>
              <w:rFonts w:cs="Arial"/>
              <w:szCs w:val="24"/>
              <w:lang w:val="en-US"/>
            </w:rPr>
            <w:t>.</w:t>
          </w:r>
          <w:r w:rsidR="00DE68A5" w:rsidRPr="00F06156">
            <w:rPr>
              <w:rFonts w:cs="Arial"/>
              <w:szCs w:val="24"/>
              <w:lang w:val="en-US"/>
            </w:rPr>
            <w:t xml:space="preserve"> </w:t>
          </w:r>
        </w:p>
        <w:p w14:paraId="2676BFBB" w14:textId="55E0B15F" w:rsidR="005F3A2D" w:rsidRPr="00F06156" w:rsidRDefault="005F3A2D" w:rsidP="00F06156">
          <w:pPr>
            <w:spacing w:line="360" w:lineRule="auto"/>
            <w:rPr>
              <w:rFonts w:cs="Arial"/>
              <w:szCs w:val="24"/>
              <w:lang w:val="en-US"/>
            </w:rPr>
          </w:pPr>
          <w:r w:rsidRPr="00D600AC">
            <w:rPr>
              <w:rFonts w:cs="Arial"/>
              <w:b/>
              <w:bCs/>
              <w:szCs w:val="24"/>
              <w:lang w:val="en-US"/>
            </w:rPr>
            <w:t>Stock Valuation for Strength and Weakness</w:t>
          </w:r>
          <w:r w:rsidR="00D600AC">
            <w:rPr>
              <w:rFonts w:cs="Arial"/>
              <w:szCs w:val="24"/>
              <w:lang w:val="en-US"/>
            </w:rPr>
            <w:t xml:space="preserve">: </w:t>
          </w:r>
          <w:r w:rsidRPr="005F3A2D">
            <w:rPr>
              <w:rFonts w:cs="Arial"/>
              <w:szCs w:val="24"/>
              <w:lang w:val="en-US"/>
            </w:rPr>
            <w:t>Ratio analysis enables business owners and financial analysts to understand broadly the</w:t>
          </w:r>
          <w:r w:rsidR="00DE68A5" w:rsidRPr="00F06156">
            <w:rPr>
              <w:rFonts w:cs="Arial"/>
              <w:szCs w:val="24"/>
              <w:lang w:val="en-US"/>
            </w:rPr>
            <w:t xml:space="preserve"> </w:t>
          </w:r>
          <w:r w:rsidRPr="005F3A2D">
            <w:rPr>
              <w:rFonts w:cs="Arial"/>
              <w:szCs w:val="24"/>
              <w:lang w:val="en-US"/>
            </w:rPr>
            <w:t>strengths and the weaknesses of their stock. This analysis is crucial for investing purposes since</w:t>
          </w:r>
          <w:r w:rsidR="00DE68A5" w:rsidRPr="00F06156">
            <w:rPr>
              <w:rFonts w:cs="Arial"/>
              <w:szCs w:val="24"/>
              <w:lang w:val="en-US"/>
            </w:rPr>
            <w:t xml:space="preserve"> </w:t>
          </w:r>
          <w:r w:rsidRPr="005F3A2D">
            <w:rPr>
              <w:rFonts w:cs="Arial"/>
              <w:szCs w:val="24"/>
              <w:lang w:val="en-US"/>
            </w:rPr>
            <w:t>investors would be highly interested in investing in companies with higher performances</w:t>
          </w:r>
          <w:r w:rsidR="0096336E">
            <w:rPr>
              <w:rFonts w:cs="Arial"/>
              <w:szCs w:val="24"/>
              <w:lang w:val="en-US"/>
            </w:rPr>
            <w:t xml:space="preserve"> (Yanhong et al., 2021)</w:t>
          </w:r>
          <w:r w:rsidRPr="005F3A2D">
            <w:rPr>
              <w:rFonts w:cs="Arial"/>
              <w:szCs w:val="24"/>
              <w:lang w:val="en-US"/>
            </w:rPr>
            <w:t>.</w:t>
          </w:r>
          <w:r w:rsidR="00DE68A5" w:rsidRPr="00F06156">
            <w:rPr>
              <w:rFonts w:cs="Arial"/>
              <w:szCs w:val="24"/>
              <w:lang w:val="en-US"/>
            </w:rPr>
            <w:t xml:space="preserve"> </w:t>
          </w:r>
          <w:r w:rsidRPr="005F3A2D">
            <w:rPr>
              <w:rFonts w:cs="Arial"/>
              <w:szCs w:val="24"/>
              <w:lang w:val="en-US"/>
            </w:rPr>
            <w:t xml:space="preserve">They are also used in </w:t>
          </w:r>
          <w:r w:rsidR="00DE68A5" w:rsidRPr="00F06156">
            <w:rPr>
              <w:rFonts w:cs="Arial"/>
              <w:szCs w:val="24"/>
              <w:lang w:val="en-US"/>
            </w:rPr>
            <w:t xml:space="preserve">the </w:t>
          </w:r>
          <w:r w:rsidRPr="005F3A2D">
            <w:rPr>
              <w:rFonts w:cs="Arial"/>
              <w:szCs w:val="24"/>
              <w:lang w:val="en-US"/>
            </w:rPr>
            <w:t>planning and performance of businesses.</w:t>
          </w:r>
          <w:r w:rsidR="00DE68A5" w:rsidRPr="00F06156">
            <w:rPr>
              <w:rFonts w:cs="Arial"/>
              <w:szCs w:val="24"/>
              <w:lang w:val="en-US"/>
            </w:rPr>
            <w:t xml:space="preserve"> </w:t>
          </w:r>
          <w:r w:rsidRPr="005F3A2D">
            <w:rPr>
              <w:rFonts w:cs="Arial"/>
              <w:szCs w:val="24"/>
              <w:lang w:val="en-US"/>
            </w:rPr>
            <w:t>Entrepreneurs use financial ratios as their guid</w:t>
          </w:r>
          <w:r w:rsidR="00DE68A5" w:rsidRPr="00F06156">
            <w:rPr>
              <w:rFonts w:cs="Arial"/>
              <w:szCs w:val="24"/>
              <w:lang w:val="en-US"/>
            </w:rPr>
            <w:t>e</w:t>
          </w:r>
          <w:r w:rsidRPr="005F3A2D">
            <w:rPr>
              <w:rFonts w:cs="Arial"/>
              <w:szCs w:val="24"/>
              <w:lang w:val="en-US"/>
            </w:rPr>
            <w:t xml:space="preserve"> in </w:t>
          </w:r>
          <w:r w:rsidR="00DE68A5" w:rsidRPr="00F06156">
            <w:rPr>
              <w:rFonts w:cs="Arial"/>
              <w:szCs w:val="24"/>
              <w:lang w:val="en-US"/>
            </w:rPr>
            <w:t xml:space="preserve">the </w:t>
          </w:r>
          <w:r w:rsidRPr="005F3A2D">
            <w:rPr>
              <w:rFonts w:cs="Arial"/>
              <w:szCs w:val="24"/>
              <w:lang w:val="en-US"/>
            </w:rPr>
            <w:t>creation of business plans or prepar</w:t>
          </w:r>
          <w:r w:rsidR="00DE68A5" w:rsidRPr="00F06156">
            <w:rPr>
              <w:rFonts w:cs="Arial"/>
              <w:szCs w:val="24"/>
              <w:lang w:val="en-US"/>
            </w:rPr>
            <w:t>ation</w:t>
          </w:r>
          <w:r w:rsidR="000C01A6" w:rsidRPr="00F06156">
            <w:rPr>
              <w:rFonts w:cs="Arial"/>
              <w:szCs w:val="24"/>
              <w:lang w:val="en-US"/>
            </w:rPr>
            <w:t>.</w:t>
          </w:r>
        </w:p>
        <w:p w14:paraId="026C7B67" w14:textId="6E460DC1" w:rsidR="000C01A6" w:rsidRPr="00F06156" w:rsidRDefault="000C01A6" w:rsidP="00F06156">
          <w:pPr>
            <w:spacing w:line="360" w:lineRule="auto"/>
            <w:rPr>
              <w:rFonts w:cs="Arial"/>
              <w:szCs w:val="24"/>
              <w:lang w:val="en-US"/>
            </w:rPr>
          </w:pPr>
          <w:r w:rsidRPr="00DB3FC1">
            <w:rPr>
              <w:rFonts w:cs="Arial"/>
              <w:b/>
              <w:bCs/>
              <w:szCs w:val="24"/>
              <w:lang w:val="en-US"/>
            </w:rPr>
            <w:t>Financial ratios provide a tool for entrepreneurs to assess the health of their organisations.</w:t>
          </w:r>
          <w:r w:rsidRPr="00F06156">
            <w:rPr>
              <w:rFonts w:cs="Arial"/>
              <w:szCs w:val="24"/>
              <w:lang w:val="en-US"/>
            </w:rPr>
            <w:t xml:space="preserve"> In addition, they compare their results to those of other firms in the same industry. Ratios are used to highlight the relationship between various financial statement components, which are more useful when comparing results over a range of periods</w:t>
          </w:r>
          <w:r w:rsidR="0096336E">
            <w:rPr>
              <w:rFonts w:cs="Arial"/>
              <w:szCs w:val="24"/>
              <w:lang w:val="en-US"/>
            </w:rPr>
            <w:t xml:space="preserve"> (Biancone, 2022)</w:t>
          </w:r>
          <w:r w:rsidR="00DE68A5" w:rsidRPr="00F06156">
            <w:rPr>
              <w:rFonts w:cs="Arial"/>
              <w:szCs w:val="24"/>
              <w:lang w:val="en-US"/>
            </w:rPr>
            <w:t xml:space="preserve">. </w:t>
          </w:r>
          <w:r w:rsidRPr="00F06156">
            <w:rPr>
              <w:rFonts w:cs="Arial"/>
              <w:szCs w:val="24"/>
              <w:lang w:val="en-US"/>
            </w:rPr>
            <w:t>Proportional calculations give information about a company's profitability and ability to pay off its debts when they are done correctly. Operations, profitability, liquidity, and leverage are all subcategories of financial ratios that provide a variety of services.</w:t>
          </w:r>
        </w:p>
        <w:p w14:paraId="16C6E2AE" w14:textId="75FB65BC" w:rsidR="000C01A6" w:rsidRPr="00F06156" w:rsidRDefault="000C01A6" w:rsidP="00F06156">
          <w:pPr>
            <w:spacing w:line="360" w:lineRule="auto"/>
            <w:rPr>
              <w:rFonts w:cs="Arial"/>
              <w:szCs w:val="24"/>
              <w:lang w:val="en-US"/>
            </w:rPr>
          </w:pPr>
          <w:r w:rsidRPr="00F06156">
            <w:rPr>
              <w:rFonts w:cs="Arial"/>
              <w:szCs w:val="24"/>
              <w:lang w:val="en-US"/>
            </w:rPr>
            <w:t>The ratios should be taken into account while evaluating the effectiveness of the various activities. The profitability of a business and the preservation of its liquidity depend on the efficiency and effectiveness of its operations. Financial ratios provide these data, which are indicators of the company's asset turnover</w:t>
          </w:r>
          <w:r w:rsidR="0096336E">
            <w:rPr>
              <w:rFonts w:cs="Arial"/>
              <w:szCs w:val="24"/>
              <w:lang w:val="en-US"/>
            </w:rPr>
            <w:t xml:space="preserve"> (Guan et al., 2022)</w:t>
          </w:r>
          <w:r w:rsidRPr="00F06156">
            <w:rPr>
              <w:rFonts w:cs="Arial"/>
              <w:szCs w:val="24"/>
              <w:lang w:val="en-US"/>
            </w:rPr>
            <w:t xml:space="preserve">. As an example, a company's accounts receivable turnover can be used to determine how quickly it receives money from its clients. </w:t>
          </w:r>
          <w:r w:rsidR="00DE68A5" w:rsidRPr="00F06156">
            <w:rPr>
              <w:rFonts w:cs="Arial"/>
              <w:szCs w:val="24"/>
              <w:lang w:val="en-US"/>
            </w:rPr>
            <w:t>Various metrics</w:t>
          </w:r>
          <w:r w:rsidRPr="00F06156">
            <w:rPr>
              <w:rFonts w:cs="Arial"/>
              <w:szCs w:val="24"/>
              <w:lang w:val="en-US"/>
            </w:rPr>
            <w:t xml:space="preserve"> may be used to determine how well a company can pay its debts in a certain period, such as the liquidity ratio. The financial ratio includes a profitability indicator that shows how much money was made.</w:t>
          </w:r>
        </w:p>
        <w:p w14:paraId="66F2F2E5" w14:textId="792D037A" w:rsidR="000C01A6" w:rsidRPr="00F06156" w:rsidRDefault="00DB3FC1" w:rsidP="00F06156">
          <w:pPr>
            <w:spacing w:line="360" w:lineRule="auto"/>
            <w:rPr>
              <w:rFonts w:cs="Arial"/>
              <w:szCs w:val="24"/>
              <w:lang w:val="en-US"/>
            </w:rPr>
          </w:pPr>
          <w:r w:rsidRPr="00DB3FC1">
            <w:rPr>
              <w:rFonts w:cs="Arial"/>
              <w:b/>
              <w:bCs/>
              <w:szCs w:val="24"/>
              <w:lang w:val="en-US"/>
            </w:rPr>
            <w:t>Necessi</w:t>
          </w:r>
          <w:r w:rsidR="00316EDC">
            <w:rPr>
              <w:rFonts w:cs="Arial"/>
              <w:b/>
              <w:bCs/>
              <w:szCs w:val="24"/>
              <w:lang w:val="en-US"/>
            </w:rPr>
            <w:t>tate</w:t>
          </w:r>
          <w:r w:rsidRPr="00DB3FC1">
            <w:rPr>
              <w:rFonts w:cs="Arial"/>
              <w:b/>
              <w:bCs/>
              <w:szCs w:val="24"/>
              <w:lang w:val="en-US"/>
            </w:rPr>
            <w:t xml:space="preserve"> Additional Research:</w:t>
          </w:r>
          <w:r>
            <w:rPr>
              <w:rFonts w:cs="Arial"/>
              <w:szCs w:val="24"/>
              <w:lang w:val="en-US"/>
            </w:rPr>
            <w:t xml:space="preserve">  </w:t>
          </w:r>
          <w:r w:rsidR="000C01A6" w:rsidRPr="00F06156">
            <w:rPr>
              <w:rFonts w:cs="Arial"/>
              <w:szCs w:val="24"/>
              <w:lang w:val="en-US"/>
            </w:rPr>
            <w:t>Financial information, such as those listed above, can be used to pinpoint problem areas that necessitate additional research. When the current ratio falls below 2:1, for example, they sound the alert about possible liquidity concerns</w:t>
          </w:r>
          <w:r w:rsidR="0096336E">
            <w:rPr>
              <w:rFonts w:cs="Arial"/>
              <w:szCs w:val="24"/>
              <w:lang w:val="en-US"/>
            </w:rPr>
            <w:t xml:space="preserve"> (</w:t>
          </w:r>
          <w:proofErr w:type="spellStart"/>
          <w:r w:rsidR="0096336E">
            <w:rPr>
              <w:rFonts w:cs="Arial"/>
              <w:szCs w:val="24"/>
              <w:lang w:val="en-US"/>
            </w:rPr>
            <w:t>Mautz</w:t>
          </w:r>
          <w:proofErr w:type="spellEnd"/>
          <w:r w:rsidR="0096336E">
            <w:rPr>
              <w:rFonts w:cs="Arial"/>
              <w:szCs w:val="24"/>
              <w:lang w:val="en-US"/>
            </w:rPr>
            <w:t xml:space="preserve"> et al., 2022)</w:t>
          </w:r>
          <w:r w:rsidR="000C01A6" w:rsidRPr="00F06156">
            <w:rPr>
              <w:rFonts w:cs="Arial"/>
              <w:szCs w:val="24"/>
              <w:lang w:val="en-US"/>
            </w:rPr>
            <w:t xml:space="preserve">. The comparison of the firm's ratios to the industry's standards highlights areas in which the company must improve, putting the company </w:t>
          </w:r>
          <w:r w:rsidR="000C01A6" w:rsidRPr="00F06156">
            <w:rPr>
              <w:rFonts w:cs="Arial"/>
              <w:szCs w:val="24"/>
              <w:lang w:val="en-US"/>
            </w:rPr>
            <w:lastRenderedPageBreak/>
            <w:t xml:space="preserve">in a competitive position. A variety of financial ratios can be employed to glean further insights </w:t>
          </w:r>
          <w:r w:rsidR="00DE68A5" w:rsidRPr="00F06156">
            <w:rPr>
              <w:rFonts w:cs="Arial"/>
              <w:szCs w:val="24"/>
              <w:lang w:val="en-US"/>
            </w:rPr>
            <w:t>into</w:t>
          </w:r>
          <w:r w:rsidR="000C01A6" w:rsidRPr="00F06156">
            <w:rPr>
              <w:rFonts w:cs="Arial"/>
              <w:szCs w:val="24"/>
              <w:lang w:val="en-US"/>
            </w:rPr>
            <w:t xml:space="preserve"> a company's financial performance, depending on the company's goals.</w:t>
          </w:r>
        </w:p>
        <w:p w14:paraId="4144DA0B" w14:textId="3015D149" w:rsidR="000C01A6" w:rsidRPr="005F3A2D" w:rsidRDefault="000C01A6" w:rsidP="00F06156">
          <w:pPr>
            <w:spacing w:line="360" w:lineRule="auto"/>
            <w:rPr>
              <w:rFonts w:cs="Arial"/>
              <w:szCs w:val="24"/>
              <w:lang w:val="en-US"/>
            </w:rPr>
          </w:pPr>
          <w:r w:rsidRPr="00DB3FC1">
            <w:rPr>
              <w:rFonts w:cs="Arial"/>
              <w:b/>
              <w:bCs/>
              <w:szCs w:val="24"/>
              <w:lang w:val="en-US"/>
            </w:rPr>
            <w:t>A company's long-term prosperity hinges on its ability to conduct sound financial analysis</w:t>
          </w:r>
          <w:r w:rsidRPr="00F06156">
            <w:rPr>
              <w:rFonts w:cs="Arial"/>
              <w:szCs w:val="24"/>
              <w:lang w:val="en-US"/>
            </w:rPr>
            <w:t xml:space="preserve">. </w:t>
          </w:r>
          <w:r w:rsidR="00DE68A5" w:rsidRPr="00F06156">
            <w:rPr>
              <w:rFonts w:cs="Arial"/>
              <w:szCs w:val="24"/>
              <w:lang w:val="en-US"/>
            </w:rPr>
            <w:t>F</w:t>
          </w:r>
          <w:r w:rsidRPr="00F06156">
            <w:rPr>
              <w:rFonts w:cs="Arial"/>
              <w:szCs w:val="24"/>
              <w:lang w:val="en-US"/>
            </w:rPr>
            <w:t>or the company to identify the areas of the organisation that are struggling, the financial analysis must be done correctly. A company's financial status might be improved or worsened based on the results of financial analysis</w:t>
          </w:r>
          <w:r w:rsidR="00AF03C9">
            <w:rPr>
              <w:rFonts w:cs="Arial"/>
              <w:szCs w:val="24"/>
              <w:lang w:val="en-US"/>
            </w:rPr>
            <w:t xml:space="preserve">. </w:t>
          </w:r>
          <w:r w:rsidR="00DE68A5" w:rsidRPr="00F06156">
            <w:rPr>
              <w:rFonts w:cs="Arial"/>
              <w:szCs w:val="24"/>
              <w:lang w:val="en-US"/>
            </w:rPr>
            <w:t>T</w:t>
          </w:r>
          <w:r w:rsidRPr="00F06156">
            <w:rPr>
              <w:rFonts w:cs="Arial"/>
              <w:szCs w:val="24"/>
              <w:lang w:val="en-US"/>
            </w:rPr>
            <w:t>o efficiently run a business, it is necessary to have access to a wide range of financial instruments, including return on assets, current assets, and profit margins</w:t>
          </w:r>
          <w:r w:rsidR="008F621A">
            <w:rPr>
              <w:rFonts w:cs="Arial"/>
              <w:szCs w:val="24"/>
              <w:lang w:val="en-US"/>
            </w:rPr>
            <w:t xml:space="preserve"> (Tinkelman et al., 2022)</w:t>
          </w:r>
          <w:r w:rsidRPr="00F06156">
            <w:rPr>
              <w:rFonts w:cs="Arial"/>
              <w:szCs w:val="24"/>
              <w:lang w:val="en-US"/>
            </w:rPr>
            <w:t xml:space="preserve">. If the office of finance conducts a thorough financial analysis, stakeholders and investors can get a clear picture of the company's financial health. With the help of financial analysis, firms </w:t>
          </w:r>
          <w:r w:rsidR="00DE68A5" w:rsidRPr="00F06156">
            <w:rPr>
              <w:rFonts w:cs="Arial"/>
              <w:szCs w:val="24"/>
              <w:lang w:val="en-US"/>
            </w:rPr>
            <w:t>can</w:t>
          </w:r>
          <w:r w:rsidRPr="00F06156">
            <w:rPr>
              <w:rFonts w:cs="Arial"/>
              <w:szCs w:val="24"/>
              <w:lang w:val="en-US"/>
            </w:rPr>
            <w:t xml:space="preserve"> plan the acquisition of equipment and other important tasks.</w:t>
          </w:r>
        </w:p>
        <w:p w14:paraId="64828AB2" w14:textId="5AD52DBC" w:rsidR="007523A4" w:rsidRPr="00F06156" w:rsidRDefault="007523A4" w:rsidP="00F06156">
          <w:pPr>
            <w:pStyle w:val="Heading1"/>
            <w:spacing w:line="360" w:lineRule="auto"/>
            <w:rPr>
              <w:rFonts w:ascii="Arial" w:hAnsi="Arial" w:cs="Arial"/>
              <w:sz w:val="24"/>
              <w:szCs w:val="24"/>
            </w:rPr>
          </w:pPr>
          <w:bookmarkStart w:id="11" w:name="_Toc104108533"/>
          <w:r w:rsidRPr="00F06156">
            <w:rPr>
              <w:rFonts w:ascii="Arial" w:hAnsi="Arial" w:cs="Arial"/>
              <w:sz w:val="24"/>
              <w:szCs w:val="24"/>
            </w:rPr>
            <w:t>Limitations</w:t>
          </w:r>
          <w:r w:rsidR="00687AE0" w:rsidRPr="00F06156">
            <w:rPr>
              <w:rFonts w:ascii="Arial" w:hAnsi="Arial" w:cs="Arial"/>
              <w:sz w:val="24"/>
              <w:szCs w:val="24"/>
            </w:rPr>
            <w:t xml:space="preserve"> and Essentiality of doing</w:t>
          </w:r>
          <w:r w:rsidRPr="00F06156">
            <w:rPr>
              <w:rFonts w:ascii="Arial" w:hAnsi="Arial" w:cs="Arial"/>
              <w:sz w:val="24"/>
              <w:szCs w:val="24"/>
            </w:rPr>
            <w:t xml:space="preserve"> Ratio Analysis</w:t>
          </w:r>
          <w:bookmarkEnd w:id="11"/>
        </w:p>
        <w:p w14:paraId="442C802D" w14:textId="7723A0C4" w:rsidR="00681B50" w:rsidRPr="00F06156" w:rsidRDefault="00681B50" w:rsidP="00F06156">
          <w:pPr>
            <w:spacing w:line="360" w:lineRule="auto"/>
            <w:rPr>
              <w:rFonts w:cs="Arial"/>
              <w:szCs w:val="24"/>
            </w:rPr>
          </w:pPr>
          <w:r w:rsidRPr="00F06156">
            <w:rPr>
              <w:rFonts w:cs="Arial"/>
              <w:szCs w:val="24"/>
            </w:rPr>
            <w:t>Ratio analysis does give a picture of the company's financial success, however</w:t>
          </w:r>
          <w:r w:rsidR="00DE68A5" w:rsidRPr="00F06156">
            <w:rPr>
              <w:rFonts w:cs="Arial"/>
              <w:szCs w:val="24"/>
            </w:rPr>
            <w:t>,</w:t>
          </w:r>
          <w:r w:rsidRPr="00F06156">
            <w:rPr>
              <w:rFonts w:cs="Arial"/>
              <w:szCs w:val="24"/>
            </w:rPr>
            <w:t xml:space="preserve"> it is also true that ratio analysis does not always show genuine financial performance. As a result of the multiplicity of variables at play, the estimated ratio's value can be unclear. The results of a ratio study do provide insight into the financial health of the organisation</w:t>
          </w:r>
          <w:r w:rsidR="008F621A">
            <w:rPr>
              <w:rFonts w:cs="Arial"/>
              <w:szCs w:val="24"/>
            </w:rPr>
            <w:t xml:space="preserve"> (Zager, 2022)</w:t>
          </w:r>
          <w:r w:rsidRPr="00F06156">
            <w:rPr>
              <w:rFonts w:cs="Arial"/>
              <w:szCs w:val="24"/>
            </w:rPr>
            <w:t>. Comparing the operations of numerous organisations in various industries can be problematic when utilising ratios to analyse large corporations active in a wide range of different industries. Ratio analysis, for example, relies on publicly available data from prior years' worth of financial performance. There is a strong indication that the ratio metrics may not necessarily reflect the organization's normal state of operation</w:t>
          </w:r>
          <w:r w:rsidR="008F621A">
            <w:rPr>
              <w:rFonts w:cs="Arial"/>
              <w:szCs w:val="24"/>
            </w:rPr>
            <w:t xml:space="preserve"> (Sandin et al., 2021)</w:t>
          </w:r>
          <w:r w:rsidRPr="00F06156">
            <w:rPr>
              <w:rFonts w:cs="Arial"/>
              <w:szCs w:val="24"/>
            </w:rPr>
            <w:t>.</w:t>
          </w:r>
        </w:p>
        <w:p w14:paraId="7A3E0EE4" w14:textId="05ED9538" w:rsidR="00681B50" w:rsidRPr="00F06156" w:rsidRDefault="00681B50" w:rsidP="00F06156">
          <w:pPr>
            <w:spacing w:line="360" w:lineRule="auto"/>
            <w:rPr>
              <w:rFonts w:cs="Arial"/>
              <w:szCs w:val="24"/>
            </w:rPr>
          </w:pPr>
          <w:r w:rsidRPr="00F06156">
            <w:rPr>
              <w:rFonts w:cs="Arial"/>
              <w:szCs w:val="24"/>
            </w:rPr>
            <w:t>Depreciation and inventory costs are only two examples of how economic factors like inflation and interest rates can impact a company's bottom line by altering the value of assets on the balance sheet</w:t>
          </w:r>
          <w:r w:rsidR="001F6D9B">
            <w:rPr>
              <w:rFonts w:cs="Arial"/>
              <w:szCs w:val="24"/>
            </w:rPr>
            <w:t xml:space="preserve"> (Yanhong et al., 2022)</w:t>
          </w:r>
          <w:r w:rsidRPr="00F06156">
            <w:rPr>
              <w:rFonts w:cs="Arial"/>
              <w:szCs w:val="24"/>
            </w:rPr>
            <w:t>. As a result, undertaking a long-term study of a company or comparing it to other companies of various ages can lead to inaccurate findings.</w:t>
          </w:r>
        </w:p>
        <w:p w14:paraId="6C5A89F4" w14:textId="729E7EC5" w:rsidR="00974AE2" w:rsidRPr="00F06156" w:rsidRDefault="00681B50" w:rsidP="00F06156">
          <w:pPr>
            <w:spacing w:line="360" w:lineRule="auto"/>
            <w:rPr>
              <w:rFonts w:cs="Arial"/>
              <w:szCs w:val="24"/>
            </w:rPr>
          </w:pPr>
          <w:r w:rsidRPr="00F06156">
            <w:rPr>
              <w:rFonts w:cs="Arial"/>
              <w:szCs w:val="24"/>
            </w:rPr>
            <w:t>Window dressing is a practi</w:t>
          </w:r>
          <w:r w:rsidR="00DE68A5" w:rsidRPr="00F06156">
            <w:rPr>
              <w:rFonts w:cs="Arial"/>
              <w:szCs w:val="24"/>
            </w:rPr>
            <w:t>c</w:t>
          </w:r>
          <w:r w:rsidRPr="00F06156">
            <w:rPr>
              <w:rFonts w:cs="Arial"/>
              <w:szCs w:val="24"/>
            </w:rPr>
            <w:t xml:space="preserve">e in which managers manipulate ratios or allow seasonal elements to distort results to provide the impression of a strong financial situation, which diminishes the accuracy with which they can assess the organization's performance. The adoption of different operating practises and accounting processes, </w:t>
          </w:r>
          <w:r w:rsidRPr="00F06156">
            <w:rPr>
              <w:rFonts w:cs="Arial"/>
              <w:szCs w:val="24"/>
            </w:rPr>
            <w:lastRenderedPageBreak/>
            <w:t>such as the decision to lease rather than buy equipment, can significantly distort comparisons</w:t>
          </w:r>
          <w:r w:rsidR="001F6D9B">
            <w:rPr>
              <w:rFonts w:cs="Arial"/>
              <w:szCs w:val="24"/>
            </w:rPr>
            <w:t xml:space="preserve"> (Rakhmawati et al., 2022)</w:t>
          </w:r>
          <w:r w:rsidRPr="00F06156">
            <w:rPr>
              <w:rFonts w:cs="Arial"/>
              <w:szCs w:val="24"/>
            </w:rPr>
            <w:t>. For this reason, rather than relying on the value of a single ratio at a specific point in time to determine whether a ratio is favourable or unfavourable, an in-depth financial study should be used instead. As a result, it may not be wise to judge a company's financial health based solely on the value of a ratio at any given point in time.</w:t>
          </w:r>
        </w:p>
        <w:p w14:paraId="1C4147CB" w14:textId="120CF3C7" w:rsidR="00BF4824" w:rsidRPr="00F06156" w:rsidRDefault="00BF4824" w:rsidP="00F06156">
          <w:pPr>
            <w:spacing w:line="360" w:lineRule="auto"/>
            <w:rPr>
              <w:rFonts w:cs="Arial"/>
              <w:szCs w:val="24"/>
            </w:rPr>
          </w:pPr>
          <w:r w:rsidRPr="00F06156">
            <w:rPr>
              <w:rFonts w:cs="Arial"/>
              <w:szCs w:val="24"/>
            </w:rPr>
            <w:t>There is no way to tell how successful a company is by looking at financial ratios. As a result, metrics are based on previously reported outcomes, and this is how they can be relied upon</w:t>
          </w:r>
          <w:r w:rsidR="001F6D9B">
            <w:rPr>
              <w:rFonts w:cs="Arial"/>
              <w:szCs w:val="24"/>
            </w:rPr>
            <w:t xml:space="preserve"> (Lesakova, 2021)</w:t>
          </w:r>
          <w:r w:rsidRPr="00F06156">
            <w:rPr>
              <w:rFonts w:cs="Arial"/>
              <w:szCs w:val="24"/>
            </w:rPr>
            <w:t>. A large percentage of companies do regular updates to their accounting policies. Modifications to these policies and processes have a significant impact on the way financial data is reported. As a result of the change in financial measures, the previously recorded financial results cannot be compared to those reported before the change. As a result of this, financial analysts must have advanced knowledge of accounting policies.</w:t>
          </w:r>
        </w:p>
        <w:p w14:paraId="0F6BF564" w14:textId="61A2D89C" w:rsidR="00BF4824" w:rsidRPr="00F06156" w:rsidRDefault="00BF4824" w:rsidP="00F06156">
          <w:pPr>
            <w:spacing w:line="360" w:lineRule="auto"/>
            <w:rPr>
              <w:rFonts w:cs="Arial"/>
              <w:szCs w:val="24"/>
            </w:rPr>
          </w:pPr>
          <w:r w:rsidRPr="00F06156">
            <w:rPr>
              <w:rFonts w:cs="Arial"/>
              <w:szCs w:val="24"/>
            </w:rPr>
            <w:t>The financial ratio analysis is predicated on the publicly available information found in the company's financial statements</w:t>
          </w:r>
          <w:r w:rsidR="00987508">
            <w:rPr>
              <w:rFonts w:cs="Arial"/>
              <w:szCs w:val="24"/>
            </w:rPr>
            <w:t xml:space="preserve"> (Mautz, 2022)</w:t>
          </w:r>
          <w:r w:rsidRPr="00F06156">
            <w:rPr>
              <w:rFonts w:cs="Arial"/>
              <w:szCs w:val="24"/>
            </w:rPr>
            <w:t>. Organizational leaders are more prone to alter or manipulate this data to present a more optimistic picture of performance than is the case. Consequently, the conclusions of the ratio analysis may be misconstrued if they are based on this information. Financial ratios are analysed taking into consideration seasonal factors.</w:t>
          </w:r>
        </w:p>
        <w:p w14:paraId="56437682" w14:textId="42C870DB" w:rsidR="00BF4824" w:rsidRPr="00F06156" w:rsidRDefault="00BF4824" w:rsidP="00F06156">
          <w:pPr>
            <w:spacing w:line="360" w:lineRule="auto"/>
            <w:rPr>
              <w:rFonts w:cs="Arial"/>
              <w:szCs w:val="24"/>
            </w:rPr>
          </w:pPr>
          <w:r w:rsidRPr="00F06156">
            <w:rPr>
              <w:rFonts w:cs="Arial"/>
              <w:szCs w:val="24"/>
            </w:rPr>
            <w:t>Unfortunately, because the ratio analysis cannot be refined, an incorrect result may be drawn</w:t>
          </w:r>
          <w:r w:rsidR="00987508">
            <w:rPr>
              <w:rFonts w:cs="Arial"/>
              <w:szCs w:val="24"/>
            </w:rPr>
            <w:t xml:space="preserve"> (Kamnikar, 2022)</w:t>
          </w:r>
          <w:r w:rsidRPr="00F06156">
            <w:rPr>
              <w:rFonts w:cs="Arial"/>
              <w:szCs w:val="24"/>
            </w:rPr>
            <w:t>. A further point should be made: Companies routinely change their operational methods. An organization's prospects and current performance may be incorrectly predicted if the organization's functional structure is changed, according to ratio analysis.</w:t>
          </w:r>
        </w:p>
        <w:p w14:paraId="41572ED6" w14:textId="3E14238B" w:rsidR="0047675C" w:rsidRPr="00F06156" w:rsidRDefault="00C4498B" w:rsidP="00F06156">
          <w:pPr>
            <w:pStyle w:val="Heading1"/>
            <w:spacing w:line="360" w:lineRule="auto"/>
            <w:rPr>
              <w:rFonts w:ascii="Arial" w:hAnsi="Arial" w:cs="Arial"/>
              <w:sz w:val="24"/>
              <w:szCs w:val="24"/>
            </w:rPr>
          </w:pPr>
          <w:bookmarkStart w:id="12" w:name="_Toc104108534"/>
          <w:r w:rsidRPr="00F06156">
            <w:rPr>
              <w:rFonts w:ascii="Arial" w:hAnsi="Arial" w:cs="Arial"/>
              <w:sz w:val="24"/>
              <w:szCs w:val="24"/>
            </w:rPr>
            <w:t>Conclusion</w:t>
          </w:r>
          <w:bookmarkEnd w:id="12"/>
        </w:p>
        <w:p w14:paraId="598EECBD" w14:textId="05CFE826" w:rsidR="00BF4824" w:rsidRPr="00F06156" w:rsidRDefault="00BF4824" w:rsidP="00F06156">
          <w:pPr>
            <w:spacing w:line="360" w:lineRule="auto"/>
            <w:rPr>
              <w:rFonts w:cs="Arial"/>
              <w:szCs w:val="24"/>
            </w:rPr>
          </w:pPr>
          <w:r w:rsidRPr="00F06156">
            <w:rPr>
              <w:rFonts w:cs="Arial"/>
              <w:szCs w:val="24"/>
            </w:rPr>
            <w:t>Financial ratio analysis is a widely used and essential technique in the field of financial analysis. Financial statements are presented in a way that can be visualised using this method. There are various limitations to the application of financial ratio analysis.</w:t>
          </w:r>
        </w:p>
        <w:p w14:paraId="25A47094" w14:textId="77777777" w:rsidR="00974AE2" w:rsidRPr="00F06156" w:rsidRDefault="00974AE2" w:rsidP="00F06156">
          <w:pPr>
            <w:spacing w:line="360" w:lineRule="auto"/>
            <w:rPr>
              <w:rFonts w:cs="Arial"/>
              <w:szCs w:val="24"/>
            </w:rPr>
          </w:pPr>
        </w:p>
        <w:p w14:paraId="3546C122" w14:textId="77777777" w:rsidR="00F06156" w:rsidRPr="00F06156" w:rsidRDefault="0047675C" w:rsidP="00F06156">
          <w:pPr>
            <w:pStyle w:val="Heading1"/>
            <w:spacing w:line="360" w:lineRule="auto"/>
            <w:rPr>
              <w:rFonts w:ascii="Arial" w:hAnsi="Arial" w:cs="Arial"/>
              <w:sz w:val="24"/>
              <w:szCs w:val="24"/>
            </w:rPr>
          </w:pPr>
          <w:bookmarkStart w:id="13" w:name="_Toc104108535"/>
          <w:r w:rsidRPr="00F06156">
            <w:rPr>
              <w:rFonts w:ascii="Arial" w:hAnsi="Arial" w:cs="Arial"/>
              <w:sz w:val="24"/>
              <w:szCs w:val="24"/>
            </w:rPr>
            <w:lastRenderedPageBreak/>
            <w:t>Bibliography</w:t>
          </w:r>
          <w:bookmarkEnd w:id="13"/>
        </w:p>
        <w:p w14:paraId="3DBB1546" w14:textId="77777777"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Rakhmawati, L. and Nirawati, L., 2022. Analysis Of Financial Statements In Measuring Financial Performance In Companies Listed On The Indonesia Stock Exchange (IDX</w:t>
          </w:r>
          <w:proofErr w:type="gramStart"/>
          <w:r w:rsidRPr="00F06156">
            <w:rPr>
              <w:rFonts w:cs="Arial"/>
              <w:color w:val="222222"/>
              <w:szCs w:val="24"/>
              <w:shd w:val="clear" w:color="auto" w:fill="FFFFFF"/>
            </w:rPr>
            <w:t>)(</w:t>
          </w:r>
          <w:proofErr w:type="gramEnd"/>
          <w:r w:rsidRPr="00F06156">
            <w:rPr>
              <w:rFonts w:cs="Arial"/>
              <w:color w:val="222222"/>
              <w:szCs w:val="24"/>
              <w:shd w:val="clear" w:color="auto" w:fill="FFFFFF"/>
            </w:rPr>
            <w:t>Case Study OF PT. Kalbe Farma Tbk.). </w:t>
          </w:r>
          <w:r w:rsidRPr="00F06156">
            <w:rPr>
              <w:rFonts w:cs="Arial"/>
              <w:i/>
              <w:iCs/>
              <w:color w:val="222222"/>
              <w:szCs w:val="24"/>
              <w:shd w:val="clear" w:color="auto" w:fill="FFFFFF"/>
            </w:rPr>
            <w:t>Primanomics: Jurnal Ekonomi &amp; Bisnis</w:t>
          </w:r>
          <w:r w:rsidRPr="00F06156">
            <w:rPr>
              <w:rFonts w:cs="Arial"/>
              <w:color w:val="222222"/>
              <w:szCs w:val="24"/>
              <w:shd w:val="clear" w:color="auto" w:fill="FFFFFF"/>
            </w:rPr>
            <w:t>, </w:t>
          </w:r>
          <w:r w:rsidRPr="00F06156">
            <w:rPr>
              <w:rFonts w:cs="Arial"/>
              <w:i/>
              <w:iCs/>
              <w:color w:val="222222"/>
              <w:szCs w:val="24"/>
              <w:shd w:val="clear" w:color="auto" w:fill="FFFFFF"/>
            </w:rPr>
            <w:t>20</w:t>
          </w:r>
          <w:r w:rsidRPr="00F06156">
            <w:rPr>
              <w:rFonts w:cs="Arial"/>
              <w:color w:val="222222"/>
              <w:szCs w:val="24"/>
              <w:shd w:val="clear" w:color="auto" w:fill="FFFFFF"/>
            </w:rPr>
            <w:t>(1), pp.74-82.</w:t>
          </w:r>
        </w:p>
        <w:p w14:paraId="1812C67B" w14:textId="47E6B51E"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Lesakova, L., 2021, June. Uses and limitations of profitability ratio analysis in managerial practice. In </w:t>
          </w:r>
          <w:r w:rsidRPr="00F06156">
            <w:rPr>
              <w:rFonts w:cs="Arial"/>
              <w:i/>
              <w:iCs/>
              <w:color w:val="222222"/>
              <w:szCs w:val="24"/>
              <w:shd w:val="clear" w:color="auto" w:fill="FFFFFF"/>
            </w:rPr>
            <w:t>International Conference on Management, Enterprise and Benchmarking</w:t>
          </w:r>
          <w:r w:rsidRPr="00F06156">
            <w:rPr>
              <w:rFonts w:cs="Arial"/>
              <w:color w:val="222222"/>
              <w:szCs w:val="24"/>
              <w:shd w:val="clear" w:color="auto" w:fill="FFFFFF"/>
            </w:rPr>
            <w:t> (pp. 1-2).</w:t>
          </w:r>
        </w:p>
        <w:p w14:paraId="1D03D449" w14:textId="66C9CF0A"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Mautz Jr, R.D. and Angell, R.J., 2022. Understanding the basics of financial statement analysis. </w:t>
          </w:r>
          <w:r w:rsidRPr="00F06156">
            <w:rPr>
              <w:rFonts w:cs="Arial"/>
              <w:i/>
              <w:iCs/>
              <w:color w:val="222222"/>
              <w:szCs w:val="24"/>
              <w:shd w:val="clear" w:color="auto" w:fill="FFFFFF"/>
            </w:rPr>
            <w:t>Com. Lending Rev.</w:t>
          </w:r>
          <w:r w:rsidRPr="00F06156">
            <w:rPr>
              <w:rFonts w:cs="Arial"/>
              <w:color w:val="222222"/>
              <w:szCs w:val="24"/>
              <w:shd w:val="clear" w:color="auto" w:fill="FFFFFF"/>
            </w:rPr>
            <w:t>, </w:t>
          </w:r>
          <w:r w:rsidRPr="00F06156">
            <w:rPr>
              <w:rFonts w:cs="Arial"/>
              <w:i/>
              <w:iCs/>
              <w:color w:val="222222"/>
              <w:szCs w:val="24"/>
              <w:shd w:val="clear" w:color="auto" w:fill="FFFFFF"/>
            </w:rPr>
            <w:t>21</w:t>
          </w:r>
          <w:r w:rsidRPr="00F06156">
            <w:rPr>
              <w:rFonts w:cs="Arial"/>
              <w:color w:val="222222"/>
              <w:szCs w:val="24"/>
              <w:shd w:val="clear" w:color="auto" w:fill="FFFFFF"/>
            </w:rPr>
            <w:t>, p.27.</w:t>
          </w:r>
        </w:p>
        <w:p w14:paraId="6D4B944F" w14:textId="2C737589"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Tinkelman, D. and Donabedian, B., 2022. Street lamps, alleys, ratio analysis, and nonprofit organizations. </w:t>
          </w:r>
          <w:r w:rsidRPr="00F06156">
            <w:rPr>
              <w:rFonts w:cs="Arial"/>
              <w:i/>
              <w:iCs/>
              <w:color w:val="222222"/>
              <w:szCs w:val="24"/>
              <w:shd w:val="clear" w:color="auto" w:fill="FFFFFF"/>
            </w:rPr>
            <w:t>Nonprofit Management and Leadership</w:t>
          </w:r>
          <w:r w:rsidRPr="00F06156">
            <w:rPr>
              <w:rFonts w:cs="Arial"/>
              <w:color w:val="222222"/>
              <w:szCs w:val="24"/>
              <w:shd w:val="clear" w:color="auto" w:fill="FFFFFF"/>
            </w:rPr>
            <w:t>, </w:t>
          </w:r>
          <w:r w:rsidRPr="00F06156">
            <w:rPr>
              <w:rFonts w:cs="Arial"/>
              <w:i/>
              <w:iCs/>
              <w:color w:val="222222"/>
              <w:szCs w:val="24"/>
              <w:shd w:val="clear" w:color="auto" w:fill="FFFFFF"/>
            </w:rPr>
            <w:t>18</w:t>
          </w:r>
          <w:r w:rsidRPr="00F06156">
            <w:rPr>
              <w:rFonts w:cs="Arial"/>
              <w:color w:val="222222"/>
              <w:szCs w:val="24"/>
              <w:shd w:val="clear" w:color="auto" w:fill="FFFFFF"/>
            </w:rPr>
            <w:t>(1), pp.5-18.</w:t>
          </w:r>
        </w:p>
        <w:p w14:paraId="170E6840" w14:textId="0667FDBD"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Kamnikar, J.A., Kamnikar, E.G. and Deal, K.H., 2022. Assessing a state's financial condition. </w:t>
          </w:r>
          <w:r w:rsidRPr="00F06156">
            <w:rPr>
              <w:rFonts w:cs="Arial"/>
              <w:i/>
              <w:iCs/>
              <w:color w:val="222222"/>
              <w:szCs w:val="24"/>
              <w:shd w:val="clear" w:color="auto" w:fill="FFFFFF"/>
            </w:rPr>
            <w:t>The Journal of Government Financial Management</w:t>
          </w:r>
          <w:r w:rsidRPr="00F06156">
            <w:rPr>
              <w:rFonts w:cs="Arial"/>
              <w:color w:val="222222"/>
              <w:szCs w:val="24"/>
              <w:shd w:val="clear" w:color="auto" w:fill="FFFFFF"/>
            </w:rPr>
            <w:t>, </w:t>
          </w:r>
          <w:r w:rsidRPr="00F06156">
            <w:rPr>
              <w:rFonts w:cs="Arial"/>
              <w:i/>
              <w:iCs/>
              <w:color w:val="222222"/>
              <w:szCs w:val="24"/>
              <w:shd w:val="clear" w:color="auto" w:fill="FFFFFF"/>
            </w:rPr>
            <w:t>55</w:t>
          </w:r>
          <w:r w:rsidRPr="00F06156">
            <w:rPr>
              <w:rFonts w:cs="Arial"/>
              <w:color w:val="222222"/>
              <w:szCs w:val="24"/>
              <w:shd w:val="clear" w:color="auto" w:fill="FFFFFF"/>
            </w:rPr>
            <w:t>(3), p.30.</w:t>
          </w:r>
        </w:p>
        <w:p w14:paraId="3ADEFE34" w14:textId="6F5EB9EB"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Guan, L., Kaminski, K.A. and Wetzel, T.S., 2021. Can investors detect fraud using financial statements: An exploratory study. In </w:t>
          </w:r>
          <w:r w:rsidRPr="00F06156">
            <w:rPr>
              <w:rFonts w:cs="Arial"/>
              <w:i/>
              <w:iCs/>
              <w:color w:val="222222"/>
              <w:szCs w:val="24"/>
              <w:shd w:val="clear" w:color="auto" w:fill="FFFFFF"/>
            </w:rPr>
            <w:t>Envisioning a New Accountability</w:t>
          </w:r>
          <w:r w:rsidRPr="00F06156">
            <w:rPr>
              <w:rFonts w:cs="Arial"/>
              <w:color w:val="222222"/>
              <w:szCs w:val="24"/>
              <w:shd w:val="clear" w:color="auto" w:fill="FFFFFF"/>
            </w:rPr>
            <w:t>. Emerald Group Publishing Limited.</w:t>
          </w:r>
        </w:p>
        <w:p w14:paraId="38A10F22" w14:textId="22488F7E"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Yanhong, L., Peng, L. and Zheng, Q., 2021, September. An analysis model of financial statements based on data mining. In </w:t>
          </w:r>
          <w:r w:rsidRPr="00F06156">
            <w:rPr>
              <w:rFonts w:cs="Arial"/>
              <w:i/>
              <w:iCs/>
              <w:color w:val="222222"/>
              <w:szCs w:val="24"/>
              <w:shd w:val="clear" w:color="auto" w:fill="FFFFFF"/>
            </w:rPr>
            <w:t>2006 3rd international IEEE conference intelligent systems</w:t>
          </w:r>
          <w:r w:rsidRPr="00F06156">
            <w:rPr>
              <w:rFonts w:cs="Arial"/>
              <w:color w:val="222222"/>
              <w:szCs w:val="24"/>
              <w:shd w:val="clear" w:color="auto" w:fill="FFFFFF"/>
            </w:rPr>
            <w:t> (pp. 847-850). IEEE.</w:t>
          </w:r>
        </w:p>
        <w:p w14:paraId="658EADC6" w14:textId="4EEB5841"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Biancone, P., 2022. Ratio analysis in Financial Statements under IAS/IFRS. Consistency of financial ratios and new devices for measuring corporate performance. In </w:t>
          </w:r>
          <w:r w:rsidRPr="00F06156">
            <w:rPr>
              <w:rFonts w:cs="Arial"/>
              <w:i/>
              <w:iCs/>
              <w:color w:val="222222"/>
              <w:szCs w:val="24"/>
              <w:shd w:val="clear" w:color="auto" w:fill="FFFFFF"/>
            </w:rPr>
            <w:t>Emerging issues in international accounting &amp; business conference 2006</w:t>
          </w:r>
          <w:r w:rsidRPr="00F06156">
            <w:rPr>
              <w:rFonts w:cs="Arial"/>
              <w:color w:val="222222"/>
              <w:szCs w:val="24"/>
              <w:shd w:val="clear" w:color="auto" w:fill="FFFFFF"/>
            </w:rPr>
            <w:t xml:space="preserve"> (Vol. 1, pp. 55-67). </w:t>
          </w:r>
          <w:r w:rsidR="00316EDC">
            <w:rPr>
              <w:rFonts w:cs="Arial"/>
              <w:color w:val="222222"/>
              <w:szCs w:val="24"/>
              <w:shd w:val="clear" w:color="auto" w:fill="FFFFFF"/>
            </w:rPr>
            <w:t xml:space="preserve">The </w:t>
          </w:r>
          <w:r w:rsidRPr="00F06156">
            <w:rPr>
              <w:rFonts w:cs="Arial"/>
              <w:color w:val="222222"/>
              <w:szCs w:val="24"/>
              <w:shd w:val="clear" w:color="auto" w:fill="FFFFFF"/>
            </w:rPr>
            <w:t>University of Padua.</w:t>
          </w:r>
        </w:p>
        <w:p w14:paraId="474640CE" w14:textId="637B3954" w:rsidR="00F06156" w:rsidRPr="00F06156" w:rsidRDefault="00F06156" w:rsidP="00F06156">
          <w:pPr>
            <w:spacing w:line="360" w:lineRule="auto"/>
            <w:rPr>
              <w:rFonts w:cs="Arial"/>
              <w:color w:val="222222"/>
              <w:szCs w:val="24"/>
              <w:shd w:val="clear" w:color="auto" w:fill="FFFFFF"/>
            </w:rPr>
          </w:pPr>
          <w:r w:rsidRPr="00F06156">
            <w:rPr>
              <w:rFonts w:cs="Arial"/>
              <w:color w:val="222222"/>
              <w:szCs w:val="24"/>
              <w:shd w:val="clear" w:color="auto" w:fill="FFFFFF"/>
            </w:rPr>
            <w:t xml:space="preserve">Zager, K. and Zager, L., 2022. The role of financial information in </w:t>
          </w:r>
          <w:r w:rsidR="00316EDC">
            <w:rPr>
              <w:rFonts w:cs="Arial"/>
              <w:color w:val="222222"/>
              <w:szCs w:val="24"/>
              <w:shd w:val="clear" w:color="auto" w:fill="FFFFFF"/>
            </w:rPr>
            <w:t xml:space="preserve">the </w:t>
          </w:r>
          <w:r w:rsidRPr="00F06156">
            <w:rPr>
              <w:rFonts w:cs="Arial"/>
              <w:color w:val="222222"/>
              <w:szCs w:val="24"/>
              <w:shd w:val="clear" w:color="auto" w:fill="FFFFFF"/>
            </w:rPr>
            <w:t>decision</w:t>
          </w:r>
          <w:r w:rsidR="00316EDC">
            <w:rPr>
              <w:rFonts w:cs="Arial"/>
              <w:color w:val="222222"/>
              <w:szCs w:val="24"/>
              <w:shd w:val="clear" w:color="auto" w:fill="FFFFFF"/>
            </w:rPr>
            <w:t>-</w:t>
          </w:r>
          <w:r w:rsidRPr="00F06156">
            <w:rPr>
              <w:rFonts w:cs="Arial"/>
              <w:color w:val="222222"/>
              <w:szCs w:val="24"/>
              <w:shd w:val="clear" w:color="auto" w:fill="FFFFFF"/>
            </w:rPr>
            <w:t>making process. </w:t>
          </w:r>
          <w:r w:rsidRPr="00F06156">
            <w:rPr>
              <w:rFonts w:cs="Arial"/>
              <w:i/>
              <w:iCs/>
              <w:color w:val="222222"/>
              <w:szCs w:val="24"/>
              <w:shd w:val="clear" w:color="auto" w:fill="FFFFFF"/>
            </w:rPr>
            <w:t>Innovative Marketing</w:t>
          </w:r>
          <w:r w:rsidRPr="00F06156">
            <w:rPr>
              <w:rFonts w:cs="Arial"/>
              <w:color w:val="222222"/>
              <w:szCs w:val="24"/>
              <w:shd w:val="clear" w:color="auto" w:fill="FFFFFF"/>
            </w:rPr>
            <w:t>, </w:t>
          </w:r>
          <w:r w:rsidRPr="00F06156">
            <w:rPr>
              <w:rFonts w:cs="Arial"/>
              <w:i/>
              <w:iCs/>
              <w:color w:val="222222"/>
              <w:szCs w:val="24"/>
              <w:shd w:val="clear" w:color="auto" w:fill="FFFFFF"/>
            </w:rPr>
            <w:t>2</w:t>
          </w:r>
          <w:r w:rsidRPr="00F06156">
            <w:rPr>
              <w:rFonts w:cs="Arial"/>
              <w:color w:val="222222"/>
              <w:szCs w:val="24"/>
              <w:shd w:val="clear" w:color="auto" w:fill="FFFFFF"/>
            </w:rPr>
            <w:t>(3), pp.35-40.</w:t>
          </w:r>
        </w:p>
        <w:p w14:paraId="7AE27983" w14:textId="459F3737" w:rsidR="00CA09F3" w:rsidRPr="00F06156" w:rsidRDefault="00F06156" w:rsidP="00F06156">
          <w:pPr>
            <w:spacing w:line="360" w:lineRule="auto"/>
            <w:rPr>
              <w:rFonts w:cs="Arial"/>
              <w:szCs w:val="24"/>
            </w:rPr>
          </w:pPr>
          <w:r w:rsidRPr="00F06156">
            <w:rPr>
              <w:rFonts w:cs="Arial"/>
              <w:color w:val="222222"/>
              <w:szCs w:val="24"/>
              <w:shd w:val="clear" w:color="auto" w:fill="FFFFFF"/>
            </w:rPr>
            <w:t>Sandin, A.R. and Porporato, M., 2021. Corporate bankruptcy prediction models applied to emerging economies: Evidence from Argentina in the years 1991</w:t>
          </w:r>
          <w:r w:rsidRPr="00F06156">
            <w:rPr>
              <w:rFonts w:ascii="Cambria Math" w:hAnsi="Cambria Math" w:cs="Cambria Math"/>
              <w:color w:val="222222"/>
              <w:szCs w:val="24"/>
              <w:shd w:val="clear" w:color="auto" w:fill="FFFFFF"/>
            </w:rPr>
            <w:t>‐</w:t>
          </w:r>
          <w:r w:rsidRPr="00F06156">
            <w:rPr>
              <w:rFonts w:cs="Arial"/>
              <w:color w:val="222222"/>
              <w:szCs w:val="24"/>
              <w:shd w:val="clear" w:color="auto" w:fill="FFFFFF"/>
            </w:rPr>
            <w:t>1998. </w:t>
          </w:r>
          <w:r w:rsidRPr="00F06156">
            <w:rPr>
              <w:rFonts w:cs="Arial"/>
              <w:i/>
              <w:iCs/>
              <w:color w:val="222222"/>
              <w:szCs w:val="24"/>
              <w:shd w:val="clear" w:color="auto" w:fill="FFFFFF"/>
            </w:rPr>
            <w:t>International Journal of Commerce and Management</w:t>
          </w:r>
          <w:r w:rsidRPr="00F06156">
            <w:rPr>
              <w:rFonts w:cs="Arial"/>
              <w:color w:val="222222"/>
              <w:szCs w:val="24"/>
              <w:shd w:val="clear" w:color="auto" w:fill="FFFFFF"/>
            </w:rPr>
            <w:t>.</w:t>
          </w:r>
        </w:p>
      </w:sdtContent>
    </w:sdt>
    <w:sectPr w:rsidR="00CA09F3" w:rsidRPr="00F06156"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421D8"/>
    <w:multiLevelType w:val="hybridMultilevel"/>
    <w:tmpl w:val="38DA5D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8F47D0F"/>
    <w:multiLevelType w:val="hybridMultilevel"/>
    <w:tmpl w:val="1160EE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86784057">
    <w:abstractNumId w:val="1"/>
  </w:num>
  <w:num w:numId="2" w16cid:durableId="739793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zsTAzNTE2sTQ3NTJV0lEKTi0uzszPAykwrQUAfENkAywAAAA="/>
  </w:docVars>
  <w:rsids>
    <w:rsidRoot w:val="007D1947"/>
    <w:rsid w:val="000115BC"/>
    <w:rsid w:val="00026091"/>
    <w:rsid w:val="000262C9"/>
    <w:rsid w:val="00026FF0"/>
    <w:rsid w:val="00031628"/>
    <w:rsid w:val="000355F6"/>
    <w:rsid w:val="00046905"/>
    <w:rsid w:val="000511CD"/>
    <w:rsid w:val="00057B02"/>
    <w:rsid w:val="00057EB2"/>
    <w:rsid w:val="00063059"/>
    <w:rsid w:val="00071EFB"/>
    <w:rsid w:val="00075773"/>
    <w:rsid w:val="00075E90"/>
    <w:rsid w:val="000803A5"/>
    <w:rsid w:val="000866EF"/>
    <w:rsid w:val="000934F7"/>
    <w:rsid w:val="00097D75"/>
    <w:rsid w:val="000A1C05"/>
    <w:rsid w:val="000A1EAE"/>
    <w:rsid w:val="000B1D93"/>
    <w:rsid w:val="000B3016"/>
    <w:rsid w:val="000B4B2F"/>
    <w:rsid w:val="000C01A6"/>
    <w:rsid w:val="000C55E1"/>
    <w:rsid w:val="000E3C70"/>
    <w:rsid w:val="000F572A"/>
    <w:rsid w:val="000F7686"/>
    <w:rsid w:val="001026D4"/>
    <w:rsid w:val="00103FF5"/>
    <w:rsid w:val="001053EA"/>
    <w:rsid w:val="00115B96"/>
    <w:rsid w:val="001229FA"/>
    <w:rsid w:val="00123E43"/>
    <w:rsid w:val="0013076E"/>
    <w:rsid w:val="0013422E"/>
    <w:rsid w:val="00137E15"/>
    <w:rsid w:val="00147AB8"/>
    <w:rsid w:val="001523AD"/>
    <w:rsid w:val="00162900"/>
    <w:rsid w:val="001645D2"/>
    <w:rsid w:val="00164C9A"/>
    <w:rsid w:val="00165814"/>
    <w:rsid w:val="001718F0"/>
    <w:rsid w:val="001755C5"/>
    <w:rsid w:val="00180FD4"/>
    <w:rsid w:val="00181C88"/>
    <w:rsid w:val="00182BD3"/>
    <w:rsid w:val="00184CDC"/>
    <w:rsid w:val="001879BE"/>
    <w:rsid w:val="001905F7"/>
    <w:rsid w:val="00193E33"/>
    <w:rsid w:val="00196AE9"/>
    <w:rsid w:val="001A1A72"/>
    <w:rsid w:val="001A3459"/>
    <w:rsid w:val="001A3EAA"/>
    <w:rsid w:val="001B0EFB"/>
    <w:rsid w:val="001B1EBC"/>
    <w:rsid w:val="001B34A9"/>
    <w:rsid w:val="001B4843"/>
    <w:rsid w:val="001C0CBD"/>
    <w:rsid w:val="001C1492"/>
    <w:rsid w:val="001C315B"/>
    <w:rsid w:val="001D029C"/>
    <w:rsid w:val="001D4849"/>
    <w:rsid w:val="001E44A5"/>
    <w:rsid w:val="001E4B21"/>
    <w:rsid w:val="001F1036"/>
    <w:rsid w:val="001F2866"/>
    <w:rsid w:val="001F3B1E"/>
    <w:rsid w:val="001F4D9B"/>
    <w:rsid w:val="001F6D9B"/>
    <w:rsid w:val="001F750E"/>
    <w:rsid w:val="00200855"/>
    <w:rsid w:val="00207624"/>
    <w:rsid w:val="00216465"/>
    <w:rsid w:val="00225470"/>
    <w:rsid w:val="00233698"/>
    <w:rsid w:val="0023567F"/>
    <w:rsid w:val="00235BE2"/>
    <w:rsid w:val="002423BE"/>
    <w:rsid w:val="00244D21"/>
    <w:rsid w:val="0025419A"/>
    <w:rsid w:val="00257ADB"/>
    <w:rsid w:val="00276D33"/>
    <w:rsid w:val="00283332"/>
    <w:rsid w:val="0029072A"/>
    <w:rsid w:val="00290915"/>
    <w:rsid w:val="002960A7"/>
    <w:rsid w:val="002A42F4"/>
    <w:rsid w:val="002B20BC"/>
    <w:rsid w:val="002B3CE7"/>
    <w:rsid w:val="002B5E1B"/>
    <w:rsid w:val="002C0B00"/>
    <w:rsid w:val="002C703B"/>
    <w:rsid w:val="002D78CE"/>
    <w:rsid w:val="002D7910"/>
    <w:rsid w:val="002F4347"/>
    <w:rsid w:val="002F4750"/>
    <w:rsid w:val="002F5CE9"/>
    <w:rsid w:val="002F6B6F"/>
    <w:rsid w:val="002F75C9"/>
    <w:rsid w:val="002F7FE7"/>
    <w:rsid w:val="0030199E"/>
    <w:rsid w:val="00312E02"/>
    <w:rsid w:val="00315E8A"/>
    <w:rsid w:val="00316EDC"/>
    <w:rsid w:val="00324CCD"/>
    <w:rsid w:val="003307C2"/>
    <w:rsid w:val="00335760"/>
    <w:rsid w:val="00335F82"/>
    <w:rsid w:val="003377E4"/>
    <w:rsid w:val="003554C8"/>
    <w:rsid w:val="00360AD1"/>
    <w:rsid w:val="003676AF"/>
    <w:rsid w:val="00371EA8"/>
    <w:rsid w:val="003743BD"/>
    <w:rsid w:val="00377402"/>
    <w:rsid w:val="00380A2B"/>
    <w:rsid w:val="00380EFE"/>
    <w:rsid w:val="00397553"/>
    <w:rsid w:val="003A47DB"/>
    <w:rsid w:val="003A48CD"/>
    <w:rsid w:val="003A5BBB"/>
    <w:rsid w:val="003A727E"/>
    <w:rsid w:val="003B2A0B"/>
    <w:rsid w:val="003B6229"/>
    <w:rsid w:val="003C499D"/>
    <w:rsid w:val="003D0573"/>
    <w:rsid w:val="00403416"/>
    <w:rsid w:val="004162F5"/>
    <w:rsid w:val="00416D21"/>
    <w:rsid w:val="00423051"/>
    <w:rsid w:val="00432858"/>
    <w:rsid w:val="00433534"/>
    <w:rsid w:val="00435C6A"/>
    <w:rsid w:val="004403C0"/>
    <w:rsid w:val="00450410"/>
    <w:rsid w:val="004544F1"/>
    <w:rsid w:val="00456021"/>
    <w:rsid w:val="00462F38"/>
    <w:rsid w:val="00473A52"/>
    <w:rsid w:val="00475AF2"/>
    <w:rsid w:val="0047675C"/>
    <w:rsid w:val="0048106B"/>
    <w:rsid w:val="00493382"/>
    <w:rsid w:val="0049598D"/>
    <w:rsid w:val="004A11F6"/>
    <w:rsid w:val="004B0AD7"/>
    <w:rsid w:val="004B7EFB"/>
    <w:rsid w:val="004C0530"/>
    <w:rsid w:val="004D07FC"/>
    <w:rsid w:val="004D519C"/>
    <w:rsid w:val="004D6F4E"/>
    <w:rsid w:val="004E1061"/>
    <w:rsid w:val="004E1C27"/>
    <w:rsid w:val="004F229C"/>
    <w:rsid w:val="004F5D66"/>
    <w:rsid w:val="004F714E"/>
    <w:rsid w:val="0050052D"/>
    <w:rsid w:val="00506B0C"/>
    <w:rsid w:val="00531D59"/>
    <w:rsid w:val="005351F4"/>
    <w:rsid w:val="00536665"/>
    <w:rsid w:val="00537A4D"/>
    <w:rsid w:val="005436FF"/>
    <w:rsid w:val="00543F10"/>
    <w:rsid w:val="0055144E"/>
    <w:rsid w:val="00557591"/>
    <w:rsid w:val="0056360E"/>
    <w:rsid w:val="005650DE"/>
    <w:rsid w:val="0058693B"/>
    <w:rsid w:val="005A1016"/>
    <w:rsid w:val="005B02B7"/>
    <w:rsid w:val="005B44A0"/>
    <w:rsid w:val="005C0F56"/>
    <w:rsid w:val="005C4E3F"/>
    <w:rsid w:val="005D5F93"/>
    <w:rsid w:val="005E4746"/>
    <w:rsid w:val="005F0D7F"/>
    <w:rsid w:val="005F3A2D"/>
    <w:rsid w:val="005F4CB0"/>
    <w:rsid w:val="006059D2"/>
    <w:rsid w:val="006117AE"/>
    <w:rsid w:val="00612F0B"/>
    <w:rsid w:val="00612F1E"/>
    <w:rsid w:val="0061362F"/>
    <w:rsid w:val="00614694"/>
    <w:rsid w:val="006148A7"/>
    <w:rsid w:val="006223A4"/>
    <w:rsid w:val="00641715"/>
    <w:rsid w:val="00643405"/>
    <w:rsid w:val="00643F23"/>
    <w:rsid w:val="00644C96"/>
    <w:rsid w:val="0064519F"/>
    <w:rsid w:val="00646413"/>
    <w:rsid w:val="00653432"/>
    <w:rsid w:val="00654524"/>
    <w:rsid w:val="00670DA6"/>
    <w:rsid w:val="00681B50"/>
    <w:rsid w:val="006823BF"/>
    <w:rsid w:val="00687AE0"/>
    <w:rsid w:val="00696B67"/>
    <w:rsid w:val="006A4551"/>
    <w:rsid w:val="006A5DE0"/>
    <w:rsid w:val="006A6CF3"/>
    <w:rsid w:val="006A6D21"/>
    <w:rsid w:val="006B2946"/>
    <w:rsid w:val="006D0C0A"/>
    <w:rsid w:val="006D13A6"/>
    <w:rsid w:val="006D2392"/>
    <w:rsid w:val="006D3333"/>
    <w:rsid w:val="006D6D4C"/>
    <w:rsid w:val="006E4AB0"/>
    <w:rsid w:val="006E6CBA"/>
    <w:rsid w:val="006E6D14"/>
    <w:rsid w:val="006F069F"/>
    <w:rsid w:val="00700774"/>
    <w:rsid w:val="00702856"/>
    <w:rsid w:val="0070433A"/>
    <w:rsid w:val="00713F45"/>
    <w:rsid w:val="00716392"/>
    <w:rsid w:val="007212A5"/>
    <w:rsid w:val="0072314A"/>
    <w:rsid w:val="00723470"/>
    <w:rsid w:val="00734577"/>
    <w:rsid w:val="00734956"/>
    <w:rsid w:val="00741737"/>
    <w:rsid w:val="007523A4"/>
    <w:rsid w:val="0075340D"/>
    <w:rsid w:val="0075620E"/>
    <w:rsid w:val="00756889"/>
    <w:rsid w:val="0076595C"/>
    <w:rsid w:val="00766782"/>
    <w:rsid w:val="007679B2"/>
    <w:rsid w:val="00770671"/>
    <w:rsid w:val="0077248D"/>
    <w:rsid w:val="0077458F"/>
    <w:rsid w:val="00780821"/>
    <w:rsid w:val="007817AC"/>
    <w:rsid w:val="00792BA5"/>
    <w:rsid w:val="007935CB"/>
    <w:rsid w:val="00794253"/>
    <w:rsid w:val="00795E48"/>
    <w:rsid w:val="007A22BB"/>
    <w:rsid w:val="007A65BB"/>
    <w:rsid w:val="007A7279"/>
    <w:rsid w:val="007B2516"/>
    <w:rsid w:val="007C02D1"/>
    <w:rsid w:val="007C276B"/>
    <w:rsid w:val="007C559B"/>
    <w:rsid w:val="007C760F"/>
    <w:rsid w:val="007C77F7"/>
    <w:rsid w:val="007D0247"/>
    <w:rsid w:val="007D1947"/>
    <w:rsid w:val="007D227B"/>
    <w:rsid w:val="007D6355"/>
    <w:rsid w:val="007E2A6A"/>
    <w:rsid w:val="007E4CE4"/>
    <w:rsid w:val="007F0AC8"/>
    <w:rsid w:val="00800F48"/>
    <w:rsid w:val="00802DBB"/>
    <w:rsid w:val="00803DAA"/>
    <w:rsid w:val="008040CD"/>
    <w:rsid w:val="008051AD"/>
    <w:rsid w:val="00826766"/>
    <w:rsid w:val="00835DC3"/>
    <w:rsid w:val="00836D08"/>
    <w:rsid w:val="0084577A"/>
    <w:rsid w:val="0084584B"/>
    <w:rsid w:val="00852194"/>
    <w:rsid w:val="00857FAD"/>
    <w:rsid w:val="008644F7"/>
    <w:rsid w:val="008A1EEF"/>
    <w:rsid w:val="008B3A99"/>
    <w:rsid w:val="008C014A"/>
    <w:rsid w:val="008C2A39"/>
    <w:rsid w:val="008C34B0"/>
    <w:rsid w:val="008D6983"/>
    <w:rsid w:val="008E7176"/>
    <w:rsid w:val="008F1D71"/>
    <w:rsid w:val="008F44B2"/>
    <w:rsid w:val="008F621A"/>
    <w:rsid w:val="0090062B"/>
    <w:rsid w:val="00912196"/>
    <w:rsid w:val="009123E6"/>
    <w:rsid w:val="0091346F"/>
    <w:rsid w:val="00932815"/>
    <w:rsid w:val="00934C24"/>
    <w:rsid w:val="00934E37"/>
    <w:rsid w:val="00935888"/>
    <w:rsid w:val="00942EF1"/>
    <w:rsid w:val="009440CD"/>
    <w:rsid w:val="00947012"/>
    <w:rsid w:val="00957DCC"/>
    <w:rsid w:val="0096047C"/>
    <w:rsid w:val="00962402"/>
    <w:rsid w:val="0096336E"/>
    <w:rsid w:val="00974AE2"/>
    <w:rsid w:val="009817C4"/>
    <w:rsid w:val="009840CF"/>
    <w:rsid w:val="00987508"/>
    <w:rsid w:val="00994476"/>
    <w:rsid w:val="009966B8"/>
    <w:rsid w:val="009B0C8D"/>
    <w:rsid w:val="009B547D"/>
    <w:rsid w:val="009C176D"/>
    <w:rsid w:val="009C4AAD"/>
    <w:rsid w:val="009C5A84"/>
    <w:rsid w:val="009C70C7"/>
    <w:rsid w:val="009D3A24"/>
    <w:rsid w:val="009D7A72"/>
    <w:rsid w:val="009E0A01"/>
    <w:rsid w:val="009E73E3"/>
    <w:rsid w:val="009F604A"/>
    <w:rsid w:val="00A007F0"/>
    <w:rsid w:val="00A014AA"/>
    <w:rsid w:val="00A019B0"/>
    <w:rsid w:val="00A03DB2"/>
    <w:rsid w:val="00A045E3"/>
    <w:rsid w:val="00A05B6E"/>
    <w:rsid w:val="00A225DC"/>
    <w:rsid w:val="00A307B3"/>
    <w:rsid w:val="00A31104"/>
    <w:rsid w:val="00A32D94"/>
    <w:rsid w:val="00A33060"/>
    <w:rsid w:val="00A3384D"/>
    <w:rsid w:val="00A4050E"/>
    <w:rsid w:val="00A41F05"/>
    <w:rsid w:val="00A51A40"/>
    <w:rsid w:val="00A527E3"/>
    <w:rsid w:val="00A60414"/>
    <w:rsid w:val="00A64F58"/>
    <w:rsid w:val="00A6619C"/>
    <w:rsid w:val="00A8270C"/>
    <w:rsid w:val="00A83DEF"/>
    <w:rsid w:val="00A91E85"/>
    <w:rsid w:val="00A949F9"/>
    <w:rsid w:val="00A95B76"/>
    <w:rsid w:val="00AA06FC"/>
    <w:rsid w:val="00AA2A91"/>
    <w:rsid w:val="00AA2FE4"/>
    <w:rsid w:val="00AA3CE7"/>
    <w:rsid w:val="00AA3E43"/>
    <w:rsid w:val="00AB7D4E"/>
    <w:rsid w:val="00AC1C78"/>
    <w:rsid w:val="00AD16F3"/>
    <w:rsid w:val="00AE0D59"/>
    <w:rsid w:val="00AE10E0"/>
    <w:rsid w:val="00AE14FF"/>
    <w:rsid w:val="00AE1A0D"/>
    <w:rsid w:val="00AE30AB"/>
    <w:rsid w:val="00AF03C9"/>
    <w:rsid w:val="00AF2898"/>
    <w:rsid w:val="00AF4E0A"/>
    <w:rsid w:val="00AF7501"/>
    <w:rsid w:val="00B00CC6"/>
    <w:rsid w:val="00B07F9A"/>
    <w:rsid w:val="00B12751"/>
    <w:rsid w:val="00B15CE1"/>
    <w:rsid w:val="00B272EE"/>
    <w:rsid w:val="00B33728"/>
    <w:rsid w:val="00B33758"/>
    <w:rsid w:val="00B43578"/>
    <w:rsid w:val="00B43D1A"/>
    <w:rsid w:val="00B502A5"/>
    <w:rsid w:val="00B60A3F"/>
    <w:rsid w:val="00B6428E"/>
    <w:rsid w:val="00B755B3"/>
    <w:rsid w:val="00B76125"/>
    <w:rsid w:val="00B813E3"/>
    <w:rsid w:val="00B86BF1"/>
    <w:rsid w:val="00B9117F"/>
    <w:rsid w:val="00B96083"/>
    <w:rsid w:val="00B96398"/>
    <w:rsid w:val="00BA0066"/>
    <w:rsid w:val="00BA621B"/>
    <w:rsid w:val="00BA796B"/>
    <w:rsid w:val="00BB7A69"/>
    <w:rsid w:val="00BC06AB"/>
    <w:rsid w:val="00BC468A"/>
    <w:rsid w:val="00BC500C"/>
    <w:rsid w:val="00BD03A5"/>
    <w:rsid w:val="00BD79AE"/>
    <w:rsid w:val="00BE0B6B"/>
    <w:rsid w:val="00BE3982"/>
    <w:rsid w:val="00BE6555"/>
    <w:rsid w:val="00BF4824"/>
    <w:rsid w:val="00BF7C2E"/>
    <w:rsid w:val="00C00E08"/>
    <w:rsid w:val="00C00F27"/>
    <w:rsid w:val="00C02CF7"/>
    <w:rsid w:val="00C0612A"/>
    <w:rsid w:val="00C063CC"/>
    <w:rsid w:val="00C163FD"/>
    <w:rsid w:val="00C235BB"/>
    <w:rsid w:val="00C245BE"/>
    <w:rsid w:val="00C31B9C"/>
    <w:rsid w:val="00C3226E"/>
    <w:rsid w:val="00C4498B"/>
    <w:rsid w:val="00C455C7"/>
    <w:rsid w:val="00C45805"/>
    <w:rsid w:val="00C47196"/>
    <w:rsid w:val="00C47927"/>
    <w:rsid w:val="00C53F48"/>
    <w:rsid w:val="00C57029"/>
    <w:rsid w:val="00C57893"/>
    <w:rsid w:val="00C63D08"/>
    <w:rsid w:val="00C64B63"/>
    <w:rsid w:val="00C66D60"/>
    <w:rsid w:val="00C67977"/>
    <w:rsid w:val="00C71FB5"/>
    <w:rsid w:val="00C72986"/>
    <w:rsid w:val="00C734D6"/>
    <w:rsid w:val="00C77B17"/>
    <w:rsid w:val="00C8600B"/>
    <w:rsid w:val="00C92CF0"/>
    <w:rsid w:val="00C9395F"/>
    <w:rsid w:val="00C95E51"/>
    <w:rsid w:val="00C9618E"/>
    <w:rsid w:val="00CA0342"/>
    <w:rsid w:val="00CA09F3"/>
    <w:rsid w:val="00CB18D6"/>
    <w:rsid w:val="00CC1C3A"/>
    <w:rsid w:val="00CC203F"/>
    <w:rsid w:val="00CC6691"/>
    <w:rsid w:val="00CC6DDA"/>
    <w:rsid w:val="00CC790F"/>
    <w:rsid w:val="00CD127D"/>
    <w:rsid w:val="00CD59D3"/>
    <w:rsid w:val="00CE21A2"/>
    <w:rsid w:val="00CE58D8"/>
    <w:rsid w:val="00CE6B0C"/>
    <w:rsid w:val="00CF0C42"/>
    <w:rsid w:val="00CF1F3A"/>
    <w:rsid w:val="00CF3454"/>
    <w:rsid w:val="00D01649"/>
    <w:rsid w:val="00D04C2D"/>
    <w:rsid w:val="00D17388"/>
    <w:rsid w:val="00D20398"/>
    <w:rsid w:val="00D21494"/>
    <w:rsid w:val="00D35893"/>
    <w:rsid w:val="00D37266"/>
    <w:rsid w:val="00D434C5"/>
    <w:rsid w:val="00D43DE7"/>
    <w:rsid w:val="00D45F13"/>
    <w:rsid w:val="00D5099C"/>
    <w:rsid w:val="00D50BED"/>
    <w:rsid w:val="00D54B74"/>
    <w:rsid w:val="00D568FC"/>
    <w:rsid w:val="00D600AC"/>
    <w:rsid w:val="00D7097B"/>
    <w:rsid w:val="00D71E7E"/>
    <w:rsid w:val="00D73138"/>
    <w:rsid w:val="00D815DF"/>
    <w:rsid w:val="00D83196"/>
    <w:rsid w:val="00D854A5"/>
    <w:rsid w:val="00D905D5"/>
    <w:rsid w:val="00D9395F"/>
    <w:rsid w:val="00DA1B6B"/>
    <w:rsid w:val="00DA2D66"/>
    <w:rsid w:val="00DA4C62"/>
    <w:rsid w:val="00DA5606"/>
    <w:rsid w:val="00DB3FC1"/>
    <w:rsid w:val="00DB5E08"/>
    <w:rsid w:val="00DB76FD"/>
    <w:rsid w:val="00DC0C5B"/>
    <w:rsid w:val="00DC0E33"/>
    <w:rsid w:val="00DC1221"/>
    <w:rsid w:val="00DC223A"/>
    <w:rsid w:val="00DD4C9F"/>
    <w:rsid w:val="00DE0C2C"/>
    <w:rsid w:val="00DE2DB1"/>
    <w:rsid w:val="00DE2E60"/>
    <w:rsid w:val="00DE68A5"/>
    <w:rsid w:val="00DE7E47"/>
    <w:rsid w:val="00DF1D80"/>
    <w:rsid w:val="00DF59C2"/>
    <w:rsid w:val="00E01841"/>
    <w:rsid w:val="00E03B72"/>
    <w:rsid w:val="00E03BF4"/>
    <w:rsid w:val="00E06BEB"/>
    <w:rsid w:val="00E16C99"/>
    <w:rsid w:val="00E20582"/>
    <w:rsid w:val="00E26DC9"/>
    <w:rsid w:val="00E3162C"/>
    <w:rsid w:val="00E321D2"/>
    <w:rsid w:val="00E33691"/>
    <w:rsid w:val="00E35669"/>
    <w:rsid w:val="00E6059F"/>
    <w:rsid w:val="00E718F3"/>
    <w:rsid w:val="00E71AD6"/>
    <w:rsid w:val="00E7273A"/>
    <w:rsid w:val="00E773F4"/>
    <w:rsid w:val="00E921D9"/>
    <w:rsid w:val="00E923CC"/>
    <w:rsid w:val="00E94765"/>
    <w:rsid w:val="00E97C65"/>
    <w:rsid w:val="00E97D38"/>
    <w:rsid w:val="00EA2A3B"/>
    <w:rsid w:val="00EB277B"/>
    <w:rsid w:val="00EC2CA6"/>
    <w:rsid w:val="00ED1C20"/>
    <w:rsid w:val="00ED548D"/>
    <w:rsid w:val="00ED5B65"/>
    <w:rsid w:val="00EE6423"/>
    <w:rsid w:val="00EE7183"/>
    <w:rsid w:val="00F012A8"/>
    <w:rsid w:val="00F0568E"/>
    <w:rsid w:val="00F05CA9"/>
    <w:rsid w:val="00F06156"/>
    <w:rsid w:val="00F0715D"/>
    <w:rsid w:val="00F20625"/>
    <w:rsid w:val="00F259BD"/>
    <w:rsid w:val="00F27ECA"/>
    <w:rsid w:val="00F31161"/>
    <w:rsid w:val="00F3183C"/>
    <w:rsid w:val="00F37AAA"/>
    <w:rsid w:val="00F43BF6"/>
    <w:rsid w:val="00F46A34"/>
    <w:rsid w:val="00F53697"/>
    <w:rsid w:val="00F55E13"/>
    <w:rsid w:val="00F61412"/>
    <w:rsid w:val="00F62677"/>
    <w:rsid w:val="00F638DD"/>
    <w:rsid w:val="00F649D4"/>
    <w:rsid w:val="00F705DC"/>
    <w:rsid w:val="00F7248B"/>
    <w:rsid w:val="00F730D4"/>
    <w:rsid w:val="00F81088"/>
    <w:rsid w:val="00F8631D"/>
    <w:rsid w:val="00F91D2B"/>
    <w:rsid w:val="00FA0308"/>
    <w:rsid w:val="00FA402F"/>
    <w:rsid w:val="00FB05F5"/>
    <w:rsid w:val="00FB6A75"/>
    <w:rsid w:val="00FC217E"/>
    <w:rsid w:val="00FC34AE"/>
    <w:rsid w:val="00FC668C"/>
    <w:rsid w:val="00FD5C58"/>
    <w:rsid w:val="00FE0296"/>
    <w:rsid w:val="00FE1533"/>
    <w:rsid w:val="00FE50C5"/>
    <w:rsid w:val="00FE6F67"/>
    <w:rsid w:val="00FF0C24"/>
    <w:rsid w:val="00FF3152"/>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278D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C2D"/>
    <w:pPr>
      <w:spacing w:line="480" w:lineRule="auto"/>
      <w:jc w:val="both"/>
    </w:pPr>
    <w:rPr>
      <w:rFonts w:ascii="Arial" w:hAnsi="Arial"/>
      <w:sz w:val="24"/>
    </w:rPr>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FA0308"/>
    <w:pPr>
      <w:ind w:left="720"/>
      <w:contextualSpacing/>
    </w:pPr>
  </w:style>
  <w:style w:type="table" w:styleId="TableGrid">
    <w:name w:val="Table Grid"/>
    <w:basedOn w:val="TableNormal"/>
    <w:uiPriority w:val="39"/>
    <w:rsid w:val="00974A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4701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6">
    <w:name w:val="Grid Table 1 Light Accent 6"/>
    <w:basedOn w:val="TableNormal"/>
    <w:uiPriority w:val="46"/>
    <w:rsid w:val="00947012"/>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166831">
      <w:bodyDiv w:val="1"/>
      <w:marLeft w:val="0"/>
      <w:marRight w:val="0"/>
      <w:marTop w:val="0"/>
      <w:marBottom w:val="0"/>
      <w:divBdr>
        <w:top w:val="none" w:sz="0" w:space="0" w:color="auto"/>
        <w:left w:val="none" w:sz="0" w:space="0" w:color="auto"/>
        <w:bottom w:val="none" w:sz="0" w:space="0" w:color="auto"/>
        <w:right w:val="none" w:sz="0" w:space="0" w:color="auto"/>
      </w:divBdr>
    </w:div>
    <w:div w:id="436562489">
      <w:bodyDiv w:val="1"/>
      <w:marLeft w:val="0"/>
      <w:marRight w:val="0"/>
      <w:marTop w:val="0"/>
      <w:marBottom w:val="0"/>
      <w:divBdr>
        <w:top w:val="none" w:sz="0" w:space="0" w:color="auto"/>
        <w:left w:val="none" w:sz="0" w:space="0" w:color="auto"/>
        <w:bottom w:val="none" w:sz="0" w:space="0" w:color="auto"/>
        <w:right w:val="none" w:sz="0" w:space="0" w:color="auto"/>
      </w:divBdr>
    </w:div>
    <w:div w:id="652418591">
      <w:bodyDiv w:val="1"/>
      <w:marLeft w:val="0"/>
      <w:marRight w:val="0"/>
      <w:marTop w:val="0"/>
      <w:marBottom w:val="0"/>
      <w:divBdr>
        <w:top w:val="none" w:sz="0" w:space="0" w:color="auto"/>
        <w:left w:val="none" w:sz="0" w:space="0" w:color="auto"/>
        <w:bottom w:val="none" w:sz="0" w:space="0" w:color="auto"/>
        <w:right w:val="none" w:sz="0" w:space="0" w:color="auto"/>
      </w:divBdr>
      <w:divsChild>
        <w:div w:id="133183986">
          <w:marLeft w:val="0"/>
          <w:marRight w:val="0"/>
          <w:marTop w:val="0"/>
          <w:marBottom w:val="0"/>
          <w:divBdr>
            <w:top w:val="none" w:sz="0" w:space="0" w:color="auto"/>
            <w:left w:val="none" w:sz="0" w:space="0" w:color="auto"/>
            <w:bottom w:val="none" w:sz="0" w:space="0" w:color="auto"/>
            <w:right w:val="none" w:sz="0" w:space="0" w:color="auto"/>
          </w:divBdr>
          <w:divsChild>
            <w:div w:id="1763259239">
              <w:marLeft w:val="0"/>
              <w:marRight w:val="0"/>
              <w:marTop w:val="0"/>
              <w:marBottom w:val="0"/>
              <w:divBdr>
                <w:top w:val="none" w:sz="0" w:space="0" w:color="auto"/>
                <w:left w:val="none" w:sz="0" w:space="0" w:color="auto"/>
                <w:bottom w:val="none" w:sz="0" w:space="0" w:color="auto"/>
                <w:right w:val="none" w:sz="0" w:space="0" w:color="auto"/>
              </w:divBdr>
              <w:divsChild>
                <w:div w:id="1674525883">
                  <w:marLeft w:val="0"/>
                  <w:marRight w:val="0"/>
                  <w:marTop w:val="0"/>
                  <w:marBottom w:val="0"/>
                  <w:divBdr>
                    <w:top w:val="none" w:sz="0" w:space="0" w:color="auto"/>
                    <w:left w:val="none" w:sz="0" w:space="0" w:color="auto"/>
                    <w:bottom w:val="none" w:sz="0" w:space="0" w:color="auto"/>
                    <w:right w:val="none" w:sz="0" w:space="0" w:color="auto"/>
                  </w:divBdr>
                  <w:divsChild>
                    <w:div w:id="1935244449">
                      <w:marLeft w:val="0"/>
                      <w:marRight w:val="0"/>
                      <w:marTop w:val="0"/>
                      <w:marBottom w:val="300"/>
                      <w:divBdr>
                        <w:top w:val="single" w:sz="6" w:space="0" w:color="C1C1C1"/>
                        <w:left w:val="single" w:sz="6" w:space="0" w:color="C1C1C1"/>
                        <w:bottom w:val="single" w:sz="6" w:space="0" w:color="C1C1C1"/>
                        <w:right w:val="single" w:sz="6" w:space="0" w:color="C1C1C1"/>
                      </w:divBdr>
                      <w:divsChild>
                        <w:div w:id="593788426">
                          <w:marLeft w:val="0"/>
                          <w:marRight w:val="0"/>
                          <w:marTop w:val="0"/>
                          <w:marBottom w:val="0"/>
                          <w:divBdr>
                            <w:top w:val="none" w:sz="0" w:space="0" w:color="auto"/>
                            <w:left w:val="none" w:sz="0" w:space="0" w:color="auto"/>
                            <w:bottom w:val="none" w:sz="0" w:space="0" w:color="auto"/>
                            <w:right w:val="none" w:sz="0" w:space="0" w:color="auto"/>
                          </w:divBdr>
                          <w:divsChild>
                            <w:div w:id="1018849365">
                              <w:marLeft w:val="0"/>
                              <w:marRight w:val="0"/>
                              <w:marTop w:val="0"/>
                              <w:marBottom w:val="0"/>
                              <w:divBdr>
                                <w:top w:val="none" w:sz="0" w:space="0" w:color="auto"/>
                                <w:left w:val="none" w:sz="0" w:space="0" w:color="auto"/>
                                <w:bottom w:val="none" w:sz="0" w:space="0" w:color="auto"/>
                                <w:right w:val="none" w:sz="0" w:space="0" w:color="auto"/>
                              </w:divBdr>
                              <w:divsChild>
                                <w:div w:id="1216355491">
                                  <w:marLeft w:val="0"/>
                                  <w:marRight w:val="0"/>
                                  <w:marTop w:val="0"/>
                                  <w:marBottom w:val="0"/>
                                  <w:divBdr>
                                    <w:top w:val="none" w:sz="0" w:space="0" w:color="auto"/>
                                    <w:left w:val="none" w:sz="0" w:space="0" w:color="auto"/>
                                    <w:bottom w:val="none" w:sz="0" w:space="0" w:color="auto"/>
                                    <w:right w:val="none" w:sz="0" w:space="0" w:color="auto"/>
                                  </w:divBdr>
                                  <w:divsChild>
                                    <w:div w:id="1510873942">
                                      <w:marLeft w:val="0"/>
                                      <w:marRight w:val="0"/>
                                      <w:marTop w:val="0"/>
                                      <w:marBottom w:val="0"/>
                                      <w:divBdr>
                                        <w:top w:val="none" w:sz="0" w:space="0" w:color="auto"/>
                                        <w:left w:val="none" w:sz="0" w:space="0" w:color="auto"/>
                                        <w:bottom w:val="none" w:sz="0" w:space="0" w:color="auto"/>
                                        <w:right w:val="none" w:sz="0" w:space="0" w:color="auto"/>
                                      </w:divBdr>
                                      <w:divsChild>
                                        <w:div w:id="1281372412">
                                          <w:marLeft w:val="0"/>
                                          <w:marRight w:val="0"/>
                                          <w:marTop w:val="0"/>
                                          <w:marBottom w:val="0"/>
                                          <w:divBdr>
                                            <w:top w:val="none" w:sz="0" w:space="0" w:color="auto"/>
                                            <w:left w:val="none" w:sz="0" w:space="0" w:color="auto"/>
                                            <w:bottom w:val="none" w:sz="0" w:space="0" w:color="auto"/>
                                            <w:right w:val="none" w:sz="0" w:space="0" w:color="auto"/>
                                          </w:divBdr>
                                          <w:divsChild>
                                            <w:div w:id="911475324">
                                              <w:marLeft w:val="0"/>
                                              <w:marRight w:val="0"/>
                                              <w:marTop w:val="0"/>
                                              <w:marBottom w:val="0"/>
                                              <w:divBdr>
                                                <w:top w:val="none" w:sz="0" w:space="0" w:color="auto"/>
                                                <w:left w:val="none" w:sz="0" w:space="0" w:color="auto"/>
                                                <w:bottom w:val="none" w:sz="0" w:space="0" w:color="auto"/>
                                                <w:right w:val="none" w:sz="0" w:space="0" w:color="auto"/>
                                              </w:divBdr>
                                              <w:divsChild>
                                                <w:div w:id="1082872549">
                                                  <w:marLeft w:val="0"/>
                                                  <w:marRight w:val="0"/>
                                                  <w:marTop w:val="0"/>
                                                  <w:marBottom w:val="0"/>
                                                  <w:divBdr>
                                                    <w:top w:val="none" w:sz="0" w:space="0" w:color="auto"/>
                                                    <w:left w:val="none" w:sz="0" w:space="0" w:color="auto"/>
                                                    <w:bottom w:val="none" w:sz="0" w:space="0" w:color="auto"/>
                                                    <w:right w:val="none" w:sz="0" w:space="0" w:color="auto"/>
                                                  </w:divBdr>
                                                  <w:divsChild>
                                                    <w:div w:id="282659812">
                                                      <w:marLeft w:val="0"/>
                                                      <w:marRight w:val="0"/>
                                                      <w:marTop w:val="0"/>
                                                      <w:marBottom w:val="0"/>
                                                      <w:divBdr>
                                                        <w:top w:val="none" w:sz="0" w:space="0" w:color="auto"/>
                                                        <w:left w:val="none" w:sz="0" w:space="0" w:color="auto"/>
                                                        <w:bottom w:val="none" w:sz="0" w:space="0" w:color="auto"/>
                                                        <w:right w:val="none" w:sz="0" w:space="0" w:color="auto"/>
                                                      </w:divBdr>
                                                      <w:divsChild>
                                                        <w:div w:id="87958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2992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2010600030101010101"/>
    <w:charset w:val="86"/>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523C"/>
    <w:rsid w:val="002E3791"/>
    <w:rsid w:val="003B45DF"/>
    <w:rsid w:val="00480AE9"/>
    <w:rsid w:val="004E1EF1"/>
    <w:rsid w:val="00556FD6"/>
    <w:rsid w:val="0083132B"/>
    <w:rsid w:val="00862B8B"/>
    <w:rsid w:val="00881A89"/>
    <w:rsid w:val="00991E46"/>
    <w:rsid w:val="00A34C42"/>
    <w:rsid w:val="00B5181D"/>
    <w:rsid w:val="00BC1251"/>
    <w:rsid w:val="00C40C78"/>
    <w:rsid w:val="00C67429"/>
    <w:rsid w:val="00DD6B39"/>
    <w:rsid w:val="00F7591B"/>
    <w:rsid w:val="00FC1F9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CB8D8-8386-4435-A632-87D5B163B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14</Pages>
  <Words>2936</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Analysis of the Financial Statements</dc:subject>
  <dc:creator>Marie Pitson</dc:creator>
  <cp:keywords/>
  <dc:description/>
  <cp:lastModifiedBy>Md Saiful Islam (2016119)</cp:lastModifiedBy>
  <cp:revision>8</cp:revision>
  <dcterms:created xsi:type="dcterms:W3CDTF">2022-05-22T09:58:00Z</dcterms:created>
  <dcterms:modified xsi:type="dcterms:W3CDTF">2022-05-26T01:24:00Z</dcterms:modified>
</cp:coreProperties>
</file>