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D702FC" w14:textId="77777777" w:rsidR="003D4549" w:rsidRPr="00C34830" w:rsidRDefault="00253661" w:rsidP="00253661">
      <w:pPr>
        <w:spacing w:line="360" w:lineRule="auto"/>
        <w:rPr>
          <w:rFonts w:ascii="Arial" w:hAnsi="Arial" w:cs="Arial"/>
          <w:sz w:val="56"/>
          <w:szCs w:val="56"/>
          <w:lang w:val="en-GB"/>
        </w:rPr>
      </w:pPr>
      <w:r w:rsidRPr="00C34830">
        <w:rPr>
          <w:rFonts w:ascii="Arial" w:hAnsi="Arial" w:cs="Arial"/>
          <w:sz w:val="56"/>
          <w:szCs w:val="56"/>
          <w:lang w:val="en-GB"/>
        </w:rPr>
        <w:t>Principles of Health and Social Care Practice</w:t>
      </w:r>
    </w:p>
    <w:p w14:paraId="632668AF" w14:textId="06F18EF5" w:rsidR="00C87D9F" w:rsidRPr="00C34830" w:rsidRDefault="00C87D9F" w:rsidP="00253661">
      <w:pPr>
        <w:spacing w:line="360" w:lineRule="auto"/>
        <w:rPr>
          <w:rFonts w:ascii="Arial" w:hAnsi="Arial" w:cs="Arial"/>
          <w:sz w:val="56"/>
          <w:szCs w:val="56"/>
          <w:lang w:val="en-GB"/>
        </w:rPr>
      </w:pPr>
      <w:r w:rsidRPr="00C34830">
        <w:rPr>
          <w:rFonts w:ascii="Arial" w:hAnsi="Arial" w:cs="Arial"/>
          <w:sz w:val="56"/>
          <w:szCs w:val="56"/>
          <w:lang w:val="en-GB"/>
        </w:rPr>
        <w:t>Component 2: Written Assignment</w:t>
      </w:r>
      <w:r w:rsidR="00270A91" w:rsidRPr="00C34830">
        <w:rPr>
          <w:rFonts w:ascii="Arial" w:hAnsi="Arial" w:cs="Arial"/>
          <w:sz w:val="56"/>
          <w:szCs w:val="56"/>
          <w:lang w:val="en-GB"/>
        </w:rPr>
        <w:t xml:space="preserve"> (Report)</w:t>
      </w:r>
    </w:p>
    <w:p w14:paraId="3FD30929" w14:textId="2082E6A5" w:rsidR="00253661" w:rsidRPr="00C34830" w:rsidRDefault="00253661" w:rsidP="00253661">
      <w:pPr>
        <w:spacing w:line="360" w:lineRule="auto"/>
        <w:rPr>
          <w:rFonts w:ascii="Arial" w:hAnsi="Arial" w:cs="Arial"/>
          <w:sz w:val="56"/>
          <w:szCs w:val="56"/>
          <w:lang w:val="en-GB"/>
        </w:rPr>
      </w:pPr>
      <w:r w:rsidRPr="00C34830">
        <w:rPr>
          <w:rFonts w:ascii="Arial" w:hAnsi="Arial" w:cs="Arial"/>
          <w:sz w:val="56"/>
          <w:szCs w:val="56"/>
          <w:lang w:val="en-GB"/>
        </w:rPr>
        <w:t>Lecturer: Azida Zainol</w:t>
      </w:r>
    </w:p>
    <w:p w14:paraId="1E133ECA" w14:textId="77777777" w:rsidR="00253661" w:rsidRPr="00C34830" w:rsidRDefault="00253661" w:rsidP="00253661">
      <w:pPr>
        <w:spacing w:line="360" w:lineRule="auto"/>
        <w:rPr>
          <w:rFonts w:ascii="Arial" w:hAnsi="Arial" w:cs="Arial"/>
          <w:sz w:val="56"/>
          <w:szCs w:val="56"/>
          <w:lang w:val="en-GB"/>
        </w:rPr>
      </w:pPr>
      <w:r w:rsidRPr="00C34830">
        <w:rPr>
          <w:rFonts w:ascii="Arial" w:hAnsi="Arial" w:cs="Arial"/>
          <w:sz w:val="56"/>
          <w:szCs w:val="56"/>
          <w:lang w:val="en-GB"/>
        </w:rPr>
        <w:t>Module Code: BMHP5016</w:t>
      </w:r>
    </w:p>
    <w:p w14:paraId="635C9D81" w14:textId="77777777" w:rsidR="00253661" w:rsidRPr="00C34830" w:rsidRDefault="00253661" w:rsidP="00253661">
      <w:pPr>
        <w:spacing w:line="360" w:lineRule="auto"/>
        <w:rPr>
          <w:rFonts w:ascii="Arial" w:hAnsi="Arial" w:cs="Arial"/>
          <w:sz w:val="56"/>
          <w:szCs w:val="56"/>
          <w:lang w:val="en-GB"/>
        </w:rPr>
      </w:pPr>
      <w:r w:rsidRPr="00C34830">
        <w:rPr>
          <w:rFonts w:ascii="Arial" w:hAnsi="Arial" w:cs="Arial"/>
          <w:sz w:val="56"/>
          <w:szCs w:val="56"/>
          <w:lang w:val="en-GB"/>
        </w:rPr>
        <w:t>Student Number: 2435110</w:t>
      </w:r>
    </w:p>
    <w:p w14:paraId="73133AB2" w14:textId="77777777" w:rsidR="00253661" w:rsidRPr="00C34830" w:rsidRDefault="00253661" w:rsidP="00253661">
      <w:pPr>
        <w:spacing w:line="360" w:lineRule="auto"/>
        <w:rPr>
          <w:rFonts w:ascii="Arial" w:hAnsi="Arial" w:cs="Arial"/>
          <w:sz w:val="56"/>
          <w:szCs w:val="56"/>
          <w:lang w:val="en-GB"/>
        </w:rPr>
      </w:pPr>
      <w:r w:rsidRPr="00C34830">
        <w:rPr>
          <w:rFonts w:ascii="Arial" w:hAnsi="Arial" w:cs="Arial"/>
          <w:sz w:val="56"/>
          <w:szCs w:val="56"/>
          <w:lang w:val="en-GB"/>
        </w:rPr>
        <w:t>Student Name: Sunny Umweni</w:t>
      </w:r>
    </w:p>
    <w:p w14:paraId="0C1C8E11" w14:textId="77777777" w:rsidR="00270A91" w:rsidRPr="00C34830" w:rsidRDefault="00270A91" w:rsidP="00253661">
      <w:pPr>
        <w:spacing w:line="360" w:lineRule="auto"/>
        <w:rPr>
          <w:rFonts w:ascii="Arial" w:hAnsi="Arial" w:cs="Arial"/>
          <w:sz w:val="52"/>
          <w:szCs w:val="52"/>
          <w:lang w:val="en-GB"/>
        </w:rPr>
      </w:pPr>
    </w:p>
    <w:p w14:paraId="639480CD" w14:textId="77777777" w:rsidR="009C73A9" w:rsidRPr="00C34830" w:rsidRDefault="009C73A9" w:rsidP="00F43D6C">
      <w:pPr>
        <w:rPr>
          <w:rFonts w:ascii="Arial" w:hAnsi="Arial" w:cs="Arial"/>
        </w:rPr>
      </w:pPr>
    </w:p>
    <w:p w14:paraId="08CC53C0" w14:textId="77777777" w:rsidR="00270A91" w:rsidRPr="00C34830" w:rsidRDefault="00270A91" w:rsidP="00F43D6C">
      <w:pPr>
        <w:rPr>
          <w:rFonts w:ascii="Arial" w:hAnsi="Arial" w:cs="Arial"/>
        </w:rPr>
      </w:pPr>
    </w:p>
    <w:p w14:paraId="5143720F" w14:textId="77777777" w:rsidR="00270A91" w:rsidRPr="00C34830" w:rsidRDefault="00270A91" w:rsidP="00F43D6C">
      <w:pPr>
        <w:rPr>
          <w:rFonts w:ascii="Arial" w:hAnsi="Arial" w:cs="Arial"/>
        </w:rPr>
      </w:pPr>
    </w:p>
    <w:p w14:paraId="552916E4" w14:textId="77777777" w:rsidR="00270A91" w:rsidRPr="00C34830" w:rsidRDefault="00270A91" w:rsidP="00F43D6C">
      <w:pPr>
        <w:rPr>
          <w:rFonts w:ascii="Arial" w:hAnsi="Arial" w:cs="Arial"/>
        </w:rPr>
      </w:pPr>
    </w:p>
    <w:p w14:paraId="111F99A2" w14:textId="77777777" w:rsidR="00270A91" w:rsidRPr="00C34830" w:rsidRDefault="00270A91" w:rsidP="00F43D6C">
      <w:pPr>
        <w:rPr>
          <w:rFonts w:ascii="Arial" w:hAnsi="Arial" w:cs="Arial"/>
        </w:rPr>
      </w:pPr>
    </w:p>
    <w:p w14:paraId="642E5B3E" w14:textId="77777777" w:rsidR="00270A91" w:rsidRPr="00C34830" w:rsidRDefault="00270A91" w:rsidP="00F43D6C">
      <w:pPr>
        <w:rPr>
          <w:rFonts w:ascii="Arial" w:hAnsi="Arial" w:cs="Arial"/>
        </w:rPr>
      </w:pPr>
    </w:p>
    <w:p w14:paraId="04B00A54" w14:textId="77777777" w:rsidR="00270A91" w:rsidRPr="00C34830" w:rsidRDefault="00270A91" w:rsidP="00F43D6C">
      <w:pPr>
        <w:rPr>
          <w:rFonts w:ascii="Arial" w:hAnsi="Arial" w:cs="Arial"/>
        </w:rPr>
      </w:pPr>
    </w:p>
    <w:sdt>
      <w:sdtPr>
        <w:rPr>
          <w:rFonts w:ascii="Arial" w:eastAsiaTheme="minorHAnsi" w:hAnsi="Arial" w:cs="Arial"/>
          <w:color w:val="auto"/>
          <w:sz w:val="22"/>
          <w:szCs w:val="22"/>
          <w:lang w:eastAsia="en-US"/>
        </w:rPr>
        <w:id w:val="1734888676"/>
        <w:docPartObj>
          <w:docPartGallery w:val="Table of Contents"/>
          <w:docPartUnique/>
        </w:docPartObj>
      </w:sdtPr>
      <w:sdtEndPr>
        <w:rPr>
          <w:b/>
          <w:bCs/>
        </w:rPr>
      </w:sdtEndPr>
      <w:sdtContent>
        <w:p w14:paraId="4BA21DAE" w14:textId="1AD33566" w:rsidR="0075396F" w:rsidRPr="00C34830" w:rsidRDefault="0075396F">
          <w:pPr>
            <w:pStyle w:val="TOCHeading"/>
            <w:rPr>
              <w:rFonts w:ascii="Arial" w:hAnsi="Arial" w:cs="Arial"/>
            </w:rPr>
          </w:pPr>
          <w:r w:rsidRPr="00C34830">
            <w:rPr>
              <w:rFonts w:ascii="Arial" w:hAnsi="Arial" w:cs="Arial"/>
              <w:lang w:val="en-GB"/>
            </w:rPr>
            <w:t>Contents</w:t>
          </w:r>
        </w:p>
        <w:p w14:paraId="1DCFB04A" w14:textId="4D4D6859" w:rsidR="00621D1C" w:rsidRPr="00C34830" w:rsidRDefault="0075396F">
          <w:pPr>
            <w:pStyle w:val="TOC1"/>
            <w:tabs>
              <w:tab w:val="right" w:leader="dot" w:pos="9016"/>
            </w:tabs>
            <w:rPr>
              <w:rFonts w:ascii="Arial" w:eastAsiaTheme="minorEastAsia" w:hAnsi="Arial" w:cs="Arial"/>
              <w:noProof/>
              <w:kern w:val="2"/>
              <w:sz w:val="24"/>
              <w:szCs w:val="24"/>
              <w:lang w:val="en-GB" w:eastAsia="en-GB"/>
              <w14:ligatures w14:val="standardContextual"/>
            </w:rPr>
          </w:pPr>
          <w:r w:rsidRPr="00C34830">
            <w:rPr>
              <w:rFonts w:ascii="Arial" w:hAnsi="Arial" w:cs="Arial"/>
            </w:rPr>
            <w:fldChar w:fldCharType="begin"/>
          </w:r>
          <w:r w:rsidRPr="00C34830">
            <w:rPr>
              <w:rFonts w:ascii="Arial" w:hAnsi="Arial" w:cs="Arial"/>
            </w:rPr>
            <w:instrText xml:space="preserve"> TOC \o "1-3" \h \z \u </w:instrText>
          </w:r>
          <w:r w:rsidRPr="00C34830">
            <w:rPr>
              <w:rFonts w:ascii="Arial" w:hAnsi="Arial" w:cs="Arial"/>
            </w:rPr>
            <w:fldChar w:fldCharType="separate"/>
          </w:r>
          <w:hyperlink w:anchor="_Toc235641887" w:history="1">
            <w:r w:rsidR="00621D1C" w:rsidRPr="00C34830">
              <w:rPr>
                <w:rStyle w:val="Hyperlink"/>
                <w:rFonts w:ascii="Arial" w:hAnsi="Arial" w:cs="Arial"/>
                <w:noProof/>
              </w:rPr>
              <w:t>EVALUATING PERSON-CENTERED CARE AND PATNERSHIP WORKING IN UK HEALTH AND SOCIAL CARE PRACTICE</w:t>
            </w:r>
            <w:r w:rsidR="00621D1C" w:rsidRPr="00C34830">
              <w:rPr>
                <w:rFonts w:ascii="Arial" w:hAnsi="Arial" w:cs="Arial"/>
                <w:noProof/>
                <w:webHidden/>
              </w:rPr>
              <w:tab/>
            </w:r>
            <w:r w:rsidR="00621D1C" w:rsidRPr="00C34830">
              <w:rPr>
                <w:rFonts w:ascii="Arial" w:hAnsi="Arial" w:cs="Arial"/>
                <w:noProof/>
                <w:webHidden/>
              </w:rPr>
              <w:fldChar w:fldCharType="begin"/>
            </w:r>
            <w:r w:rsidR="00621D1C" w:rsidRPr="00C34830">
              <w:rPr>
                <w:rFonts w:ascii="Arial" w:hAnsi="Arial" w:cs="Arial"/>
                <w:noProof/>
                <w:webHidden/>
              </w:rPr>
              <w:instrText xml:space="preserve"> PAGEREF _Toc235641887 \h </w:instrText>
            </w:r>
            <w:r w:rsidR="00621D1C" w:rsidRPr="00C34830">
              <w:rPr>
                <w:rFonts w:ascii="Arial" w:hAnsi="Arial" w:cs="Arial"/>
                <w:noProof/>
                <w:webHidden/>
              </w:rPr>
            </w:r>
            <w:r w:rsidR="00621D1C" w:rsidRPr="00C34830">
              <w:rPr>
                <w:rFonts w:ascii="Arial" w:hAnsi="Arial" w:cs="Arial"/>
                <w:noProof/>
                <w:webHidden/>
              </w:rPr>
              <w:fldChar w:fldCharType="separate"/>
            </w:r>
            <w:r w:rsidR="00621D1C" w:rsidRPr="00C34830">
              <w:rPr>
                <w:rFonts w:ascii="Arial" w:hAnsi="Arial" w:cs="Arial"/>
                <w:noProof/>
                <w:webHidden/>
              </w:rPr>
              <w:t>1</w:t>
            </w:r>
            <w:r w:rsidR="00621D1C" w:rsidRPr="00C34830">
              <w:rPr>
                <w:rFonts w:ascii="Arial" w:hAnsi="Arial" w:cs="Arial"/>
                <w:noProof/>
                <w:webHidden/>
              </w:rPr>
              <w:fldChar w:fldCharType="end"/>
            </w:r>
          </w:hyperlink>
        </w:p>
        <w:p w14:paraId="43AADB2D" w14:textId="48258C0F" w:rsidR="00621D1C" w:rsidRPr="00C34830" w:rsidRDefault="00621D1C">
          <w:pPr>
            <w:pStyle w:val="TOC1"/>
            <w:tabs>
              <w:tab w:val="right" w:leader="dot" w:pos="9016"/>
            </w:tabs>
            <w:rPr>
              <w:rFonts w:ascii="Arial" w:eastAsiaTheme="minorEastAsia" w:hAnsi="Arial" w:cs="Arial"/>
              <w:noProof/>
              <w:kern w:val="2"/>
              <w:sz w:val="24"/>
              <w:szCs w:val="24"/>
              <w:lang w:val="en-GB" w:eastAsia="en-GB"/>
              <w14:ligatures w14:val="standardContextual"/>
            </w:rPr>
          </w:pPr>
          <w:hyperlink w:anchor="_Toc235641888" w:history="1">
            <w:r w:rsidRPr="00C34830">
              <w:rPr>
                <w:rStyle w:val="Hyperlink"/>
                <w:rFonts w:ascii="Arial" w:hAnsi="Arial" w:cs="Arial"/>
                <w:noProof/>
              </w:rPr>
              <w:t>INTRODUCTION</w:t>
            </w:r>
            <w:r w:rsidRPr="00C34830">
              <w:rPr>
                <w:rFonts w:ascii="Arial" w:hAnsi="Arial" w:cs="Arial"/>
                <w:noProof/>
                <w:webHidden/>
              </w:rPr>
              <w:tab/>
            </w:r>
            <w:r w:rsidRPr="00C34830">
              <w:rPr>
                <w:rFonts w:ascii="Arial" w:hAnsi="Arial" w:cs="Arial"/>
                <w:noProof/>
                <w:webHidden/>
              </w:rPr>
              <w:fldChar w:fldCharType="begin"/>
            </w:r>
            <w:r w:rsidRPr="00C34830">
              <w:rPr>
                <w:rFonts w:ascii="Arial" w:hAnsi="Arial" w:cs="Arial"/>
                <w:noProof/>
                <w:webHidden/>
              </w:rPr>
              <w:instrText xml:space="preserve"> PAGEREF _Toc235641888 \h </w:instrText>
            </w:r>
            <w:r w:rsidRPr="00C34830">
              <w:rPr>
                <w:rFonts w:ascii="Arial" w:hAnsi="Arial" w:cs="Arial"/>
                <w:noProof/>
                <w:webHidden/>
              </w:rPr>
            </w:r>
            <w:r w:rsidRPr="00C34830">
              <w:rPr>
                <w:rFonts w:ascii="Arial" w:hAnsi="Arial" w:cs="Arial"/>
                <w:noProof/>
                <w:webHidden/>
              </w:rPr>
              <w:fldChar w:fldCharType="separate"/>
            </w:r>
            <w:r w:rsidRPr="00C34830">
              <w:rPr>
                <w:rFonts w:ascii="Arial" w:hAnsi="Arial" w:cs="Arial"/>
                <w:noProof/>
                <w:webHidden/>
              </w:rPr>
              <w:t>1</w:t>
            </w:r>
            <w:r w:rsidRPr="00C34830">
              <w:rPr>
                <w:rFonts w:ascii="Arial" w:hAnsi="Arial" w:cs="Arial"/>
                <w:noProof/>
                <w:webHidden/>
              </w:rPr>
              <w:fldChar w:fldCharType="end"/>
            </w:r>
          </w:hyperlink>
        </w:p>
        <w:p w14:paraId="0CA73474" w14:textId="7F68C651" w:rsidR="00621D1C" w:rsidRPr="00C34830" w:rsidRDefault="00621D1C">
          <w:pPr>
            <w:pStyle w:val="TOC1"/>
            <w:tabs>
              <w:tab w:val="right" w:leader="dot" w:pos="9016"/>
            </w:tabs>
            <w:rPr>
              <w:rFonts w:ascii="Arial" w:eastAsiaTheme="minorEastAsia" w:hAnsi="Arial" w:cs="Arial"/>
              <w:noProof/>
              <w:kern w:val="2"/>
              <w:sz w:val="24"/>
              <w:szCs w:val="24"/>
              <w:lang w:val="en-GB" w:eastAsia="en-GB"/>
              <w14:ligatures w14:val="standardContextual"/>
            </w:rPr>
          </w:pPr>
          <w:hyperlink w:anchor="_Toc235641889" w:history="1">
            <w:r w:rsidRPr="00C34830">
              <w:rPr>
                <w:rStyle w:val="Hyperlink"/>
                <w:rFonts w:ascii="Arial" w:hAnsi="Arial" w:cs="Arial"/>
                <w:noProof/>
              </w:rPr>
              <w:t>PERSON-CENTERED CARE: DEFINITION, BENEFITS AND LIMITATIONS</w:t>
            </w:r>
            <w:r w:rsidRPr="00C34830">
              <w:rPr>
                <w:rFonts w:ascii="Arial" w:hAnsi="Arial" w:cs="Arial"/>
                <w:noProof/>
                <w:webHidden/>
              </w:rPr>
              <w:tab/>
            </w:r>
            <w:r w:rsidRPr="00C34830">
              <w:rPr>
                <w:rFonts w:ascii="Arial" w:hAnsi="Arial" w:cs="Arial"/>
                <w:noProof/>
                <w:webHidden/>
              </w:rPr>
              <w:fldChar w:fldCharType="begin"/>
            </w:r>
            <w:r w:rsidRPr="00C34830">
              <w:rPr>
                <w:rFonts w:ascii="Arial" w:hAnsi="Arial" w:cs="Arial"/>
                <w:noProof/>
                <w:webHidden/>
              </w:rPr>
              <w:instrText xml:space="preserve"> PAGEREF _Toc235641889 \h </w:instrText>
            </w:r>
            <w:r w:rsidRPr="00C34830">
              <w:rPr>
                <w:rFonts w:ascii="Arial" w:hAnsi="Arial" w:cs="Arial"/>
                <w:noProof/>
                <w:webHidden/>
              </w:rPr>
            </w:r>
            <w:r w:rsidRPr="00C34830">
              <w:rPr>
                <w:rFonts w:ascii="Arial" w:hAnsi="Arial" w:cs="Arial"/>
                <w:noProof/>
                <w:webHidden/>
              </w:rPr>
              <w:fldChar w:fldCharType="separate"/>
            </w:r>
            <w:r w:rsidRPr="00C34830">
              <w:rPr>
                <w:rFonts w:ascii="Arial" w:hAnsi="Arial" w:cs="Arial"/>
                <w:noProof/>
                <w:webHidden/>
              </w:rPr>
              <w:t>2</w:t>
            </w:r>
            <w:r w:rsidRPr="00C34830">
              <w:rPr>
                <w:rFonts w:ascii="Arial" w:hAnsi="Arial" w:cs="Arial"/>
                <w:noProof/>
                <w:webHidden/>
              </w:rPr>
              <w:fldChar w:fldCharType="end"/>
            </w:r>
          </w:hyperlink>
        </w:p>
        <w:p w14:paraId="0593F739" w14:textId="492F219C" w:rsidR="00621D1C" w:rsidRPr="00C34830" w:rsidRDefault="00621D1C">
          <w:pPr>
            <w:pStyle w:val="TOC1"/>
            <w:tabs>
              <w:tab w:val="right" w:leader="dot" w:pos="9016"/>
            </w:tabs>
            <w:rPr>
              <w:rFonts w:ascii="Arial" w:eastAsiaTheme="minorEastAsia" w:hAnsi="Arial" w:cs="Arial"/>
              <w:noProof/>
              <w:kern w:val="2"/>
              <w:sz w:val="24"/>
              <w:szCs w:val="24"/>
              <w:lang w:val="en-GB" w:eastAsia="en-GB"/>
              <w14:ligatures w14:val="standardContextual"/>
            </w:rPr>
          </w:pPr>
          <w:hyperlink w:anchor="_Toc235641890" w:history="1">
            <w:r w:rsidRPr="00C34830">
              <w:rPr>
                <w:rStyle w:val="Hyperlink"/>
                <w:rFonts w:ascii="Arial" w:hAnsi="Arial" w:cs="Arial"/>
                <w:noProof/>
                <w:lang w:val="en-GB"/>
              </w:rPr>
              <w:t>THEORY UNDERPINNING PCC</w:t>
            </w:r>
            <w:r w:rsidRPr="00C34830">
              <w:rPr>
                <w:rFonts w:ascii="Arial" w:hAnsi="Arial" w:cs="Arial"/>
                <w:noProof/>
                <w:webHidden/>
              </w:rPr>
              <w:tab/>
            </w:r>
            <w:r w:rsidR="0091644C" w:rsidRPr="00C34830">
              <w:rPr>
                <w:rFonts w:ascii="Arial" w:hAnsi="Arial" w:cs="Arial"/>
                <w:noProof/>
                <w:webHidden/>
              </w:rPr>
              <w:t>3</w:t>
            </w:r>
          </w:hyperlink>
        </w:p>
        <w:p w14:paraId="187FF836" w14:textId="363E058B" w:rsidR="00621D1C" w:rsidRPr="00C34830" w:rsidRDefault="00621D1C">
          <w:pPr>
            <w:pStyle w:val="TOC1"/>
            <w:tabs>
              <w:tab w:val="right" w:leader="dot" w:pos="9016"/>
            </w:tabs>
            <w:rPr>
              <w:rFonts w:ascii="Arial" w:eastAsiaTheme="minorEastAsia" w:hAnsi="Arial" w:cs="Arial"/>
              <w:noProof/>
              <w:kern w:val="2"/>
              <w:sz w:val="24"/>
              <w:szCs w:val="24"/>
              <w:lang w:val="en-GB" w:eastAsia="en-GB"/>
              <w14:ligatures w14:val="standardContextual"/>
            </w:rPr>
          </w:pPr>
          <w:hyperlink w:anchor="_Toc235641891" w:history="1">
            <w:r w:rsidRPr="00C34830">
              <w:rPr>
                <w:rStyle w:val="Hyperlink"/>
                <w:rFonts w:ascii="Arial" w:hAnsi="Arial" w:cs="Arial"/>
                <w:noProof/>
              </w:rPr>
              <w:t>ETHICAL FUNDAMENTALS IN HEALTH AND SOCIAL CARE</w:t>
            </w:r>
            <w:r w:rsidRPr="00C34830">
              <w:rPr>
                <w:rFonts w:ascii="Arial" w:hAnsi="Arial" w:cs="Arial"/>
                <w:noProof/>
                <w:webHidden/>
              </w:rPr>
              <w:tab/>
            </w:r>
            <w:r w:rsidR="0091644C" w:rsidRPr="00C34830">
              <w:rPr>
                <w:rFonts w:ascii="Arial" w:hAnsi="Arial" w:cs="Arial"/>
                <w:noProof/>
                <w:webHidden/>
              </w:rPr>
              <w:t>4</w:t>
            </w:r>
          </w:hyperlink>
        </w:p>
        <w:p w14:paraId="0061F36E" w14:textId="0DAA44AA" w:rsidR="00621D1C" w:rsidRPr="00C34830" w:rsidRDefault="00621D1C">
          <w:pPr>
            <w:pStyle w:val="TOC1"/>
            <w:tabs>
              <w:tab w:val="right" w:leader="dot" w:pos="9016"/>
            </w:tabs>
            <w:rPr>
              <w:rFonts w:ascii="Arial" w:eastAsiaTheme="minorEastAsia" w:hAnsi="Arial" w:cs="Arial"/>
              <w:noProof/>
              <w:kern w:val="2"/>
              <w:sz w:val="24"/>
              <w:szCs w:val="24"/>
              <w:lang w:val="en-GB" w:eastAsia="en-GB"/>
              <w14:ligatures w14:val="standardContextual"/>
            </w:rPr>
          </w:pPr>
          <w:hyperlink w:anchor="_Toc235641892" w:history="1">
            <w:r w:rsidRPr="00C34830">
              <w:rPr>
                <w:rStyle w:val="Hyperlink"/>
                <w:rFonts w:ascii="Arial" w:hAnsi="Arial" w:cs="Arial"/>
                <w:noProof/>
              </w:rPr>
              <w:t>PARTNERSHIP WORKING IN HEALTH AND SOCIAL CARE</w:t>
            </w:r>
            <w:r w:rsidRPr="00C34830">
              <w:rPr>
                <w:rFonts w:ascii="Arial" w:hAnsi="Arial" w:cs="Arial"/>
                <w:noProof/>
                <w:webHidden/>
              </w:rPr>
              <w:tab/>
            </w:r>
            <w:r w:rsidR="0091644C" w:rsidRPr="00C34830">
              <w:rPr>
                <w:rFonts w:ascii="Arial" w:hAnsi="Arial" w:cs="Arial"/>
                <w:noProof/>
                <w:webHidden/>
              </w:rPr>
              <w:t>5</w:t>
            </w:r>
          </w:hyperlink>
        </w:p>
        <w:p w14:paraId="48C48533" w14:textId="4E6B821F" w:rsidR="00621D1C" w:rsidRPr="00C34830" w:rsidRDefault="00621D1C">
          <w:pPr>
            <w:pStyle w:val="TOC1"/>
            <w:tabs>
              <w:tab w:val="right" w:leader="dot" w:pos="9016"/>
            </w:tabs>
            <w:rPr>
              <w:rFonts w:ascii="Arial" w:eastAsiaTheme="minorEastAsia" w:hAnsi="Arial" w:cs="Arial"/>
              <w:noProof/>
              <w:kern w:val="2"/>
              <w:sz w:val="24"/>
              <w:szCs w:val="24"/>
              <w:lang w:val="en-GB" w:eastAsia="en-GB"/>
              <w14:ligatures w14:val="standardContextual"/>
            </w:rPr>
          </w:pPr>
          <w:hyperlink w:anchor="_Toc235641893" w:history="1">
            <w:r w:rsidRPr="00C34830">
              <w:rPr>
                <w:rStyle w:val="Hyperlink"/>
                <w:rFonts w:ascii="Arial" w:hAnsi="Arial" w:cs="Arial"/>
                <w:noProof/>
              </w:rPr>
              <w:t>APPLICATION OF PARTNERSHIP WORKING IN HOSPITAL PRACTICE</w:t>
            </w:r>
            <w:r w:rsidRPr="00C34830">
              <w:rPr>
                <w:rFonts w:ascii="Arial" w:hAnsi="Arial" w:cs="Arial"/>
                <w:noProof/>
                <w:webHidden/>
              </w:rPr>
              <w:tab/>
            </w:r>
            <w:r w:rsidR="0091644C" w:rsidRPr="00C34830">
              <w:rPr>
                <w:rFonts w:ascii="Arial" w:hAnsi="Arial" w:cs="Arial"/>
                <w:noProof/>
                <w:webHidden/>
              </w:rPr>
              <w:t>6</w:t>
            </w:r>
          </w:hyperlink>
        </w:p>
        <w:p w14:paraId="3636BEE2" w14:textId="7AED91FD" w:rsidR="00621D1C" w:rsidRPr="00C34830" w:rsidRDefault="00621D1C">
          <w:pPr>
            <w:pStyle w:val="TOC1"/>
            <w:tabs>
              <w:tab w:val="right" w:leader="dot" w:pos="9016"/>
            </w:tabs>
            <w:rPr>
              <w:rFonts w:ascii="Arial" w:eastAsiaTheme="minorEastAsia" w:hAnsi="Arial" w:cs="Arial"/>
              <w:noProof/>
              <w:kern w:val="2"/>
              <w:sz w:val="24"/>
              <w:szCs w:val="24"/>
              <w:lang w:val="en-GB" w:eastAsia="en-GB"/>
              <w14:ligatures w14:val="standardContextual"/>
            </w:rPr>
          </w:pPr>
          <w:hyperlink w:anchor="_Toc235641894" w:history="1">
            <w:r w:rsidRPr="00C34830">
              <w:rPr>
                <w:rStyle w:val="Hyperlink"/>
                <w:rFonts w:ascii="Arial" w:hAnsi="Arial" w:cs="Arial"/>
                <w:noProof/>
              </w:rPr>
              <w:t>RELEVANT UK LEGISLATION AND POLICY</w:t>
            </w:r>
            <w:r w:rsidRPr="00C34830">
              <w:rPr>
                <w:rFonts w:ascii="Arial" w:hAnsi="Arial" w:cs="Arial"/>
                <w:noProof/>
                <w:webHidden/>
              </w:rPr>
              <w:tab/>
            </w:r>
            <w:r w:rsidR="0091644C" w:rsidRPr="00C34830">
              <w:rPr>
                <w:rFonts w:ascii="Arial" w:hAnsi="Arial" w:cs="Arial"/>
                <w:noProof/>
                <w:webHidden/>
              </w:rPr>
              <w:t>7</w:t>
            </w:r>
          </w:hyperlink>
        </w:p>
        <w:p w14:paraId="6D45C5A8" w14:textId="24897225" w:rsidR="00621D1C" w:rsidRPr="00C34830" w:rsidRDefault="00621D1C">
          <w:pPr>
            <w:pStyle w:val="TOC1"/>
            <w:tabs>
              <w:tab w:val="right" w:leader="dot" w:pos="9016"/>
            </w:tabs>
            <w:rPr>
              <w:rFonts w:ascii="Arial" w:eastAsiaTheme="minorEastAsia" w:hAnsi="Arial" w:cs="Arial"/>
              <w:noProof/>
              <w:kern w:val="2"/>
              <w:sz w:val="24"/>
              <w:szCs w:val="24"/>
              <w:lang w:val="en-GB" w:eastAsia="en-GB"/>
              <w14:ligatures w14:val="standardContextual"/>
            </w:rPr>
          </w:pPr>
          <w:hyperlink w:anchor="_Toc235641895" w:history="1">
            <w:r w:rsidRPr="00C34830">
              <w:rPr>
                <w:rStyle w:val="Hyperlink"/>
                <w:rFonts w:ascii="Arial" w:hAnsi="Arial" w:cs="Arial"/>
                <w:noProof/>
              </w:rPr>
              <w:t>RECOMMENDATIONS AND CONCLUSION</w:t>
            </w:r>
            <w:r w:rsidRPr="00C34830">
              <w:rPr>
                <w:rFonts w:ascii="Arial" w:hAnsi="Arial" w:cs="Arial"/>
                <w:noProof/>
                <w:webHidden/>
              </w:rPr>
              <w:tab/>
            </w:r>
            <w:r w:rsidR="0091644C" w:rsidRPr="00C34830">
              <w:rPr>
                <w:rFonts w:ascii="Arial" w:hAnsi="Arial" w:cs="Arial"/>
                <w:noProof/>
                <w:webHidden/>
              </w:rPr>
              <w:t>8</w:t>
            </w:r>
          </w:hyperlink>
        </w:p>
        <w:p w14:paraId="28BCAAE7" w14:textId="5EA89F11" w:rsidR="00621D1C" w:rsidRPr="00C34830" w:rsidRDefault="00621D1C">
          <w:pPr>
            <w:pStyle w:val="TOC1"/>
            <w:tabs>
              <w:tab w:val="right" w:leader="dot" w:pos="9016"/>
            </w:tabs>
            <w:rPr>
              <w:rFonts w:ascii="Arial" w:eastAsiaTheme="minorEastAsia" w:hAnsi="Arial" w:cs="Arial"/>
              <w:noProof/>
              <w:kern w:val="2"/>
              <w:sz w:val="24"/>
              <w:szCs w:val="24"/>
              <w:lang w:val="en-GB" w:eastAsia="en-GB"/>
              <w14:ligatures w14:val="standardContextual"/>
            </w:rPr>
          </w:pPr>
          <w:hyperlink w:anchor="_Toc235641896" w:history="1">
            <w:r w:rsidRPr="00C34830">
              <w:rPr>
                <w:rStyle w:val="Hyperlink"/>
                <w:rFonts w:ascii="Arial" w:hAnsi="Arial" w:cs="Arial"/>
                <w:noProof/>
                <w:lang w:val="en-GB"/>
              </w:rPr>
              <w:t>REFERENCES</w:t>
            </w:r>
            <w:r w:rsidRPr="00C34830">
              <w:rPr>
                <w:rFonts w:ascii="Arial" w:hAnsi="Arial" w:cs="Arial"/>
                <w:noProof/>
                <w:webHidden/>
              </w:rPr>
              <w:tab/>
            </w:r>
            <w:r w:rsidR="0091644C" w:rsidRPr="00C34830">
              <w:rPr>
                <w:rFonts w:ascii="Arial" w:hAnsi="Arial" w:cs="Arial"/>
                <w:noProof/>
                <w:webHidden/>
              </w:rPr>
              <w:t>9</w:t>
            </w:r>
          </w:hyperlink>
        </w:p>
        <w:p w14:paraId="25597CA5" w14:textId="68F536E8" w:rsidR="0075396F" w:rsidRPr="00C34830" w:rsidRDefault="0075396F">
          <w:pPr>
            <w:rPr>
              <w:rFonts w:ascii="Arial" w:hAnsi="Arial" w:cs="Arial"/>
            </w:rPr>
          </w:pPr>
          <w:r w:rsidRPr="00C34830">
            <w:rPr>
              <w:rFonts w:ascii="Arial" w:hAnsi="Arial" w:cs="Arial"/>
              <w:b/>
              <w:bCs/>
            </w:rPr>
            <w:fldChar w:fldCharType="end"/>
          </w:r>
        </w:p>
      </w:sdtContent>
    </w:sdt>
    <w:p w14:paraId="4F95E3A9" w14:textId="77777777" w:rsidR="00270A91" w:rsidRPr="00C34830" w:rsidRDefault="00270A91" w:rsidP="00F43D6C">
      <w:pPr>
        <w:rPr>
          <w:rFonts w:ascii="Arial" w:hAnsi="Arial" w:cs="Arial"/>
        </w:rPr>
      </w:pPr>
    </w:p>
    <w:p w14:paraId="67989966" w14:textId="560285F8" w:rsidR="0016284F" w:rsidRPr="00C34830" w:rsidRDefault="00C36573" w:rsidP="00C36573">
      <w:pPr>
        <w:pStyle w:val="Heading1"/>
        <w:rPr>
          <w:rFonts w:ascii="Arial" w:hAnsi="Arial" w:cs="Arial"/>
        </w:rPr>
      </w:pPr>
      <w:bookmarkStart w:id="0" w:name="_Toc235641887"/>
      <w:r w:rsidRPr="00C34830">
        <w:rPr>
          <w:rFonts w:ascii="Arial" w:hAnsi="Arial" w:cs="Arial"/>
        </w:rPr>
        <w:t>EVALUATING PERSON-CENTERED CARE AND PATNERSHIP WORKING IN UK HEALTH AND SOCIAL CARE PRACTICE</w:t>
      </w:r>
      <w:bookmarkEnd w:id="0"/>
    </w:p>
    <w:p w14:paraId="10F9CA53" w14:textId="5E24356F" w:rsidR="00270A91" w:rsidRPr="00C34830" w:rsidRDefault="00E3765F" w:rsidP="00E3765F">
      <w:pPr>
        <w:pStyle w:val="Heading1"/>
        <w:rPr>
          <w:rFonts w:ascii="Arial" w:hAnsi="Arial" w:cs="Arial"/>
        </w:rPr>
      </w:pPr>
      <w:bookmarkStart w:id="1" w:name="_Toc235641888"/>
      <w:r w:rsidRPr="00C34830">
        <w:rPr>
          <w:rFonts w:ascii="Arial" w:hAnsi="Arial" w:cs="Arial"/>
        </w:rPr>
        <w:t>INTRODUCTION</w:t>
      </w:r>
      <w:bookmarkEnd w:id="1"/>
    </w:p>
    <w:p w14:paraId="273F5454" w14:textId="5F2BEFB7" w:rsidR="00C32149" w:rsidRPr="00C34830" w:rsidRDefault="00715323" w:rsidP="00715323">
      <w:pPr>
        <w:rPr>
          <w:rFonts w:ascii="Arial" w:hAnsi="Arial" w:cs="Arial"/>
          <w:lang w:val="en-GB"/>
        </w:rPr>
      </w:pPr>
      <w:r w:rsidRPr="00C34830">
        <w:rPr>
          <w:rFonts w:ascii="Arial" w:hAnsi="Arial" w:cs="Arial"/>
          <w:lang w:val="en-GB"/>
        </w:rPr>
        <w:t>Person-centred care (PCC) is a fundamental principle of modern health and social care in the United Kingdom. It is a holistic approach that places individuals at the centre of decisions about their health and wellbeing by recognising their values, preferences and unique needs. Rather than focusing solely on treating illness, PCC promotes dignity, respect, autonomy and shared decision-making, enabling individuals to work collaboratively with healthcare professionals to achieve better health outcomes (Health Foundation, 2016</w:t>
      </w:r>
      <w:r w:rsidR="00AE57CB" w:rsidRPr="00C34830">
        <w:rPr>
          <w:rFonts w:ascii="Arial" w:hAnsi="Arial" w:cs="Arial"/>
          <w:lang w:val="en-GB"/>
        </w:rPr>
        <w:t>).</w:t>
      </w:r>
    </w:p>
    <w:p w14:paraId="4EEF6EE5" w14:textId="5A4A535B" w:rsidR="00715323" w:rsidRPr="00C34830" w:rsidRDefault="00715323" w:rsidP="00715323">
      <w:pPr>
        <w:rPr>
          <w:rFonts w:ascii="Arial" w:hAnsi="Arial" w:cs="Arial"/>
          <w:lang w:val="en-GB"/>
        </w:rPr>
      </w:pPr>
      <w:r w:rsidRPr="00C34830">
        <w:rPr>
          <w:rFonts w:ascii="Arial" w:hAnsi="Arial" w:cs="Arial"/>
          <w:lang w:val="en-GB"/>
        </w:rPr>
        <w:t xml:space="preserve">Alongside PCC, partnership working is essential in delivering coordinated, safe and high-quality care through collaboration between multidisciplinary healthcare professionals, patients, families and other agencies </w:t>
      </w:r>
      <w:r w:rsidR="00977551" w:rsidRPr="00C34830">
        <w:rPr>
          <w:rFonts w:ascii="Arial" w:hAnsi="Arial" w:cs="Arial"/>
          <w:lang w:val="en-GB"/>
        </w:rPr>
        <w:t>(NMC, 2018)</w:t>
      </w:r>
      <w:r w:rsidRPr="00C34830">
        <w:rPr>
          <w:rFonts w:ascii="Arial" w:hAnsi="Arial" w:cs="Arial"/>
          <w:lang w:val="en-GB"/>
        </w:rPr>
        <w:t>.</w:t>
      </w:r>
    </w:p>
    <w:p w14:paraId="4C277A57" w14:textId="69A313D0" w:rsidR="00977551" w:rsidRPr="00C34830" w:rsidRDefault="00715323" w:rsidP="00715323">
      <w:pPr>
        <w:rPr>
          <w:rFonts w:ascii="Arial" w:hAnsi="Arial" w:cs="Arial"/>
          <w:lang w:val="en-GB"/>
        </w:rPr>
      </w:pPr>
      <w:r w:rsidRPr="00C34830">
        <w:rPr>
          <w:rFonts w:ascii="Arial" w:hAnsi="Arial" w:cs="Arial"/>
          <w:lang w:val="en-GB"/>
        </w:rPr>
        <w:t xml:space="preserve">The integration of PCC and partnership working is particularly important in hospital settings, where patients often have complex health needs that require input from multidisciplinary teams. Effective communication, coordinated care planning, and shared decision-making enable healthcare professionals to provide </w:t>
      </w:r>
      <w:r w:rsidR="00E16BDF">
        <w:rPr>
          <w:rFonts w:ascii="Arial" w:hAnsi="Arial" w:cs="Arial"/>
          <w:lang w:val="en-GB"/>
        </w:rPr>
        <w:t>comprehensive</w:t>
      </w:r>
      <w:r w:rsidRPr="00C34830">
        <w:rPr>
          <w:rFonts w:ascii="Arial" w:hAnsi="Arial" w:cs="Arial"/>
          <w:lang w:val="en-GB"/>
        </w:rPr>
        <w:t xml:space="preserve"> care that addresses patients' physical, psychological, social, and emotional well-being. However, implementing these approaches can be challenging due to increasing service demands, workforce shortages and limited resources </w:t>
      </w:r>
      <w:r w:rsidR="00977551" w:rsidRPr="00C34830">
        <w:rPr>
          <w:rFonts w:ascii="Arial" w:hAnsi="Arial" w:cs="Arial"/>
          <w:lang w:val="en-GB"/>
        </w:rPr>
        <w:t>(Pi</w:t>
      </w:r>
      <w:r w:rsidR="00C87AC3" w:rsidRPr="00C34830">
        <w:rPr>
          <w:rFonts w:ascii="Arial" w:hAnsi="Arial" w:cs="Arial"/>
          <w:lang w:val="en-GB"/>
        </w:rPr>
        <w:t>cker, 2025)</w:t>
      </w:r>
      <w:r w:rsidRPr="00C34830">
        <w:rPr>
          <w:rFonts w:ascii="Arial" w:hAnsi="Arial" w:cs="Arial"/>
          <w:lang w:val="en-GB"/>
        </w:rPr>
        <w:t xml:space="preserve">. </w:t>
      </w:r>
    </w:p>
    <w:p w14:paraId="527E1677" w14:textId="59FFFA05" w:rsidR="00715323" w:rsidRPr="00C34830" w:rsidRDefault="00715323" w:rsidP="00715323">
      <w:pPr>
        <w:rPr>
          <w:rFonts w:ascii="Arial" w:hAnsi="Arial" w:cs="Arial"/>
          <w:lang w:val="en-GB"/>
        </w:rPr>
      </w:pPr>
      <w:r w:rsidRPr="00C34830">
        <w:rPr>
          <w:rFonts w:ascii="Arial" w:hAnsi="Arial" w:cs="Arial"/>
          <w:lang w:val="en-GB"/>
        </w:rPr>
        <w:lastRenderedPageBreak/>
        <w:t>This report critically evaluates person-centred care and partnership working within hospital practice by examining their underpinning theories, ethical principles, relevant legislation and policies and their contribution to improving patient outcomes in the UK healthcare system.</w:t>
      </w:r>
    </w:p>
    <w:p w14:paraId="5DD5F821" w14:textId="55CA0E5D" w:rsidR="00901A23" w:rsidRPr="00C34830" w:rsidRDefault="006C6DEB" w:rsidP="00985C1B">
      <w:pPr>
        <w:pStyle w:val="Heading1"/>
        <w:rPr>
          <w:rFonts w:ascii="Arial" w:hAnsi="Arial" w:cs="Arial"/>
        </w:rPr>
      </w:pPr>
      <w:bookmarkStart w:id="2" w:name="_Toc235641889"/>
      <w:r w:rsidRPr="00C34830">
        <w:rPr>
          <w:rFonts w:ascii="Arial" w:hAnsi="Arial" w:cs="Arial"/>
        </w:rPr>
        <w:t>PERSON-CENTERED CARE: DEFINITION, BENEFITS AND LIMITATIONS</w:t>
      </w:r>
      <w:bookmarkEnd w:id="2"/>
    </w:p>
    <w:p w14:paraId="7BBFDD44" w14:textId="1E4A47C8" w:rsidR="00C87AC3" w:rsidRPr="00C34830" w:rsidRDefault="00517651" w:rsidP="006C6DEB">
      <w:pPr>
        <w:rPr>
          <w:rFonts w:ascii="Arial" w:hAnsi="Arial" w:cs="Arial"/>
        </w:rPr>
      </w:pPr>
      <w:r w:rsidRPr="00C34830">
        <w:rPr>
          <w:rFonts w:ascii="Arial" w:hAnsi="Arial" w:cs="Arial"/>
        </w:rPr>
        <w:t>Person-centered care (PCC) is a healthcare methodology that prioritises individuals in the decision-making process regarding their care by acknowledging their values, preferences, needs, and objectives. Instead of concentrating solely on the illness, PCC fosters dignity, autonomy, and collaborative decision-making through partnerships between patients and healthcare providers (Health Foundation, 2016)</w:t>
      </w:r>
      <w:r w:rsidR="00D9261F" w:rsidRPr="00C34830">
        <w:rPr>
          <w:rFonts w:ascii="Arial" w:hAnsi="Arial" w:cs="Arial"/>
        </w:rPr>
        <w:t>.</w:t>
      </w:r>
    </w:p>
    <w:p w14:paraId="4513DD54" w14:textId="77777777" w:rsidR="00442635" w:rsidRPr="00C34830" w:rsidRDefault="00517651" w:rsidP="006C6DEB">
      <w:pPr>
        <w:rPr>
          <w:rFonts w:ascii="Arial" w:hAnsi="Arial" w:cs="Arial"/>
        </w:rPr>
      </w:pPr>
      <w:r w:rsidRPr="00C34830">
        <w:rPr>
          <w:rFonts w:ascii="Arial" w:hAnsi="Arial" w:cs="Arial"/>
        </w:rPr>
        <w:t xml:space="preserve">McCormack and McCance (2017) further highlight that </w:t>
      </w:r>
      <w:r w:rsidR="008D7776" w:rsidRPr="00C34830">
        <w:rPr>
          <w:rFonts w:ascii="Arial" w:hAnsi="Arial" w:cs="Arial"/>
        </w:rPr>
        <w:t>person-centered</w:t>
      </w:r>
      <w:r w:rsidRPr="00C34830">
        <w:rPr>
          <w:rFonts w:ascii="Arial" w:hAnsi="Arial" w:cs="Arial"/>
        </w:rPr>
        <w:t xml:space="preserve"> care is founded on therapeutic relationships that </w:t>
      </w:r>
      <w:r w:rsidR="00840E2A" w:rsidRPr="00C34830">
        <w:rPr>
          <w:rFonts w:ascii="Arial" w:hAnsi="Arial" w:cs="Arial"/>
        </w:rPr>
        <w:t>honour</w:t>
      </w:r>
      <w:r w:rsidRPr="00C34830">
        <w:rPr>
          <w:rFonts w:ascii="Arial" w:hAnsi="Arial" w:cs="Arial"/>
        </w:rPr>
        <w:t xml:space="preserve"> individuals' rights and facilitate </w:t>
      </w:r>
      <w:r w:rsidR="008D7776" w:rsidRPr="00C34830">
        <w:rPr>
          <w:rFonts w:ascii="Arial" w:hAnsi="Arial" w:cs="Arial"/>
        </w:rPr>
        <w:t>personalised</w:t>
      </w:r>
      <w:r w:rsidRPr="00C34830">
        <w:rPr>
          <w:rFonts w:ascii="Arial" w:hAnsi="Arial" w:cs="Arial"/>
        </w:rPr>
        <w:t xml:space="preserve"> care. In hospital environments, this approach allows multidisciplinary teams to deliver comprehensive care that meets patients' physical, psychological, social, and emotional requirements. </w:t>
      </w:r>
      <w:r w:rsidR="00433E41" w:rsidRPr="00C34830">
        <w:rPr>
          <w:rFonts w:ascii="Arial" w:hAnsi="Arial" w:cs="Arial"/>
        </w:rPr>
        <w:t>Person-centred</w:t>
      </w:r>
      <w:r w:rsidRPr="00C34830">
        <w:rPr>
          <w:rFonts w:ascii="Arial" w:hAnsi="Arial" w:cs="Arial"/>
        </w:rPr>
        <w:t xml:space="preserve"> care presents numerous advantages for both patients and healthcare </w:t>
      </w:r>
      <w:r w:rsidR="008D7776" w:rsidRPr="00C34830">
        <w:rPr>
          <w:rFonts w:ascii="Arial" w:hAnsi="Arial" w:cs="Arial"/>
        </w:rPr>
        <w:t>organisations</w:t>
      </w:r>
      <w:r w:rsidRPr="00C34830">
        <w:rPr>
          <w:rFonts w:ascii="Arial" w:hAnsi="Arial" w:cs="Arial"/>
        </w:rPr>
        <w:t xml:space="preserve">. </w:t>
      </w:r>
      <w:r w:rsidR="00433E41" w:rsidRPr="00C34830">
        <w:rPr>
          <w:rFonts w:ascii="Arial" w:hAnsi="Arial" w:cs="Arial"/>
        </w:rPr>
        <w:t>Engaging</w:t>
      </w:r>
      <w:r w:rsidRPr="00C34830">
        <w:rPr>
          <w:rFonts w:ascii="Arial" w:hAnsi="Arial" w:cs="Arial"/>
        </w:rPr>
        <w:t xml:space="preserve"> patients in the decision-making process regarding their treatment, it enhances patient satisfaction, improves communication, and promotes adherence to treatment plans, resulting in superior health outcomes (NICE, 2021). </w:t>
      </w:r>
    </w:p>
    <w:p w14:paraId="174182C1" w14:textId="6715A97C" w:rsidR="00C87AC3" w:rsidRPr="00C34830" w:rsidRDefault="00517651" w:rsidP="006C6DEB">
      <w:pPr>
        <w:rPr>
          <w:rFonts w:ascii="Arial" w:hAnsi="Arial" w:cs="Arial"/>
        </w:rPr>
      </w:pPr>
      <w:r w:rsidRPr="00C34830">
        <w:rPr>
          <w:rFonts w:ascii="Arial" w:hAnsi="Arial" w:cs="Arial"/>
        </w:rPr>
        <w:t xml:space="preserve">Santana et al. (2018) also contend that PCC improves patient safety, </w:t>
      </w:r>
      <w:r w:rsidR="00840E2A" w:rsidRPr="00C34830">
        <w:rPr>
          <w:rFonts w:ascii="Arial" w:hAnsi="Arial" w:cs="Arial"/>
        </w:rPr>
        <w:t>minimises</w:t>
      </w:r>
      <w:r w:rsidRPr="00C34830">
        <w:rPr>
          <w:rFonts w:ascii="Arial" w:hAnsi="Arial" w:cs="Arial"/>
        </w:rPr>
        <w:t xml:space="preserve"> medical errors, and fosters continuity of care through effective communication and collaborative care planning. Moreover, </w:t>
      </w:r>
      <w:r w:rsidR="008D7776" w:rsidRPr="00C34830">
        <w:rPr>
          <w:rFonts w:ascii="Arial" w:hAnsi="Arial" w:cs="Arial"/>
        </w:rPr>
        <w:t>honouring</w:t>
      </w:r>
      <w:r w:rsidRPr="00C34830">
        <w:rPr>
          <w:rFonts w:ascii="Arial" w:hAnsi="Arial" w:cs="Arial"/>
        </w:rPr>
        <w:t xml:space="preserve"> patients' autonomy and involving them in their care cultivates trust, independence, and overall </w:t>
      </w:r>
      <w:r w:rsidR="008D7776" w:rsidRPr="00C34830">
        <w:rPr>
          <w:rFonts w:ascii="Arial" w:hAnsi="Arial" w:cs="Arial"/>
        </w:rPr>
        <w:t>well-being</w:t>
      </w:r>
      <w:r w:rsidRPr="00C34830">
        <w:rPr>
          <w:rFonts w:ascii="Arial" w:hAnsi="Arial" w:cs="Arial"/>
        </w:rPr>
        <w:t xml:space="preserve">. However, despite these benefits, the implementation of PCC in hospitals can pose challenges. Workforce shortages, rising patient demand, and constrained resources frequently limit the time available for meaningful patient engagement (Department of Health and Social Care, 2022). </w:t>
      </w:r>
    </w:p>
    <w:p w14:paraId="6920BE3E" w14:textId="0A987EB4" w:rsidR="006C6DEB" w:rsidRPr="00C34830" w:rsidRDefault="00517651" w:rsidP="006C6DEB">
      <w:pPr>
        <w:rPr>
          <w:rFonts w:ascii="Arial" w:hAnsi="Arial" w:cs="Arial"/>
        </w:rPr>
      </w:pPr>
      <w:r w:rsidRPr="00C34830">
        <w:rPr>
          <w:rFonts w:ascii="Arial" w:hAnsi="Arial" w:cs="Arial"/>
        </w:rPr>
        <w:t xml:space="preserve">Communication obstacles, cultural variances, and differing levels of health literacy may also hinder patients' involvement in decision-making. As a result, while PCC is acknowledged as </w:t>
      </w:r>
      <w:r w:rsidR="008D7776" w:rsidRPr="00C34830">
        <w:rPr>
          <w:rFonts w:ascii="Arial" w:hAnsi="Arial" w:cs="Arial"/>
        </w:rPr>
        <w:t>the best</w:t>
      </w:r>
      <w:r w:rsidRPr="00C34830">
        <w:rPr>
          <w:rFonts w:ascii="Arial" w:hAnsi="Arial" w:cs="Arial"/>
        </w:rPr>
        <w:t xml:space="preserve"> practice, its effective implementation relies on adequate staffing, professional training, and </w:t>
      </w:r>
      <w:r w:rsidR="00433E41" w:rsidRPr="00C34830">
        <w:rPr>
          <w:rFonts w:ascii="Arial" w:hAnsi="Arial" w:cs="Arial"/>
        </w:rPr>
        <w:t>organisational</w:t>
      </w:r>
      <w:r w:rsidRPr="00C34830">
        <w:rPr>
          <w:rFonts w:ascii="Arial" w:hAnsi="Arial" w:cs="Arial"/>
        </w:rPr>
        <w:t xml:space="preserve"> support to guarantee consistent, high-quality, and </w:t>
      </w:r>
      <w:r w:rsidR="00840E2A" w:rsidRPr="00C34830">
        <w:rPr>
          <w:rFonts w:ascii="Arial" w:hAnsi="Arial" w:cs="Arial"/>
        </w:rPr>
        <w:t>individualised</w:t>
      </w:r>
      <w:r w:rsidRPr="00C34830">
        <w:rPr>
          <w:rFonts w:ascii="Arial" w:hAnsi="Arial" w:cs="Arial"/>
        </w:rPr>
        <w:t xml:space="preserve"> care.</w:t>
      </w:r>
    </w:p>
    <w:p w14:paraId="41F12CC8" w14:textId="7A955E9E" w:rsidR="00901A23" w:rsidRPr="00C34830" w:rsidRDefault="008606E8" w:rsidP="008606E8">
      <w:pPr>
        <w:pStyle w:val="Heading1"/>
        <w:rPr>
          <w:rFonts w:ascii="Arial" w:hAnsi="Arial" w:cs="Arial"/>
          <w:lang w:val="en-GB"/>
        </w:rPr>
      </w:pPr>
      <w:bookmarkStart w:id="3" w:name="_Toc235641890"/>
      <w:r w:rsidRPr="00C34830">
        <w:rPr>
          <w:rFonts w:ascii="Arial" w:hAnsi="Arial" w:cs="Arial"/>
          <w:lang w:val="en-GB"/>
        </w:rPr>
        <w:t>THEOR</w:t>
      </w:r>
      <w:r w:rsidR="00D02FDF" w:rsidRPr="00C34830">
        <w:rPr>
          <w:rFonts w:ascii="Arial" w:hAnsi="Arial" w:cs="Arial"/>
          <w:lang w:val="en-GB"/>
        </w:rPr>
        <w:t>Y</w:t>
      </w:r>
      <w:r w:rsidRPr="00C34830">
        <w:rPr>
          <w:rFonts w:ascii="Arial" w:hAnsi="Arial" w:cs="Arial"/>
          <w:lang w:val="en-GB"/>
        </w:rPr>
        <w:t xml:space="preserve"> UNDERPINNING PCC</w:t>
      </w:r>
      <w:bookmarkEnd w:id="3"/>
    </w:p>
    <w:p w14:paraId="1E9F203D" w14:textId="39C3361B" w:rsidR="00F207F3" w:rsidRPr="00C34830" w:rsidRDefault="00F207F3" w:rsidP="00715323">
      <w:pPr>
        <w:rPr>
          <w:rFonts w:ascii="Arial" w:hAnsi="Arial" w:cs="Arial"/>
        </w:rPr>
      </w:pPr>
      <w:r w:rsidRPr="00C34830">
        <w:rPr>
          <w:rFonts w:ascii="Arial" w:hAnsi="Arial" w:cs="Arial"/>
        </w:rPr>
        <w:t>Person-</w:t>
      </w:r>
      <w:r w:rsidR="00D95D32" w:rsidRPr="00C34830">
        <w:rPr>
          <w:rFonts w:ascii="Arial" w:hAnsi="Arial" w:cs="Arial"/>
        </w:rPr>
        <w:t>centered</w:t>
      </w:r>
      <w:r w:rsidRPr="00C34830">
        <w:rPr>
          <w:rFonts w:ascii="Arial" w:hAnsi="Arial" w:cs="Arial"/>
        </w:rPr>
        <w:t xml:space="preserve"> care (PCC) is grounded in modern nursing theory that contests traditional, paternalistic healthcare models by </w:t>
      </w:r>
      <w:r w:rsidR="00512F54" w:rsidRPr="00C34830">
        <w:rPr>
          <w:rFonts w:ascii="Arial" w:hAnsi="Arial" w:cs="Arial"/>
        </w:rPr>
        <w:t>prioritising</w:t>
      </w:r>
      <w:r w:rsidRPr="00C34830">
        <w:rPr>
          <w:rFonts w:ascii="Arial" w:hAnsi="Arial" w:cs="Arial"/>
        </w:rPr>
        <w:t xml:space="preserve"> the care of individuals over merely treating medical conditions</w:t>
      </w:r>
      <w:r w:rsidR="004E10C0" w:rsidRPr="00C34830">
        <w:rPr>
          <w:rFonts w:ascii="Arial" w:hAnsi="Arial" w:cs="Arial"/>
        </w:rPr>
        <w:t xml:space="preserve"> (Royal College of Nursing, 2024)</w:t>
      </w:r>
      <w:r w:rsidRPr="00C34830">
        <w:rPr>
          <w:rFonts w:ascii="Arial" w:hAnsi="Arial" w:cs="Arial"/>
        </w:rPr>
        <w:t xml:space="preserve">. McCormack and McCance (2017) articulated this transition through their </w:t>
      </w:r>
      <w:r w:rsidR="00332B9E" w:rsidRPr="00C34830">
        <w:rPr>
          <w:rFonts w:ascii="Arial" w:hAnsi="Arial" w:cs="Arial"/>
        </w:rPr>
        <w:t>p</w:t>
      </w:r>
      <w:r w:rsidRPr="00C34830">
        <w:rPr>
          <w:rFonts w:ascii="Arial" w:hAnsi="Arial" w:cs="Arial"/>
        </w:rPr>
        <w:t>erson-</w:t>
      </w:r>
      <w:r w:rsidR="00D95D32" w:rsidRPr="00C34830">
        <w:rPr>
          <w:rFonts w:ascii="Arial" w:hAnsi="Arial" w:cs="Arial"/>
        </w:rPr>
        <w:t>centered</w:t>
      </w:r>
      <w:r w:rsidRPr="00C34830">
        <w:rPr>
          <w:rFonts w:ascii="Arial" w:hAnsi="Arial" w:cs="Arial"/>
        </w:rPr>
        <w:t xml:space="preserve"> Practice Framework</w:t>
      </w:r>
      <w:r w:rsidR="003555EF">
        <w:rPr>
          <w:rFonts w:ascii="Arial" w:hAnsi="Arial" w:cs="Arial"/>
        </w:rPr>
        <w:t xml:space="preserve"> consists</w:t>
      </w:r>
      <w:r w:rsidR="00202A38">
        <w:rPr>
          <w:rFonts w:ascii="Arial" w:hAnsi="Arial" w:cs="Arial"/>
        </w:rPr>
        <w:t xml:space="preserve"> of essential professional attributes, a supportive healthcare setting, patient-focused care practices </w:t>
      </w:r>
      <w:r w:rsidR="00B55E01">
        <w:rPr>
          <w:rFonts w:ascii="Arial" w:hAnsi="Arial" w:cs="Arial"/>
        </w:rPr>
        <w:t>and improved health and wellbeing outcomes.</w:t>
      </w:r>
    </w:p>
    <w:p w14:paraId="1931CFFD" w14:textId="2BB29AEC" w:rsidR="00F207F3" w:rsidRPr="00C34830" w:rsidRDefault="00F207F3" w:rsidP="00715323">
      <w:pPr>
        <w:rPr>
          <w:rFonts w:ascii="Arial" w:hAnsi="Arial" w:cs="Arial"/>
        </w:rPr>
      </w:pPr>
      <w:r w:rsidRPr="00C34830">
        <w:rPr>
          <w:rFonts w:ascii="Arial" w:hAnsi="Arial" w:cs="Arial"/>
        </w:rPr>
        <w:t xml:space="preserve">The framework initiates with prerequisites, </w:t>
      </w:r>
      <w:r w:rsidR="00925DAD" w:rsidRPr="00C34830">
        <w:rPr>
          <w:rFonts w:ascii="Arial" w:hAnsi="Arial" w:cs="Arial"/>
        </w:rPr>
        <w:t>emphasising</w:t>
      </w:r>
      <w:r w:rsidRPr="00C34830">
        <w:rPr>
          <w:rFonts w:ascii="Arial" w:hAnsi="Arial" w:cs="Arial"/>
        </w:rPr>
        <w:t xml:space="preserve"> the essential qualities of the practitioner, such as professional competence, interpersonal skills, and self-awareness. </w:t>
      </w:r>
      <w:r w:rsidRPr="00C34830">
        <w:rPr>
          <w:rFonts w:ascii="Arial" w:hAnsi="Arial" w:cs="Arial"/>
        </w:rPr>
        <w:lastRenderedPageBreak/>
        <w:t>These attributes empower healthcare professionals to effectively navigate the care environment, which includes contextual elements like supportive power-sharing, efficient communication, and the physical layout of healthcare facilities. Collectively, these components facilitate the implementation of person-</w:t>
      </w:r>
      <w:r w:rsidR="00D95D32" w:rsidRPr="00C34830">
        <w:rPr>
          <w:rFonts w:ascii="Arial" w:hAnsi="Arial" w:cs="Arial"/>
        </w:rPr>
        <w:t>centered</w:t>
      </w:r>
      <w:r w:rsidRPr="00C34830">
        <w:rPr>
          <w:rFonts w:ascii="Arial" w:hAnsi="Arial" w:cs="Arial"/>
        </w:rPr>
        <w:t xml:space="preserve"> processes, wherein care is delivered through collaborative decision-making, empathetic presence, and alignment with the values of patients. Ultimately, these processes lead to favorable person-</w:t>
      </w:r>
      <w:r w:rsidR="00D95D32" w:rsidRPr="00C34830">
        <w:rPr>
          <w:rFonts w:ascii="Arial" w:hAnsi="Arial" w:cs="Arial"/>
        </w:rPr>
        <w:t>centered</w:t>
      </w:r>
      <w:r w:rsidRPr="00C34830">
        <w:rPr>
          <w:rFonts w:ascii="Arial" w:hAnsi="Arial" w:cs="Arial"/>
        </w:rPr>
        <w:t xml:space="preserve"> outcomes, including increased patient satisfaction, active participation in care, and an enhanced sense of well-being (McCormack and McCance, 2017). </w:t>
      </w:r>
    </w:p>
    <w:p w14:paraId="361AB4E5" w14:textId="6E009214" w:rsidR="00901A23" w:rsidRPr="00C34830" w:rsidRDefault="00F207F3" w:rsidP="00715323">
      <w:pPr>
        <w:rPr>
          <w:rFonts w:ascii="Arial" w:hAnsi="Arial" w:cs="Arial"/>
        </w:rPr>
      </w:pPr>
      <w:r w:rsidRPr="00C34830">
        <w:rPr>
          <w:rFonts w:ascii="Arial" w:hAnsi="Arial" w:cs="Arial"/>
        </w:rPr>
        <w:t>In hospital settings, this framework serves as a practical operational guide for multidisciplinary teams. During ward rounds or discharge planning, staff engage with the processes domain by collaboratively establishing daily care objectives with patients, rather than imposing rigid, task-focused pathways. Additionally, by addressing the care environment, the model ensures that organizational structures actively facilitate the provision of individualized care. McCormack and McCance (2017) illustrate that the successful integration of PCC into complex hospital practices necessitates the alignment of individual practitioner qualities with supportive structural environments.</w:t>
      </w:r>
    </w:p>
    <w:p w14:paraId="7FCF2BA3" w14:textId="36A06133" w:rsidR="00421D1C" w:rsidRPr="00C34830" w:rsidRDefault="00A50E2D" w:rsidP="00A50E2D">
      <w:pPr>
        <w:pStyle w:val="Heading1"/>
        <w:rPr>
          <w:rFonts w:ascii="Arial" w:hAnsi="Arial" w:cs="Arial"/>
        </w:rPr>
      </w:pPr>
      <w:bookmarkStart w:id="4" w:name="_Toc235641891"/>
      <w:r w:rsidRPr="00C34830">
        <w:rPr>
          <w:rFonts w:ascii="Arial" w:hAnsi="Arial" w:cs="Arial"/>
        </w:rPr>
        <w:t>ETHICAL FUNDAMENTALS IN HEALTH AND SOCIAL CARE</w:t>
      </w:r>
      <w:bookmarkEnd w:id="4"/>
    </w:p>
    <w:p w14:paraId="001C98D8" w14:textId="77777777" w:rsidR="00A368D5" w:rsidRPr="00C34830" w:rsidRDefault="00225C3D" w:rsidP="00A50E2D">
      <w:pPr>
        <w:rPr>
          <w:rFonts w:ascii="Arial" w:hAnsi="Arial" w:cs="Arial"/>
        </w:rPr>
      </w:pPr>
      <w:r w:rsidRPr="00C34830">
        <w:rPr>
          <w:rFonts w:ascii="Arial" w:hAnsi="Arial" w:cs="Arial"/>
        </w:rPr>
        <w:t>Person-</w:t>
      </w:r>
      <w:r w:rsidR="00681EEE" w:rsidRPr="00C34830">
        <w:rPr>
          <w:rFonts w:ascii="Arial" w:hAnsi="Arial" w:cs="Arial"/>
        </w:rPr>
        <w:t>centered</w:t>
      </w:r>
      <w:r w:rsidRPr="00C34830">
        <w:rPr>
          <w:rFonts w:ascii="Arial" w:hAnsi="Arial" w:cs="Arial"/>
        </w:rPr>
        <w:t xml:space="preserve"> care (PCC) and collaborative practice are founded on four fundamental bioethical principles: autonomy, beneficence, non-maleficence, and justice (Beauchamp and Childress, 2019). </w:t>
      </w:r>
    </w:p>
    <w:p w14:paraId="44C4A5F8" w14:textId="77777777" w:rsidR="00A368D5" w:rsidRPr="00C34830" w:rsidRDefault="00225C3D" w:rsidP="00A50E2D">
      <w:pPr>
        <w:rPr>
          <w:rFonts w:ascii="Arial" w:hAnsi="Arial" w:cs="Arial"/>
        </w:rPr>
      </w:pPr>
      <w:r w:rsidRPr="00C34830">
        <w:rPr>
          <w:rFonts w:ascii="Arial" w:hAnsi="Arial" w:cs="Arial"/>
        </w:rPr>
        <w:t>Autonomy opposes paternalism, affirming an individual's right to self-determination, informed consent, and the refusal of treatment when they possess decision-making capacity (Health Foundation, 2016).</w:t>
      </w:r>
    </w:p>
    <w:p w14:paraId="31366DCE" w14:textId="77777777" w:rsidR="00A368D5" w:rsidRPr="00C34830" w:rsidRDefault="00225C3D" w:rsidP="00A50E2D">
      <w:pPr>
        <w:rPr>
          <w:rFonts w:ascii="Arial" w:hAnsi="Arial" w:cs="Arial"/>
        </w:rPr>
      </w:pPr>
      <w:r w:rsidRPr="00C34830">
        <w:rPr>
          <w:rFonts w:ascii="Arial" w:hAnsi="Arial" w:cs="Arial"/>
        </w:rPr>
        <w:t xml:space="preserve">The interplay between beneficence (the promotion of well-being) and non-maleficence (the obligation to avoid harm) necessitates that clinicians assess treatment risks in relation to the patient's values and priorities regarding quality of life. </w:t>
      </w:r>
    </w:p>
    <w:p w14:paraId="7E6E484E" w14:textId="2EF612A7" w:rsidR="00A50E2D" w:rsidRPr="00C34830" w:rsidRDefault="00225C3D" w:rsidP="00A50E2D">
      <w:pPr>
        <w:rPr>
          <w:rFonts w:ascii="Arial" w:hAnsi="Arial" w:cs="Arial"/>
        </w:rPr>
      </w:pPr>
      <w:r w:rsidRPr="00C34830">
        <w:rPr>
          <w:rFonts w:ascii="Arial" w:hAnsi="Arial" w:cs="Arial"/>
        </w:rPr>
        <w:t>Lastly, justice guarantees fair and equitable distribution of resources, with multidisciplinary teams advocating for vulnerable patients who encounter systemic obstacles to care (NICE, 2021).</w:t>
      </w:r>
    </w:p>
    <w:p w14:paraId="5783B966" w14:textId="51385208" w:rsidR="00DF6139" w:rsidRPr="00C34830" w:rsidRDefault="006E4B25" w:rsidP="004A3311">
      <w:pPr>
        <w:pStyle w:val="Heading1"/>
        <w:rPr>
          <w:rFonts w:ascii="Arial" w:hAnsi="Arial" w:cs="Arial"/>
        </w:rPr>
      </w:pPr>
      <w:bookmarkStart w:id="5" w:name="_Toc235641892"/>
      <w:r w:rsidRPr="00C34830">
        <w:rPr>
          <w:rFonts w:ascii="Arial" w:hAnsi="Arial" w:cs="Arial"/>
        </w:rPr>
        <w:t>PARTNERSHIP</w:t>
      </w:r>
      <w:r w:rsidR="00362CC1" w:rsidRPr="00C34830">
        <w:rPr>
          <w:rFonts w:ascii="Arial" w:hAnsi="Arial" w:cs="Arial"/>
        </w:rPr>
        <w:t xml:space="preserve"> WOR</w:t>
      </w:r>
      <w:r w:rsidR="007A712B" w:rsidRPr="00C34830">
        <w:rPr>
          <w:rFonts w:ascii="Arial" w:hAnsi="Arial" w:cs="Arial"/>
        </w:rPr>
        <w:t>KING</w:t>
      </w:r>
      <w:r w:rsidR="00362CC1" w:rsidRPr="00C34830">
        <w:rPr>
          <w:rFonts w:ascii="Arial" w:hAnsi="Arial" w:cs="Arial"/>
        </w:rPr>
        <w:t xml:space="preserve"> IN HEALTH AND SOCIAL CARE</w:t>
      </w:r>
      <w:bookmarkEnd w:id="5"/>
    </w:p>
    <w:p w14:paraId="279341F5" w14:textId="77777777" w:rsidR="002259ED" w:rsidRPr="00C34830" w:rsidRDefault="00385ACD" w:rsidP="00715323">
      <w:pPr>
        <w:rPr>
          <w:rFonts w:ascii="Arial" w:hAnsi="Arial" w:cs="Arial"/>
        </w:rPr>
      </w:pPr>
      <w:r w:rsidRPr="00C34830">
        <w:rPr>
          <w:rFonts w:ascii="Arial" w:hAnsi="Arial" w:cs="Arial"/>
        </w:rPr>
        <w:t>Collaboration in healthcare is a vital framework within contemporary UK healthcare, enhancing person-centred care (PCC) by promoting integrated, safe, and high-quality service delivery (NHS England, 2019). This approach necessitates cooperative practice among multidisciplinary teams (MDTs)</w:t>
      </w:r>
      <w:r w:rsidR="007A712B" w:rsidRPr="00C34830">
        <w:rPr>
          <w:rFonts w:ascii="Arial" w:hAnsi="Arial" w:cs="Arial"/>
        </w:rPr>
        <w:t xml:space="preserve"> </w:t>
      </w:r>
      <w:r w:rsidRPr="00C34830">
        <w:rPr>
          <w:rFonts w:ascii="Arial" w:hAnsi="Arial" w:cs="Arial"/>
        </w:rPr>
        <w:t>comprising doctors, nurses, allied health professionals, social workers, patients, and their families</w:t>
      </w:r>
      <w:r w:rsidR="002259ED" w:rsidRPr="00C34830">
        <w:rPr>
          <w:rFonts w:ascii="Arial" w:hAnsi="Arial" w:cs="Arial"/>
        </w:rPr>
        <w:t xml:space="preserve"> </w:t>
      </w:r>
      <w:r w:rsidRPr="00C34830">
        <w:rPr>
          <w:rFonts w:ascii="Arial" w:hAnsi="Arial" w:cs="Arial"/>
        </w:rPr>
        <w:t xml:space="preserve">to comprehensively address complex physical, psychological, and social needs. Successful partnership working is </w:t>
      </w:r>
      <w:r w:rsidRPr="00C34830">
        <w:rPr>
          <w:rFonts w:ascii="Arial" w:hAnsi="Arial" w:cs="Arial"/>
        </w:rPr>
        <w:lastRenderedPageBreak/>
        <w:t xml:space="preserve">predicated on shared decision-making, effective communication, mutual respect, and the flattening of professional hierarchies. </w:t>
      </w:r>
    </w:p>
    <w:p w14:paraId="09F2913F" w14:textId="2D72C8EF" w:rsidR="007A712B" w:rsidRPr="00C34830" w:rsidRDefault="00385ACD" w:rsidP="00715323">
      <w:pPr>
        <w:rPr>
          <w:rFonts w:ascii="Arial" w:hAnsi="Arial" w:cs="Arial"/>
        </w:rPr>
      </w:pPr>
      <w:r w:rsidRPr="00C34830">
        <w:rPr>
          <w:rFonts w:ascii="Arial" w:hAnsi="Arial" w:cs="Arial"/>
        </w:rPr>
        <w:t xml:space="preserve">The use of structured communication tools, such as the SBAR (Situation, Background, Assessment, Recommendation) framework, facilitates the standardization of information exchange across professional boundaries, thereby minimizing clinical errors and enhancing patient safety (NICE, 2021). </w:t>
      </w:r>
    </w:p>
    <w:p w14:paraId="34036BB6" w14:textId="2AAEAB68" w:rsidR="00271C97" w:rsidRPr="00C34830" w:rsidRDefault="00385ACD" w:rsidP="00715323">
      <w:pPr>
        <w:rPr>
          <w:rFonts w:ascii="Arial" w:hAnsi="Arial" w:cs="Arial"/>
        </w:rPr>
      </w:pPr>
      <w:r w:rsidRPr="00C34830">
        <w:rPr>
          <w:rFonts w:ascii="Arial" w:hAnsi="Arial" w:cs="Arial"/>
        </w:rPr>
        <w:t xml:space="preserve">Additionally, engaging patients and informal caregivers as equal partners ensures that care plans are directly aligned with individual goals, which in turn enhances treatment adherence and overall satisfaction. Nonetheless, achieving seamless partnership working within hospital environments poses considerable challenges. Issues such as siloed working, power disparities among disciplines, conflicting professional priorities, and incompatible IT systems often hinder effective information sharing. </w:t>
      </w:r>
    </w:p>
    <w:p w14:paraId="7737B10D" w14:textId="3165F4E5" w:rsidR="00901A23" w:rsidRPr="00C34830" w:rsidRDefault="00385ACD" w:rsidP="00715323">
      <w:pPr>
        <w:rPr>
          <w:rFonts w:ascii="Arial" w:hAnsi="Arial" w:cs="Arial"/>
        </w:rPr>
      </w:pPr>
      <w:r w:rsidRPr="00C34830">
        <w:rPr>
          <w:rFonts w:ascii="Arial" w:hAnsi="Arial" w:cs="Arial"/>
        </w:rPr>
        <w:t>Furthermore, systemic pressures</w:t>
      </w:r>
      <w:r w:rsidR="007A712B" w:rsidRPr="00C34830">
        <w:rPr>
          <w:rFonts w:ascii="Arial" w:hAnsi="Arial" w:cs="Arial"/>
        </w:rPr>
        <w:t xml:space="preserve"> </w:t>
      </w:r>
      <w:r w:rsidRPr="00C34830">
        <w:rPr>
          <w:rFonts w:ascii="Arial" w:hAnsi="Arial" w:cs="Arial"/>
        </w:rPr>
        <w:t xml:space="preserve">including significant workforce shortages, high bed occupancy rates, and resource </w:t>
      </w:r>
      <w:r w:rsidR="007A712B" w:rsidRPr="00C34830">
        <w:rPr>
          <w:rFonts w:ascii="Arial" w:hAnsi="Arial" w:cs="Arial"/>
        </w:rPr>
        <w:t xml:space="preserve">limitations, </w:t>
      </w:r>
      <w:r w:rsidRPr="00C34830">
        <w:rPr>
          <w:rFonts w:ascii="Arial" w:hAnsi="Arial" w:cs="Arial"/>
        </w:rPr>
        <w:t xml:space="preserve">restrict the time available for professionals to engage in collaborative care planning (Department of Health and Social Care, 2022). Addressing these obstacles necessitates robust leadership, integrated digital systems, and an </w:t>
      </w:r>
      <w:r w:rsidR="00C239EC" w:rsidRPr="00C34830">
        <w:rPr>
          <w:rFonts w:ascii="Arial" w:hAnsi="Arial" w:cs="Arial"/>
        </w:rPr>
        <w:t>organisational</w:t>
      </w:r>
      <w:r w:rsidRPr="00C34830">
        <w:rPr>
          <w:rFonts w:ascii="Arial" w:hAnsi="Arial" w:cs="Arial"/>
        </w:rPr>
        <w:t xml:space="preserve"> culture that </w:t>
      </w:r>
      <w:r w:rsidR="00C239EC" w:rsidRPr="00C34830">
        <w:rPr>
          <w:rFonts w:ascii="Arial" w:hAnsi="Arial" w:cs="Arial"/>
        </w:rPr>
        <w:t>prioritises</w:t>
      </w:r>
      <w:r w:rsidRPr="00C34830">
        <w:rPr>
          <w:rFonts w:ascii="Arial" w:hAnsi="Arial" w:cs="Arial"/>
        </w:rPr>
        <w:t xml:space="preserve"> cross-sector collaboration.</w:t>
      </w:r>
    </w:p>
    <w:p w14:paraId="4CA84C10" w14:textId="4C193D68" w:rsidR="00B50D98" w:rsidRPr="00C34830" w:rsidRDefault="00B50D98" w:rsidP="00D07488">
      <w:pPr>
        <w:pStyle w:val="Heading1"/>
        <w:rPr>
          <w:rFonts w:ascii="Arial" w:hAnsi="Arial" w:cs="Arial"/>
        </w:rPr>
      </w:pPr>
      <w:bookmarkStart w:id="6" w:name="_Toc235641893"/>
      <w:r w:rsidRPr="00C34830">
        <w:rPr>
          <w:rFonts w:ascii="Arial" w:hAnsi="Arial" w:cs="Arial"/>
        </w:rPr>
        <w:t xml:space="preserve">APPLICATION </w:t>
      </w:r>
      <w:r w:rsidR="00D07488" w:rsidRPr="00C34830">
        <w:rPr>
          <w:rFonts w:ascii="Arial" w:hAnsi="Arial" w:cs="Arial"/>
        </w:rPr>
        <w:t>OF PARTNERSHIP WORKING IN HOSPITAL PRACTICE</w:t>
      </w:r>
      <w:bookmarkEnd w:id="6"/>
    </w:p>
    <w:p w14:paraId="697DD405" w14:textId="0CEA34C6" w:rsidR="00C239EC" w:rsidRPr="00C34830" w:rsidRDefault="00C54262" w:rsidP="00D07488">
      <w:pPr>
        <w:rPr>
          <w:rFonts w:ascii="Arial" w:hAnsi="Arial" w:cs="Arial"/>
        </w:rPr>
      </w:pPr>
      <w:r w:rsidRPr="00C34830">
        <w:rPr>
          <w:rFonts w:ascii="Arial" w:hAnsi="Arial" w:cs="Arial"/>
        </w:rPr>
        <w:t xml:space="preserve">In hospital environments, collaborative partnerships are implemented through multidisciplinary </w:t>
      </w:r>
      <w:r w:rsidR="00C239EC" w:rsidRPr="00C34830">
        <w:rPr>
          <w:rFonts w:ascii="Arial" w:hAnsi="Arial" w:cs="Arial"/>
        </w:rPr>
        <w:t>teams</w:t>
      </w:r>
      <w:r w:rsidRPr="00C34830">
        <w:rPr>
          <w:rFonts w:ascii="Arial" w:hAnsi="Arial" w:cs="Arial"/>
        </w:rPr>
        <w:t xml:space="preserve"> (</w:t>
      </w:r>
      <w:r w:rsidR="00C239EC" w:rsidRPr="00C34830">
        <w:rPr>
          <w:rFonts w:ascii="Arial" w:hAnsi="Arial" w:cs="Arial"/>
        </w:rPr>
        <w:t>MDTs</w:t>
      </w:r>
      <w:r w:rsidRPr="00C34830">
        <w:rPr>
          <w:rFonts w:ascii="Arial" w:hAnsi="Arial" w:cs="Arial"/>
        </w:rPr>
        <w:t xml:space="preserve">) cooperation, integrated care pathways, and </w:t>
      </w:r>
      <w:r w:rsidR="00C239EC" w:rsidRPr="00C34830">
        <w:rPr>
          <w:rFonts w:ascii="Arial" w:hAnsi="Arial" w:cs="Arial"/>
        </w:rPr>
        <w:t>organised</w:t>
      </w:r>
      <w:r w:rsidRPr="00C34830">
        <w:rPr>
          <w:rFonts w:ascii="Arial" w:hAnsi="Arial" w:cs="Arial"/>
        </w:rPr>
        <w:t xml:space="preserve"> cross-boundary communication to address complex health and social needs in a comprehensive manner (NHS England, 2019). Acute care settings depend on the collective expertise of physicians, nurses, pharmacists, physiotherapists, occupational therapists, and social workers, with a significant practical application being multidisciplinary ward rounds where various professionals assess patient progress together. Incorporating the patient and their family into these daily discussions transforms the interaction from passive observation to active collaboration, ensuring that clinical plans are directly aligned with the individual's personal priorities and values (McCormack and McCance, 2017). </w:t>
      </w:r>
    </w:p>
    <w:p w14:paraId="5D60568F" w14:textId="77777777" w:rsidR="00C239EC" w:rsidRPr="00C34830" w:rsidRDefault="00C54262" w:rsidP="00D07488">
      <w:pPr>
        <w:rPr>
          <w:rFonts w:ascii="Arial" w:hAnsi="Arial" w:cs="Arial"/>
        </w:rPr>
      </w:pPr>
      <w:r w:rsidRPr="00C34830">
        <w:rPr>
          <w:rFonts w:ascii="Arial" w:hAnsi="Arial" w:cs="Arial"/>
        </w:rPr>
        <w:t>Moreover, collaborative partnership is essential during the planning of hospital discharges, where Integrated Discharge Teams</w:t>
      </w:r>
      <w:r w:rsidR="00C239EC" w:rsidRPr="00C34830">
        <w:rPr>
          <w:rFonts w:ascii="Arial" w:hAnsi="Arial" w:cs="Arial"/>
        </w:rPr>
        <w:t xml:space="preserve"> </w:t>
      </w:r>
      <w:r w:rsidRPr="00C34830">
        <w:rPr>
          <w:rFonts w:ascii="Arial" w:hAnsi="Arial" w:cs="Arial"/>
        </w:rPr>
        <w:t>composed of acute hospital personnel, community health teams, and adult social care services</w:t>
      </w:r>
      <w:r w:rsidR="00C239EC" w:rsidRPr="00C34830">
        <w:rPr>
          <w:rFonts w:ascii="Arial" w:hAnsi="Arial" w:cs="Arial"/>
        </w:rPr>
        <w:t xml:space="preserve"> </w:t>
      </w:r>
      <w:r w:rsidRPr="00C34830">
        <w:rPr>
          <w:rFonts w:ascii="Arial" w:hAnsi="Arial" w:cs="Arial"/>
        </w:rPr>
        <w:t xml:space="preserve">work together from the point of admission to avert premature discharges, lower readmission rates, and prevent delays in care transfers by organizing community support, equipment, and care packages before the patient's departure (Department of Health and Social Care, 2022). </w:t>
      </w:r>
    </w:p>
    <w:p w14:paraId="08CF2049" w14:textId="28419CEF" w:rsidR="00D07488" w:rsidRPr="00C34830" w:rsidRDefault="00C54262" w:rsidP="00D07488">
      <w:pPr>
        <w:rPr>
          <w:rFonts w:ascii="Arial" w:hAnsi="Arial" w:cs="Arial"/>
        </w:rPr>
      </w:pPr>
      <w:r w:rsidRPr="00C34830">
        <w:rPr>
          <w:rFonts w:ascii="Arial" w:hAnsi="Arial" w:cs="Arial"/>
        </w:rPr>
        <w:t xml:space="preserve">To ensure continuity of care and patient safety during shift changes and transfers between departments, hospital staff employ </w:t>
      </w:r>
      <w:r w:rsidR="00C239EC" w:rsidRPr="00C34830">
        <w:rPr>
          <w:rFonts w:ascii="Arial" w:hAnsi="Arial" w:cs="Arial"/>
        </w:rPr>
        <w:t>standardised</w:t>
      </w:r>
      <w:r w:rsidRPr="00C34830">
        <w:rPr>
          <w:rFonts w:ascii="Arial" w:hAnsi="Arial" w:cs="Arial"/>
        </w:rPr>
        <w:t xml:space="preserve"> communication frameworks such as SBAR (Situation, Background, Assessment, Recommendation), which reduces information gaps, lessens clinical risks, and promotes mutual respect among professionals across various disciplines (NICE, 2021).</w:t>
      </w:r>
    </w:p>
    <w:p w14:paraId="16004596" w14:textId="77777777" w:rsidR="00E53D65" w:rsidRPr="00C34830" w:rsidRDefault="00E53D65" w:rsidP="00D07488">
      <w:pPr>
        <w:rPr>
          <w:rFonts w:ascii="Arial" w:hAnsi="Arial" w:cs="Arial"/>
        </w:rPr>
      </w:pPr>
    </w:p>
    <w:p w14:paraId="2701BCE9" w14:textId="4DE54FDA" w:rsidR="00E53D65" w:rsidRPr="00C34830" w:rsidRDefault="00050B04" w:rsidP="00050B04">
      <w:pPr>
        <w:pStyle w:val="Heading1"/>
        <w:rPr>
          <w:rFonts w:ascii="Arial" w:hAnsi="Arial" w:cs="Arial"/>
        </w:rPr>
      </w:pPr>
      <w:bookmarkStart w:id="7" w:name="_Toc235641894"/>
      <w:r w:rsidRPr="00C34830">
        <w:rPr>
          <w:rFonts w:ascii="Arial" w:hAnsi="Arial" w:cs="Arial"/>
        </w:rPr>
        <w:t>RELEVANT UK LEGISLATION AND POLICY</w:t>
      </w:r>
      <w:bookmarkEnd w:id="7"/>
    </w:p>
    <w:p w14:paraId="73760EC8" w14:textId="77777777" w:rsidR="006B7AE0" w:rsidRPr="00C34830" w:rsidRDefault="00EB45DA" w:rsidP="00621D1C">
      <w:pPr>
        <w:rPr>
          <w:rFonts w:ascii="Arial" w:hAnsi="Arial" w:cs="Arial"/>
        </w:rPr>
      </w:pPr>
      <w:r w:rsidRPr="00C34830">
        <w:rPr>
          <w:rFonts w:ascii="Arial" w:hAnsi="Arial" w:cs="Arial"/>
        </w:rPr>
        <w:t xml:space="preserve">The concepts of person-centred care (PCC) and collaborative partnership are legally entrenched within the framework of UK healthcare to promote patient engagement, inter-agency cooperation, and the safeguarding of human rights. </w:t>
      </w:r>
    </w:p>
    <w:p w14:paraId="147BBBE4" w14:textId="3326D2E9" w:rsidR="00A84374" w:rsidRPr="00C34830" w:rsidRDefault="00EB45DA" w:rsidP="00621D1C">
      <w:pPr>
        <w:rPr>
          <w:rFonts w:ascii="Arial" w:hAnsi="Arial" w:cs="Arial"/>
        </w:rPr>
      </w:pPr>
      <w:r w:rsidRPr="00C34830">
        <w:rPr>
          <w:rFonts w:ascii="Arial" w:hAnsi="Arial" w:cs="Arial"/>
        </w:rPr>
        <w:t xml:space="preserve">The Health and Care Act 2022 mandates statutory integration throughout England via Integrated Care Systems (ICSs), which obligates NHS entities, local authorities, and social care providers to unify services and actively involve patients in the planning of their care. </w:t>
      </w:r>
    </w:p>
    <w:p w14:paraId="1E53AA07" w14:textId="77777777" w:rsidR="005470AF" w:rsidRPr="00C34830" w:rsidRDefault="00EB45DA" w:rsidP="00621D1C">
      <w:pPr>
        <w:rPr>
          <w:rFonts w:ascii="Arial" w:hAnsi="Arial" w:cs="Arial"/>
        </w:rPr>
      </w:pPr>
      <w:r w:rsidRPr="00C34830">
        <w:rPr>
          <w:rFonts w:ascii="Arial" w:hAnsi="Arial" w:cs="Arial"/>
        </w:rPr>
        <w:t xml:space="preserve">In a similar vein, the Care Act 2014 establishes the "wellbeing principle" and </w:t>
      </w:r>
      <w:r w:rsidR="00AB15CC" w:rsidRPr="00C34830">
        <w:rPr>
          <w:rFonts w:ascii="Arial" w:hAnsi="Arial" w:cs="Arial"/>
        </w:rPr>
        <w:t>emphasises</w:t>
      </w:r>
      <w:r w:rsidRPr="00C34830">
        <w:rPr>
          <w:rFonts w:ascii="Arial" w:hAnsi="Arial" w:cs="Arial"/>
        </w:rPr>
        <w:t xml:space="preserve"> personalisation, mandating that health and social care services </w:t>
      </w:r>
      <w:r w:rsidR="00AB15CC" w:rsidRPr="00C34830">
        <w:rPr>
          <w:rFonts w:ascii="Arial" w:hAnsi="Arial" w:cs="Arial"/>
        </w:rPr>
        <w:t>prioritise</w:t>
      </w:r>
      <w:r w:rsidRPr="00C34830">
        <w:rPr>
          <w:rFonts w:ascii="Arial" w:hAnsi="Arial" w:cs="Arial"/>
        </w:rPr>
        <w:t xml:space="preserve"> individual autonomy and facilitate coordinated efforts during the discharge process from hospitals. When patients encounter difficulties in making complex decisions</w:t>
      </w:r>
      <w:r w:rsidR="006B7AE0" w:rsidRPr="00C34830">
        <w:rPr>
          <w:rFonts w:ascii="Arial" w:hAnsi="Arial" w:cs="Arial"/>
        </w:rPr>
        <w:t>.</w:t>
      </w:r>
    </w:p>
    <w:p w14:paraId="42A9CAED" w14:textId="77777777" w:rsidR="00A9242B" w:rsidRPr="00C34830" w:rsidRDefault="005470AF" w:rsidP="00621D1C">
      <w:pPr>
        <w:rPr>
          <w:rFonts w:ascii="Arial" w:hAnsi="Arial" w:cs="Arial"/>
        </w:rPr>
      </w:pPr>
      <w:r w:rsidRPr="00C34830">
        <w:rPr>
          <w:rFonts w:ascii="Arial" w:hAnsi="Arial" w:cs="Arial"/>
        </w:rPr>
        <w:t>T</w:t>
      </w:r>
      <w:r w:rsidR="00A84374" w:rsidRPr="00C34830">
        <w:rPr>
          <w:rFonts w:ascii="Arial" w:hAnsi="Arial" w:cs="Arial"/>
        </w:rPr>
        <w:t>he</w:t>
      </w:r>
      <w:r w:rsidR="00EB45DA" w:rsidRPr="00C34830">
        <w:rPr>
          <w:rFonts w:ascii="Arial" w:hAnsi="Arial" w:cs="Arial"/>
        </w:rPr>
        <w:t xml:space="preserve"> Mental Capacity Act (MCA) 2005 offers a protective framework for individuals who lack decision-making capacity, operating under the presumption of capacity initially and necessitating "best interests" decisions through collaboration among multidisciplinary teams (MDT) and family members when capacity is not present.</w:t>
      </w:r>
    </w:p>
    <w:p w14:paraId="2866BF43" w14:textId="131060C8" w:rsidR="005470AF" w:rsidRPr="00C34830" w:rsidRDefault="00A9242B" w:rsidP="00621D1C">
      <w:pPr>
        <w:rPr>
          <w:rFonts w:ascii="Arial" w:hAnsi="Arial" w:cs="Arial"/>
        </w:rPr>
      </w:pPr>
      <w:r w:rsidRPr="00C34830">
        <w:rPr>
          <w:rFonts w:ascii="Arial" w:hAnsi="Arial" w:cs="Arial"/>
        </w:rPr>
        <w:t>T</w:t>
      </w:r>
      <w:r w:rsidR="002A519A" w:rsidRPr="00C34830">
        <w:rPr>
          <w:rFonts w:ascii="Arial" w:hAnsi="Arial" w:cs="Arial"/>
        </w:rPr>
        <w:t>he</w:t>
      </w:r>
      <w:r w:rsidR="00EB45DA" w:rsidRPr="00C34830">
        <w:rPr>
          <w:rFonts w:ascii="Arial" w:hAnsi="Arial" w:cs="Arial"/>
        </w:rPr>
        <w:t xml:space="preserve"> Equality Act 2010 obligates healthcare </w:t>
      </w:r>
      <w:r w:rsidR="00AB15CC" w:rsidRPr="00C34830">
        <w:rPr>
          <w:rFonts w:ascii="Arial" w:hAnsi="Arial" w:cs="Arial"/>
        </w:rPr>
        <w:t>organisations</w:t>
      </w:r>
      <w:r w:rsidR="00EB45DA" w:rsidRPr="00C34830">
        <w:rPr>
          <w:rFonts w:ascii="Arial" w:hAnsi="Arial" w:cs="Arial"/>
        </w:rPr>
        <w:t xml:space="preserve"> to eradicate discrimination and to implement "reasonable adjustments" (such as communication aids) to guarantee equitable access to services. Strategic policy further reinforces these statutory obligations</w:t>
      </w:r>
      <w:r w:rsidR="005470AF" w:rsidRPr="00C34830">
        <w:rPr>
          <w:rFonts w:ascii="Arial" w:hAnsi="Arial" w:cs="Arial"/>
        </w:rPr>
        <w:t>.</w:t>
      </w:r>
    </w:p>
    <w:p w14:paraId="3BC1AFC1" w14:textId="241D9B2B" w:rsidR="00EB45DA" w:rsidRPr="00C34830" w:rsidRDefault="00A9242B" w:rsidP="00621D1C">
      <w:pPr>
        <w:rPr>
          <w:rFonts w:ascii="Arial" w:hAnsi="Arial" w:cs="Arial"/>
        </w:rPr>
      </w:pPr>
      <w:r w:rsidRPr="00C34830">
        <w:rPr>
          <w:rFonts w:ascii="Arial" w:hAnsi="Arial" w:cs="Arial"/>
        </w:rPr>
        <w:t>The</w:t>
      </w:r>
      <w:r w:rsidR="00EB45DA" w:rsidRPr="00C34830">
        <w:rPr>
          <w:rFonts w:ascii="Arial" w:hAnsi="Arial" w:cs="Arial"/>
        </w:rPr>
        <w:t xml:space="preserve"> NHS Long Term Plan (2019) introduces Universal Personalised Care through shared decision-making tools and social prescribing, while the Health and Social Care Integration Policy (DHSC, 2022) </w:t>
      </w:r>
      <w:r w:rsidR="00281679" w:rsidRPr="00C34830">
        <w:rPr>
          <w:rFonts w:ascii="Arial" w:hAnsi="Arial" w:cs="Arial"/>
        </w:rPr>
        <w:t>promote</w:t>
      </w:r>
      <w:r w:rsidRPr="00C34830">
        <w:rPr>
          <w:rFonts w:ascii="Arial" w:hAnsi="Arial" w:cs="Arial"/>
        </w:rPr>
        <w:t>s</w:t>
      </w:r>
      <w:r w:rsidR="00EB45DA" w:rsidRPr="00C34830">
        <w:rPr>
          <w:rFonts w:ascii="Arial" w:hAnsi="Arial" w:cs="Arial"/>
        </w:rPr>
        <w:t xml:space="preserve"> effective operational integration via shared digital records and pooled budgets, thereby eliminating barriers between acute hospital care and community settings.</w:t>
      </w:r>
    </w:p>
    <w:p w14:paraId="6C64966C" w14:textId="32A63D4B" w:rsidR="00B61889" w:rsidRPr="00C34830" w:rsidRDefault="00B61889" w:rsidP="00621D1C">
      <w:pPr>
        <w:rPr>
          <w:rFonts w:ascii="Arial" w:hAnsi="Arial" w:cs="Arial"/>
        </w:rPr>
      </w:pPr>
      <w:r w:rsidRPr="00C34830">
        <w:rPr>
          <w:rFonts w:ascii="Arial" w:hAnsi="Arial" w:cs="Arial"/>
        </w:rPr>
        <w:t>Together, these policies establish a legal and professional framework that supports high-quality</w:t>
      </w:r>
      <w:r w:rsidR="001A5264" w:rsidRPr="00C34830">
        <w:rPr>
          <w:rFonts w:ascii="Arial" w:hAnsi="Arial" w:cs="Arial"/>
        </w:rPr>
        <w:t xml:space="preserve">, coordinated and person-centered </w:t>
      </w:r>
      <w:r w:rsidR="007228B2" w:rsidRPr="00C34830">
        <w:rPr>
          <w:rFonts w:ascii="Arial" w:hAnsi="Arial" w:cs="Arial"/>
        </w:rPr>
        <w:t>care throughout the United Kingdom.</w:t>
      </w:r>
    </w:p>
    <w:p w14:paraId="09F17059" w14:textId="5E6C3095" w:rsidR="007228B2" w:rsidRPr="00C34830" w:rsidRDefault="0094180A" w:rsidP="0094180A">
      <w:pPr>
        <w:pStyle w:val="Heading1"/>
        <w:rPr>
          <w:rFonts w:ascii="Arial" w:hAnsi="Arial" w:cs="Arial"/>
        </w:rPr>
      </w:pPr>
      <w:bookmarkStart w:id="8" w:name="_Toc235641895"/>
      <w:r w:rsidRPr="00C34830">
        <w:rPr>
          <w:rFonts w:ascii="Arial" w:hAnsi="Arial" w:cs="Arial"/>
        </w:rPr>
        <w:t>RECOMMENDATIONS AND CONCLUSION</w:t>
      </w:r>
      <w:bookmarkEnd w:id="8"/>
      <w:r w:rsidRPr="00C34830">
        <w:rPr>
          <w:rFonts w:ascii="Arial" w:hAnsi="Arial" w:cs="Arial"/>
        </w:rPr>
        <w:t xml:space="preserve"> </w:t>
      </w:r>
    </w:p>
    <w:p w14:paraId="502B709A" w14:textId="6864232A" w:rsidR="00043866" w:rsidRPr="00C34830" w:rsidRDefault="00043866" w:rsidP="00593D8A">
      <w:pPr>
        <w:rPr>
          <w:rFonts w:ascii="Arial" w:hAnsi="Arial" w:cs="Arial"/>
        </w:rPr>
      </w:pPr>
      <w:r w:rsidRPr="00C34830">
        <w:rPr>
          <w:rFonts w:ascii="Arial" w:hAnsi="Arial" w:cs="Arial"/>
        </w:rPr>
        <w:t xml:space="preserve">To address systemic issues such as workforce shortages and institutional silos, healthcare </w:t>
      </w:r>
      <w:r w:rsidR="004A7AC5" w:rsidRPr="00C34830">
        <w:rPr>
          <w:rFonts w:ascii="Arial" w:hAnsi="Arial" w:cs="Arial"/>
        </w:rPr>
        <w:t>organisations</w:t>
      </w:r>
      <w:r w:rsidRPr="00C34830">
        <w:rPr>
          <w:rFonts w:ascii="Arial" w:hAnsi="Arial" w:cs="Arial"/>
        </w:rPr>
        <w:t xml:space="preserve"> ought to implement four essential strategic initiatives. </w:t>
      </w:r>
    </w:p>
    <w:p w14:paraId="462ACB25" w14:textId="72C023D4" w:rsidR="00043866" w:rsidRPr="00C34830" w:rsidRDefault="00043866" w:rsidP="00593D8A">
      <w:pPr>
        <w:rPr>
          <w:rFonts w:ascii="Arial" w:hAnsi="Arial" w:cs="Arial"/>
        </w:rPr>
      </w:pPr>
      <w:r w:rsidRPr="00C34830">
        <w:rPr>
          <w:rFonts w:ascii="Arial" w:hAnsi="Arial" w:cs="Arial"/>
        </w:rPr>
        <w:t xml:space="preserve">Firstly, the enhancement of Interprofessional Education (IPE) through collaborative multidisciplinary training focused on shared decision-making and the Mental Capacity Act (2005) serves to flatten professional hierarchies and enhance communication during ward rounds (McCormack and McCance, 2017). </w:t>
      </w:r>
    </w:p>
    <w:p w14:paraId="02BBBBA4" w14:textId="0E34B0D2" w:rsidR="00043866" w:rsidRPr="00C34830" w:rsidRDefault="00043866" w:rsidP="00593D8A">
      <w:pPr>
        <w:rPr>
          <w:rFonts w:ascii="Arial" w:hAnsi="Arial" w:cs="Arial"/>
        </w:rPr>
      </w:pPr>
      <w:r w:rsidRPr="00C34830">
        <w:rPr>
          <w:rFonts w:ascii="Arial" w:hAnsi="Arial" w:cs="Arial"/>
        </w:rPr>
        <w:t xml:space="preserve">Secondly, the investment in integrated digital systems, which includes shared electronic records across NHS trusts, primary care, and social care, effectively bridges information gaps and </w:t>
      </w:r>
      <w:r w:rsidR="004A7AC5" w:rsidRPr="00C34830">
        <w:rPr>
          <w:rFonts w:ascii="Arial" w:hAnsi="Arial" w:cs="Arial"/>
        </w:rPr>
        <w:t>optimises</w:t>
      </w:r>
      <w:r w:rsidRPr="00C34830">
        <w:rPr>
          <w:rFonts w:ascii="Arial" w:hAnsi="Arial" w:cs="Arial"/>
        </w:rPr>
        <w:t xml:space="preserve"> discharge planning (DHSC, 2022). </w:t>
      </w:r>
    </w:p>
    <w:p w14:paraId="726CDA38" w14:textId="070199A2" w:rsidR="00043866" w:rsidRPr="00C34830" w:rsidRDefault="00043866" w:rsidP="00593D8A">
      <w:pPr>
        <w:rPr>
          <w:rFonts w:ascii="Arial" w:hAnsi="Arial" w:cs="Arial"/>
        </w:rPr>
      </w:pPr>
      <w:r w:rsidRPr="00C34830">
        <w:rPr>
          <w:rFonts w:ascii="Arial" w:hAnsi="Arial" w:cs="Arial"/>
        </w:rPr>
        <w:lastRenderedPageBreak/>
        <w:t>Thirdly, performance audits should incorporate person-</w:t>
      </w:r>
      <w:r w:rsidR="004A7AC5" w:rsidRPr="00C34830">
        <w:rPr>
          <w:rFonts w:ascii="Arial" w:hAnsi="Arial" w:cs="Arial"/>
        </w:rPr>
        <w:t>centered</w:t>
      </w:r>
      <w:r w:rsidRPr="00C34830">
        <w:rPr>
          <w:rFonts w:ascii="Arial" w:hAnsi="Arial" w:cs="Arial"/>
        </w:rPr>
        <w:t xml:space="preserve"> metrics by transitioning the emphasis from solely clinical throughput to measures of patient engagement, thereby aligning </w:t>
      </w:r>
      <w:r w:rsidR="004A7AC5" w:rsidRPr="00C34830">
        <w:rPr>
          <w:rFonts w:ascii="Arial" w:hAnsi="Arial" w:cs="Arial"/>
        </w:rPr>
        <w:t>organisational</w:t>
      </w:r>
      <w:r w:rsidRPr="00C34830">
        <w:rPr>
          <w:rFonts w:ascii="Arial" w:hAnsi="Arial" w:cs="Arial"/>
        </w:rPr>
        <w:t xml:space="preserve"> practices with the Care Act 2014 and the NHS Long Term Plan (2019). </w:t>
      </w:r>
    </w:p>
    <w:p w14:paraId="4D6EC594" w14:textId="6305D943" w:rsidR="004D4C38" w:rsidRPr="00C34830" w:rsidRDefault="00043866" w:rsidP="00593D8A">
      <w:pPr>
        <w:rPr>
          <w:rFonts w:ascii="Arial" w:hAnsi="Arial" w:cs="Arial"/>
          <w:lang w:val="en-GB"/>
        </w:rPr>
      </w:pPr>
      <w:r w:rsidRPr="00C34830">
        <w:rPr>
          <w:rFonts w:ascii="Arial" w:hAnsi="Arial" w:cs="Arial"/>
        </w:rPr>
        <w:t>Lastly, healthcare providers need to safeguard time for multidisciplinary collaboration by allocating regular space for daily MDT huddles and family discharge meetings, ensuring that patient preferences are actively integrated into care plans, even amidst persistent operational pressures.</w:t>
      </w:r>
    </w:p>
    <w:p w14:paraId="7DA3A9E1" w14:textId="77777777" w:rsidR="0094180A" w:rsidRPr="00C34830" w:rsidRDefault="0094180A" w:rsidP="0094180A">
      <w:pPr>
        <w:rPr>
          <w:rFonts w:ascii="Arial" w:hAnsi="Arial" w:cs="Arial"/>
        </w:rPr>
      </w:pPr>
    </w:p>
    <w:p w14:paraId="1CDFFB68" w14:textId="4BA668C8" w:rsidR="00A97839" w:rsidRPr="00C34830" w:rsidRDefault="00A97839" w:rsidP="0094180A">
      <w:pPr>
        <w:rPr>
          <w:rFonts w:ascii="Arial" w:hAnsi="Arial" w:cs="Arial"/>
        </w:rPr>
      </w:pPr>
      <w:r w:rsidRPr="00C34830">
        <w:rPr>
          <w:rFonts w:ascii="Arial" w:hAnsi="Arial" w:cs="Arial"/>
        </w:rPr>
        <w:t>Person-</w:t>
      </w:r>
      <w:r w:rsidR="004A7AC5" w:rsidRPr="00C34830">
        <w:rPr>
          <w:rFonts w:ascii="Arial" w:hAnsi="Arial" w:cs="Arial"/>
        </w:rPr>
        <w:t>centered</w:t>
      </w:r>
      <w:r w:rsidRPr="00C34830">
        <w:rPr>
          <w:rFonts w:ascii="Arial" w:hAnsi="Arial" w:cs="Arial"/>
        </w:rPr>
        <w:t xml:space="preserve"> care (PCC) and collaborative partnerships are fundamental components of contemporary healthcare in the UK. Rooted in bioethical principles—namely autonomy, beneficence, non-maleficence, and justice—and implemented through frameworks such as McCormack and McCance (2017), this transition from paternalistic approaches to collaborative care is mandated by legislation including the Health and Care Act 2022, the Care Act 2014, and the NHS Long Term Plan (2019). In acute hospital settings, multidisciplinary teamwork improves safety, adherence to treatment protocols, and the efficiency of patient discharge processes. Nevertheless, ongoing workforce shortages, elevated bed occupancy rates, and </w:t>
      </w:r>
      <w:r w:rsidR="004A7AC5" w:rsidRPr="00C34830">
        <w:rPr>
          <w:rFonts w:ascii="Arial" w:hAnsi="Arial" w:cs="Arial"/>
        </w:rPr>
        <w:t>organisational</w:t>
      </w:r>
      <w:r w:rsidRPr="00C34830">
        <w:rPr>
          <w:rFonts w:ascii="Arial" w:hAnsi="Arial" w:cs="Arial"/>
        </w:rPr>
        <w:t xml:space="preserve"> silos pose significant challenges to effective engagement. Achieving authentic PCC necessitates more than mere adherence to legal requirements; it requires a cohesive digital infrastructure, empathetic leadership, and a culture that </w:t>
      </w:r>
      <w:r w:rsidR="004A7AC5" w:rsidRPr="00C34830">
        <w:rPr>
          <w:rFonts w:ascii="Arial" w:hAnsi="Arial" w:cs="Arial"/>
        </w:rPr>
        <w:t>recognises</w:t>
      </w:r>
      <w:r w:rsidRPr="00C34830">
        <w:rPr>
          <w:rFonts w:ascii="Arial" w:hAnsi="Arial" w:cs="Arial"/>
        </w:rPr>
        <w:t xml:space="preserve"> the patient as an equal collaborator.</w:t>
      </w:r>
    </w:p>
    <w:p w14:paraId="53361441" w14:textId="5B4D339B" w:rsidR="009E4394" w:rsidRPr="00C34830" w:rsidRDefault="009E4394" w:rsidP="00901A23">
      <w:pPr>
        <w:pStyle w:val="Heading1"/>
        <w:rPr>
          <w:rFonts w:ascii="Arial" w:hAnsi="Arial" w:cs="Arial"/>
          <w:lang w:val="en-GB"/>
        </w:rPr>
      </w:pPr>
      <w:bookmarkStart w:id="9" w:name="_Toc235641896"/>
      <w:r w:rsidRPr="00C34830">
        <w:rPr>
          <w:rFonts w:ascii="Arial" w:hAnsi="Arial" w:cs="Arial"/>
          <w:lang w:val="en-GB"/>
        </w:rPr>
        <w:t>REFERENCES</w:t>
      </w:r>
      <w:bookmarkEnd w:id="9"/>
    </w:p>
    <w:p w14:paraId="3D815872" w14:textId="783F301C" w:rsidR="002538F1" w:rsidRPr="00C34830" w:rsidRDefault="002538F1" w:rsidP="002538F1">
      <w:pPr>
        <w:rPr>
          <w:rFonts w:ascii="Arial" w:hAnsi="Arial" w:cs="Arial"/>
          <w:lang w:val="en-GB"/>
        </w:rPr>
      </w:pPr>
      <w:r w:rsidRPr="00C34830">
        <w:rPr>
          <w:rFonts w:ascii="Arial" w:hAnsi="Arial" w:cs="Arial"/>
        </w:rPr>
        <w:t xml:space="preserve">Beauchamp, T.L. and Childress, J.F. (2019) </w:t>
      </w:r>
      <w:r w:rsidRPr="00C34830">
        <w:rPr>
          <w:rFonts w:ascii="Arial" w:hAnsi="Arial" w:cs="Arial"/>
          <w:i/>
          <w:iCs/>
        </w:rPr>
        <w:t>Principles of Biomedical Ethics</w:t>
      </w:r>
      <w:r w:rsidRPr="00C34830">
        <w:rPr>
          <w:rFonts w:ascii="Arial" w:hAnsi="Arial" w:cs="Arial"/>
        </w:rPr>
        <w:t>. 8th edn. New York: Oxford University Press</w:t>
      </w:r>
      <w:r w:rsidR="00681EEE" w:rsidRPr="00C34830">
        <w:rPr>
          <w:rFonts w:ascii="Arial" w:hAnsi="Arial" w:cs="Arial"/>
        </w:rPr>
        <w:t xml:space="preserve"> </w:t>
      </w:r>
      <w:r w:rsidR="00681EEE" w:rsidRPr="00C34830">
        <w:rPr>
          <w:rFonts w:ascii="Arial" w:hAnsi="Arial" w:cs="Arial"/>
          <w:lang w:val="en-GB"/>
        </w:rPr>
        <w:t>(Accessed: 22 July 2026).</w:t>
      </w:r>
    </w:p>
    <w:p w14:paraId="1A36343B" w14:textId="005303EC" w:rsidR="005338AD" w:rsidRPr="00C34830" w:rsidRDefault="005338AD" w:rsidP="002538F1">
      <w:pPr>
        <w:rPr>
          <w:rFonts w:ascii="Arial" w:hAnsi="Arial" w:cs="Arial"/>
        </w:rPr>
      </w:pPr>
      <w:r w:rsidRPr="00C34830">
        <w:rPr>
          <w:rFonts w:ascii="Arial" w:hAnsi="Arial" w:cs="Arial"/>
        </w:rPr>
        <w:t>Care Act (2014). </w:t>
      </w:r>
      <w:r w:rsidRPr="00C34830">
        <w:rPr>
          <w:rFonts w:ascii="Arial" w:hAnsi="Arial" w:cs="Arial"/>
          <w:i/>
          <w:iCs/>
        </w:rPr>
        <w:t>Care Act 2014</w:t>
      </w:r>
      <w:r w:rsidRPr="00C34830">
        <w:rPr>
          <w:rFonts w:ascii="Arial" w:hAnsi="Arial" w:cs="Arial"/>
        </w:rPr>
        <w:t xml:space="preserve">. </w:t>
      </w:r>
      <w:r w:rsidRPr="00C34830">
        <w:rPr>
          <w:rFonts w:ascii="Arial" w:hAnsi="Arial" w:cs="Arial"/>
          <w:i/>
          <w:iCs/>
        </w:rPr>
        <w:t>Legislation.gov.uk</w:t>
      </w:r>
      <w:r w:rsidRPr="00C34830">
        <w:rPr>
          <w:rFonts w:ascii="Arial" w:hAnsi="Arial" w:cs="Arial"/>
        </w:rPr>
        <w:t xml:space="preserve">. Available at: </w:t>
      </w:r>
      <w:hyperlink r:id="rId4" w:history="1">
        <w:r w:rsidRPr="00C34830">
          <w:rPr>
            <w:rStyle w:val="Hyperlink"/>
            <w:rFonts w:ascii="Arial" w:hAnsi="Arial" w:cs="Arial"/>
          </w:rPr>
          <w:t>https://www.legislation.gov.uk/ukpga/2014/23/contents</w:t>
        </w:r>
      </w:hyperlink>
      <w:r w:rsidRPr="00C34830">
        <w:rPr>
          <w:rFonts w:ascii="Arial" w:hAnsi="Arial" w:cs="Arial"/>
        </w:rPr>
        <w:t xml:space="preserve"> (Accessed 22 July 2026).</w:t>
      </w:r>
    </w:p>
    <w:p w14:paraId="2265A42C" w14:textId="17F768A7" w:rsidR="00D03837" w:rsidRPr="00C34830" w:rsidRDefault="00D03837" w:rsidP="002538F1">
      <w:pPr>
        <w:rPr>
          <w:rFonts w:ascii="Arial" w:hAnsi="Arial" w:cs="Arial"/>
        </w:rPr>
      </w:pPr>
      <w:r w:rsidRPr="00C34830">
        <w:rPr>
          <w:rFonts w:ascii="Arial" w:hAnsi="Arial" w:cs="Arial"/>
        </w:rPr>
        <w:t>Coulter, A. and Oldham, J. (2016). Person-centred care: What Is It and How Do We Get there? </w:t>
      </w:r>
      <w:r w:rsidRPr="00C34830">
        <w:rPr>
          <w:rFonts w:ascii="Arial" w:hAnsi="Arial" w:cs="Arial"/>
          <w:i/>
          <w:iCs/>
        </w:rPr>
        <w:t>Future Hospital Journal</w:t>
      </w:r>
      <w:r w:rsidRPr="00C34830">
        <w:rPr>
          <w:rFonts w:ascii="Arial" w:hAnsi="Arial" w:cs="Arial"/>
        </w:rPr>
        <w:t>, 3(2), pp.114–116. doi:10.7861/futurehosp.3-2-114 (Accessed 22 July 2026).</w:t>
      </w:r>
    </w:p>
    <w:p w14:paraId="0C7FDA77" w14:textId="77777777" w:rsidR="00157598" w:rsidRPr="00C34830" w:rsidRDefault="00157598" w:rsidP="00157598">
      <w:pPr>
        <w:rPr>
          <w:rFonts w:ascii="Arial" w:hAnsi="Arial" w:cs="Arial"/>
          <w:lang w:val="en-GB"/>
        </w:rPr>
      </w:pPr>
      <w:r w:rsidRPr="00C34830">
        <w:rPr>
          <w:rFonts w:ascii="Arial" w:hAnsi="Arial" w:cs="Arial"/>
          <w:lang w:val="en-GB"/>
        </w:rPr>
        <w:t xml:space="preserve">Department of Health and Social Care (2022) </w:t>
      </w:r>
      <w:r w:rsidRPr="00C34830">
        <w:rPr>
          <w:rFonts w:ascii="Arial" w:hAnsi="Arial" w:cs="Arial"/>
          <w:i/>
          <w:iCs/>
          <w:lang w:val="en-GB"/>
        </w:rPr>
        <w:t>Health and Care Act 2022</w:t>
      </w:r>
      <w:r w:rsidRPr="00C34830">
        <w:rPr>
          <w:rFonts w:ascii="Arial" w:hAnsi="Arial" w:cs="Arial"/>
          <w:lang w:val="en-GB"/>
        </w:rPr>
        <w:t xml:space="preserve">. Available at: </w:t>
      </w:r>
      <w:hyperlink r:id="rId5" w:tgtFrame="_blank" w:history="1">
        <w:r w:rsidRPr="00C34830">
          <w:rPr>
            <w:rStyle w:val="Hyperlink"/>
            <w:rFonts w:ascii="Arial" w:hAnsi="Arial" w:cs="Arial"/>
            <w:lang w:val="en-GB"/>
          </w:rPr>
          <w:t>https://www.legislation.gov.uk/ukpga/2022/31/contents/enacted</w:t>
        </w:r>
      </w:hyperlink>
      <w:r w:rsidRPr="00C34830">
        <w:rPr>
          <w:rFonts w:ascii="Arial" w:hAnsi="Arial" w:cs="Arial"/>
          <w:lang w:val="en-GB"/>
        </w:rPr>
        <w:t xml:space="preserve"> (Accessed: 22 July 2026).</w:t>
      </w:r>
    </w:p>
    <w:p w14:paraId="01B7C868" w14:textId="62B21E5E" w:rsidR="00CA0CC4" w:rsidRPr="00C34830" w:rsidRDefault="00CA0CC4" w:rsidP="00157598">
      <w:pPr>
        <w:rPr>
          <w:rFonts w:ascii="Arial" w:hAnsi="Arial" w:cs="Arial"/>
          <w:lang w:val="en-GB"/>
        </w:rPr>
      </w:pPr>
      <w:r w:rsidRPr="00C34830">
        <w:rPr>
          <w:rFonts w:ascii="Arial" w:hAnsi="Arial" w:cs="Arial"/>
        </w:rPr>
        <w:t>General Medical Council (2024). </w:t>
      </w:r>
      <w:r w:rsidRPr="00C34830">
        <w:rPr>
          <w:rFonts w:ascii="Arial" w:hAnsi="Arial" w:cs="Arial"/>
          <w:i/>
          <w:iCs/>
        </w:rPr>
        <w:t>Personal Beliefs and Medical Practice</w:t>
      </w:r>
      <w:r w:rsidRPr="00C34830">
        <w:rPr>
          <w:rFonts w:ascii="Arial" w:hAnsi="Arial" w:cs="Arial"/>
        </w:rPr>
        <w:t>. [online] </w:t>
      </w:r>
      <w:r w:rsidRPr="00C34830">
        <w:rPr>
          <w:rFonts w:ascii="Arial" w:hAnsi="Arial" w:cs="Arial"/>
          <w:i/>
          <w:iCs/>
        </w:rPr>
        <w:t>Gmc-uk.org</w:t>
      </w:r>
      <w:r w:rsidRPr="00C34830">
        <w:rPr>
          <w:rFonts w:ascii="Arial" w:hAnsi="Arial" w:cs="Arial"/>
        </w:rPr>
        <w:t xml:space="preserve">. Available at: </w:t>
      </w:r>
      <w:hyperlink r:id="rId6" w:history="1">
        <w:r w:rsidRPr="00C34830">
          <w:rPr>
            <w:rStyle w:val="Hyperlink"/>
            <w:rFonts w:ascii="Arial" w:hAnsi="Arial" w:cs="Arial"/>
          </w:rPr>
          <w:t>https://www.gmc-uk.org/professional-standards/the-professional-standards/personal-beliefs-and-medical-practice/personal-beliefs-and-medical-practice</w:t>
        </w:r>
      </w:hyperlink>
      <w:r w:rsidRPr="00C34830">
        <w:rPr>
          <w:rFonts w:ascii="Arial" w:hAnsi="Arial" w:cs="Arial"/>
        </w:rPr>
        <w:t xml:space="preserve"> (Accessed 22 July 2026).</w:t>
      </w:r>
    </w:p>
    <w:p w14:paraId="4927A5BC" w14:textId="343C98EE" w:rsidR="00D77E25" w:rsidRPr="00C34830" w:rsidRDefault="00D77E25" w:rsidP="00157598">
      <w:pPr>
        <w:rPr>
          <w:rFonts w:ascii="Arial" w:hAnsi="Arial" w:cs="Arial"/>
          <w:lang w:val="en-GB"/>
        </w:rPr>
      </w:pPr>
      <w:r w:rsidRPr="00C34830">
        <w:rPr>
          <w:rFonts w:ascii="Arial" w:hAnsi="Arial" w:cs="Arial"/>
        </w:rPr>
        <w:t>GOV.UK (2005). </w:t>
      </w:r>
      <w:r w:rsidRPr="00C34830">
        <w:rPr>
          <w:rFonts w:ascii="Arial" w:hAnsi="Arial" w:cs="Arial"/>
          <w:i/>
          <w:iCs/>
        </w:rPr>
        <w:t>Mental Capacity Act 2005</w:t>
      </w:r>
      <w:r w:rsidRPr="00C34830">
        <w:rPr>
          <w:rFonts w:ascii="Arial" w:hAnsi="Arial" w:cs="Arial"/>
        </w:rPr>
        <w:t>. [online] </w:t>
      </w:r>
      <w:r w:rsidRPr="00C34830">
        <w:rPr>
          <w:rFonts w:ascii="Arial" w:hAnsi="Arial" w:cs="Arial"/>
          <w:i/>
          <w:iCs/>
        </w:rPr>
        <w:t>Legislation.gov.uk</w:t>
      </w:r>
      <w:r w:rsidRPr="00C34830">
        <w:rPr>
          <w:rFonts w:ascii="Arial" w:hAnsi="Arial" w:cs="Arial"/>
        </w:rPr>
        <w:t>. GOV.UK. Available at: https://www.legislation.gov.uk/ukpga/2005/9/contents (Accessed 22 July 2026).</w:t>
      </w:r>
    </w:p>
    <w:p w14:paraId="1DA7A779" w14:textId="4E3EE386" w:rsidR="008C1E01" w:rsidRPr="00C34830" w:rsidRDefault="008C1E01" w:rsidP="00157598">
      <w:pPr>
        <w:rPr>
          <w:rFonts w:ascii="Arial" w:hAnsi="Arial" w:cs="Arial"/>
          <w:lang w:val="en-GB"/>
        </w:rPr>
      </w:pPr>
      <w:r w:rsidRPr="00C34830">
        <w:rPr>
          <w:rFonts w:ascii="Arial" w:hAnsi="Arial" w:cs="Arial"/>
        </w:rPr>
        <w:t>GOV.UK (2010). </w:t>
      </w:r>
      <w:r w:rsidRPr="00C34830">
        <w:rPr>
          <w:rFonts w:ascii="Arial" w:hAnsi="Arial" w:cs="Arial"/>
          <w:i/>
          <w:iCs/>
        </w:rPr>
        <w:t>Equality Act 2010</w:t>
      </w:r>
      <w:r w:rsidRPr="00C34830">
        <w:rPr>
          <w:rFonts w:ascii="Arial" w:hAnsi="Arial" w:cs="Arial"/>
        </w:rPr>
        <w:t>. </w:t>
      </w:r>
      <w:r w:rsidRPr="00C34830">
        <w:rPr>
          <w:rFonts w:ascii="Arial" w:hAnsi="Arial" w:cs="Arial"/>
          <w:i/>
          <w:iCs/>
        </w:rPr>
        <w:t>Legislation.gov.uk</w:t>
      </w:r>
      <w:r w:rsidRPr="00C34830">
        <w:rPr>
          <w:rFonts w:ascii="Arial" w:hAnsi="Arial" w:cs="Arial"/>
        </w:rPr>
        <w:t>. Gov.uk. Available at: https://www.legislation.gov.uk/ukpga/2010/15/contents (Accessed 22 July 2026).</w:t>
      </w:r>
    </w:p>
    <w:p w14:paraId="1FECB384" w14:textId="1A0B6283" w:rsidR="00157598" w:rsidRPr="00C34830" w:rsidRDefault="00157598" w:rsidP="00157598">
      <w:pPr>
        <w:rPr>
          <w:rFonts w:ascii="Arial" w:hAnsi="Arial" w:cs="Arial"/>
          <w:lang w:val="en-GB"/>
        </w:rPr>
      </w:pPr>
      <w:r w:rsidRPr="00C34830">
        <w:rPr>
          <w:rFonts w:ascii="Arial" w:hAnsi="Arial" w:cs="Arial"/>
          <w:lang w:val="en-GB"/>
        </w:rPr>
        <w:lastRenderedPageBreak/>
        <w:t xml:space="preserve">Health Foundation (2016) </w:t>
      </w:r>
      <w:r w:rsidRPr="00C34830">
        <w:rPr>
          <w:rFonts w:ascii="Arial" w:hAnsi="Arial" w:cs="Arial"/>
          <w:i/>
          <w:iCs/>
          <w:lang w:val="en-GB"/>
        </w:rPr>
        <w:t>Person-centred care made simple: What everyone should know about person-centred care</w:t>
      </w:r>
      <w:r w:rsidRPr="00C34830">
        <w:rPr>
          <w:rFonts w:ascii="Arial" w:hAnsi="Arial" w:cs="Arial"/>
          <w:lang w:val="en-GB"/>
        </w:rPr>
        <w:t xml:space="preserve">. Available at: </w:t>
      </w:r>
      <w:hyperlink r:id="rId7" w:history="1">
        <w:r w:rsidRPr="00C34830">
          <w:rPr>
            <w:rStyle w:val="Hyperlink"/>
            <w:rFonts w:ascii="Arial" w:hAnsi="Arial" w:cs="Arial"/>
            <w:lang w:val="en-GB"/>
          </w:rPr>
          <w:t>https://www.health.org.uk/publications/person-centred-care-made-simple</w:t>
        </w:r>
      </w:hyperlink>
      <w:r w:rsidRPr="00C34830">
        <w:rPr>
          <w:rFonts w:ascii="Arial" w:hAnsi="Arial" w:cs="Arial"/>
          <w:lang w:val="en-GB"/>
        </w:rPr>
        <w:t xml:space="preserve"> (Accessed: 22 July 2026).</w:t>
      </w:r>
    </w:p>
    <w:p w14:paraId="1E1DB160" w14:textId="1AA6EBD8" w:rsidR="00071AF1" w:rsidRPr="00C34830" w:rsidRDefault="00071AF1" w:rsidP="00157598">
      <w:pPr>
        <w:rPr>
          <w:rFonts w:ascii="Arial" w:hAnsi="Arial" w:cs="Arial"/>
          <w:lang w:val="en-GB"/>
        </w:rPr>
      </w:pPr>
      <w:r w:rsidRPr="00C34830">
        <w:rPr>
          <w:rFonts w:ascii="Arial" w:hAnsi="Arial" w:cs="Arial"/>
        </w:rPr>
        <w:t xml:space="preserve">McCormack, B. and McCance, T. (2017) </w:t>
      </w:r>
      <w:r w:rsidRPr="00C34830">
        <w:rPr>
          <w:rFonts w:ascii="Arial" w:hAnsi="Arial" w:cs="Arial"/>
          <w:i/>
          <w:iCs/>
        </w:rPr>
        <w:t>Person-</w:t>
      </w:r>
      <w:r w:rsidR="00E70A68" w:rsidRPr="00C34830">
        <w:rPr>
          <w:rFonts w:ascii="Arial" w:hAnsi="Arial" w:cs="Arial"/>
          <w:i/>
          <w:iCs/>
        </w:rPr>
        <w:t>Centered</w:t>
      </w:r>
      <w:r w:rsidRPr="00C34830">
        <w:rPr>
          <w:rFonts w:ascii="Arial" w:hAnsi="Arial" w:cs="Arial"/>
          <w:i/>
          <w:iCs/>
        </w:rPr>
        <w:t xml:space="preserve"> Practice in Nursing and Health Care: Theory and Practice</w:t>
      </w:r>
      <w:r w:rsidRPr="00C34830">
        <w:rPr>
          <w:rFonts w:ascii="Arial" w:hAnsi="Arial" w:cs="Arial"/>
        </w:rPr>
        <w:t>. 2nd edn. Chichester: Wiley-Blackwell</w:t>
      </w:r>
      <w:r w:rsidR="0062626F" w:rsidRPr="00C34830">
        <w:rPr>
          <w:rFonts w:ascii="Arial" w:hAnsi="Arial" w:cs="Arial"/>
        </w:rPr>
        <w:t xml:space="preserve"> </w:t>
      </w:r>
      <w:r w:rsidR="0062626F" w:rsidRPr="00C34830">
        <w:rPr>
          <w:rFonts w:ascii="Arial" w:hAnsi="Arial" w:cs="Arial"/>
          <w:lang w:val="en-GB"/>
        </w:rPr>
        <w:t>(Accessed: 22 July 2026).</w:t>
      </w:r>
    </w:p>
    <w:p w14:paraId="4DEC1451" w14:textId="3446549D" w:rsidR="003A073B" w:rsidRPr="00C34830" w:rsidRDefault="003A073B" w:rsidP="00157598">
      <w:pPr>
        <w:rPr>
          <w:rFonts w:ascii="Arial" w:hAnsi="Arial" w:cs="Arial"/>
        </w:rPr>
      </w:pPr>
      <w:r w:rsidRPr="00C34830">
        <w:rPr>
          <w:rFonts w:ascii="Arial" w:hAnsi="Arial" w:cs="Arial"/>
        </w:rPr>
        <w:t xml:space="preserve">National Institute for Health and Care Excellence (NICE) (2021) </w:t>
      </w:r>
      <w:r w:rsidRPr="00C34830">
        <w:rPr>
          <w:rFonts w:ascii="Arial" w:hAnsi="Arial" w:cs="Arial"/>
          <w:i/>
          <w:iCs/>
        </w:rPr>
        <w:t>Shared decision making (NG197)</w:t>
      </w:r>
      <w:r w:rsidRPr="00C34830">
        <w:rPr>
          <w:rFonts w:ascii="Arial" w:hAnsi="Arial" w:cs="Arial"/>
        </w:rPr>
        <w:t xml:space="preserve">. London: NICE. Available at: </w:t>
      </w:r>
      <w:hyperlink r:id="rId8" w:history="1">
        <w:r w:rsidRPr="00C34830">
          <w:rPr>
            <w:rStyle w:val="Hyperlink"/>
            <w:rFonts w:ascii="Arial" w:hAnsi="Arial" w:cs="Arial"/>
          </w:rPr>
          <w:t>https://www.nice.org.uk/guidance/ng197</w:t>
        </w:r>
      </w:hyperlink>
      <w:r w:rsidRPr="00C34830">
        <w:rPr>
          <w:rFonts w:ascii="Arial" w:hAnsi="Arial" w:cs="Arial"/>
        </w:rPr>
        <w:t xml:space="preserve"> (Accessed: 22 July 2026).</w:t>
      </w:r>
    </w:p>
    <w:p w14:paraId="575525F1" w14:textId="7348E96D" w:rsidR="006D1B47" w:rsidRPr="00C34830" w:rsidRDefault="006D1B47" w:rsidP="00157598">
      <w:pPr>
        <w:rPr>
          <w:rFonts w:ascii="Arial" w:hAnsi="Arial" w:cs="Arial"/>
          <w:lang w:val="en-GB"/>
        </w:rPr>
      </w:pPr>
      <w:r w:rsidRPr="00C34830">
        <w:rPr>
          <w:rFonts w:ascii="Arial" w:hAnsi="Arial" w:cs="Arial"/>
        </w:rPr>
        <w:t xml:space="preserve">New report reveals state of person centred care in the NHS in England | Picker. (2025). </w:t>
      </w:r>
      <w:r w:rsidRPr="00C34830">
        <w:rPr>
          <w:rFonts w:ascii="Arial" w:hAnsi="Arial" w:cs="Arial"/>
          <w:i/>
          <w:iCs/>
        </w:rPr>
        <w:t>Picker.org</w:t>
      </w:r>
      <w:r w:rsidRPr="00C34830">
        <w:rPr>
          <w:rFonts w:ascii="Arial" w:hAnsi="Arial" w:cs="Arial"/>
        </w:rPr>
        <w:t xml:space="preserve">. Available at: </w:t>
      </w:r>
      <w:hyperlink r:id="rId9" w:history="1">
        <w:r w:rsidRPr="00C34830">
          <w:rPr>
            <w:rStyle w:val="Hyperlink"/>
            <w:rFonts w:ascii="Arial" w:hAnsi="Arial" w:cs="Arial"/>
          </w:rPr>
          <w:t>https://www.picker.org/research-library/new-report-reveals-state-person-centred-care-nhs-england</w:t>
        </w:r>
      </w:hyperlink>
      <w:r w:rsidRPr="00C34830">
        <w:rPr>
          <w:rFonts w:ascii="Arial" w:hAnsi="Arial" w:cs="Arial"/>
        </w:rPr>
        <w:t xml:space="preserve"> (Accessed 22 July 2026).</w:t>
      </w:r>
    </w:p>
    <w:p w14:paraId="56AF8FD7" w14:textId="77777777" w:rsidR="00157598" w:rsidRPr="00C34830" w:rsidRDefault="00157598" w:rsidP="00157598">
      <w:pPr>
        <w:rPr>
          <w:rFonts w:ascii="Arial" w:hAnsi="Arial" w:cs="Arial"/>
          <w:lang w:val="en-GB"/>
        </w:rPr>
      </w:pPr>
      <w:r w:rsidRPr="00C34830">
        <w:rPr>
          <w:rFonts w:ascii="Arial" w:hAnsi="Arial" w:cs="Arial"/>
          <w:lang w:val="en-GB"/>
        </w:rPr>
        <w:t xml:space="preserve">NHS England (2019) </w:t>
      </w:r>
      <w:r w:rsidRPr="00C34830">
        <w:rPr>
          <w:rFonts w:ascii="Arial" w:hAnsi="Arial" w:cs="Arial"/>
          <w:i/>
          <w:iCs/>
          <w:lang w:val="en-GB"/>
        </w:rPr>
        <w:t>The NHS Long Term Plan</w:t>
      </w:r>
      <w:r w:rsidRPr="00C34830">
        <w:rPr>
          <w:rFonts w:ascii="Arial" w:hAnsi="Arial" w:cs="Arial"/>
          <w:lang w:val="en-GB"/>
        </w:rPr>
        <w:t xml:space="preserve">. Available at: </w:t>
      </w:r>
      <w:hyperlink r:id="rId10" w:tgtFrame="_blank" w:history="1">
        <w:r w:rsidRPr="00C34830">
          <w:rPr>
            <w:rStyle w:val="Hyperlink"/>
            <w:rFonts w:ascii="Arial" w:hAnsi="Arial" w:cs="Arial"/>
            <w:lang w:val="en-GB"/>
          </w:rPr>
          <w:t>https://www.longtermplan.nhs.uk/</w:t>
        </w:r>
      </w:hyperlink>
      <w:r w:rsidRPr="00C34830">
        <w:rPr>
          <w:rFonts w:ascii="Arial" w:hAnsi="Arial" w:cs="Arial"/>
          <w:lang w:val="en-GB"/>
        </w:rPr>
        <w:t xml:space="preserve"> (Accessed: 22 July 2026).</w:t>
      </w:r>
    </w:p>
    <w:p w14:paraId="110C87CF" w14:textId="1AB4D417" w:rsidR="00455048" w:rsidRPr="00C34830" w:rsidRDefault="00455048" w:rsidP="00157598">
      <w:pPr>
        <w:rPr>
          <w:rFonts w:ascii="Arial" w:hAnsi="Arial" w:cs="Arial"/>
        </w:rPr>
      </w:pPr>
      <w:r w:rsidRPr="00C34830">
        <w:rPr>
          <w:rFonts w:ascii="Arial" w:hAnsi="Arial" w:cs="Arial"/>
        </w:rPr>
        <w:t>NMC (2018). </w:t>
      </w:r>
      <w:r w:rsidRPr="00C34830">
        <w:rPr>
          <w:rFonts w:ascii="Arial" w:hAnsi="Arial" w:cs="Arial"/>
          <w:i/>
          <w:iCs/>
        </w:rPr>
        <w:t>The Code: Professional Standards of Practice and Behaviour for nurses, Midwives and Nursing Associates</w:t>
      </w:r>
      <w:r w:rsidRPr="00C34830">
        <w:rPr>
          <w:rFonts w:ascii="Arial" w:hAnsi="Arial" w:cs="Arial"/>
        </w:rPr>
        <w:t xml:space="preserve">. </w:t>
      </w:r>
      <w:r w:rsidRPr="00C34830">
        <w:rPr>
          <w:rFonts w:ascii="Arial" w:hAnsi="Arial" w:cs="Arial"/>
          <w:i/>
          <w:iCs/>
        </w:rPr>
        <w:t>Nursing and Midwifery council</w:t>
      </w:r>
      <w:r w:rsidRPr="00C34830">
        <w:rPr>
          <w:rFonts w:ascii="Arial" w:hAnsi="Arial" w:cs="Arial"/>
        </w:rPr>
        <w:t xml:space="preserve">. Available at: </w:t>
      </w:r>
      <w:hyperlink r:id="rId11" w:history="1">
        <w:r w:rsidR="00BF43B9" w:rsidRPr="00C34830">
          <w:rPr>
            <w:rStyle w:val="Hyperlink"/>
            <w:rFonts w:ascii="Arial" w:hAnsi="Arial" w:cs="Arial"/>
          </w:rPr>
          <w:t>https://www.nmc.org.uk/standards/code/</w:t>
        </w:r>
      </w:hyperlink>
      <w:r w:rsidR="00BF43B9" w:rsidRPr="00C34830">
        <w:rPr>
          <w:rFonts w:ascii="Arial" w:hAnsi="Arial" w:cs="Arial"/>
        </w:rPr>
        <w:t xml:space="preserve"> </w:t>
      </w:r>
      <w:r w:rsidR="008067DA" w:rsidRPr="00C34830">
        <w:rPr>
          <w:rFonts w:ascii="Arial" w:hAnsi="Arial" w:cs="Arial"/>
        </w:rPr>
        <w:t>(</w:t>
      </w:r>
      <w:r w:rsidRPr="00C34830">
        <w:rPr>
          <w:rFonts w:ascii="Arial" w:hAnsi="Arial" w:cs="Arial"/>
        </w:rPr>
        <w:t>Accessed 22 July 2026</w:t>
      </w:r>
      <w:r w:rsidR="008067DA" w:rsidRPr="00C34830">
        <w:rPr>
          <w:rFonts w:ascii="Arial" w:hAnsi="Arial" w:cs="Arial"/>
        </w:rPr>
        <w:t>)</w:t>
      </w:r>
      <w:r w:rsidRPr="00C34830">
        <w:rPr>
          <w:rFonts w:ascii="Arial" w:hAnsi="Arial" w:cs="Arial"/>
        </w:rPr>
        <w:t>.</w:t>
      </w:r>
    </w:p>
    <w:p w14:paraId="799134B9" w14:textId="13F0DF57" w:rsidR="00F42D36" w:rsidRPr="00C34830" w:rsidRDefault="00F42D36" w:rsidP="00157598">
      <w:pPr>
        <w:rPr>
          <w:rFonts w:ascii="Arial" w:hAnsi="Arial" w:cs="Arial"/>
          <w:lang w:val="en-GB"/>
        </w:rPr>
      </w:pPr>
      <w:r w:rsidRPr="00C34830">
        <w:rPr>
          <w:rFonts w:ascii="Arial" w:hAnsi="Arial" w:cs="Arial"/>
        </w:rPr>
        <w:t>Royal College of Nursing (2024). </w:t>
      </w:r>
      <w:r w:rsidRPr="00C34830">
        <w:rPr>
          <w:rFonts w:ascii="Arial" w:hAnsi="Arial" w:cs="Arial"/>
          <w:i/>
          <w:iCs/>
        </w:rPr>
        <w:t>Definition and Principles of Nursing Practice</w:t>
      </w:r>
      <w:r w:rsidRPr="00C34830">
        <w:rPr>
          <w:rFonts w:ascii="Arial" w:hAnsi="Arial" w:cs="Arial"/>
        </w:rPr>
        <w:t xml:space="preserve">. </w:t>
      </w:r>
      <w:r w:rsidRPr="00C34830">
        <w:rPr>
          <w:rFonts w:ascii="Arial" w:hAnsi="Arial" w:cs="Arial"/>
          <w:i/>
          <w:iCs/>
        </w:rPr>
        <w:t>Royal College of Nursing</w:t>
      </w:r>
      <w:r w:rsidRPr="00C34830">
        <w:rPr>
          <w:rFonts w:ascii="Arial" w:hAnsi="Arial" w:cs="Arial"/>
        </w:rPr>
        <w:t xml:space="preserve">. Royal College of Nursing. Available at: </w:t>
      </w:r>
      <w:hyperlink r:id="rId12" w:history="1">
        <w:r w:rsidRPr="00C34830">
          <w:rPr>
            <w:rStyle w:val="Hyperlink"/>
            <w:rFonts w:ascii="Arial" w:hAnsi="Arial" w:cs="Arial"/>
          </w:rPr>
          <w:t>https://www.rcn.org.uk/Professional-Development/Definition-and-Principles-of-Nursing</w:t>
        </w:r>
      </w:hyperlink>
      <w:r w:rsidRPr="00C34830">
        <w:rPr>
          <w:rFonts w:ascii="Arial" w:hAnsi="Arial" w:cs="Arial"/>
        </w:rPr>
        <w:t xml:space="preserve"> (Accessed 22 July 2026).</w:t>
      </w:r>
    </w:p>
    <w:p w14:paraId="374A079A" w14:textId="00696C0D" w:rsidR="00E3765F" w:rsidRPr="00C34830" w:rsidRDefault="004C6045" w:rsidP="00E3765F">
      <w:pPr>
        <w:rPr>
          <w:rFonts w:ascii="Arial" w:hAnsi="Arial" w:cs="Arial"/>
          <w:lang w:val="en-GB"/>
        </w:rPr>
      </w:pPr>
      <w:r w:rsidRPr="00C34830">
        <w:rPr>
          <w:rFonts w:ascii="Arial" w:hAnsi="Arial" w:cs="Arial"/>
        </w:rPr>
        <w:t>Santana, M.J., Manalili, K., Jolley, R.J., Zelinsky, S., Quan, H. and Lu, M. (2018). How to practice person-centred care: A conceptual framework. </w:t>
      </w:r>
      <w:r w:rsidRPr="00C34830">
        <w:rPr>
          <w:rFonts w:ascii="Arial" w:hAnsi="Arial" w:cs="Arial"/>
          <w:i/>
          <w:iCs/>
        </w:rPr>
        <w:t>Health Expectations</w:t>
      </w:r>
      <w:r w:rsidRPr="00C34830">
        <w:rPr>
          <w:rFonts w:ascii="Arial" w:hAnsi="Arial" w:cs="Arial"/>
        </w:rPr>
        <w:t>, 21(2), pp.429–440. doi:</w:t>
      </w:r>
      <w:r w:rsidR="00697D07" w:rsidRPr="00C34830">
        <w:rPr>
          <w:rFonts w:ascii="Arial" w:hAnsi="Arial" w:cs="Arial"/>
        </w:rPr>
        <w:t xml:space="preserve"> </w:t>
      </w:r>
      <w:hyperlink r:id="rId13" w:history="1">
        <w:r w:rsidR="00697D07" w:rsidRPr="00C34830">
          <w:rPr>
            <w:rStyle w:val="Hyperlink"/>
            <w:rFonts w:ascii="Arial" w:hAnsi="Arial" w:cs="Arial"/>
          </w:rPr>
          <w:t>https://doi.org/10.1111/hex.12640</w:t>
        </w:r>
      </w:hyperlink>
      <w:r w:rsidR="00697D07" w:rsidRPr="00C34830">
        <w:rPr>
          <w:rFonts w:ascii="Arial" w:hAnsi="Arial" w:cs="Arial"/>
        </w:rPr>
        <w:t xml:space="preserve"> (</w:t>
      </w:r>
      <w:r w:rsidR="00697D07" w:rsidRPr="00C34830">
        <w:rPr>
          <w:rFonts w:ascii="Arial" w:hAnsi="Arial" w:cs="Arial"/>
          <w:lang w:val="en-GB"/>
        </w:rPr>
        <w:t>Accessed: 22 July 2026).</w:t>
      </w:r>
    </w:p>
    <w:p w14:paraId="0ABEEC62" w14:textId="036E4CC6" w:rsidR="00E3765F" w:rsidRPr="00270A91" w:rsidRDefault="00E3765F" w:rsidP="00F43D6C">
      <w:pPr>
        <w:rPr>
          <w:rFonts w:ascii="Arial" w:hAnsi="Arial" w:cs="Arial"/>
        </w:rPr>
      </w:pPr>
    </w:p>
    <w:sectPr w:rsidR="00E3765F" w:rsidRPr="00270A91" w:rsidSect="00D0336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3A9"/>
    <w:rsid w:val="00014D2C"/>
    <w:rsid w:val="00043866"/>
    <w:rsid w:val="00050B04"/>
    <w:rsid w:val="00071AF1"/>
    <w:rsid w:val="00086C73"/>
    <w:rsid w:val="0009410B"/>
    <w:rsid w:val="000C2A34"/>
    <w:rsid w:val="00141669"/>
    <w:rsid w:val="0015097E"/>
    <w:rsid w:val="00157598"/>
    <w:rsid w:val="0016284F"/>
    <w:rsid w:val="00175743"/>
    <w:rsid w:val="00177F9B"/>
    <w:rsid w:val="001A5264"/>
    <w:rsid w:val="00202A38"/>
    <w:rsid w:val="002259ED"/>
    <w:rsid w:val="00225C3D"/>
    <w:rsid w:val="00253661"/>
    <w:rsid w:val="002538F1"/>
    <w:rsid w:val="00270A91"/>
    <w:rsid w:val="00271C97"/>
    <w:rsid w:val="00281679"/>
    <w:rsid w:val="00287899"/>
    <w:rsid w:val="002A519A"/>
    <w:rsid w:val="002E75C1"/>
    <w:rsid w:val="002F7FAE"/>
    <w:rsid w:val="00332B9E"/>
    <w:rsid w:val="00333C32"/>
    <w:rsid w:val="003555EF"/>
    <w:rsid w:val="00362CC1"/>
    <w:rsid w:val="00385ACD"/>
    <w:rsid w:val="003A073B"/>
    <w:rsid w:val="003D4549"/>
    <w:rsid w:val="00415739"/>
    <w:rsid w:val="00421D1C"/>
    <w:rsid w:val="00433E41"/>
    <w:rsid w:val="00442635"/>
    <w:rsid w:val="00455048"/>
    <w:rsid w:val="00496D65"/>
    <w:rsid w:val="004A3311"/>
    <w:rsid w:val="004A3E84"/>
    <w:rsid w:val="004A7AC5"/>
    <w:rsid w:val="004C6045"/>
    <w:rsid w:val="004D4C38"/>
    <w:rsid w:val="004E10C0"/>
    <w:rsid w:val="00512F54"/>
    <w:rsid w:val="00517651"/>
    <w:rsid w:val="005205E3"/>
    <w:rsid w:val="005338AD"/>
    <w:rsid w:val="0054115E"/>
    <w:rsid w:val="005470AF"/>
    <w:rsid w:val="00593D8A"/>
    <w:rsid w:val="00621D1C"/>
    <w:rsid w:val="0062626F"/>
    <w:rsid w:val="00681EEE"/>
    <w:rsid w:val="00697D07"/>
    <w:rsid w:val="006B41FE"/>
    <w:rsid w:val="006B7AE0"/>
    <w:rsid w:val="006C6DEB"/>
    <w:rsid w:val="006D1B47"/>
    <w:rsid w:val="006E4B25"/>
    <w:rsid w:val="00715323"/>
    <w:rsid w:val="007228B2"/>
    <w:rsid w:val="0075396F"/>
    <w:rsid w:val="007A712B"/>
    <w:rsid w:val="007E3230"/>
    <w:rsid w:val="007E55CE"/>
    <w:rsid w:val="008067DA"/>
    <w:rsid w:val="0081600B"/>
    <w:rsid w:val="008269AC"/>
    <w:rsid w:val="00840E2A"/>
    <w:rsid w:val="008606E8"/>
    <w:rsid w:val="008C1E01"/>
    <w:rsid w:val="008C7A09"/>
    <w:rsid w:val="008D7776"/>
    <w:rsid w:val="00901A23"/>
    <w:rsid w:val="0091644C"/>
    <w:rsid w:val="00925DAD"/>
    <w:rsid w:val="0094180A"/>
    <w:rsid w:val="00977551"/>
    <w:rsid w:val="00985C1B"/>
    <w:rsid w:val="009C73A9"/>
    <w:rsid w:val="009E4394"/>
    <w:rsid w:val="00A368D5"/>
    <w:rsid w:val="00A50E2D"/>
    <w:rsid w:val="00A6141C"/>
    <w:rsid w:val="00A84374"/>
    <w:rsid w:val="00A878E1"/>
    <w:rsid w:val="00A9242B"/>
    <w:rsid w:val="00A97839"/>
    <w:rsid w:val="00AB15CC"/>
    <w:rsid w:val="00AC66C0"/>
    <w:rsid w:val="00AE57CB"/>
    <w:rsid w:val="00AF7BE7"/>
    <w:rsid w:val="00B11766"/>
    <w:rsid w:val="00B50D98"/>
    <w:rsid w:val="00B55E01"/>
    <w:rsid w:val="00B61889"/>
    <w:rsid w:val="00BF43B9"/>
    <w:rsid w:val="00C239EC"/>
    <w:rsid w:val="00C32149"/>
    <w:rsid w:val="00C333E5"/>
    <w:rsid w:val="00C34830"/>
    <w:rsid w:val="00C36573"/>
    <w:rsid w:val="00C54262"/>
    <w:rsid w:val="00C87AC3"/>
    <w:rsid w:val="00C87D9F"/>
    <w:rsid w:val="00CA0CC4"/>
    <w:rsid w:val="00CD2DD4"/>
    <w:rsid w:val="00CE006A"/>
    <w:rsid w:val="00CF2539"/>
    <w:rsid w:val="00D02FDF"/>
    <w:rsid w:val="00D03363"/>
    <w:rsid w:val="00D03837"/>
    <w:rsid w:val="00D07488"/>
    <w:rsid w:val="00D77E25"/>
    <w:rsid w:val="00D9261F"/>
    <w:rsid w:val="00D95D32"/>
    <w:rsid w:val="00DA1F3A"/>
    <w:rsid w:val="00DE7726"/>
    <w:rsid w:val="00DF6139"/>
    <w:rsid w:val="00E16BDF"/>
    <w:rsid w:val="00E26E22"/>
    <w:rsid w:val="00E3765F"/>
    <w:rsid w:val="00E53D65"/>
    <w:rsid w:val="00E70A68"/>
    <w:rsid w:val="00EB45DA"/>
    <w:rsid w:val="00EB49D3"/>
    <w:rsid w:val="00F207F3"/>
    <w:rsid w:val="00F42D36"/>
    <w:rsid w:val="00F43D6C"/>
    <w:rsid w:val="00F67AF3"/>
    <w:rsid w:val="00F930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CE5EF"/>
  <w15:chartTrackingRefBased/>
  <w15:docId w15:val="{339A96C2-8333-49E7-A657-C24FD3EC8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661"/>
    <w:pPr>
      <w:spacing w:after="200" w:line="276" w:lineRule="auto"/>
    </w:pPr>
    <w:rPr>
      <w:kern w:val="0"/>
      <w:sz w:val="22"/>
      <w:szCs w:val="22"/>
      <w:lang w:val="en-US"/>
      <w14:ligatures w14:val="none"/>
    </w:rPr>
  </w:style>
  <w:style w:type="paragraph" w:styleId="Heading1">
    <w:name w:val="heading 1"/>
    <w:basedOn w:val="Normal"/>
    <w:next w:val="Normal"/>
    <w:link w:val="Heading1Char"/>
    <w:uiPriority w:val="9"/>
    <w:qFormat/>
    <w:rsid w:val="009C73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73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73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73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73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73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73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73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73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3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73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73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73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73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73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73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73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73A9"/>
    <w:rPr>
      <w:rFonts w:eastAsiaTheme="majorEastAsia" w:cstheme="majorBidi"/>
      <w:color w:val="272727" w:themeColor="text1" w:themeTint="D8"/>
    </w:rPr>
  </w:style>
  <w:style w:type="paragraph" w:styleId="Title">
    <w:name w:val="Title"/>
    <w:basedOn w:val="Normal"/>
    <w:next w:val="Normal"/>
    <w:link w:val="TitleChar"/>
    <w:uiPriority w:val="10"/>
    <w:qFormat/>
    <w:rsid w:val="009C73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73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73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73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73A9"/>
    <w:pPr>
      <w:spacing w:before="160"/>
      <w:jc w:val="center"/>
    </w:pPr>
    <w:rPr>
      <w:i/>
      <w:iCs/>
      <w:color w:val="404040" w:themeColor="text1" w:themeTint="BF"/>
    </w:rPr>
  </w:style>
  <w:style w:type="character" w:customStyle="1" w:styleId="QuoteChar">
    <w:name w:val="Quote Char"/>
    <w:basedOn w:val="DefaultParagraphFont"/>
    <w:link w:val="Quote"/>
    <w:uiPriority w:val="29"/>
    <w:rsid w:val="009C73A9"/>
    <w:rPr>
      <w:i/>
      <w:iCs/>
      <w:color w:val="404040" w:themeColor="text1" w:themeTint="BF"/>
    </w:rPr>
  </w:style>
  <w:style w:type="paragraph" w:styleId="ListParagraph">
    <w:name w:val="List Paragraph"/>
    <w:basedOn w:val="Normal"/>
    <w:uiPriority w:val="34"/>
    <w:qFormat/>
    <w:rsid w:val="009C73A9"/>
    <w:pPr>
      <w:ind w:left="720"/>
      <w:contextualSpacing/>
    </w:pPr>
  </w:style>
  <w:style w:type="character" w:styleId="IntenseEmphasis">
    <w:name w:val="Intense Emphasis"/>
    <w:basedOn w:val="DefaultParagraphFont"/>
    <w:uiPriority w:val="21"/>
    <w:qFormat/>
    <w:rsid w:val="009C73A9"/>
    <w:rPr>
      <w:i/>
      <w:iCs/>
      <w:color w:val="0F4761" w:themeColor="accent1" w:themeShade="BF"/>
    </w:rPr>
  </w:style>
  <w:style w:type="paragraph" w:styleId="IntenseQuote">
    <w:name w:val="Intense Quote"/>
    <w:basedOn w:val="Normal"/>
    <w:next w:val="Normal"/>
    <w:link w:val="IntenseQuoteChar"/>
    <w:uiPriority w:val="30"/>
    <w:qFormat/>
    <w:rsid w:val="009C73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73A9"/>
    <w:rPr>
      <w:i/>
      <w:iCs/>
      <w:color w:val="0F4761" w:themeColor="accent1" w:themeShade="BF"/>
    </w:rPr>
  </w:style>
  <w:style w:type="character" w:styleId="IntenseReference">
    <w:name w:val="Intense Reference"/>
    <w:basedOn w:val="DefaultParagraphFont"/>
    <w:uiPriority w:val="32"/>
    <w:qFormat/>
    <w:rsid w:val="009C73A9"/>
    <w:rPr>
      <w:b/>
      <w:bCs/>
      <w:smallCaps/>
      <w:color w:val="0F4761" w:themeColor="accent1" w:themeShade="BF"/>
      <w:spacing w:val="5"/>
    </w:rPr>
  </w:style>
  <w:style w:type="paragraph" w:styleId="NoSpacing">
    <w:name w:val="No Spacing"/>
    <w:link w:val="NoSpacingChar"/>
    <w:uiPriority w:val="1"/>
    <w:qFormat/>
    <w:rsid w:val="00D03363"/>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D03363"/>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75396F"/>
    <w:pPr>
      <w:spacing w:before="240" w:after="0" w:line="259" w:lineRule="auto"/>
      <w:outlineLvl w:val="9"/>
    </w:pPr>
    <w:rPr>
      <w:sz w:val="32"/>
      <w:szCs w:val="32"/>
      <w:lang w:eastAsia="en-GB"/>
    </w:rPr>
  </w:style>
  <w:style w:type="paragraph" w:styleId="TOC1">
    <w:name w:val="toc 1"/>
    <w:basedOn w:val="Normal"/>
    <w:next w:val="Normal"/>
    <w:autoRedefine/>
    <w:uiPriority w:val="39"/>
    <w:unhideWhenUsed/>
    <w:rsid w:val="0075396F"/>
    <w:pPr>
      <w:spacing w:after="100"/>
    </w:pPr>
  </w:style>
  <w:style w:type="character" w:styleId="Hyperlink">
    <w:name w:val="Hyperlink"/>
    <w:basedOn w:val="DefaultParagraphFont"/>
    <w:uiPriority w:val="99"/>
    <w:unhideWhenUsed/>
    <w:rsid w:val="0075396F"/>
    <w:rPr>
      <w:color w:val="467886" w:themeColor="hyperlink"/>
      <w:u w:val="single"/>
    </w:rPr>
  </w:style>
  <w:style w:type="character" w:styleId="UnresolvedMention">
    <w:name w:val="Unresolved Mention"/>
    <w:basedOn w:val="DefaultParagraphFont"/>
    <w:uiPriority w:val="99"/>
    <w:semiHidden/>
    <w:unhideWhenUsed/>
    <w:rsid w:val="001575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guidance/ng197" TargetMode="External"/><Relationship Id="rId13" Type="http://schemas.openxmlformats.org/officeDocument/2006/relationships/hyperlink" Target="https://doi.org/10.1111/hex.12640" TargetMode="External"/><Relationship Id="rId3" Type="http://schemas.openxmlformats.org/officeDocument/2006/relationships/webSettings" Target="webSettings.xml"/><Relationship Id="rId7" Type="http://schemas.openxmlformats.org/officeDocument/2006/relationships/hyperlink" Target="https://www.health.org.uk/publications/person-centred-care-made-simple" TargetMode="External"/><Relationship Id="rId12" Type="http://schemas.openxmlformats.org/officeDocument/2006/relationships/hyperlink" Target="https://www.rcn.org.uk/Professional-Development/Definition-and-Principles-of-Nursi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mc-uk.org/professional-standards/the-professional-standards/personal-beliefs-and-medical-practice/personal-beliefs-and-medical-practice" TargetMode="External"/><Relationship Id="rId11" Type="http://schemas.openxmlformats.org/officeDocument/2006/relationships/hyperlink" Target="https://www.nmc.org.uk/standards/code/" TargetMode="External"/><Relationship Id="rId5" Type="http://schemas.openxmlformats.org/officeDocument/2006/relationships/hyperlink" Target="https://www.legislation.gov.uk/ukpga/2022/31/contents/enacted?utm_source=chatgpt.com" TargetMode="External"/><Relationship Id="rId15" Type="http://schemas.openxmlformats.org/officeDocument/2006/relationships/theme" Target="theme/theme1.xml"/><Relationship Id="rId10" Type="http://schemas.openxmlformats.org/officeDocument/2006/relationships/hyperlink" Target="https://www.longtermplan.nhs.uk/?utm_source=chatgpt.com" TargetMode="External"/><Relationship Id="rId4" Type="http://schemas.openxmlformats.org/officeDocument/2006/relationships/hyperlink" Target="https://www.legislation.gov.uk/ukpga/2014/23/contents" TargetMode="External"/><Relationship Id="rId9" Type="http://schemas.openxmlformats.org/officeDocument/2006/relationships/hyperlink" Target="https://www.picker.org/research-library/new-report-reveals-state-person-centred-care-nhs-englan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2928</Words>
  <Characters>16691</Characters>
  <Application>Microsoft Office Word</Application>
  <DocSecurity>0</DocSecurity>
  <Lines>139</Lines>
  <Paragraphs>39</Paragraphs>
  <ScaleCrop>false</ScaleCrop>
  <Company/>
  <LinksUpToDate>false</LinksUpToDate>
  <CharactersWithSpaces>19580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principles of health and social care pratices</dc:title>
  <dc:subject/>
  <dc:creator>Sunny Umweni</dc:creator>
  <cp:keywords/>
  <dc:description/>
  <cp:lastModifiedBy>Sunny Umweni</cp:lastModifiedBy>
  <cp:revision>7</cp:revision>
  <dcterms:created xsi:type="dcterms:W3CDTF">2026-07-22T19:47:00Z</dcterms:created>
  <dcterms:modified xsi:type="dcterms:W3CDTF">2026-07-22T20:09:00Z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bfaf71e6-0175-4e4f-8904-d9cfe8809282</vt:lpwstr>
  </property>
</Properties>
</file>