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502E7" w14:textId="69E7B7A0" w:rsidR="00C974CA" w:rsidRPr="006A598F" w:rsidRDefault="006A598F" w:rsidP="006A598F">
      <w:pPr>
        <w:pStyle w:val="OBEBody"/>
        <w:jc w:val="center"/>
        <w:rPr>
          <w:rFonts w:ascii="Calibri" w:hAnsi="Calibri" w:cs="Calibri"/>
          <w:b/>
          <w:bCs/>
          <w:sz w:val="32"/>
          <w:szCs w:val="32"/>
          <w:shd w:val="clear" w:color="auto" w:fill="FFFFFF"/>
        </w:rPr>
      </w:pPr>
      <w:r w:rsidRPr="006A598F">
        <w:rPr>
          <w:rFonts w:ascii="Calibri" w:hAnsi="Calibri" w:cs="Calibri"/>
          <w:b/>
          <w:bCs/>
          <w:sz w:val="32"/>
          <w:szCs w:val="32"/>
          <w:shd w:val="clear" w:color="auto" w:fill="FFFFFF"/>
        </w:rPr>
        <w:t>Textual Analysis – Acts 2:42-</w:t>
      </w:r>
      <w:r w:rsidR="008D0AAE">
        <w:rPr>
          <w:rFonts w:ascii="Calibri" w:hAnsi="Calibri" w:cs="Calibri"/>
          <w:b/>
          <w:bCs/>
          <w:sz w:val="32"/>
          <w:szCs w:val="32"/>
          <w:shd w:val="clear" w:color="auto" w:fill="FFFFFF"/>
        </w:rPr>
        <w:t>47</w:t>
      </w:r>
    </w:p>
    <w:p w14:paraId="3BB66872" w14:textId="034AA4A7" w:rsidR="00002478" w:rsidRPr="006A598F" w:rsidRDefault="00CF49C7" w:rsidP="00002478">
      <w:pPr>
        <w:pStyle w:val="OBEBody"/>
        <w:rPr>
          <w:rFonts w:ascii="Calibri" w:hAnsi="Calibri" w:cs="Calibri"/>
          <w:szCs w:val="24"/>
        </w:rPr>
      </w:pPr>
      <w:r w:rsidRPr="006A598F">
        <w:rPr>
          <w:rFonts w:ascii="Calibri" w:hAnsi="Calibri" w:cs="Calibri"/>
          <w:szCs w:val="24"/>
        </w:rPr>
        <w:t xml:space="preserve">Act 2:42-47 </w:t>
      </w:r>
      <w:r w:rsidR="00C60A51" w:rsidRPr="006A598F">
        <w:rPr>
          <w:rFonts w:ascii="Calibri" w:hAnsi="Calibri" w:cs="Calibri"/>
          <w:szCs w:val="24"/>
        </w:rPr>
        <w:t>is commonly</w:t>
      </w:r>
      <w:r w:rsidRPr="006A598F">
        <w:rPr>
          <w:rFonts w:ascii="Calibri" w:hAnsi="Calibri" w:cs="Calibri"/>
          <w:szCs w:val="24"/>
        </w:rPr>
        <w:t xml:space="preserve"> described as a summary passage, showing the life of the ans in Je</w:t>
      </w:r>
      <w:r w:rsidR="00197523" w:rsidRPr="006A598F">
        <w:rPr>
          <w:rFonts w:ascii="Calibri" w:hAnsi="Calibri" w:cs="Calibri"/>
          <w:szCs w:val="24"/>
        </w:rPr>
        <w:t>rusalem</w:t>
      </w:r>
      <w:r w:rsidR="005B59A1" w:rsidRPr="006A598F">
        <w:rPr>
          <w:rFonts w:ascii="Calibri" w:hAnsi="Calibri" w:cs="Calibri"/>
          <w:szCs w:val="24"/>
        </w:rPr>
        <w:t>.</w:t>
      </w:r>
      <w:r w:rsidR="005B59A1" w:rsidRPr="006A598F">
        <w:rPr>
          <w:rStyle w:val="FootnoteReference"/>
          <w:rFonts w:ascii="Calibri" w:hAnsi="Calibri" w:cs="Calibri"/>
          <w:szCs w:val="24"/>
        </w:rPr>
        <w:footnoteReference w:id="1"/>
      </w:r>
      <w:r w:rsidR="00841429" w:rsidRPr="006A598F">
        <w:rPr>
          <w:rFonts w:ascii="Calibri" w:hAnsi="Calibri" w:cs="Calibri"/>
          <w:szCs w:val="24"/>
        </w:rPr>
        <w:t xml:space="preserve"> It is part of a larger narrative </w:t>
      </w:r>
      <w:r w:rsidR="00D70775" w:rsidRPr="006A598F">
        <w:rPr>
          <w:rFonts w:ascii="Calibri" w:hAnsi="Calibri" w:cs="Calibri"/>
          <w:szCs w:val="24"/>
        </w:rPr>
        <w:t>that describes</w:t>
      </w:r>
      <w:r w:rsidR="00841429" w:rsidRPr="006A598F">
        <w:rPr>
          <w:rFonts w:ascii="Calibri" w:hAnsi="Calibri" w:cs="Calibri"/>
          <w:szCs w:val="24"/>
        </w:rPr>
        <w:t xml:space="preserve"> the foundation of the Christian Church on the Day of Pentecost. </w:t>
      </w:r>
      <w:r w:rsidR="0015744E" w:rsidRPr="006A598F">
        <w:rPr>
          <w:rFonts w:ascii="Calibri" w:hAnsi="Calibri" w:cs="Calibri"/>
          <w:szCs w:val="24"/>
        </w:rPr>
        <w:t xml:space="preserve">With </w:t>
      </w:r>
      <w:r w:rsidR="00C60A51" w:rsidRPr="006A598F">
        <w:rPr>
          <w:rFonts w:ascii="Calibri" w:hAnsi="Calibri" w:cs="Calibri"/>
          <w:szCs w:val="24"/>
        </w:rPr>
        <w:t>3,000</w:t>
      </w:r>
      <w:r w:rsidR="0015744E" w:rsidRPr="006A598F">
        <w:rPr>
          <w:rFonts w:ascii="Calibri" w:hAnsi="Calibri" w:cs="Calibri"/>
          <w:szCs w:val="24"/>
        </w:rPr>
        <w:t xml:space="preserve"> new members, the Christian community had </w:t>
      </w:r>
      <w:r w:rsidR="00C60A51" w:rsidRPr="006A598F">
        <w:rPr>
          <w:rFonts w:ascii="Calibri" w:hAnsi="Calibri" w:cs="Calibri"/>
          <w:szCs w:val="24"/>
        </w:rPr>
        <w:t>expanded significantly, an expanse requiring</w:t>
      </w:r>
      <w:r w:rsidR="0015744E" w:rsidRPr="006A598F">
        <w:rPr>
          <w:rFonts w:ascii="Calibri" w:hAnsi="Calibri" w:cs="Calibri"/>
          <w:szCs w:val="24"/>
        </w:rPr>
        <w:t xml:space="preserve"> a new form of social organisation.</w:t>
      </w:r>
      <w:r w:rsidR="0054723A" w:rsidRPr="006A598F">
        <w:rPr>
          <w:rFonts w:ascii="Calibri" w:hAnsi="Calibri" w:cs="Calibri"/>
          <w:szCs w:val="24"/>
        </w:rPr>
        <w:t xml:space="preserve"> The early Christian movement </w:t>
      </w:r>
      <w:r w:rsidR="00841429" w:rsidRPr="006A598F">
        <w:rPr>
          <w:rFonts w:ascii="Calibri" w:hAnsi="Calibri" w:cs="Calibri"/>
          <w:szCs w:val="24"/>
        </w:rPr>
        <w:t xml:space="preserve">differed </w:t>
      </w:r>
      <w:r w:rsidR="00C60A51" w:rsidRPr="006A598F">
        <w:rPr>
          <w:rFonts w:ascii="Calibri" w:hAnsi="Calibri" w:cs="Calibri"/>
          <w:szCs w:val="24"/>
        </w:rPr>
        <w:t>considerably</w:t>
      </w:r>
      <w:r w:rsidR="0054723A" w:rsidRPr="006A598F">
        <w:rPr>
          <w:rFonts w:ascii="Calibri" w:hAnsi="Calibri" w:cs="Calibri"/>
          <w:szCs w:val="24"/>
        </w:rPr>
        <w:t xml:space="preserve"> from other </w:t>
      </w:r>
      <w:r w:rsidR="00184A68" w:rsidRPr="006A598F">
        <w:rPr>
          <w:rFonts w:ascii="Calibri" w:hAnsi="Calibri" w:cs="Calibri"/>
          <w:szCs w:val="24"/>
        </w:rPr>
        <w:t>religious institutions</w:t>
      </w:r>
      <w:r w:rsidR="00D70775" w:rsidRPr="006A598F">
        <w:rPr>
          <w:rFonts w:ascii="Calibri" w:hAnsi="Calibri" w:cs="Calibri"/>
          <w:szCs w:val="24"/>
        </w:rPr>
        <w:t xml:space="preserve"> at the time</w:t>
      </w:r>
      <w:r w:rsidR="00184A68" w:rsidRPr="006A598F">
        <w:rPr>
          <w:rFonts w:ascii="Calibri" w:hAnsi="Calibri" w:cs="Calibri"/>
          <w:szCs w:val="24"/>
        </w:rPr>
        <w:t xml:space="preserve">. One of the key points of </w:t>
      </w:r>
      <w:r w:rsidR="00841429" w:rsidRPr="006A598F">
        <w:rPr>
          <w:rFonts w:ascii="Calibri" w:hAnsi="Calibri" w:cs="Calibri"/>
          <w:szCs w:val="24"/>
        </w:rPr>
        <w:t>distinction</w:t>
      </w:r>
      <w:r w:rsidR="00184A68" w:rsidRPr="006A598F">
        <w:rPr>
          <w:rFonts w:ascii="Calibri" w:hAnsi="Calibri" w:cs="Calibri"/>
          <w:szCs w:val="24"/>
        </w:rPr>
        <w:t xml:space="preserve"> was </w:t>
      </w:r>
      <w:r w:rsidR="00841429" w:rsidRPr="006A598F">
        <w:rPr>
          <w:rFonts w:ascii="Calibri" w:hAnsi="Calibri" w:cs="Calibri"/>
          <w:szCs w:val="24"/>
        </w:rPr>
        <w:t>the</w:t>
      </w:r>
      <w:r w:rsidR="00184A68" w:rsidRPr="006A598F">
        <w:rPr>
          <w:rFonts w:ascii="Calibri" w:hAnsi="Calibri" w:cs="Calibri"/>
          <w:szCs w:val="24"/>
        </w:rPr>
        <w:t xml:space="preserve"> emphasis on communal life amidst the earl</w:t>
      </w:r>
      <w:r w:rsidR="005B59A1" w:rsidRPr="006A598F">
        <w:rPr>
          <w:rFonts w:ascii="Calibri" w:hAnsi="Calibri" w:cs="Calibri"/>
          <w:szCs w:val="24"/>
        </w:rPr>
        <w:t>y Christians</w:t>
      </w:r>
      <w:r w:rsidR="00EA049A" w:rsidRPr="006A598F">
        <w:rPr>
          <w:rFonts w:ascii="Calibri" w:hAnsi="Calibri" w:cs="Calibri"/>
          <w:szCs w:val="24"/>
        </w:rPr>
        <w:t>,</w:t>
      </w:r>
      <w:r w:rsidR="005B59A1" w:rsidRPr="006A598F">
        <w:rPr>
          <w:rStyle w:val="FootnoteReference"/>
          <w:rFonts w:ascii="Calibri" w:hAnsi="Calibri" w:cs="Calibri"/>
          <w:szCs w:val="24"/>
        </w:rPr>
        <w:footnoteReference w:id="2"/>
      </w:r>
      <w:r w:rsidR="00EA049A" w:rsidRPr="006A598F">
        <w:rPr>
          <w:rFonts w:ascii="Calibri" w:hAnsi="Calibri" w:cs="Calibri"/>
          <w:szCs w:val="24"/>
        </w:rPr>
        <w:t xml:space="preserve"> </w:t>
      </w:r>
      <w:r w:rsidR="00D70775" w:rsidRPr="006A598F">
        <w:rPr>
          <w:rFonts w:ascii="Calibri" w:hAnsi="Calibri" w:cs="Calibri"/>
          <w:szCs w:val="24"/>
        </w:rPr>
        <w:t xml:space="preserve">which is </w:t>
      </w:r>
      <w:r w:rsidR="00EA049A" w:rsidRPr="006A598F">
        <w:rPr>
          <w:rFonts w:ascii="Calibri" w:hAnsi="Calibri" w:cs="Calibri"/>
          <w:szCs w:val="24"/>
        </w:rPr>
        <w:t xml:space="preserve">closely related to the </w:t>
      </w:r>
      <w:r w:rsidR="00D70775" w:rsidRPr="006A598F">
        <w:rPr>
          <w:rFonts w:ascii="Calibri" w:hAnsi="Calibri" w:cs="Calibri"/>
          <w:szCs w:val="24"/>
        </w:rPr>
        <w:t>thematic impo</w:t>
      </w:r>
      <w:r w:rsidR="005B59A1" w:rsidRPr="006A598F">
        <w:rPr>
          <w:rFonts w:ascii="Calibri" w:hAnsi="Calibri" w:cs="Calibri"/>
          <w:szCs w:val="24"/>
        </w:rPr>
        <w:t>rtance of unity in Christianity</w:t>
      </w:r>
      <w:r w:rsidR="00184A68" w:rsidRPr="006A598F">
        <w:rPr>
          <w:rFonts w:ascii="Calibri" w:hAnsi="Calibri" w:cs="Calibri"/>
          <w:szCs w:val="24"/>
        </w:rPr>
        <w:t>.</w:t>
      </w:r>
      <w:r w:rsidR="005B59A1" w:rsidRPr="006A598F">
        <w:rPr>
          <w:rStyle w:val="FootnoteReference"/>
          <w:rFonts w:ascii="Calibri" w:hAnsi="Calibri" w:cs="Calibri"/>
          <w:szCs w:val="24"/>
        </w:rPr>
        <w:footnoteReference w:id="3"/>
      </w:r>
      <w:r w:rsidR="00841429" w:rsidRPr="006A598F">
        <w:rPr>
          <w:rFonts w:ascii="Calibri" w:hAnsi="Calibri" w:cs="Calibri"/>
          <w:szCs w:val="24"/>
        </w:rPr>
        <w:t xml:space="preserve"> The </w:t>
      </w:r>
      <w:r w:rsidR="00D70775" w:rsidRPr="006A598F">
        <w:rPr>
          <w:rFonts w:ascii="Calibri" w:hAnsi="Calibri" w:cs="Calibri"/>
          <w:szCs w:val="24"/>
        </w:rPr>
        <w:t>Roman Empire, amidst which the Christian</w:t>
      </w:r>
      <w:r w:rsidR="00841429" w:rsidRPr="006A598F">
        <w:rPr>
          <w:rFonts w:ascii="Calibri" w:hAnsi="Calibri" w:cs="Calibri"/>
          <w:szCs w:val="24"/>
        </w:rPr>
        <w:t xml:space="preserve"> movements formed, </w:t>
      </w:r>
      <w:r w:rsidR="00D70775" w:rsidRPr="006A598F">
        <w:rPr>
          <w:rFonts w:ascii="Calibri" w:hAnsi="Calibri" w:cs="Calibri"/>
          <w:szCs w:val="24"/>
        </w:rPr>
        <w:t>was</w:t>
      </w:r>
      <w:r w:rsidR="00841429" w:rsidRPr="006A598F">
        <w:rPr>
          <w:rFonts w:ascii="Calibri" w:hAnsi="Calibri" w:cs="Calibri"/>
          <w:szCs w:val="24"/>
        </w:rPr>
        <w:t xml:space="preserve"> a diverse, complex,</w:t>
      </w:r>
      <w:r w:rsidR="00D70775" w:rsidRPr="006A598F">
        <w:rPr>
          <w:rFonts w:ascii="Calibri" w:hAnsi="Calibri" w:cs="Calibri"/>
          <w:szCs w:val="24"/>
        </w:rPr>
        <w:t xml:space="preserve"> and highly structured society. Therein, it </w:t>
      </w:r>
      <w:r w:rsidR="00841429" w:rsidRPr="006A598F">
        <w:rPr>
          <w:rFonts w:ascii="Calibri" w:hAnsi="Calibri" w:cs="Calibri"/>
          <w:szCs w:val="24"/>
        </w:rPr>
        <w:t xml:space="preserve">often </w:t>
      </w:r>
      <w:r w:rsidR="00D70775" w:rsidRPr="006A598F">
        <w:rPr>
          <w:rFonts w:ascii="Calibri" w:hAnsi="Calibri" w:cs="Calibri"/>
          <w:szCs w:val="24"/>
        </w:rPr>
        <w:t xml:space="preserve">stood </w:t>
      </w:r>
      <w:r w:rsidR="00841429" w:rsidRPr="006A598F">
        <w:rPr>
          <w:rFonts w:ascii="Calibri" w:hAnsi="Calibri" w:cs="Calibri"/>
          <w:szCs w:val="24"/>
        </w:rPr>
        <w:t xml:space="preserve">in tension with the beliefs of the early Christian communities. Luke’s Acts portrays the apostles as oppressed by </w:t>
      </w:r>
      <w:r w:rsidR="00C60A51" w:rsidRPr="006A598F">
        <w:rPr>
          <w:rFonts w:ascii="Calibri" w:hAnsi="Calibri" w:cs="Calibri"/>
          <w:szCs w:val="24"/>
        </w:rPr>
        <w:t>broader</w:t>
      </w:r>
      <w:r w:rsidR="00841429" w:rsidRPr="006A598F">
        <w:rPr>
          <w:rFonts w:ascii="Calibri" w:hAnsi="Calibri" w:cs="Calibri"/>
          <w:szCs w:val="24"/>
        </w:rPr>
        <w:t xml:space="preserve"> social structures, which mirrors this tension between the early Christi</w:t>
      </w:r>
      <w:r w:rsidR="005B59A1" w:rsidRPr="006A598F">
        <w:rPr>
          <w:rFonts w:ascii="Calibri" w:hAnsi="Calibri" w:cs="Calibri"/>
          <w:szCs w:val="24"/>
        </w:rPr>
        <w:t>an Church and the Roman Empire</w:t>
      </w:r>
      <w:r w:rsidR="00841429" w:rsidRPr="006A598F">
        <w:rPr>
          <w:rFonts w:ascii="Calibri" w:hAnsi="Calibri" w:cs="Calibri"/>
          <w:szCs w:val="24"/>
        </w:rPr>
        <w:t>.</w:t>
      </w:r>
      <w:r w:rsidR="005B59A1" w:rsidRPr="006A598F">
        <w:rPr>
          <w:rStyle w:val="FootnoteReference"/>
          <w:rFonts w:ascii="Calibri" w:hAnsi="Calibri" w:cs="Calibri"/>
          <w:szCs w:val="24"/>
        </w:rPr>
        <w:footnoteReference w:id="4"/>
      </w:r>
      <w:r w:rsidR="00841429" w:rsidRPr="006A598F">
        <w:rPr>
          <w:rFonts w:ascii="Calibri" w:hAnsi="Calibri" w:cs="Calibri"/>
          <w:szCs w:val="24"/>
        </w:rPr>
        <w:t xml:space="preserve"> </w:t>
      </w:r>
      <w:r w:rsidR="00D70775" w:rsidRPr="006A598F">
        <w:rPr>
          <w:rFonts w:ascii="Calibri" w:hAnsi="Calibri" w:cs="Calibri"/>
          <w:szCs w:val="24"/>
        </w:rPr>
        <w:t>In this context</w:t>
      </w:r>
      <w:r w:rsidR="00841429" w:rsidRPr="006A598F">
        <w:rPr>
          <w:rFonts w:ascii="Calibri" w:hAnsi="Calibri" w:cs="Calibri"/>
          <w:szCs w:val="24"/>
        </w:rPr>
        <w:t xml:space="preserve">, it was </w:t>
      </w:r>
      <w:r w:rsidR="00C60A51" w:rsidRPr="006A598F">
        <w:rPr>
          <w:rFonts w:ascii="Calibri" w:hAnsi="Calibri" w:cs="Calibri"/>
          <w:szCs w:val="24"/>
        </w:rPr>
        <w:t>vital</w:t>
      </w:r>
      <w:r w:rsidR="00841429" w:rsidRPr="006A598F">
        <w:rPr>
          <w:rFonts w:ascii="Calibri" w:hAnsi="Calibri" w:cs="Calibri"/>
          <w:szCs w:val="24"/>
        </w:rPr>
        <w:t xml:space="preserve"> for these communities to define their social values and structures </w:t>
      </w:r>
      <w:r w:rsidR="004B0792" w:rsidRPr="006A598F">
        <w:rPr>
          <w:rFonts w:ascii="Calibri" w:hAnsi="Calibri" w:cs="Calibri"/>
          <w:szCs w:val="24"/>
        </w:rPr>
        <w:t>via</w:t>
      </w:r>
      <w:r w:rsidR="00841429" w:rsidRPr="006A598F">
        <w:rPr>
          <w:rFonts w:ascii="Calibri" w:hAnsi="Calibri" w:cs="Calibri"/>
          <w:szCs w:val="24"/>
        </w:rPr>
        <w:t xml:space="preserve"> these types of summary passages. </w:t>
      </w:r>
    </w:p>
    <w:p w14:paraId="36526B37" w14:textId="2D5DB25A" w:rsidR="00002478" w:rsidRPr="006A598F" w:rsidRDefault="00D70775" w:rsidP="006D62B6">
      <w:pPr>
        <w:pStyle w:val="OBEBody"/>
        <w:rPr>
          <w:rFonts w:ascii="Calibri" w:hAnsi="Calibri" w:cs="Calibri"/>
          <w:szCs w:val="24"/>
        </w:rPr>
      </w:pPr>
      <w:r w:rsidRPr="006A598F">
        <w:rPr>
          <w:rFonts w:ascii="Calibri" w:hAnsi="Calibri" w:cs="Calibri"/>
          <w:szCs w:val="24"/>
        </w:rPr>
        <w:t>In the passage, t</w:t>
      </w:r>
      <w:r w:rsidR="0015744E" w:rsidRPr="006A598F">
        <w:rPr>
          <w:rFonts w:ascii="Calibri" w:hAnsi="Calibri" w:cs="Calibri"/>
          <w:szCs w:val="24"/>
        </w:rPr>
        <w:t xml:space="preserve">he apostles are </w:t>
      </w:r>
      <w:r w:rsidRPr="006A598F">
        <w:rPr>
          <w:rFonts w:ascii="Calibri" w:hAnsi="Calibri" w:cs="Calibri"/>
          <w:szCs w:val="24"/>
        </w:rPr>
        <w:t xml:space="preserve">described as </w:t>
      </w:r>
      <w:r w:rsidR="0015744E" w:rsidRPr="006A598F">
        <w:rPr>
          <w:rFonts w:ascii="Calibri" w:hAnsi="Calibri" w:cs="Calibri"/>
          <w:szCs w:val="24"/>
        </w:rPr>
        <w:t xml:space="preserve">responsible for providing teaching – from the Greek </w:t>
      </w:r>
      <w:r w:rsidR="0015744E" w:rsidRPr="006A598F">
        <w:rPr>
          <w:rFonts w:ascii="Calibri" w:hAnsi="Calibri" w:cs="Calibri"/>
          <w:i/>
          <w:szCs w:val="24"/>
        </w:rPr>
        <w:t>didache</w:t>
      </w:r>
      <w:r w:rsidR="0015744E" w:rsidRPr="006A598F">
        <w:rPr>
          <w:rFonts w:ascii="Calibri" w:hAnsi="Calibri" w:cs="Calibri"/>
          <w:szCs w:val="24"/>
        </w:rPr>
        <w:t xml:space="preserve"> – to the believers, </w:t>
      </w:r>
      <w:r w:rsidR="00441A58" w:rsidRPr="006A598F">
        <w:rPr>
          <w:rFonts w:ascii="Calibri" w:hAnsi="Calibri" w:cs="Calibri"/>
          <w:szCs w:val="24"/>
        </w:rPr>
        <w:t>through which</w:t>
      </w:r>
      <w:r w:rsidR="0015744E" w:rsidRPr="006A598F">
        <w:rPr>
          <w:rFonts w:ascii="Calibri" w:hAnsi="Calibri" w:cs="Calibri"/>
          <w:szCs w:val="24"/>
        </w:rPr>
        <w:t xml:space="preserve"> they are </w:t>
      </w:r>
      <w:r w:rsidRPr="006A598F">
        <w:rPr>
          <w:rFonts w:ascii="Calibri" w:hAnsi="Calibri" w:cs="Calibri"/>
          <w:szCs w:val="24"/>
        </w:rPr>
        <w:t>able to preserve</w:t>
      </w:r>
      <w:r w:rsidR="0015744E" w:rsidRPr="006A598F">
        <w:rPr>
          <w:rFonts w:ascii="Calibri" w:hAnsi="Calibri" w:cs="Calibri"/>
          <w:szCs w:val="24"/>
        </w:rPr>
        <w:t xml:space="preserve"> an</w:t>
      </w:r>
      <w:r w:rsidR="00197523" w:rsidRPr="006A598F">
        <w:rPr>
          <w:rFonts w:ascii="Calibri" w:hAnsi="Calibri" w:cs="Calibri"/>
          <w:szCs w:val="24"/>
        </w:rPr>
        <w:t xml:space="preserve">d </w:t>
      </w:r>
      <w:r w:rsidRPr="006A598F">
        <w:rPr>
          <w:rFonts w:ascii="Calibri" w:hAnsi="Calibri" w:cs="Calibri"/>
          <w:szCs w:val="24"/>
        </w:rPr>
        <w:t>transmit</w:t>
      </w:r>
      <w:r w:rsidR="003B29B8" w:rsidRPr="006A598F">
        <w:rPr>
          <w:rFonts w:ascii="Calibri" w:hAnsi="Calibri" w:cs="Calibri"/>
          <w:szCs w:val="24"/>
        </w:rPr>
        <w:t xml:space="preserve"> history</w:t>
      </w:r>
      <w:r w:rsidR="0015744E" w:rsidRPr="006A598F">
        <w:rPr>
          <w:rFonts w:ascii="Calibri" w:hAnsi="Calibri" w:cs="Calibri"/>
          <w:szCs w:val="24"/>
        </w:rPr>
        <w:t>.</w:t>
      </w:r>
      <w:r w:rsidR="003B29B8" w:rsidRPr="006A598F">
        <w:rPr>
          <w:rStyle w:val="FootnoteReference"/>
          <w:rFonts w:ascii="Calibri" w:hAnsi="Calibri" w:cs="Calibri"/>
          <w:szCs w:val="24"/>
        </w:rPr>
        <w:footnoteReference w:id="5"/>
      </w:r>
      <w:r w:rsidR="0015744E" w:rsidRPr="006A598F">
        <w:rPr>
          <w:rFonts w:ascii="Calibri" w:hAnsi="Calibri" w:cs="Calibri"/>
          <w:szCs w:val="24"/>
        </w:rPr>
        <w:t xml:space="preserve"> As eyewitnesses of Christ, they are </w:t>
      </w:r>
      <w:r w:rsidR="00C60A51" w:rsidRPr="006A598F">
        <w:rPr>
          <w:rFonts w:ascii="Calibri" w:hAnsi="Calibri" w:cs="Calibri"/>
          <w:szCs w:val="24"/>
        </w:rPr>
        <w:t>given</w:t>
      </w:r>
      <w:r w:rsidR="0015744E" w:rsidRPr="006A598F">
        <w:rPr>
          <w:rFonts w:ascii="Calibri" w:hAnsi="Calibri" w:cs="Calibri"/>
          <w:szCs w:val="24"/>
        </w:rPr>
        <w:t xml:space="preserve"> special authority to pass on</w:t>
      </w:r>
      <w:r w:rsidR="00A21C78" w:rsidRPr="006A598F">
        <w:rPr>
          <w:rFonts w:ascii="Calibri" w:hAnsi="Calibri" w:cs="Calibri"/>
          <w:szCs w:val="24"/>
        </w:rPr>
        <w:t xml:space="preserve"> knowledge of</w:t>
      </w:r>
      <w:r w:rsidR="0015744E" w:rsidRPr="006A598F">
        <w:rPr>
          <w:rFonts w:ascii="Calibri" w:hAnsi="Calibri" w:cs="Calibri"/>
          <w:szCs w:val="24"/>
        </w:rPr>
        <w:t xml:space="preserve"> h</w:t>
      </w:r>
      <w:r w:rsidR="005B59A1" w:rsidRPr="006A598F">
        <w:rPr>
          <w:rFonts w:ascii="Calibri" w:hAnsi="Calibri" w:cs="Calibri"/>
          <w:szCs w:val="24"/>
        </w:rPr>
        <w:t>is deeds and lessons to others</w:t>
      </w:r>
      <w:r w:rsidR="0015744E" w:rsidRPr="006A598F">
        <w:rPr>
          <w:rFonts w:ascii="Calibri" w:hAnsi="Calibri" w:cs="Calibri"/>
          <w:szCs w:val="24"/>
        </w:rPr>
        <w:t>.</w:t>
      </w:r>
      <w:r w:rsidR="005B59A1" w:rsidRPr="006A598F">
        <w:rPr>
          <w:rStyle w:val="FootnoteReference"/>
          <w:rFonts w:ascii="Calibri" w:hAnsi="Calibri" w:cs="Calibri"/>
          <w:szCs w:val="24"/>
        </w:rPr>
        <w:footnoteReference w:id="6"/>
      </w:r>
      <w:r w:rsidR="00A21C78" w:rsidRPr="006A598F">
        <w:rPr>
          <w:rFonts w:ascii="Calibri" w:hAnsi="Calibri" w:cs="Calibri"/>
          <w:szCs w:val="24"/>
        </w:rPr>
        <w:t xml:space="preserve"> Luke </w:t>
      </w:r>
      <w:r w:rsidRPr="006A598F">
        <w:rPr>
          <w:rFonts w:ascii="Calibri" w:hAnsi="Calibri" w:cs="Calibri"/>
          <w:szCs w:val="24"/>
        </w:rPr>
        <w:t xml:space="preserve">here </w:t>
      </w:r>
      <w:r w:rsidR="00A21C78" w:rsidRPr="006A598F">
        <w:rPr>
          <w:rFonts w:ascii="Calibri" w:hAnsi="Calibri" w:cs="Calibri"/>
          <w:szCs w:val="24"/>
        </w:rPr>
        <w:t xml:space="preserve">uses the phrase “the teaching of the apostles” rather than “the teaching of Christ”. </w:t>
      </w:r>
      <w:r w:rsidRPr="006A598F">
        <w:rPr>
          <w:rFonts w:ascii="Calibri" w:hAnsi="Calibri" w:cs="Calibri"/>
          <w:szCs w:val="24"/>
        </w:rPr>
        <w:t>This</w:t>
      </w:r>
      <w:r w:rsidR="00A21C78" w:rsidRPr="006A598F">
        <w:rPr>
          <w:rFonts w:ascii="Calibri" w:hAnsi="Calibri" w:cs="Calibri"/>
          <w:szCs w:val="24"/>
        </w:rPr>
        <w:t xml:space="preserve"> stresses the </w:t>
      </w:r>
      <w:r w:rsidR="00CC2741" w:rsidRPr="006A598F">
        <w:rPr>
          <w:rFonts w:ascii="Calibri" w:hAnsi="Calibri" w:cs="Calibri"/>
          <w:szCs w:val="24"/>
        </w:rPr>
        <w:t>unique levels of authority and trust the apostles are given</w:t>
      </w:r>
      <w:r w:rsidRPr="006A598F">
        <w:rPr>
          <w:rFonts w:ascii="Calibri" w:hAnsi="Calibri" w:cs="Calibri"/>
          <w:szCs w:val="24"/>
        </w:rPr>
        <w:t xml:space="preserve"> in these early communities</w:t>
      </w:r>
      <w:r w:rsidR="00CC2741" w:rsidRPr="006A598F">
        <w:rPr>
          <w:rFonts w:ascii="Calibri" w:hAnsi="Calibri" w:cs="Calibri"/>
          <w:szCs w:val="24"/>
        </w:rPr>
        <w:t xml:space="preserve">. </w:t>
      </w:r>
    </w:p>
    <w:p w14:paraId="773F2E9E" w14:textId="0EA26DDD" w:rsidR="00002478" w:rsidRPr="006A598F" w:rsidRDefault="00F10FCB" w:rsidP="006D62B6">
      <w:pPr>
        <w:pStyle w:val="OBEBody"/>
        <w:rPr>
          <w:rFonts w:ascii="Calibri" w:hAnsi="Calibri" w:cs="Calibri"/>
          <w:szCs w:val="24"/>
        </w:rPr>
      </w:pPr>
      <w:r w:rsidRPr="006A598F">
        <w:rPr>
          <w:rFonts w:ascii="Calibri" w:hAnsi="Calibri" w:cs="Calibri"/>
          <w:szCs w:val="24"/>
        </w:rPr>
        <w:lastRenderedPageBreak/>
        <w:t xml:space="preserve">This level of authority is further strengthened </w:t>
      </w:r>
      <w:r w:rsidR="00D70775" w:rsidRPr="006A598F">
        <w:rPr>
          <w:rFonts w:ascii="Calibri" w:hAnsi="Calibri" w:cs="Calibri"/>
          <w:szCs w:val="24"/>
        </w:rPr>
        <w:t>by</w:t>
      </w:r>
      <w:r w:rsidRPr="006A598F">
        <w:rPr>
          <w:rFonts w:ascii="Calibri" w:hAnsi="Calibri" w:cs="Calibri"/>
          <w:szCs w:val="24"/>
        </w:rPr>
        <w:t xml:space="preserve"> the</w:t>
      </w:r>
      <w:r w:rsidR="00D70775" w:rsidRPr="006A598F">
        <w:rPr>
          <w:rFonts w:ascii="Calibri" w:hAnsi="Calibri" w:cs="Calibri"/>
          <w:szCs w:val="24"/>
        </w:rPr>
        <w:t xml:space="preserve"> apostles’ associative link to Jesus Christ. The passage describes </w:t>
      </w:r>
      <w:r w:rsidR="00517BF2" w:rsidRPr="006A598F">
        <w:rPr>
          <w:rFonts w:ascii="Calibri" w:hAnsi="Calibri" w:cs="Calibri"/>
          <w:szCs w:val="24"/>
        </w:rPr>
        <w:t xml:space="preserve">“the many wonders and signs performed by the apostles” (2:43). </w:t>
      </w:r>
      <w:r w:rsidR="005B59A1" w:rsidRPr="006A598F">
        <w:rPr>
          <w:rFonts w:ascii="Calibri" w:hAnsi="Calibri" w:cs="Calibri"/>
          <w:szCs w:val="24"/>
        </w:rPr>
        <w:t>As Jeon</w:t>
      </w:r>
      <w:r w:rsidRPr="006A598F">
        <w:rPr>
          <w:rFonts w:ascii="Calibri" w:hAnsi="Calibri" w:cs="Calibri"/>
          <w:szCs w:val="24"/>
        </w:rPr>
        <w:t xml:space="preserve"> has argued, these “wonders and signs” - </w:t>
      </w:r>
      <w:r w:rsidRPr="006A598F">
        <w:rPr>
          <w:rFonts w:ascii="Calibri" w:hAnsi="Calibri" w:cs="Calibri"/>
          <w:i/>
          <w:szCs w:val="24"/>
        </w:rPr>
        <w:t>terata kai sēmeia</w:t>
      </w:r>
      <w:r w:rsidR="00D70775" w:rsidRPr="006A598F">
        <w:rPr>
          <w:rFonts w:ascii="Calibri" w:hAnsi="Calibri" w:cs="Calibri"/>
          <w:szCs w:val="24"/>
        </w:rPr>
        <w:t xml:space="preserve"> </w:t>
      </w:r>
      <w:r w:rsidRPr="006A598F">
        <w:rPr>
          <w:rFonts w:ascii="Calibri" w:hAnsi="Calibri" w:cs="Calibri"/>
          <w:szCs w:val="24"/>
        </w:rPr>
        <w:t>– reference the wonders and signs performed by Christ (</w:t>
      </w:r>
      <w:r w:rsidRPr="006A598F">
        <w:rPr>
          <w:rFonts w:ascii="Calibri" w:hAnsi="Calibri" w:cs="Calibri"/>
          <w:i/>
          <w:szCs w:val="24"/>
        </w:rPr>
        <w:t>terasi kai sēmeiois</w:t>
      </w:r>
      <w:r w:rsidRPr="006A598F">
        <w:rPr>
          <w:rFonts w:ascii="Calibri" w:hAnsi="Calibri" w:cs="Calibri"/>
          <w:szCs w:val="24"/>
        </w:rPr>
        <w:t xml:space="preserve"> described in Acts 2:22).</w:t>
      </w:r>
      <w:r w:rsidR="005B59A1" w:rsidRPr="006A598F">
        <w:rPr>
          <w:rStyle w:val="FootnoteReference"/>
          <w:rFonts w:ascii="Calibri" w:hAnsi="Calibri" w:cs="Calibri"/>
          <w:szCs w:val="24"/>
        </w:rPr>
        <w:footnoteReference w:id="7"/>
      </w:r>
      <w:r w:rsidRPr="006A598F">
        <w:rPr>
          <w:rFonts w:ascii="Calibri" w:hAnsi="Calibri" w:cs="Calibri"/>
          <w:szCs w:val="24"/>
        </w:rPr>
        <w:t xml:space="preserve"> </w:t>
      </w:r>
      <w:r w:rsidR="005B59A1" w:rsidRPr="006A598F">
        <w:rPr>
          <w:rFonts w:ascii="Calibri" w:hAnsi="Calibri" w:cs="Calibri"/>
          <w:szCs w:val="24"/>
        </w:rPr>
        <w:t xml:space="preserve">Likewise, Watley </w:t>
      </w:r>
      <w:r w:rsidR="00C72A6F" w:rsidRPr="006A598F">
        <w:rPr>
          <w:rFonts w:ascii="Calibri" w:hAnsi="Calibri" w:cs="Calibri"/>
          <w:szCs w:val="24"/>
        </w:rPr>
        <w:t xml:space="preserve">describes how the </w:t>
      </w:r>
      <w:r w:rsidR="00D70775" w:rsidRPr="006A598F">
        <w:rPr>
          <w:rFonts w:ascii="Calibri" w:hAnsi="Calibri" w:cs="Calibri"/>
          <w:szCs w:val="24"/>
        </w:rPr>
        <w:t>apostles’</w:t>
      </w:r>
      <w:r w:rsidR="00C72A6F" w:rsidRPr="006A598F">
        <w:rPr>
          <w:rFonts w:ascii="Calibri" w:hAnsi="Calibri" w:cs="Calibri"/>
          <w:szCs w:val="24"/>
        </w:rPr>
        <w:t xml:space="preserve"> way of developing a following is reminiscent of the way Christ </w:t>
      </w:r>
      <w:r w:rsidR="00D70775" w:rsidRPr="006A598F">
        <w:rPr>
          <w:rFonts w:ascii="Calibri" w:hAnsi="Calibri" w:cs="Calibri"/>
          <w:szCs w:val="24"/>
        </w:rPr>
        <w:t>gained</w:t>
      </w:r>
      <w:r w:rsidR="00C72A6F" w:rsidRPr="006A598F">
        <w:rPr>
          <w:rFonts w:ascii="Calibri" w:hAnsi="Calibri" w:cs="Calibri"/>
          <w:szCs w:val="24"/>
        </w:rPr>
        <w:t xml:space="preserve"> his followers through his transformational leadership.</w:t>
      </w:r>
      <w:r w:rsidR="005B59A1" w:rsidRPr="006A598F">
        <w:rPr>
          <w:rStyle w:val="FootnoteReference"/>
          <w:rFonts w:ascii="Calibri" w:hAnsi="Calibri" w:cs="Calibri"/>
          <w:szCs w:val="24"/>
        </w:rPr>
        <w:footnoteReference w:id="8"/>
      </w:r>
      <w:r w:rsidR="00C72A6F" w:rsidRPr="006A598F">
        <w:rPr>
          <w:rFonts w:ascii="Calibri" w:hAnsi="Calibri" w:cs="Calibri"/>
          <w:szCs w:val="24"/>
        </w:rPr>
        <w:t xml:space="preserve"> </w:t>
      </w:r>
      <w:r w:rsidRPr="006A598F">
        <w:rPr>
          <w:rFonts w:ascii="Calibri" w:hAnsi="Calibri" w:cs="Calibri"/>
          <w:szCs w:val="24"/>
        </w:rPr>
        <w:t>This</w:t>
      </w:r>
      <w:r w:rsidR="00D70775" w:rsidRPr="006A598F">
        <w:rPr>
          <w:rFonts w:ascii="Calibri" w:hAnsi="Calibri" w:cs="Calibri"/>
          <w:szCs w:val="24"/>
        </w:rPr>
        <w:t xml:space="preserve"> link between the a</w:t>
      </w:r>
      <w:r w:rsidR="00C72A6F" w:rsidRPr="006A598F">
        <w:rPr>
          <w:rFonts w:ascii="Calibri" w:hAnsi="Calibri" w:cs="Calibri"/>
          <w:szCs w:val="24"/>
        </w:rPr>
        <w:t>postles and Christ</w:t>
      </w:r>
      <w:r w:rsidRPr="006A598F">
        <w:rPr>
          <w:rFonts w:ascii="Calibri" w:hAnsi="Calibri" w:cs="Calibri"/>
          <w:szCs w:val="24"/>
        </w:rPr>
        <w:t xml:space="preserve"> </w:t>
      </w:r>
      <w:r w:rsidR="00D70775" w:rsidRPr="006A598F">
        <w:rPr>
          <w:rFonts w:ascii="Calibri" w:hAnsi="Calibri" w:cs="Calibri"/>
          <w:szCs w:val="24"/>
        </w:rPr>
        <w:t>established</w:t>
      </w:r>
      <w:r w:rsidRPr="006A598F">
        <w:rPr>
          <w:rFonts w:ascii="Calibri" w:hAnsi="Calibri" w:cs="Calibri"/>
          <w:szCs w:val="24"/>
        </w:rPr>
        <w:t xml:space="preserve"> a clear hierarchy in the </w:t>
      </w:r>
      <w:r w:rsidR="00C72A6F" w:rsidRPr="006A598F">
        <w:rPr>
          <w:rFonts w:ascii="Calibri" w:hAnsi="Calibri" w:cs="Calibri"/>
          <w:szCs w:val="24"/>
        </w:rPr>
        <w:t xml:space="preserve">early Christian </w:t>
      </w:r>
      <w:r w:rsidRPr="006A598F">
        <w:rPr>
          <w:rFonts w:ascii="Calibri" w:hAnsi="Calibri" w:cs="Calibri"/>
          <w:szCs w:val="24"/>
        </w:rPr>
        <w:t xml:space="preserve">communities, providing the believers with the necessary spiritual leadership as their Church was starting to establish and define itself against their </w:t>
      </w:r>
      <w:r w:rsidR="00D70775" w:rsidRPr="006A598F">
        <w:rPr>
          <w:rFonts w:ascii="Calibri" w:hAnsi="Calibri" w:cs="Calibri"/>
          <w:szCs w:val="24"/>
        </w:rPr>
        <w:t xml:space="preserve">oppressive </w:t>
      </w:r>
      <w:r w:rsidRPr="006A598F">
        <w:rPr>
          <w:rFonts w:ascii="Calibri" w:hAnsi="Calibri" w:cs="Calibri"/>
          <w:szCs w:val="24"/>
        </w:rPr>
        <w:t xml:space="preserve">socio-cultural environments.  </w:t>
      </w:r>
    </w:p>
    <w:p w14:paraId="22A4AE1F" w14:textId="09B69317" w:rsidR="00002478" w:rsidRPr="006A598F" w:rsidRDefault="00CF49C7" w:rsidP="006D62B6">
      <w:pPr>
        <w:pStyle w:val="OBEBody"/>
        <w:rPr>
          <w:rFonts w:ascii="Calibri" w:hAnsi="Calibri" w:cs="Calibri"/>
          <w:szCs w:val="24"/>
        </w:rPr>
      </w:pPr>
      <w:r w:rsidRPr="006A598F">
        <w:rPr>
          <w:rFonts w:ascii="Calibri" w:hAnsi="Calibri" w:cs="Calibri"/>
          <w:szCs w:val="24"/>
        </w:rPr>
        <w:t>The believers’ activities are present</w:t>
      </w:r>
      <w:r w:rsidR="00C60A51" w:rsidRPr="006A598F">
        <w:rPr>
          <w:rFonts w:ascii="Calibri" w:hAnsi="Calibri" w:cs="Calibri"/>
          <w:szCs w:val="24"/>
        </w:rPr>
        <w:t xml:space="preserve">ed in two pairs; the first one describes the apostles’ teaching and fellowship, and the second describes the </w:t>
      </w:r>
      <w:r w:rsidRPr="006A598F">
        <w:rPr>
          <w:rFonts w:ascii="Calibri" w:hAnsi="Calibri" w:cs="Calibri"/>
          <w:szCs w:val="24"/>
        </w:rPr>
        <w:t xml:space="preserve">breaking of bread and prayer. </w:t>
      </w:r>
      <w:r w:rsidR="00C60A51" w:rsidRPr="006A598F">
        <w:rPr>
          <w:rFonts w:ascii="Calibri" w:hAnsi="Calibri" w:cs="Calibri"/>
          <w:szCs w:val="24"/>
        </w:rPr>
        <w:t>No</w:t>
      </w:r>
      <w:r w:rsidR="00C40127" w:rsidRPr="006A598F">
        <w:rPr>
          <w:rFonts w:ascii="Calibri" w:hAnsi="Calibri" w:cs="Calibri"/>
          <w:szCs w:val="24"/>
        </w:rPr>
        <w:t xml:space="preserve"> conjunction</w:t>
      </w:r>
      <w:r w:rsidR="00C60A51" w:rsidRPr="006A598F">
        <w:rPr>
          <w:rFonts w:ascii="Calibri" w:hAnsi="Calibri" w:cs="Calibri"/>
          <w:szCs w:val="24"/>
        </w:rPr>
        <w:t xml:space="preserve"> is</w:t>
      </w:r>
      <w:r w:rsidR="00C40127" w:rsidRPr="006A598F">
        <w:rPr>
          <w:rFonts w:ascii="Calibri" w:hAnsi="Calibri" w:cs="Calibri"/>
          <w:szCs w:val="24"/>
        </w:rPr>
        <w:t xml:space="preserve"> used between the two pairs, </w:t>
      </w:r>
      <w:r w:rsidR="00C60A51" w:rsidRPr="006A598F">
        <w:rPr>
          <w:rFonts w:ascii="Calibri" w:hAnsi="Calibri" w:cs="Calibri"/>
          <w:szCs w:val="24"/>
        </w:rPr>
        <w:t>indicating</w:t>
      </w:r>
      <w:r w:rsidR="00C40127" w:rsidRPr="006A598F">
        <w:rPr>
          <w:rFonts w:ascii="Calibri" w:hAnsi="Calibri" w:cs="Calibri"/>
          <w:szCs w:val="24"/>
        </w:rPr>
        <w:t xml:space="preserve"> that they ar</w:t>
      </w:r>
      <w:r w:rsidR="005B59A1" w:rsidRPr="006A598F">
        <w:rPr>
          <w:rFonts w:ascii="Calibri" w:hAnsi="Calibri" w:cs="Calibri"/>
          <w:szCs w:val="24"/>
        </w:rPr>
        <w:t>e thematically distinct</w:t>
      </w:r>
      <w:r w:rsidR="00C40127" w:rsidRPr="006A598F">
        <w:rPr>
          <w:rFonts w:ascii="Calibri" w:hAnsi="Calibri" w:cs="Calibri"/>
          <w:szCs w:val="24"/>
        </w:rPr>
        <w:t>.</w:t>
      </w:r>
      <w:r w:rsidR="005B59A1" w:rsidRPr="006A598F">
        <w:rPr>
          <w:rStyle w:val="FootnoteReference"/>
          <w:rFonts w:ascii="Calibri" w:hAnsi="Calibri" w:cs="Calibri"/>
          <w:szCs w:val="24"/>
        </w:rPr>
        <w:footnoteReference w:id="9"/>
      </w:r>
      <w:r w:rsidR="00C40127" w:rsidRPr="006A598F">
        <w:rPr>
          <w:rFonts w:ascii="Calibri" w:hAnsi="Calibri" w:cs="Calibri"/>
          <w:szCs w:val="24"/>
        </w:rPr>
        <w:t xml:space="preserve"> </w:t>
      </w:r>
      <w:r w:rsidR="00A21C78" w:rsidRPr="006A598F">
        <w:rPr>
          <w:rFonts w:ascii="Calibri" w:hAnsi="Calibri" w:cs="Calibri"/>
          <w:szCs w:val="24"/>
        </w:rPr>
        <w:t xml:space="preserve">The activities describe two </w:t>
      </w:r>
      <w:r w:rsidR="00C60A51" w:rsidRPr="006A598F">
        <w:rPr>
          <w:rFonts w:ascii="Calibri" w:hAnsi="Calibri" w:cs="Calibri"/>
          <w:szCs w:val="24"/>
        </w:rPr>
        <w:t>primary</w:t>
      </w:r>
      <w:r w:rsidR="00A21C78" w:rsidRPr="006A598F">
        <w:rPr>
          <w:rFonts w:ascii="Calibri" w:hAnsi="Calibri" w:cs="Calibri"/>
          <w:szCs w:val="24"/>
        </w:rPr>
        <w:t xml:space="preserve"> commitments: </w:t>
      </w:r>
      <w:r w:rsidR="00C60A51" w:rsidRPr="006A598F">
        <w:rPr>
          <w:rFonts w:ascii="Calibri" w:hAnsi="Calibri" w:cs="Calibri"/>
          <w:szCs w:val="24"/>
        </w:rPr>
        <w:t>apostolic teaching and</w:t>
      </w:r>
      <w:r w:rsidR="00A21C78" w:rsidRPr="006A598F">
        <w:rPr>
          <w:rFonts w:ascii="Calibri" w:hAnsi="Calibri" w:cs="Calibri"/>
          <w:szCs w:val="24"/>
        </w:rPr>
        <w:t xml:space="preserve"> </w:t>
      </w:r>
      <w:r w:rsidR="007547E8" w:rsidRPr="006A598F">
        <w:rPr>
          <w:rFonts w:ascii="Calibri" w:hAnsi="Calibri" w:cs="Calibri"/>
          <w:szCs w:val="24"/>
        </w:rPr>
        <w:t>communal life</w:t>
      </w:r>
      <w:r w:rsidR="00A21C78" w:rsidRPr="006A598F">
        <w:rPr>
          <w:rFonts w:ascii="Calibri" w:hAnsi="Calibri" w:cs="Calibri"/>
          <w:szCs w:val="24"/>
        </w:rPr>
        <w:t>.</w:t>
      </w:r>
      <w:r w:rsidR="005B59A1" w:rsidRPr="006A598F">
        <w:rPr>
          <w:rStyle w:val="FootnoteReference"/>
          <w:rFonts w:ascii="Calibri" w:hAnsi="Calibri" w:cs="Calibri"/>
          <w:szCs w:val="24"/>
        </w:rPr>
        <w:footnoteReference w:id="10"/>
      </w:r>
      <w:r w:rsidR="00A21C78" w:rsidRPr="006A598F">
        <w:rPr>
          <w:rFonts w:ascii="Calibri" w:hAnsi="Calibri" w:cs="Calibri"/>
          <w:szCs w:val="24"/>
        </w:rPr>
        <w:t xml:space="preserve">  </w:t>
      </w:r>
      <w:r w:rsidR="00C40127" w:rsidRPr="006A598F">
        <w:rPr>
          <w:rFonts w:ascii="Calibri" w:hAnsi="Calibri" w:cs="Calibri"/>
          <w:szCs w:val="24"/>
        </w:rPr>
        <w:t xml:space="preserve">The first pair outlines activities related to cognitive practice, whereas the second has a more spiritual-sacramental </w:t>
      </w:r>
      <w:r w:rsidR="005B59A1" w:rsidRPr="006A598F">
        <w:rPr>
          <w:rFonts w:ascii="Calibri" w:hAnsi="Calibri" w:cs="Calibri"/>
          <w:szCs w:val="24"/>
        </w:rPr>
        <w:t>dimension</w:t>
      </w:r>
      <w:r w:rsidR="00C40127" w:rsidRPr="006A598F">
        <w:rPr>
          <w:rFonts w:ascii="Calibri" w:hAnsi="Calibri" w:cs="Calibri"/>
          <w:szCs w:val="24"/>
        </w:rPr>
        <w:t>.</w:t>
      </w:r>
      <w:r w:rsidR="005B59A1" w:rsidRPr="006A598F">
        <w:rPr>
          <w:rStyle w:val="FootnoteReference"/>
          <w:rFonts w:ascii="Calibri" w:hAnsi="Calibri" w:cs="Calibri"/>
          <w:szCs w:val="24"/>
        </w:rPr>
        <w:footnoteReference w:id="11"/>
      </w:r>
    </w:p>
    <w:p w14:paraId="793B8EC9" w14:textId="7C3BD634" w:rsidR="007547E8" w:rsidRPr="006A598F" w:rsidRDefault="0015744E" w:rsidP="006D62B6">
      <w:pPr>
        <w:pStyle w:val="OBEBody"/>
        <w:rPr>
          <w:rFonts w:ascii="Calibri" w:hAnsi="Calibri" w:cs="Calibri"/>
          <w:szCs w:val="24"/>
        </w:rPr>
      </w:pPr>
      <w:r w:rsidRPr="006A598F">
        <w:rPr>
          <w:rFonts w:ascii="Calibri" w:hAnsi="Calibri" w:cs="Calibri"/>
          <w:szCs w:val="24"/>
        </w:rPr>
        <w:t xml:space="preserve">The passage’s emphasis on fellowship – </w:t>
      </w:r>
      <w:r w:rsidRPr="006A598F">
        <w:rPr>
          <w:rFonts w:ascii="Calibri" w:hAnsi="Calibri" w:cs="Calibri"/>
          <w:i/>
          <w:szCs w:val="24"/>
        </w:rPr>
        <w:t>koinonia</w:t>
      </w:r>
      <w:r w:rsidRPr="006A598F">
        <w:rPr>
          <w:rFonts w:ascii="Calibri" w:hAnsi="Calibri" w:cs="Calibri"/>
          <w:szCs w:val="24"/>
        </w:rPr>
        <w:t xml:space="preserve"> in Greek</w:t>
      </w:r>
      <w:r w:rsidR="005B59A1" w:rsidRPr="006A598F">
        <w:rPr>
          <w:rStyle w:val="FootnoteReference"/>
          <w:rFonts w:ascii="Calibri" w:hAnsi="Calibri" w:cs="Calibri"/>
          <w:szCs w:val="24"/>
        </w:rPr>
        <w:footnoteReference w:id="12"/>
      </w:r>
      <w:r w:rsidRPr="006A598F">
        <w:rPr>
          <w:rFonts w:ascii="Calibri" w:hAnsi="Calibri" w:cs="Calibri"/>
          <w:szCs w:val="24"/>
        </w:rPr>
        <w:t xml:space="preserve"> – </w:t>
      </w:r>
      <w:r w:rsidR="007547E8" w:rsidRPr="006A598F">
        <w:rPr>
          <w:rFonts w:ascii="Calibri" w:hAnsi="Calibri" w:cs="Calibri"/>
          <w:szCs w:val="24"/>
        </w:rPr>
        <w:t xml:space="preserve">thereby </w:t>
      </w:r>
      <w:r w:rsidRPr="006A598F">
        <w:rPr>
          <w:rFonts w:ascii="Calibri" w:hAnsi="Calibri" w:cs="Calibri"/>
          <w:szCs w:val="24"/>
        </w:rPr>
        <w:t xml:space="preserve">demonstrates the importance of social cohesion at a critical point in the formation of the early Christian community. </w:t>
      </w:r>
      <w:r w:rsidR="005B59A1" w:rsidRPr="006A598F">
        <w:rPr>
          <w:rFonts w:ascii="Calibri" w:hAnsi="Calibri" w:cs="Calibri"/>
          <w:szCs w:val="24"/>
        </w:rPr>
        <w:t xml:space="preserve">Jeon </w:t>
      </w:r>
      <w:r w:rsidR="00CC2741" w:rsidRPr="006A598F">
        <w:rPr>
          <w:rFonts w:ascii="Calibri" w:hAnsi="Calibri" w:cs="Calibri"/>
          <w:szCs w:val="24"/>
        </w:rPr>
        <w:t xml:space="preserve">further notes that in Graeco-Roman literature, the term </w:t>
      </w:r>
      <w:r w:rsidR="00CC2741" w:rsidRPr="006A598F">
        <w:rPr>
          <w:rFonts w:ascii="Calibri" w:hAnsi="Calibri" w:cs="Calibri"/>
          <w:i/>
          <w:szCs w:val="24"/>
        </w:rPr>
        <w:t>koinonia</w:t>
      </w:r>
      <w:r w:rsidR="00CC2741" w:rsidRPr="006A598F">
        <w:rPr>
          <w:rFonts w:ascii="Calibri" w:hAnsi="Calibri" w:cs="Calibri"/>
          <w:szCs w:val="24"/>
        </w:rPr>
        <w:t xml:space="preserve"> expresses “the mutuality and commitment characteristic of marri</w:t>
      </w:r>
      <w:r w:rsidR="005B59A1" w:rsidRPr="006A598F">
        <w:rPr>
          <w:rFonts w:ascii="Calibri" w:hAnsi="Calibri" w:cs="Calibri"/>
          <w:szCs w:val="24"/>
        </w:rPr>
        <w:t>age”</w:t>
      </w:r>
      <w:r w:rsidR="00CC2741" w:rsidRPr="006A598F">
        <w:rPr>
          <w:rFonts w:ascii="Calibri" w:hAnsi="Calibri" w:cs="Calibri"/>
          <w:szCs w:val="24"/>
        </w:rPr>
        <w:t>.</w:t>
      </w:r>
      <w:r w:rsidR="005B59A1" w:rsidRPr="006A598F">
        <w:rPr>
          <w:rStyle w:val="FootnoteReference"/>
          <w:rFonts w:ascii="Calibri" w:hAnsi="Calibri" w:cs="Calibri"/>
          <w:szCs w:val="24"/>
        </w:rPr>
        <w:footnoteReference w:id="13"/>
      </w:r>
      <w:r w:rsidR="00CC2741" w:rsidRPr="006A598F">
        <w:rPr>
          <w:rFonts w:ascii="Calibri" w:hAnsi="Calibri" w:cs="Calibri"/>
          <w:szCs w:val="24"/>
        </w:rPr>
        <w:t xml:space="preserve"> </w:t>
      </w:r>
      <w:r w:rsidR="00517BF2" w:rsidRPr="006A598F">
        <w:rPr>
          <w:rFonts w:ascii="Calibri" w:hAnsi="Calibri" w:cs="Calibri"/>
          <w:szCs w:val="24"/>
        </w:rPr>
        <w:t xml:space="preserve">This associative reference stresses the extraordinary levels of closeness amidst the early Christian community and works in tandem with descriptions of the believers worshipping not only in the temple but also in the private sphere of the house. </w:t>
      </w:r>
    </w:p>
    <w:p w14:paraId="291C7005" w14:textId="773DCA65" w:rsidR="00002478" w:rsidRPr="006A598F" w:rsidRDefault="000A4F9F" w:rsidP="006D62B6">
      <w:pPr>
        <w:pStyle w:val="OBEBody"/>
        <w:rPr>
          <w:rFonts w:ascii="Calibri" w:hAnsi="Calibri" w:cs="Calibri"/>
          <w:szCs w:val="24"/>
        </w:rPr>
      </w:pPr>
      <w:r w:rsidRPr="006A598F">
        <w:rPr>
          <w:rFonts w:ascii="Calibri" w:hAnsi="Calibri" w:cs="Calibri"/>
          <w:szCs w:val="24"/>
        </w:rPr>
        <w:lastRenderedPageBreak/>
        <w:t>The passage describes rituals of communal eating as the believers “broke bread in their homes and ate together with glad and sincere hearts”</w:t>
      </w:r>
      <w:r w:rsidR="00517BF2" w:rsidRPr="006A598F">
        <w:rPr>
          <w:rFonts w:ascii="Calibri" w:hAnsi="Calibri" w:cs="Calibri"/>
          <w:szCs w:val="24"/>
        </w:rPr>
        <w:t xml:space="preserve"> (2:46</w:t>
      </w:r>
      <w:r w:rsidRPr="006A598F">
        <w:rPr>
          <w:rFonts w:ascii="Calibri" w:hAnsi="Calibri" w:cs="Calibri"/>
          <w:szCs w:val="24"/>
        </w:rPr>
        <w:t xml:space="preserve">). The act of shared eating is described as </w:t>
      </w:r>
      <w:r w:rsidR="00C60A51" w:rsidRPr="006A598F">
        <w:rPr>
          <w:rFonts w:ascii="Calibri" w:hAnsi="Calibri" w:cs="Calibri"/>
          <w:szCs w:val="24"/>
        </w:rPr>
        <w:t xml:space="preserve">a </w:t>
      </w:r>
      <w:r w:rsidRPr="006A598F">
        <w:rPr>
          <w:rFonts w:ascii="Calibri" w:hAnsi="Calibri" w:cs="Calibri"/>
          <w:szCs w:val="24"/>
        </w:rPr>
        <w:t>positive experience that is implied to strengthen communal bonds. The shared meal carries clear resonances with the Passover meal</w:t>
      </w:r>
      <w:r w:rsidR="008D2FEA" w:rsidRPr="006A598F">
        <w:rPr>
          <w:rStyle w:val="FootnoteReference"/>
          <w:rFonts w:ascii="Calibri" w:hAnsi="Calibri" w:cs="Calibri"/>
          <w:szCs w:val="24"/>
        </w:rPr>
        <w:footnoteReference w:id="14"/>
      </w:r>
      <w:r w:rsidR="00C60A51" w:rsidRPr="006A598F">
        <w:rPr>
          <w:rFonts w:ascii="Calibri" w:hAnsi="Calibri" w:cs="Calibri"/>
          <w:szCs w:val="24"/>
        </w:rPr>
        <w:t xml:space="preserve"> and</w:t>
      </w:r>
      <w:r w:rsidRPr="006A598F">
        <w:rPr>
          <w:rFonts w:ascii="Calibri" w:hAnsi="Calibri" w:cs="Calibri"/>
          <w:szCs w:val="24"/>
        </w:rPr>
        <w:t xml:space="preserve"> Jesus’s declaration that he would not again eat with his followers until the arrival of God’s kingdom. The act of breaking the bread amidst the early Christian community thus symbolises their shared hope for Christ’s return and their commitment to the arrival of his Kingdom.</w:t>
      </w:r>
      <w:r w:rsidR="008D2FEA" w:rsidRPr="006A598F">
        <w:rPr>
          <w:rStyle w:val="FootnoteReference"/>
          <w:rFonts w:ascii="Calibri" w:hAnsi="Calibri" w:cs="Calibri"/>
          <w:szCs w:val="24"/>
        </w:rPr>
        <w:footnoteReference w:id="15"/>
      </w:r>
      <w:r w:rsidRPr="006A598F">
        <w:rPr>
          <w:rFonts w:ascii="Calibri" w:hAnsi="Calibri" w:cs="Calibri"/>
          <w:szCs w:val="24"/>
        </w:rPr>
        <w:t xml:space="preserve"> </w:t>
      </w:r>
    </w:p>
    <w:p w14:paraId="0BEFADD1" w14:textId="47092634" w:rsidR="00002478" w:rsidRPr="006A598F" w:rsidRDefault="00547FF6" w:rsidP="006D62B6">
      <w:pPr>
        <w:pStyle w:val="OBEBody"/>
        <w:rPr>
          <w:rFonts w:ascii="Calibri" w:hAnsi="Calibri" w:cs="Calibri"/>
          <w:szCs w:val="24"/>
        </w:rPr>
      </w:pPr>
      <w:r w:rsidRPr="006A598F">
        <w:rPr>
          <w:rFonts w:ascii="Calibri" w:hAnsi="Calibri" w:cs="Calibri"/>
          <w:szCs w:val="24"/>
        </w:rPr>
        <w:t xml:space="preserve">Sharing supper in each other’s houses also </w:t>
      </w:r>
      <w:r w:rsidR="007547E8" w:rsidRPr="006A598F">
        <w:rPr>
          <w:rFonts w:ascii="Calibri" w:hAnsi="Calibri" w:cs="Calibri"/>
          <w:szCs w:val="24"/>
        </w:rPr>
        <w:t>allowed</w:t>
      </w:r>
      <w:r w:rsidRPr="006A598F">
        <w:rPr>
          <w:rFonts w:ascii="Calibri" w:hAnsi="Calibri" w:cs="Calibri"/>
          <w:szCs w:val="24"/>
        </w:rPr>
        <w:t xml:space="preserve"> the early Christians to leave the formal boundaries of the temple</w:t>
      </w:r>
      <w:r w:rsidR="007547E8" w:rsidRPr="006A598F">
        <w:rPr>
          <w:rFonts w:ascii="Calibri" w:hAnsi="Calibri" w:cs="Calibri"/>
          <w:szCs w:val="24"/>
        </w:rPr>
        <w:t>, giving</w:t>
      </w:r>
      <w:r w:rsidRPr="006A598F">
        <w:rPr>
          <w:rFonts w:ascii="Calibri" w:hAnsi="Calibri" w:cs="Calibri"/>
          <w:szCs w:val="24"/>
        </w:rPr>
        <w:t xml:space="preserve"> their </w:t>
      </w:r>
      <w:r w:rsidR="007547E8" w:rsidRPr="006A598F">
        <w:rPr>
          <w:rFonts w:ascii="Calibri" w:hAnsi="Calibri" w:cs="Calibri"/>
          <w:szCs w:val="24"/>
        </w:rPr>
        <w:t xml:space="preserve">religious </w:t>
      </w:r>
      <w:r w:rsidRPr="006A598F">
        <w:rPr>
          <w:rFonts w:ascii="Calibri" w:hAnsi="Calibri" w:cs="Calibri"/>
          <w:szCs w:val="24"/>
        </w:rPr>
        <w:t>community an intimat</w:t>
      </w:r>
      <w:r w:rsidR="008D2FEA" w:rsidRPr="006A598F">
        <w:rPr>
          <w:rFonts w:ascii="Calibri" w:hAnsi="Calibri" w:cs="Calibri"/>
          <w:szCs w:val="24"/>
        </w:rPr>
        <w:t>e and familial character</w:t>
      </w:r>
      <w:r w:rsidRPr="006A598F">
        <w:rPr>
          <w:rFonts w:ascii="Calibri" w:hAnsi="Calibri" w:cs="Calibri"/>
          <w:szCs w:val="24"/>
        </w:rPr>
        <w:t>.</w:t>
      </w:r>
      <w:r w:rsidR="008D2FEA" w:rsidRPr="006A598F">
        <w:rPr>
          <w:rStyle w:val="FootnoteReference"/>
          <w:rFonts w:ascii="Calibri" w:hAnsi="Calibri" w:cs="Calibri"/>
          <w:szCs w:val="24"/>
        </w:rPr>
        <w:footnoteReference w:id="16"/>
      </w:r>
      <w:r w:rsidRPr="006A598F">
        <w:rPr>
          <w:rFonts w:ascii="Calibri" w:hAnsi="Calibri" w:cs="Calibri"/>
          <w:szCs w:val="24"/>
        </w:rPr>
        <w:t xml:space="preserve"> </w:t>
      </w:r>
      <w:r w:rsidR="008D2FEA" w:rsidRPr="006A598F">
        <w:rPr>
          <w:rFonts w:ascii="Calibri" w:hAnsi="Calibri" w:cs="Calibri"/>
          <w:szCs w:val="24"/>
        </w:rPr>
        <w:t>Celarc</w:t>
      </w:r>
      <w:r w:rsidR="00EA049A" w:rsidRPr="006A598F">
        <w:rPr>
          <w:rFonts w:ascii="Calibri" w:hAnsi="Calibri" w:cs="Calibri"/>
          <w:szCs w:val="24"/>
        </w:rPr>
        <w:t xml:space="preserve"> proposes that the movement between the “house”, representative of the private sphere, and the “temple”, representative of the public sphere, emphasises the vitality and openness of the early Christian community.</w:t>
      </w:r>
      <w:r w:rsidR="008D2FEA" w:rsidRPr="006A598F">
        <w:rPr>
          <w:rStyle w:val="FootnoteReference"/>
          <w:rFonts w:ascii="Calibri" w:hAnsi="Calibri" w:cs="Calibri"/>
          <w:szCs w:val="24"/>
        </w:rPr>
        <w:footnoteReference w:id="17"/>
      </w:r>
      <w:r w:rsidR="00EA049A" w:rsidRPr="006A598F">
        <w:rPr>
          <w:rFonts w:ascii="Calibri" w:hAnsi="Calibri" w:cs="Calibri"/>
          <w:szCs w:val="24"/>
        </w:rPr>
        <w:t xml:space="preserve"> The fact that the “temple courts” are mentioned before the “house” (2:46) may </w:t>
      </w:r>
      <w:r w:rsidR="007547E8" w:rsidRPr="006A598F">
        <w:rPr>
          <w:rFonts w:ascii="Calibri" w:hAnsi="Calibri" w:cs="Calibri"/>
          <w:szCs w:val="24"/>
        </w:rPr>
        <w:t>depict</w:t>
      </w:r>
      <w:r w:rsidR="00EA049A" w:rsidRPr="006A598F">
        <w:rPr>
          <w:rFonts w:ascii="Calibri" w:hAnsi="Calibri" w:cs="Calibri"/>
          <w:szCs w:val="24"/>
        </w:rPr>
        <w:t xml:space="preserve"> </w:t>
      </w:r>
      <w:r w:rsidR="007547E8" w:rsidRPr="006A598F">
        <w:rPr>
          <w:rFonts w:ascii="Calibri" w:hAnsi="Calibri" w:cs="Calibri"/>
          <w:szCs w:val="24"/>
        </w:rPr>
        <w:t>the community’s movement</w:t>
      </w:r>
      <w:r w:rsidR="00EA049A" w:rsidRPr="006A598F">
        <w:rPr>
          <w:rFonts w:ascii="Calibri" w:hAnsi="Calibri" w:cs="Calibri"/>
          <w:szCs w:val="24"/>
        </w:rPr>
        <w:t xml:space="preserve"> from the public to the private sphere</w:t>
      </w:r>
      <w:r w:rsidR="00C60A51" w:rsidRPr="006A598F">
        <w:rPr>
          <w:rFonts w:ascii="Calibri" w:hAnsi="Calibri" w:cs="Calibri"/>
          <w:szCs w:val="24"/>
        </w:rPr>
        <w:t>. Alternatively,</w:t>
      </w:r>
      <w:r w:rsidR="00EA049A" w:rsidRPr="006A598F">
        <w:rPr>
          <w:rFonts w:ascii="Calibri" w:hAnsi="Calibri" w:cs="Calibri"/>
          <w:szCs w:val="24"/>
        </w:rPr>
        <w:t xml:space="preserve"> it could be understood as a juxtaposition or even opposition between the two. </w:t>
      </w:r>
      <w:r w:rsidR="00C40127" w:rsidRPr="006A598F">
        <w:rPr>
          <w:rFonts w:ascii="Calibri" w:hAnsi="Calibri" w:cs="Calibri"/>
          <w:szCs w:val="24"/>
        </w:rPr>
        <w:t>Celarc argues, for instance, that “there is a shift. Whereas at the end of the Gospel</w:t>
      </w:r>
      <w:r w:rsidR="00C60A51" w:rsidRPr="006A598F">
        <w:rPr>
          <w:rFonts w:ascii="Calibri" w:hAnsi="Calibri" w:cs="Calibri"/>
          <w:szCs w:val="24"/>
        </w:rPr>
        <w:t>,</w:t>
      </w:r>
      <w:r w:rsidR="00C40127" w:rsidRPr="006A598F">
        <w:rPr>
          <w:rFonts w:ascii="Calibri" w:hAnsi="Calibri" w:cs="Calibri"/>
          <w:szCs w:val="24"/>
        </w:rPr>
        <w:t xml:space="preserve"> the apostles remain praying in the temple (Lk 24:52-53), in Acts the theme of prayer seems to be related to the upper room of a house (Acts 1:12-14)” (p.156). </w:t>
      </w:r>
      <w:r w:rsidR="00EA049A" w:rsidRPr="006A598F">
        <w:rPr>
          <w:rFonts w:ascii="Calibri" w:hAnsi="Calibri" w:cs="Calibri"/>
          <w:szCs w:val="24"/>
        </w:rPr>
        <w:t>This can be understood in the historical context of the program of restoration emerging in Isaiah, specifically the Isaianic anti-temple prophetic traditi</w:t>
      </w:r>
      <w:r w:rsidR="008D2FEA" w:rsidRPr="006A598F">
        <w:rPr>
          <w:rFonts w:ascii="Calibri" w:hAnsi="Calibri" w:cs="Calibri"/>
          <w:szCs w:val="24"/>
        </w:rPr>
        <w:t>on</w:t>
      </w:r>
      <w:r w:rsidR="00EA049A" w:rsidRPr="006A598F">
        <w:rPr>
          <w:rFonts w:ascii="Calibri" w:hAnsi="Calibri" w:cs="Calibri"/>
          <w:szCs w:val="24"/>
        </w:rPr>
        <w:t>.</w:t>
      </w:r>
      <w:r w:rsidR="008D2FEA" w:rsidRPr="006A598F">
        <w:rPr>
          <w:rStyle w:val="FootnoteReference"/>
          <w:rFonts w:ascii="Calibri" w:hAnsi="Calibri" w:cs="Calibri"/>
          <w:szCs w:val="24"/>
        </w:rPr>
        <w:footnoteReference w:id="18"/>
      </w:r>
      <w:r w:rsidR="00EA049A" w:rsidRPr="006A598F">
        <w:rPr>
          <w:rFonts w:ascii="Calibri" w:hAnsi="Calibri" w:cs="Calibri"/>
          <w:szCs w:val="24"/>
        </w:rPr>
        <w:t xml:space="preserve"> </w:t>
      </w:r>
    </w:p>
    <w:p w14:paraId="2E0161BD" w14:textId="3D3AECB7" w:rsidR="00002478" w:rsidRPr="006A598F" w:rsidRDefault="00C60A51" w:rsidP="006D62B6">
      <w:pPr>
        <w:pStyle w:val="OBEBody"/>
        <w:rPr>
          <w:rFonts w:ascii="Calibri" w:hAnsi="Calibri" w:cs="Calibri"/>
          <w:szCs w:val="24"/>
        </w:rPr>
      </w:pPr>
      <w:r w:rsidRPr="006A598F">
        <w:rPr>
          <w:rFonts w:ascii="Calibri" w:hAnsi="Calibri" w:cs="Calibri"/>
          <w:szCs w:val="24"/>
        </w:rPr>
        <w:t>For Luke, converting to Christianity is dependent on active community participation</w:t>
      </w:r>
      <w:r w:rsidR="000A4F9F" w:rsidRPr="006A598F">
        <w:rPr>
          <w:rFonts w:ascii="Calibri" w:hAnsi="Calibri" w:cs="Calibri"/>
          <w:szCs w:val="24"/>
        </w:rPr>
        <w:t xml:space="preserve">. </w:t>
      </w:r>
      <w:r w:rsidR="007547E8" w:rsidRPr="006A598F">
        <w:rPr>
          <w:rFonts w:ascii="Calibri" w:hAnsi="Calibri" w:cs="Calibri"/>
          <w:szCs w:val="24"/>
        </w:rPr>
        <w:t xml:space="preserve">Through communal and ritualistic activities, the early Christian communities </w:t>
      </w:r>
      <w:r w:rsidR="00BF4EC3" w:rsidRPr="006A598F">
        <w:rPr>
          <w:rFonts w:ascii="Calibri" w:hAnsi="Calibri" w:cs="Calibri"/>
          <w:szCs w:val="24"/>
        </w:rPr>
        <w:t>were</w:t>
      </w:r>
      <w:r w:rsidR="007547E8" w:rsidRPr="006A598F">
        <w:rPr>
          <w:rFonts w:ascii="Calibri" w:hAnsi="Calibri" w:cs="Calibri"/>
          <w:szCs w:val="24"/>
        </w:rPr>
        <w:t xml:space="preserve"> able to secure and sustain their members’ </w:t>
      </w:r>
      <w:r w:rsidR="003B29B8" w:rsidRPr="006A598F">
        <w:rPr>
          <w:rFonts w:ascii="Calibri" w:hAnsi="Calibri" w:cs="Calibri"/>
          <w:szCs w:val="24"/>
        </w:rPr>
        <w:t>conversion</w:t>
      </w:r>
      <w:r w:rsidR="008D2FEA" w:rsidRPr="006A598F">
        <w:rPr>
          <w:rFonts w:ascii="Calibri" w:hAnsi="Calibri" w:cs="Calibri"/>
          <w:szCs w:val="24"/>
        </w:rPr>
        <w:t>,</w:t>
      </w:r>
      <w:r w:rsidR="008D2FEA" w:rsidRPr="006A598F">
        <w:rPr>
          <w:rStyle w:val="FootnoteReference"/>
          <w:rFonts w:ascii="Calibri" w:hAnsi="Calibri" w:cs="Calibri"/>
          <w:szCs w:val="24"/>
        </w:rPr>
        <w:footnoteReference w:id="19"/>
      </w:r>
      <w:r w:rsidR="008D2FEA" w:rsidRPr="006A598F">
        <w:rPr>
          <w:rFonts w:ascii="Calibri" w:hAnsi="Calibri" w:cs="Calibri"/>
          <w:szCs w:val="24"/>
        </w:rPr>
        <w:t xml:space="preserve"> </w:t>
      </w:r>
      <w:r w:rsidR="007547E8" w:rsidRPr="006A598F">
        <w:rPr>
          <w:rFonts w:ascii="Calibri" w:hAnsi="Calibri" w:cs="Calibri"/>
          <w:szCs w:val="24"/>
        </w:rPr>
        <w:t>whereby ritual is considered essential for creating the necessary social conditions</w:t>
      </w:r>
      <w:r w:rsidR="008D2FEA" w:rsidRPr="006A598F">
        <w:rPr>
          <w:rFonts w:ascii="Calibri" w:hAnsi="Calibri" w:cs="Calibri"/>
          <w:szCs w:val="24"/>
        </w:rPr>
        <w:t xml:space="preserve"> for conversation</w:t>
      </w:r>
      <w:r w:rsidR="007547E8" w:rsidRPr="006A598F">
        <w:rPr>
          <w:rFonts w:ascii="Calibri" w:hAnsi="Calibri" w:cs="Calibri"/>
          <w:szCs w:val="24"/>
        </w:rPr>
        <w:t>.</w:t>
      </w:r>
      <w:r w:rsidR="008D2FEA" w:rsidRPr="006A598F">
        <w:rPr>
          <w:rStyle w:val="FootnoteReference"/>
          <w:rFonts w:ascii="Calibri" w:hAnsi="Calibri" w:cs="Calibri"/>
          <w:szCs w:val="24"/>
        </w:rPr>
        <w:footnoteReference w:id="20"/>
      </w:r>
      <w:r w:rsidR="003B29B8" w:rsidRPr="006A598F">
        <w:rPr>
          <w:rFonts w:ascii="Calibri" w:hAnsi="Calibri" w:cs="Calibri"/>
          <w:szCs w:val="24"/>
        </w:rPr>
        <w:t xml:space="preserve"> </w:t>
      </w:r>
      <w:r w:rsidRPr="006A598F">
        <w:rPr>
          <w:rFonts w:ascii="Calibri" w:hAnsi="Calibri" w:cs="Calibri"/>
          <w:szCs w:val="24"/>
        </w:rPr>
        <w:t>Jeon has argued that</w:t>
      </w:r>
      <w:r w:rsidR="00A21C78" w:rsidRPr="006A598F">
        <w:rPr>
          <w:rFonts w:ascii="Calibri" w:hAnsi="Calibri" w:cs="Calibri"/>
          <w:szCs w:val="24"/>
        </w:rPr>
        <w:t xml:space="preserve"> Luke’s main aim is to </w:t>
      </w:r>
      <w:r w:rsidR="00A21C78" w:rsidRPr="006A598F">
        <w:rPr>
          <w:rFonts w:ascii="Calibri" w:hAnsi="Calibri" w:cs="Calibri"/>
          <w:szCs w:val="24"/>
        </w:rPr>
        <w:lastRenderedPageBreak/>
        <w:t>“stress the profound unity and intimacy this community shared through the spirit”.</w:t>
      </w:r>
      <w:r w:rsidR="008D2FEA" w:rsidRPr="006A598F">
        <w:rPr>
          <w:rStyle w:val="FootnoteReference"/>
          <w:rFonts w:ascii="Calibri" w:hAnsi="Calibri" w:cs="Calibri"/>
          <w:szCs w:val="24"/>
        </w:rPr>
        <w:footnoteReference w:id="21"/>
      </w:r>
      <w:r w:rsidR="00A21C78" w:rsidRPr="006A598F">
        <w:rPr>
          <w:rFonts w:ascii="Calibri" w:hAnsi="Calibri" w:cs="Calibri"/>
          <w:szCs w:val="24"/>
        </w:rPr>
        <w:t xml:space="preserve"> </w:t>
      </w:r>
      <w:r w:rsidR="000A4F9F" w:rsidRPr="006A598F">
        <w:rPr>
          <w:rFonts w:ascii="Calibri" w:hAnsi="Calibri" w:cs="Calibri"/>
          <w:szCs w:val="24"/>
        </w:rPr>
        <w:t xml:space="preserve">The </w:t>
      </w:r>
      <w:r w:rsidR="007547E8" w:rsidRPr="006A598F">
        <w:rPr>
          <w:rFonts w:ascii="Calibri" w:hAnsi="Calibri" w:cs="Calibri"/>
          <w:szCs w:val="24"/>
        </w:rPr>
        <w:t xml:space="preserve">summary </w:t>
      </w:r>
      <w:r w:rsidR="000A4F9F" w:rsidRPr="006A598F">
        <w:rPr>
          <w:rFonts w:ascii="Calibri" w:hAnsi="Calibri" w:cs="Calibri"/>
          <w:szCs w:val="24"/>
        </w:rPr>
        <w:t xml:space="preserve">passages </w:t>
      </w:r>
      <w:r w:rsidRPr="006A598F">
        <w:rPr>
          <w:rFonts w:ascii="Calibri" w:hAnsi="Calibri" w:cs="Calibri"/>
          <w:szCs w:val="24"/>
        </w:rPr>
        <w:t>emphasise</w:t>
      </w:r>
      <w:r w:rsidR="000A4F9F" w:rsidRPr="006A598F">
        <w:rPr>
          <w:rFonts w:ascii="Calibri" w:hAnsi="Calibri" w:cs="Calibri"/>
          <w:szCs w:val="24"/>
        </w:rPr>
        <w:t xml:space="preserve"> the all-encompassing openness of this community through phrases such as “everyone”</w:t>
      </w:r>
      <w:r w:rsidR="00517BF2" w:rsidRPr="006A598F">
        <w:rPr>
          <w:rFonts w:ascii="Calibri" w:hAnsi="Calibri" w:cs="Calibri"/>
          <w:szCs w:val="24"/>
        </w:rPr>
        <w:t xml:space="preserve"> (2:42</w:t>
      </w:r>
      <w:r w:rsidR="000A4F9F" w:rsidRPr="006A598F">
        <w:rPr>
          <w:rFonts w:ascii="Calibri" w:hAnsi="Calibri" w:cs="Calibri"/>
          <w:szCs w:val="24"/>
        </w:rPr>
        <w:t>), “[a]ll the believers”</w:t>
      </w:r>
      <w:r w:rsidR="00517BF2" w:rsidRPr="006A598F">
        <w:rPr>
          <w:rFonts w:ascii="Calibri" w:hAnsi="Calibri" w:cs="Calibri"/>
          <w:szCs w:val="24"/>
        </w:rPr>
        <w:t xml:space="preserve"> (2:44</w:t>
      </w:r>
      <w:r w:rsidR="000A4F9F" w:rsidRPr="006A598F">
        <w:rPr>
          <w:rFonts w:ascii="Calibri" w:hAnsi="Calibri" w:cs="Calibri"/>
          <w:szCs w:val="24"/>
        </w:rPr>
        <w:t>), “anyone”</w:t>
      </w:r>
      <w:r w:rsidR="00517BF2" w:rsidRPr="006A598F">
        <w:rPr>
          <w:rFonts w:ascii="Calibri" w:hAnsi="Calibri" w:cs="Calibri"/>
          <w:szCs w:val="24"/>
        </w:rPr>
        <w:t xml:space="preserve"> (2:45</w:t>
      </w:r>
      <w:r w:rsidR="000A4F9F" w:rsidRPr="006A598F">
        <w:rPr>
          <w:rFonts w:ascii="Calibri" w:hAnsi="Calibri" w:cs="Calibri"/>
          <w:szCs w:val="24"/>
        </w:rPr>
        <w:t>), and “together”</w:t>
      </w:r>
      <w:r w:rsidR="00517BF2" w:rsidRPr="006A598F">
        <w:rPr>
          <w:rFonts w:ascii="Calibri" w:hAnsi="Calibri" w:cs="Calibri"/>
          <w:szCs w:val="24"/>
        </w:rPr>
        <w:t xml:space="preserve"> (2:46</w:t>
      </w:r>
      <w:r w:rsidR="000A4F9F" w:rsidRPr="006A598F">
        <w:rPr>
          <w:rFonts w:ascii="Calibri" w:hAnsi="Calibri" w:cs="Calibri"/>
          <w:szCs w:val="24"/>
        </w:rPr>
        <w:t>).</w:t>
      </w:r>
      <w:r w:rsidR="00841429" w:rsidRPr="006A598F">
        <w:rPr>
          <w:rFonts w:ascii="Calibri" w:hAnsi="Calibri" w:cs="Calibri"/>
          <w:szCs w:val="24"/>
        </w:rPr>
        <w:t xml:space="preserve"> This</w:t>
      </w:r>
      <w:r w:rsidR="007547E8" w:rsidRPr="006A598F">
        <w:rPr>
          <w:rFonts w:ascii="Calibri" w:hAnsi="Calibri" w:cs="Calibri"/>
          <w:szCs w:val="24"/>
        </w:rPr>
        <w:t xml:space="preserve"> emphasis on community</w:t>
      </w:r>
      <w:r w:rsidR="00841429" w:rsidRPr="006A598F">
        <w:rPr>
          <w:rFonts w:ascii="Calibri" w:hAnsi="Calibri" w:cs="Calibri"/>
          <w:szCs w:val="24"/>
        </w:rPr>
        <w:t xml:space="preserve"> stood in stark contrast to the religious and cultural practices popular across the Roman Empire, which were often marked b</w:t>
      </w:r>
      <w:r w:rsidR="008D2FEA" w:rsidRPr="006A598F">
        <w:rPr>
          <w:rFonts w:ascii="Calibri" w:hAnsi="Calibri" w:cs="Calibri"/>
          <w:szCs w:val="24"/>
        </w:rPr>
        <w:t>y exclusiveness</w:t>
      </w:r>
      <w:r w:rsidR="00841429" w:rsidRPr="006A598F">
        <w:rPr>
          <w:rFonts w:ascii="Calibri" w:hAnsi="Calibri" w:cs="Calibri"/>
          <w:szCs w:val="24"/>
        </w:rPr>
        <w:t>.</w:t>
      </w:r>
      <w:r w:rsidR="008D2FEA" w:rsidRPr="006A598F">
        <w:rPr>
          <w:rStyle w:val="FootnoteReference"/>
          <w:rFonts w:ascii="Calibri" w:hAnsi="Calibri" w:cs="Calibri"/>
          <w:szCs w:val="24"/>
        </w:rPr>
        <w:footnoteReference w:id="22"/>
      </w:r>
      <w:r w:rsidR="000A4F9F" w:rsidRPr="006A598F">
        <w:rPr>
          <w:rFonts w:ascii="Calibri" w:hAnsi="Calibri" w:cs="Calibri"/>
          <w:szCs w:val="24"/>
        </w:rPr>
        <w:t xml:space="preserve"> </w:t>
      </w:r>
      <w:r w:rsidR="003D4EE0" w:rsidRPr="006A598F">
        <w:rPr>
          <w:rFonts w:ascii="Calibri" w:hAnsi="Calibri" w:cs="Calibri"/>
          <w:szCs w:val="24"/>
        </w:rPr>
        <w:t xml:space="preserve">At the same time, the </w:t>
      </w:r>
      <w:r w:rsidR="00C72A6F" w:rsidRPr="006A598F">
        <w:rPr>
          <w:rFonts w:ascii="Calibri" w:hAnsi="Calibri" w:cs="Calibri"/>
          <w:szCs w:val="24"/>
        </w:rPr>
        <w:t>portrayal</w:t>
      </w:r>
      <w:r w:rsidR="003D4EE0" w:rsidRPr="006A598F">
        <w:rPr>
          <w:rFonts w:ascii="Calibri" w:hAnsi="Calibri" w:cs="Calibri"/>
          <w:szCs w:val="24"/>
        </w:rPr>
        <w:t xml:space="preserve"> of the community </w:t>
      </w:r>
      <w:r w:rsidR="007547E8" w:rsidRPr="006A598F">
        <w:rPr>
          <w:rFonts w:ascii="Calibri" w:hAnsi="Calibri" w:cs="Calibri"/>
          <w:szCs w:val="24"/>
        </w:rPr>
        <w:t xml:space="preserve">in the summary passage </w:t>
      </w:r>
      <w:r w:rsidR="003D4EE0" w:rsidRPr="006A598F">
        <w:rPr>
          <w:rFonts w:ascii="Calibri" w:hAnsi="Calibri" w:cs="Calibri"/>
          <w:szCs w:val="24"/>
        </w:rPr>
        <w:t>may have been inspired by the Graeco-Roman ideal of friendship.</w:t>
      </w:r>
      <w:r w:rsidR="008D2FEA" w:rsidRPr="006A598F">
        <w:rPr>
          <w:rStyle w:val="FootnoteReference"/>
          <w:rFonts w:ascii="Calibri" w:hAnsi="Calibri" w:cs="Calibri"/>
          <w:szCs w:val="24"/>
        </w:rPr>
        <w:footnoteReference w:id="23"/>
      </w:r>
      <w:r w:rsidR="00C72A6F" w:rsidRPr="006A598F">
        <w:rPr>
          <w:rFonts w:ascii="Calibri" w:hAnsi="Calibri" w:cs="Calibri"/>
          <w:szCs w:val="24"/>
        </w:rPr>
        <w:t xml:space="preserve"> Likewise, the passage’s depiction of </w:t>
      </w:r>
      <w:r w:rsidRPr="006A598F">
        <w:rPr>
          <w:rFonts w:ascii="Calibri" w:hAnsi="Calibri" w:cs="Calibri"/>
          <w:szCs w:val="24"/>
        </w:rPr>
        <w:t xml:space="preserve">the </w:t>
      </w:r>
      <w:r w:rsidR="00C72A6F" w:rsidRPr="006A598F">
        <w:rPr>
          <w:rFonts w:ascii="Calibri" w:hAnsi="Calibri" w:cs="Calibri"/>
          <w:szCs w:val="24"/>
        </w:rPr>
        <w:t xml:space="preserve">strengthening of social bonds over shared meals may have been </w:t>
      </w:r>
      <w:r w:rsidR="007547E8" w:rsidRPr="006A598F">
        <w:rPr>
          <w:rFonts w:ascii="Calibri" w:hAnsi="Calibri" w:cs="Calibri"/>
          <w:szCs w:val="24"/>
        </w:rPr>
        <w:t>inspired by</w:t>
      </w:r>
      <w:r w:rsidR="00C72A6F" w:rsidRPr="006A598F">
        <w:rPr>
          <w:rFonts w:ascii="Calibri" w:hAnsi="Calibri" w:cs="Calibri"/>
          <w:szCs w:val="24"/>
        </w:rPr>
        <w:t xml:space="preserve"> Mediterranean and Middle</w:t>
      </w:r>
      <w:r w:rsidR="008D2FEA" w:rsidRPr="006A598F">
        <w:rPr>
          <w:rFonts w:ascii="Calibri" w:hAnsi="Calibri" w:cs="Calibri"/>
          <w:szCs w:val="24"/>
        </w:rPr>
        <w:t>-Eastern social practices</w:t>
      </w:r>
      <w:r w:rsidR="00C72A6F" w:rsidRPr="006A598F">
        <w:rPr>
          <w:rFonts w:ascii="Calibri" w:hAnsi="Calibri" w:cs="Calibri"/>
          <w:szCs w:val="24"/>
        </w:rPr>
        <w:t>.</w:t>
      </w:r>
      <w:r w:rsidR="008D2FEA" w:rsidRPr="006A598F">
        <w:rPr>
          <w:rStyle w:val="FootnoteReference"/>
          <w:rFonts w:ascii="Calibri" w:hAnsi="Calibri" w:cs="Calibri"/>
          <w:szCs w:val="24"/>
        </w:rPr>
        <w:footnoteReference w:id="24"/>
      </w:r>
      <w:r w:rsidR="00C72A6F" w:rsidRPr="006A598F">
        <w:rPr>
          <w:rFonts w:ascii="Calibri" w:hAnsi="Calibri" w:cs="Calibri"/>
          <w:szCs w:val="24"/>
        </w:rPr>
        <w:t xml:space="preserve"> </w:t>
      </w:r>
    </w:p>
    <w:p w14:paraId="56794344" w14:textId="0CB790F8" w:rsidR="00002478" w:rsidRPr="006A598F" w:rsidRDefault="008D2FEA" w:rsidP="006D62B6">
      <w:pPr>
        <w:pStyle w:val="OBEBody"/>
        <w:rPr>
          <w:rFonts w:ascii="Calibri" w:hAnsi="Calibri" w:cs="Calibri"/>
          <w:szCs w:val="24"/>
        </w:rPr>
      </w:pPr>
      <w:r w:rsidRPr="006A598F">
        <w:rPr>
          <w:rFonts w:ascii="Calibri" w:hAnsi="Calibri" w:cs="Calibri"/>
          <w:szCs w:val="24"/>
        </w:rPr>
        <w:t>Hombana</w:t>
      </w:r>
      <w:r w:rsidR="00197523" w:rsidRPr="006A598F">
        <w:rPr>
          <w:rFonts w:ascii="Calibri" w:hAnsi="Calibri" w:cs="Calibri"/>
          <w:szCs w:val="24"/>
        </w:rPr>
        <w:t xml:space="preserve"> </w:t>
      </w:r>
      <w:r w:rsidR="00841429" w:rsidRPr="006A598F">
        <w:rPr>
          <w:rFonts w:ascii="Calibri" w:hAnsi="Calibri" w:cs="Calibri"/>
          <w:szCs w:val="24"/>
        </w:rPr>
        <w:t>notes that Luke’s Acts is marked by an emphasis on universality, whereby Luke is likely to have written with a wide audience in mind.</w:t>
      </w:r>
      <w:r w:rsidRPr="006A598F">
        <w:rPr>
          <w:rStyle w:val="FootnoteReference"/>
          <w:rFonts w:ascii="Calibri" w:hAnsi="Calibri" w:cs="Calibri"/>
          <w:szCs w:val="24"/>
        </w:rPr>
        <w:footnoteReference w:id="25"/>
      </w:r>
      <w:r w:rsidR="00841429" w:rsidRPr="006A598F">
        <w:rPr>
          <w:rFonts w:ascii="Calibri" w:hAnsi="Calibri" w:cs="Calibri"/>
          <w:szCs w:val="24"/>
        </w:rPr>
        <w:t xml:space="preserve"> </w:t>
      </w:r>
      <w:r w:rsidR="00EA049A" w:rsidRPr="006A598F">
        <w:rPr>
          <w:rFonts w:ascii="Calibri" w:hAnsi="Calibri" w:cs="Calibri"/>
          <w:szCs w:val="24"/>
        </w:rPr>
        <w:t xml:space="preserve">Celarc </w:t>
      </w:r>
      <w:r w:rsidR="007547E8" w:rsidRPr="006A598F">
        <w:rPr>
          <w:rFonts w:ascii="Calibri" w:hAnsi="Calibri" w:cs="Calibri"/>
          <w:szCs w:val="24"/>
        </w:rPr>
        <w:t>likewise</w:t>
      </w:r>
      <w:r w:rsidR="00EA049A" w:rsidRPr="006A598F">
        <w:rPr>
          <w:rFonts w:ascii="Calibri" w:hAnsi="Calibri" w:cs="Calibri"/>
          <w:szCs w:val="24"/>
        </w:rPr>
        <w:t xml:space="preserve"> </w:t>
      </w:r>
      <w:r w:rsidR="007547E8" w:rsidRPr="006A598F">
        <w:rPr>
          <w:rFonts w:ascii="Calibri" w:hAnsi="Calibri" w:cs="Calibri"/>
          <w:szCs w:val="24"/>
        </w:rPr>
        <w:t>suggests</w:t>
      </w:r>
      <w:r w:rsidR="00EA049A" w:rsidRPr="006A598F">
        <w:rPr>
          <w:rFonts w:ascii="Calibri" w:hAnsi="Calibri" w:cs="Calibri"/>
          <w:szCs w:val="24"/>
        </w:rPr>
        <w:t xml:space="preserve"> that the passage is aimed at the general public, inviting them to react with either fear or favour to the </w:t>
      </w:r>
      <w:r w:rsidR="00197523" w:rsidRPr="006A598F">
        <w:rPr>
          <w:rFonts w:ascii="Calibri" w:hAnsi="Calibri" w:cs="Calibri"/>
          <w:szCs w:val="24"/>
        </w:rPr>
        <w:t>communal life depicted therein</w:t>
      </w:r>
      <w:r w:rsidR="00EA049A" w:rsidRPr="006A598F">
        <w:rPr>
          <w:rFonts w:ascii="Calibri" w:hAnsi="Calibri" w:cs="Calibri"/>
          <w:szCs w:val="24"/>
        </w:rPr>
        <w:t>.</w:t>
      </w:r>
      <w:r w:rsidRPr="006A598F">
        <w:rPr>
          <w:rStyle w:val="FootnoteReference"/>
          <w:rFonts w:ascii="Calibri" w:hAnsi="Calibri" w:cs="Calibri"/>
          <w:szCs w:val="24"/>
        </w:rPr>
        <w:footnoteReference w:id="26"/>
      </w:r>
      <w:r w:rsidR="00C40127" w:rsidRPr="006A598F">
        <w:rPr>
          <w:rFonts w:ascii="Calibri" w:hAnsi="Calibri" w:cs="Calibri"/>
          <w:szCs w:val="24"/>
        </w:rPr>
        <w:t xml:space="preserve"> </w:t>
      </w:r>
      <w:r w:rsidR="007547E8" w:rsidRPr="006A598F">
        <w:rPr>
          <w:rFonts w:ascii="Calibri" w:hAnsi="Calibri" w:cs="Calibri"/>
          <w:szCs w:val="24"/>
        </w:rPr>
        <w:t xml:space="preserve">However, the passage </w:t>
      </w:r>
      <w:r w:rsidR="00C40127" w:rsidRPr="006A598F">
        <w:rPr>
          <w:rFonts w:ascii="Calibri" w:hAnsi="Calibri" w:cs="Calibri"/>
          <w:szCs w:val="24"/>
        </w:rPr>
        <w:t xml:space="preserve">does not </w:t>
      </w:r>
      <w:r w:rsidR="007547E8" w:rsidRPr="006A598F">
        <w:rPr>
          <w:rFonts w:ascii="Calibri" w:hAnsi="Calibri" w:cs="Calibri"/>
          <w:szCs w:val="24"/>
        </w:rPr>
        <w:t xml:space="preserve">therein </w:t>
      </w:r>
      <w:r w:rsidR="00C40127" w:rsidRPr="006A598F">
        <w:rPr>
          <w:rFonts w:ascii="Calibri" w:hAnsi="Calibri" w:cs="Calibri"/>
          <w:szCs w:val="24"/>
        </w:rPr>
        <w:t xml:space="preserve">lose sight of the individual </w:t>
      </w:r>
      <w:r w:rsidR="007547E8" w:rsidRPr="006A598F">
        <w:rPr>
          <w:rFonts w:ascii="Calibri" w:hAnsi="Calibri" w:cs="Calibri"/>
          <w:szCs w:val="24"/>
        </w:rPr>
        <w:t xml:space="preserve">emotional basis for faith. This </w:t>
      </w:r>
      <w:r w:rsidRPr="006A598F">
        <w:rPr>
          <w:rFonts w:ascii="Calibri" w:hAnsi="Calibri" w:cs="Calibri"/>
          <w:szCs w:val="24"/>
        </w:rPr>
        <w:t>can be noted</w:t>
      </w:r>
      <w:r w:rsidR="00C40127" w:rsidRPr="006A598F">
        <w:rPr>
          <w:rFonts w:ascii="Calibri" w:hAnsi="Calibri" w:cs="Calibri"/>
          <w:szCs w:val="24"/>
        </w:rPr>
        <w:t xml:space="preserve"> </w:t>
      </w:r>
      <w:r w:rsidRPr="006A598F">
        <w:rPr>
          <w:rFonts w:ascii="Calibri" w:hAnsi="Calibri" w:cs="Calibri"/>
          <w:szCs w:val="24"/>
        </w:rPr>
        <w:t>in</w:t>
      </w:r>
      <w:r w:rsidR="00C40127" w:rsidRPr="006A598F">
        <w:rPr>
          <w:rFonts w:ascii="Calibri" w:hAnsi="Calibri" w:cs="Calibri"/>
          <w:szCs w:val="24"/>
        </w:rPr>
        <w:t xml:space="preserve"> </w:t>
      </w:r>
      <w:r w:rsidR="007547E8" w:rsidRPr="006A598F">
        <w:rPr>
          <w:rFonts w:ascii="Calibri" w:hAnsi="Calibri" w:cs="Calibri"/>
          <w:szCs w:val="24"/>
        </w:rPr>
        <w:t>the phrase</w:t>
      </w:r>
      <w:r w:rsidR="00C40127" w:rsidRPr="006A598F">
        <w:rPr>
          <w:rFonts w:ascii="Calibri" w:hAnsi="Calibri" w:cs="Calibri"/>
          <w:szCs w:val="24"/>
        </w:rPr>
        <w:t xml:space="preserve"> “[e]veryone was filled with awe” (2:43). </w:t>
      </w:r>
      <w:r w:rsidR="007547E8" w:rsidRPr="006A598F">
        <w:rPr>
          <w:rFonts w:ascii="Calibri" w:hAnsi="Calibri" w:cs="Calibri"/>
          <w:szCs w:val="24"/>
        </w:rPr>
        <w:t xml:space="preserve">Here, the emphasis is on how every individual was feeling and how these feelings inspired their faith. </w:t>
      </w:r>
      <w:r w:rsidR="00C40127" w:rsidRPr="006A598F">
        <w:rPr>
          <w:rFonts w:ascii="Calibri" w:hAnsi="Calibri" w:cs="Calibri"/>
          <w:szCs w:val="24"/>
        </w:rPr>
        <w:t xml:space="preserve">The word “awe” </w:t>
      </w:r>
      <w:r w:rsidR="007547E8" w:rsidRPr="006A598F">
        <w:rPr>
          <w:rFonts w:ascii="Calibri" w:hAnsi="Calibri" w:cs="Calibri"/>
          <w:szCs w:val="24"/>
        </w:rPr>
        <w:t>can</w:t>
      </w:r>
      <w:r w:rsidR="00C40127" w:rsidRPr="006A598F">
        <w:rPr>
          <w:rFonts w:ascii="Calibri" w:hAnsi="Calibri" w:cs="Calibri"/>
          <w:szCs w:val="24"/>
        </w:rPr>
        <w:t xml:space="preserve"> therein be understood to carry both connotations of fear and wonder</w:t>
      </w:r>
      <w:r w:rsidR="007547E8" w:rsidRPr="006A598F">
        <w:rPr>
          <w:rFonts w:ascii="Calibri" w:hAnsi="Calibri" w:cs="Calibri"/>
          <w:szCs w:val="24"/>
        </w:rPr>
        <w:t>, an ambiguity that once again leaves room for differences between the experiences of individuals</w:t>
      </w:r>
      <w:r w:rsidR="00C40127" w:rsidRPr="006A598F">
        <w:rPr>
          <w:rFonts w:ascii="Calibri" w:hAnsi="Calibri" w:cs="Calibri"/>
          <w:szCs w:val="24"/>
        </w:rPr>
        <w:t xml:space="preserve">. </w:t>
      </w:r>
    </w:p>
    <w:p w14:paraId="1A12F856" w14:textId="305F3CEC" w:rsidR="00002478" w:rsidRPr="006A598F" w:rsidRDefault="0015744E" w:rsidP="006D62B6">
      <w:pPr>
        <w:pStyle w:val="OBEBody"/>
        <w:rPr>
          <w:rFonts w:ascii="Calibri" w:hAnsi="Calibri" w:cs="Calibri"/>
          <w:szCs w:val="24"/>
        </w:rPr>
      </w:pPr>
      <w:r w:rsidRPr="006A598F">
        <w:rPr>
          <w:rFonts w:ascii="Calibri" w:hAnsi="Calibri" w:cs="Calibri"/>
          <w:szCs w:val="24"/>
        </w:rPr>
        <w:t xml:space="preserve">Luke </w:t>
      </w:r>
      <w:r w:rsidR="00B473A2" w:rsidRPr="006A598F">
        <w:rPr>
          <w:rFonts w:ascii="Calibri" w:hAnsi="Calibri" w:cs="Calibri"/>
          <w:szCs w:val="24"/>
        </w:rPr>
        <w:t>outlines</w:t>
      </w:r>
      <w:r w:rsidRPr="006A598F">
        <w:rPr>
          <w:rFonts w:ascii="Calibri" w:hAnsi="Calibri" w:cs="Calibri"/>
          <w:szCs w:val="24"/>
        </w:rPr>
        <w:t xml:space="preserve"> </w:t>
      </w:r>
      <w:r w:rsidR="00B473A2" w:rsidRPr="006A598F">
        <w:rPr>
          <w:rFonts w:ascii="Calibri" w:hAnsi="Calibri" w:cs="Calibri"/>
          <w:szCs w:val="24"/>
        </w:rPr>
        <w:t>how</w:t>
      </w:r>
      <w:r w:rsidRPr="006A598F">
        <w:rPr>
          <w:rFonts w:ascii="Calibri" w:hAnsi="Calibri" w:cs="Calibri"/>
          <w:szCs w:val="24"/>
        </w:rPr>
        <w:t xml:space="preserve"> members of the Christian community redistributed their property as required: “They sold property and possessions to give to anyone who had need”</w:t>
      </w:r>
      <w:r w:rsidR="00517BF2" w:rsidRPr="006A598F">
        <w:rPr>
          <w:rFonts w:ascii="Calibri" w:hAnsi="Calibri" w:cs="Calibri"/>
          <w:szCs w:val="24"/>
        </w:rPr>
        <w:t xml:space="preserve"> (2:45</w:t>
      </w:r>
      <w:r w:rsidRPr="006A598F">
        <w:rPr>
          <w:rFonts w:ascii="Calibri" w:hAnsi="Calibri" w:cs="Calibri"/>
          <w:szCs w:val="24"/>
        </w:rPr>
        <w:t xml:space="preserve">). </w:t>
      </w:r>
      <w:r w:rsidR="00841429" w:rsidRPr="006A598F">
        <w:rPr>
          <w:rFonts w:ascii="Calibri" w:hAnsi="Calibri" w:cs="Calibri"/>
          <w:szCs w:val="24"/>
        </w:rPr>
        <w:t xml:space="preserve">As summarised </w:t>
      </w:r>
      <w:r w:rsidR="008D2FEA" w:rsidRPr="006A598F">
        <w:rPr>
          <w:rFonts w:ascii="Calibri" w:hAnsi="Calibri" w:cs="Calibri"/>
          <w:szCs w:val="24"/>
        </w:rPr>
        <w:t>by</w:t>
      </w:r>
      <w:r w:rsidR="00841429" w:rsidRPr="006A598F">
        <w:rPr>
          <w:rFonts w:ascii="Calibri" w:hAnsi="Calibri" w:cs="Calibri"/>
          <w:szCs w:val="24"/>
        </w:rPr>
        <w:t xml:space="preserve"> Hombana, the Greek word for “possessions”</w:t>
      </w:r>
      <w:r w:rsidR="00026C88" w:rsidRPr="006A598F">
        <w:rPr>
          <w:rFonts w:ascii="Calibri" w:hAnsi="Calibri" w:cs="Calibri"/>
          <w:szCs w:val="24"/>
        </w:rPr>
        <w:t xml:space="preserve"> used here is </w:t>
      </w:r>
      <w:r w:rsidR="007E454B" w:rsidRPr="006A598F">
        <w:rPr>
          <w:rFonts w:ascii="Calibri" w:hAnsi="Calibri" w:cs="Calibri"/>
          <w:i/>
          <w:szCs w:val="24"/>
        </w:rPr>
        <w:t>ktémata</w:t>
      </w:r>
      <w:r w:rsidR="007E454B" w:rsidRPr="006A598F">
        <w:rPr>
          <w:rFonts w:ascii="Calibri" w:hAnsi="Calibri" w:cs="Calibri"/>
          <w:szCs w:val="24"/>
        </w:rPr>
        <w:t>, which describes “property or possessions acquired through effort of labour”.</w:t>
      </w:r>
      <w:r w:rsidR="008D2FEA" w:rsidRPr="006A598F">
        <w:rPr>
          <w:rStyle w:val="FootnoteReference"/>
          <w:rFonts w:ascii="Calibri" w:hAnsi="Calibri" w:cs="Calibri"/>
          <w:szCs w:val="24"/>
        </w:rPr>
        <w:footnoteReference w:id="27"/>
      </w:r>
      <w:r w:rsidR="007E454B" w:rsidRPr="006A598F">
        <w:rPr>
          <w:rFonts w:ascii="Calibri" w:hAnsi="Calibri" w:cs="Calibri"/>
          <w:szCs w:val="24"/>
        </w:rPr>
        <w:t xml:space="preserve"> This emphasises that </w:t>
      </w:r>
      <w:r w:rsidR="007E454B" w:rsidRPr="006A598F">
        <w:rPr>
          <w:rFonts w:ascii="Calibri" w:hAnsi="Calibri" w:cs="Calibri"/>
          <w:szCs w:val="24"/>
        </w:rPr>
        <w:lastRenderedPageBreak/>
        <w:t xml:space="preserve">giving up these possessions was a significant sacrifice for members of this community. </w:t>
      </w:r>
      <w:r w:rsidR="00B473A2" w:rsidRPr="006A598F">
        <w:rPr>
          <w:rFonts w:ascii="Calibri" w:hAnsi="Calibri" w:cs="Calibri"/>
          <w:szCs w:val="24"/>
        </w:rPr>
        <w:t xml:space="preserve"> </w:t>
      </w:r>
      <w:r w:rsidR="008D2FEA" w:rsidRPr="006A598F">
        <w:rPr>
          <w:rFonts w:ascii="Calibri" w:hAnsi="Calibri" w:cs="Calibri"/>
          <w:szCs w:val="24"/>
        </w:rPr>
        <w:t xml:space="preserve">As Embudo </w:t>
      </w:r>
      <w:r w:rsidR="007E454B" w:rsidRPr="006A598F">
        <w:rPr>
          <w:rFonts w:ascii="Calibri" w:hAnsi="Calibri" w:cs="Calibri"/>
          <w:szCs w:val="24"/>
        </w:rPr>
        <w:t>argues, the passage</w:t>
      </w:r>
      <w:r w:rsidRPr="006A598F">
        <w:rPr>
          <w:rFonts w:ascii="Calibri" w:hAnsi="Calibri" w:cs="Calibri"/>
          <w:szCs w:val="24"/>
        </w:rPr>
        <w:t xml:space="preserve"> assumes that even though the believers </w:t>
      </w:r>
      <w:r w:rsidR="00C60A51" w:rsidRPr="006A598F">
        <w:rPr>
          <w:rFonts w:ascii="Calibri" w:hAnsi="Calibri" w:cs="Calibri"/>
          <w:szCs w:val="24"/>
        </w:rPr>
        <w:t>have</w:t>
      </w:r>
      <w:r w:rsidRPr="006A598F">
        <w:rPr>
          <w:rFonts w:ascii="Calibri" w:hAnsi="Calibri" w:cs="Calibri"/>
          <w:szCs w:val="24"/>
        </w:rPr>
        <w:t xml:space="preserve"> “all things in common” </w:t>
      </w:r>
      <w:r w:rsidR="00517BF2" w:rsidRPr="006A598F">
        <w:rPr>
          <w:rFonts w:ascii="Calibri" w:hAnsi="Calibri" w:cs="Calibri"/>
          <w:szCs w:val="24"/>
        </w:rPr>
        <w:t>(2:44</w:t>
      </w:r>
      <w:r w:rsidR="00B473A2" w:rsidRPr="006A598F">
        <w:rPr>
          <w:rFonts w:ascii="Calibri" w:hAnsi="Calibri" w:cs="Calibri"/>
          <w:szCs w:val="24"/>
        </w:rPr>
        <w:t>)</w:t>
      </w:r>
      <w:r w:rsidRPr="006A598F">
        <w:rPr>
          <w:rFonts w:ascii="Calibri" w:hAnsi="Calibri" w:cs="Calibri"/>
          <w:szCs w:val="24"/>
        </w:rPr>
        <w:t xml:space="preserve"> they came from </w:t>
      </w:r>
      <w:r w:rsidR="007E454B" w:rsidRPr="006A598F">
        <w:rPr>
          <w:rFonts w:ascii="Calibri" w:hAnsi="Calibri" w:cs="Calibri"/>
          <w:szCs w:val="24"/>
        </w:rPr>
        <w:t>different socio-economic strata, given that the rich had to give</w:t>
      </w:r>
      <w:r w:rsidR="00B473A2" w:rsidRPr="006A598F">
        <w:rPr>
          <w:rFonts w:ascii="Calibri" w:hAnsi="Calibri" w:cs="Calibri"/>
          <w:szCs w:val="24"/>
        </w:rPr>
        <w:t xml:space="preserve"> their possessions to the needy</w:t>
      </w:r>
      <w:r w:rsidRPr="006A598F">
        <w:rPr>
          <w:rFonts w:ascii="Calibri" w:hAnsi="Calibri" w:cs="Calibri"/>
          <w:szCs w:val="24"/>
        </w:rPr>
        <w:t>.</w:t>
      </w:r>
      <w:r w:rsidR="008D2FEA" w:rsidRPr="006A598F">
        <w:rPr>
          <w:rStyle w:val="FootnoteReference"/>
          <w:rFonts w:ascii="Calibri" w:hAnsi="Calibri" w:cs="Calibri"/>
          <w:szCs w:val="24"/>
        </w:rPr>
        <w:footnoteReference w:id="28"/>
      </w:r>
      <w:r w:rsidR="0037057F" w:rsidRPr="006A598F">
        <w:rPr>
          <w:rFonts w:ascii="Calibri" w:hAnsi="Calibri" w:cs="Calibri"/>
          <w:szCs w:val="24"/>
        </w:rPr>
        <w:t xml:space="preserve"> This can be interpreted as the actualisation of Christ’s message to the rich man in Luke 18:18-23, who was asked to give </w:t>
      </w:r>
      <w:r w:rsidR="00B473A2" w:rsidRPr="006A598F">
        <w:rPr>
          <w:rFonts w:ascii="Calibri" w:hAnsi="Calibri" w:cs="Calibri"/>
          <w:szCs w:val="24"/>
        </w:rPr>
        <w:t>charity to the needy (Ibid</w:t>
      </w:r>
      <w:r w:rsidR="00974559" w:rsidRPr="006A598F">
        <w:rPr>
          <w:rFonts w:ascii="Calibri" w:hAnsi="Calibri" w:cs="Calibri"/>
          <w:szCs w:val="24"/>
        </w:rPr>
        <w:t xml:space="preserve">). Depicting the Christian community as living </w:t>
      </w:r>
      <w:r w:rsidR="00B473A2" w:rsidRPr="006A598F">
        <w:rPr>
          <w:rFonts w:ascii="Calibri" w:hAnsi="Calibri" w:cs="Calibri"/>
          <w:szCs w:val="24"/>
        </w:rPr>
        <w:t>by</w:t>
      </w:r>
      <w:r w:rsidR="00974559" w:rsidRPr="006A598F">
        <w:rPr>
          <w:rFonts w:ascii="Calibri" w:hAnsi="Calibri" w:cs="Calibri"/>
          <w:szCs w:val="24"/>
        </w:rPr>
        <w:t xml:space="preserve"> the tenets of their faith provides the summary passage with a utopic, aspirational feeling that would likely have inspired fellow believers.</w:t>
      </w:r>
      <w:r w:rsidR="007E454B" w:rsidRPr="006A598F">
        <w:rPr>
          <w:rFonts w:ascii="Calibri" w:hAnsi="Calibri" w:cs="Calibri"/>
          <w:szCs w:val="24"/>
        </w:rPr>
        <w:t xml:space="preserve"> The sharing of resources by the early Christians </w:t>
      </w:r>
      <w:r w:rsidR="00B473A2" w:rsidRPr="006A598F">
        <w:rPr>
          <w:rFonts w:ascii="Calibri" w:hAnsi="Calibri" w:cs="Calibri"/>
          <w:szCs w:val="24"/>
        </w:rPr>
        <w:t xml:space="preserve">once again </w:t>
      </w:r>
      <w:r w:rsidR="007E454B" w:rsidRPr="006A598F">
        <w:rPr>
          <w:rFonts w:ascii="Calibri" w:hAnsi="Calibri" w:cs="Calibri"/>
          <w:szCs w:val="24"/>
        </w:rPr>
        <w:t>stood in significant contrast to the way in which Graeco-Roman society prioritised individualism and the acquisit</w:t>
      </w:r>
      <w:r w:rsidR="008D2FEA" w:rsidRPr="006A598F">
        <w:rPr>
          <w:rFonts w:ascii="Calibri" w:hAnsi="Calibri" w:cs="Calibri"/>
          <w:szCs w:val="24"/>
        </w:rPr>
        <w:t>ion of wealth</w:t>
      </w:r>
      <w:r w:rsidR="007E454B" w:rsidRPr="006A598F">
        <w:rPr>
          <w:rFonts w:ascii="Calibri" w:hAnsi="Calibri" w:cs="Calibri"/>
          <w:szCs w:val="24"/>
        </w:rPr>
        <w:t>.</w:t>
      </w:r>
      <w:r w:rsidR="008D2FEA" w:rsidRPr="006A598F">
        <w:rPr>
          <w:rStyle w:val="FootnoteReference"/>
          <w:rFonts w:ascii="Calibri" w:hAnsi="Calibri" w:cs="Calibri"/>
          <w:szCs w:val="24"/>
        </w:rPr>
        <w:footnoteReference w:id="29"/>
      </w:r>
      <w:r w:rsidR="00974559" w:rsidRPr="006A598F">
        <w:rPr>
          <w:rFonts w:ascii="Calibri" w:hAnsi="Calibri" w:cs="Calibri"/>
          <w:szCs w:val="24"/>
        </w:rPr>
        <w:t xml:space="preserve"> </w:t>
      </w:r>
      <w:r w:rsidR="00435F09" w:rsidRPr="006A598F">
        <w:rPr>
          <w:rFonts w:ascii="Calibri" w:hAnsi="Calibri" w:cs="Calibri"/>
          <w:szCs w:val="24"/>
        </w:rPr>
        <w:t>The redistribution of possessions</w:t>
      </w:r>
      <w:r w:rsidR="00C60A51" w:rsidRPr="006A598F">
        <w:rPr>
          <w:rFonts w:ascii="Calibri" w:hAnsi="Calibri" w:cs="Calibri"/>
          <w:szCs w:val="24"/>
        </w:rPr>
        <w:t xml:space="preserve"> should be understood within this context </w:t>
      </w:r>
      <w:r w:rsidR="00184A68" w:rsidRPr="006A598F">
        <w:rPr>
          <w:rFonts w:ascii="Calibri" w:hAnsi="Calibri" w:cs="Calibri"/>
          <w:szCs w:val="24"/>
        </w:rPr>
        <w:t>as a voluntary act of charity rather than an early attempt to abolish pri</w:t>
      </w:r>
      <w:r w:rsidR="008D2FEA" w:rsidRPr="006A598F">
        <w:rPr>
          <w:rFonts w:ascii="Calibri" w:hAnsi="Calibri" w:cs="Calibri"/>
          <w:szCs w:val="24"/>
        </w:rPr>
        <w:t>vate property</w:t>
      </w:r>
      <w:r w:rsidR="00184A68" w:rsidRPr="006A598F">
        <w:rPr>
          <w:rFonts w:ascii="Calibri" w:hAnsi="Calibri" w:cs="Calibri"/>
          <w:szCs w:val="24"/>
        </w:rPr>
        <w:t>.</w:t>
      </w:r>
      <w:r w:rsidR="008D2FEA" w:rsidRPr="006A598F">
        <w:rPr>
          <w:rStyle w:val="FootnoteReference"/>
          <w:rFonts w:ascii="Calibri" w:hAnsi="Calibri" w:cs="Calibri"/>
          <w:szCs w:val="24"/>
        </w:rPr>
        <w:footnoteReference w:id="30"/>
      </w:r>
      <w:r w:rsidR="00547FF6" w:rsidRPr="006A598F">
        <w:rPr>
          <w:rFonts w:ascii="Calibri" w:hAnsi="Calibri" w:cs="Calibri"/>
          <w:szCs w:val="24"/>
        </w:rPr>
        <w:t xml:space="preserve"> This is further emphasised by the fact that </w:t>
      </w:r>
      <w:r w:rsidR="00C60A51" w:rsidRPr="006A598F">
        <w:rPr>
          <w:rFonts w:ascii="Calibri" w:hAnsi="Calibri" w:cs="Calibri"/>
          <w:szCs w:val="24"/>
        </w:rPr>
        <w:t>the apostles do not command this act of charity,</w:t>
      </w:r>
      <w:r w:rsidR="00547FF6" w:rsidRPr="006A598F">
        <w:rPr>
          <w:rFonts w:ascii="Calibri" w:hAnsi="Calibri" w:cs="Calibri"/>
          <w:szCs w:val="24"/>
        </w:rPr>
        <w:t xml:space="preserve"> but</w:t>
      </w:r>
      <w:r w:rsidR="00C60A51" w:rsidRPr="006A598F">
        <w:rPr>
          <w:rFonts w:ascii="Calibri" w:hAnsi="Calibri" w:cs="Calibri"/>
          <w:szCs w:val="24"/>
        </w:rPr>
        <w:t xml:space="preserve"> it</w:t>
      </w:r>
      <w:r w:rsidR="00547FF6" w:rsidRPr="006A598F">
        <w:rPr>
          <w:rFonts w:ascii="Calibri" w:hAnsi="Calibri" w:cs="Calibri"/>
          <w:szCs w:val="24"/>
        </w:rPr>
        <w:t xml:space="preserve"> seems to be born out of voluntary social </w:t>
      </w:r>
      <w:r w:rsidR="008D2FEA" w:rsidRPr="006A598F">
        <w:rPr>
          <w:rFonts w:ascii="Calibri" w:hAnsi="Calibri" w:cs="Calibri"/>
          <w:szCs w:val="24"/>
        </w:rPr>
        <w:t>care</w:t>
      </w:r>
      <w:r w:rsidR="00547FF6" w:rsidRPr="006A598F">
        <w:rPr>
          <w:rFonts w:ascii="Calibri" w:hAnsi="Calibri" w:cs="Calibri"/>
          <w:szCs w:val="24"/>
        </w:rPr>
        <w:t>.</w:t>
      </w:r>
      <w:r w:rsidR="008D2FEA" w:rsidRPr="006A598F">
        <w:rPr>
          <w:rStyle w:val="FootnoteReference"/>
          <w:rFonts w:ascii="Calibri" w:hAnsi="Calibri" w:cs="Calibri"/>
          <w:szCs w:val="24"/>
        </w:rPr>
        <w:footnoteReference w:id="31"/>
      </w:r>
      <w:r w:rsidR="00547FF6" w:rsidRPr="006A598F">
        <w:rPr>
          <w:rFonts w:ascii="Calibri" w:hAnsi="Calibri" w:cs="Calibri"/>
          <w:szCs w:val="24"/>
        </w:rPr>
        <w:t xml:space="preserve">  </w:t>
      </w:r>
    </w:p>
    <w:p w14:paraId="56B24948" w14:textId="49DA6EAC" w:rsidR="00E639F1" w:rsidRPr="006A598F" w:rsidRDefault="008D2FEA" w:rsidP="006D62B6">
      <w:pPr>
        <w:pStyle w:val="OBEBody"/>
        <w:rPr>
          <w:rFonts w:ascii="Calibri" w:hAnsi="Calibri" w:cs="Calibri"/>
          <w:szCs w:val="24"/>
        </w:rPr>
      </w:pPr>
      <w:r w:rsidRPr="006A598F">
        <w:rPr>
          <w:rFonts w:ascii="Calibri" w:hAnsi="Calibri" w:cs="Calibri"/>
          <w:szCs w:val="24"/>
        </w:rPr>
        <w:t>Friedl</w:t>
      </w:r>
      <w:r w:rsidR="005A458B" w:rsidRPr="006A598F">
        <w:rPr>
          <w:rFonts w:ascii="Calibri" w:hAnsi="Calibri" w:cs="Calibri"/>
          <w:szCs w:val="24"/>
        </w:rPr>
        <w:t xml:space="preserve"> </w:t>
      </w:r>
      <w:r w:rsidR="00C761F4" w:rsidRPr="006A598F">
        <w:rPr>
          <w:rFonts w:ascii="Calibri" w:hAnsi="Calibri" w:cs="Calibri"/>
          <w:szCs w:val="24"/>
        </w:rPr>
        <w:t>and Uhlenbruch have</w:t>
      </w:r>
      <w:r w:rsidR="005A458B" w:rsidRPr="006A598F">
        <w:rPr>
          <w:rFonts w:ascii="Calibri" w:hAnsi="Calibri" w:cs="Calibri"/>
          <w:szCs w:val="24"/>
        </w:rPr>
        <w:t xml:space="preserve"> summarised the utopic elements </w:t>
      </w:r>
      <w:r w:rsidR="00C761F4" w:rsidRPr="006A598F">
        <w:rPr>
          <w:rFonts w:ascii="Calibri" w:hAnsi="Calibri" w:cs="Calibri"/>
          <w:szCs w:val="24"/>
        </w:rPr>
        <w:t>of the bible, with the former describing</w:t>
      </w:r>
      <w:r w:rsidR="005A458B" w:rsidRPr="006A598F">
        <w:rPr>
          <w:rFonts w:ascii="Calibri" w:hAnsi="Calibri" w:cs="Calibri"/>
          <w:szCs w:val="24"/>
        </w:rPr>
        <w:t xml:space="preserve"> the summary passages as reminiscent of social utopias.</w:t>
      </w:r>
      <w:r w:rsidRPr="006A598F">
        <w:rPr>
          <w:rStyle w:val="FootnoteReference"/>
          <w:rFonts w:ascii="Calibri" w:hAnsi="Calibri" w:cs="Calibri"/>
          <w:szCs w:val="24"/>
        </w:rPr>
        <w:footnoteReference w:id="32"/>
      </w:r>
      <w:r w:rsidRPr="006A598F">
        <w:rPr>
          <w:rFonts w:ascii="Calibri" w:hAnsi="Calibri" w:cs="Calibri"/>
          <w:szCs w:val="24"/>
        </w:rPr>
        <w:t xml:space="preserve"> </w:t>
      </w:r>
      <w:r w:rsidR="003D4EE0" w:rsidRPr="006A598F">
        <w:rPr>
          <w:rFonts w:ascii="Calibri" w:hAnsi="Calibri" w:cs="Calibri"/>
          <w:szCs w:val="24"/>
        </w:rPr>
        <w:t>Although Acts describes the past, it expresses a social desire aimed at the future, mirroring Christia</w:t>
      </w:r>
      <w:r w:rsidRPr="006A598F">
        <w:rPr>
          <w:rFonts w:ascii="Calibri" w:hAnsi="Calibri" w:cs="Calibri"/>
          <w:szCs w:val="24"/>
        </w:rPr>
        <w:t>nity’s desire for social change</w:t>
      </w:r>
      <w:r w:rsidR="003D4EE0" w:rsidRPr="006A598F">
        <w:rPr>
          <w:rFonts w:ascii="Calibri" w:hAnsi="Calibri" w:cs="Calibri"/>
          <w:szCs w:val="24"/>
        </w:rPr>
        <w:t>.</w:t>
      </w:r>
      <w:r w:rsidRPr="006A598F">
        <w:rPr>
          <w:rStyle w:val="FootnoteReference"/>
          <w:rFonts w:ascii="Calibri" w:hAnsi="Calibri" w:cs="Calibri"/>
          <w:szCs w:val="24"/>
        </w:rPr>
        <w:footnoteReference w:id="33"/>
      </w:r>
      <w:r w:rsidR="003D4EE0" w:rsidRPr="006A598F">
        <w:rPr>
          <w:rFonts w:ascii="Calibri" w:hAnsi="Calibri" w:cs="Calibri"/>
          <w:szCs w:val="24"/>
        </w:rPr>
        <w:t xml:space="preserve"> </w:t>
      </w:r>
      <w:r w:rsidR="00435F09" w:rsidRPr="006A598F">
        <w:rPr>
          <w:rFonts w:ascii="Calibri" w:hAnsi="Calibri" w:cs="Calibri"/>
          <w:szCs w:val="24"/>
        </w:rPr>
        <w:t>The</w:t>
      </w:r>
      <w:r w:rsidR="003D4EE0" w:rsidRPr="006A598F">
        <w:rPr>
          <w:rFonts w:ascii="Calibri" w:hAnsi="Calibri" w:cs="Calibri"/>
          <w:szCs w:val="24"/>
        </w:rPr>
        <w:t xml:space="preserve"> early Christian community in Jerusalem becomes the prototype of </w:t>
      </w:r>
      <w:r w:rsidR="00435F09" w:rsidRPr="006A598F">
        <w:rPr>
          <w:rFonts w:ascii="Calibri" w:hAnsi="Calibri" w:cs="Calibri"/>
          <w:szCs w:val="24"/>
        </w:rPr>
        <w:t>a</w:t>
      </w:r>
      <w:r w:rsidR="003D4EE0" w:rsidRPr="006A598F">
        <w:rPr>
          <w:rFonts w:ascii="Calibri" w:hAnsi="Calibri" w:cs="Calibri"/>
          <w:szCs w:val="24"/>
        </w:rPr>
        <w:t xml:space="preserve"> “community of salvation”, “the ecclesiological-pneumatological</w:t>
      </w:r>
      <w:r w:rsidR="00C40127" w:rsidRPr="006A598F">
        <w:rPr>
          <w:rFonts w:ascii="Calibri" w:hAnsi="Calibri" w:cs="Calibri"/>
          <w:szCs w:val="24"/>
        </w:rPr>
        <w:t xml:space="preserve"> </w:t>
      </w:r>
      <w:r w:rsidR="003D4EE0" w:rsidRPr="006A598F">
        <w:rPr>
          <w:rFonts w:ascii="Calibri" w:hAnsi="Calibri" w:cs="Calibri"/>
          <w:szCs w:val="24"/>
        </w:rPr>
        <w:t>concept of a normative prototype that is i</w:t>
      </w:r>
      <w:r w:rsidRPr="006A598F">
        <w:rPr>
          <w:rFonts w:ascii="Calibri" w:hAnsi="Calibri" w:cs="Calibri"/>
          <w:szCs w:val="24"/>
        </w:rPr>
        <w:t>ntended to encourage believer”</w:t>
      </w:r>
      <w:r w:rsidR="003D4EE0" w:rsidRPr="006A598F">
        <w:rPr>
          <w:rFonts w:ascii="Calibri" w:hAnsi="Calibri" w:cs="Calibri"/>
          <w:szCs w:val="24"/>
        </w:rPr>
        <w:t>.</w:t>
      </w:r>
      <w:r w:rsidRPr="006A598F">
        <w:rPr>
          <w:rStyle w:val="FootnoteReference"/>
          <w:rFonts w:ascii="Calibri" w:hAnsi="Calibri" w:cs="Calibri"/>
          <w:szCs w:val="24"/>
        </w:rPr>
        <w:footnoteReference w:id="34"/>
      </w:r>
      <w:r w:rsidR="003D4EE0" w:rsidRPr="006A598F">
        <w:rPr>
          <w:rFonts w:ascii="Calibri" w:hAnsi="Calibri" w:cs="Calibri"/>
          <w:szCs w:val="24"/>
        </w:rPr>
        <w:t xml:space="preserve"> </w:t>
      </w:r>
      <w:r w:rsidR="00C95299" w:rsidRPr="006A598F">
        <w:rPr>
          <w:rFonts w:ascii="Calibri" w:hAnsi="Calibri" w:cs="Calibri"/>
          <w:szCs w:val="24"/>
        </w:rPr>
        <w:t xml:space="preserve">Therein, the summary passage </w:t>
      </w:r>
      <w:r w:rsidR="00C761F4" w:rsidRPr="006A598F">
        <w:rPr>
          <w:rFonts w:ascii="Calibri" w:hAnsi="Calibri" w:cs="Calibri"/>
          <w:szCs w:val="24"/>
        </w:rPr>
        <w:t>allows</w:t>
      </w:r>
      <w:r w:rsidR="00C95299" w:rsidRPr="006A598F">
        <w:rPr>
          <w:rFonts w:ascii="Calibri" w:hAnsi="Calibri" w:cs="Calibri"/>
          <w:szCs w:val="24"/>
        </w:rPr>
        <w:t xml:space="preserve"> the early Christian communities to define themselves and their social values against the </w:t>
      </w:r>
      <w:r w:rsidR="00435F09" w:rsidRPr="006A598F">
        <w:rPr>
          <w:rFonts w:ascii="Calibri" w:hAnsi="Calibri" w:cs="Calibri"/>
          <w:szCs w:val="24"/>
        </w:rPr>
        <w:t>traditions of the Roman Empire</w:t>
      </w:r>
      <w:r w:rsidR="00C95299" w:rsidRPr="006A598F">
        <w:rPr>
          <w:rFonts w:ascii="Calibri" w:hAnsi="Calibri" w:cs="Calibri"/>
          <w:szCs w:val="24"/>
        </w:rPr>
        <w:t xml:space="preserve">.  </w:t>
      </w:r>
      <w:r w:rsidR="00C761F4" w:rsidRPr="006A598F">
        <w:rPr>
          <w:rFonts w:ascii="Calibri" w:hAnsi="Calibri" w:cs="Calibri"/>
          <w:szCs w:val="24"/>
        </w:rPr>
        <w:t xml:space="preserve">It presents a utopic vision of life amidst the believers aimed at recruiting, converting, and retaining members of the Christian faith, aimed at a general audience and / or readership. At the same time, the passage also addresses questions specific </w:t>
      </w:r>
      <w:r w:rsidR="00C761F4" w:rsidRPr="006A598F">
        <w:rPr>
          <w:rFonts w:ascii="Calibri" w:hAnsi="Calibri" w:cs="Calibri"/>
          <w:szCs w:val="24"/>
        </w:rPr>
        <w:lastRenderedPageBreak/>
        <w:t xml:space="preserve">to the organisation of worship that would have been specific to existing members of the Christian communities. These include questions </w:t>
      </w:r>
      <w:r w:rsidR="00315F0A" w:rsidRPr="006A598F">
        <w:rPr>
          <w:rFonts w:ascii="Calibri" w:hAnsi="Calibri" w:cs="Calibri"/>
          <w:szCs w:val="24"/>
        </w:rPr>
        <w:t>about</w:t>
      </w:r>
      <w:r w:rsidR="00C761F4" w:rsidRPr="006A598F">
        <w:rPr>
          <w:rFonts w:ascii="Calibri" w:hAnsi="Calibri" w:cs="Calibri"/>
          <w:szCs w:val="24"/>
        </w:rPr>
        <w:t xml:space="preserve"> the authority that was given to the apostles as teachers and effective stand-ins for Christ, and the location of worship, which seemed to move public to private spheres. In conclusion, summary passages such as this played an important historicising and messianic function for early Christian communities.  </w:t>
      </w:r>
    </w:p>
    <w:p w14:paraId="12BA4DFB" w14:textId="77777777" w:rsidR="008D2FEA" w:rsidRPr="006A598F" w:rsidRDefault="008D2FEA" w:rsidP="00435F09">
      <w:pPr>
        <w:pStyle w:val="OBEBody"/>
        <w:ind w:firstLine="720"/>
        <w:rPr>
          <w:rFonts w:ascii="Calibri" w:hAnsi="Calibri" w:cs="Calibri"/>
          <w:szCs w:val="24"/>
        </w:rPr>
      </w:pPr>
    </w:p>
    <w:p w14:paraId="563BADA5" w14:textId="77777777" w:rsidR="008D2FEA" w:rsidRPr="006A598F" w:rsidRDefault="008D2FEA" w:rsidP="00435F09">
      <w:pPr>
        <w:pStyle w:val="OBEBody"/>
        <w:ind w:firstLine="720"/>
        <w:rPr>
          <w:rFonts w:ascii="Calibri" w:hAnsi="Calibri" w:cs="Calibri"/>
          <w:szCs w:val="24"/>
        </w:rPr>
      </w:pPr>
    </w:p>
    <w:p w14:paraId="28086035" w14:textId="77777777" w:rsidR="00662245" w:rsidRPr="006A598F" w:rsidRDefault="00662245">
      <w:pPr>
        <w:spacing w:after="160" w:line="259" w:lineRule="auto"/>
        <w:rPr>
          <w:rFonts w:ascii="Calibri" w:hAnsi="Calibri" w:cs="Calibri"/>
          <w:color w:val="323E4F" w:themeColor="text2" w:themeShade="BF"/>
          <w:lang w:eastAsia="en-US"/>
        </w:rPr>
      </w:pPr>
      <w:r w:rsidRPr="006A598F">
        <w:rPr>
          <w:rFonts w:ascii="Calibri" w:hAnsi="Calibri" w:cs="Calibri"/>
        </w:rPr>
        <w:br w:type="page"/>
      </w:r>
    </w:p>
    <w:p w14:paraId="38F342E1" w14:textId="710EB907" w:rsidR="00CF49C7" w:rsidRPr="00A30FEA" w:rsidRDefault="00CF49C7" w:rsidP="00A30FEA">
      <w:pPr>
        <w:pStyle w:val="OBESubtitle1sttier"/>
        <w:jc w:val="center"/>
        <w:rPr>
          <w:rFonts w:ascii="Calibri" w:hAnsi="Calibri" w:cs="Calibri"/>
          <w:b/>
          <w:bCs/>
          <w:sz w:val="32"/>
          <w:szCs w:val="32"/>
        </w:rPr>
      </w:pPr>
      <w:r w:rsidRPr="00A30FEA">
        <w:rPr>
          <w:rFonts w:ascii="Calibri" w:hAnsi="Calibri" w:cs="Calibri"/>
          <w:b/>
          <w:bCs/>
          <w:sz w:val="32"/>
          <w:szCs w:val="32"/>
        </w:rPr>
        <w:lastRenderedPageBreak/>
        <w:t>Bibliography</w:t>
      </w:r>
    </w:p>
    <w:p w14:paraId="38C0F707" w14:textId="05195B5F" w:rsidR="00F44E46" w:rsidRPr="006A598F" w:rsidRDefault="00F44E46" w:rsidP="00F44E46">
      <w:pPr>
        <w:pStyle w:val="OBEBibliography"/>
        <w:rPr>
          <w:rFonts w:cs="Calibri"/>
          <w:iCs/>
          <w:szCs w:val="24"/>
        </w:rPr>
      </w:pPr>
      <w:r w:rsidRPr="006A598F">
        <w:rPr>
          <w:rFonts w:cs="Calibri"/>
          <w:iCs/>
          <w:szCs w:val="24"/>
        </w:rPr>
        <w:t xml:space="preserve">Amakhungu, Benea A., ‘Re-examining the Summary Statements in Acts: A Biblical Response to the Enigma of Negative Ethnicity in Kenya: Towards Responsible Citizenship – SDG 4’, </w:t>
      </w:r>
      <w:r w:rsidRPr="006A598F">
        <w:rPr>
          <w:rFonts w:cs="Calibri"/>
          <w:i/>
          <w:iCs/>
          <w:szCs w:val="24"/>
        </w:rPr>
        <w:t>Impact: Journal of Transformation,</w:t>
      </w:r>
      <w:r w:rsidRPr="006A598F">
        <w:rPr>
          <w:rFonts w:cs="Calibri"/>
          <w:iCs/>
          <w:szCs w:val="24"/>
        </w:rPr>
        <w:t> 1.1 (2018), 143-158 (143)</w:t>
      </w:r>
    </w:p>
    <w:p w14:paraId="2083EE50" w14:textId="6578B851" w:rsidR="00BC7715" w:rsidRPr="006A598F" w:rsidRDefault="00BC7715" w:rsidP="00BC7715">
      <w:pPr>
        <w:pStyle w:val="OBEBibliography"/>
        <w:rPr>
          <w:rFonts w:cs="Calibri"/>
          <w:szCs w:val="24"/>
        </w:rPr>
      </w:pPr>
      <w:r w:rsidRPr="006A598F">
        <w:rPr>
          <w:rFonts w:cs="Calibri"/>
          <w:szCs w:val="24"/>
        </w:rPr>
        <w:t>B</w:t>
      </w:r>
      <w:r w:rsidR="00F44E46" w:rsidRPr="006A598F">
        <w:rPr>
          <w:rFonts w:cs="Calibri"/>
          <w:szCs w:val="24"/>
        </w:rPr>
        <w:t xml:space="preserve">ock, D.L., </w:t>
      </w:r>
      <w:r w:rsidRPr="006A598F">
        <w:rPr>
          <w:rFonts w:cs="Calibri"/>
          <w:i/>
          <w:iCs/>
          <w:szCs w:val="24"/>
        </w:rPr>
        <w:t>Acts. Baker Exegetical Commentary on the New Testament</w:t>
      </w:r>
      <w:r w:rsidR="00F44E46" w:rsidRPr="006A598F">
        <w:rPr>
          <w:rFonts w:cs="Calibri"/>
          <w:szCs w:val="24"/>
        </w:rPr>
        <w:t xml:space="preserve"> (</w:t>
      </w:r>
      <w:r w:rsidRPr="006A598F">
        <w:rPr>
          <w:rFonts w:cs="Calibri"/>
          <w:szCs w:val="24"/>
        </w:rPr>
        <w:t>Grand Rapids Baker Academic: Baker Publishing</w:t>
      </w:r>
      <w:r w:rsidR="00F44E46" w:rsidRPr="006A598F">
        <w:rPr>
          <w:rFonts w:cs="Calibri"/>
          <w:szCs w:val="24"/>
        </w:rPr>
        <w:t>, 2007)</w:t>
      </w:r>
      <w:r w:rsidRPr="006A598F">
        <w:rPr>
          <w:rFonts w:cs="Calibri"/>
          <w:szCs w:val="24"/>
        </w:rPr>
        <w:t xml:space="preserve">. </w:t>
      </w:r>
    </w:p>
    <w:p w14:paraId="6352FD79" w14:textId="59B93C07" w:rsidR="00BC7715" w:rsidRPr="006A598F" w:rsidRDefault="00F44E46" w:rsidP="00BC7715">
      <w:pPr>
        <w:pStyle w:val="OBEBibliography"/>
        <w:rPr>
          <w:rFonts w:cs="Calibri"/>
          <w:iCs/>
          <w:szCs w:val="24"/>
        </w:rPr>
      </w:pPr>
      <w:r w:rsidRPr="006A598F">
        <w:rPr>
          <w:rFonts w:cs="Calibri"/>
          <w:iCs/>
          <w:szCs w:val="24"/>
        </w:rPr>
        <w:t>Celarc, M</w:t>
      </w:r>
      <w:r w:rsidR="001C3582" w:rsidRPr="006A598F">
        <w:rPr>
          <w:rFonts w:cs="Calibri"/>
          <w:iCs/>
          <w:szCs w:val="24"/>
        </w:rPr>
        <w:t>atjaz</w:t>
      </w:r>
      <w:r w:rsidRPr="006A598F">
        <w:rPr>
          <w:rFonts w:cs="Calibri"/>
          <w:iCs/>
          <w:szCs w:val="24"/>
        </w:rPr>
        <w:t>,</w:t>
      </w:r>
      <w:r w:rsidR="00BC7715" w:rsidRPr="006A598F">
        <w:rPr>
          <w:rFonts w:cs="Calibri"/>
          <w:iCs/>
          <w:szCs w:val="24"/>
        </w:rPr>
        <w:t xml:space="preserve"> </w:t>
      </w:r>
      <w:r w:rsidRPr="006A598F">
        <w:rPr>
          <w:rFonts w:cs="Calibri"/>
          <w:iCs/>
          <w:szCs w:val="24"/>
        </w:rPr>
        <w:t>‘</w:t>
      </w:r>
      <w:r w:rsidR="00BC7715" w:rsidRPr="006A598F">
        <w:rPr>
          <w:rFonts w:cs="Calibri"/>
          <w:iCs/>
          <w:szCs w:val="24"/>
        </w:rPr>
        <w:t>Narrative summaries in Acts of the Apostles. Reading of the first summary account (2:42–47)</w:t>
      </w:r>
      <w:r w:rsidRPr="006A598F">
        <w:rPr>
          <w:rFonts w:cs="Calibri"/>
          <w:iCs/>
          <w:szCs w:val="24"/>
        </w:rPr>
        <w:t>’,</w:t>
      </w:r>
      <w:r w:rsidR="00BC7715" w:rsidRPr="006A598F">
        <w:rPr>
          <w:rFonts w:cs="Calibri"/>
          <w:iCs/>
          <w:szCs w:val="24"/>
        </w:rPr>
        <w:t xml:space="preserve"> </w:t>
      </w:r>
      <w:r w:rsidR="00BC7715" w:rsidRPr="006A598F">
        <w:rPr>
          <w:rFonts w:cs="Calibri"/>
          <w:i/>
          <w:iCs/>
          <w:szCs w:val="24"/>
        </w:rPr>
        <w:t>Biblica et Patristica Thoruniensia</w:t>
      </w:r>
      <w:r w:rsidRPr="006A598F">
        <w:rPr>
          <w:rFonts w:cs="Calibri"/>
          <w:iCs/>
          <w:szCs w:val="24"/>
        </w:rPr>
        <w:t xml:space="preserve">, 14.2 (2021), </w:t>
      </w:r>
      <w:r w:rsidR="00BC7715" w:rsidRPr="006A598F">
        <w:rPr>
          <w:rFonts w:cs="Calibri"/>
          <w:iCs/>
          <w:szCs w:val="24"/>
        </w:rPr>
        <w:t>145-163.</w:t>
      </w:r>
    </w:p>
    <w:p w14:paraId="5417897C" w14:textId="15B6552C" w:rsidR="00A21C78" w:rsidRPr="006A598F" w:rsidRDefault="00516C16" w:rsidP="00BC7715">
      <w:pPr>
        <w:pStyle w:val="OBEBibliography"/>
        <w:rPr>
          <w:rFonts w:cs="Calibri"/>
          <w:szCs w:val="24"/>
          <w:lang w:val="en-GB"/>
        </w:rPr>
      </w:pPr>
      <w:r w:rsidRPr="006A598F">
        <w:rPr>
          <w:rFonts w:cs="Calibri"/>
          <w:szCs w:val="24"/>
        </w:rPr>
        <w:t>Em</w:t>
      </w:r>
      <w:r w:rsidR="007559F8" w:rsidRPr="006A598F">
        <w:rPr>
          <w:rFonts w:cs="Calibri"/>
          <w:szCs w:val="24"/>
        </w:rPr>
        <w:t>budo, Lora Angeline B.</w:t>
      </w:r>
      <w:r w:rsidR="00F44E46" w:rsidRPr="006A598F">
        <w:rPr>
          <w:rFonts w:cs="Calibri"/>
          <w:szCs w:val="24"/>
        </w:rPr>
        <w:t>, ‘</w:t>
      </w:r>
      <w:r w:rsidR="000A4F9F" w:rsidRPr="006A598F">
        <w:rPr>
          <w:rFonts w:cs="Calibri"/>
          <w:szCs w:val="24"/>
          <w:lang w:val="en-GB"/>
        </w:rPr>
        <w:t>A Lukan Paradigm of Witness: Community as a Form of Witness</w:t>
      </w:r>
      <w:r w:rsidR="00F44E46" w:rsidRPr="006A598F">
        <w:rPr>
          <w:rFonts w:cs="Calibri"/>
          <w:szCs w:val="24"/>
          <w:lang w:val="en-GB"/>
        </w:rPr>
        <w:t xml:space="preserve">’, </w:t>
      </w:r>
      <w:r w:rsidR="000A4F9F" w:rsidRPr="006A598F">
        <w:rPr>
          <w:rFonts w:cs="Calibri"/>
          <w:i/>
          <w:szCs w:val="24"/>
          <w:lang w:val="en-GB"/>
        </w:rPr>
        <w:t>Asian Journal of Pentecostal Studies</w:t>
      </w:r>
      <w:r w:rsidR="00F44E46" w:rsidRPr="006A598F">
        <w:rPr>
          <w:rFonts w:cs="Calibri"/>
          <w:szCs w:val="24"/>
          <w:lang w:val="en-GB"/>
        </w:rPr>
        <w:t>, 20.</w:t>
      </w:r>
      <w:r w:rsidR="000A4F9F" w:rsidRPr="006A598F">
        <w:rPr>
          <w:rFonts w:cs="Calibri"/>
          <w:szCs w:val="24"/>
          <w:lang w:val="en-GB"/>
        </w:rPr>
        <w:t>1</w:t>
      </w:r>
      <w:r w:rsidR="00F44E46" w:rsidRPr="006A598F">
        <w:rPr>
          <w:rFonts w:cs="Calibri"/>
          <w:szCs w:val="24"/>
          <w:lang w:val="en-GB"/>
        </w:rPr>
        <w:t xml:space="preserve"> (2017), </w:t>
      </w:r>
      <w:r w:rsidRPr="006A598F">
        <w:rPr>
          <w:rFonts w:cs="Calibri"/>
          <w:szCs w:val="24"/>
          <w:lang w:val="en-GB"/>
        </w:rPr>
        <w:t>19-35.</w:t>
      </w:r>
    </w:p>
    <w:p w14:paraId="2997DA59" w14:textId="6A158A5C" w:rsidR="00BC7715" w:rsidRPr="006A598F" w:rsidRDefault="00F44E46" w:rsidP="00BC7715">
      <w:pPr>
        <w:pStyle w:val="OBEBibliography"/>
        <w:rPr>
          <w:rFonts w:cs="Calibri"/>
          <w:szCs w:val="24"/>
        </w:rPr>
      </w:pPr>
      <w:r w:rsidRPr="006A598F">
        <w:rPr>
          <w:rFonts w:cs="Calibri"/>
          <w:szCs w:val="24"/>
        </w:rPr>
        <w:t>Friedl, A., ‘</w:t>
      </w:r>
      <w:r w:rsidR="00BC7715" w:rsidRPr="006A598F">
        <w:rPr>
          <w:rFonts w:cs="Calibri"/>
          <w:szCs w:val="24"/>
        </w:rPr>
        <w:t>The Reception of the Deuteronomic Social Law in the Primitive Church of Jerusalem According to the Book of Acts</w:t>
      </w:r>
      <w:r w:rsidRPr="006A598F">
        <w:rPr>
          <w:rFonts w:cs="Calibri"/>
          <w:szCs w:val="24"/>
        </w:rPr>
        <w:t>’,</w:t>
      </w:r>
      <w:r w:rsidR="00BC7715" w:rsidRPr="006A598F">
        <w:rPr>
          <w:rFonts w:cs="Calibri"/>
          <w:szCs w:val="24"/>
        </w:rPr>
        <w:t xml:space="preserve"> </w:t>
      </w:r>
      <w:r w:rsidR="00BC7715" w:rsidRPr="006A598F">
        <w:rPr>
          <w:rFonts w:cs="Calibri"/>
          <w:i/>
          <w:szCs w:val="24"/>
        </w:rPr>
        <w:t>Acta Theologica</w:t>
      </w:r>
      <w:r w:rsidRPr="006A598F">
        <w:rPr>
          <w:rFonts w:cs="Calibri"/>
          <w:szCs w:val="24"/>
        </w:rPr>
        <w:t xml:space="preserve">, 23 (2016), </w:t>
      </w:r>
      <w:r w:rsidR="00BC7715" w:rsidRPr="006A598F">
        <w:rPr>
          <w:rFonts w:cs="Calibri"/>
          <w:szCs w:val="24"/>
        </w:rPr>
        <w:t>176-200.</w:t>
      </w:r>
    </w:p>
    <w:p w14:paraId="44A8A23F" w14:textId="43E45B2C" w:rsidR="00197523" w:rsidRPr="006A598F" w:rsidRDefault="00F44E46" w:rsidP="00197523">
      <w:pPr>
        <w:pStyle w:val="OBEBibliography"/>
        <w:rPr>
          <w:rFonts w:cs="Calibri"/>
          <w:szCs w:val="24"/>
        </w:rPr>
      </w:pPr>
      <w:r w:rsidRPr="006A598F">
        <w:rPr>
          <w:rFonts w:cs="Calibri"/>
          <w:szCs w:val="24"/>
        </w:rPr>
        <w:t>Hombana, Mphumezi, ‘</w:t>
      </w:r>
      <w:r w:rsidR="00197523" w:rsidRPr="006A598F">
        <w:rPr>
          <w:rFonts w:cs="Calibri"/>
          <w:szCs w:val="24"/>
        </w:rPr>
        <w:t>Early-church praxis: Selling land and possessions – A socio-historical study of Acts 2:45, 4:32–37</w:t>
      </w:r>
      <w:r w:rsidRPr="006A598F">
        <w:rPr>
          <w:rFonts w:cs="Calibri"/>
          <w:szCs w:val="24"/>
        </w:rPr>
        <w:t xml:space="preserve">’, </w:t>
      </w:r>
      <w:r w:rsidR="00197523" w:rsidRPr="006A598F">
        <w:rPr>
          <w:rFonts w:cs="Calibri"/>
          <w:i/>
          <w:szCs w:val="24"/>
        </w:rPr>
        <w:t>Theological Studies</w:t>
      </w:r>
      <w:r w:rsidRPr="006A598F">
        <w:rPr>
          <w:rFonts w:cs="Calibri"/>
          <w:szCs w:val="24"/>
        </w:rPr>
        <w:t>, 79.2. (2023)</w:t>
      </w:r>
      <w:r w:rsidR="00197523" w:rsidRPr="006A598F">
        <w:rPr>
          <w:rFonts w:cs="Calibri"/>
          <w:szCs w:val="24"/>
        </w:rPr>
        <w:t xml:space="preserve">, Article e8727. </w:t>
      </w:r>
    </w:p>
    <w:p w14:paraId="7F1ADD4C" w14:textId="0510FD73" w:rsidR="00197523" w:rsidRPr="006A598F" w:rsidRDefault="007559F8" w:rsidP="00BC7715">
      <w:pPr>
        <w:pStyle w:val="OBEBibliography"/>
        <w:rPr>
          <w:rFonts w:cs="Calibri"/>
          <w:szCs w:val="24"/>
        </w:rPr>
      </w:pPr>
      <w:r w:rsidRPr="006A598F">
        <w:rPr>
          <w:rFonts w:cs="Calibri"/>
          <w:szCs w:val="24"/>
        </w:rPr>
        <w:t xml:space="preserve">Jeon, Paul </w:t>
      </w:r>
      <w:r w:rsidR="00197523" w:rsidRPr="006A598F">
        <w:rPr>
          <w:rFonts w:cs="Calibri"/>
          <w:szCs w:val="24"/>
        </w:rPr>
        <w:t>S</w:t>
      </w:r>
      <w:r w:rsidR="00F44E46" w:rsidRPr="006A598F">
        <w:rPr>
          <w:rFonts w:cs="Calibri"/>
          <w:szCs w:val="24"/>
        </w:rPr>
        <w:t>.,</w:t>
      </w:r>
      <w:r w:rsidR="00197523" w:rsidRPr="006A598F">
        <w:rPr>
          <w:rFonts w:cs="Calibri"/>
          <w:szCs w:val="24"/>
        </w:rPr>
        <w:t xml:space="preserve"> </w:t>
      </w:r>
      <w:r w:rsidR="00197523" w:rsidRPr="006A598F">
        <w:rPr>
          <w:rFonts w:cs="Calibri"/>
          <w:i/>
          <w:szCs w:val="24"/>
        </w:rPr>
        <w:t>Collectivism and/or Christianity: An Exegetical Stud</w:t>
      </w:r>
      <w:r w:rsidR="00F44E46" w:rsidRPr="006A598F">
        <w:rPr>
          <w:rFonts w:cs="Calibri"/>
          <w:i/>
          <w:szCs w:val="24"/>
        </w:rPr>
        <w:t>y of Acts 2:24-47 and 4:32-5:11</w:t>
      </w:r>
      <w:r w:rsidR="00F44E46" w:rsidRPr="006A598F">
        <w:rPr>
          <w:rFonts w:cs="Calibri"/>
          <w:szCs w:val="24"/>
        </w:rPr>
        <w:t xml:space="preserve"> (2013),</w:t>
      </w:r>
      <w:r w:rsidR="00197523" w:rsidRPr="006A598F">
        <w:rPr>
          <w:rFonts w:cs="Calibri"/>
          <w:szCs w:val="24"/>
        </w:rPr>
        <w:t xml:space="preserve"> </w:t>
      </w:r>
      <w:r w:rsidR="00197523" w:rsidRPr="006A598F">
        <w:rPr>
          <w:rFonts w:cs="Calibri"/>
          <w:i/>
          <w:szCs w:val="24"/>
        </w:rPr>
        <w:t>Institute for Faith, Work &amp; Economics</w:t>
      </w:r>
      <w:r w:rsidR="00F44E46" w:rsidRPr="006A598F">
        <w:rPr>
          <w:rFonts w:cs="Calibri"/>
          <w:szCs w:val="24"/>
        </w:rPr>
        <w:t xml:space="preserve"> &lt;</w:t>
      </w:r>
      <w:hyperlink r:id="rId8" w:history="1">
        <w:r w:rsidR="00197523" w:rsidRPr="006A598F">
          <w:rPr>
            <w:rStyle w:val="Hyperlink"/>
            <w:rFonts w:cs="Calibri"/>
            <w:szCs w:val="24"/>
          </w:rPr>
          <w:t>https://tifwe.org/wp-content/uploads/2013/02/Collectivism-and-or-Christianity-Acts-2-5-Jeon.pdf</w:t>
        </w:r>
      </w:hyperlink>
      <w:r w:rsidR="00F44E46" w:rsidRPr="006A598F">
        <w:rPr>
          <w:rFonts w:cs="Calibri"/>
          <w:szCs w:val="24"/>
        </w:rPr>
        <w:t>&gt;</w:t>
      </w:r>
      <w:r w:rsidR="00197523" w:rsidRPr="006A598F">
        <w:rPr>
          <w:rFonts w:cs="Calibri"/>
          <w:szCs w:val="24"/>
        </w:rPr>
        <w:t xml:space="preserve">[accessed 10 October 2023]. </w:t>
      </w:r>
    </w:p>
    <w:p w14:paraId="7A456A9A" w14:textId="57887825" w:rsidR="00A21C78" w:rsidRPr="006A598F" w:rsidRDefault="00F44E46" w:rsidP="00BC7715">
      <w:pPr>
        <w:pStyle w:val="OBEBibliography"/>
        <w:rPr>
          <w:rFonts w:cs="Calibri"/>
          <w:szCs w:val="24"/>
        </w:rPr>
      </w:pPr>
      <w:r w:rsidRPr="006A598F">
        <w:rPr>
          <w:rFonts w:cs="Calibri"/>
          <w:szCs w:val="24"/>
        </w:rPr>
        <w:t>Perschbacher, W.J.,</w:t>
      </w:r>
      <w:r w:rsidR="007E454B" w:rsidRPr="006A598F">
        <w:rPr>
          <w:rFonts w:cs="Calibri"/>
          <w:szCs w:val="24"/>
        </w:rPr>
        <w:t xml:space="preserve"> </w:t>
      </w:r>
      <w:r w:rsidR="007E454B" w:rsidRPr="006A598F">
        <w:rPr>
          <w:rFonts w:cs="Calibri"/>
          <w:i/>
          <w:iCs/>
          <w:szCs w:val="24"/>
        </w:rPr>
        <w:t>New Testament Greek syntax: An illustrated manual</w:t>
      </w:r>
      <w:r w:rsidRPr="006A598F">
        <w:rPr>
          <w:rFonts w:cs="Calibri"/>
          <w:szCs w:val="24"/>
        </w:rPr>
        <w:t xml:space="preserve">, </w:t>
      </w:r>
      <w:r w:rsidR="007E454B" w:rsidRPr="006A598F">
        <w:rPr>
          <w:rFonts w:cs="Calibri"/>
          <w:szCs w:val="24"/>
        </w:rPr>
        <w:t>English, Ancient Greek and Ancient Gre</w:t>
      </w:r>
      <w:r w:rsidRPr="006A598F">
        <w:rPr>
          <w:rFonts w:cs="Calibri"/>
          <w:szCs w:val="24"/>
        </w:rPr>
        <w:t>ek Edition (</w:t>
      </w:r>
      <w:r w:rsidR="00516C16" w:rsidRPr="006A598F">
        <w:rPr>
          <w:rFonts w:cs="Calibri"/>
          <w:szCs w:val="24"/>
        </w:rPr>
        <w:t>Chicago: Moody Publisher</w:t>
      </w:r>
      <w:r w:rsidRPr="006A598F">
        <w:rPr>
          <w:rFonts w:cs="Calibri"/>
          <w:szCs w:val="24"/>
        </w:rPr>
        <w:t>, 1995)</w:t>
      </w:r>
      <w:r w:rsidR="00516C16" w:rsidRPr="006A598F">
        <w:rPr>
          <w:rFonts w:cs="Calibri"/>
          <w:szCs w:val="24"/>
        </w:rPr>
        <w:t>.</w:t>
      </w:r>
    </w:p>
    <w:p w14:paraId="7891787C" w14:textId="7595443F" w:rsidR="00197523" w:rsidRPr="006A598F" w:rsidRDefault="007559F8" w:rsidP="00BC7715">
      <w:pPr>
        <w:pStyle w:val="OBEBibliography"/>
        <w:rPr>
          <w:rFonts w:cs="Calibri"/>
          <w:iCs/>
          <w:szCs w:val="24"/>
        </w:rPr>
      </w:pPr>
      <w:r w:rsidRPr="006A598F">
        <w:rPr>
          <w:rFonts w:cs="Calibri"/>
          <w:iCs/>
          <w:szCs w:val="24"/>
        </w:rPr>
        <w:t xml:space="preserve">Sass, Wayne </w:t>
      </w:r>
      <w:r w:rsidR="00F44E46" w:rsidRPr="006A598F">
        <w:rPr>
          <w:rFonts w:cs="Calibri"/>
          <w:iCs/>
          <w:szCs w:val="24"/>
        </w:rPr>
        <w:t>R., ‘</w:t>
      </w:r>
      <w:r w:rsidR="00197523" w:rsidRPr="006A598F">
        <w:rPr>
          <w:rFonts w:cs="Calibri"/>
          <w:iCs/>
          <w:szCs w:val="24"/>
        </w:rPr>
        <w:t>Acts 2: An Example of the Divine Empowerment of Leaders</w:t>
      </w:r>
      <w:r w:rsidR="00F44E46" w:rsidRPr="006A598F">
        <w:rPr>
          <w:rFonts w:cs="Calibri"/>
          <w:iCs/>
          <w:szCs w:val="24"/>
        </w:rPr>
        <w:t>’,</w:t>
      </w:r>
      <w:r w:rsidR="00197523" w:rsidRPr="006A598F">
        <w:rPr>
          <w:rFonts w:cs="Calibri"/>
          <w:iCs/>
          <w:szCs w:val="24"/>
        </w:rPr>
        <w:t xml:space="preserve"> </w:t>
      </w:r>
      <w:r w:rsidR="00197523" w:rsidRPr="006A598F">
        <w:rPr>
          <w:rFonts w:cs="Calibri"/>
          <w:i/>
          <w:iCs/>
          <w:szCs w:val="24"/>
        </w:rPr>
        <w:t>Emerging Leadership Journeys</w:t>
      </w:r>
      <w:r w:rsidR="00F44E46" w:rsidRPr="006A598F">
        <w:rPr>
          <w:rFonts w:cs="Calibri"/>
          <w:iCs/>
          <w:szCs w:val="24"/>
        </w:rPr>
        <w:t>, 5.1 (2012)</w:t>
      </w:r>
      <w:r w:rsidR="00197523" w:rsidRPr="006A598F">
        <w:rPr>
          <w:rFonts w:cs="Calibri"/>
          <w:iCs/>
          <w:szCs w:val="24"/>
        </w:rPr>
        <w:t>,</w:t>
      </w:r>
      <w:r w:rsidR="00F44E46" w:rsidRPr="006A598F">
        <w:rPr>
          <w:rFonts w:cs="Calibri"/>
          <w:iCs/>
          <w:szCs w:val="24"/>
        </w:rPr>
        <w:t xml:space="preserve"> </w:t>
      </w:r>
      <w:r w:rsidR="00197523" w:rsidRPr="006A598F">
        <w:rPr>
          <w:rFonts w:cs="Calibri"/>
          <w:iCs/>
          <w:szCs w:val="24"/>
        </w:rPr>
        <w:t xml:space="preserve">36-56. </w:t>
      </w:r>
    </w:p>
    <w:p w14:paraId="5467964E" w14:textId="4DA2C636" w:rsidR="007E454B" w:rsidRPr="006A598F" w:rsidRDefault="00F44E46" w:rsidP="00BC7715">
      <w:pPr>
        <w:pStyle w:val="OBEBibliography"/>
        <w:rPr>
          <w:rFonts w:cs="Calibri"/>
          <w:iCs/>
          <w:szCs w:val="24"/>
        </w:rPr>
      </w:pPr>
      <w:r w:rsidRPr="006A598F">
        <w:rPr>
          <w:rFonts w:cs="Calibri"/>
          <w:szCs w:val="24"/>
        </w:rPr>
        <w:t xml:space="preserve">Uhlenbruch, F., </w:t>
      </w:r>
      <w:r w:rsidR="009F660E" w:rsidRPr="006A598F">
        <w:rPr>
          <w:rFonts w:cs="Calibri"/>
          <w:i/>
          <w:iCs/>
          <w:szCs w:val="24"/>
          <w:lang w:val="en-GB"/>
        </w:rPr>
        <w:t>The nowhere Bible. Utopia, dystopia, science fiction</w:t>
      </w:r>
      <w:r w:rsidRPr="006A598F">
        <w:rPr>
          <w:rFonts w:cs="Calibri"/>
          <w:iCs/>
          <w:szCs w:val="24"/>
          <w:lang w:val="en-GB"/>
        </w:rPr>
        <w:t xml:space="preserve"> (</w:t>
      </w:r>
      <w:r w:rsidR="009F660E" w:rsidRPr="006A598F">
        <w:rPr>
          <w:rFonts w:cs="Calibri"/>
          <w:iCs/>
          <w:szCs w:val="24"/>
          <w:lang w:val="en-GB"/>
        </w:rPr>
        <w:t>Berlin: De Gruyter</w:t>
      </w:r>
      <w:r w:rsidRPr="006A598F">
        <w:rPr>
          <w:rFonts w:cs="Calibri"/>
          <w:iCs/>
          <w:szCs w:val="24"/>
          <w:lang w:val="en-GB"/>
        </w:rPr>
        <w:t>, 2015)</w:t>
      </w:r>
      <w:r w:rsidR="009F660E" w:rsidRPr="006A598F">
        <w:rPr>
          <w:rFonts w:cs="Calibri"/>
          <w:iCs/>
          <w:szCs w:val="24"/>
          <w:lang w:val="en-GB"/>
        </w:rPr>
        <w:t>.</w:t>
      </w:r>
    </w:p>
    <w:p w14:paraId="0BF30177" w14:textId="07A5FDA4" w:rsidR="009F660E" w:rsidRPr="006A598F" w:rsidRDefault="007559F8" w:rsidP="00BC7715">
      <w:pPr>
        <w:pStyle w:val="OBEBibliography"/>
        <w:rPr>
          <w:rFonts w:cs="Calibri"/>
          <w:iCs/>
          <w:szCs w:val="24"/>
        </w:rPr>
      </w:pPr>
      <w:r w:rsidRPr="006A598F">
        <w:rPr>
          <w:rFonts w:cs="Calibri"/>
          <w:iCs/>
          <w:szCs w:val="24"/>
        </w:rPr>
        <w:t xml:space="preserve">Watley, Bruce </w:t>
      </w:r>
      <w:r w:rsidR="00F44E46" w:rsidRPr="006A598F">
        <w:rPr>
          <w:rFonts w:cs="Calibri"/>
          <w:iCs/>
          <w:szCs w:val="24"/>
        </w:rPr>
        <w:t>E., ‘</w:t>
      </w:r>
      <w:r w:rsidR="009F660E" w:rsidRPr="006A598F">
        <w:rPr>
          <w:rFonts w:cs="Calibri"/>
          <w:iCs/>
          <w:szCs w:val="24"/>
        </w:rPr>
        <w:t xml:space="preserve">Divine Empowerment: An </w:t>
      </w:r>
      <w:r w:rsidR="00F44E46" w:rsidRPr="006A598F">
        <w:rPr>
          <w:rFonts w:cs="Calibri"/>
          <w:iCs/>
          <w:szCs w:val="24"/>
        </w:rPr>
        <w:t>Intertextual Analysis of Acts 2’,</w:t>
      </w:r>
      <w:r w:rsidR="009F660E" w:rsidRPr="006A598F">
        <w:rPr>
          <w:rFonts w:cs="Calibri"/>
          <w:iCs/>
          <w:szCs w:val="24"/>
        </w:rPr>
        <w:t xml:space="preserve"> </w:t>
      </w:r>
      <w:r w:rsidR="009F660E" w:rsidRPr="006A598F">
        <w:rPr>
          <w:rFonts w:cs="Calibri"/>
          <w:i/>
          <w:iCs/>
          <w:szCs w:val="24"/>
        </w:rPr>
        <w:t>Emerging Leadership Journeys</w:t>
      </w:r>
      <w:r w:rsidR="00F44E46" w:rsidRPr="006A598F">
        <w:rPr>
          <w:rFonts w:cs="Calibri"/>
          <w:iCs/>
          <w:szCs w:val="24"/>
        </w:rPr>
        <w:t>, 5.1 (2012)</w:t>
      </w:r>
      <w:r w:rsidR="009F660E" w:rsidRPr="006A598F">
        <w:rPr>
          <w:rFonts w:cs="Calibri"/>
          <w:iCs/>
          <w:szCs w:val="24"/>
        </w:rPr>
        <w:t>, 67-81.</w:t>
      </w:r>
    </w:p>
    <w:p w14:paraId="55B16F66" w14:textId="0433164B" w:rsidR="00EA049A" w:rsidRPr="006A598F" w:rsidRDefault="007559F8" w:rsidP="005A458B">
      <w:pPr>
        <w:pStyle w:val="OBEBibliography"/>
        <w:rPr>
          <w:rFonts w:cs="Calibri"/>
          <w:szCs w:val="24"/>
        </w:rPr>
      </w:pPr>
      <w:r w:rsidRPr="006A598F">
        <w:rPr>
          <w:rFonts w:cs="Calibri"/>
          <w:szCs w:val="24"/>
        </w:rPr>
        <w:t>Yang, Fenggang</w:t>
      </w:r>
      <w:r w:rsidR="00F44E46" w:rsidRPr="006A598F">
        <w:rPr>
          <w:rFonts w:cs="Calibri"/>
          <w:szCs w:val="24"/>
        </w:rPr>
        <w:t xml:space="preserve"> and Abel, A</w:t>
      </w:r>
      <w:r w:rsidRPr="006A598F">
        <w:rPr>
          <w:rFonts w:cs="Calibri"/>
          <w:szCs w:val="24"/>
        </w:rPr>
        <w:t>ndrew</w:t>
      </w:r>
      <w:r w:rsidR="00F44E46" w:rsidRPr="006A598F">
        <w:rPr>
          <w:rFonts w:cs="Calibri"/>
          <w:szCs w:val="24"/>
        </w:rPr>
        <w:t>, ‘</w:t>
      </w:r>
      <w:r w:rsidR="00BC7715" w:rsidRPr="006A598F">
        <w:rPr>
          <w:rFonts w:cs="Calibri"/>
          <w:szCs w:val="24"/>
        </w:rPr>
        <w:t>Sociology of Religious Conversion</w:t>
      </w:r>
      <w:r w:rsidR="00F44E46" w:rsidRPr="006A598F">
        <w:rPr>
          <w:rFonts w:cs="Calibri"/>
          <w:szCs w:val="24"/>
        </w:rPr>
        <w:t xml:space="preserve">’, in </w:t>
      </w:r>
      <w:r w:rsidR="00F44E46" w:rsidRPr="006A598F">
        <w:rPr>
          <w:rFonts w:cs="Calibri"/>
          <w:i/>
          <w:iCs/>
          <w:szCs w:val="24"/>
        </w:rPr>
        <w:t xml:space="preserve">The Oxford Handbook of Religious Conversion, </w:t>
      </w:r>
      <w:r w:rsidR="00F44E46" w:rsidRPr="006A598F">
        <w:rPr>
          <w:rFonts w:cs="Calibri"/>
          <w:iCs/>
          <w:szCs w:val="24"/>
        </w:rPr>
        <w:t>ed. by</w:t>
      </w:r>
      <w:r w:rsidR="00BC7715" w:rsidRPr="006A598F">
        <w:rPr>
          <w:rFonts w:cs="Calibri"/>
          <w:szCs w:val="24"/>
        </w:rPr>
        <w:t xml:space="preserve"> </w:t>
      </w:r>
      <w:r w:rsidRPr="006A598F">
        <w:rPr>
          <w:rFonts w:cs="Calibri"/>
          <w:szCs w:val="24"/>
        </w:rPr>
        <w:t xml:space="preserve">Lewis </w:t>
      </w:r>
      <w:r w:rsidR="00BC7715" w:rsidRPr="006A598F">
        <w:rPr>
          <w:rFonts w:cs="Calibri"/>
          <w:szCs w:val="24"/>
        </w:rPr>
        <w:t>R.</w:t>
      </w:r>
      <w:r w:rsidR="00F44E46" w:rsidRPr="006A598F">
        <w:rPr>
          <w:rFonts w:cs="Calibri"/>
          <w:szCs w:val="24"/>
        </w:rPr>
        <w:t xml:space="preserve"> Rambo</w:t>
      </w:r>
      <w:r w:rsidR="00BC7715" w:rsidRPr="006A598F">
        <w:rPr>
          <w:rFonts w:cs="Calibri"/>
          <w:szCs w:val="24"/>
        </w:rPr>
        <w:t xml:space="preserve"> and </w:t>
      </w:r>
      <w:r w:rsidRPr="006A598F">
        <w:rPr>
          <w:rFonts w:cs="Calibri"/>
          <w:szCs w:val="24"/>
        </w:rPr>
        <w:t xml:space="preserve">Charles </w:t>
      </w:r>
      <w:r w:rsidR="00BC7715" w:rsidRPr="006A598F">
        <w:rPr>
          <w:rFonts w:cs="Calibri"/>
          <w:szCs w:val="24"/>
        </w:rPr>
        <w:t>E.</w:t>
      </w:r>
      <w:r w:rsidR="00F44E46" w:rsidRPr="006A598F">
        <w:rPr>
          <w:rFonts w:cs="Calibri"/>
          <w:szCs w:val="24"/>
        </w:rPr>
        <w:t xml:space="preserve"> Farhadian </w:t>
      </w:r>
      <w:r w:rsidR="00F44E46" w:rsidRPr="006A598F">
        <w:rPr>
          <w:rFonts w:cs="Calibri"/>
          <w:iCs/>
          <w:szCs w:val="24"/>
        </w:rPr>
        <w:t>(</w:t>
      </w:r>
      <w:r w:rsidR="00BC7715" w:rsidRPr="006A598F">
        <w:rPr>
          <w:rFonts w:cs="Calibri"/>
          <w:szCs w:val="24"/>
        </w:rPr>
        <w:t>Oxford: Oxford University Press</w:t>
      </w:r>
      <w:r w:rsidR="00F44E46" w:rsidRPr="006A598F">
        <w:rPr>
          <w:rFonts w:cs="Calibri"/>
          <w:szCs w:val="24"/>
        </w:rPr>
        <w:t>, 2014)</w:t>
      </w:r>
      <w:r w:rsidR="00BC7715" w:rsidRPr="006A598F">
        <w:rPr>
          <w:rFonts w:cs="Calibri"/>
          <w:szCs w:val="24"/>
        </w:rPr>
        <w:t>, pp.14</w:t>
      </w:r>
      <w:r w:rsidR="00435F09" w:rsidRPr="006A598F">
        <w:rPr>
          <w:rFonts w:cs="Calibri"/>
          <w:szCs w:val="24"/>
        </w:rPr>
        <w:t>0</w:t>
      </w:r>
      <w:r w:rsidR="00BC7715" w:rsidRPr="006A598F">
        <w:rPr>
          <w:rFonts w:cs="Calibri"/>
          <w:szCs w:val="24"/>
        </w:rPr>
        <w:t>-164.</w:t>
      </w:r>
    </w:p>
    <w:sectPr w:rsidR="00EA049A" w:rsidRPr="006A598F">
      <w:headerReference w:type="default" r:id="rId9"/>
      <w:footerReference w:type="default" r:id="rId10"/>
      <w:pgSz w:w="11906" w:h="16838"/>
      <w:pgMar w:top="1440" w:right="1440" w:bottom="1440" w:left="1440" w:header="0"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5A9331" w14:textId="77777777" w:rsidR="0016761D" w:rsidRDefault="0016761D" w:rsidP="003A4DAA">
      <w:r>
        <w:separator/>
      </w:r>
    </w:p>
    <w:p w14:paraId="71CD70C6" w14:textId="77777777" w:rsidR="0016761D" w:rsidRDefault="0016761D"/>
    <w:p w14:paraId="716C620C" w14:textId="77777777" w:rsidR="0016761D" w:rsidRDefault="0016761D"/>
  </w:endnote>
  <w:endnote w:type="continuationSeparator" w:id="0">
    <w:p w14:paraId="5306AB01" w14:textId="77777777" w:rsidR="0016761D" w:rsidRDefault="0016761D" w:rsidP="003A4DAA">
      <w:r>
        <w:continuationSeparator/>
      </w:r>
    </w:p>
    <w:p w14:paraId="41DB3827" w14:textId="77777777" w:rsidR="0016761D" w:rsidRDefault="0016761D"/>
    <w:p w14:paraId="12061480" w14:textId="77777777" w:rsidR="0016761D" w:rsidRDefault="001676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AD2AF8" w14:textId="77775F66" w:rsidR="003027B9" w:rsidRDefault="003027B9">
    <w:pPr>
      <w:pStyle w:val="Footer"/>
    </w:pPr>
    <w:r>
      <w:fldChar w:fldCharType="begin"/>
    </w:r>
    <w:r>
      <w:instrText>PAGE</w:instrText>
    </w:r>
    <w:r>
      <w:fldChar w:fldCharType="separate"/>
    </w:r>
    <w:r w:rsidR="006B5810">
      <w:rPr>
        <w:noProof/>
      </w:rPr>
      <w:t>1</w:t>
    </w:r>
    <w:r>
      <w:fldChar w:fldCharType="end"/>
    </w:r>
  </w:p>
  <w:p w14:paraId="00563B13" w14:textId="77777777" w:rsidR="003027B9" w:rsidRDefault="003027B9">
    <w:pPr>
      <w:pStyle w:val="Footer"/>
    </w:pPr>
  </w:p>
  <w:p w14:paraId="4EACDC4E" w14:textId="77777777" w:rsidR="003027B9" w:rsidRDefault="003027B9"/>
  <w:p w14:paraId="2BD0682A" w14:textId="77777777" w:rsidR="003027B9" w:rsidRDefault="003027B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023FD3" w14:textId="77777777" w:rsidR="0016761D" w:rsidRDefault="0016761D" w:rsidP="003A4DAA">
      <w:r>
        <w:separator/>
      </w:r>
    </w:p>
    <w:p w14:paraId="42572E3C" w14:textId="77777777" w:rsidR="0016761D" w:rsidRDefault="0016761D"/>
    <w:p w14:paraId="2595908F" w14:textId="77777777" w:rsidR="0016761D" w:rsidRDefault="0016761D"/>
  </w:footnote>
  <w:footnote w:type="continuationSeparator" w:id="0">
    <w:p w14:paraId="6A293A97" w14:textId="77777777" w:rsidR="0016761D" w:rsidRDefault="0016761D" w:rsidP="003A4DAA">
      <w:r>
        <w:continuationSeparator/>
      </w:r>
    </w:p>
    <w:p w14:paraId="4AB98FB1" w14:textId="77777777" w:rsidR="0016761D" w:rsidRDefault="0016761D"/>
    <w:p w14:paraId="4BCA552A" w14:textId="77777777" w:rsidR="0016761D" w:rsidRDefault="0016761D"/>
  </w:footnote>
  <w:footnote w:id="1">
    <w:p w14:paraId="5B25186B" w14:textId="68E8ADFB" w:rsidR="005B59A1" w:rsidRPr="00F44E46" w:rsidRDefault="005B59A1" w:rsidP="0095401D">
      <w:pPr>
        <w:pStyle w:val="OBEFootnote"/>
        <w:contextualSpacing/>
        <w:rPr>
          <w:iCs/>
        </w:rPr>
      </w:pPr>
      <w:r>
        <w:rPr>
          <w:rStyle w:val="FootnoteReference"/>
        </w:rPr>
        <w:footnoteRef/>
      </w:r>
      <w:r>
        <w:t xml:space="preserve"> </w:t>
      </w:r>
      <w:r w:rsidR="003A700B">
        <w:t>Lore Angeline B. Embudo, ‘A Lukan Paradign of Witness: Community as a Form of Witness’, Asian Jour</w:t>
      </w:r>
      <w:r w:rsidR="00F44E46">
        <w:t>nal of Pentecostal Studies, 20.1 (2017</w:t>
      </w:r>
      <w:r w:rsidR="003A700B">
        <w:t>), 19-35 (19)</w:t>
      </w:r>
      <w:r>
        <w:t xml:space="preserve">; </w:t>
      </w:r>
      <w:r w:rsidR="00F44E46">
        <w:t xml:space="preserve">Benea A. </w:t>
      </w:r>
      <w:r w:rsidR="00F44E46" w:rsidRPr="00F44E46">
        <w:rPr>
          <w:iCs/>
        </w:rPr>
        <w:t xml:space="preserve">Amakhungu, </w:t>
      </w:r>
      <w:r w:rsidR="00F44E46">
        <w:rPr>
          <w:iCs/>
        </w:rPr>
        <w:t>‘</w:t>
      </w:r>
      <w:r w:rsidR="00F44E46" w:rsidRPr="00F44E46">
        <w:rPr>
          <w:iCs/>
        </w:rPr>
        <w:t>Re-examining the Summary Statements in Acts: A Biblical Response to the Enigma of Negative Ethnicity in Kenya: Towards R</w:t>
      </w:r>
      <w:r w:rsidR="00F44E46">
        <w:rPr>
          <w:iCs/>
        </w:rPr>
        <w:t xml:space="preserve">esponsible Citizenship – SDG 4’, </w:t>
      </w:r>
      <w:r w:rsidR="00F44E46" w:rsidRPr="00F44E46">
        <w:rPr>
          <w:i/>
          <w:iCs/>
        </w:rPr>
        <w:t>Impact: Journal of Transformation</w:t>
      </w:r>
      <w:r w:rsidR="00F44E46">
        <w:rPr>
          <w:i/>
          <w:iCs/>
        </w:rPr>
        <w:t>,</w:t>
      </w:r>
      <w:r w:rsidR="00F44E46">
        <w:rPr>
          <w:iCs/>
        </w:rPr>
        <w:t xml:space="preserve"> 1.1 (2018), </w:t>
      </w:r>
      <w:r w:rsidR="00F44E46" w:rsidRPr="00F44E46">
        <w:rPr>
          <w:iCs/>
        </w:rPr>
        <w:t>143-158</w:t>
      </w:r>
      <w:r w:rsidR="00F44E46">
        <w:rPr>
          <w:iCs/>
        </w:rPr>
        <w:t xml:space="preserve"> (143)</w:t>
      </w:r>
      <w:r w:rsidR="0095401D">
        <w:rPr>
          <w:iCs/>
        </w:rPr>
        <w:t>.</w:t>
      </w:r>
    </w:p>
  </w:footnote>
  <w:footnote w:id="2">
    <w:p w14:paraId="377060DB" w14:textId="3E94A10F" w:rsidR="005B59A1" w:rsidRDefault="005B59A1" w:rsidP="0095401D">
      <w:pPr>
        <w:pStyle w:val="OBEFootnote"/>
        <w:contextualSpacing/>
      </w:pPr>
      <w:r>
        <w:rPr>
          <w:rStyle w:val="FootnoteReference"/>
        </w:rPr>
        <w:footnoteRef/>
      </w:r>
      <w:r>
        <w:t xml:space="preserve"> </w:t>
      </w:r>
      <w:r w:rsidR="003D148E" w:rsidRPr="003D148E">
        <w:rPr>
          <w:lang w:val="en-US"/>
        </w:rPr>
        <w:t>Mphumezi</w:t>
      </w:r>
      <w:r w:rsidR="003D148E">
        <w:rPr>
          <w:lang w:val="en-US"/>
        </w:rPr>
        <w:t xml:space="preserve"> </w:t>
      </w:r>
      <w:r w:rsidR="003D148E" w:rsidRPr="003D148E">
        <w:rPr>
          <w:lang w:val="en-US"/>
        </w:rPr>
        <w:t xml:space="preserve">Hombana, ‘Early-church praxis: Selling land and possessions – A socio-historical study of Acts 2:45, 4:32–37’, </w:t>
      </w:r>
      <w:r w:rsidR="003D148E" w:rsidRPr="003D148E">
        <w:rPr>
          <w:i/>
          <w:lang w:val="en-US"/>
        </w:rPr>
        <w:t>Theological Studies</w:t>
      </w:r>
      <w:r w:rsidR="003D148E" w:rsidRPr="003D148E">
        <w:rPr>
          <w:lang w:val="en-US"/>
        </w:rPr>
        <w:t>, 79.2. (2023), Article e8727</w:t>
      </w:r>
      <w:r w:rsidR="003D148E">
        <w:rPr>
          <w:lang w:val="en-US"/>
        </w:rPr>
        <w:t xml:space="preserve"> (no page numbers).</w:t>
      </w:r>
    </w:p>
  </w:footnote>
  <w:footnote w:id="3">
    <w:p w14:paraId="3C034F93" w14:textId="41675A96" w:rsidR="005B59A1" w:rsidRDefault="005B59A1" w:rsidP="0095401D">
      <w:pPr>
        <w:pStyle w:val="OBEFootnote"/>
        <w:contextualSpacing/>
      </w:pPr>
      <w:r>
        <w:rPr>
          <w:rStyle w:val="FootnoteReference"/>
        </w:rPr>
        <w:footnoteRef/>
      </w:r>
      <w:r>
        <w:t xml:space="preserve"> </w:t>
      </w:r>
      <w:r w:rsidR="003D148E">
        <w:rPr>
          <w:iCs/>
        </w:rPr>
        <w:t>Matjaz Celarc, ‘Nar</w:t>
      </w:r>
      <w:r w:rsidR="003D148E" w:rsidRPr="009F660E">
        <w:rPr>
          <w:iCs/>
        </w:rPr>
        <w:t>rative summaries i</w:t>
      </w:r>
      <w:r w:rsidR="003D148E">
        <w:rPr>
          <w:iCs/>
        </w:rPr>
        <w:t xml:space="preserve">n Acts of the Apostles. </w:t>
      </w:r>
      <w:r w:rsidR="003D148E" w:rsidRPr="009F660E">
        <w:rPr>
          <w:iCs/>
        </w:rPr>
        <w:t>Reading of the first summary account (2:42–47)</w:t>
      </w:r>
      <w:r w:rsidR="003D148E">
        <w:rPr>
          <w:iCs/>
        </w:rPr>
        <w:t xml:space="preserve">’, </w:t>
      </w:r>
      <w:r w:rsidR="003D148E" w:rsidRPr="009F660E">
        <w:rPr>
          <w:i/>
          <w:iCs/>
        </w:rPr>
        <w:t>Biblica et Patristica Thoruniensia</w:t>
      </w:r>
      <w:r w:rsidR="003D148E">
        <w:rPr>
          <w:iCs/>
        </w:rPr>
        <w:t xml:space="preserve">, 14.2 (2021), </w:t>
      </w:r>
      <w:r w:rsidR="003D148E" w:rsidRPr="00D10DD7">
        <w:rPr>
          <w:iCs/>
        </w:rPr>
        <w:t>145-163</w:t>
      </w:r>
      <w:r w:rsidR="003D148E">
        <w:rPr>
          <w:iCs/>
        </w:rPr>
        <w:t xml:space="preserve"> (</w:t>
      </w:r>
      <w:r w:rsidR="003B29B8">
        <w:rPr>
          <w:iCs/>
        </w:rPr>
        <w:t>147, 158</w:t>
      </w:r>
      <w:r w:rsidR="003D148E">
        <w:rPr>
          <w:iCs/>
        </w:rPr>
        <w:t>)</w:t>
      </w:r>
      <w:r w:rsidR="0095401D">
        <w:rPr>
          <w:iCs/>
        </w:rPr>
        <w:t>.</w:t>
      </w:r>
    </w:p>
  </w:footnote>
  <w:footnote w:id="4">
    <w:p w14:paraId="6D0DBB01" w14:textId="0549222C" w:rsidR="005B59A1" w:rsidRDefault="005B59A1" w:rsidP="0095401D">
      <w:pPr>
        <w:pStyle w:val="OBEFootnote"/>
        <w:contextualSpacing/>
      </w:pPr>
      <w:r>
        <w:rPr>
          <w:rStyle w:val="FootnoteReference"/>
        </w:rPr>
        <w:footnoteRef/>
      </w:r>
      <w:r>
        <w:t xml:space="preserve"> </w:t>
      </w:r>
      <w:r w:rsidR="003B29B8">
        <w:t>Hombana</w:t>
      </w:r>
      <w:r w:rsidR="0095401D">
        <w:t>.</w:t>
      </w:r>
    </w:p>
  </w:footnote>
  <w:footnote w:id="5">
    <w:p w14:paraId="7CB7800C" w14:textId="744A6A80" w:rsidR="003B29B8" w:rsidRDefault="003B29B8" w:rsidP="0095401D">
      <w:pPr>
        <w:pStyle w:val="OBEFootnote"/>
        <w:contextualSpacing/>
      </w:pPr>
      <w:r>
        <w:rPr>
          <w:rStyle w:val="FootnoteReference"/>
        </w:rPr>
        <w:footnoteRef/>
      </w:r>
      <w:r>
        <w:t xml:space="preserve"> Embudo, p.20.</w:t>
      </w:r>
    </w:p>
  </w:footnote>
  <w:footnote w:id="6">
    <w:p w14:paraId="73F15955" w14:textId="125E6F80" w:rsidR="005B59A1" w:rsidRDefault="005B59A1" w:rsidP="0095401D">
      <w:pPr>
        <w:pStyle w:val="OBEFootnote"/>
        <w:contextualSpacing/>
      </w:pPr>
      <w:r>
        <w:rPr>
          <w:rStyle w:val="FootnoteReference"/>
        </w:rPr>
        <w:footnoteRef/>
      </w:r>
      <w:r>
        <w:t xml:space="preserve"> </w:t>
      </w:r>
      <w:r w:rsidR="003B29B8">
        <w:t>Ibid.</w:t>
      </w:r>
    </w:p>
  </w:footnote>
  <w:footnote w:id="7">
    <w:p w14:paraId="7BF64D5E" w14:textId="61FC6B78" w:rsidR="005B59A1" w:rsidRPr="003D148E" w:rsidRDefault="005B59A1" w:rsidP="0095401D">
      <w:pPr>
        <w:pStyle w:val="OBEFootnote"/>
        <w:contextualSpacing/>
        <w:rPr>
          <w:lang w:val="en-US"/>
        </w:rPr>
      </w:pPr>
      <w:r>
        <w:rPr>
          <w:rStyle w:val="FootnoteReference"/>
        </w:rPr>
        <w:footnoteRef/>
      </w:r>
      <w:r>
        <w:t xml:space="preserve"> </w:t>
      </w:r>
      <w:r w:rsidR="003D148E" w:rsidRPr="003D148E">
        <w:rPr>
          <w:lang w:val="en-US"/>
        </w:rPr>
        <w:t xml:space="preserve">Paul S. </w:t>
      </w:r>
      <w:r w:rsidR="003D148E">
        <w:rPr>
          <w:lang w:val="en-US"/>
        </w:rPr>
        <w:t>Jeon</w:t>
      </w:r>
      <w:r w:rsidR="003D148E" w:rsidRPr="003D148E">
        <w:rPr>
          <w:lang w:val="en-US"/>
        </w:rPr>
        <w:t xml:space="preserve">, </w:t>
      </w:r>
      <w:r w:rsidR="003D148E" w:rsidRPr="003D148E">
        <w:rPr>
          <w:i/>
          <w:lang w:val="en-US"/>
        </w:rPr>
        <w:t>Collectivism and/or Christianity: An Exegetical Study of Acts 2:24-47 and 4:32-5:11</w:t>
      </w:r>
      <w:r w:rsidR="003D148E" w:rsidRPr="003D148E">
        <w:rPr>
          <w:lang w:val="en-US"/>
        </w:rPr>
        <w:t xml:space="preserve"> (2013), </w:t>
      </w:r>
      <w:r w:rsidR="003D148E" w:rsidRPr="003D148E">
        <w:rPr>
          <w:i/>
          <w:lang w:val="en-US"/>
        </w:rPr>
        <w:t>Institute for Faith, Work &amp; Economics</w:t>
      </w:r>
      <w:r w:rsidR="003D148E" w:rsidRPr="003D148E">
        <w:rPr>
          <w:lang w:val="en-US"/>
        </w:rPr>
        <w:t xml:space="preserve"> &lt;</w:t>
      </w:r>
      <w:hyperlink r:id="rId1" w:history="1">
        <w:r w:rsidR="003D148E" w:rsidRPr="003D148E">
          <w:rPr>
            <w:rStyle w:val="Hyperlink"/>
            <w:lang w:val="en-US"/>
          </w:rPr>
          <w:t>https://tifwe.org/wp-content/uploads/2013/02/Collectivism-and-or-Christianity-Acts-2-5-Jeon.pdf</w:t>
        </w:r>
      </w:hyperlink>
      <w:r w:rsidR="003D148E" w:rsidRPr="003D148E">
        <w:rPr>
          <w:lang w:val="en-US"/>
        </w:rPr>
        <w:t xml:space="preserve">&gt;[accessed 10 October 2023]. </w:t>
      </w:r>
      <w:r>
        <w:t xml:space="preserve"> </w:t>
      </w:r>
    </w:p>
  </w:footnote>
  <w:footnote w:id="8">
    <w:p w14:paraId="443C02BB" w14:textId="61B0A84E" w:rsidR="005B59A1" w:rsidRPr="003D148E" w:rsidRDefault="005B59A1" w:rsidP="0095401D">
      <w:pPr>
        <w:pStyle w:val="OBEFootnote"/>
        <w:contextualSpacing/>
        <w:rPr>
          <w:iCs/>
          <w:lang w:val="en-US"/>
        </w:rPr>
      </w:pPr>
      <w:r>
        <w:rPr>
          <w:rStyle w:val="FootnoteReference"/>
        </w:rPr>
        <w:footnoteRef/>
      </w:r>
      <w:r>
        <w:t xml:space="preserve"> </w:t>
      </w:r>
      <w:r w:rsidR="003D148E" w:rsidRPr="003D148E">
        <w:rPr>
          <w:iCs/>
          <w:lang w:val="en-US"/>
        </w:rPr>
        <w:t>Bruce E.</w:t>
      </w:r>
      <w:r w:rsidR="003D148E">
        <w:rPr>
          <w:iCs/>
          <w:lang w:val="en-US"/>
        </w:rPr>
        <w:t xml:space="preserve"> Watley</w:t>
      </w:r>
      <w:r w:rsidR="003D148E" w:rsidRPr="003D148E">
        <w:rPr>
          <w:iCs/>
          <w:lang w:val="en-US"/>
        </w:rPr>
        <w:t xml:space="preserve">, ‘Divine Empowerment: An Intertextual Analysis of Acts 2’, </w:t>
      </w:r>
      <w:r w:rsidR="003D148E" w:rsidRPr="003D148E">
        <w:rPr>
          <w:i/>
          <w:iCs/>
          <w:lang w:val="en-US"/>
        </w:rPr>
        <w:t>Emerging Leadership Journeys</w:t>
      </w:r>
      <w:r w:rsidR="003D148E" w:rsidRPr="003D148E">
        <w:rPr>
          <w:iCs/>
          <w:lang w:val="en-US"/>
        </w:rPr>
        <w:t xml:space="preserve">, 5.1 (2012), </w:t>
      </w:r>
      <w:r w:rsidR="003D148E">
        <w:rPr>
          <w:iCs/>
          <w:lang w:val="en-US"/>
        </w:rPr>
        <w:t>67-81 (</w:t>
      </w:r>
      <w:r w:rsidR="003B29B8">
        <w:rPr>
          <w:iCs/>
          <w:lang w:val="en-US"/>
        </w:rPr>
        <w:t>77</w:t>
      </w:r>
      <w:r w:rsidR="003D148E">
        <w:rPr>
          <w:iCs/>
          <w:lang w:val="en-US"/>
        </w:rPr>
        <w:t>)</w:t>
      </w:r>
      <w:r w:rsidR="0095401D">
        <w:rPr>
          <w:iCs/>
          <w:lang w:val="en-US"/>
        </w:rPr>
        <w:t>.</w:t>
      </w:r>
    </w:p>
  </w:footnote>
  <w:footnote w:id="9">
    <w:p w14:paraId="125C1115" w14:textId="5135ACA0" w:rsidR="005B59A1" w:rsidRDefault="005B59A1" w:rsidP="0095401D">
      <w:pPr>
        <w:pStyle w:val="OBEFootnote"/>
        <w:contextualSpacing/>
      </w:pPr>
      <w:r>
        <w:rPr>
          <w:rStyle w:val="FootnoteReference"/>
        </w:rPr>
        <w:footnoteRef/>
      </w:r>
      <w:r>
        <w:t xml:space="preserve"> </w:t>
      </w:r>
      <w:r w:rsidR="003B29B8">
        <w:t>Celarc, p.154</w:t>
      </w:r>
      <w:r w:rsidR="0095401D">
        <w:t>.</w:t>
      </w:r>
    </w:p>
  </w:footnote>
  <w:footnote w:id="10">
    <w:p w14:paraId="35A35766" w14:textId="47E0DF57" w:rsidR="005B59A1" w:rsidRDefault="005B59A1" w:rsidP="0095401D">
      <w:pPr>
        <w:pStyle w:val="OBEFootnote"/>
        <w:contextualSpacing/>
      </w:pPr>
      <w:r>
        <w:rPr>
          <w:rStyle w:val="FootnoteReference"/>
        </w:rPr>
        <w:footnoteRef/>
      </w:r>
      <w:r>
        <w:t xml:space="preserve"> </w:t>
      </w:r>
      <w:r w:rsidR="003B29B8">
        <w:t>Jeon, p.2.</w:t>
      </w:r>
    </w:p>
  </w:footnote>
  <w:footnote w:id="11">
    <w:p w14:paraId="3F52D625" w14:textId="1FE81AE8" w:rsidR="005B59A1" w:rsidRDefault="005B59A1" w:rsidP="0095401D">
      <w:pPr>
        <w:pStyle w:val="OBEFootnote"/>
        <w:contextualSpacing/>
      </w:pPr>
      <w:r>
        <w:rPr>
          <w:rStyle w:val="FootnoteReference"/>
        </w:rPr>
        <w:footnoteRef/>
      </w:r>
      <w:r>
        <w:t xml:space="preserve"> </w:t>
      </w:r>
      <w:r w:rsidR="003B29B8">
        <w:t>Celarc, p.154.</w:t>
      </w:r>
    </w:p>
  </w:footnote>
  <w:footnote w:id="12">
    <w:p w14:paraId="071D6D92" w14:textId="265D094E" w:rsidR="005B59A1" w:rsidRDefault="005B59A1" w:rsidP="0095401D">
      <w:pPr>
        <w:pStyle w:val="OBEFootnote"/>
        <w:contextualSpacing/>
      </w:pPr>
      <w:r>
        <w:rPr>
          <w:rStyle w:val="FootnoteReference"/>
        </w:rPr>
        <w:footnoteRef/>
      </w:r>
      <w:r>
        <w:t xml:space="preserve"> Embudo</w:t>
      </w:r>
      <w:r w:rsidR="003B29B8">
        <w:t>, p.20.</w:t>
      </w:r>
    </w:p>
  </w:footnote>
  <w:footnote w:id="13">
    <w:p w14:paraId="3CDA96E3" w14:textId="5C0341C1" w:rsidR="005B59A1" w:rsidRDefault="005B59A1" w:rsidP="0095401D">
      <w:pPr>
        <w:pStyle w:val="OBEFootnote"/>
        <w:contextualSpacing/>
      </w:pPr>
      <w:r>
        <w:rPr>
          <w:rStyle w:val="FootnoteReference"/>
        </w:rPr>
        <w:footnoteRef/>
      </w:r>
      <w:r>
        <w:t xml:space="preserve"> </w:t>
      </w:r>
      <w:r w:rsidR="003B29B8">
        <w:t>Jeon</w:t>
      </w:r>
      <w:r>
        <w:t>, p.2.</w:t>
      </w:r>
    </w:p>
  </w:footnote>
  <w:footnote w:id="14">
    <w:p w14:paraId="25C8C3B4" w14:textId="132C4C5F" w:rsidR="008D2FEA" w:rsidRDefault="008D2FEA" w:rsidP="0095401D">
      <w:pPr>
        <w:pStyle w:val="OBEFootnote"/>
        <w:contextualSpacing/>
      </w:pPr>
      <w:r>
        <w:rPr>
          <w:rStyle w:val="FootnoteReference"/>
        </w:rPr>
        <w:footnoteRef/>
      </w:r>
      <w:r>
        <w:t xml:space="preserve"> </w:t>
      </w:r>
      <w:r w:rsidR="003B29B8">
        <w:rPr>
          <w:iCs/>
        </w:rPr>
        <w:t>Embudo, p.22</w:t>
      </w:r>
      <w:r w:rsidR="0095401D">
        <w:rPr>
          <w:iCs/>
        </w:rPr>
        <w:t>.</w:t>
      </w:r>
    </w:p>
  </w:footnote>
  <w:footnote w:id="15">
    <w:p w14:paraId="3CB941F4" w14:textId="46ED6051" w:rsidR="008D2FEA" w:rsidRDefault="008D2FEA" w:rsidP="0095401D">
      <w:pPr>
        <w:pStyle w:val="OBEFootnote"/>
        <w:contextualSpacing/>
      </w:pPr>
      <w:r>
        <w:rPr>
          <w:rStyle w:val="FootnoteReference"/>
        </w:rPr>
        <w:footnoteRef/>
      </w:r>
      <w:r>
        <w:t xml:space="preserve"> </w:t>
      </w:r>
      <w:r w:rsidR="003B29B8">
        <w:t>Ibid.</w:t>
      </w:r>
    </w:p>
  </w:footnote>
  <w:footnote w:id="16">
    <w:p w14:paraId="1094B778" w14:textId="3B43B0FE" w:rsidR="008D2FEA" w:rsidRDefault="008D2FEA" w:rsidP="0095401D">
      <w:pPr>
        <w:pStyle w:val="OBEFootnote"/>
        <w:contextualSpacing/>
      </w:pPr>
      <w:r>
        <w:rPr>
          <w:rStyle w:val="FootnoteReference"/>
        </w:rPr>
        <w:footnoteRef/>
      </w:r>
      <w:r>
        <w:t xml:space="preserve"> Jeon, </w:t>
      </w:r>
      <w:r w:rsidR="003B29B8">
        <w:t>p.4</w:t>
      </w:r>
      <w:r>
        <w:t xml:space="preserve">. </w:t>
      </w:r>
    </w:p>
  </w:footnote>
  <w:footnote w:id="17">
    <w:p w14:paraId="0FD9B4F6" w14:textId="5CCE974B" w:rsidR="008D2FEA" w:rsidRDefault="008D2FEA" w:rsidP="0095401D">
      <w:pPr>
        <w:pStyle w:val="OBEFootnote"/>
        <w:contextualSpacing/>
      </w:pPr>
      <w:r>
        <w:rPr>
          <w:rStyle w:val="FootnoteReference"/>
        </w:rPr>
        <w:footnoteRef/>
      </w:r>
      <w:r>
        <w:t xml:space="preserve"> Celarc, </w:t>
      </w:r>
      <w:r w:rsidR="003B29B8">
        <w:t>p.150</w:t>
      </w:r>
      <w:r>
        <w:t>.</w:t>
      </w:r>
    </w:p>
  </w:footnote>
  <w:footnote w:id="18">
    <w:p w14:paraId="1B862BE6" w14:textId="12600DE0" w:rsidR="008D2FEA" w:rsidRDefault="008D2FEA" w:rsidP="0095401D">
      <w:pPr>
        <w:pStyle w:val="OBEFootnote"/>
        <w:contextualSpacing/>
      </w:pPr>
      <w:r>
        <w:rPr>
          <w:rStyle w:val="FootnoteReference"/>
        </w:rPr>
        <w:footnoteRef/>
      </w:r>
      <w:r>
        <w:t xml:space="preserve"> Ibid</w:t>
      </w:r>
      <w:r w:rsidR="003B29B8">
        <w:t>, p.151.</w:t>
      </w:r>
    </w:p>
  </w:footnote>
  <w:footnote w:id="19">
    <w:p w14:paraId="6134775F" w14:textId="3BDA5045" w:rsidR="008D2FEA" w:rsidRDefault="008D2FEA" w:rsidP="0095401D">
      <w:pPr>
        <w:pStyle w:val="OBEFootnote"/>
        <w:contextualSpacing/>
      </w:pPr>
      <w:r>
        <w:rPr>
          <w:rStyle w:val="FootnoteReference"/>
        </w:rPr>
        <w:footnoteRef/>
      </w:r>
      <w:r>
        <w:t xml:space="preserve"> Embudo, </w:t>
      </w:r>
      <w:r w:rsidR="003B29B8">
        <w:t>pp.27-28</w:t>
      </w:r>
      <w:r>
        <w:t>.</w:t>
      </w:r>
    </w:p>
  </w:footnote>
  <w:footnote w:id="20">
    <w:p w14:paraId="6F776CB4" w14:textId="5DE518A6" w:rsidR="008D2FEA" w:rsidRPr="003D148E" w:rsidRDefault="008D2FEA" w:rsidP="0095401D">
      <w:pPr>
        <w:pStyle w:val="OBEFootnote"/>
        <w:contextualSpacing/>
        <w:rPr>
          <w:lang w:val="en-US"/>
        </w:rPr>
      </w:pPr>
      <w:r>
        <w:rPr>
          <w:rStyle w:val="FootnoteReference"/>
        </w:rPr>
        <w:footnoteRef/>
      </w:r>
      <w:r>
        <w:t xml:space="preserve"> </w:t>
      </w:r>
      <w:r w:rsidR="003D148E">
        <w:t>A</w:t>
      </w:r>
      <w:r w:rsidRPr="00002478">
        <w:t>s dis</w:t>
      </w:r>
      <w:r>
        <w:t xml:space="preserve">cussed in </w:t>
      </w:r>
      <w:r w:rsidR="003D148E" w:rsidRPr="003D148E">
        <w:rPr>
          <w:lang w:val="en-US"/>
        </w:rPr>
        <w:t xml:space="preserve">Fenggang </w:t>
      </w:r>
      <w:r w:rsidR="003D148E">
        <w:rPr>
          <w:lang w:val="en-US"/>
        </w:rPr>
        <w:t xml:space="preserve">Yang </w:t>
      </w:r>
      <w:r w:rsidR="003D148E" w:rsidRPr="003D148E">
        <w:rPr>
          <w:lang w:val="en-US"/>
        </w:rPr>
        <w:t>and Andrew</w:t>
      </w:r>
      <w:r w:rsidR="003D148E">
        <w:rPr>
          <w:lang w:val="en-US"/>
        </w:rPr>
        <w:t xml:space="preserve"> Abel</w:t>
      </w:r>
      <w:r w:rsidR="003D148E" w:rsidRPr="003D148E">
        <w:rPr>
          <w:lang w:val="en-US"/>
        </w:rPr>
        <w:t xml:space="preserve">, ‘Sociology of Religious Conversion’, in </w:t>
      </w:r>
      <w:r w:rsidR="003D148E" w:rsidRPr="003D148E">
        <w:rPr>
          <w:i/>
          <w:iCs/>
          <w:lang w:val="en-US"/>
        </w:rPr>
        <w:t xml:space="preserve">The Oxford Handbook of Religious Conversion, </w:t>
      </w:r>
      <w:r w:rsidR="003D148E" w:rsidRPr="003D148E">
        <w:rPr>
          <w:iCs/>
          <w:lang w:val="en-US"/>
        </w:rPr>
        <w:t>ed. by</w:t>
      </w:r>
      <w:r w:rsidR="003D148E" w:rsidRPr="003D148E">
        <w:rPr>
          <w:lang w:val="en-US"/>
        </w:rPr>
        <w:t xml:space="preserve"> Lewis R. Rambo and Charles E. Farhadian </w:t>
      </w:r>
      <w:r w:rsidR="003D148E" w:rsidRPr="003D148E">
        <w:rPr>
          <w:iCs/>
          <w:lang w:val="en-US"/>
        </w:rPr>
        <w:t>(</w:t>
      </w:r>
      <w:r w:rsidR="003D148E" w:rsidRPr="003D148E">
        <w:rPr>
          <w:lang w:val="en-US"/>
        </w:rPr>
        <w:t>Oxford: Oxford University Press, 2014), pp.140</w:t>
      </w:r>
      <w:r w:rsidR="003D148E">
        <w:rPr>
          <w:lang w:val="en-US"/>
        </w:rPr>
        <w:t>-164 (</w:t>
      </w:r>
      <w:r w:rsidR="003B29B8">
        <w:rPr>
          <w:lang w:val="en-US"/>
        </w:rPr>
        <w:t>142,144</w:t>
      </w:r>
      <w:r w:rsidR="00662245">
        <w:rPr>
          <w:lang w:val="en-US"/>
        </w:rPr>
        <w:t>), cited in Embudo, p.27.</w:t>
      </w:r>
    </w:p>
  </w:footnote>
  <w:footnote w:id="21">
    <w:p w14:paraId="47E0DDDF" w14:textId="257A8E9D" w:rsidR="008D2FEA" w:rsidRDefault="008D2FEA" w:rsidP="0095401D">
      <w:pPr>
        <w:pStyle w:val="OBEFootnote"/>
        <w:contextualSpacing/>
      </w:pPr>
      <w:r>
        <w:rPr>
          <w:rStyle w:val="FootnoteReference"/>
        </w:rPr>
        <w:footnoteRef/>
      </w:r>
      <w:r>
        <w:t xml:space="preserve"> Jeon, 2013, p.2</w:t>
      </w:r>
      <w:r w:rsidR="0095401D">
        <w:t>.</w:t>
      </w:r>
    </w:p>
  </w:footnote>
  <w:footnote w:id="22">
    <w:p w14:paraId="6BC421D9" w14:textId="69BDD60E" w:rsidR="008D2FEA" w:rsidRPr="003D148E" w:rsidRDefault="008D2FEA" w:rsidP="0095401D">
      <w:pPr>
        <w:pStyle w:val="OBEFootnote"/>
        <w:contextualSpacing/>
        <w:rPr>
          <w:lang w:val="en-US"/>
        </w:rPr>
      </w:pPr>
      <w:r>
        <w:rPr>
          <w:rStyle w:val="FootnoteReference"/>
        </w:rPr>
        <w:footnoteRef/>
      </w:r>
      <w:r w:rsidR="003D148E" w:rsidRPr="003D148E">
        <w:rPr>
          <w:lang w:val="en-US"/>
        </w:rPr>
        <w:t xml:space="preserve"> </w:t>
      </w:r>
      <w:r w:rsidR="003D148E">
        <w:rPr>
          <w:lang w:val="en-US"/>
        </w:rPr>
        <w:t>Hombana</w:t>
      </w:r>
      <w:r w:rsidR="0095401D">
        <w:rPr>
          <w:lang w:val="en-US"/>
        </w:rPr>
        <w:t>.</w:t>
      </w:r>
    </w:p>
  </w:footnote>
  <w:footnote w:id="23">
    <w:p w14:paraId="69C3BBE8" w14:textId="504EB2DE" w:rsidR="008D2FEA" w:rsidRDefault="008D2FEA" w:rsidP="0095401D">
      <w:pPr>
        <w:pStyle w:val="OBEFootnote"/>
        <w:contextualSpacing/>
      </w:pPr>
      <w:r>
        <w:rPr>
          <w:rStyle w:val="FootnoteReference"/>
        </w:rPr>
        <w:footnoteRef/>
      </w:r>
      <w:r>
        <w:t xml:space="preserve"> </w:t>
      </w:r>
      <w:r w:rsidR="003B29B8">
        <w:t xml:space="preserve">A. </w:t>
      </w:r>
      <w:r w:rsidR="003B29B8">
        <w:rPr>
          <w:lang w:val="en-US"/>
        </w:rPr>
        <w:t>Friedl</w:t>
      </w:r>
      <w:r w:rsidR="003B29B8" w:rsidRPr="003D148E">
        <w:rPr>
          <w:lang w:val="en-US"/>
        </w:rPr>
        <w:t xml:space="preserve">, ‘The Reception of the Deuteronomic Social Law in the Primitive Church of Jerusalem According to the Book of Acts’, </w:t>
      </w:r>
      <w:r w:rsidR="003B29B8" w:rsidRPr="003D148E">
        <w:rPr>
          <w:i/>
          <w:lang w:val="en-US"/>
        </w:rPr>
        <w:t>Acta Theologica</w:t>
      </w:r>
      <w:r w:rsidR="003B29B8" w:rsidRPr="003D148E">
        <w:rPr>
          <w:lang w:val="en-US"/>
        </w:rPr>
        <w:t xml:space="preserve">, 23 (2016), </w:t>
      </w:r>
      <w:r w:rsidR="003B29B8">
        <w:rPr>
          <w:lang w:val="en-US"/>
        </w:rPr>
        <w:t>176-200 (</w:t>
      </w:r>
      <w:r w:rsidR="00662245">
        <w:rPr>
          <w:lang w:val="en-US"/>
        </w:rPr>
        <w:t>185</w:t>
      </w:r>
      <w:r w:rsidR="003B29B8">
        <w:rPr>
          <w:lang w:val="en-US"/>
        </w:rPr>
        <w:t>).</w:t>
      </w:r>
    </w:p>
  </w:footnote>
  <w:footnote w:id="24">
    <w:p w14:paraId="51666D2A" w14:textId="0BA0831A" w:rsidR="008D2FEA" w:rsidRPr="003D148E" w:rsidRDefault="008D2FEA" w:rsidP="0095401D">
      <w:pPr>
        <w:pStyle w:val="OBEFootnote"/>
        <w:contextualSpacing/>
        <w:rPr>
          <w:iCs/>
          <w:lang w:val="en-US"/>
        </w:rPr>
      </w:pPr>
      <w:r>
        <w:rPr>
          <w:rStyle w:val="FootnoteReference"/>
        </w:rPr>
        <w:footnoteRef/>
      </w:r>
      <w:r>
        <w:t xml:space="preserve"> </w:t>
      </w:r>
      <w:r w:rsidR="003D148E" w:rsidRPr="003D148E">
        <w:rPr>
          <w:iCs/>
          <w:lang w:val="en-US"/>
        </w:rPr>
        <w:t>Wayne R.</w:t>
      </w:r>
      <w:r w:rsidR="003D148E">
        <w:rPr>
          <w:iCs/>
          <w:lang w:val="en-US"/>
        </w:rPr>
        <w:t xml:space="preserve"> Sass</w:t>
      </w:r>
      <w:r w:rsidR="003D148E" w:rsidRPr="003D148E">
        <w:rPr>
          <w:iCs/>
          <w:lang w:val="en-US"/>
        </w:rPr>
        <w:t xml:space="preserve">, ‘Acts 2: An Example of the Divine Empowerment of Leaders’, </w:t>
      </w:r>
      <w:r w:rsidR="003D148E" w:rsidRPr="003D148E">
        <w:rPr>
          <w:i/>
          <w:iCs/>
          <w:lang w:val="en-US"/>
        </w:rPr>
        <w:t>Emerging Leadership Journeys</w:t>
      </w:r>
      <w:r w:rsidR="003D148E" w:rsidRPr="003D148E">
        <w:rPr>
          <w:iCs/>
          <w:lang w:val="en-US"/>
        </w:rPr>
        <w:t>, 5.1 (2012), 36-56</w:t>
      </w:r>
      <w:r w:rsidR="003D148E">
        <w:rPr>
          <w:iCs/>
          <w:lang w:val="en-US"/>
        </w:rPr>
        <w:t xml:space="preserve"> (</w:t>
      </w:r>
      <w:r w:rsidR="00662245">
        <w:rPr>
          <w:iCs/>
          <w:lang w:val="en-US"/>
        </w:rPr>
        <w:t>46</w:t>
      </w:r>
      <w:r w:rsidR="003D148E">
        <w:rPr>
          <w:iCs/>
          <w:lang w:val="en-US"/>
        </w:rPr>
        <w:t>)</w:t>
      </w:r>
      <w:r>
        <w:t>.</w:t>
      </w:r>
    </w:p>
  </w:footnote>
  <w:footnote w:id="25">
    <w:p w14:paraId="6B913D52" w14:textId="4802CF9A" w:rsidR="008D2FEA" w:rsidRDefault="008D2FEA" w:rsidP="0095401D">
      <w:pPr>
        <w:pStyle w:val="OBEFootnote"/>
        <w:contextualSpacing/>
      </w:pPr>
      <w:r>
        <w:rPr>
          <w:rStyle w:val="FootnoteReference"/>
        </w:rPr>
        <w:footnoteRef/>
      </w:r>
      <w:r>
        <w:t xml:space="preserve"> </w:t>
      </w:r>
      <w:r w:rsidR="00662245">
        <w:t>Hombana</w:t>
      </w:r>
      <w:r>
        <w:t>.</w:t>
      </w:r>
    </w:p>
  </w:footnote>
  <w:footnote w:id="26">
    <w:p w14:paraId="232F3E6A" w14:textId="5CC655A9" w:rsidR="008D2FEA" w:rsidRDefault="008D2FEA" w:rsidP="0095401D">
      <w:pPr>
        <w:pStyle w:val="OBEFootnote"/>
        <w:contextualSpacing/>
      </w:pPr>
      <w:r>
        <w:rPr>
          <w:rStyle w:val="FootnoteReference"/>
        </w:rPr>
        <w:footnoteRef/>
      </w:r>
      <w:r>
        <w:t xml:space="preserve"> Celarc, </w:t>
      </w:r>
      <w:r w:rsidR="00662245">
        <w:t>p.147</w:t>
      </w:r>
      <w:r>
        <w:t>.</w:t>
      </w:r>
    </w:p>
  </w:footnote>
  <w:footnote w:id="27">
    <w:p w14:paraId="73C9BB60" w14:textId="32E48DA7" w:rsidR="008D2FEA" w:rsidRPr="003D148E" w:rsidRDefault="008D2FEA" w:rsidP="0095401D">
      <w:pPr>
        <w:pStyle w:val="OBEFootnote"/>
        <w:contextualSpacing/>
        <w:rPr>
          <w:lang w:val="en-US"/>
        </w:rPr>
      </w:pPr>
      <w:r>
        <w:rPr>
          <w:rStyle w:val="FootnoteReference"/>
        </w:rPr>
        <w:footnoteRef/>
      </w:r>
      <w:r>
        <w:t xml:space="preserve"> </w:t>
      </w:r>
      <w:r w:rsidR="003D148E" w:rsidRPr="003D148E">
        <w:rPr>
          <w:lang w:val="en-US"/>
        </w:rPr>
        <w:t xml:space="preserve">Perschbacher, W.J., </w:t>
      </w:r>
      <w:r w:rsidR="003D148E" w:rsidRPr="003D148E">
        <w:rPr>
          <w:i/>
          <w:iCs/>
          <w:lang w:val="en-US"/>
        </w:rPr>
        <w:t>New Testament Greek syntax: An illustrated manual</w:t>
      </w:r>
      <w:r w:rsidR="003D148E" w:rsidRPr="003D148E">
        <w:rPr>
          <w:lang w:val="en-US"/>
        </w:rPr>
        <w:t>, English, Ancient Greek and Ancient Greek Edition (Chicago: Moody Publisher, 1995)</w:t>
      </w:r>
      <w:r w:rsidR="00662245">
        <w:rPr>
          <w:lang w:val="en-US"/>
        </w:rPr>
        <w:t>, p.249</w:t>
      </w:r>
      <w:r>
        <w:t>, cited in Hombana.</w:t>
      </w:r>
    </w:p>
  </w:footnote>
  <w:footnote w:id="28">
    <w:p w14:paraId="0B6BA112" w14:textId="58C09BA9" w:rsidR="008D2FEA" w:rsidRDefault="008D2FEA" w:rsidP="0095401D">
      <w:pPr>
        <w:pStyle w:val="OBEFootnote"/>
        <w:contextualSpacing/>
      </w:pPr>
      <w:r>
        <w:rPr>
          <w:rStyle w:val="FootnoteReference"/>
        </w:rPr>
        <w:footnoteRef/>
      </w:r>
      <w:r>
        <w:t xml:space="preserve"> </w:t>
      </w:r>
      <w:r w:rsidR="00662245">
        <w:t>Embudo, p.20.</w:t>
      </w:r>
    </w:p>
  </w:footnote>
  <w:footnote w:id="29">
    <w:p w14:paraId="05D42B29" w14:textId="74F80DE2" w:rsidR="008D2FEA" w:rsidRPr="003D148E" w:rsidRDefault="008D2FEA" w:rsidP="0095401D">
      <w:pPr>
        <w:pStyle w:val="OBEFootnote"/>
        <w:contextualSpacing/>
        <w:rPr>
          <w:lang w:val="en-US"/>
        </w:rPr>
      </w:pPr>
      <w:r w:rsidRPr="00662245">
        <w:rPr>
          <w:rStyle w:val="FootnoteReference"/>
        </w:rPr>
        <w:footnoteRef/>
      </w:r>
      <w:r w:rsidR="003D148E" w:rsidRPr="00662245">
        <w:rPr>
          <w:lang w:val="en-US"/>
        </w:rPr>
        <w:t xml:space="preserve"> D.L. Bock, </w:t>
      </w:r>
      <w:r w:rsidR="003D148E" w:rsidRPr="00662245">
        <w:rPr>
          <w:i/>
          <w:iCs/>
          <w:lang w:val="en-US"/>
        </w:rPr>
        <w:t>Acts. Baker Exegetical Commentary on the New Testament</w:t>
      </w:r>
      <w:r w:rsidR="003D148E" w:rsidRPr="00662245">
        <w:rPr>
          <w:lang w:val="en-US"/>
        </w:rPr>
        <w:t xml:space="preserve"> (Grand Rapids Baker Academic: Baker Publishing, 2007), p.</w:t>
      </w:r>
      <w:r w:rsidR="00662245" w:rsidRPr="00662245">
        <w:rPr>
          <w:lang w:val="en-US"/>
        </w:rPr>
        <w:t>152, cited in Hombana</w:t>
      </w:r>
      <w:r w:rsidR="00662245">
        <w:rPr>
          <w:lang w:val="en-US"/>
        </w:rPr>
        <w:t>.</w:t>
      </w:r>
    </w:p>
  </w:footnote>
  <w:footnote w:id="30">
    <w:p w14:paraId="41353ADC" w14:textId="454B156B" w:rsidR="008D2FEA" w:rsidRDefault="008D2FEA" w:rsidP="0095401D">
      <w:pPr>
        <w:pStyle w:val="OBEFootnote"/>
        <w:contextualSpacing/>
      </w:pPr>
      <w:r>
        <w:rPr>
          <w:rStyle w:val="FootnoteReference"/>
        </w:rPr>
        <w:footnoteRef/>
      </w:r>
      <w:r>
        <w:t xml:space="preserve"> Cf. Hombana.</w:t>
      </w:r>
    </w:p>
  </w:footnote>
  <w:footnote w:id="31">
    <w:p w14:paraId="4BFD2EB1" w14:textId="32C9B9B1" w:rsidR="008D2FEA" w:rsidRPr="00A84048" w:rsidRDefault="008D2FEA" w:rsidP="0095401D">
      <w:pPr>
        <w:pStyle w:val="OBEFootnote"/>
        <w:contextualSpacing/>
      </w:pPr>
      <w:r w:rsidRPr="00A84048">
        <w:rPr>
          <w:rStyle w:val="FootnoteReference"/>
        </w:rPr>
        <w:footnoteRef/>
      </w:r>
      <w:r w:rsidRPr="00A84048">
        <w:t xml:space="preserve"> </w:t>
      </w:r>
      <w:r w:rsidR="00662245" w:rsidRPr="00A84048">
        <w:t>C</w:t>
      </w:r>
      <w:r w:rsidRPr="00A84048">
        <w:t>f. Jeon</w:t>
      </w:r>
      <w:r w:rsidR="00662245" w:rsidRPr="00A84048">
        <w:t>, p.3</w:t>
      </w:r>
      <w:r w:rsidRPr="00A84048">
        <w:t>; Celarc</w:t>
      </w:r>
      <w:r w:rsidR="00662245" w:rsidRPr="00A84048">
        <w:t>, pp.154ff.</w:t>
      </w:r>
    </w:p>
  </w:footnote>
  <w:footnote w:id="32">
    <w:p w14:paraId="712A4D15" w14:textId="496D1759" w:rsidR="008D2FEA" w:rsidRPr="00A84048" w:rsidRDefault="008D2FEA" w:rsidP="0095401D">
      <w:pPr>
        <w:pStyle w:val="OBEFootnote"/>
        <w:contextualSpacing/>
        <w:rPr>
          <w:lang w:val="en-US"/>
        </w:rPr>
      </w:pPr>
      <w:r w:rsidRPr="00A84048">
        <w:rPr>
          <w:rStyle w:val="FootnoteReference"/>
        </w:rPr>
        <w:footnoteRef/>
      </w:r>
      <w:r w:rsidRPr="00A84048">
        <w:t xml:space="preserve"> </w:t>
      </w:r>
      <w:r w:rsidR="003B29B8" w:rsidRPr="00A84048">
        <w:t>Friedl</w:t>
      </w:r>
      <w:r w:rsidR="00C761F4" w:rsidRPr="00A84048">
        <w:t xml:space="preserve">, p.180; F. Uhlenbruch, </w:t>
      </w:r>
      <w:r w:rsidR="00C761F4" w:rsidRPr="00A84048">
        <w:rPr>
          <w:i/>
          <w:iCs/>
        </w:rPr>
        <w:t>The nowhere Bible. Utopia, dystopia, science fiction</w:t>
      </w:r>
      <w:r w:rsidR="00C761F4" w:rsidRPr="00A84048">
        <w:rPr>
          <w:iCs/>
        </w:rPr>
        <w:t xml:space="preserve"> (Berlin: De Gruyter, 2015), cited in Friedl, p.180.</w:t>
      </w:r>
    </w:p>
  </w:footnote>
  <w:footnote w:id="33">
    <w:p w14:paraId="5B4E7C9A" w14:textId="0AD76A09" w:rsidR="008D2FEA" w:rsidRPr="00A84048" w:rsidRDefault="008D2FEA" w:rsidP="0095401D">
      <w:pPr>
        <w:pStyle w:val="OBEFootnote"/>
        <w:contextualSpacing/>
      </w:pPr>
      <w:r w:rsidRPr="00A84048">
        <w:rPr>
          <w:rStyle w:val="FootnoteReference"/>
        </w:rPr>
        <w:footnoteRef/>
      </w:r>
      <w:r w:rsidRPr="00A84048">
        <w:t xml:space="preserve"> Friedl</w:t>
      </w:r>
      <w:r w:rsidR="00662245" w:rsidRPr="00A84048">
        <w:t>, p.181</w:t>
      </w:r>
      <w:r w:rsidRPr="00A84048">
        <w:t>.</w:t>
      </w:r>
    </w:p>
  </w:footnote>
  <w:footnote w:id="34">
    <w:p w14:paraId="7207BC2F" w14:textId="6B53D82C" w:rsidR="008D2FEA" w:rsidRDefault="008D2FEA" w:rsidP="0095401D">
      <w:pPr>
        <w:pStyle w:val="OBEFootnote"/>
        <w:contextualSpacing/>
      </w:pPr>
      <w:r w:rsidRPr="00A84048">
        <w:rPr>
          <w:rStyle w:val="FootnoteReference"/>
        </w:rPr>
        <w:footnoteRef/>
      </w:r>
      <w:r w:rsidRPr="00A84048">
        <w:t xml:space="preserve"> Ibid, p.182.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89DB4" w14:textId="77777777" w:rsidR="003027B9" w:rsidRDefault="003027B9" w:rsidP="003A4DAA">
    <w:pPr>
      <w:pStyle w:val="OBEHeaderinformation"/>
      <w:jc w:val="right"/>
      <w:rPr>
        <w:i/>
      </w:rPr>
    </w:pPr>
  </w:p>
  <w:p w14:paraId="69777122" w14:textId="5664F566" w:rsidR="003027B9" w:rsidRPr="003D2ACF" w:rsidRDefault="003027B9" w:rsidP="003D2ACF">
    <w:pPr>
      <w:pStyle w:val="OBEHeaderinformation"/>
      <w:jc w:val="right"/>
      <w:rPr>
        <w:b w:val="0"/>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B089C0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74CF306"/>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D4ACC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70A556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982FA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90CAB0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77EB29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F4201F12"/>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2F36AD1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8A4283F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E5E26FF"/>
    <w:multiLevelType w:val="multilevel"/>
    <w:tmpl w:val="9A0C2FC4"/>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32047800"/>
    <w:multiLevelType w:val="hybridMultilevel"/>
    <w:tmpl w:val="BFA46F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A8B2F0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D4377B1"/>
    <w:multiLevelType w:val="hybridMultilevel"/>
    <w:tmpl w:val="3AC04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1E2C33"/>
    <w:multiLevelType w:val="hybridMultilevel"/>
    <w:tmpl w:val="9F90E6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3287ACC"/>
    <w:multiLevelType w:val="hybridMultilevel"/>
    <w:tmpl w:val="AEA6C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6617066"/>
    <w:multiLevelType w:val="hybridMultilevel"/>
    <w:tmpl w:val="762294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D6F1C5F"/>
    <w:multiLevelType w:val="hybridMultilevel"/>
    <w:tmpl w:val="C93C81AC"/>
    <w:lvl w:ilvl="0" w:tplc="2EBE9FEC">
      <w:start w:val="6"/>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5BD2410"/>
    <w:multiLevelType w:val="hybridMultilevel"/>
    <w:tmpl w:val="EAE881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49081318">
    <w:abstractNumId w:val="14"/>
  </w:num>
  <w:num w:numId="2" w16cid:durableId="256907859">
    <w:abstractNumId w:val="12"/>
  </w:num>
  <w:num w:numId="3" w16cid:durableId="311255871">
    <w:abstractNumId w:val="18"/>
  </w:num>
  <w:num w:numId="4" w16cid:durableId="48581155">
    <w:abstractNumId w:val="13"/>
  </w:num>
  <w:num w:numId="5" w16cid:durableId="1209611752">
    <w:abstractNumId w:val="9"/>
  </w:num>
  <w:num w:numId="6" w16cid:durableId="925655650">
    <w:abstractNumId w:val="7"/>
  </w:num>
  <w:num w:numId="7" w16cid:durableId="118645121">
    <w:abstractNumId w:val="6"/>
  </w:num>
  <w:num w:numId="8" w16cid:durableId="867332883">
    <w:abstractNumId w:val="5"/>
  </w:num>
  <w:num w:numId="9" w16cid:durableId="819425407">
    <w:abstractNumId w:val="4"/>
  </w:num>
  <w:num w:numId="10" w16cid:durableId="1918249486">
    <w:abstractNumId w:val="8"/>
  </w:num>
  <w:num w:numId="11" w16cid:durableId="1174031118">
    <w:abstractNumId w:val="3"/>
  </w:num>
  <w:num w:numId="12" w16cid:durableId="134371466">
    <w:abstractNumId w:val="2"/>
  </w:num>
  <w:num w:numId="13" w16cid:durableId="461266494">
    <w:abstractNumId w:val="1"/>
  </w:num>
  <w:num w:numId="14" w16cid:durableId="1205214066">
    <w:abstractNumId w:val="0"/>
  </w:num>
  <w:num w:numId="15" w16cid:durableId="1344745143">
    <w:abstractNumId w:val="10"/>
  </w:num>
  <w:num w:numId="16" w16cid:durableId="240800857">
    <w:abstractNumId w:val="16"/>
  </w:num>
  <w:num w:numId="17" w16cid:durableId="1591500180">
    <w:abstractNumId w:val="11"/>
  </w:num>
  <w:num w:numId="18" w16cid:durableId="523791881">
    <w:abstractNumId w:val="15"/>
  </w:num>
  <w:num w:numId="19" w16cid:durableId="19254538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4"/>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LSwNDMzsjQytTAyMzVX0lEKTi0uzszPAykwqQUAXfR98CwAAAA="/>
  </w:docVars>
  <w:rsids>
    <w:rsidRoot w:val="007A7DCD"/>
    <w:rsid w:val="00002478"/>
    <w:rsid w:val="00026C88"/>
    <w:rsid w:val="0003121F"/>
    <w:rsid w:val="000619AB"/>
    <w:rsid w:val="000A4F9F"/>
    <w:rsid w:val="00120197"/>
    <w:rsid w:val="001567BB"/>
    <w:rsid w:val="0015744E"/>
    <w:rsid w:val="00160C1F"/>
    <w:rsid w:val="0016761D"/>
    <w:rsid w:val="00184A68"/>
    <w:rsid w:val="001949D5"/>
    <w:rsid w:val="00195C19"/>
    <w:rsid w:val="00197523"/>
    <w:rsid w:val="001B4207"/>
    <w:rsid w:val="001C3582"/>
    <w:rsid w:val="001D59FD"/>
    <w:rsid w:val="00215DF4"/>
    <w:rsid w:val="00233787"/>
    <w:rsid w:val="002C4DE3"/>
    <w:rsid w:val="002E6378"/>
    <w:rsid w:val="003027B9"/>
    <w:rsid w:val="0030661A"/>
    <w:rsid w:val="00315F0A"/>
    <w:rsid w:val="003445B7"/>
    <w:rsid w:val="0037057F"/>
    <w:rsid w:val="0038637C"/>
    <w:rsid w:val="0038721C"/>
    <w:rsid w:val="00393845"/>
    <w:rsid w:val="003A4DAA"/>
    <w:rsid w:val="003A700B"/>
    <w:rsid w:val="003B00C4"/>
    <w:rsid w:val="003B1DA6"/>
    <w:rsid w:val="003B29B8"/>
    <w:rsid w:val="003D148E"/>
    <w:rsid w:val="003D2ACF"/>
    <w:rsid w:val="003D4EE0"/>
    <w:rsid w:val="003F1DF3"/>
    <w:rsid w:val="0040231E"/>
    <w:rsid w:val="00411374"/>
    <w:rsid w:val="00416FD1"/>
    <w:rsid w:val="00435F09"/>
    <w:rsid w:val="00441A58"/>
    <w:rsid w:val="0046036D"/>
    <w:rsid w:val="00470244"/>
    <w:rsid w:val="004968DD"/>
    <w:rsid w:val="004B0792"/>
    <w:rsid w:val="004D2428"/>
    <w:rsid w:val="004D295D"/>
    <w:rsid w:val="004E4B18"/>
    <w:rsid w:val="00514A98"/>
    <w:rsid w:val="00516C16"/>
    <w:rsid w:val="00517BF2"/>
    <w:rsid w:val="0054723A"/>
    <w:rsid w:val="00547FF6"/>
    <w:rsid w:val="005A458B"/>
    <w:rsid w:val="005A7CFB"/>
    <w:rsid w:val="005B1732"/>
    <w:rsid w:val="005B59A1"/>
    <w:rsid w:val="00607599"/>
    <w:rsid w:val="00610F7B"/>
    <w:rsid w:val="0063285B"/>
    <w:rsid w:val="00633A97"/>
    <w:rsid w:val="00662245"/>
    <w:rsid w:val="00686EA3"/>
    <w:rsid w:val="006A598F"/>
    <w:rsid w:val="006B4BC3"/>
    <w:rsid w:val="006B5810"/>
    <w:rsid w:val="006C30CC"/>
    <w:rsid w:val="006D62B6"/>
    <w:rsid w:val="00740751"/>
    <w:rsid w:val="007547E8"/>
    <w:rsid w:val="007559F8"/>
    <w:rsid w:val="00785543"/>
    <w:rsid w:val="007A6F1F"/>
    <w:rsid w:val="007A7DCD"/>
    <w:rsid w:val="007E2008"/>
    <w:rsid w:val="007E454B"/>
    <w:rsid w:val="007E7311"/>
    <w:rsid w:val="007F37F9"/>
    <w:rsid w:val="00841429"/>
    <w:rsid w:val="00842087"/>
    <w:rsid w:val="00844F00"/>
    <w:rsid w:val="00860E8D"/>
    <w:rsid w:val="00862883"/>
    <w:rsid w:val="008C60A0"/>
    <w:rsid w:val="008D0AAE"/>
    <w:rsid w:val="008D2FEA"/>
    <w:rsid w:val="009154C1"/>
    <w:rsid w:val="00925823"/>
    <w:rsid w:val="00953D2C"/>
    <w:rsid w:val="0095401D"/>
    <w:rsid w:val="00963F43"/>
    <w:rsid w:val="009669DA"/>
    <w:rsid w:val="00974559"/>
    <w:rsid w:val="00987E01"/>
    <w:rsid w:val="009C6106"/>
    <w:rsid w:val="009D7538"/>
    <w:rsid w:val="009F660E"/>
    <w:rsid w:val="00A21C78"/>
    <w:rsid w:val="00A30FEA"/>
    <w:rsid w:val="00A612A8"/>
    <w:rsid w:val="00A7299F"/>
    <w:rsid w:val="00A76AC0"/>
    <w:rsid w:val="00A84048"/>
    <w:rsid w:val="00AF1B23"/>
    <w:rsid w:val="00B33547"/>
    <w:rsid w:val="00B40B39"/>
    <w:rsid w:val="00B424C4"/>
    <w:rsid w:val="00B473A2"/>
    <w:rsid w:val="00B62610"/>
    <w:rsid w:val="00B95BCF"/>
    <w:rsid w:val="00BC7715"/>
    <w:rsid w:val="00BD5584"/>
    <w:rsid w:val="00BF4EC3"/>
    <w:rsid w:val="00BF5B08"/>
    <w:rsid w:val="00C1468A"/>
    <w:rsid w:val="00C40127"/>
    <w:rsid w:val="00C60A51"/>
    <w:rsid w:val="00C61151"/>
    <w:rsid w:val="00C72A6F"/>
    <w:rsid w:val="00C761F4"/>
    <w:rsid w:val="00C87B4A"/>
    <w:rsid w:val="00C95299"/>
    <w:rsid w:val="00C974CA"/>
    <w:rsid w:val="00C97D27"/>
    <w:rsid w:val="00CB0FC8"/>
    <w:rsid w:val="00CB6F97"/>
    <w:rsid w:val="00CC112D"/>
    <w:rsid w:val="00CC2741"/>
    <w:rsid w:val="00CD1494"/>
    <w:rsid w:val="00CF49C7"/>
    <w:rsid w:val="00D3302A"/>
    <w:rsid w:val="00D56D8D"/>
    <w:rsid w:val="00D70775"/>
    <w:rsid w:val="00D867E8"/>
    <w:rsid w:val="00DE0F8C"/>
    <w:rsid w:val="00E214AA"/>
    <w:rsid w:val="00E639F1"/>
    <w:rsid w:val="00E91579"/>
    <w:rsid w:val="00EA049A"/>
    <w:rsid w:val="00EB0601"/>
    <w:rsid w:val="00F032F7"/>
    <w:rsid w:val="00F10FCB"/>
    <w:rsid w:val="00F23837"/>
    <w:rsid w:val="00F34B03"/>
    <w:rsid w:val="00F44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B4086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63F43"/>
    <w:pPr>
      <w:spacing w:after="0" w:line="240" w:lineRule="auto"/>
    </w:pPr>
    <w:rPr>
      <w:rFonts w:ascii="Times New Roman" w:hAnsi="Times New Roman" w:cs="Times New Roman"/>
      <w:sz w:val="24"/>
      <w:szCs w:val="24"/>
      <w:lang w:eastAsia="en-GB"/>
    </w:rPr>
  </w:style>
  <w:style w:type="paragraph" w:styleId="Heading1">
    <w:name w:val="heading 1"/>
    <w:basedOn w:val="Normal"/>
    <w:next w:val="Normal"/>
    <w:link w:val="Heading1Char"/>
    <w:uiPriority w:val="9"/>
    <w:rsid w:val="003A4DAA"/>
    <w:pPr>
      <w:keepNext/>
      <w:keepLines/>
      <w:spacing w:before="400" w:after="40"/>
      <w:outlineLvl w:val="0"/>
    </w:pPr>
    <w:rPr>
      <w:rFonts w:asciiTheme="majorHAnsi" w:eastAsiaTheme="majorEastAsia" w:hAnsiTheme="majorHAnsi" w:cstheme="majorBidi"/>
      <w:color w:val="1F3864" w:themeColor="accent1" w:themeShade="80"/>
      <w:sz w:val="36"/>
      <w:szCs w:val="36"/>
      <w:lang w:eastAsia="en-US"/>
    </w:rPr>
  </w:style>
  <w:style w:type="paragraph" w:styleId="Heading2">
    <w:name w:val="heading 2"/>
    <w:basedOn w:val="Normal"/>
    <w:next w:val="Normal"/>
    <w:link w:val="Heading2Char"/>
    <w:uiPriority w:val="9"/>
    <w:semiHidden/>
    <w:unhideWhenUsed/>
    <w:rsid w:val="003A4DAA"/>
    <w:pPr>
      <w:keepNext/>
      <w:keepLines/>
      <w:spacing w:before="40"/>
      <w:outlineLvl w:val="1"/>
    </w:pPr>
    <w:rPr>
      <w:rFonts w:asciiTheme="majorHAnsi" w:eastAsiaTheme="majorEastAsia" w:hAnsiTheme="majorHAnsi" w:cstheme="majorBidi"/>
      <w:color w:val="2F5496" w:themeColor="accent1" w:themeShade="BF"/>
      <w:sz w:val="32"/>
      <w:szCs w:val="32"/>
      <w:lang w:eastAsia="en-US"/>
    </w:rPr>
  </w:style>
  <w:style w:type="paragraph" w:styleId="Heading3">
    <w:name w:val="heading 3"/>
    <w:basedOn w:val="Normal"/>
    <w:next w:val="Normal"/>
    <w:link w:val="Heading3Char"/>
    <w:uiPriority w:val="9"/>
    <w:semiHidden/>
    <w:unhideWhenUsed/>
    <w:qFormat/>
    <w:rsid w:val="003A4DAA"/>
    <w:pPr>
      <w:keepNext/>
      <w:keepLines/>
      <w:spacing w:before="40"/>
      <w:outlineLvl w:val="2"/>
    </w:pPr>
    <w:rPr>
      <w:rFonts w:asciiTheme="majorHAnsi" w:eastAsiaTheme="majorEastAsia" w:hAnsiTheme="majorHAnsi" w:cstheme="majorBidi"/>
      <w:color w:val="2F5496" w:themeColor="accent1" w:themeShade="BF"/>
      <w:sz w:val="28"/>
      <w:szCs w:val="28"/>
      <w:lang w:eastAsia="en-US"/>
    </w:rPr>
  </w:style>
  <w:style w:type="paragraph" w:styleId="Heading4">
    <w:name w:val="heading 4"/>
    <w:basedOn w:val="Normal"/>
    <w:next w:val="Normal"/>
    <w:link w:val="Heading4Char"/>
    <w:uiPriority w:val="9"/>
    <w:semiHidden/>
    <w:unhideWhenUsed/>
    <w:qFormat/>
    <w:rsid w:val="003A4DAA"/>
    <w:pPr>
      <w:keepNext/>
      <w:keepLines/>
      <w:spacing w:before="40" w:line="259" w:lineRule="auto"/>
      <w:outlineLvl w:val="3"/>
    </w:pPr>
    <w:rPr>
      <w:rFonts w:asciiTheme="majorHAnsi" w:eastAsiaTheme="majorEastAsia" w:hAnsiTheme="majorHAnsi" w:cstheme="majorBidi"/>
      <w:color w:val="2F5496" w:themeColor="accent1" w:themeShade="BF"/>
      <w:lang w:eastAsia="en-US"/>
    </w:rPr>
  </w:style>
  <w:style w:type="paragraph" w:styleId="Heading5">
    <w:name w:val="heading 5"/>
    <w:basedOn w:val="Normal"/>
    <w:next w:val="Normal"/>
    <w:link w:val="Heading5Char"/>
    <w:uiPriority w:val="9"/>
    <w:semiHidden/>
    <w:unhideWhenUsed/>
    <w:qFormat/>
    <w:rsid w:val="003A4DAA"/>
    <w:pPr>
      <w:keepNext/>
      <w:keepLines/>
      <w:spacing w:before="40" w:line="259" w:lineRule="auto"/>
      <w:outlineLvl w:val="4"/>
    </w:pPr>
    <w:rPr>
      <w:rFonts w:asciiTheme="majorHAnsi" w:eastAsiaTheme="majorEastAsia" w:hAnsiTheme="majorHAnsi" w:cstheme="majorBidi"/>
      <w:caps/>
      <w:color w:val="2F5496" w:themeColor="accent1" w:themeShade="BF"/>
      <w:sz w:val="22"/>
      <w:szCs w:val="22"/>
      <w:lang w:eastAsia="en-US"/>
    </w:rPr>
  </w:style>
  <w:style w:type="paragraph" w:styleId="Heading6">
    <w:name w:val="heading 6"/>
    <w:basedOn w:val="Normal"/>
    <w:next w:val="Normal"/>
    <w:link w:val="Heading6Char"/>
    <w:uiPriority w:val="9"/>
    <w:semiHidden/>
    <w:unhideWhenUsed/>
    <w:qFormat/>
    <w:rsid w:val="003A4DAA"/>
    <w:pPr>
      <w:keepNext/>
      <w:keepLines/>
      <w:spacing w:before="40" w:line="259" w:lineRule="auto"/>
      <w:outlineLvl w:val="5"/>
    </w:pPr>
    <w:rPr>
      <w:rFonts w:asciiTheme="majorHAnsi" w:eastAsiaTheme="majorEastAsia" w:hAnsiTheme="majorHAnsi" w:cstheme="majorBidi"/>
      <w:i/>
      <w:iCs/>
      <w:caps/>
      <w:color w:val="1F3864" w:themeColor="accent1" w:themeShade="80"/>
      <w:sz w:val="22"/>
      <w:szCs w:val="22"/>
      <w:lang w:eastAsia="en-US"/>
    </w:rPr>
  </w:style>
  <w:style w:type="paragraph" w:styleId="Heading7">
    <w:name w:val="heading 7"/>
    <w:basedOn w:val="Normal"/>
    <w:next w:val="Normal"/>
    <w:link w:val="Heading7Char"/>
    <w:uiPriority w:val="9"/>
    <w:semiHidden/>
    <w:unhideWhenUsed/>
    <w:qFormat/>
    <w:rsid w:val="003A4DAA"/>
    <w:pPr>
      <w:keepNext/>
      <w:keepLines/>
      <w:spacing w:before="40" w:line="259" w:lineRule="auto"/>
      <w:outlineLvl w:val="6"/>
    </w:pPr>
    <w:rPr>
      <w:rFonts w:asciiTheme="majorHAnsi" w:eastAsiaTheme="majorEastAsia" w:hAnsiTheme="majorHAnsi" w:cstheme="majorBidi"/>
      <w:b/>
      <w:bCs/>
      <w:color w:val="1F3864" w:themeColor="accent1" w:themeShade="80"/>
      <w:sz w:val="22"/>
      <w:szCs w:val="22"/>
      <w:lang w:eastAsia="en-US"/>
    </w:rPr>
  </w:style>
  <w:style w:type="paragraph" w:styleId="Heading8">
    <w:name w:val="heading 8"/>
    <w:basedOn w:val="Normal"/>
    <w:next w:val="Normal"/>
    <w:link w:val="Heading8Char"/>
    <w:uiPriority w:val="9"/>
    <w:semiHidden/>
    <w:unhideWhenUsed/>
    <w:qFormat/>
    <w:rsid w:val="003A4DAA"/>
    <w:pPr>
      <w:keepNext/>
      <w:keepLines/>
      <w:spacing w:before="40" w:line="259" w:lineRule="auto"/>
      <w:outlineLvl w:val="7"/>
    </w:pPr>
    <w:rPr>
      <w:rFonts w:asciiTheme="majorHAnsi" w:eastAsiaTheme="majorEastAsia" w:hAnsiTheme="majorHAnsi" w:cstheme="majorBidi"/>
      <w:b/>
      <w:bCs/>
      <w:i/>
      <w:iCs/>
      <w:color w:val="1F3864" w:themeColor="accent1" w:themeShade="80"/>
      <w:sz w:val="22"/>
      <w:szCs w:val="22"/>
      <w:lang w:eastAsia="en-US"/>
    </w:rPr>
  </w:style>
  <w:style w:type="paragraph" w:styleId="Heading9">
    <w:name w:val="heading 9"/>
    <w:basedOn w:val="Normal"/>
    <w:next w:val="Normal"/>
    <w:link w:val="Heading9Char"/>
    <w:uiPriority w:val="9"/>
    <w:semiHidden/>
    <w:unhideWhenUsed/>
    <w:qFormat/>
    <w:rsid w:val="003A4DAA"/>
    <w:pPr>
      <w:keepNext/>
      <w:keepLines/>
      <w:spacing w:before="40" w:line="259" w:lineRule="auto"/>
      <w:outlineLvl w:val="8"/>
    </w:pPr>
    <w:rPr>
      <w:rFonts w:asciiTheme="majorHAnsi" w:eastAsiaTheme="majorEastAsia" w:hAnsiTheme="majorHAnsi" w:cstheme="majorBidi"/>
      <w:i/>
      <w:iCs/>
      <w:color w:val="1F3864" w:themeColor="accent1" w:themeShade="8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BEHeaderinformation">
    <w:name w:val="OBE Header information"/>
    <w:basedOn w:val="Normal"/>
    <w:link w:val="OBEHeaderinformationChar"/>
    <w:qFormat/>
    <w:rsid w:val="007A7DCD"/>
    <w:pPr>
      <w:spacing w:after="160" w:line="259" w:lineRule="auto"/>
      <w:jc w:val="center"/>
    </w:pPr>
    <w:rPr>
      <w:rFonts w:asciiTheme="minorHAnsi" w:hAnsiTheme="minorHAnsi" w:cstheme="minorBidi"/>
      <w:b/>
      <w:sz w:val="28"/>
      <w:szCs w:val="22"/>
      <w:lang w:eastAsia="en-US"/>
    </w:rPr>
  </w:style>
  <w:style w:type="paragraph" w:customStyle="1" w:styleId="OBEBody">
    <w:name w:val="OBE Body"/>
    <w:link w:val="OBEBodyChar"/>
    <w:qFormat/>
    <w:rsid w:val="00BF5B08"/>
    <w:pPr>
      <w:spacing w:after="180" w:line="360" w:lineRule="auto"/>
      <w:jc w:val="both"/>
    </w:pPr>
    <w:rPr>
      <w:sz w:val="24"/>
    </w:rPr>
  </w:style>
  <w:style w:type="character" w:customStyle="1" w:styleId="OBEHeaderinformationChar">
    <w:name w:val="OBE Header information Char"/>
    <w:basedOn w:val="DefaultParagraphFont"/>
    <w:link w:val="OBEHeaderinformation"/>
    <w:rsid w:val="007A7DCD"/>
    <w:rPr>
      <w:b/>
      <w:sz w:val="28"/>
    </w:rPr>
  </w:style>
  <w:style w:type="paragraph" w:customStyle="1" w:styleId="OBESubtitle1sttier">
    <w:name w:val="OBE Subtitle 1st tier"/>
    <w:link w:val="OBESubtitle1sttierChar"/>
    <w:qFormat/>
    <w:rsid w:val="00A7299F"/>
    <w:pPr>
      <w:outlineLvl w:val="0"/>
    </w:pPr>
    <w:rPr>
      <w:rFonts w:asciiTheme="majorHAnsi" w:hAnsiTheme="majorHAnsi" w:cstheme="majorHAnsi"/>
      <w:color w:val="323E4F" w:themeColor="text2" w:themeShade="BF"/>
      <w:sz w:val="36"/>
      <w:szCs w:val="36"/>
    </w:rPr>
  </w:style>
  <w:style w:type="character" w:customStyle="1" w:styleId="OBEBodyChar">
    <w:name w:val="OBE Body Char"/>
    <w:basedOn w:val="OBEHeaderinformationChar"/>
    <w:link w:val="OBEBody"/>
    <w:rsid w:val="00BF5B08"/>
    <w:rPr>
      <w:b w:val="0"/>
      <w:sz w:val="24"/>
    </w:rPr>
  </w:style>
  <w:style w:type="paragraph" w:styleId="Footer">
    <w:name w:val="footer"/>
    <w:basedOn w:val="Normal"/>
    <w:link w:val="FooterChar"/>
    <w:rsid w:val="007A7DCD"/>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rsid w:val="007A7DCD"/>
    <w:rPr>
      <w:rFonts w:ascii="Calibri" w:eastAsia="Arial Unicode MS" w:hAnsi="Calibri" w:cs="Arial Unicode MS"/>
      <w:color w:val="00000A"/>
      <w:kern w:val="2"/>
      <w:lang w:eastAsia="en-GB"/>
    </w:rPr>
  </w:style>
  <w:style w:type="paragraph" w:customStyle="1" w:styleId="OBEBibliography">
    <w:name w:val="OBE Bibliography"/>
    <w:basedOn w:val="OBEHeaderinformation"/>
    <w:qFormat/>
    <w:rsid w:val="007A7DCD"/>
    <w:pPr>
      <w:suppressAutoHyphens/>
      <w:spacing w:after="240" w:line="240" w:lineRule="auto"/>
      <w:jc w:val="both"/>
    </w:pPr>
    <w:rPr>
      <w:rFonts w:ascii="Calibri" w:eastAsia="Calibri" w:hAnsi="Calibri" w:cs="Times New Roman"/>
      <w:b w:val="0"/>
      <w:color w:val="00000A"/>
      <w:kern w:val="2"/>
      <w:sz w:val="24"/>
      <w:lang w:val="en-US"/>
    </w:rPr>
  </w:style>
  <w:style w:type="paragraph" w:customStyle="1" w:styleId="OBESubtitle2ndtier">
    <w:name w:val="OBE Subtitle 2nd tier"/>
    <w:link w:val="OBESubtitle2ndtierChar"/>
    <w:qFormat/>
    <w:rsid w:val="00393845"/>
    <w:pPr>
      <w:outlineLvl w:val="1"/>
    </w:pPr>
    <w:rPr>
      <w:rFonts w:asciiTheme="majorHAnsi" w:hAnsiTheme="majorHAnsi" w:cstheme="majorHAnsi"/>
      <w:i/>
      <w:color w:val="000000" w:themeColor="text1"/>
      <w:sz w:val="28"/>
      <w:szCs w:val="36"/>
      <w:u w:val="single"/>
    </w:rPr>
  </w:style>
  <w:style w:type="character" w:customStyle="1" w:styleId="Heading1Char">
    <w:name w:val="Heading 1 Char"/>
    <w:basedOn w:val="DefaultParagraphFont"/>
    <w:link w:val="Heading1"/>
    <w:uiPriority w:val="9"/>
    <w:rsid w:val="003A4DAA"/>
    <w:rPr>
      <w:rFonts w:asciiTheme="majorHAnsi" w:eastAsiaTheme="majorEastAsia" w:hAnsiTheme="majorHAnsi" w:cstheme="majorBidi"/>
      <w:color w:val="1F3864" w:themeColor="accent1" w:themeShade="80"/>
      <w:sz w:val="36"/>
      <w:szCs w:val="36"/>
    </w:rPr>
  </w:style>
  <w:style w:type="character" w:customStyle="1" w:styleId="OBESubtitle1sttierChar">
    <w:name w:val="OBE Subtitle 1st tier Char"/>
    <w:basedOn w:val="DefaultParagraphFont"/>
    <w:link w:val="OBESubtitle1sttier"/>
    <w:rsid w:val="00A7299F"/>
    <w:rPr>
      <w:rFonts w:asciiTheme="majorHAnsi" w:hAnsiTheme="majorHAnsi" w:cstheme="majorHAnsi"/>
      <w:color w:val="323E4F" w:themeColor="text2" w:themeShade="BF"/>
      <w:sz w:val="36"/>
      <w:szCs w:val="36"/>
    </w:rPr>
  </w:style>
  <w:style w:type="character" w:customStyle="1" w:styleId="OBESubtitle2ndtierChar">
    <w:name w:val="OBE Subtitle 2nd tier Char"/>
    <w:basedOn w:val="OBESubtitle1sttierChar"/>
    <w:link w:val="OBESubtitle2ndtier"/>
    <w:rsid w:val="00393845"/>
    <w:rPr>
      <w:rFonts w:asciiTheme="majorHAnsi" w:hAnsiTheme="majorHAnsi" w:cstheme="majorHAnsi"/>
      <w:i/>
      <w:color w:val="000000" w:themeColor="text1"/>
      <w:sz w:val="28"/>
      <w:szCs w:val="36"/>
      <w:u w:val="single"/>
    </w:rPr>
  </w:style>
  <w:style w:type="character" w:customStyle="1" w:styleId="Heading2Char">
    <w:name w:val="Heading 2 Char"/>
    <w:basedOn w:val="DefaultParagraphFont"/>
    <w:link w:val="Heading2"/>
    <w:uiPriority w:val="9"/>
    <w:semiHidden/>
    <w:rsid w:val="003A4DAA"/>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A4DAA"/>
    <w:rPr>
      <w:rFonts w:asciiTheme="majorHAnsi" w:eastAsiaTheme="majorEastAsia" w:hAnsiTheme="maj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A4DAA"/>
    <w:rPr>
      <w:rFonts w:asciiTheme="majorHAnsi" w:eastAsiaTheme="majorEastAsia" w:hAnsiTheme="majorHAnsi" w:cstheme="majorBidi"/>
      <w:color w:val="2F5496" w:themeColor="accent1" w:themeShade="BF"/>
      <w:sz w:val="24"/>
      <w:szCs w:val="24"/>
    </w:rPr>
  </w:style>
  <w:style w:type="character" w:customStyle="1" w:styleId="Heading5Char">
    <w:name w:val="Heading 5 Char"/>
    <w:basedOn w:val="DefaultParagraphFont"/>
    <w:link w:val="Heading5"/>
    <w:uiPriority w:val="9"/>
    <w:semiHidden/>
    <w:rsid w:val="003A4DAA"/>
    <w:rPr>
      <w:rFonts w:asciiTheme="majorHAnsi" w:eastAsiaTheme="majorEastAsia" w:hAnsiTheme="majorHAnsi" w:cstheme="majorBidi"/>
      <w:caps/>
      <w:color w:val="2F5496" w:themeColor="accent1" w:themeShade="BF"/>
    </w:rPr>
  </w:style>
  <w:style w:type="character" w:customStyle="1" w:styleId="Heading6Char">
    <w:name w:val="Heading 6 Char"/>
    <w:basedOn w:val="DefaultParagraphFont"/>
    <w:link w:val="Heading6"/>
    <w:uiPriority w:val="9"/>
    <w:semiHidden/>
    <w:rsid w:val="003A4DAA"/>
    <w:rPr>
      <w:rFonts w:asciiTheme="majorHAnsi" w:eastAsiaTheme="majorEastAsia" w:hAnsiTheme="majorHAnsi" w:cstheme="majorBidi"/>
      <w:i/>
      <w:iCs/>
      <w:caps/>
      <w:color w:val="1F3864" w:themeColor="accent1" w:themeShade="80"/>
    </w:rPr>
  </w:style>
  <w:style w:type="character" w:customStyle="1" w:styleId="Heading7Char">
    <w:name w:val="Heading 7 Char"/>
    <w:basedOn w:val="DefaultParagraphFont"/>
    <w:link w:val="Heading7"/>
    <w:uiPriority w:val="9"/>
    <w:semiHidden/>
    <w:rsid w:val="003A4DAA"/>
    <w:rPr>
      <w:rFonts w:asciiTheme="majorHAnsi" w:eastAsiaTheme="majorEastAsia" w:hAnsiTheme="majorHAnsi" w:cstheme="majorBidi"/>
      <w:b/>
      <w:bCs/>
      <w:color w:val="1F3864" w:themeColor="accent1" w:themeShade="80"/>
    </w:rPr>
  </w:style>
  <w:style w:type="character" w:customStyle="1" w:styleId="Heading8Char">
    <w:name w:val="Heading 8 Char"/>
    <w:basedOn w:val="DefaultParagraphFont"/>
    <w:link w:val="Heading8"/>
    <w:uiPriority w:val="9"/>
    <w:semiHidden/>
    <w:rsid w:val="003A4DAA"/>
    <w:rPr>
      <w:rFonts w:asciiTheme="majorHAnsi" w:eastAsiaTheme="majorEastAsia" w:hAnsiTheme="majorHAnsi" w:cstheme="majorBidi"/>
      <w:b/>
      <w:bCs/>
      <w:i/>
      <w:iCs/>
      <w:color w:val="1F3864" w:themeColor="accent1" w:themeShade="80"/>
    </w:rPr>
  </w:style>
  <w:style w:type="character" w:customStyle="1" w:styleId="Heading9Char">
    <w:name w:val="Heading 9 Char"/>
    <w:basedOn w:val="DefaultParagraphFont"/>
    <w:link w:val="Heading9"/>
    <w:uiPriority w:val="9"/>
    <w:semiHidden/>
    <w:rsid w:val="003A4DAA"/>
    <w:rPr>
      <w:rFonts w:asciiTheme="majorHAnsi" w:eastAsiaTheme="majorEastAsia" w:hAnsiTheme="majorHAnsi" w:cstheme="majorBidi"/>
      <w:i/>
      <w:iCs/>
      <w:color w:val="1F3864" w:themeColor="accent1" w:themeShade="80"/>
    </w:rPr>
  </w:style>
  <w:style w:type="paragraph" w:styleId="Caption">
    <w:name w:val="caption"/>
    <w:basedOn w:val="Normal"/>
    <w:next w:val="Normal"/>
    <w:link w:val="CaptionChar"/>
    <w:uiPriority w:val="35"/>
    <w:semiHidden/>
    <w:unhideWhenUsed/>
    <w:qFormat/>
    <w:rsid w:val="003A4DAA"/>
    <w:pPr>
      <w:spacing w:after="160"/>
    </w:pPr>
    <w:rPr>
      <w:rFonts w:asciiTheme="minorHAnsi" w:hAnsiTheme="minorHAnsi" w:cstheme="minorBidi"/>
      <w:b/>
      <w:bCs/>
      <w:smallCaps/>
      <w:color w:val="44546A" w:themeColor="text2"/>
      <w:sz w:val="22"/>
      <w:szCs w:val="22"/>
      <w:lang w:eastAsia="en-US"/>
    </w:rPr>
  </w:style>
  <w:style w:type="paragraph" w:styleId="Title">
    <w:name w:val="Title"/>
    <w:basedOn w:val="Normal"/>
    <w:next w:val="Normal"/>
    <w:link w:val="TitleChar"/>
    <w:uiPriority w:val="10"/>
    <w:rsid w:val="003A4DAA"/>
    <w:pPr>
      <w:spacing w:line="204" w:lineRule="auto"/>
      <w:contextualSpacing/>
    </w:pPr>
    <w:rPr>
      <w:rFonts w:asciiTheme="majorHAnsi" w:eastAsiaTheme="majorEastAsia" w:hAnsiTheme="majorHAnsi" w:cstheme="majorBidi"/>
      <w:caps/>
      <w:color w:val="44546A" w:themeColor="text2"/>
      <w:spacing w:val="-15"/>
      <w:sz w:val="72"/>
      <w:szCs w:val="72"/>
      <w:lang w:eastAsia="en-US"/>
    </w:rPr>
  </w:style>
  <w:style w:type="character" w:customStyle="1" w:styleId="TitleChar">
    <w:name w:val="Title Char"/>
    <w:basedOn w:val="DefaultParagraphFont"/>
    <w:link w:val="Title"/>
    <w:uiPriority w:val="10"/>
    <w:rsid w:val="003A4DAA"/>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rsid w:val="003A4DAA"/>
    <w:pPr>
      <w:numPr>
        <w:ilvl w:val="1"/>
      </w:numPr>
      <w:spacing w:after="240"/>
    </w:pPr>
    <w:rPr>
      <w:rFonts w:asciiTheme="majorHAnsi" w:eastAsiaTheme="majorEastAsia" w:hAnsiTheme="majorHAnsi" w:cstheme="majorBidi"/>
      <w:color w:val="4472C4" w:themeColor="accent1"/>
      <w:sz w:val="28"/>
      <w:szCs w:val="28"/>
      <w:lang w:eastAsia="en-US"/>
    </w:rPr>
  </w:style>
  <w:style w:type="character" w:customStyle="1" w:styleId="SubtitleChar">
    <w:name w:val="Subtitle Char"/>
    <w:basedOn w:val="DefaultParagraphFont"/>
    <w:link w:val="Subtitle"/>
    <w:uiPriority w:val="11"/>
    <w:rsid w:val="003A4DAA"/>
    <w:rPr>
      <w:rFonts w:asciiTheme="majorHAnsi" w:eastAsiaTheme="majorEastAsia" w:hAnsiTheme="majorHAnsi" w:cstheme="majorBidi"/>
      <w:color w:val="4472C4" w:themeColor="accent1"/>
      <w:sz w:val="28"/>
      <w:szCs w:val="28"/>
    </w:rPr>
  </w:style>
  <w:style w:type="character" w:styleId="Strong">
    <w:name w:val="Strong"/>
    <w:basedOn w:val="DefaultParagraphFont"/>
    <w:uiPriority w:val="22"/>
    <w:rsid w:val="003A4DAA"/>
    <w:rPr>
      <w:b/>
      <w:bCs/>
    </w:rPr>
  </w:style>
  <w:style w:type="character" w:styleId="Emphasis">
    <w:name w:val="Emphasis"/>
    <w:basedOn w:val="DefaultParagraphFont"/>
    <w:uiPriority w:val="20"/>
    <w:rsid w:val="003A4DAA"/>
    <w:rPr>
      <w:i/>
      <w:iCs/>
    </w:rPr>
  </w:style>
  <w:style w:type="paragraph" w:styleId="Header">
    <w:name w:val="header"/>
    <w:basedOn w:val="Normal"/>
    <w:link w:val="HeaderChar"/>
    <w:uiPriority w:val="99"/>
    <w:unhideWhenUsed/>
    <w:rsid w:val="00D3302A"/>
    <w:pPr>
      <w:tabs>
        <w:tab w:val="center" w:pos="4513"/>
        <w:tab w:val="right" w:pos="9026"/>
      </w:tabs>
    </w:pPr>
    <w:rPr>
      <w:rFonts w:asciiTheme="minorHAnsi" w:hAnsiTheme="minorHAnsi" w:cstheme="minorBidi"/>
      <w:sz w:val="22"/>
      <w:szCs w:val="22"/>
      <w:lang w:eastAsia="en-US"/>
    </w:rPr>
  </w:style>
  <w:style w:type="paragraph" w:styleId="Quote">
    <w:name w:val="Quote"/>
    <w:basedOn w:val="Normal"/>
    <w:next w:val="Normal"/>
    <w:link w:val="QuoteChar"/>
    <w:uiPriority w:val="29"/>
    <w:rsid w:val="003A4DAA"/>
    <w:pPr>
      <w:spacing w:before="120" w:after="120" w:line="259" w:lineRule="auto"/>
      <w:ind w:left="720"/>
    </w:pPr>
    <w:rPr>
      <w:rFonts w:asciiTheme="minorHAnsi" w:hAnsiTheme="minorHAnsi" w:cstheme="minorBidi"/>
      <w:color w:val="44546A" w:themeColor="text2"/>
      <w:lang w:eastAsia="en-US"/>
    </w:rPr>
  </w:style>
  <w:style w:type="character" w:customStyle="1" w:styleId="QuoteChar">
    <w:name w:val="Quote Char"/>
    <w:basedOn w:val="DefaultParagraphFont"/>
    <w:link w:val="Quote"/>
    <w:uiPriority w:val="29"/>
    <w:rsid w:val="003A4DAA"/>
    <w:rPr>
      <w:color w:val="44546A" w:themeColor="text2"/>
      <w:sz w:val="24"/>
      <w:szCs w:val="24"/>
    </w:rPr>
  </w:style>
  <w:style w:type="paragraph" w:styleId="IntenseQuote">
    <w:name w:val="Intense Quote"/>
    <w:basedOn w:val="Normal"/>
    <w:next w:val="Normal"/>
    <w:link w:val="IntenseQuoteChar"/>
    <w:uiPriority w:val="30"/>
    <w:rsid w:val="003A4DAA"/>
    <w:pPr>
      <w:spacing w:before="100" w:beforeAutospacing="1" w:after="240"/>
      <w:ind w:left="720"/>
      <w:jc w:val="center"/>
    </w:pPr>
    <w:rPr>
      <w:rFonts w:asciiTheme="majorHAnsi" w:eastAsiaTheme="majorEastAsia" w:hAnsiTheme="majorHAnsi" w:cstheme="majorBidi"/>
      <w:color w:val="44546A" w:themeColor="text2"/>
      <w:spacing w:val="-6"/>
      <w:sz w:val="32"/>
      <w:szCs w:val="32"/>
      <w:lang w:eastAsia="en-US"/>
    </w:rPr>
  </w:style>
  <w:style w:type="character" w:customStyle="1" w:styleId="IntenseQuoteChar">
    <w:name w:val="Intense Quote Char"/>
    <w:basedOn w:val="DefaultParagraphFont"/>
    <w:link w:val="IntenseQuote"/>
    <w:uiPriority w:val="30"/>
    <w:rsid w:val="003A4DAA"/>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rsid w:val="003A4DAA"/>
    <w:rPr>
      <w:i/>
      <w:iCs/>
      <w:color w:val="595959" w:themeColor="text1" w:themeTint="A6"/>
    </w:rPr>
  </w:style>
  <w:style w:type="character" w:styleId="IntenseEmphasis">
    <w:name w:val="Intense Emphasis"/>
    <w:basedOn w:val="DefaultParagraphFont"/>
    <w:uiPriority w:val="21"/>
    <w:rsid w:val="003A4DAA"/>
    <w:rPr>
      <w:b/>
      <w:bCs/>
      <w:i/>
      <w:iCs/>
    </w:rPr>
  </w:style>
  <w:style w:type="character" w:styleId="SubtleReference">
    <w:name w:val="Subtle Reference"/>
    <w:basedOn w:val="DefaultParagraphFont"/>
    <w:uiPriority w:val="31"/>
    <w:rsid w:val="003A4DAA"/>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rsid w:val="003A4DAA"/>
    <w:rPr>
      <w:b/>
      <w:bCs/>
      <w:smallCaps/>
      <w:color w:val="44546A" w:themeColor="text2"/>
      <w:u w:val="single"/>
    </w:rPr>
  </w:style>
  <w:style w:type="paragraph" w:customStyle="1" w:styleId="OBEFootnote">
    <w:name w:val="OBE Footnote"/>
    <w:basedOn w:val="FootnoteText"/>
    <w:link w:val="OBEFootnoteChar"/>
    <w:qFormat/>
    <w:rsid w:val="001D59FD"/>
    <w:pPr>
      <w:spacing w:after="120"/>
    </w:pPr>
  </w:style>
  <w:style w:type="paragraph" w:styleId="TOCHeading">
    <w:name w:val="TOC Heading"/>
    <w:basedOn w:val="Heading1"/>
    <w:next w:val="Normal"/>
    <w:uiPriority w:val="39"/>
    <w:unhideWhenUsed/>
    <w:rsid w:val="003A4DAA"/>
    <w:pPr>
      <w:outlineLvl w:val="9"/>
    </w:pPr>
  </w:style>
  <w:style w:type="paragraph" w:customStyle="1" w:styleId="OBECOVERTITLE">
    <w:name w:val="OBE COVER TITLE"/>
    <w:basedOn w:val="Title"/>
    <w:next w:val="OBEBody"/>
    <w:link w:val="OBECOVERTITLEChar"/>
    <w:qFormat/>
    <w:rsid w:val="00120197"/>
    <w:pPr>
      <w:jc w:val="center"/>
    </w:pPr>
  </w:style>
  <w:style w:type="character" w:customStyle="1" w:styleId="HeaderChar">
    <w:name w:val="Header Char"/>
    <w:basedOn w:val="DefaultParagraphFont"/>
    <w:link w:val="Header"/>
    <w:uiPriority w:val="99"/>
    <w:rsid w:val="00D3302A"/>
  </w:style>
  <w:style w:type="character" w:customStyle="1" w:styleId="OBECOVERTITLEChar">
    <w:name w:val="OBE COVER TITLE Char"/>
    <w:basedOn w:val="TitleChar"/>
    <w:link w:val="OBECOVERTITLE"/>
    <w:rsid w:val="00120197"/>
    <w:rPr>
      <w:rFonts w:asciiTheme="majorHAnsi" w:eastAsiaTheme="majorEastAsia" w:hAnsiTheme="majorHAnsi" w:cstheme="majorBidi"/>
      <w:caps/>
      <w:color w:val="44546A" w:themeColor="text2"/>
      <w:spacing w:val="-15"/>
      <w:sz w:val="72"/>
      <w:szCs w:val="72"/>
    </w:rPr>
  </w:style>
  <w:style w:type="paragraph" w:styleId="NormalWeb">
    <w:name w:val="Normal (Web)"/>
    <w:basedOn w:val="Normal"/>
    <w:uiPriority w:val="99"/>
    <w:semiHidden/>
    <w:unhideWhenUsed/>
    <w:rsid w:val="00860E8D"/>
    <w:pPr>
      <w:spacing w:before="100" w:beforeAutospacing="1" w:after="100" w:afterAutospacing="1"/>
    </w:pPr>
    <w:rPr>
      <w:rFonts w:eastAsia="Times New Roman"/>
    </w:rPr>
  </w:style>
  <w:style w:type="paragraph" w:customStyle="1" w:styleId="OBETITLE">
    <w:name w:val="OBE TITLE"/>
    <w:link w:val="OBETITLEChar"/>
    <w:qFormat/>
    <w:rsid w:val="0040231E"/>
    <w:pPr>
      <w:spacing w:after="240" w:line="240" w:lineRule="auto"/>
      <w:jc w:val="center"/>
      <w:outlineLvl w:val="0"/>
    </w:pPr>
    <w:rPr>
      <w:rFonts w:asciiTheme="majorHAnsi" w:eastAsiaTheme="majorEastAsia" w:hAnsiTheme="majorHAnsi" w:cstheme="majorBidi"/>
      <w:caps/>
      <w:color w:val="44546A" w:themeColor="text2"/>
      <w:spacing w:val="-15"/>
      <w:sz w:val="48"/>
      <w:szCs w:val="48"/>
    </w:rPr>
  </w:style>
  <w:style w:type="paragraph" w:styleId="TOC1">
    <w:name w:val="toc 1"/>
    <w:basedOn w:val="Normal"/>
    <w:next w:val="Normal"/>
    <w:autoRedefine/>
    <w:uiPriority w:val="39"/>
    <w:unhideWhenUsed/>
    <w:rsid w:val="00393845"/>
    <w:pPr>
      <w:tabs>
        <w:tab w:val="right" w:leader="dot" w:pos="9016"/>
      </w:tabs>
      <w:spacing w:after="100" w:line="259" w:lineRule="auto"/>
    </w:pPr>
    <w:rPr>
      <w:rFonts w:asciiTheme="minorHAnsi" w:hAnsiTheme="minorHAnsi" w:cstheme="minorBidi"/>
      <w:sz w:val="22"/>
      <w:szCs w:val="22"/>
      <w:lang w:eastAsia="en-US"/>
    </w:rPr>
  </w:style>
  <w:style w:type="character" w:customStyle="1" w:styleId="OBETITLEChar">
    <w:name w:val="OBE TITLE Char"/>
    <w:basedOn w:val="OBECOVERTITLEChar"/>
    <w:link w:val="OBETITLE"/>
    <w:rsid w:val="0040231E"/>
    <w:rPr>
      <w:rFonts w:asciiTheme="majorHAnsi" w:eastAsiaTheme="majorEastAsia" w:hAnsiTheme="majorHAnsi" w:cstheme="majorBidi"/>
      <w:caps/>
      <w:color w:val="44546A" w:themeColor="text2"/>
      <w:spacing w:val="-15"/>
      <w:sz w:val="48"/>
      <w:szCs w:val="48"/>
    </w:rPr>
  </w:style>
  <w:style w:type="paragraph" w:customStyle="1" w:styleId="OBElegendfigures">
    <w:name w:val="OBE legend figures"/>
    <w:basedOn w:val="Caption"/>
    <w:link w:val="OBElegendfiguresChar"/>
    <w:qFormat/>
    <w:rsid w:val="00987E01"/>
    <w:rPr>
      <w:i/>
    </w:rPr>
  </w:style>
  <w:style w:type="paragraph" w:styleId="TOC2">
    <w:name w:val="toc 2"/>
    <w:basedOn w:val="Normal"/>
    <w:next w:val="Normal"/>
    <w:autoRedefine/>
    <w:uiPriority w:val="39"/>
    <w:unhideWhenUsed/>
    <w:rsid w:val="00393845"/>
    <w:pPr>
      <w:spacing w:after="100" w:line="259" w:lineRule="auto"/>
      <w:ind w:left="220"/>
    </w:pPr>
    <w:rPr>
      <w:rFonts w:asciiTheme="minorHAnsi" w:hAnsiTheme="minorHAnsi" w:cstheme="minorBidi"/>
      <w:sz w:val="22"/>
      <w:szCs w:val="22"/>
      <w:lang w:eastAsia="en-US"/>
    </w:rPr>
  </w:style>
  <w:style w:type="paragraph" w:customStyle="1" w:styleId="OBESubtitle3rdtier">
    <w:name w:val="OBE Subtitle 3rd tier"/>
    <w:qFormat/>
    <w:rsid w:val="00393845"/>
    <w:pPr>
      <w:outlineLvl w:val="2"/>
    </w:pPr>
    <w:rPr>
      <w:rFonts w:cstheme="minorHAnsi"/>
      <w:i/>
      <w:sz w:val="24"/>
      <w:szCs w:val="24"/>
      <w:u w:val="single"/>
    </w:rPr>
  </w:style>
  <w:style w:type="paragraph" w:styleId="TOC3">
    <w:name w:val="toc 3"/>
    <w:basedOn w:val="Normal"/>
    <w:next w:val="Normal"/>
    <w:autoRedefine/>
    <w:uiPriority w:val="39"/>
    <w:unhideWhenUsed/>
    <w:rsid w:val="00393845"/>
    <w:pPr>
      <w:spacing w:after="100" w:line="259" w:lineRule="auto"/>
      <w:ind w:left="440"/>
    </w:pPr>
    <w:rPr>
      <w:rFonts w:asciiTheme="minorHAnsi" w:hAnsiTheme="minorHAnsi" w:cstheme="minorBidi"/>
      <w:sz w:val="22"/>
      <w:szCs w:val="22"/>
      <w:lang w:eastAsia="en-US"/>
    </w:rPr>
  </w:style>
  <w:style w:type="paragraph" w:styleId="FootnoteText">
    <w:name w:val="footnote text"/>
    <w:basedOn w:val="Normal"/>
    <w:link w:val="FootnoteTextChar"/>
    <w:uiPriority w:val="99"/>
    <w:unhideWhenUsed/>
    <w:rsid w:val="00D867E8"/>
    <w:rPr>
      <w:rFonts w:asciiTheme="minorHAnsi" w:hAnsiTheme="minorHAnsi" w:cstheme="minorBidi"/>
      <w:sz w:val="20"/>
      <w:szCs w:val="20"/>
      <w:lang w:eastAsia="en-US"/>
    </w:rPr>
  </w:style>
  <w:style w:type="character" w:customStyle="1" w:styleId="FootnoteTextChar">
    <w:name w:val="Footnote Text Char"/>
    <w:basedOn w:val="DefaultParagraphFont"/>
    <w:link w:val="FootnoteText"/>
    <w:uiPriority w:val="99"/>
    <w:rsid w:val="00D867E8"/>
    <w:rPr>
      <w:sz w:val="20"/>
      <w:szCs w:val="20"/>
    </w:rPr>
  </w:style>
  <w:style w:type="character" w:styleId="FootnoteReference">
    <w:name w:val="footnote reference"/>
    <w:basedOn w:val="DefaultParagraphFont"/>
    <w:uiPriority w:val="99"/>
    <w:unhideWhenUsed/>
    <w:rsid w:val="00D867E8"/>
    <w:rPr>
      <w:vertAlign w:val="superscript"/>
    </w:rPr>
  </w:style>
  <w:style w:type="character" w:styleId="Hyperlink">
    <w:name w:val="Hyperlink"/>
    <w:basedOn w:val="DefaultParagraphFont"/>
    <w:uiPriority w:val="99"/>
    <w:unhideWhenUsed/>
    <w:rsid w:val="00F23837"/>
    <w:rPr>
      <w:color w:val="0563C1" w:themeColor="hyperlink"/>
      <w:u w:val="single"/>
    </w:rPr>
  </w:style>
  <w:style w:type="paragraph" w:styleId="TableofFigures">
    <w:name w:val="table of figures"/>
    <w:basedOn w:val="Normal"/>
    <w:next w:val="Normal"/>
    <w:uiPriority w:val="99"/>
    <w:unhideWhenUsed/>
    <w:rsid w:val="00F23837"/>
    <w:pPr>
      <w:spacing w:line="259" w:lineRule="auto"/>
    </w:pPr>
    <w:rPr>
      <w:rFonts w:asciiTheme="minorHAnsi" w:hAnsiTheme="minorHAnsi" w:cstheme="minorBidi"/>
      <w:sz w:val="22"/>
      <w:szCs w:val="22"/>
      <w:lang w:eastAsia="en-US"/>
    </w:rPr>
  </w:style>
  <w:style w:type="paragraph" w:styleId="BalloonText">
    <w:name w:val="Balloon Text"/>
    <w:basedOn w:val="Normal"/>
    <w:link w:val="BalloonTextChar"/>
    <w:uiPriority w:val="99"/>
    <w:semiHidden/>
    <w:unhideWhenUsed/>
    <w:rsid w:val="003B00C4"/>
    <w:rPr>
      <w:rFonts w:ascii="Segoe UI" w:hAnsi="Segoe UI" w:cs="Segoe UI"/>
      <w:sz w:val="18"/>
      <w:szCs w:val="18"/>
      <w:lang w:eastAsia="en-US"/>
    </w:rPr>
  </w:style>
  <w:style w:type="character" w:customStyle="1" w:styleId="BalloonTextChar">
    <w:name w:val="Balloon Text Char"/>
    <w:basedOn w:val="DefaultParagraphFont"/>
    <w:link w:val="BalloonText"/>
    <w:uiPriority w:val="99"/>
    <w:semiHidden/>
    <w:rsid w:val="003B00C4"/>
    <w:rPr>
      <w:rFonts w:ascii="Segoe UI" w:hAnsi="Segoe UI" w:cs="Segoe UI"/>
      <w:sz w:val="18"/>
      <w:szCs w:val="18"/>
    </w:rPr>
  </w:style>
  <w:style w:type="paragraph" w:customStyle="1" w:styleId="OBElegendtables">
    <w:name w:val="OBE legend tables"/>
    <w:basedOn w:val="OBElegendfigures"/>
    <w:link w:val="OBElegendtablesChar"/>
    <w:qFormat/>
    <w:rsid w:val="005B1732"/>
  </w:style>
  <w:style w:type="character" w:customStyle="1" w:styleId="OBEFootnoteChar">
    <w:name w:val="OBE Footnote Char"/>
    <w:basedOn w:val="FootnoteTextChar"/>
    <w:link w:val="OBEFootnote"/>
    <w:rsid w:val="001D59FD"/>
    <w:rPr>
      <w:sz w:val="20"/>
      <w:szCs w:val="20"/>
    </w:rPr>
  </w:style>
  <w:style w:type="character" w:customStyle="1" w:styleId="CaptionChar">
    <w:name w:val="Caption Char"/>
    <w:basedOn w:val="DefaultParagraphFont"/>
    <w:link w:val="Caption"/>
    <w:uiPriority w:val="35"/>
    <w:semiHidden/>
    <w:rsid w:val="005B1732"/>
    <w:rPr>
      <w:b/>
      <w:bCs/>
      <w:smallCaps/>
      <w:color w:val="44546A" w:themeColor="text2"/>
    </w:rPr>
  </w:style>
  <w:style w:type="character" w:customStyle="1" w:styleId="OBElegendfiguresChar">
    <w:name w:val="OBE legend figures Char"/>
    <w:basedOn w:val="CaptionChar"/>
    <w:link w:val="OBElegendfigures"/>
    <w:rsid w:val="005B1732"/>
    <w:rPr>
      <w:b/>
      <w:bCs/>
      <w:i/>
      <w:smallCaps/>
      <w:color w:val="44546A" w:themeColor="text2"/>
    </w:rPr>
  </w:style>
  <w:style w:type="character" w:customStyle="1" w:styleId="OBElegendtablesChar">
    <w:name w:val="OBE legend tables Char"/>
    <w:basedOn w:val="OBElegendfiguresChar"/>
    <w:link w:val="OBElegendtables"/>
    <w:rsid w:val="005B1732"/>
    <w:rPr>
      <w:b/>
      <w:bCs/>
      <w:i/>
      <w:smallCaps/>
      <w:color w:val="44546A" w:themeColor="text2"/>
    </w:rPr>
  </w:style>
  <w:style w:type="character" w:customStyle="1" w:styleId="UnresolvedMention1">
    <w:name w:val="Unresolved Mention1"/>
    <w:basedOn w:val="DefaultParagraphFont"/>
    <w:uiPriority w:val="99"/>
    <w:semiHidden/>
    <w:unhideWhenUsed/>
    <w:rsid w:val="0038721C"/>
    <w:rPr>
      <w:color w:val="605E5C"/>
      <w:shd w:val="clear" w:color="auto" w:fill="E1DFDD"/>
    </w:rPr>
  </w:style>
  <w:style w:type="character" w:styleId="CommentReference">
    <w:name w:val="annotation reference"/>
    <w:basedOn w:val="DefaultParagraphFont"/>
    <w:uiPriority w:val="99"/>
    <w:semiHidden/>
    <w:unhideWhenUsed/>
    <w:rsid w:val="0015744E"/>
    <w:rPr>
      <w:sz w:val="18"/>
      <w:szCs w:val="18"/>
    </w:rPr>
  </w:style>
  <w:style w:type="paragraph" w:styleId="CommentText">
    <w:name w:val="annotation text"/>
    <w:basedOn w:val="Normal"/>
    <w:link w:val="CommentTextChar"/>
    <w:uiPriority w:val="99"/>
    <w:semiHidden/>
    <w:unhideWhenUsed/>
    <w:rsid w:val="0015744E"/>
    <w:rPr>
      <w:rFonts w:asciiTheme="minorHAnsi" w:eastAsiaTheme="minorHAnsi" w:hAnsiTheme="minorHAnsi" w:cstheme="minorBidi"/>
      <w:lang w:eastAsia="en-US"/>
    </w:rPr>
  </w:style>
  <w:style w:type="character" w:customStyle="1" w:styleId="CommentTextChar">
    <w:name w:val="Comment Text Char"/>
    <w:basedOn w:val="DefaultParagraphFont"/>
    <w:link w:val="CommentText"/>
    <w:uiPriority w:val="99"/>
    <w:semiHidden/>
    <w:rsid w:val="0015744E"/>
    <w:rPr>
      <w:rFonts w:eastAsiaTheme="minorHAnsi"/>
      <w:sz w:val="24"/>
      <w:szCs w:val="24"/>
    </w:rPr>
  </w:style>
  <w:style w:type="paragraph" w:customStyle="1" w:styleId="p4">
    <w:name w:val="p4"/>
    <w:basedOn w:val="Normal"/>
    <w:rsid w:val="005A458B"/>
    <w:rPr>
      <w:rFonts w:eastAsiaTheme="minorHAnsi"/>
      <w:sz w:val="22"/>
      <w:szCs w:val="22"/>
    </w:rPr>
  </w:style>
  <w:style w:type="paragraph" w:customStyle="1" w:styleId="p1">
    <w:name w:val="p1"/>
    <w:basedOn w:val="Normal"/>
    <w:rsid w:val="00C72A6F"/>
    <w:rPr>
      <w:rFonts w:eastAsiaTheme="minorHAnsi"/>
      <w:sz w:val="18"/>
      <w:szCs w:val="18"/>
    </w:rPr>
  </w:style>
  <w:style w:type="character" w:styleId="FollowedHyperlink">
    <w:name w:val="FollowedHyperlink"/>
    <w:basedOn w:val="DefaultParagraphFont"/>
    <w:uiPriority w:val="99"/>
    <w:semiHidden/>
    <w:unhideWhenUsed/>
    <w:rsid w:val="009F660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8667914">
      <w:bodyDiv w:val="1"/>
      <w:marLeft w:val="0"/>
      <w:marRight w:val="0"/>
      <w:marTop w:val="0"/>
      <w:marBottom w:val="0"/>
      <w:divBdr>
        <w:top w:val="none" w:sz="0" w:space="0" w:color="auto"/>
        <w:left w:val="none" w:sz="0" w:space="0" w:color="auto"/>
        <w:bottom w:val="none" w:sz="0" w:space="0" w:color="auto"/>
        <w:right w:val="none" w:sz="0" w:space="0" w:color="auto"/>
      </w:divBdr>
    </w:div>
    <w:div w:id="1431707283">
      <w:bodyDiv w:val="1"/>
      <w:marLeft w:val="0"/>
      <w:marRight w:val="0"/>
      <w:marTop w:val="0"/>
      <w:marBottom w:val="0"/>
      <w:divBdr>
        <w:top w:val="none" w:sz="0" w:space="0" w:color="auto"/>
        <w:left w:val="none" w:sz="0" w:space="0" w:color="auto"/>
        <w:bottom w:val="none" w:sz="0" w:space="0" w:color="auto"/>
        <w:right w:val="none" w:sz="0" w:space="0" w:color="auto"/>
      </w:divBdr>
    </w:div>
    <w:div w:id="1479028448">
      <w:bodyDiv w:val="1"/>
      <w:marLeft w:val="0"/>
      <w:marRight w:val="0"/>
      <w:marTop w:val="0"/>
      <w:marBottom w:val="0"/>
      <w:divBdr>
        <w:top w:val="none" w:sz="0" w:space="0" w:color="auto"/>
        <w:left w:val="none" w:sz="0" w:space="0" w:color="auto"/>
        <w:bottom w:val="none" w:sz="0" w:space="0" w:color="auto"/>
        <w:right w:val="none" w:sz="0" w:space="0" w:color="auto"/>
      </w:divBdr>
    </w:div>
    <w:div w:id="1753547897">
      <w:bodyDiv w:val="1"/>
      <w:marLeft w:val="0"/>
      <w:marRight w:val="0"/>
      <w:marTop w:val="0"/>
      <w:marBottom w:val="0"/>
      <w:divBdr>
        <w:top w:val="none" w:sz="0" w:space="0" w:color="auto"/>
        <w:left w:val="none" w:sz="0" w:space="0" w:color="auto"/>
        <w:bottom w:val="none" w:sz="0" w:space="0" w:color="auto"/>
        <w:right w:val="none" w:sz="0" w:space="0" w:color="auto"/>
      </w:divBdr>
    </w:div>
    <w:div w:id="2003506855">
      <w:bodyDiv w:val="1"/>
      <w:marLeft w:val="0"/>
      <w:marRight w:val="0"/>
      <w:marTop w:val="0"/>
      <w:marBottom w:val="0"/>
      <w:divBdr>
        <w:top w:val="none" w:sz="0" w:space="0" w:color="auto"/>
        <w:left w:val="none" w:sz="0" w:space="0" w:color="auto"/>
        <w:bottom w:val="none" w:sz="0" w:space="0" w:color="auto"/>
        <w:right w:val="none" w:sz="0" w:space="0" w:color="auto"/>
      </w:divBdr>
    </w:div>
    <w:div w:id="2020500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ifwe.org/wp-content/uploads/2013/02/Collectivism-and-or-Christianity-Acts-2-5-Jeon.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tifwe.org/wp-content/uploads/2013/02/Collectivism-and-or-Christianity-Acts-2-5-Jeo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0284A4A-C98F-434D-BFE5-58B662FE38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1785</Words>
  <Characters>10273</Characters>
  <Application>Microsoft Office Word</Application>
  <DocSecurity>0</DocSecurity>
  <Lines>85</Lines>
  <Paragraphs>24</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
      <vt:lpstr>    </vt:lpstr>
      <vt:lpstr>Textual Analysis:  Acts 2:42-47</vt:lpstr>
      <vt:lpstr>Bibliography  </vt:lpstr>
    </vt:vector>
  </TitlesOfParts>
  <Company/>
  <LinksUpToDate>false</LinksUpToDate>
  <CharactersWithSpaces>12034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2023-10-21T11:09:00Z</dcterms:created>
  <dcterms:modified xsi:type="dcterms:W3CDTF">2023-10-21T14:22:00Z</dcterms:modified>
</cp:coreProperties>
</file>