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21CD66" w:rsidP="567DB84D" w:rsidRDefault="2521CD66" w14:paraId="4D7ED5B2" w14:textId="13915FD7" w14:noSpellErr="1">
      <w:pPr>
        <w:pStyle w:val="Normal"/>
        <w:bidi w:val="0"/>
        <w:spacing w:line="360" w:lineRule="auto"/>
        <w:jc w:val="center"/>
        <w:rPr>
          <w:rFonts w:ascii="Calibri" w:hAnsi="Calibri" w:eastAsia="Calibri" w:cs="Calibri" w:asciiTheme="minorAscii" w:hAnsiTheme="minorAscii" w:eastAsiaTheme="minorAscii" w:cstheme="minorAscii"/>
          <w:color w:val="auto"/>
          <w:sz w:val="24"/>
          <w:szCs w:val="24"/>
          <w:u w:val="single"/>
        </w:rPr>
      </w:pPr>
      <w:r w:rsidRPr="567DB84D" w:rsidR="567DB84D">
        <w:rPr>
          <w:rFonts w:ascii="Calibri" w:hAnsi="Calibri" w:eastAsia="Calibri" w:cs="Calibri" w:asciiTheme="minorAscii" w:hAnsiTheme="minorAscii" w:eastAsiaTheme="minorAscii" w:cstheme="minorAscii"/>
          <w:color w:val="auto"/>
          <w:sz w:val="24"/>
          <w:szCs w:val="24"/>
          <w:u w:val="single"/>
        </w:rPr>
        <w:t xml:space="preserve">ECGE4001- Portfolio of Study Skills </w:t>
      </w:r>
    </w:p>
    <w:p w:rsidR="2521CD66" w:rsidP="567DB84D" w:rsidRDefault="2521CD66" w14:paraId="5244A3B5" w14:textId="1CEB6DD3" w14:noSpellErr="1">
      <w:pPr>
        <w:pStyle w:val="Normal"/>
        <w:bidi w:val="0"/>
        <w:spacing w:line="360" w:lineRule="auto"/>
        <w:jc w:val="center"/>
        <w:rPr>
          <w:rFonts w:ascii="Calibri" w:hAnsi="Calibri" w:eastAsia="Calibri" w:cs="Calibri" w:asciiTheme="minorAscii" w:hAnsiTheme="minorAscii" w:eastAsiaTheme="minorAscii" w:cstheme="minorAscii"/>
          <w:color w:val="auto"/>
          <w:sz w:val="24"/>
          <w:szCs w:val="24"/>
          <w:u w:val="single"/>
        </w:rPr>
      </w:pPr>
      <w:r w:rsidRPr="567DB84D" w:rsidR="567DB84D">
        <w:rPr>
          <w:rFonts w:ascii="Calibri" w:hAnsi="Calibri" w:eastAsia="Calibri" w:cs="Calibri" w:asciiTheme="minorAscii" w:hAnsiTheme="minorAscii" w:eastAsiaTheme="minorAscii" w:cstheme="minorAscii"/>
          <w:color w:val="auto"/>
          <w:sz w:val="24"/>
          <w:szCs w:val="24"/>
          <w:u w:val="single"/>
        </w:rPr>
        <w:t>Assessment Task</w:t>
      </w:r>
    </w:p>
    <w:p w:rsidR="2521CD66" w:rsidP="567DB84D" w:rsidRDefault="2521CD66" w14:paraId="7E6C9EBE" w14:textId="726572C7" w14:noSpellErr="1">
      <w:pPr>
        <w:bidi w:val="0"/>
        <w:spacing w:line="360" w:lineRule="auto"/>
        <w:jc w:val="both"/>
        <w:rPr>
          <w:rFonts w:ascii="Calibri" w:hAnsi="Calibri" w:eastAsia="Calibri" w:cs="Calibri" w:asciiTheme="minorAscii" w:hAnsiTheme="minorAscii" w:eastAsiaTheme="minorAscii" w:cstheme="minorAscii"/>
          <w:color w:val="auto"/>
          <w:sz w:val="24"/>
          <w:szCs w:val="24"/>
        </w:rPr>
      </w:pPr>
      <w:r w:rsidRPr="567DB84D" w:rsidR="567DB84D">
        <w:rPr>
          <w:rFonts w:ascii="Calibri" w:hAnsi="Calibri" w:eastAsia="Calibri" w:cs="Calibri" w:asciiTheme="minorAscii" w:hAnsiTheme="minorAscii" w:eastAsiaTheme="minorAscii" w:cstheme="minorAscii"/>
          <w:b w:val="1"/>
          <w:bCs w:val="1"/>
          <w:color w:val="auto"/>
          <w:sz w:val="24"/>
          <w:szCs w:val="24"/>
          <w:u w:val="single"/>
        </w:rPr>
        <w:t>Part 1</w:t>
      </w:r>
    </w:p>
    <w:p xmlns:wp14="http://schemas.microsoft.com/office/word/2010/wordml" w:rsidP="567DB84D" w14:paraId="5E5787A5" wp14:textId="7DAA611C">
      <w:pPr>
        <w:bidi w:val="0"/>
        <w:spacing w:line="360" w:lineRule="auto"/>
        <w:jc w:val="both"/>
        <w:rPr>
          <w:rFonts w:ascii="Calibri" w:hAnsi="Calibri" w:eastAsia="Calibri" w:cs="Calibri" w:asciiTheme="minorAscii" w:hAnsiTheme="minorAscii" w:eastAsiaTheme="minorAscii" w:cstheme="minorAscii"/>
          <w:color w:val="auto"/>
          <w:sz w:val="24"/>
          <w:szCs w:val="24"/>
        </w:rPr>
      </w:pPr>
      <w:bookmarkStart w:name="_GoBack" w:id="0"/>
      <w:bookmarkEnd w:id="0"/>
      <w:r w:rsidRPr="567DB84D" w:rsidR="567DB84D">
        <w:rPr>
          <w:rFonts w:ascii="Calibri" w:hAnsi="Calibri" w:eastAsia="Calibri" w:cs="Calibri" w:asciiTheme="minorAscii" w:hAnsiTheme="minorAscii" w:eastAsiaTheme="minorAscii" w:cstheme="minorAscii"/>
          <w:color w:val="auto"/>
          <w:sz w:val="24"/>
          <w:szCs w:val="24"/>
        </w:rPr>
        <w:t xml:space="preserve">In Iceland and other Nordic countries, they regard outdoor recreation an integral part of their children's cultural wellbeing. Government Icelandic policies regard outdoor play as a source for positive and beneficial factors for the wellbeing of children. According to </w:t>
      </w:r>
      <w:proofErr w:type="spellStart"/>
      <w:r w:rsidRPr="567DB84D" w:rsidR="567DB84D">
        <w:rPr>
          <w:rFonts w:ascii="Calibri" w:hAnsi="Calibri" w:eastAsia="Calibri" w:cs="Calibri" w:asciiTheme="minorAscii" w:hAnsiTheme="minorAscii" w:eastAsiaTheme="minorAscii" w:cstheme="minorAscii"/>
          <w:color w:val="auto"/>
          <w:sz w:val="24"/>
          <w:szCs w:val="24"/>
        </w:rPr>
        <w:t>Johannesson</w:t>
      </w:r>
      <w:proofErr w:type="spellEnd"/>
      <w:r w:rsidRPr="567DB84D" w:rsidR="567DB84D">
        <w:rPr>
          <w:rFonts w:ascii="Calibri" w:hAnsi="Calibri" w:eastAsia="Calibri" w:cs="Calibri" w:asciiTheme="minorAscii" w:hAnsiTheme="minorAscii" w:eastAsiaTheme="minorAscii" w:cstheme="minorAscii"/>
          <w:color w:val="auto"/>
          <w:sz w:val="24"/>
          <w:szCs w:val="24"/>
        </w:rPr>
        <w:t xml:space="preserve"> and </w:t>
      </w:r>
      <w:proofErr w:type="spellStart"/>
      <w:r w:rsidRPr="567DB84D" w:rsidR="567DB84D">
        <w:rPr>
          <w:rFonts w:ascii="Calibri" w:hAnsi="Calibri" w:eastAsia="Calibri" w:cs="Calibri" w:asciiTheme="minorAscii" w:hAnsiTheme="minorAscii" w:eastAsiaTheme="minorAscii" w:cstheme="minorAscii"/>
          <w:color w:val="auto"/>
          <w:sz w:val="24"/>
          <w:szCs w:val="24"/>
        </w:rPr>
        <w:t>Norodahl</w:t>
      </w:r>
      <w:proofErr w:type="spellEnd"/>
      <w:r w:rsidRPr="567DB84D" w:rsidR="567DB84D">
        <w:rPr>
          <w:rFonts w:ascii="Calibri" w:hAnsi="Calibri" w:eastAsia="Calibri" w:cs="Calibri" w:asciiTheme="minorAscii" w:hAnsiTheme="minorAscii" w:eastAsiaTheme="minorAscii" w:cstheme="minorAscii"/>
          <w:color w:val="auto"/>
          <w:sz w:val="24"/>
          <w:szCs w:val="24"/>
        </w:rPr>
        <w:t xml:space="preserve"> </w:t>
      </w:r>
      <w:r w:rsidRPr="567DB84D" w:rsidR="567DB84D">
        <w:rPr>
          <w:rFonts w:ascii="Calibri" w:hAnsi="Calibri" w:eastAsia="Calibri" w:cs="Calibri" w:asciiTheme="minorAscii" w:hAnsiTheme="minorAscii" w:eastAsiaTheme="minorAscii" w:cstheme="minorAscii"/>
          <w:color w:val="auto"/>
          <w:sz w:val="24"/>
          <w:szCs w:val="24"/>
        </w:rPr>
        <w:t>(</w:t>
      </w:r>
      <w:r w:rsidRPr="567DB84D" w:rsidR="567DB84D">
        <w:rPr>
          <w:rFonts w:ascii="Calibri" w:hAnsi="Calibri" w:eastAsia="Calibri" w:cs="Calibri" w:asciiTheme="minorAscii" w:hAnsiTheme="minorAscii" w:eastAsiaTheme="minorAscii" w:cstheme="minorAscii"/>
          <w:color w:val="auto"/>
          <w:sz w:val="24"/>
          <w:szCs w:val="24"/>
        </w:rPr>
        <w:t xml:space="preserve">2013), curriculum guidelines suggest that by promoting and encouraging stimulating environments, children will progress and develop positive attitudes towards health, physical and social awareness. </w:t>
      </w:r>
    </w:p>
    <w:p w:rsidR="2521CD66" w:rsidP="567DB84D" w:rsidRDefault="2521CD66" w14:paraId="1E188473" w14:textId="4AC35626">
      <w:pPr>
        <w:pStyle w:val="Normal"/>
        <w:bidi w:val="0"/>
        <w:spacing w:line="360" w:lineRule="auto"/>
        <w:jc w:val="both"/>
        <w:rPr>
          <w:rFonts w:ascii="Calibri" w:hAnsi="Calibri" w:eastAsia="Calibri" w:cs="Calibri" w:asciiTheme="minorAscii" w:hAnsiTheme="minorAscii" w:eastAsiaTheme="minorAscii" w:cstheme="minorAscii"/>
          <w:color w:val="auto"/>
          <w:sz w:val="24"/>
          <w:szCs w:val="24"/>
        </w:rPr>
      </w:pPr>
      <w:r w:rsidRPr="567DB84D" w:rsidR="567DB84D">
        <w:rPr>
          <w:rFonts w:ascii="Calibri" w:hAnsi="Calibri" w:eastAsia="Calibri" w:cs="Calibri" w:asciiTheme="minorAscii" w:hAnsiTheme="minorAscii" w:eastAsiaTheme="minorAscii" w:cstheme="minorAscii"/>
          <w:color w:val="auto"/>
          <w:sz w:val="24"/>
          <w:szCs w:val="24"/>
        </w:rPr>
        <w:t xml:space="preserve">The emphasis on outdoor play has long been a cultural tradition for pre-schoolers aged between one to six, where outdoor recreation occurs daily. Whereas for compulsory school children aged between six to sixteen, is somewhat dissimilar. Social interaction with peers happens only at break time. Information is limited regarding to how teachers promote outdoor learning. which may vary greatly between schools. There are signs that teachers in Iceland are increasingly adapting outside play into the school curriculum. Previously seventy percent of schools in Reykjavik state that they regularly integrate outdoor educational learning into their school curriculum, states </w:t>
      </w:r>
      <w:proofErr w:type="spellStart"/>
      <w:r w:rsidRPr="567DB84D" w:rsidR="567DB84D">
        <w:rPr>
          <w:rFonts w:ascii="Calibri" w:hAnsi="Calibri" w:eastAsia="Calibri" w:cs="Calibri" w:asciiTheme="minorAscii" w:hAnsiTheme="minorAscii" w:eastAsiaTheme="minorAscii" w:cstheme="minorAscii"/>
          <w:color w:val="auto"/>
          <w:sz w:val="24"/>
          <w:szCs w:val="24"/>
        </w:rPr>
        <w:t>Oladottur</w:t>
      </w:r>
      <w:proofErr w:type="spellEnd"/>
      <w:r w:rsidRPr="567DB84D" w:rsidR="567DB84D">
        <w:rPr>
          <w:rFonts w:ascii="Calibri" w:hAnsi="Calibri" w:eastAsia="Calibri" w:cs="Calibri" w:asciiTheme="minorAscii" w:hAnsiTheme="minorAscii" w:eastAsiaTheme="minorAscii" w:cstheme="minorAscii"/>
          <w:color w:val="auto"/>
          <w:sz w:val="24"/>
          <w:szCs w:val="24"/>
        </w:rPr>
        <w:t xml:space="preserve"> </w:t>
      </w:r>
      <w:r w:rsidRPr="567DB84D" w:rsidR="567DB84D">
        <w:rPr>
          <w:rFonts w:ascii="Calibri" w:hAnsi="Calibri" w:eastAsia="Calibri" w:cs="Calibri" w:asciiTheme="minorAscii" w:hAnsiTheme="minorAscii" w:eastAsiaTheme="minorAscii" w:cstheme="minorAscii"/>
          <w:color w:val="auto"/>
          <w:sz w:val="24"/>
          <w:szCs w:val="24"/>
        </w:rPr>
        <w:t>,(</w:t>
      </w:r>
      <w:r w:rsidRPr="567DB84D" w:rsidR="567DB84D">
        <w:rPr>
          <w:rFonts w:ascii="Calibri" w:hAnsi="Calibri" w:eastAsia="Calibri" w:cs="Calibri" w:asciiTheme="minorAscii" w:hAnsiTheme="minorAscii" w:eastAsiaTheme="minorAscii" w:cstheme="minorAscii"/>
          <w:color w:val="auto"/>
          <w:sz w:val="24"/>
          <w:szCs w:val="24"/>
        </w:rPr>
        <w:t xml:space="preserve">2008).  </w:t>
      </w:r>
    </w:p>
    <w:p w:rsidR="5E47893A" w:rsidP="567DB84D" w:rsidRDefault="5E47893A" w14:paraId="4AC64214" w14:textId="5CE78937">
      <w:pPr>
        <w:pStyle w:val="Normal"/>
        <w:bidi w:val="0"/>
        <w:spacing w:line="360" w:lineRule="auto"/>
        <w:jc w:val="both"/>
        <w:rPr>
          <w:rFonts w:ascii="Calibri" w:hAnsi="Calibri" w:eastAsia="Calibri" w:cs="Calibri" w:asciiTheme="minorAscii" w:hAnsiTheme="minorAscii" w:eastAsiaTheme="minorAscii" w:cstheme="minorAscii"/>
          <w:color w:val="auto"/>
          <w:sz w:val="24"/>
          <w:szCs w:val="24"/>
        </w:rPr>
      </w:pPr>
    </w:p>
    <w:p w:rsidR="5E47893A" w:rsidP="567DB84D" w:rsidRDefault="5E47893A" w14:paraId="0B9483C2" w14:textId="7B7E84C2" w14:noSpellErr="1">
      <w:pPr>
        <w:pStyle w:val="Normal"/>
        <w:bidi w:val="0"/>
        <w:spacing w:line="360" w:lineRule="auto"/>
        <w:jc w:val="both"/>
        <w:rPr>
          <w:rFonts w:ascii="Calibri" w:hAnsi="Calibri" w:eastAsia="Calibri" w:cs="Calibri" w:asciiTheme="minorAscii" w:hAnsiTheme="minorAscii" w:eastAsiaTheme="minorAscii" w:cstheme="minorAscii"/>
          <w:color w:val="auto"/>
          <w:sz w:val="24"/>
          <w:szCs w:val="24"/>
        </w:rPr>
      </w:pPr>
      <w:r w:rsidRPr="567DB84D" w:rsidR="567DB84D">
        <w:rPr>
          <w:rFonts w:ascii="Calibri" w:hAnsi="Calibri" w:eastAsia="Calibri" w:cs="Calibri" w:asciiTheme="minorAscii" w:hAnsiTheme="minorAscii" w:eastAsiaTheme="minorAscii" w:cstheme="minorAscii"/>
          <w:color w:val="auto"/>
          <w:sz w:val="24"/>
          <w:szCs w:val="24"/>
        </w:rPr>
        <w:t>Adapted from:</w:t>
      </w:r>
    </w:p>
    <w:p w:rsidR="5E47893A" w:rsidP="567DB84D" w:rsidRDefault="5E47893A" w14:paraId="2192F48E" w14:textId="268E2953">
      <w:pPr>
        <w:pStyle w:val="Normal"/>
        <w:bidi w:val="0"/>
        <w:spacing w:line="360" w:lineRule="auto"/>
        <w:jc w:val="both"/>
        <w:rPr>
          <w:rFonts w:ascii="Calibri" w:hAnsi="Calibri" w:eastAsia="Calibri" w:cs="Calibri" w:asciiTheme="minorAscii" w:hAnsiTheme="minorAscii" w:eastAsiaTheme="minorAscii" w:cstheme="minorAscii"/>
          <w:color w:val="auto"/>
          <w:sz w:val="24"/>
          <w:szCs w:val="24"/>
          <w:u w:val="none"/>
        </w:rPr>
      </w:pPr>
      <w:proofErr w:type="spellStart"/>
      <w:r w:rsidRPr="567DB84D" w:rsidR="567DB84D">
        <w:rPr>
          <w:rFonts w:ascii="Calibri" w:hAnsi="Calibri" w:eastAsia="Calibri" w:cs="Calibri" w:asciiTheme="minorAscii" w:hAnsiTheme="minorAscii" w:eastAsiaTheme="minorAscii" w:cstheme="minorAscii"/>
          <w:color w:val="auto"/>
          <w:sz w:val="24"/>
          <w:szCs w:val="24"/>
        </w:rPr>
        <w:t>Noradahl</w:t>
      </w:r>
      <w:proofErr w:type="spellEnd"/>
      <w:r w:rsidRPr="567DB84D" w:rsidR="567DB84D">
        <w:rPr>
          <w:rFonts w:ascii="Calibri" w:hAnsi="Calibri" w:eastAsia="Calibri" w:cs="Calibri" w:asciiTheme="minorAscii" w:hAnsiTheme="minorAscii" w:eastAsiaTheme="minorAscii" w:cstheme="minorAscii"/>
          <w:color w:val="auto"/>
          <w:sz w:val="24"/>
          <w:szCs w:val="24"/>
        </w:rPr>
        <w:t xml:space="preserve">, K. and </w:t>
      </w:r>
      <w:proofErr w:type="spellStart"/>
      <w:r w:rsidRPr="567DB84D" w:rsidR="567DB84D">
        <w:rPr>
          <w:rFonts w:ascii="Calibri" w:hAnsi="Calibri" w:eastAsia="Calibri" w:cs="Calibri" w:asciiTheme="minorAscii" w:hAnsiTheme="minorAscii" w:eastAsiaTheme="minorAscii" w:cstheme="minorAscii"/>
          <w:color w:val="auto"/>
          <w:sz w:val="24"/>
          <w:szCs w:val="24"/>
        </w:rPr>
        <w:t>Johannesson</w:t>
      </w:r>
      <w:proofErr w:type="spellEnd"/>
      <w:r w:rsidRPr="567DB84D" w:rsidR="567DB84D">
        <w:rPr>
          <w:rFonts w:ascii="Calibri" w:hAnsi="Calibri" w:eastAsia="Calibri" w:cs="Calibri" w:asciiTheme="minorAscii" w:hAnsiTheme="minorAscii" w:eastAsiaTheme="minorAscii" w:cstheme="minorAscii"/>
          <w:color w:val="auto"/>
          <w:sz w:val="24"/>
          <w:szCs w:val="24"/>
        </w:rPr>
        <w:t>, I. (2014)</w:t>
      </w:r>
      <w:r w:rsidRPr="567DB84D" w:rsidR="567DB84D">
        <w:rPr>
          <w:rFonts w:ascii="Calibri" w:hAnsi="Calibri" w:eastAsia="Calibri" w:cs="Calibri" w:asciiTheme="minorAscii" w:hAnsiTheme="minorAscii" w:eastAsiaTheme="minorAscii" w:cstheme="minorAscii"/>
          <w:i w:val="1"/>
          <w:iCs w:val="1"/>
          <w:color w:val="auto"/>
          <w:sz w:val="24"/>
          <w:szCs w:val="24"/>
        </w:rPr>
        <w:t xml:space="preserve"> ‘Icelandic teachers’ views of using the outdoors’   </w:t>
      </w:r>
      <w:r w:rsidRPr="567DB84D" w:rsidR="567DB84D">
        <w:rPr>
          <w:rFonts w:ascii="Calibri" w:hAnsi="Calibri" w:eastAsia="Calibri" w:cs="Calibri" w:asciiTheme="minorAscii" w:hAnsiTheme="minorAscii" w:eastAsiaTheme="minorAscii" w:cstheme="minorAscii"/>
          <w:color w:val="auto"/>
          <w:sz w:val="24"/>
          <w:szCs w:val="24"/>
        </w:rPr>
        <w:t xml:space="preserve">     </w:t>
      </w:r>
      <w:r w:rsidRPr="567DB84D" w:rsidR="567DB84D">
        <w:rPr>
          <w:rFonts w:ascii="Calibri" w:hAnsi="Calibri" w:eastAsia="Calibri" w:cs="Calibri" w:asciiTheme="minorAscii" w:hAnsiTheme="minorAscii" w:eastAsiaTheme="minorAscii" w:cstheme="minorAscii"/>
          <w:i w:val="1"/>
          <w:iCs w:val="1"/>
          <w:color w:val="auto"/>
          <w:sz w:val="24"/>
          <w:szCs w:val="24"/>
        </w:rPr>
        <w:t>Education</w:t>
      </w:r>
      <w:r w:rsidRPr="567DB84D" w:rsidR="567DB84D">
        <w:rPr>
          <w:rFonts w:ascii="Calibri" w:hAnsi="Calibri" w:eastAsia="Calibri" w:cs="Calibri" w:asciiTheme="minorAscii" w:hAnsiTheme="minorAscii" w:eastAsiaTheme="minorAscii" w:cstheme="minorAscii"/>
          <w:color w:val="auto"/>
          <w:sz w:val="24"/>
          <w:szCs w:val="24"/>
        </w:rPr>
        <w:t xml:space="preserve"> 3-13: International Journal of Primary, Elementary and Early Years Education.        Vol 44, No. 4, September 2014, 391- 406.</w:t>
      </w:r>
    </w:p>
    <w:p w:rsidR="5E47893A" w:rsidP="567DB84D" w:rsidRDefault="5E47893A" w14:paraId="7EC009D2" w14:textId="6C612243" w14:noSpellErr="1">
      <w:pPr>
        <w:bidi w:val="0"/>
        <w:spacing w:line="360" w:lineRule="auto"/>
        <w:jc w:val="both"/>
        <w:rPr>
          <w:rFonts w:ascii="Calibri" w:hAnsi="Calibri" w:eastAsia="Calibri" w:cs="Calibri" w:asciiTheme="minorAscii" w:hAnsiTheme="minorAscii" w:eastAsiaTheme="minorAscii" w:cstheme="minorAscii"/>
          <w:color w:val="auto"/>
        </w:rPr>
      </w:pPr>
      <w:r w:rsidRPr="567DB84D">
        <w:rPr>
          <w:rFonts w:ascii="Calibri" w:hAnsi="Calibri" w:eastAsia="Calibri" w:cs="Calibri" w:asciiTheme="minorAscii" w:hAnsiTheme="minorAscii" w:eastAsiaTheme="minorAscii" w:cstheme="minorAscii"/>
          <w:color w:val="auto"/>
        </w:rPr>
        <w:br w:type="page"/>
      </w:r>
    </w:p>
    <w:p w:rsidR="5E47893A" w:rsidP="567DB84D" w:rsidRDefault="5E47893A" w14:paraId="5746943A" w14:textId="26321681" w14:noSpellErr="1">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u w:val="single"/>
          <w:lang w:val="en-GB"/>
        </w:rPr>
      </w:pPr>
      <w:r w:rsidRPr="567DB84D" w:rsidR="567DB84D">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t>Part 2</w:t>
      </w:r>
    </w:p>
    <w:p w:rsidR="5E47893A" w:rsidP="567DB84D" w:rsidRDefault="5E47893A" w14:paraId="5E208F62" w14:textId="6A9E807E" w14:noSpellErr="1">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A definition has been made by the Forest School Network, stating “it is an inspirational process that offers children, young people and adult's regular opportunities to achieve and develop confidence and self-esteem through hands on learning experiences in a woodland environment</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Murray and O’ Brien</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2006). </w:t>
      </w:r>
    </w:p>
    <w:p w:rsidR="5E47893A" w:rsidP="567DB84D" w:rsidRDefault="5E47893A" w14:paraId="225CBFDD" w14:textId="324D0302">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Concerns have been expressed over young children not having accessibility or opportunities to experience outdoor environments and green spaces as previous generations once had. Parents increasing anxiety for the safety and welfare of their children is leading to more insular lifestyles, not helped by the vast myriad of advancing technology that indoor play now offers. Murray and O'Brien (2006). Further research suggests that children not exposed to their outdoor surroundings in younger years, will ultimately evolve into adults never encountering this experience either. Thus, missing out on the physical and mental attributes that being close to nature gives us. Thompson, </w:t>
      </w: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Aspnall</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Bell, Findlay, </w:t>
      </w: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Wherrett</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w:t>
      </w: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Travlou</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(2004), State learning outdoors offers a different educational experience, to which the Welsh government fundamentally recognises and the multitude of benefits it has, especially in foundation phase. Thus, the reason why in schools, teachers are now being encouraged to adopt Forest schools into their curriculum.</w:t>
      </w:r>
    </w:p>
    <w:p w:rsidR="5E47893A" w:rsidP="567DB84D" w:rsidRDefault="5E47893A" w14:paraId="6C4934D0" w14:textId="423C3AFD">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
    <w:p w:rsidR="5E47893A" w:rsidP="567DB84D" w:rsidRDefault="5E47893A" w14:paraId="3B463DDE" w14:textId="319566FD" w14:noSpellErr="1">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1"/>
          <w:szCs w:val="21"/>
          <w:lang w:val="en-GB"/>
        </w:rPr>
      </w:pPr>
      <w:r w:rsidRPr="567DB84D">
        <w:rPr>
          <w:rFonts w:ascii="Calibri" w:hAnsi="Calibri" w:eastAsia="Calibri" w:cs="Calibri" w:asciiTheme="minorAscii" w:hAnsiTheme="minorAscii" w:eastAsiaTheme="minorAscii" w:cstheme="minorAscii"/>
          <w:color w:val="auto"/>
        </w:rPr>
        <w:br w:type="page"/>
      </w:r>
    </w:p>
    <w:p w:rsidR="5E47893A" w:rsidP="567DB84D" w:rsidRDefault="5E47893A" w14:paraId="4FD789E1" w14:textId="4B01C761">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E47893A" w:rsidP="567DB84D" w:rsidRDefault="5E47893A" w14:paraId="5835A80B" w14:textId="168C9393" w14:noSpellErr="1">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Reference list: </w:t>
      </w:r>
    </w:p>
    <w:p w:rsidR="5E47893A" w:rsidP="567DB84D" w:rsidRDefault="5E47893A" w14:paraId="41FCBAA3" w14:textId="3382DD53" w14:noSpellErr="1">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Welsh Assembly Government, (2009)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Outdoor Learning Handbook. </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Cardiff: WAG.      Aspinall, P. et al. (2004)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Open spaces and social inclusion: Local woodland use in central Scotland. </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Edinburgh: Report to the Forestry Commission.                                                                O’Brien, E. and Murray, R. (2006).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A marvellous opportunity for children to learn: A participatory evaluation of forest school in England and Wales. </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Farnham: Forest Research. </w:t>
      </w:r>
    </w:p>
    <w:p w:rsidR="0EB90BFE" w:rsidP="567DB84D" w:rsidRDefault="0EB90BFE" w14:paraId="5CC12D58" w14:textId="372283E2" w14:noSpellErr="1">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0EB90BFE" w:rsidP="567DB84D" w:rsidRDefault="0EB90BFE" w14:paraId="453CDDD0" w14:textId="325E3566" w14:noSpellErr="1">
      <w:pPr>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1"/>
          <w:bCs w:val="1"/>
          <w:i w:val="0"/>
          <w:iCs w:val="0"/>
          <w:noProof w:val="0"/>
          <w:color w:val="auto"/>
          <w:sz w:val="21"/>
          <w:szCs w:val="21"/>
          <w:lang w:val="en-GB"/>
        </w:rPr>
        <w:t xml:space="preserve"> </w:t>
      </w:r>
      <w:r w:rsidRPr="567DB84D" w:rsidR="567DB84D">
        <w:rPr>
          <w:rFonts w:ascii="Calibri" w:hAnsi="Calibri" w:eastAsia="Calibri" w:cs="Calibri" w:asciiTheme="minorAscii" w:hAnsiTheme="minorAscii" w:eastAsiaTheme="minorAscii" w:cstheme="minorAscii"/>
          <w:b w:val="1"/>
          <w:bCs w:val="1"/>
          <w:i w:val="0"/>
          <w:iCs w:val="0"/>
          <w:noProof w:val="0"/>
          <w:color w:val="auto"/>
          <w:sz w:val="21"/>
          <w:szCs w:val="21"/>
          <w:u w:val="single"/>
          <w:lang w:val="en-GB"/>
        </w:rPr>
        <w:t>Part2b</w:t>
      </w:r>
    </w:p>
    <w:p w:rsidR="0EB90BFE" w:rsidP="567DB84D" w:rsidRDefault="0EB90BFE" w14:paraId="66C2CEC9" w14:textId="7E7DF550">
      <w:pPr>
        <w:pStyle w:val="Normal"/>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definition of Plagiarism is to take others work, ideas or images without acknowledging and giving credit to any of the authors works. Thus, claiming credit for your own purposes. (Oxford university, 2018) “Derived from the Latin word </w:t>
      </w: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plagiere</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which originally means to kidnap or abduct” (</w:t>
      </w: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Satvik</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shiva</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,2006). In the world of academia, there are many reasons why it is imperative for students to adhere and abstain from engaging in this act.</w:t>
      </w:r>
    </w:p>
    <w:p w:rsidR="0EB90BFE" w:rsidP="567DB84D" w:rsidRDefault="0EB90BFE" w14:paraId="4FC0CAFB" w14:textId="5D0CC63C" w14:noSpellErr="1">
      <w:pPr>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Firstly, Universities have a zero-tolerance policy towards plagiarism, which are usually generalized into three categories, ranging from poor academic practice, where the student has made a genuine mistake, moderate plagiarism where multiple instances of poor academic practice have taken place and lastly serious plagiarism which could mean taking someone else's work and claiming it as your own.  Depending on which category you fall under, sanctions could range from having to re submit your work, to more severe consequences where expulsion from your university could occur </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Birmingham university,2018)</w:t>
      </w:r>
    </w:p>
    <w:p w:rsidR="0EB90BFE" w:rsidP="567DB84D" w:rsidRDefault="0EB90BFE" w14:paraId="3EF06837" w14:textId="52DDD5C3" w14:noSpellErr="1">
      <w:pPr>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Secondly, the consequences of being labelled a cheat, whether it be accidental or intentional could have a detrimental impact on the student. “The following months were a living hell” (Powell, 2017) as “there is a definite stigma around it” which can result in shame and embarrassment. </w:t>
      </w:r>
    </w:p>
    <w:p w:rsidR="0EB90BFE" w:rsidP="567DB84D" w:rsidRDefault="0EB90BFE" w14:paraId="6D44039F" w14:textId="290A3187" w14:noSpellErr="1">
      <w:pPr>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Thirdly, “University students who purchase essays online</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face fines and a criminal record under plans to punish plagiarism being considered by the Government” (Yorke, 2017) </w:t>
      </w:r>
    </w:p>
    <w:p w:rsidR="0EB90BFE" w:rsidP="567DB84D" w:rsidRDefault="0EB90BFE" w14:paraId="531F0F61" w14:textId="7D66E6A0">
      <w:pPr>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0EB90BFE" w:rsidP="567DB84D" w:rsidRDefault="0EB90BFE" w14:paraId="521A66F9" w14:textId="7924461B">
      <w:pPr>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0EB90BFE" w:rsidP="567DB84D" w:rsidRDefault="0EB90BFE" w14:paraId="54324F67" w14:textId="6C1F64F8">
      <w:pPr>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0EB90BFE" w:rsidP="567DB84D" w:rsidRDefault="0EB90BFE" w14:paraId="579318CA" w14:noSpellErr="1" w14:textId="687AD45D">
      <w:pPr>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Lastly, students gain invaluable skills whilst at University. To deny oneself “critical, analytical synthesising an problem solving” (University of Cambridge</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2017), to name a few. Producing your own piece of work not only demonstrates academic integrity and comprehension, but also your own personal understanding of the subject matter. </w:t>
      </w:r>
    </w:p>
    <w:p w:rsidR="0EB90BFE" w:rsidP="567DB84D" w:rsidRDefault="0EB90BFE" w14:paraId="6A79D27C" w14:textId="595FB189">
      <w:pPr>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0EB90BFE" w:rsidP="567DB84D" w:rsidRDefault="0EB90BFE" w14:paraId="09C54B8B" w14:textId="5FC3CD4C" w14:noSpellErr="1">
      <w:pPr>
        <w:pStyle w:val="Normal"/>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The answer to the question is false, it is Imperative that everything you include in your work is referenced, whether it be a telephone call or information gathered threw the internet. Not only do you protect yourself from plagiarism, you are acknowledging the work of other academics</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thus making your work more credible and reliant. It also allows readers to locate sources you have used in your work. (Downes</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2018).</w:t>
      </w:r>
    </w:p>
    <w:p w:rsidR="0EB90BFE" w:rsidP="567DB84D" w:rsidRDefault="0EB90BFE" w14:paraId="699D23B0" w14:textId="25421D97">
      <w:pPr>
        <w:bidi w:val="0"/>
        <w:spacing w:after="160" w:line="259" w:lineRule="auto"/>
        <w:jc w:val="center"/>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0EB90BFE" w:rsidP="567DB84D" w:rsidRDefault="0EB90BFE" w14:paraId="1A79401F" w14:textId="08592A31" w14:noSpellErr="1">
      <w:pPr>
        <w:bidi w:val="0"/>
        <w:spacing w:after="160" w:line="259" w:lineRule="auto"/>
        <w:jc w:val="center"/>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pPr>
    </w:p>
    <w:p w:rsidR="0EB90BFE" w:rsidP="567DB84D" w:rsidRDefault="0EB90BFE" w14:paraId="1687FFE5" w14:textId="5216E597" w14:noSpellErr="1">
      <w:pPr>
        <w:bidi w:val="0"/>
        <w:spacing w:after="160" w:line="259" w:lineRule="auto"/>
        <w:jc w:val="center"/>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t>Instructions for a long quotation – more than 30 words or 2 lines</w:t>
      </w:r>
    </w:p>
    <w:p w:rsidR="0EB90BFE" w:rsidP="567DB84D" w:rsidRDefault="0EB90BFE" w14:paraId="51460EC3" w14:textId="797FDD5B">
      <w:pPr>
        <w:bidi w:val="0"/>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1"/>
          <w:bCs w:val="1"/>
          <w:i w:val="0"/>
          <w:iCs w:val="0"/>
          <w:noProof w:val="0"/>
          <w:color w:val="auto"/>
          <w:sz w:val="24"/>
          <w:szCs w:val="24"/>
          <w:lang w:val="en-GB"/>
        </w:rPr>
        <w:t xml:space="preserve">                                                                                                                                                   </w:t>
      </w:r>
    </w:p>
    <w:p w:rsidR="0EB90BFE" w:rsidP="567DB84D" w:rsidRDefault="0EB90BFE" w14:paraId="02D5094D" w14:textId="54C5810A" w14:noSpellErr="1">
      <w:pPr>
        <w:bidi w:val="0"/>
        <w:spacing w:after="160" w:line="24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67DB84D" w:rsidR="567DB84D">
        <w:rPr>
          <w:rFonts w:ascii="Calibri" w:hAnsi="Calibri" w:eastAsia="Calibri" w:cs="Calibri" w:asciiTheme="minorAscii" w:hAnsiTheme="minorAscii" w:eastAsiaTheme="minorAscii" w:cstheme="minorAscii"/>
          <w:b w:val="1"/>
          <w:bCs w:val="1"/>
          <w:i w:val="0"/>
          <w:iCs w:val="0"/>
          <w:noProof w:val="0"/>
          <w:color w:val="auto"/>
          <w:sz w:val="24"/>
          <w:szCs w:val="24"/>
          <w:lang w:val="en-GB"/>
        </w:rPr>
        <w:t xml:space="preserve">  Format:</w:t>
      </w:r>
    </w:p>
    <w:p w:rsidR="0EB90BFE" w:rsidP="567DB84D" w:rsidRDefault="0EB90BFE" w14:paraId="33F601D7" w14:textId="5E761E97" w14:noSpellErr="1">
      <w:pPr>
        <w:pStyle w:val="ListParagraph"/>
        <w:numPr>
          <w:ilvl w:val="0"/>
          <w:numId w:val="2"/>
        </w:numPr>
        <w:bidi w:val="0"/>
        <w:spacing w:after="160" w:line="259" w:lineRule="auto"/>
        <w:jc w:val="left"/>
        <w:rPr>
          <w:noProof w:val="0"/>
          <w:color w:val="000000" w:themeColor="text1" w:themeTint="FF" w:themeShade="FF"/>
          <w:sz w:val="22"/>
          <w:szCs w:val="22"/>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Enter as a separate paragraph</w:t>
      </w:r>
    </w:p>
    <w:p w:rsidR="0EB90BFE" w:rsidP="567DB84D" w:rsidRDefault="0EB90BFE" w14:paraId="33D47210" w14:textId="69566BAC" w14:noSpellErr="1">
      <w:pPr>
        <w:pStyle w:val="ListParagraph"/>
        <w:numPr>
          <w:ilvl w:val="0"/>
          <w:numId w:val="2"/>
        </w:numPr>
        <w:bidi w:val="0"/>
        <w:spacing w:after="160" w:line="259" w:lineRule="auto"/>
        <w:jc w:val="both"/>
        <w:rPr>
          <w:noProof w:val="0"/>
          <w:color w:val="000000" w:themeColor="text1" w:themeTint="FF" w:themeShade="FF"/>
          <w:sz w:val="22"/>
          <w:szCs w:val="22"/>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Indent the paragraph</w:t>
      </w:r>
    </w:p>
    <w:p w:rsidR="0EB90BFE" w:rsidP="567DB84D" w:rsidRDefault="0EB90BFE" w14:paraId="2C8E7D14" w14:textId="47FD0FB4" w14:noSpellErr="1">
      <w:pPr>
        <w:pStyle w:val="ListParagraph"/>
        <w:numPr>
          <w:ilvl w:val="0"/>
          <w:numId w:val="2"/>
        </w:numPr>
        <w:bidi w:val="0"/>
        <w:spacing w:after="160" w:line="259" w:lineRule="auto"/>
        <w:jc w:val="both"/>
        <w:rPr>
          <w:noProof w:val="0"/>
          <w:color w:val="000000" w:themeColor="text1" w:themeTint="FF" w:themeShade="FF"/>
          <w:sz w:val="22"/>
          <w:szCs w:val="22"/>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Quotation marks are not required</w:t>
      </w:r>
    </w:p>
    <w:p w:rsidR="0EB90BFE" w:rsidP="567DB84D" w:rsidRDefault="0EB90BFE" w14:paraId="7468328B" w14:textId="039B05A9" w14:noSpellErr="1">
      <w:pPr>
        <w:pStyle w:val="ListParagraph"/>
        <w:numPr>
          <w:ilvl w:val="0"/>
          <w:numId w:val="2"/>
        </w:numPr>
        <w:bidi w:val="0"/>
        <w:jc w:val="both"/>
        <w:rPr>
          <w:color w:val="000000" w:themeColor="text1" w:themeTint="FF" w:themeShade="FF"/>
          <w:sz w:val="22"/>
          <w:szCs w:val="22"/>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Follow with the in-text citation</w:t>
      </w:r>
    </w:p>
    <w:p w:rsidR="0EB90BFE" w:rsidP="567DB84D" w:rsidRDefault="0EB90BFE" w14:paraId="7B7D70EE" w14:textId="5B864684" w14:noSpellErr="1">
      <w:pPr>
        <w:pStyle w:val="Normal"/>
        <w:bidi w:val="0"/>
        <w:spacing w:after="160" w:line="360" w:lineRule="auto"/>
        <w:ind w:left="72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(Downes,2018)</w:t>
      </w:r>
    </w:p>
    <w:p w:rsidR="0EB90BFE" w:rsidP="567DB84D" w:rsidRDefault="0EB90BFE" w14:paraId="7352E0F2" w14:textId="30C9C441">
      <w:pPr>
        <w:pStyle w:val="Normal"/>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0EB90BFE" w:rsidP="567DB84D" w:rsidRDefault="0EB90BFE" w14:paraId="738DDFF5" w14:textId="0652ED1A" w14:noSpellErr="1">
      <w:pPr>
        <w:pStyle w:val="Normal"/>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When beginning to start academic research, a reliable point of access would be at a university library, where they can offer credible sources of information and guide oneself in the right direction. </w:t>
      </w:r>
    </w:p>
    <w:p w:rsidR="0EB90BFE" w:rsidP="567DB84D" w:rsidRDefault="0EB90BFE" w14:paraId="213AC726" w14:textId="24E78DD3">
      <w:pPr>
        <w:pStyle w:val="Normal"/>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0EB90BFE" w:rsidP="567DB84D" w:rsidRDefault="0EB90BFE" w14:paraId="653DBA06" w14:textId="26CC1F39" w14:noSpellErr="1">
      <w:pPr>
        <w:pStyle w:val="Normal"/>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
    <w:p w:rsidR="0EB90BFE" w:rsidP="567DB84D" w:rsidRDefault="0EB90BFE" w14:paraId="7978162A" w14:textId="3E534DFF" w14:noSpellErr="1">
      <w:pPr>
        <w:pStyle w:val="Normal"/>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0EB90BFE" w:rsidP="567DB84D" w:rsidRDefault="0EB90BFE" w14:paraId="6014FF74" w14:textId="2A2FE3AA" w14:noSpellErr="1">
      <w:pPr>
        <w:pStyle w:val="Normal"/>
        <w:bidi w:val="0"/>
        <w:spacing w:after="160"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Five sources of reliable information to consider: </w:t>
      </w:r>
    </w:p>
    <w:p w:rsidR="0EB90BFE" w:rsidP="567DB84D" w:rsidRDefault="0EB90BFE" w14:paraId="78D89830" w14:textId="4406A6CB" w14:noSpellErr="1">
      <w:pPr>
        <w:pStyle w:val="ListParagraph"/>
        <w:numPr>
          <w:ilvl w:val="1"/>
          <w:numId w:val="1"/>
        </w:numPr>
        <w:bidi w:val="0"/>
        <w:spacing w:after="160" w:line="360" w:lineRule="auto"/>
        <w:jc w:val="both"/>
        <w:rPr>
          <w:noProof w:val="0"/>
          <w:color w:val="000000" w:themeColor="text1" w:themeTint="FF" w:themeShade="FF"/>
          <w:sz w:val="22"/>
          <w:szCs w:val="22"/>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Journals </w:t>
      </w:r>
    </w:p>
    <w:p w:rsidR="0EB90BFE" w:rsidP="567DB84D" w:rsidRDefault="0EB90BFE" w14:paraId="458BA081" w14:textId="1BD5AF8E" w14:noSpellErr="1">
      <w:pPr>
        <w:pStyle w:val="ListParagraph"/>
        <w:numPr>
          <w:ilvl w:val="1"/>
          <w:numId w:val="1"/>
        </w:numPr>
        <w:bidi w:val="0"/>
        <w:spacing w:after="160" w:line="360" w:lineRule="auto"/>
        <w:jc w:val="both"/>
        <w:rPr>
          <w:noProof w:val="0"/>
          <w:color w:val="000000" w:themeColor="text1" w:themeTint="FF" w:themeShade="FF"/>
          <w:sz w:val="22"/>
          <w:szCs w:val="22"/>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Current News Articles</w:t>
      </w:r>
    </w:p>
    <w:p w:rsidR="0EB90BFE" w:rsidP="567DB84D" w:rsidRDefault="0EB90BFE" w14:paraId="59CE2922" w14:textId="2527D885" w14:noSpellErr="1">
      <w:pPr>
        <w:pStyle w:val="ListParagraph"/>
        <w:numPr>
          <w:ilvl w:val="1"/>
          <w:numId w:val="1"/>
        </w:numPr>
        <w:bidi w:val="0"/>
        <w:spacing w:after="160" w:line="360" w:lineRule="auto"/>
        <w:jc w:val="both"/>
        <w:rPr>
          <w:noProof w:val="0"/>
          <w:color w:val="000000" w:themeColor="text1" w:themeTint="FF" w:themeShade="FF"/>
          <w:sz w:val="22"/>
          <w:szCs w:val="22"/>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Legal and Government Publications </w:t>
      </w:r>
    </w:p>
    <w:p w:rsidR="0EB90BFE" w:rsidP="567DB84D" w:rsidRDefault="0EB90BFE" w14:paraId="77408D16" w14:textId="1BD045A9" w14:noSpellErr="1">
      <w:pPr>
        <w:pStyle w:val="ListParagraph"/>
        <w:numPr>
          <w:ilvl w:val="1"/>
          <w:numId w:val="1"/>
        </w:numPr>
        <w:bidi w:val="0"/>
        <w:spacing w:after="160" w:line="360" w:lineRule="auto"/>
        <w:jc w:val="both"/>
        <w:rPr>
          <w:noProof w:val="0"/>
          <w:color w:val="000000" w:themeColor="text1" w:themeTint="FF" w:themeShade="FF"/>
          <w:sz w:val="22"/>
          <w:szCs w:val="22"/>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E-books</w:t>
      </w:r>
    </w:p>
    <w:p w:rsidR="0EB90BFE" w:rsidP="567DB84D" w:rsidRDefault="0EB90BFE" w14:paraId="36BF289B" w14:textId="79EEB9C9" w14:noSpellErr="1">
      <w:pPr>
        <w:pStyle w:val="ListParagraph"/>
        <w:numPr>
          <w:ilvl w:val="1"/>
          <w:numId w:val="1"/>
        </w:numPr>
        <w:bidi w:val="0"/>
        <w:spacing w:after="160" w:line="360" w:lineRule="auto"/>
        <w:jc w:val="both"/>
        <w:rPr>
          <w:noProof w:val="0"/>
          <w:color w:val="000000" w:themeColor="text1" w:themeTint="FF" w:themeShade="FF"/>
          <w:sz w:val="22"/>
          <w:szCs w:val="22"/>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Credible</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websites</w:t>
      </w:r>
    </w:p>
    <w:p w:rsidR="5E47893A" w:rsidP="567DB84D" w:rsidRDefault="5E47893A" w14:paraId="25DBF9B9" w14:textId="70A1F78C" w14:noSpellErr="1">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(Downes,</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2018)</w:t>
      </w:r>
    </w:p>
    <w:p w:rsidR="0EB90BFE" w:rsidP="567DB84D" w:rsidRDefault="0EB90BFE" w14:paraId="42994735" w14:textId="100B48F2" w14:noSpellErr="1">
      <w:pPr>
        <w:bidi w:val="0"/>
        <w:spacing w:after="160" w:line="240" w:lineRule="auto"/>
        <w:jc w:val="both"/>
        <w:rPr>
          <w:rFonts w:ascii="Calibri" w:hAnsi="Calibri" w:eastAsia="Calibri" w:cs="Calibri" w:asciiTheme="minorAscii" w:hAnsiTheme="minorAscii" w:eastAsiaTheme="minorAscii" w:cstheme="minorAscii"/>
          <w:b w:val="1"/>
          <w:bCs w:val="1"/>
          <w:i w:val="0"/>
          <w:iCs w:val="0"/>
          <w:noProof w:val="0"/>
          <w:color w:val="auto"/>
          <w:sz w:val="28"/>
          <w:szCs w:val="28"/>
          <w:u w:val="single"/>
          <w:lang w:val="en-GB"/>
        </w:rPr>
      </w:pPr>
    </w:p>
    <w:p w:rsidR="0EB90BFE" w:rsidP="567DB84D" w:rsidRDefault="0EB90BFE" w14:paraId="068E6AD1" w14:textId="18690970" w14:noSpellErr="1">
      <w:pPr>
        <w:bidi w:val="0"/>
        <w:spacing w:after="160" w:line="240" w:lineRule="auto"/>
        <w:jc w:val="both"/>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pPr>
      <w:r w:rsidRPr="567DB84D" w:rsidR="567DB84D">
        <w:rPr>
          <w:rFonts w:ascii="Calibri" w:hAnsi="Calibri" w:eastAsia="Calibri" w:cs="Calibri" w:asciiTheme="minorAscii" w:hAnsiTheme="minorAscii" w:eastAsiaTheme="minorAscii" w:cstheme="minorAscii"/>
          <w:b w:val="1"/>
          <w:bCs w:val="1"/>
          <w:i w:val="0"/>
          <w:iCs w:val="0"/>
          <w:noProof w:val="0"/>
          <w:color w:val="auto"/>
          <w:sz w:val="28"/>
          <w:szCs w:val="28"/>
          <w:u w:val="single"/>
          <w:lang w:val="en-GB"/>
        </w:rPr>
        <w:t>References</w:t>
      </w:r>
    </w:p>
    <w:p w:rsidR="42213F27" w:rsidP="567DB84D" w:rsidRDefault="42213F27" w14:paraId="78E2CF70" w14:textId="3994A3A0" w14:noSpellErr="1">
      <w:pPr>
        <w:pStyle w:val="Normal"/>
        <w:bidi w:val="0"/>
        <w:spacing w:after="160" w:line="24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University of Birmingham (2018) Code of practice academic integrity 17/18. Available at: </w:t>
      </w:r>
      <w:hyperlink r:id="Rf835c635c0c14532">
        <w:r w:rsidRPr="567DB84D" w:rsidR="567DB84D">
          <w:rPr>
            <w:rStyle w:val="Hyperlink"/>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https://www.birmingham.ac.uk/documents/university/legal/academic-integrity.pdf</w:t>
        </w:r>
      </w:hyperlink>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(Accessed:16</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vertAlign w:val="superscript"/>
          <w:lang w:val="en-GB"/>
        </w:rPr>
        <w:t>th</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October 2018). </w:t>
      </w:r>
    </w:p>
    <w:p w:rsidR="42213F27" w:rsidP="567DB84D" w:rsidRDefault="42213F27" w14:paraId="4B02397A" w14:noSpellErr="1" w14:textId="07A333C7">
      <w:pPr>
        <w:pStyle w:val="Normal"/>
        <w:bidi w:val="0"/>
        <w:spacing w:after="160" w:line="24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vertAlign w:val="superscript"/>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University of Cambridge (2017) Transferable skills. Available at: </w:t>
      </w:r>
      <w:hyperlink r:id="R675fb878e7ab4781">
        <w:r w:rsidRPr="567DB84D" w:rsidR="567DB84D">
          <w:rPr>
            <w:rStyle w:val="Hyperlink"/>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https://www.classics.cam.ac.uk/student-information/undergraduate-students/transferable-skills</w:t>
        </w:r>
      </w:hyperlink>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(Accessed: 10</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vertAlign w:val="superscript"/>
          <w:lang w:val="en-GB"/>
        </w:rPr>
        <w:t>th</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October 2018)</w:t>
      </w:r>
    </w:p>
    <w:p w:rsidR="42213F27" w:rsidP="567DB84D" w:rsidRDefault="42213F27" w14:paraId="01B1EEE4" w14:textId="45445463" w14:noSpellErr="1">
      <w:pPr>
        <w:pStyle w:val="Normal"/>
        <w:bidi w:val="0"/>
        <w:spacing w:after="160" w:line="24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Downes, E. and Evans, A. (2018) Referencing handbook: Harvard. </w:t>
      </w:r>
    </w:p>
    <w:p w:rsidR="42213F27" w:rsidP="567DB84D" w:rsidRDefault="42213F27" w14:paraId="36830148" w14:textId="7B4245D3" w14:noSpellErr="1">
      <w:pPr>
        <w:pStyle w:val="Normal"/>
        <w:bidi w:val="0"/>
        <w:spacing w:after="160" w:line="24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Oxford of university (2018)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u w:val="none"/>
          <w:lang w:val="en-GB"/>
        </w:rPr>
        <w:t xml:space="preserve">Plagiarism </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[Medium] Available at: </w:t>
      </w:r>
      <w:hyperlink r:id="R5a35ec91bd8c468a">
        <w:r w:rsidRPr="567DB84D" w:rsidR="567DB84D">
          <w:rPr>
            <w:rStyle w:val="Hyperlink"/>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https://www.ox.ac.uk/students/academic/guidance/skills/plagiarism?wssl=1</w:t>
        </w:r>
      </w:hyperlink>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(accessed: 2th October 2018). </w:t>
      </w:r>
    </w:p>
    <w:p w:rsidR="42213F27" w:rsidP="567DB84D" w:rsidRDefault="42213F27" w14:paraId="7335412A" w14:textId="5BD37101" w14:noSpellErr="1">
      <w:pPr>
        <w:pStyle w:val="Normal"/>
        <w:bidi w:val="0"/>
        <w:spacing w:after="160" w:line="24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Powell, A.Y. (2017) ‘How serious is essay plagiarism’, The Guardian, 21</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vertAlign w:val="superscript"/>
          <w:lang w:val="en-GB"/>
        </w:rPr>
        <w:t>st</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February. Available</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at: </w:t>
      </w:r>
      <w:hyperlink r:id="Re270f2a73e1a4ec0">
        <w:r w:rsidRPr="567DB84D" w:rsidR="567DB84D">
          <w:rPr>
            <w:rStyle w:val="Hyperlink"/>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http://www.theguardian.com/education/2017/dec  (</w:t>
        </w:r>
      </w:hyperlink>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Accessed 2</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vertAlign w:val="superscript"/>
          <w:lang w:val="en-GB"/>
        </w:rPr>
        <w:t>nd</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October 2018).</w:t>
      </w:r>
    </w:p>
    <w:p w:rsidR="42213F27" w:rsidP="567DB84D" w:rsidRDefault="42213F27" w14:paraId="24BD02AE" w14:textId="0FF9C46C">
      <w:pPr>
        <w:pStyle w:val="Normal"/>
        <w:bidi w:val="0"/>
        <w:spacing w:after="160" w:line="24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Shiva.S</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(2006) ‘What's the origin of the word plagiarism’ The Times of India, 7</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vertAlign w:val="superscript"/>
          <w:lang w:val="en-GB"/>
        </w:rPr>
        <w:t xml:space="preserve">th </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May.  https:/timesofindia.indiatimes.com/what's/the/origin/of/the/word/plagiarism/article/show/1519035.</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cms</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(Accessed 11</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vertAlign w:val="superscript"/>
          <w:lang w:val="en-GB"/>
        </w:rPr>
        <w:t>th</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October 2018)</w:t>
      </w:r>
    </w:p>
    <w:p w:rsidR="42213F27" w:rsidP="567DB84D" w:rsidRDefault="42213F27" w14:paraId="19C21CCC" w14:textId="5D8323C7" w14:noSpellErr="1">
      <w:pPr>
        <w:pStyle w:val="Normal"/>
        <w:bidi w:val="0"/>
        <w:spacing w:after="160" w:line="24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Yorke, H. (2017) ‘University students could be fined or handed criminal records for plagiarised essays, new proposals suggest’, The Telegraph, 21</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vertAlign w:val="superscript"/>
          <w:lang w:val="en-GB"/>
        </w:rPr>
        <w:t>st</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February. Available at: https://www.thetelegraph.co.uk/education/2017/02/2/30/is-plagiarism-really-a-growing-problem-in-universities (Accessed 12</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vertAlign w:val="superscript"/>
          <w:lang w:val="en-GB"/>
        </w:rPr>
        <w:t>th</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October 2018).</w:t>
      </w:r>
    </w:p>
    <w:p w:rsidR="42213F27" w:rsidP="567DB84D" w:rsidRDefault="42213F27" w14:paraId="03FB9BC0" w14:textId="18BA52DF" w14:noSpellErr="1">
      <w:pPr>
        <w:pStyle w:val="Normal"/>
        <w:bidi w:val="0"/>
        <w:spacing w:after="160" w:line="24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p>
    <w:p w:rsidR="42213F27" w:rsidP="567DB84D" w:rsidRDefault="42213F27" w14:paraId="355C1323" w14:textId="61D8D850">
      <w:pPr>
        <w:pStyle w:val="Normal"/>
        <w:bidi w:val="0"/>
        <w:spacing w:after="160" w:line="36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p>
    <w:p w:rsidR="42213F27" w:rsidP="567DB84D" w:rsidRDefault="42213F27" w14:paraId="5A65B35C" w14:textId="41BE18A5">
      <w:pPr>
        <w:pStyle w:val="Normal"/>
        <w:bidi w:val="0"/>
        <w:spacing w:after="160" w:line="36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p>
    <w:p w:rsidR="42213F27" w:rsidP="567DB84D" w:rsidRDefault="42213F27" w14:paraId="65B8D1CC" w14:textId="55C91345" w14:noSpellErr="1">
      <w:pPr>
        <w:pStyle w:val="Normal"/>
        <w:bidi w:val="0"/>
        <w:spacing w:after="160" w:line="36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p>
    <w:p w:rsidR="42213F27" w:rsidP="567DB84D" w:rsidRDefault="42213F27" w14:paraId="21858147" w14:textId="64A136AA" w14:noSpellErr="1">
      <w:pPr>
        <w:pStyle w:val="Normal"/>
        <w:bidi w:val="0"/>
        <w:spacing w:after="160" w:line="36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p>
    <w:p w:rsidR="42213F27" w:rsidP="567DB84D" w:rsidRDefault="42213F27" w14:paraId="102E2576" w14:textId="12917371">
      <w:pPr>
        <w:pStyle w:val="Normal"/>
        <w:bidi w:val="0"/>
        <w:spacing w:after="160" w:line="360"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p>
    <w:p w:rsidR="567DB84D" w:rsidP="567DB84D" w:rsidRDefault="567DB84D" w14:noSpellErr="1" w14:paraId="426AE6D6" w14:textId="0FAC6C15">
      <w:pPr>
        <w:bidi w:val="0"/>
        <w:spacing w:after="160" w:line="259" w:lineRule="auto"/>
        <w:jc w:val="center"/>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t>A critical response to – ‘yes but...’ rhetoric, reality and resistance in teaching assistants'</w:t>
      </w:r>
    </w:p>
    <w:p w:rsidR="567DB84D" w:rsidP="567DB84D" w:rsidRDefault="567DB84D" w14:noSpellErr="1" w14:paraId="20296D43" w14:textId="2413C91B">
      <w:pPr>
        <w:bidi w:val="0"/>
        <w:spacing w:after="160" w:line="360" w:lineRule="auto"/>
        <w:jc w:val="center"/>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t xml:space="preserve"> experiences of inclusive education, (Suzanne Mackenzie, 2011)</w:t>
      </w:r>
    </w:p>
    <w:p w:rsidR="567DB84D" w:rsidP="567DB84D" w:rsidRDefault="567DB84D" w14:paraId="792DBFF6" w14:textId="3FD399FC">
      <w:pPr>
        <w:bidi w:val="0"/>
        <w:spacing w:after="160" w:line="259" w:lineRule="auto"/>
        <w:jc w:val="center"/>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noSpellErr="1" w14:paraId="56FDDC65" w14:textId="48EBCDC5">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In Suzanne Mackenzie ‘Yes but...’ Rhetoric, reality and resistance in teaching assistants' experiences of inclusive education” (Mackensie,2011). The research was published in the British journal of Learning Support, dated 2001. Mackenzie's research brings to light and focuses on the role of the TA, working with children with special educational needs, within a mainstream educational setting. (Mackenzie, 2011) Examining “ambiguity, tension, and contradiction” (Mackenzie,2011). Often created by School policy and governmental frameworks. Leading to disunion and confusion and how this impacts their role within classroom environments.  (Mackenzie, 2011). The study uses qualitative data, taken from personal accounts and cultural backgrounds and how this impacts the day to day execution of inclusion within the classroom (Mackenzie, 2011). Mackenzie's research was influenced by the principle of O’Brien and Garner (2001), who were unsettled “by the possible marginalisation of the TAs role, uncertain contractual arrangements and poor pay” </w:t>
      </w:r>
      <w:proofErr w:type="gram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O'Brien</w:t>
      </w:r>
      <w:proofErr w:type="gram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Garner, 2001). Building on previous research with Gender, understandings of inclusion, motivations to carry out their role and perception of status will also be studied. Mackenzie aims, to recognise the importance of TAs within the Educational settings and acknowledging the dedication and commitment that is often required from them, within often challenging environments (Mackenzie, 2011). </w:t>
      </w:r>
    </w:p>
    <w:p w:rsidR="567DB84D" w:rsidP="567DB84D" w:rsidRDefault="567DB84D" w14:paraId="32C3EA3E" w14:textId="22B49996">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Mackenzie's use of emotive and persuasive language draws the reader in to portray a despondent and often bleak outlook on the realities of inclusion. The subjective use of language could leave the reader feeling empathy and compassion for the </w:t>
      </w: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TAs.</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where innumerable conflicts and frustrations occur daily. Substantiating the often fraught and difficult job TAs endure. As Jane states, “She often felt unsupported after being attacked by a pupil”. (MACKENZIE, 2011).  By only using personal accounts and group discussions from relatively small demographic percentages of students. Mackenzie's article could be biased in the way methods of research were conducted. </w:t>
      </w:r>
    </w:p>
    <w:p w:rsidR="567DB84D" w:rsidP="567DB84D" w:rsidRDefault="567DB84D" w14:paraId="797D45AE" w14:textId="5ADA956D">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paraId="6360C416" w14:textId="32C6D3AC">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paraId="1672A9F1" w14:textId="7A3EA6A2">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noSpellErr="1" w14:paraId="3678FF4E" w14:textId="0F24B34C">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Although qualitive data offers many benefits, as stated by Trochim, 2018) “Qualitative research certainly excels at generating information that is very detailed” (Trochim, 2018) It can also be </w:t>
      </w:r>
      <w:r w:rsidRPr="567DB84D" w:rsidR="567DB84D">
        <w:rPr>
          <w:rFonts w:ascii="Calibri" w:hAnsi="Calibri" w:eastAsia="Calibri" w:cs="Calibri" w:asciiTheme="minorAscii" w:hAnsiTheme="minorAscii" w:eastAsiaTheme="minorAscii" w:cstheme="minorAscii"/>
          <w:b w:val="0"/>
          <w:bCs w:val="0"/>
          <w:i w:val="0"/>
          <w:iCs w:val="0"/>
          <w:noProof w:val="0"/>
          <w:color w:val="auto"/>
          <w:sz w:val="21"/>
          <w:szCs w:val="21"/>
          <w:lang w:val="en-GB"/>
        </w:rPr>
        <w:t>useful in small groups of people, where data can also be “more in-depth", thus participants</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can extend their meaning. (Lancaster.ac.uk, 2018).  Also “the qualitative research admits the researchers to discover the participants inner experiences and to figure out how meanings are shaped through and in culture”, Corbin and Strauss, 2008). Particularly productive in Mackenzie's approach which “presents TAs stories in their own words” (Mackenzie, 2011). However, there are also negative factors to consider, which could result in conclusions of detrimental effect. Thus, impeding a fair outcome. Negative impacts include, data often regarded in the scientific world of research as inconclusive, due to the abstract nature of information, thus Mackenzie's article not being taken seriously or validated. furthermore, the analyst could have an adverse effect on the data collected if a biased perspective were to be encompassed, leading to conclusions being influenced to prove their point in a thesis. Mackenzie respondents were all current or former students of hers, based at the same University. (Mackenzie, 2011). The difficulty to present findings in a statistical way could prove problematic, often having to be backed up by further research. “Quantitative research excels at summarizing large amounts of data and reaching generalizations based on statistical projections” (Trochim, 2018).  This would have allowed Mackenzie to have had a wider selection of participants. Taking data from a larger geographical area, potentially making the results more credible. Quantitative data also tends to be more reliable, dependable and easier to interpret. (Betterthesis.dk, 2018).</w:t>
      </w:r>
    </w:p>
    <w:p w:rsidR="567DB84D" w:rsidP="567DB84D" w:rsidRDefault="567DB84D" w14:noSpellErr="1" w14:paraId="46189260" w14:textId="6F43CB5D">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Although Mackenzie produced evidence, although rather vague, “where there is effective collaboration between Teachers and TAs” (DEVECCHI and ROUSE, 2010). Mackenzie could have elaborated further and expanded on the research carried out by this study, to conclude “That both schools shared a common understanding of what was needed to support each other and work effectively together” (DEVECCHI and ROUSE, 2010). </w:t>
      </w:r>
    </w:p>
    <w:p w:rsidR="567DB84D" w:rsidP="567DB84D" w:rsidRDefault="567DB84D" w14:paraId="0C513E75" w14:textId="2EC76F72">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paraId="3A9F1EE6" w14:textId="4D08BB6B">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paraId="3DCA77B0" w14:textId="2EABB2E7">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They also stated that “Teachers also appreciated TAs support because TAs were a ‘huge relief’ and they could help in ‘taking the pressure off”. (DEVECCHI and ROUSE, 2010).  Blatchford et al. (2009) found “TAs having no effect on Academic achievements of pupils with special needs”, but in fact research over the last five years commissioned by the EEF, where evaluations of six led interventions, involving 150 schools and 2,000 pupils.  “All six studies concluded TAs having a positive impact on learning” (</w:t>
      </w: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Weale</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2016).  Having said this there is evidence to suggest further studies need to be carried out into the impact TAs have on children with special educational needs and the effectiveness they have on their academic success. Example being “pupils in mainstream schools supported for most of the time by a TA make much less academic progress than similar pupils who receive little or no TA support”. (Educationmediacentre.org, 2014). </w:t>
      </w:r>
    </w:p>
    <w:p w:rsidR="567DB84D" w:rsidP="567DB84D" w:rsidRDefault="567DB84D" w14:paraId="18E8450E" w14:textId="0EA5B7AC">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All of Mackenzie's respondents who participated in the case study were sent electronic requests, all of which were studying degree courses at the same University as herself. All the respondents were dissatisfied and expressed much frustration in their current roles as TAs working in inclusion. In fact, only one seemed committed in staying in SEN. (MACKENZIE, 2011).  Furthermore, they were all working at schools in East London. Due to the fact the students held beliefs of discontent, it could be argued that they felt more compelled to take part in the research. In </w:t>
      </w: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Devecchi</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Rouse, (2010) research paper, although only two schools were used to conduct research, they participated in a more “innovative stance” (</w:t>
      </w: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Devecchi</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Rouse, 2010) and allowed for a greater depth of research involving both teachers, TAs and supportive practices in their study's. although Qualitative data was used in Mackenzie's research, only TAs were used to conduct research. </w:t>
      </w:r>
    </w:p>
    <w:p w:rsidR="567DB84D" w:rsidP="567DB84D" w:rsidRDefault="567DB84D" w14:paraId="29B815DC" w14:textId="7F641139">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noSpellErr="1" w14:paraId="6F41EBDB" w14:textId="6ED8CEF8">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I</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n conclusion, I feel that Mackenzie's paper creates for some very interesting reading, by highlighting the many frustrations that TAs endure daily. Thus, allowing the reader to have a real sense of their daily role. </w:t>
      </w:r>
    </w:p>
    <w:p w:rsidR="567DB84D" w:rsidP="567DB84D" w:rsidRDefault="567DB84D" w14:paraId="306BCD4A" w14:textId="7A767CB8">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paraId="423882A9" w14:textId="129C819F">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paraId="0A12B404" w14:textId="535BEDDB">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paraId="62B4D35F" w14:textId="1CB4F2A9">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paraId="0123DECA" w14:textId="59369E26">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However, I feel by only using qualitative data from a few schools in London, you cannot possibly gain an overall picture of how inclusion works across the board. Further research would need to be conducted.  I also feel that Mackenzie could have given more examples of best practice, to allow the reader a fairer view. Having worked in inclusive education for many years, I personally feel that I am supported in my job and have good relationships with TAs and teachers alike. I also have a clear view of what my role is and how this fit into my practice. </w:t>
      </w:r>
    </w:p>
    <w:p w:rsidR="567DB84D" w:rsidP="567DB84D" w:rsidRDefault="567DB84D" w14:paraId="345049AF" w14:textId="11596891">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noSpellErr="1" w14:paraId="65B4D0C3" w14:textId="3EA842FD">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REFERENCE LIST</w:t>
      </w:r>
    </w:p>
    <w:p w:rsidR="567DB84D" w:rsidP="567DB84D" w:rsidRDefault="567DB84D" w14:noSpellErr="1" w14:paraId="5AB9DBB8" w14:textId="1AA60429">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Betterthesis.dk. (2018).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Strengths and limitations | Better Thesis. [</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online] Available at: </w:t>
      </w:r>
      <w:hyperlink r:id="R0837faf709b34f90">
        <w:r w:rsidRPr="567DB84D" w:rsidR="567DB84D">
          <w:rPr>
            <w:rStyle w:val="Hyperlink"/>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http://betterthesis.dk/research-methods/lesson-1different-approaches-to-research/strengths-and-limitations</w:t>
        </w:r>
      </w:hyperlink>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[Accessed 28 Oct. 2018].</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single"/>
          <w:lang w:val="en-GB"/>
        </w:rPr>
        <w:t xml:space="preserve"> </w:t>
      </w:r>
    </w:p>
    <w:p w:rsidR="567DB84D" w:rsidP="567DB84D" w:rsidRDefault="567DB84D" w14:noSpellErr="1" w14:paraId="299381DC" w14:textId="5C076C6A">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DEVECCHI, C. and ROUSE, M. (2010). An exploration of the features of effective collaboration between teachers and teaching assistants in secondary schools.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Support for Learning</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25(2), p.1-99</w:t>
      </w:r>
    </w:p>
    <w:p w:rsidR="567DB84D" w:rsidP="567DB84D" w:rsidRDefault="567DB84D" w14:noSpellErr="1" w14:paraId="4F739AA5" w14:textId="3D3D2F46">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Downes, E. and Evans, A. (2018).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REFERENCING HANDBOOK: HARVARD</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p>
    <w:p w:rsidR="567DB84D" w:rsidP="567DB84D" w:rsidRDefault="567DB84D" w14:noSpellErr="1" w14:paraId="590F7B2F" w14:textId="4FC7B0C7">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Educationmediacentre.org. (2014).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What’s the evidence on</w:t>
      </w:r>
      <w:proofErr w:type="gramStart"/>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w:t>
      </w:r>
      <w:proofErr w:type="gramEnd"/>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the impact of teaching assistants?\EMC.</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[online]Available at</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u w:val="single"/>
          <w:lang w:val="en-GB"/>
        </w:rPr>
        <w:t>:</w:t>
      </w:r>
      <w:hyperlink r:id="Rf640b251652943ce">
        <w:r w:rsidRPr="567DB84D" w:rsidR="567DB84D">
          <w:rPr>
            <w:rStyle w:val="Hyperlink"/>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http://educationmediacentre.org/researchnews/whats-the-evidence-on-the-impact-of-teaching-assistants-three/ [Accessed 29 O. 2018].</w:t>
        </w:r>
        <w:r w:rsidRPr="567DB84D" w:rsidR="567DB84D">
          <w:rPr>
            <w:rStyle w:val="Hyperlink"/>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hyperlink>
    </w:p>
    <w:p w:rsidR="567DB84D" w:rsidP="567DB84D" w:rsidRDefault="567DB84D" w14:noSpellErr="1" w14:paraId="5EBB6E2A" w14:textId="0CF8171F">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Lancaster.ac.uk. (2018).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Qualitative and quantitative research</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[online] Available at: </w:t>
      </w:r>
      <w:hyperlink r:id="R436e5fb694d74a5a">
        <w:r w:rsidRPr="567DB84D" w:rsidR="567DB84D">
          <w:rPr>
            <w:rStyle w:val="Hyperlink"/>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https://www.lancaster.ac.uk/media/lancaster-university/content-assets/documents/learning-skills/quantitativevqualitativeresearchanswers.pdf</w:t>
        </w:r>
      </w:hyperlink>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[Accessed 25 Oct. 2018]. </w:t>
      </w:r>
    </w:p>
    <w:p w:rsidR="567DB84D" w:rsidP="567DB84D" w:rsidRDefault="567DB84D" w14:paraId="434854B2" w14:textId="0A7A2735">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paraId="07738F89" w14:textId="7A6B7582">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noSpellErr="1" w14:paraId="6965DBFE" w14:textId="71E7892F">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noSpellErr="1" w14:paraId="043527B0" w14:textId="3CB283A9">
      <w:pPr>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567DB84D" w:rsidP="567DB84D" w:rsidRDefault="567DB84D" w14:noSpellErr="1" w14:paraId="3360E4F1" w14:textId="4DC50C42">
      <w:pPr>
        <w:pStyle w:val="Normal"/>
        <w:bidi w:val="0"/>
        <w:spacing w:after="160"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MACKENZIE, S. (2011). ‘Yes, but...’: rhetoric, reality and resistance in teaching assistants' experiences of inclusive education.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Support for Learning</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26(2), p.1-67</w:t>
      </w:r>
    </w:p>
    <w:p w:rsidR="567DB84D" w:rsidP="567DB84D" w:rsidRDefault="567DB84D" w14:paraId="4A45DE1F" w14:textId="2E83DE2B">
      <w:pPr>
        <w:pStyle w:val="Normal"/>
        <w:bidi w:val="0"/>
        <w:spacing w:after="160" w:line="293" w:lineRule="exact"/>
        <w:ind w:hanging="120"/>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O,Brien</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 and Garner, p. (2001).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Learning support assistants and their work</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(Mackenzie, 2018)</w:t>
      </w:r>
    </w:p>
    <w:p w:rsidR="567DB84D" w:rsidP="567DB84D" w:rsidRDefault="567DB84D" w14:noSpellErr="1" w14:paraId="2C40A5B0" w14:textId="4E200622">
      <w:pPr>
        <w:pStyle w:val="Normal"/>
        <w:bidi w:val="0"/>
        <w:spacing w:after="160" w:line="293" w:lineRule="exact"/>
        <w:ind w:hanging="120"/>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Oxford Dictionaries. (2018).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Oxford Dictionaries | The World's Most Trusted Dictionary Provider</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[online] Available at: https://www.oxforddictionaries.com/ [Accessed 30 Oct. 2018].</w:t>
      </w:r>
    </w:p>
    <w:p w:rsidR="567DB84D" w:rsidP="567DB84D" w:rsidRDefault="567DB84D" w14:paraId="35C65C47" w14:textId="155F83EF">
      <w:pPr>
        <w:pStyle w:val="Normal"/>
        <w:bidi w:val="0"/>
        <w:spacing w:after="160" w:line="293" w:lineRule="exact"/>
        <w:ind w:left="-120" w:hanging="0"/>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Rahman, S. (2018).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Qualitative Measures</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[online] Pdfs.semanticscholar.org. Available at: </w:t>
      </w:r>
      <w:hyperlink r:id="R9391da43a5cc41ec">
        <w:r w:rsidRPr="567DB84D" w:rsidR="567DB84D">
          <w:rPr>
            <w:rStyle w:val="Hyperlink"/>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https://pdfs.semanticscholar.org/ca82/06e94c0beb7d63e10d04131966233f3d2a70.pdf</w:t>
        </w:r>
      </w:hyperlink>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[Accessed 30 Oct. 2018].</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(Trochim 2018)</w:t>
      </w:r>
    </w:p>
    <w:p w:rsidR="567DB84D" w:rsidP="567DB84D" w:rsidRDefault="567DB84D" w14:paraId="344B6E18" w14:textId="0BAB5613">
      <w:pPr>
        <w:pStyle w:val="Normal"/>
        <w:bidi w:val="0"/>
        <w:spacing w:after="160" w:line="360" w:lineRule="auto"/>
        <w:jc w:val="left"/>
        <w:rPr>
          <w:rFonts w:ascii="Calibri" w:hAnsi="Calibri" w:eastAsia="Calibri" w:cs="Calibri" w:asciiTheme="minorAscii" w:hAnsiTheme="minorAscii" w:eastAsiaTheme="minorAscii" w:cstheme="minorAscii"/>
          <w:b w:val="0"/>
          <w:bCs w:val="0"/>
          <w:i w:val="0"/>
          <w:iCs w:val="0"/>
          <w:noProof w:val="0"/>
          <w:color w:val="666666"/>
          <w:sz w:val="24"/>
          <w:szCs w:val="24"/>
          <w:lang w:val="en-GB"/>
        </w:rPr>
      </w:pP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Weale</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S. (2016). </w:t>
      </w:r>
      <w:r w:rsidRPr="567DB84D" w:rsidR="567DB84D">
        <w:rPr>
          <w:rFonts w:ascii="Calibri" w:hAnsi="Calibri" w:eastAsia="Calibri" w:cs="Calibri" w:asciiTheme="minorAscii" w:hAnsiTheme="minorAscii" w:eastAsiaTheme="minorAscii" w:cstheme="minorAscii"/>
          <w:b w:val="0"/>
          <w:bCs w:val="0"/>
          <w:i w:val="1"/>
          <w:iCs w:val="1"/>
          <w:noProof w:val="0"/>
          <w:color w:val="auto"/>
          <w:sz w:val="24"/>
          <w:szCs w:val="24"/>
          <w:lang w:val="en-GB"/>
        </w:rPr>
        <w:t>Teaching assistants improve pupils' results, studies show</w:t>
      </w:r>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[online] Available at: </w:t>
      </w:r>
      <w:hyperlink>
        <w:r w:rsidRPr="567DB84D" w:rsidR="567DB84D">
          <w:rPr>
            <w:rStyle w:val="Hyperlink"/>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https://.the</w:t>
        </w:r>
      </w:hyperlink>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guardian.com/education/2016/</w:t>
      </w:r>
      <w:proofErr w:type="spellStart"/>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feb</w:t>
      </w:r>
      <w:proofErr w:type="spellEnd"/>
      <w:r w:rsidRPr="567DB84D" w:rsidR="567DB84D">
        <w:rPr>
          <w:rFonts w:ascii="Calibri" w:hAnsi="Calibri" w:eastAsia="Calibri" w:cs="Calibri" w:asciiTheme="minorAscii" w:hAnsiTheme="minorAscii" w:eastAsiaTheme="minorAscii" w:cstheme="minorAscii"/>
          <w:b w:val="0"/>
          <w:bCs w:val="0"/>
          <w:i w:val="0"/>
          <w:iCs w:val="0"/>
          <w:noProof w:val="0"/>
          <w:color w:val="auto"/>
          <w:sz w:val="24"/>
          <w:szCs w:val="24"/>
          <w:lang w:val="en-GB"/>
        </w:rPr>
        <w:t>/26/teaching-assistants-improve [Accessed 24 Oct. 2018].</w:t>
      </w:r>
      <w:r w:rsidRPr="567DB84D" w:rsidR="567DB84D">
        <w:rPr>
          <w:rFonts w:ascii="Calibri" w:hAnsi="Calibri" w:eastAsia="Calibri" w:cs="Calibri" w:asciiTheme="minorAscii" w:hAnsiTheme="minorAscii" w:eastAsiaTheme="minorAscii" w:cstheme="minorAscii"/>
          <w:b w:val="0"/>
          <w:bCs w:val="0"/>
          <w:i w:val="0"/>
          <w:iCs w:val="0"/>
          <w:noProof w:val="0"/>
          <w:color w:val="666666"/>
          <w:sz w:val="24"/>
          <w:szCs w:val="24"/>
          <w:lang w:val="en-GB"/>
        </w:rPr>
        <w:t xml:space="preserve"> </w:t>
      </w:r>
    </w:p>
    <w:p w:rsidR="42213F27" w:rsidP="567DB84D" w:rsidRDefault="42213F27" w14:paraId="53864D1D" w14:textId="5CFDC8AC">
      <w:pPr>
        <w:pStyle w:val="Normal"/>
        <w:bidi w:val="0"/>
        <w:spacing w:after="160"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p>
    <w:p w:rsidR="42213F27" w:rsidP="42213F27" w:rsidRDefault="42213F27" w14:paraId="32C28AAA" w14:textId="21F9A473">
      <w:pPr>
        <w:pStyle w:val="Normal"/>
        <w:bidi w:val="0"/>
        <w:spacing w:after="160" w:line="360" w:lineRule="auto"/>
        <w:jc w:val="left"/>
        <w:rPr>
          <w:rFonts w:ascii="Calibri" w:hAnsi="Calibri" w:eastAsia="Calibri" w:cs="Calibri"/>
          <w:b w:val="0"/>
          <w:bCs w:val="0"/>
          <w:i w:val="0"/>
          <w:iCs w:val="0"/>
          <w:noProof w:val="0"/>
          <w:color w:val="000000" w:themeColor="text1" w:themeTint="FF" w:themeShade="FF"/>
          <w:sz w:val="24"/>
          <w:szCs w:val="24"/>
          <w:u w:val="none"/>
          <w:lang w:val="en-GB"/>
        </w:rPr>
      </w:pPr>
    </w:p>
    <w:p w:rsidR="42213F27" w:rsidP="42213F27" w:rsidRDefault="42213F27" w14:paraId="57BAD4D3" w14:textId="21AA5C0B">
      <w:pPr>
        <w:pStyle w:val="Normal"/>
        <w:bidi w:val="0"/>
        <w:spacing w:after="160" w:line="360" w:lineRule="auto"/>
        <w:jc w:val="left"/>
        <w:rPr>
          <w:rFonts w:ascii="Calibri" w:hAnsi="Calibri" w:eastAsia="Calibri" w:cs="Calibri"/>
          <w:b w:val="0"/>
          <w:bCs w:val="0"/>
          <w:i w:val="0"/>
          <w:iCs w:val="0"/>
          <w:noProof w:val="0"/>
          <w:color w:val="000000" w:themeColor="text1" w:themeTint="FF" w:themeShade="FF"/>
          <w:sz w:val="24"/>
          <w:szCs w:val="24"/>
          <w:u w:val="none"/>
          <w:lang w:val="en-GB"/>
        </w:rPr>
      </w:pPr>
    </w:p>
    <w:p w:rsidR="0EB90BFE" w:rsidP="0EB90BFE" w:rsidRDefault="0EB90BFE" w14:noSpellErr="1" w14:paraId="4B00BBA5" w14:textId="5F1F0CC1">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7A91F7CF" w14:textId="4C2AD74D">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06DEA496" w14:textId="6D717D3D">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3AB64817" w14:textId="0B443489">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7FBBAA66" w14:textId="02EC5B87">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438483A9" w14:textId="0D46A4CA">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4AED9FA1" w14:textId="094DD528">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433060F2" w14:textId="1D74238D">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071FB388" w14:textId="755F4F41">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3C2E4EB9" w14:textId="7A6B0C61">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255F8E31" w14:textId="5B178903">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39EBA15A" w14:textId="3DFA4A35">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1FF61E58" w14:textId="10A36EC7">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19F80775" w14:textId="70126100">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1601FDE9" w14:textId="086AC910">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76A47E40" w14:textId="570CE5A2">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0005058F" w14:textId="687C9F66">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38CBE183" w14:textId="76C49BCB">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079B2A0D" w14:textId="38BCF514">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7C67B188" w14:textId="0BB0394F">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7E5F98E1" w14:textId="57F0696C">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1ACD2C78" w14:textId="33D4F0BC">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78DF6F46" w14:textId="5E8A681B">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305C014E" w14:textId="73E0753D">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1CCD4103" w14:textId="3FF4177E">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05914215" w14:textId="7C5F2E2D">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6F5E790C" w14:textId="53A9EB22">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40C8C3F8" w14:textId="4E2784EB">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48BAD2CB" w14:textId="08657EE3">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55657BD1" w14:textId="2896442E">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24521D0A" w14:textId="24F56A8A">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0AFAFDFB" w14:textId="1FD225B4">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3AD90170" w14:textId="06C59125">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p w:rsidR="0EB90BFE" w:rsidP="0EB90BFE" w:rsidRDefault="0EB90BFE" w14:noSpellErr="1" w14:paraId="719E964E" w14:textId="5592A5B2">
      <w:pPr>
        <w:bidi w:val="0"/>
        <w:spacing w:after="160" w:line="360" w:lineRule="auto"/>
        <w:jc w:val="both"/>
        <w:rPr>
          <w:rFonts w:ascii="Calibri" w:hAnsi="Calibri" w:eastAsia="Calibri" w:cs="Calibri"/>
          <w:b w:val="1"/>
          <w:bCs w:val="1"/>
          <w:i w:val="0"/>
          <w:iCs w:val="0"/>
          <w:noProof w:val="0"/>
          <w:color w:val="000000" w:themeColor="text1" w:themeTint="FF" w:themeShade="FF"/>
          <w:sz w:val="24"/>
          <w:szCs w:val="24"/>
          <w:u w:val="single"/>
          <w:lang w:val="en-GB"/>
        </w:rPr>
      </w:pPr>
    </w:p>
    <w:sectPr>
      <w:pgSz w:w="11906" w:h="16838" w:orient="portrait"/>
      <w:pgMar w:top="1440" w:right="1440" w:bottom="1440" w:left="1440" w:header="720" w:footer="720" w:gutter="0"/>
      <w:cols w:space="720"/>
      <w:docGrid w:linePitch="360"/>
      <w:headerReference w:type="default" r:id="R1abc1d88ab214b5c"/>
      <w:footerReference w:type="default" r:id="R9a241c7a3f7a4a4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7D37E12" w:rsidTr="77D37E12" w14:paraId="740343A0">
      <w:tc>
        <w:tcPr>
          <w:tcW w:w="3009" w:type="dxa"/>
          <w:tcMar/>
        </w:tcPr>
        <w:p w:rsidR="77D37E12" w:rsidP="77D37E12" w:rsidRDefault="77D37E12" w14:paraId="36D95018" w14:textId="144CA500">
          <w:pPr>
            <w:pStyle w:val="Header"/>
            <w:bidi w:val="0"/>
            <w:ind w:left="-115"/>
            <w:jc w:val="left"/>
          </w:pPr>
        </w:p>
      </w:tc>
      <w:tc>
        <w:tcPr>
          <w:tcW w:w="3009" w:type="dxa"/>
          <w:tcMar/>
        </w:tcPr>
        <w:p w:rsidR="77D37E12" w:rsidP="77D37E12" w:rsidRDefault="77D37E12" w14:paraId="53FDA5CD" w14:textId="22EFCD90">
          <w:pPr>
            <w:pStyle w:val="Header"/>
            <w:bidi w:val="0"/>
            <w:jc w:val="center"/>
          </w:pPr>
        </w:p>
      </w:tc>
      <w:tc>
        <w:tcPr>
          <w:tcW w:w="3009" w:type="dxa"/>
          <w:tcMar/>
        </w:tcPr>
        <w:p w:rsidR="77D37E12" w:rsidP="77D37E12" w:rsidRDefault="77D37E12" w14:paraId="2C1A458B" w14:textId="54C44626">
          <w:pPr>
            <w:pStyle w:val="Header"/>
            <w:bidi w:val="0"/>
            <w:ind w:right="-115"/>
            <w:jc w:val="right"/>
          </w:pPr>
        </w:p>
      </w:tc>
    </w:tr>
  </w:tbl>
  <w:p w:rsidR="77D37E12" w:rsidP="77D37E12" w:rsidRDefault="77D37E12" w14:paraId="270EDEC5" w14:textId="1F6A0A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7D37E12" w:rsidTr="77D37E12" w14:paraId="676F2F29">
      <w:tc>
        <w:tcPr>
          <w:tcW w:w="3009" w:type="dxa"/>
          <w:tcMar/>
        </w:tcPr>
        <w:p w:rsidR="77D37E12" w:rsidP="77D37E12" w:rsidRDefault="77D37E12" w14:paraId="384A506E" w14:textId="4E812C30">
          <w:pPr>
            <w:pStyle w:val="Header"/>
            <w:bidi w:val="0"/>
            <w:ind w:left="-115"/>
            <w:jc w:val="left"/>
          </w:pPr>
          <w:r w:rsidR="77D37E12">
            <w:rPr/>
            <w:t>Rachel Evans</w:t>
          </w:r>
        </w:p>
      </w:tc>
      <w:tc>
        <w:tcPr>
          <w:tcW w:w="3009" w:type="dxa"/>
          <w:tcMar/>
        </w:tcPr>
        <w:p w:rsidR="77D37E12" w:rsidP="77D37E12" w:rsidRDefault="77D37E12" w14:paraId="7876E996" w14:textId="58F5258E">
          <w:pPr>
            <w:pStyle w:val="Header"/>
            <w:bidi w:val="0"/>
            <w:jc w:val="center"/>
          </w:pPr>
        </w:p>
      </w:tc>
      <w:tc>
        <w:tcPr>
          <w:tcW w:w="3009" w:type="dxa"/>
          <w:tcMar/>
        </w:tcPr>
        <w:p w:rsidR="77D37E12" w:rsidP="77D37E12" w:rsidRDefault="77D37E12" w14:paraId="7DE4576B" w14:textId="4E58B37B">
          <w:pPr>
            <w:pStyle w:val="Header"/>
            <w:bidi w:val="0"/>
            <w:ind w:right="-115"/>
            <w:jc w:val="right"/>
          </w:pPr>
        </w:p>
      </w:tc>
    </w:tr>
  </w:tbl>
  <w:p w:rsidR="77D37E12" w:rsidP="77D37E12" w:rsidRDefault="77D37E12" w14:paraId="2707709C" w14:textId="26F0517D">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40DF5CF"/>
  <w15:docId w15:val="{370d7c03-8b99-41ae-bd0d-5d530559e23e}"/>
  <w:rsids>
    <w:rsidRoot w:val="540DF5CF"/>
    <w:rsid w:val="0EB90BFE"/>
    <w:rsid w:val="2521CD66"/>
    <w:rsid w:val="3BD0878C"/>
    <w:rsid w:val="42213F27"/>
    <w:rsid w:val="4F09DCF3"/>
    <w:rsid w:val="540DF5CF"/>
    <w:rsid w:val="567DB84D"/>
    <w:rsid w:val="575BD529"/>
    <w:rsid w:val="5E47893A"/>
    <w:rsid w:val="65A59D77"/>
    <w:rsid w:val="77D37E1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abc1d88ab214b5c" /><Relationship Type="http://schemas.openxmlformats.org/officeDocument/2006/relationships/footer" Target="/word/footer.xml" Id="R9a241c7a3f7a4a48" /><Relationship Type="http://schemas.openxmlformats.org/officeDocument/2006/relationships/numbering" Target="/word/numbering.xml" Id="R0695448463c740ea" /><Relationship Type="http://schemas.openxmlformats.org/officeDocument/2006/relationships/hyperlink" Target="https://www.birmingham.ac.uk/documents/university/legal/academic-integrity.pdf" TargetMode="External" Id="Rf835c635c0c14532" /><Relationship Type="http://schemas.openxmlformats.org/officeDocument/2006/relationships/hyperlink" Target="https://www.classics.cam.ac.uk/student-information/undergraduate-students/transferable-skills" TargetMode="External" Id="R675fb878e7ab4781" /><Relationship Type="http://schemas.openxmlformats.org/officeDocument/2006/relationships/hyperlink" Target="https://www.ox.ac.uk/students/academic/guidance/skills/plagiarism?wssl=1" TargetMode="External" Id="R5a35ec91bd8c468a" /><Relationship Type="http://schemas.openxmlformats.org/officeDocument/2006/relationships/hyperlink" Target="http://www.theguardian.com/education/feb/  " TargetMode="External" Id="Re270f2a73e1a4ec0" /><Relationship Type="http://schemas.openxmlformats.org/officeDocument/2006/relationships/hyperlink" Target="http://betterthesis.dk/research-methods/lesson-1different-approaches-to-research/strengths-and-limitations" TargetMode="External" Id="R0837faf709b34f90" /><Relationship Type="http://schemas.openxmlformats.org/officeDocument/2006/relationships/hyperlink" Target="http://educationmediacentre.org/researchnews/whats-the-evidence-on-the-impact-of-teaching-assistants-three/%20%7B" TargetMode="External" Id="Rf640b251652943ce" /><Relationship Type="http://schemas.openxmlformats.org/officeDocument/2006/relationships/hyperlink" Target="https://www.lancaster.ac.uk/media/lancaster-university/content-assets/documents/learning-skills/quantitativevqualitativeresearchanswers.pdf" TargetMode="External" Id="R436e5fb694d74a5a" /><Relationship Type="http://schemas.openxmlformats.org/officeDocument/2006/relationships/hyperlink" Target="https://pdfs.semanticscholar.org/ca82/06e94c0beb7d63e10d04131966233f3d2a70.pdf" TargetMode="External" Id="R9391da43a5cc41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Evans (1807740)</dc:creator>
  <keywords/>
  <dc:description/>
  <lastModifiedBy>Rachel Evans (1807740)</lastModifiedBy>
  <revision>11</revision>
  <dcterms:created xsi:type="dcterms:W3CDTF">2018-10-08T19:49:37.3935025Z</dcterms:created>
  <dcterms:modified xsi:type="dcterms:W3CDTF">2018-10-30T16:35:11.4196247Z</dcterms:modified>
</coreProperties>
</file>