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D0DB5" w14:textId="76F3AFE5" w:rsidR="00E050F0" w:rsidRDefault="00631BDF">
      <w:pPr>
        <w:rPr>
          <w:sz w:val="28"/>
          <w:szCs w:val="28"/>
        </w:rPr>
      </w:pPr>
      <w:r>
        <w:rPr>
          <w:sz w:val="28"/>
          <w:szCs w:val="28"/>
        </w:rPr>
        <w:t xml:space="preserve">An intention to create legal relations is one of the elements that is required to be present during the formation of a contract alongside an offer, acceptance, and consideration (Allen and Oliver,2016). Its importance within the formation of a contract stems from the fact that it can prevent the court from feeling burdened by an overwhelming number of cases since this intention cannot be found in certain context. This essay will outline the court’s stance on finding an intention to create legal relations within the domestic and commercial context as well as within situations involving public bodies. After this, the essay will analyse the advantages of the court’s approaches to these different contexts including their ability to protect the principle of privacy: uphold the reasonable assumption that companies in commercial contracts should keep their word; and protect the public at large as well as consider the potential disadvantages such as imbalance of power that can occur when domestic agreements are not fulfilled and the infringement of autonomy that occurs when an individual is prevented from entering into a contract with a public body. </w:t>
      </w:r>
    </w:p>
    <w:p w14:paraId="7DAFD435" w14:textId="1C00058D" w:rsidR="00631BDF" w:rsidRDefault="00631BDF">
      <w:pPr>
        <w:rPr>
          <w:sz w:val="28"/>
          <w:szCs w:val="28"/>
        </w:rPr>
      </w:pPr>
      <w:r>
        <w:rPr>
          <w:sz w:val="28"/>
          <w:szCs w:val="28"/>
        </w:rPr>
        <w:t>Within the law of contract, there are two types of agreements that are rebuttable pre</w:t>
      </w:r>
      <w:r w:rsidR="00296922">
        <w:rPr>
          <w:sz w:val="28"/>
          <w:szCs w:val="28"/>
        </w:rPr>
        <w:t xml:space="preserve">sumptions within the law. The first is social agreements where the case of Balfour v Balfour (1919) confirmed that where an agreement is made between a husband and wife, there is a presumption that the parties did not intend to create legal relations. However, this presumption is not solely confined to the relationship between husband and wife, since the case of Jones v </w:t>
      </w:r>
      <w:proofErr w:type="spellStart"/>
      <w:r w:rsidR="00296922">
        <w:rPr>
          <w:sz w:val="28"/>
          <w:szCs w:val="28"/>
        </w:rPr>
        <w:t>Padvatton</w:t>
      </w:r>
      <w:proofErr w:type="spellEnd"/>
      <w:r w:rsidR="00296922">
        <w:rPr>
          <w:sz w:val="28"/>
          <w:szCs w:val="28"/>
        </w:rPr>
        <w:t xml:space="preserve"> (1969) highlights that even agreements between other family members or close friends are also presumed to not involve the intention to be legally binding. The dangers of allowing such agreements to have a legal effect are highlighted by Atkin LJ in the Balfour case, where he claimed that it would be inappropriate to do so since social agreements are “not contracts because the parties did not attend that they should be attended by legal consequences”. This suggests that the intimacy and trust within a relationship creates expectation that any matters relating to domestic agreements should be dealt with in the privacy of their own home. Therefore, by not interfering with the agreements, the court is ensuring that individuals are not concerned about any potential legal action they may face from a mere domestic arrangement</w:t>
      </w:r>
      <w:r w:rsidR="005E1B22">
        <w:rPr>
          <w:sz w:val="28"/>
          <w:szCs w:val="28"/>
        </w:rPr>
        <w:t xml:space="preserve"> (Elliot</w:t>
      </w:r>
      <w:r w:rsidR="00706E7D">
        <w:rPr>
          <w:sz w:val="28"/>
          <w:szCs w:val="28"/>
        </w:rPr>
        <w:t xml:space="preserve">t and Quinn, 2019). </w:t>
      </w:r>
    </w:p>
    <w:p w14:paraId="47E1C432" w14:textId="52499D7F" w:rsidR="00706E7D" w:rsidRDefault="00706E7D">
      <w:pPr>
        <w:rPr>
          <w:sz w:val="28"/>
          <w:szCs w:val="28"/>
        </w:rPr>
      </w:pPr>
      <w:r>
        <w:rPr>
          <w:sz w:val="28"/>
          <w:szCs w:val="28"/>
        </w:rPr>
        <w:t xml:space="preserve">Another advantage of presuming that domestic agreements do not harbour an intention to create legal relations is that it protects an individuals privacy. In ‘keeping contract </w:t>
      </w:r>
      <w:r w:rsidR="0088455E">
        <w:rPr>
          <w:sz w:val="28"/>
          <w:szCs w:val="28"/>
        </w:rPr>
        <w:t xml:space="preserve">in its place’ Balfour v Balfour (1919) and the enforceability of informal agreement (Hedley,1985) highlights that “the role of this presumption </w:t>
      </w:r>
      <w:r w:rsidR="0088455E">
        <w:rPr>
          <w:sz w:val="28"/>
          <w:szCs w:val="28"/>
        </w:rPr>
        <w:lastRenderedPageBreak/>
        <w:t xml:space="preserve">is to keep contracts in its place, to keep it in the commercial sphere and out of domestic cases”. This clearly emphasises the idea that unlike businesses who typically have an obligation to disclose private matters, individuals should not have to face the same obligation since the law does not require parties to provide extensive information about the facts surrounding the agreement due to the fact that it is presumed that there was no intention for this agreement to be legally binding anyway. Consequently, from a human rights perspective, this is a significant advantage since Article 8 of the European </w:t>
      </w:r>
      <w:r w:rsidR="00DB70AB">
        <w:rPr>
          <w:sz w:val="28"/>
          <w:szCs w:val="28"/>
        </w:rPr>
        <w:t xml:space="preserve">Convention </w:t>
      </w:r>
      <w:r w:rsidR="0088455E">
        <w:rPr>
          <w:sz w:val="28"/>
          <w:szCs w:val="28"/>
        </w:rPr>
        <w:t xml:space="preserve">of Human Rights is protected. </w:t>
      </w:r>
    </w:p>
    <w:p w14:paraId="2421A04B" w14:textId="410E153D" w:rsidR="0088455E" w:rsidRDefault="0088455E">
      <w:pPr>
        <w:rPr>
          <w:sz w:val="28"/>
          <w:szCs w:val="28"/>
        </w:rPr>
      </w:pPr>
      <w:r>
        <w:rPr>
          <w:sz w:val="28"/>
          <w:szCs w:val="28"/>
        </w:rPr>
        <w:t xml:space="preserve">However, despite the apparent advantages, critics have argued that presuming that </w:t>
      </w:r>
      <w:r w:rsidR="0095415C">
        <w:rPr>
          <w:sz w:val="28"/>
          <w:szCs w:val="28"/>
        </w:rPr>
        <w:t xml:space="preserve">there is no intention to create legal relations in a domestic context can, from a feminist point of view create “the risk of unfairness, distributive, injustice, and relationships of dependency” which contradicts “the values of trust, equality and respect” that underpin both promise and contract (Saprai,2017). Without a presumption of intention within the domestic sphere, those who enter agreements of vital importance rely solely on these agreements to overcome a power imbalance within a relationship are not afforded the protection they need to enforce these agreements. </w:t>
      </w:r>
    </w:p>
    <w:p w14:paraId="54519542" w14:textId="051E2DCB" w:rsidR="0095415C" w:rsidRDefault="0095415C">
      <w:pPr>
        <w:rPr>
          <w:sz w:val="28"/>
          <w:szCs w:val="28"/>
        </w:rPr>
      </w:pPr>
      <w:r>
        <w:rPr>
          <w:sz w:val="28"/>
          <w:szCs w:val="28"/>
        </w:rPr>
        <w:t xml:space="preserve">However, the validity of the criticism is only maintained when you illustrate such a binary portrait of this presumption where all domestic cases lack an intention to create legal relations whilst on the other hand any other agreement </w:t>
      </w:r>
      <w:r w:rsidR="00CD202B">
        <w:rPr>
          <w:sz w:val="28"/>
          <w:szCs w:val="28"/>
        </w:rPr>
        <w:t xml:space="preserve">satisfies this criterion. In a legal system where facts and evidence </w:t>
      </w:r>
      <w:r w:rsidR="00FA56FE">
        <w:rPr>
          <w:sz w:val="28"/>
          <w:szCs w:val="28"/>
        </w:rPr>
        <w:t>are</w:t>
      </w:r>
      <w:r w:rsidR="00CD202B">
        <w:rPr>
          <w:sz w:val="28"/>
          <w:szCs w:val="28"/>
        </w:rPr>
        <w:t xml:space="preserve"> of vital importance, this approach is not consistent with the actual application of the law, and as a result, any concerns over this approach are not valid. There are many instances where this presumption regarding domestic agreement can be rebutted and thus allow for the protection of individuals who are at risk of injustice. For example, in </w:t>
      </w:r>
      <w:proofErr w:type="spellStart"/>
      <w:r w:rsidR="00CD202B">
        <w:rPr>
          <w:sz w:val="28"/>
          <w:szCs w:val="28"/>
        </w:rPr>
        <w:t>Merrit</w:t>
      </w:r>
      <w:proofErr w:type="spellEnd"/>
      <w:r w:rsidR="00CD202B">
        <w:rPr>
          <w:sz w:val="28"/>
          <w:szCs w:val="28"/>
        </w:rPr>
        <w:t xml:space="preserve"> v </w:t>
      </w:r>
      <w:proofErr w:type="spellStart"/>
      <w:r w:rsidR="00CD202B">
        <w:rPr>
          <w:sz w:val="28"/>
          <w:szCs w:val="28"/>
        </w:rPr>
        <w:t>Merrit</w:t>
      </w:r>
      <w:proofErr w:type="spellEnd"/>
      <w:r w:rsidR="00CD202B">
        <w:rPr>
          <w:sz w:val="28"/>
          <w:szCs w:val="28"/>
        </w:rPr>
        <w:t xml:space="preserve"> (1970), it was held that when parties are in the process of separating or have already separated, there is a presumption that there was an intention to create legal relations, </w:t>
      </w:r>
      <w:proofErr w:type="gramStart"/>
      <w:r w:rsidR="00CD202B">
        <w:rPr>
          <w:sz w:val="28"/>
          <w:szCs w:val="28"/>
        </w:rPr>
        <w:t>despite the fact that</w:t>
      </w:r>
      <w:proofErr w:type="gramEnd"/>
      <w:r w:rsidR="00CD202B">
        <w:rPr>
          <w:sz w:val="28"/>
          <w:szCs w:val="28"/>
        </w:rPr>
        <w:t xml:space="preserve"> these agreements would take place in the domestic context. Consequently, if we revert back to the feminist perspective provided by </w:t>
      </w:r>
      <w:proofErr w:type="spellStart"/>
      <w:r w:rsidR="00CD202B">
        <w:rPr>
          <w:sz w:val="28"/>
          <w:szCs w:val="28"/>
        </w:rPr>
        <w:t>Saprai</w:t>
      </w:r>
      <w:proofErr w:type="spellEnd"/>
      <w:r w:rsidR="00CD202B">
        <w:rPr>
          <w:sz w:val="28"/>
          <w:szCs w:val="28"/>
        </w:rPr>
        <w:t xml:space="preserve">, it is clear that in divorce proceedings where women are prone to injustice, there is some level of protection </w:t>
      </w:r>
      <w:r w:rsidR="002D01F0">
        <w:rPr>
          <w:sz w:val="28"/>
          <w:szCs w:val="28"/>
        </w:rPr>
        <w:t xml:space="preserve">as there are opportunities for women to enforce agreements made with their husbands despite being formed within domestic context. </w:t>
      </w:r>
    </w:p>
    <w:p w14:paraId="3751F406" w14:textId="5A574A8D" w:rsidR="002D01F0" w:rsidRDefault="002D01F0">
      <w:pPr>
        <w:rPr>
          <w:sz w:val="28"/>
          <w:szCs w:val="28"/>
        </w:rPr>
      </w:pPr>
      <w:r>
        <w:rPr>
          <w:sz w:val="28"/>
          <w:szCs w:val="28"/>
        </w:rPr>
        <w:lastRenderedPageBreak/>
        <w:t xml:space="preserve">Additionally, the case of </w:t>
      </w:r>
      <w:proofErr w:type="spellStart"/>
      <w:r>
        <w:rPr>
          <w:sz w:val="28"/>
          <w:szCs w:val="28"/>
        </w:rPr>
        <w:t>Granatino</w:t>
      </w:r>
      <w:proofErr w:type="spellEnd"/>
      <w:r>
        <w:rPr>
          <w:sz w:val="28"/>
          <w:szCs w:val="28"/>
        </w:rPr>
        <w:t xml:space="preserve"> v </w:t>
      </w:r>
      <w:proofErr w:type="spellStart"/>
      <w:r>
        <w:rPr>
          <w:sz w:val="28"/>
          <w:szCs w:val="28"/>
        </w:rPr>
        <w:t>Radmacher</w:t>
      </w:r>
      <w:proofErr w:type="spellEnd"/>
      <w:r>
        <w:rPr>
          <w:sz w:val="28"/>
          <w:szCs w:val="28"/>
        </w:rPr>
        <w:t xml:space="preserve"> (2010) proves that there is an intention to create legal relations where the agreement involves ownership, of the matrimonial home, bank accounts, savings or other assets. This clearly indicates that where there is a lot at stake for a party the law does allow an intention to be inferred in domestic cases, which protects individuals from feeling robbed of their property. </w:t>
      </w:r>
    </w:p>
    <w:p w14:paraId="61D3FC9B" w14:textId="26BF6481" w:rsidR="002D01F0" w:rsidRDefault="002D01F0">
      <w:pPr>
        <w:rPr>
          <w:sz w:val="28"/>
          <w:szCs w:val="28"/>
        </w:rPr>
      </w:pPr>
      <w:r>
        <w:rPr>
          <w:sz w:val="28"/>
          <w:szCs w:val="28"/>
        </w:rPr>
        <w:t xml:space="preserve">Furthermore, the case of Simpkins v Pays (1955) illustrates that the court’s are willing to infer the presence of an intention to create legal relations by considering whether there are any instances of mutuality within the agreement. The court’s </w:t>
      </w:r>
      <w:r w:rsidR="00602BD7">
        <w:rPr>
          <w:sz w:val="28"/>
          <w:szCs w:val="28"/>
        </w:rPr>
        <w:t>do so by considering the acts of the parties as shown by the analysis of the filling out of the coupon by Simpkins. Considering the acts of the parties in order to infer intention would suggest that this is a subjective form of confirming the intention of the parties. This is potentially problematic since common standard within contract law is to judge the presence of a legal intention objectively. However, the law balances the possible presence of subjectivity by looking at matters from a reasonable person in B’s shoes to work out the terms of A’s offer (O’Sullivan, 2022). This clearly shows that instead of looking at what the ind</w:t>
      </w:r>
      <w:r w:rsidR="00FD2B09">
        <w:rPr>
          <w:sz w:val="28"/>
          <w:szCs w:val="28"/>
        </w:rPr>
        <w:t xml:space="preserve">ividual themselves would have reasonably believed (which would be entirely subjective) the law uses the point of view of the reasonable person which is not entirely subjective and considers the rationality of the average person. </w:t>
      </w:r>
    </w:p>
    <w:p w14:paraId="177F6243" w14:textId="7DC8188A" w:rsidR="00FD2B09" w:rsidRDefault="00FD2B09">
      <w:pPr>
        <w:rPr>
          <w:sz w:val="28"/>
          <w:szCs w:val="28"/>
        </w:rPr>
      </w:pPr>
      <w:r>
        <w:rPr>
          <w:sz w:val="28"/>
          <w:szCs w:val="28"/>
        </w:rPr>
        <w:t>Contracts relating to business transactions also involve a rebuttable presumption</w:t>
      </w:r>
      <w:r w:rsidR="00FA56FE">
        <w:rPr>
          <w:sz w:val="28"/>
          <w:szCs w:val="28"/>
        </w:rPr>
        <w:t>.</w:t>
      </w:r>
      <w:r>
        <w:rPr>
          <w:sz w:val="28"/>
          <w:szCs w:val="28"/>
        </w:rPr>
        <w:t xml:space="preserve"> </w:t>
      </w:r>
      <w:r w:rsidR="00FA56FE">
        <w:rPr>
          <w:sz w:val="28"/>
          <w:szCs w:val="28"/>
        </w:rPr>
        <w:t>I</w:t>
      </w:r>
      <w:r>
        <w:rPr>
          <w:sz w:val="28"/>
          <w:szCs w:val="28"/>
        </w:rPr>
        <w:t xml:space="preserve">n the case of Esso Petroleum Ltd v Custom and Excise Commissioners (1976) where it was held that it is undesirable for companies to make promises that they were not bound to fulfil. Consequently, the law presumes that an agreement made </w:t>
      </w:r>
      <w:proofErr w:type="gramStart"/>
      <w:r>
        <w:rPr>
          <w:sz w:val="28"/>
          <w:szCs w:val="28"/>
        </w:rPr>
        <w:t>in the course of</w:t>
      </w:r>
      <w:proofErr w:type="gramEnd"/>
      <w:r>
        <w:rPr>
          <w:sz w:val="28"/>
          <w:szCs w:val="28"/>
        </w:rPr>
        <w:t xml:space="preserve"> business presumed to involve an intention to be legally binding. This is shown in Edwards v Skyways (1964), where it was held that the use of the words ‘ex gratia’ did not determine that an agreement was without, legal effect, therefore, the formation of the agreement within a commercial context overruled such a phrase and allowed the agreement to be binding. Although rare, there are a number of ways this presumption can be rebutted. For </w:t>
      </w:r>
      <w:r w:rsidR="004A329D">
        <w:rPr>
          <w:sz w:val="28"/>
          <w:szCs w:val="28"/>
        </w:rPr>
        <w:t>example,</w:t>
      </w:r>
      <w:r>
        <w:rPr>
          <w:sz w:val="28"/>
          <w:szCs w:val="28"/>
        </w:rPr>
        <w:t xml:space="preserve"> in Rose and Frank v Crompton Bros (1925) it was held that a clause within the contract that stipulated the agreement was neither formal </w:t>
      </w:r>
      <w:r w:rsidR="00FA56FE">
        <w:rPr>
          <w:sz w:val="28"/>
          <w:szCs w:val="28"/>
        </w:rPr>
        <w:t>nor</w:t>
      </w:r>
      <w:r>
        <w:rPr>
          <w:sz w:val="28"/>
          <w:szCs w:val="28"/>
        </w:rPr>
        <w:t xml:space="preserve"> legal, but was merely an honourable pledge</w:t>
      </w:r>
      <w:r w:rsidR="004A329D">
        <w:rPr>
          <w:sz w:val="28"/>
          <w:szCs w:val="28"/>
        </w:rPr>
        <w:t xml:space="preserve">, was held to have a validly rebutted the presumption. </w:t>
      </w:r>
    </w:p>
    <w:p w14:paraId="74C0265C" w14:textId="673ED648" w:rsidR="004A329D" w:rsidRDefault="004A329D">
      <w:pPr>
        <w:rPr>
          <w:sz w:val="28"/>
          <w:szCs w:val="28"/>
        </w:rPr>
      </w:pPr>
      <w:r>
        <w:rPr>
          <w:sz w:val="28"/>
          <w:szCs w:val="28"/>
        </w:rPr>
        <w:lastRenderedPageBreak/>
        <w:t>Another problematic element of an intention to create legal relations is that whether an individual intends to be legally bound depend upon the context such as the wording of the letter and what reliance the recipient had reasonably paced upon it. This was confirmed in Kleinwort Benson Ltd v Malaysian Mining Group (1989) where it was held that since the words were merely of comfort, they did not have the meaning of creating legally binding contract. This is clearly an issue since the court must take a subjective approach despite the fact that the foundations of this part of the law are based on the idea of certainty. The mere presence of the requirement that there must be an intention to create legal relations clearly indicates that both parties must be certain that they are entering a legally binding contract and that the courts must be certain that they are dealing with a legally valid contract. With such a subjective test that is heavily reliant on the views of the parties, it would be difficult for the courts to fully deduce the intentions of the party who is relying on the agreement and a res</w:t>
      </w:r>
      <w:r w:rsidR="001F7CF4">
        <w:rPr>
          <w:sz w:val="28"/>
          <w:szCs w:val="28"/>
        </w:rPr>
        <w:t>ult will not be able to consider how reliant they were on the agreement (</w:t>
      </w:r>
      <w:proofErr w:type="spellStart"/>
      <w:r w:rsidR="001F7CF4">
        <w:rPr>
          <w:sz w:val="28"/>
          <w:szCs w:val="28"/>
        </w:rPr>
        <w:t>Wittuhn</w:t>
      </w:r>
      <w:proofErr w:type="spellEnd"/>
      <w:r w:rsidR="001F7CF4">
        <w:rPr>
          <w:sz w:val="28"/>
          <w:szCs w:val="28"/>
        </w:rPr>
        <w:t xml:space="preserve">, 2012). </w:t>
      </w:r>
      <w:r w:rsidR="00BF6C49">
        <w:rPr>
          <w:sz w:val="28"/>
          <w:szCs w:val="28"/>
        </w:rPr>
        <w:t xml:space="preserve">This could lead to injustices since parties who heavily relied on the agreement could potentially be denied the opportunity to impose an obligation because the courts held that they did not significantly rely on the agreement, when in actuality they did. </w:t>
      </w:r>
    </w:p>
    <w:p w14:paraId="70AF7C4B" w14:textId="257FCBB3" w:rsidR="00BF6C49" w:rsidRDefault="00BF6C49">
      <w:pPr>
        <w:rPr>
          <w:sz w:val="28"/>
          <w:szCs w:val="28"/>
        </w:rPr>
      </w:pPr>
      <w:r>
        <w:rPr>
          <w:sz w:val="28"/>
          <w:szCs w:val="28"/>
        </w:rPr>
        <w:t xml:space="preserve">There are also statutory expectations to this presumption surrounding commercial agreements such as the Trade Union and Labour Relations (Consolidation) Act 1992 where s.179 states that collective agreements “shall be conclusively presumed not to have been intended by the parties be legally enforceable contract unless the agreement is (a) in writing, and (b) contains a provision”, stating the parties intended the contract to be legally binding. </w:t>
      </w:r>
    </w:p>
    <w:p w14:paraId="01D28D2A" w14:textId="77777777" w:rsidR="00816DE4" w:rsidRDefault="00BF6C49">
      <w:pPr>
        <w:rPr>
          <w:sz w:val="28"/>
          <w:szCs w:val="28"/>
        </w:rPr>
      </w:pPr>
      <w:r>
        <w:rPr>
          <w:sz w:val="28"/>
          <w:szCs w:val="28"/>
        </w:rPr>
        <w:t xml:space="preserve">In cases where an individual has contracted with a public body or has entered into a contract which affects the general public interest, the courts may find that there was not an intention to create legal relations. According to Willmore v </w:t>
      </w:r>
      <w:proofErr w:type="gramStart"/>
      <w:r>
        <w:rPr>
          <w:sz w:val="28"/>
          <w:szCs w:val="28"/>
        </w:rPr>
        <w:t>South Eastern</w:t>
      </w:r>
      <w:proofErr w:type="gramEnd"/>
      <w:r>
        <w:rPr>
          <w:sz w:val="28"/>
          <w:szCs w:val="28"/>
        </w:rPr>
        <w:t xml:space="preserve"> Electricity Board (1957), where such a contractual </w:t>
      </w:r>
      <w:r w:rsidR="00816DE4">
        <w:rPr>
          <w:sz w:val="28"/>
          <w:szCs w:val="28"/>
        </w:rPr>
        <w:t xml:space="preserve">relationship could incur unwarranted costs on behalf of the public or harm the functioning of a public service the court may refuse to agree that there is an intention to create legal relations. This is even the case where a contract appears to be enforceable since the severity of affecting the functioning of public bodies presents a contractual relationship from being found. </w:t>
      </w:r>
    </w:p>
    <w:p w14:paraId="62803F3F" w14:textId="77777777" w:rsidR="00816DE4" w:rsidRDefault="00816DE4">
      <w:pPr>
        <w:rPr>
          <w:sz w:val="28"/>
          <w:szCs w:val="28"/>
        </w:rPr>
      </w:pPr>
      <w:r>
        <w:rPr>
          <w:sz w:val="28"/>
          <w:szCs w:val="28"/>
        </w:rPr>
        <w:lastRenderedPageBreak/>
        <w:t xml:space="preserve">It could be argued that such a restriction is clearly unfair since it prevents individuals from compensating from any breach of contract solely because they have contracted with a public body as seen in the case of Robinson v HM Customs and Excise (2000). However, from a utilitarian perspective, if we consider the fact that “it is the greatest happiness of the greatest number that is the measure of right and wrong” (Bentham, 1776), it is clear that it is not unjust to infringe upon an individuals autonomous right to contract with public bodies or enter into contracts that affect the general public interests since creating the greatest happiness for the greatest number of people would only occur if the decisions to hold the public’s interest over an individuals interest was taken. </w:t>
      </w:r>
    </w:p>
    <w:p w14:paraId="32B6570A" w14:textId="00627387" w:rsidR="00BF6C49" w:rsidRDefault="00816DE4">
      <w:pPr>
        <w:rPr>
          <w:sz w:val="28"/>
          <w:szCs w:val="28"/>
        </w:rPr>
      </w:pPr>
      <w:r>
        <w:rPr>
          <w:sz w:val="28"/>
          <w:szCs w:val="28"/>
        </w:rPr>
        <w:t>To conclude</w:t>
      </w:r>
      <w:r w:rsidR="001817C9">
        <w:rPr>
          <w:sz w:val="28"/>
          <w:szCs w:val="28"/>
        </w:rPr>
        <w:t>,</w:t>
      </w:r>
      <w:r>
        <w:rPr>
          <w:sz w:val="28"/>
          <w:szCs w:val="28"/>
        </w:rPr>
        <w:t xml:space="preserve"> the law regarding the requirement that contracts must involve an intention to create legal relations is problematic</w:t>
      </w:r>
      <w:r w:rsidR="00DB70AB">
        <w:rPr>
          <w:sz w:val="28"/>
          <w:szCs w:val="28"/>
        </w:rPr>
        <w:t xml:space="preserve"> (Supreme Court, 2019). </w:t>
      </w:r>
      <w:r>
        <w:rPr>
          <w:sz w:val="28"/>
          <w:szCs w:val="28"/>
        </w:rPr>
        <w:t xml:space="preserve"> However, the issues that do arise in this area of </w:t>
      </w:r>
      <w:r w:rsidR="00DB70AB">
        <w:rPr>
          <w:sz w:val="28"/>
          <w:szCs w:val="28"/>
        </w:rPr>
        <w:t>l</w:t>
      </w:r>
      <w:r>
        <w:rPr>
          <w:sz w:val="28"/>
          <w:szCs w:val="28"/>
        </w:rPr>
        <w:t xml:space="preserve">aw do not outweigh the importance of such a requirement. Without the intention to create legal relations the courts would </w:t>
      </w:r>
      <w:r w:rsidR="001817C9">
        <w:rPr>
          <w:sz w:val="28"/>
          <w:szCs w:val="28"/>
        </w:rPr>
        <w:t xml:space="preserve">be swarmed by an overwhelming number of cases and would simply be unable to adjudicate on any issues brought before the court. Whilst the presumption that domestic agreements do not contain such an intention  can lead to issues for women in separation proceedings and relationships where there is an imbalance of power, there are ways of rebutting this presumption and so there are some levels of protection. Finally, whilst refusing to accept intention to create legal relations </w:t>
      </w:r>
      <w:proofErr w:type="gramStart"/>
      <w:r w:rsidR="001817C9">
        <w:rPr>
          <w:sz w:val="28"/>
          <w:szCs w:val="28"/>
        </w:rPr>
        <w:t>in regard to</w:t>
      </w:r>
      <w:proofErr w:type="gramEnd"/>
      <w:r w:rsidR="001817C9">
        <w:rPr>
          <w:sz w:val="28"/>
          <w:szCs w:val="28"/>
        </w:rPr>
        <w:t xml:space="preserve"> public bodies could lead to an infringement of a person’s liberty that allows them to freely enter into contracts, the utilitarianism theory provides a legitimate basis demonstrating, why protecting the public rather than just one individual’s autonomous right to contract is legitimate and consequently not problematic. </w:t>
      </w:r>
      <w:r>
        <w:rPr>
          <w:sz w:val="28"/>
          <w:szCs w:val="28"/>
        </w:rPr>
        <w:t xml:space="preserve"> </w:t>
      </w:r>
    </w:p>
    <w:p w14:paraId="5BF6AC3A" w14:textId="5A1A9C3E" w:rsidR="00FA56FE" w:rsidRDefault="00FA56FE">
      <w:pPr>
        <w:rPr>
          <w:sz w:val="28"/>
          <w:szCs w:val="28"/>
        </w:rPr>
      </w:pPr>
      <w:r>
        <w:rPr>
          <w:sz w:val="28"/>
          <w:szCs w:val="28"/>
        </w:rPr>
        <w:t>References:</w:t>
      </w:r>
    </w:p>
    <w:p w14:paraId="49E8E2A5" w14:textId="3B0EF2D1" w:rsidR="00786112" w:rsidRDefault="00786112">
      <w:pPr>
        <w:rPr>
          <w:sz w:val="28"/>
          <w:szCs w:val="28"/>
        </w:rPr>
      </w:pPr>
      <w:r>
        <w:rPr>
          <w:sz w:val="28"/>
          <w:szCs w:val="28"/>
        </w:rPr>
        <w:t xml:space="preserve">Allen and </w:t>
      </w:r>
      <w:proofErr w:type="spellStart"/>
      <w:r>
        <w:rPr>
          <w:sz w:val="28"/>
          <w:szCs w:val="28"/>
        </w:rPr>
        <w:t>Overy</w:t>
      </w:r>
      <w:proofErr w:type="spellEnd"/>
      <w:r>
        <w:rPr>
          <w:sz w:val="28"/>
          <w:szCs w:val="28"/>
        </w:rPr>
        <w:t xml:space="preserve">. 2016. ‘Basic Principles of English Contract Law’. Available @ </w:t>
      </w:r>
      <w:hyperlink r:id="rId4" w:history="1">
        <w:r w:rsidRPr="000049AF">
          <w:rPr>
            <w:rStyle w:val="Hyperlink"/>
            <w:sz w:val="28"/>
            <w:szCs w:val="28"/>
          </w:rPr>
          <w:t>https://www.a4id.org/wp-content/uploads/2016/10/A4ID-english-contract-law-at-a-glance.pdf</w:t>
        </w:r>
      </w:hyperlink>
      <w:r>
        <w:rPr>
          <w:sz w:val="28"/>
          <w:szCs w:val="28"/>
        </w:rPr>
        <w:t xml:space="preserve"> Accessed on 1st of March 2023. </w:t>
      </w:r>
    </w:p>
    <w:p w14:paraId="4CE2B3C8" w14:textId="65CB0C18" w:rsidR="00FA56FE" w:rsidRDefault="00FA56FE">
      <w:pPr>
        <w:rPr>
          <w:sz w:val="28"/>
          <w:szCs w:val="28"/>
        </w:rPr>
      </w:pPr>
      <w:proofErr w:type="spellStart"/>
      <w:r>
        <w:rPr>
          <w:sz w:val="28"/>
          <w:szCs w:val="28"/>
        </w:rPr>
        <w:t>Benthem</w:t>
      </w:r>
      <w:proofErr w:type="spellEnd"/>
      <w:r>
        <w:rPr>
          <w:sz w:val="28"/>
          <w:szCs w:val="28"/>
        </w:rPr>
        <w:t xml:space="preserve">, J. </w:t>
      </w:r>
      <w:r w:rsidR="00786112">
        <w:rPr>
          <w:sz w:val="28"/>
          <w:szCs w:val="28"/>
        </w:rPr>
        <w:t xml:space="preserve">1776. ‘The correspondence of Jeremy Bentham volume 1’. Available @ </w:t>
      </w:r>
      <w:hyperlink r:id="rId5" w:history="1">
        <w:r w:rsidR="00786112" w:rsidRPr="000049AF">
          <w:rPr>
            <w:rStyle w:val="Hyperlink"/>
            <w:sz w:val="28"/>
            <w:szCs w:val="28"/>
          </w:rPr>
          <w:t>https://www.jstor.org/stable/j:ctt1qnw8c9</w:t>
        </w:r>
      </w:hyperlink>
      <w:r w:rsidR="00786112">
        <w:rPr>
          <w:sz w:val="28"/>
          <w:szCs w:val="28"/>
        </w:rPr>
        <w:t xml:space="preserve"> Accessed on 1</w:t>
      </w:r>
      <w:r w:rsidR="00786112" w:rsidRPr="00786112">
        <w:rPr>
          <w:sz w:val="28"/>
          <w:szCs w:val="28"/>
          <w:vertAlign w:val="superscript"/>
        </w:rPr>
        <w:t>st</w:t>
      </w:r>
      <w:r w:rsidR="00786112">
        <w:rPr>
          <w:sz w:val="28"/>
          <w:szCs w:val="28"/>
        </w:rPr>
        <w:t xml:space="preserve"> of March 2023. </w:t>
      </w:r>
    </w:p>
    <w:p w14:paraId="399BF1ED" w14:textId="3732710E" w:rsidR="00786112" w:rsidRDefault="00786112">
      <w:pPr>
        <w:rPr>
          <w:sz w:val="28"/>
          <w:szCs w:val="28"/>
        </w:rPr>
      </w:pPr>
      <w:r>
        <w:rPr>
          <w:sz w:val="28"/>
          <w:szCs w:val="28"/>
        </w:rPr>
        <w:t>Elliott, C. Quinn, F. 2019. ‘Elliott and Quinn’s Contract Law’. 12</w:t>
      </w:r>
      <w:r w:rsidRPr="00786112">
        <w:rPr>
          <w:sz w:val="28"/>
          <w:szCs w:val="28"/>
          <w:vertAlign w:val="superscript"/>
        </w:rPr>
        <w:t>th</w:t>
      </w:r>
      <w:r>
        <w:rPr>
          <w:sz w:val="28"/>
          <w:szCs w:val="28"/>
        </w:rPr>
        <w:t xml:space="preserve"> edition. Pearson. </w:t>
      </w:r>
    </w:p>
    <w:p w14:paraId="2528095E" w14:textId="543DA1C2" w:rsidR="00786112" w:rsidRDefault="00786112">
      <w:pPr>
        <w:rPr>
          <w:sz w:val="28"/>
          <w:szCs w:val="28"/>
        </w:rPr>
      </w:pPr>
      <w:r>
        <w:rPr>
          <w:sz w:val="28"/>
          <w:szCs w:val="28"/>
        </w:rPr>
        <w:lastRenderedPageBreak/>
        <w:t xml:space="preserve">Hedley, S. 1985. ‘Keeping contract in its place- Balfour and Balfour and the enforceability of informal agreements’. Available @ </w:t>
      </w:r>
      <w:hyperlink r:id="rId6" w:history="1">
        <w:r w:rsidRPr="000049AF">
          <w:rPr>
            <w:rStyle w:val="Hyperlink"/>
            <w:sz w:val="28"/>
            <w:szCs w:val="28"/>
          </w:rPr>
          <w:t>https://www.semanticscholar.org/paper/KEEPING-CONTRACT-IN-ITS-PLACE-BALFOUR-v-BALFOUR-AND=Hedley/7f07397df069595831ee4fa4fe12258014787b73#citing-papers</w:t>
        </w:r>
      </w:hyperlink>
    </w:p>
    <w:p w14:paraId="29FE8859" w14:textId="773E2D2F" w:rsidR="00786112" w:rsidRDefault="00786112">
      <w:pPr>
        <w:rPr>
          <w:sz w:val="28"/>
          <w:szCs w:val="28"/>
        </w:rPr>
      </w:pPr>
      <w:r>
        <w:rPr>
          <w:sz w:val="28"/>
          <w:szCs w:val="28"/>
        </w:rPr>
        <w:t>Accessed on 1</w:t>
      </w:r>
      <w:r w:rsidRPr="00786112">
        <w:rPr>
          <w:sz w:val="28"/>
          <w:szCs w:val="28"/>
          <w:vertAlign w:val="superscript"/>
        </w:rPr>
        <w:t>st</w:t>
      </w:r>
      <w:r>
        <w:rPr>
          <w:sz w:val="28"/>
          <w:szCs w:val="28"/>
        </w:rPr>
        <w:t xml:space="preserve"> of March 2023. </w:t>
      </w:r>
    </w:p>
    <w:p w14:paraId="5390BFB0" w14:textId="304803E6" w:rsidR="008F180A" w:rsidRDefault="008F180A">
      <w:pPr>
        <w:rPr>
          <w:sz w:val="28"/>
          <w:szCs w:val="28"/>
        </w:rPr>
      </w:pPr>
      <w:proofErr w:type="spellStart"/>
      <w:r>
        <w:rPr>
          <w:sz w:val="28"/>
          <w:szCs w:val="28"/>
        </w:rPr>
        <w:t>Saprai</w:t>
      </w:r>
      <w:proofErr w:type="spellEnd"/>
      <w:r>
        <w:rPr>
          <w:sz w:val="28"/>
          <w:szCs w:val="28"/>
        </w:rPr>
        <w:t xml:space="preserve">, P. 2017. ‘Balfour v Balfour and the separation contract and promise’. Available @ </w:t>
      </w:r>
      <w:hyperlink r:id="rId7" w:history="1">
        <w:r w:rsidRPr="000049AF">
          <w:rPr>
            <w:rStyle w:val="Hyperlink"/>
            <w:sz w:val="28"/>
            <w:szCs w:val="28"/>
          </w:rPr>
          <w:t>https://www.cambridge.org/core/journals/legal-studies/article/abs/balfour-v-balfour-and-the-seperation-of-contract-and-promise/4D763F1CAAFE8169388F40FCCAE16B77</w:t>
        </w:r>
      </w:hyperlink>
      <w:r>
        <w:rPr>
          <w:sz w:val="28"/>
          <w:szCs w:val="28"/>
        </w:rPr>
        <w:t xml:space="preserve"> Accessed on 4th of March 2023. </w:t>
      </w:r>
    </w:p>
    <w:p w14:paraId="55CA6625" w14:textId="726A7A48" w:rsidR="008F180A" w:rsidRDefault="008F180A">
      <w:pPr>
        <w:rPr>
          <w:sz w:val="28"/>
          <w:szCs w:val="28"/>
        </w:rPr>
      </w:pPr>
      <w:r>
        <w:rPr>
          <w:sz w:val="28"/>
          <w:szCs w:val="28"/>
        </w:rPr>
        <w:t xml:space="preserve">Supreme Court. 2019. ‘In Defence of Legislative Intention’. Available @ </w:t>
      </w:r>
      <w:hyperlink r:id="rId8" w:history="1">
        <w:r w:rsidR="00E65F01" w:rsidRPr="000049AF">
          <w:rPr>
            <w:rStyle w:val="Hyperlink"/>
            <w:sz w:val="28"/>
            <w:szCs w:val="28"/>
          </w:rPr>
          <w:t>https://www.supremecourt.uk/docs/speech-191119.pdf</w:t>
        </w:r>
      </w:hyperlink>
      <w:r w:rsidR="00E65F01">
        <w:rPr>
          <w:sz w:val="28"/>
          <w:szCs w:val="28"/>
        </w:rPr>
        <w:t xml:space="preserve"> Accessed on 4th of March 2023. </w:t>
      </w:r>
    </w:p>
    <w:p w14:paraId="79E210F8" w14:textId="134C5816" w:rsidR="00E65F01" w:rsidRDefault="00E65F01">
      <w:pPr>
        <w:rPr>
          <w:sz w:val="28"/>
          <w:szCs w:val="28"/>
        </w:rPr>
      </w:pPr>
      <w:proofErr w:type="spellStart"/>
      <w:r>
        <w:rPr>
          <w:sz w:val="28"/>
          <w:szCs w:val="28"/>
        </w:rPr>
        <w:t>Wittuhn</w:t>
      </w:r>
      <w:proofErr w:type="spellEnd"/>
      <w:r>
        <w:rPr>
          <w:sz w:val="28"/>
          <w:szCs w:val="28"/>
        </w:rPr>
        <w:t xml:space="preserve">, G. 2012. ‘Kleinwort Benson Limited v. Malaysian Mining Corporation </w:t>
      </w:r>
      <w:proofErr w:type="spellStart"/>
      <w:r>
        <w:rPr>
          <w:sz w:val="28"/>
          <w:szCs w:val="28"/>
        </w:rPr>
        <w:t>Berhad</w:t>
      </w:r>
      <w:proofErr w:type="spellEnd"/>
      <w:r>
        <w:rPr>
          <w:sz w:val="28"/>
          <w:szCs w:val="28"/>
        </w:rPr>
        <w:t xml:space="preserve">- A Comparative Note on Comfort Letters’. Available @ </w:t>
      </w:r>
      <w:hyperlink r:id="rId9" w:history="1">
        <w:r w:rsidRPr="000049AF">
          <w:rPr>
            <w:rStyle w:val="Hyperlink"/>
            <w:sz w:val="28"/>
            <w:szCs w:val="28"/>
          </w:rPr>
          <w:t>https://lawjournal.mcgill.ca/wp-content/upoads/pdf/7527889-Wittuhn.pdf</w:t>
        </w:r>
      </w:hyperlink>
      <w:r>
        <w:rPr>
          <w:sz w:val="28"/>
          <w:szCs w:val="28"/>
        </w:rPr>
        <w:t xml:space="preserve"> Accessed on 4th of March 2023. </w:t>
      </w:r>
    </w:p>
    <w:p w14:paraId="72DBF717" w14:textId="73123C0E" w:rsidR="00E65F01" w:rsidRDefault="00E65F01">
      <w:pPr>
        <w:rPr>
          <w:sz w:val="28"/>
          <w:szCs w:val="28"/>
        </w:rPr>
      </w:pPr>
      <w:r>
        <w:rPr>
          <w:sz w:val="28"/>
          <w:szCs w:val="28"/>
        </w:rPr>
        <w:t>Cases:</w:t>
      </w:r>
    </w:p>
    <w:p w14:paraId="1D96ECC9" w14:textId="6C1474C3" w:rsidR="00E65F01" w:rsidRDefault="00E65F01">
      <w:pPr>
        <w:rPr>
          <w:sz w:val="28"/>
          <w:szCs w:val="28"/>
        </w:rPr>
      </w:pPr>
      <w:r>
        <w:rPr>
          <w:sz w:val="28"/>
          <w:szCs w:val="28"/>
        </w:rPr>
        <w:t>Balfour v Balfour (1919) 2 KB 571</w:t>
      </w:r>
    </w:p>
    <w:p w14:paraId="67D03F5E" w14:textId="57CEE98A" w:rsidR="00E65F01" w:rsidRDefault="00E65F01">
      <w:pPr>
        <w:rPr>
          <w:sz w:val="28"/>
          <w:szCs w:val="28"/>
        </w:rPr>
      </w:pPr>
      <w:r>
        <w:rPr>
          <w:sz w:val="28"/>
          <w:szCs w:val="28"/>
        </w:rPr>
        <w:t>Edwards v Skyways (1964) 1 WLR 349</w:t>
      </w:r>
    </w:p>
    <w:p w14:paraId="37E23EBB" w14:textId="589F02E1" w:rsidR="00E65F01" w:rsidRDefault="00E65F01">
      <w:pPr>
        <w:rPr>
          <w:sz w:val="28"/>
          <w:szCs w:val="28"/>
        </w:rPr>
      </w:pPr>
      <w:r>
        <w:rPr>
          <w:sz w:val="28"/>
          <w:szCs w:val="28"/>
        </w:rPr>
        <w:t>Esso Petroleum Ltd v Customs and Excise Commissioners (1976) 1 WLR#</w:t>
      </w:r>
    </w:p>
    <w:p w14:paraId="673E6606" w14:textId="3B7DF267" w:rsidR="00E65F01" w:rsidRDefault="00E65F01">
      <w:pPr>
        <w:rPr>
          <w:sz w:val="28"/>
          <w:szCs w:val="28"/>
        </w:rPr>
      </w:pPr>
      <w:proofErr w:type="spellStart"/>
      <w:r>
        <w:rPr>
          <w:sz w:val="28"/>
          <w:szCs w:val="28"/>
        </w:rPr>
        <w:t>Granatino</w:t>
      </w:r>
      <w:proofErr w:type="spellEnd"/>
      <w:r>
        <w:rPr>
          <w:sz w:val="28"/>
          <w:szCs w:val="28"/>
        </w:rPr>
        <w:t xml:space="preserve"> v </w:t>
      </w:r>
      <w:proofErr w:type="spellStart"/>
      <w:r>
        <w:rPr>
          <w:sz w:val="28"/>
          <w:szCs w:val="28"/>
        </w:rPr>
        <w:t>Radmacher</w:t>
      </w:r>
      <w:proofErr w:type="spellEnd"/>
      <w:r>
        <w:rPr>
          <w:sz w:val="28"/>
          <w:szCs w:val="28"/>
        </w:rPr>
        <w:t xml:space="preserve"> (2010) UK SC 42</w:t>
      </w:r>
    </w:p>
    <w:p w14:paraId="69C91FD9" w14:textId="06F1C47B" w:rsidR="00E65F01" w:rsidRDefault="00E65F01">
      <w:pPr>
        <w:rPr>
          <w:sz w:val="28"/>
          <w:szCs w:val="28"/>
        </w:rPr>
      </w:pPr>
      <w:r>
        <w:rPr>
          <w:sz w:val="28"/>
          <w:szCs w:val="28"/>
        </w:rPr>
        <w:t xml:space="preserve">Jones v </w:t>
      </w:r>
      <w:proofErr w:type="spellStart"/>
      <w:r>
        <w:rPr>
          <w:sz w:val="28"/>
          <w:szCs w:val="28"/>
        </w:rPr>
        <w:t>Padvatton</w:t>
      </w:r>
      <w:proofErr w:type="spellEnd"/>
      <w:r>
        <w:rPr>
          <w:sz w:val="28"/>
          <w:szCs w:val="28"/>
        </w:rPr>
        <w:t xml:space="preserve"> (1969) 1 WLR 328</w:t>
      </w:r>
    </w:p>
    <w:p w14:paraId="040B6466" w14:textId="66E5EA9E" w:rsidR="00E65F01" w:rsidRDefault="00E65F01">
      <w:pPr>
        <w:rPr>
          <w:sz w:val="28"/>
          <w:szCs w:val="28"/>
        </w:rPr>
      </w:pPr>
      <w:r>
        <w:rPr>
          <w:sz w:val="28"/>
          <w:szCs w:val="28"/>
        </w:rPr>
        <w:t>Kleinwort and Benson Ltd v Malaysian Mining Group (1989) 1 WLR 379</w:t>
      </w:r>
    </w:p>
    <w:p w14:paraId="1D669B86" w14:textId="177802DC" w:rsidR="00E65F01" w:rsidRDefault="00E65F01">
      <w:pPr>
        <w:rPr>
          <w:sz w:val="28"/>
          <w:szCs w:val="28"/>
        </w:rPr>
      </w:pPr>
      <w:proofErr w:type="spellStart"/>
      <w:r>
        <w:rPr>
          <w:sz w:val="28"/>
          <w:szCs w:val="28"/>
        </w:rPr>
        <w:t>Merrit</w:t>
      </w:r>
      <w:proofErr w:type="spellEnd"/>
      <w:r>
        <w:rPr>
          <w:sz w:val="28"/>
          <w:szCs w:val="28"/>
        </w:rPr>
        <w:t xml:space="preserve"> v </w:t>
      </w:r>
      <w:proofErr w:type="spellStart"/>
      <w:r>
        <w:rPr>
          <w:sz w:val="28"/>
          <w:szCs w:val="28"/>
        </w:rPr>
        <w:t>Merrit</w:t>
      </w:r>
      <w:proofErr w:type="spellEnd"/>
      <w:r>
        <w:rPr>
          <w:sz w:val="28"/>
          <w:szCs w:val="28"/>
        </w:rPr>
        <w:t xml:space="preserve"> (1970) 1 WLR 1211</w:t>
      </w:r>
    </w:p>
    <w:p w14:paraId="72125D4D" w14:textId="6CEB340F" w:rsidR="00E65F01" w:rsidRDefault="00E65F01">
      <w:pPr>
        <w:rPr>
          <w:sz w:val="28"/>
          <w:szCs w:val="28"/>
        </w:rPr>
      </w:pPr>
      <w:r>
        <w:rPr>
          <w:sz w:val="28"/>
          <w:szCs w:val="28"/>
        </w:rPr>
        <w:t>Robinson v Commissioners of Custom and Excise (2000) QBD 28</w:t>
      </w:r>
    </w:p>
    <w:p w14:paraId="16390D07" w14:textId="6A1FE1AC" w:rsidR="00E65F01" w:rsidRDefault="00E65F01">
      <w:pPr>
        <w:rPr>
          <w:sz w:val="28"/>
          <w:szCs w:val="28"/>
        </w:rPr>
      </w:pPr>
      <w:r>
        <w:rPr>
          <w:sz w:val="28"/>
          <w:szCs w:val="28"/>
        </w:rPr>
        <w:t>Rose and Frank v Crompton Bros (1925) AC 445</w:t>
      </w:r>
    </w:p>
    <w:p w14:paraId="642172E7" w14:textId="4C4F208E" w:rsidR="00E65F01" w:rsidRDefault="00E65F01">
      <w:pPr>
        <w:rPr>
          <w:sz w:val="28"/>
          <w:szCs w:val="28"/>
        </w:rPr>
      </w:pPr>
      <w:r>
        <w:rPr>
          <w:sz w:val="28"/>
          <w:szCs w:val="28"/>
        </w:rPr>
        <w:t>Simpkins v Pays (1955) 1 WLR 975</w:t>
      </w:r>
    </w:p>
    <w:p w14:paraId="12A0D1D6" w14:textId="03BFE43F" w:rsidR="00E65F01" w:rsidRDefault="00E65F01">
      <w:pPr>
        <w:rPr>
          <w:sz w:val="28"/>
          <w:szCs w:val="28"/>
        </w:rPr>
      </w:pPr>
      <w:r>
        <w:rPr>
          <w:sz w:val="28"/>
          <w:szCs w:val="28"/>
        </w:rPr>
        <w:t xml:space="preserve">Willmore v </w:t>
      </w:r>
      <w:proofErr w:type="gramStart"/>
      <w:r>
        <w:rPr>
          <w:sz w:val="28"/>
          <w:szCs w:val="28"/>
        </w:rPr>
        <w:t>South Eastern</w:t>
      </w:r>
      <w:proofErr w:type="gramEnd"/>
      <w:r>
        <w:rPr>
          <w:sz w:val="28"/>
          <w:szCs w:val="28"/>
        </w:rPr>
        <w:t xml:space="preserve"> Electricity Board (1957) 2 Lloyds Rep 375</w:t>
      </w:r>
    </w:p>
    <w:p w14:paraId="73A3F30A" w14:textId="3C1EB5EF" w:rsidR="00E65F01" w:rsidRDefault="00E65F01">
      <w:pPr>
        <w:rPr>
          <w:sz w:val="28"/>
          <w:szCs w:val="28"/>
        </w:rPr>
      </w:pPr>
      <w:r>
        <w:rPr>
          <w:sz w:val="28"/>
          <w:szCs w:val="28"/>
        </w:rPr>
        <w:lastRenderedPageBreak/>
        <w:t>Acts:</w:t>
      </w:r>
    </w:p>
    <w:p w14:paraId="013664C6" w14:textId="2AC338D7" w:rsidR="00E65F01" w:rsidRDefault="000A5D3E">
      <w:pPr>
        <w:rPr>
          <w:sz w:val="28"/>
          <w:szCs w:val="28"/>
        </w:rPr>
      </w:pPr>
      <w:r>
        <w:rPr>
          <w:sz w:val="28"/>
          <w:szCs w:val="28"/>
        </w:rPr>
        <w:t xml:space="preserve">European Convention of Human Rights Act Article 8 </w:t>
      </w:r>
    </w:p>
    <w:p w14:paraId="1E684A2D" w14:textId="5E0CB76D" w:rsidR="000A5D3E" w:rsidRDefault="000A5D3E">
      <w:pPr>
        <w:rPr>
          <w:sz w:val="28"/>
          <w:szCs w:val="28"/>
        </w:rPr>
      </w:pPr>
      <w:r>
        <w:rPr>
          <w:sz w:val="28"/>
          <w:szCs w:val="28"/>
        </w:rPr>
        <w:t xml:space="preserve">Trade Union and Labour Relations (Consolidation) Act S.179 </w:t>
      </w:r>
    </w:p>
    <w:p w14:paraId="0EA41797" w14:textId="77777777" w:rsidR="00786112" w:rsidRDefault="00786112">
      <w:pPr>
        <w:rPr>
          <w:sz w:val="28"/>
          <w:szCs w:val="28"/>
        </w:rPr>
      </w:pPr>
    </w:p>
    <w:p w14:paraId="7F6521B5" w14:textId="77777777" w:rsidR="00786112" w:rsidRDefault="00786112">
      <w:pPr>
        <w:rPr>
          <w:sz w:val="28"/>
          <w:szCs w:val="28"/>
        </w:rPr>
      </w:pPr>
    </w:p>
    <w:p w14:paraId="775A311A" w14:textId="77777777" w:rsidR="00786112" w:rsidRDefault="00786112">
      <w:pPr>
        <w:rPr>
          <w:sz w:val="28"/>
          <w:szCs w:val="28"/>
        </w:rPr>
      </w:pPr>
    </w:p>
    <w:p w14:paraId="4BAC073E" w14:textId="77777777" w:rsidR="00FA56FE" w:rsidRDefault="00FA56FE">
      <w:pPr>
        <w:rPr>
          <w:sz w:val="28"/>
          <w:szCs w:val="28"/>
        </w:rPr>
      </w:pPr>
    </w:p>
    <w:p w14:paraId="5421EE48" w14:textId="0068255E" w:rsidR="001F7CF4" w:rsidRDefault="001F7CF4">
      <w:pPr>
        <w:rPr>
          <w:sz w:val="28"/>
          <w:szCs w:val="28"/>
        </w:rPr>
      </w:pPr>
    </w:p>
    <w:p w14:paraId="366E4138" w14:textId="77777777" w:rsidR="00BF6C49" w:rsidRDefault="00BF6C49">
      <w:pPr>
        <w:rPr>
          <w:sz w:val="28"/>
          <w:szCs w:val="28"/>
        </w:rPr>
      </w:pPr>
    </w:p>
    <w:p w14:paraId="077101BF" w14:textId="77777777" w:rsidR="004A329D" w:rsidRPr="00631BDF" w:rsidRDefault="004A329D">
      <w:pPr>
        <w:rPr>
          <w:sz w:val="28"/>
          <w:szCs w:val="28"/>
        </w:rPr>
      </w:pPr>
    </w:p>
    <w:sectPr w:rsidR="004A329D" w:rsidRPr="00631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DF"/>
    <w:rsid w:val="000A5D3E"/>
    <w:rsid w:val="001817C9"/>
    <w:rsid w:val="001F7CF4"/>
    <w:rsid w:val="00296922"/>
    <w:rsid w:val="002D01F0"/>
    <w:rsid w:val="004A329D"/>
    <w:rsid w:val="005E1B22"/>
    <w:rsid w:val="00602BD7"/>
    <w:rsid w:val="00631BDF"/>
    <w:rsid w:val="00706E7D"/>
    <w:rsid w:val="00786112"/>
    <w:rsid w:val="00816DE4"/>
    <w:rsid w:val="0088455E"/>
    <w:rsid w:val="008F180A"/>
    <w:rsid w:val="0095415C"/>
    <w:rsid w:val="00BF6C49"/>
    <w:rsid w:val="00CD202B"/>
    <w:rsid w:val="00DB70AB"/>
    <w:rsid w:val="00E050F0"/>
    <w:rsid w:val="00E65F01"/>
    <w:rsid w:val="00FA56FE"/>
    <w:rsid w:val="00FD2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FC78D"/>
  <w15:chartTrackingRefBased/>
  <w15:docId w15:val="{3EB4FE9B-5DE6-4CB9-9B47-CA25EA49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112"/>
    <w:rPr>
      <w:color w:val="0563C1" w:themeColor="hyperlink"/>
      <w:u w:val="single"/>
    </w:rPr>
  </w:style>
  <w:style w:type="character" w:styleId="UnresolvedMention">
    <w:name w:val="Unresolved Mention"/>
    <w:basedOn w:val="DefaultParagraphFont"/>
    <w:uiPriority w:val="99"/>
    <w:semiHidden/>
    <w:unhideWhenUsed/>
    <w:rsid w:val="007861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docs/speech-191119.pdf" TargetMode="External"/><Relationship Id="rId3" Type="http://schemas.openxmlformats.org/officeDocument/2006/relationships/webSettings" Target="webSettings.xml"/><Relationship Id="rId7" Type="http://schemas.openxmlformats.org/officeDocument/2006/relationships/hyperlink" Target="https://www.cambridge.org/core/journals/legal-studies/article/abs/balfour-v-balfour-and-the-seperation-of-contract-and-promise/4D763F1CAAFE8169388F40FCCAE16B7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manticscholar.org/paper/KEEPING-CONTRACT-IN-ITS-PLACE-BALFOUR-v-BALFOUR-AND=Hedley/7f07397df069595831ee4fa4fe12258014787b73#citing-papers" TargetMode="External"/><Relationship Id="rId11" Type="http://schemas.openxmlformats.org/officeDocument/2006/relationships/theme" Target="theme/theme1.xml"/><Relationship Id="rId5" Type="http://schemas.openxmlformats.org/officeDocument/2006/relationships/hyperlink" Target="https://www.jstor.org/stable/j:ctt1qnw8c9" TargetMode="External"/><Relationship Id="rId10" Type="http://schemas.openxmlformats.org/officeDocument/2006/relationships/fontTable" Target="fontTable.xml"/><Relationship Id="rId4" Type="http://schemas.openxmlformats.org/officeDocument/2006/relationships/hyperlink" Target="https://www.a4id.org/wp-content/uploads/2016/10/A4ID-english-contract-law-at-a-glance.pdf" TargetMode="External"/><Relationship Id="rId9" Type="http://schemas.openxmlformats.org/officeDocument/2006/relationships/hyperlink" Target="https://lawjournal.mcgill.ca/wp-content/upoads/pdf/7527889-Wittuh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7</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Charlotte</cp:lastModifiedBy>
  <cp:revision>1</cp:revision>
  <dcterms:created xsi:type="dcterms:W3CDTF">2023-03-07T18:54:00Z</dcterms:created>
  <dcterms:modified xsi:type="dcterms:W3CDTF">2023-03-07T22:25:00Z</dcterms:modified>
</cp:coreProperties>
</file>