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C2AD8E" w14:textId="7A0EB0D4" w:rsidR="00433C48" w:rsidRPr="004863A5" w:rsidRDefault="00D5750D" w:rsidP="002437CA">
      <w:pPr>
        <w:rPr>
          <w:rFonts w:ascii="Garamond" w:hAnsi="Garamond"/>
        </w:rPr>
      </w:pPr>
      <w:r w:rsidRPr="004863A5">
        <w:rPr>
          <w:rFonts w:ascii="Garamond" w:hAnsi="Garamond"/>
        </w:rPr>
        <w:t xml:space="preserve">It is very hard to imagine where the ideas for the papers were initially conceived, but in both cases the question must have grown out of considerable earlier research, and an affection for the subject matter. The authors of the two papers I read are both lecturers in University of </w:t>
      </w:r>
      <w:r w:rsidR="00433C48" w:rsidRPr="004863A5">
        <w:rPr>
          <w:rFonts w:ascii="Garamond" w:hAnsi="Garamond"/>
        </w:rPr>
        <w:t>Wales</w:t>
      </w:r>
      <w:r w:rsidRPr="004863A5">
        <w:rPr>
          <w:rFonts w:ascii="Garamond" w:hAnsi="Garamond"/>
        </w:rPr>
        <w:t xml:space="preserve"> St Davids, </w:t>
      </w:r>
      <w:r w:rsidR="00433C48" w:rsidRPr="004863A5">
        <w:rPr>
          <w:rFonts w:ascii="Garamond" w:hAnsi="Garamond"/>
        </w:rPr>
        <w:t>Jane Burton has an involvement in a project called ‘</w:t>
      </w:r>
      <w:r w:rsidR="00433C48" w:rsidRPr="004863A5">
        <w:rPr>
          <w:rFonts w:ascii="Garamond" w:hAnsi="Garamond"/>
        </w:rPr>
        <w:t>Monastic Wales</w:t>
      </w:r>
      <w:r w:rsidR="00433C48" w:rsidRPr="004863A5">
        <w:rPr>
          <w:rFonts w:ascii="Garamond" w:hAnsi="Garamond"/>
        </w:rPr>
        <w:t>’</w:t>
      </w:r>
      <w:r w:rsidR="004863A5">
        <w:rPr>
          <w:rFonts w:ascii="Garamond" w:hAnsi="Garamond"/>
        </w:rPr>
        <w:t>,</w:t>
      </w:r>
      <w:r w:rsidR="00433C48" w:rsidRPr="004863A5">
        <w:rPr>
          <w:rFonts w:ascii="Garamond" w:hAnsi="Garamond"/>
        </w:rPr>
        <w:t xml:space="preserve"> the Cistercian Abbey of Strata Florida would undoubtedly have featured. </w:t>
      </w:r>
    </w:p>
    <w:p w14:paraId="14C82505" w14:textId="77777777" w:rsidR="00734EA9" w:rsidRPr="004863A5" w:rsidRDefault="00734EA9" w:rsidP="002437CA">
      <w:pPr>
        <w:rPr>
          <w:rFonts w:ascii="Garamond" w:hAnsi="Garamond"/>
        </w:rPr>
      </w:pPr>
    </w:p>
    <w:p w14:paraId="1FEFC6FC" w14:textId="2585DC2D" w:rsidR="00734EA9" w:rsidRPr="004863A5" w:rsidRDefault="00734EA9" w:rsidP="002437CA">
      <w:pPr>
        <w:rPr>
          <w:rFonts w:ascii="Garamond" w:hAnsi="Garamond"/>
        </w:rPr>
      </w:pPr>
      <w:r w:rsidRPr="004863A5">
        <w:rPr>
          <w:rFonts w:ascii="Garamond" w:hAnsi="Garamond"/>
        </w:rPr>
        <w:t xml:space="preserve">I </w:t>
      </w:r>
      <w:r w:rsidR="004863A5">
        <w:rPr>
          <w:rFonts w:ascii="Garamond" w:hAnsi="Garamond"/>
        </w:rPr>
        <w:t xml:space="preserve">do </w:t>
      </w:r>
      <w:proofErr w:type="gramStart"/>
      <w:r w:rsidRPr="004863A5">
        <w:rPr>
          <w:rFonts w:ascii="Garamond" w:hAnsi="Garamond"/>
        </w:rPr>
        <w:t>speculate</w:t>
      </w:r>
      <w:r w:rsidR="004863A5">
        <w:rPr>
          <w:rFonts w:ascii="Garamond" w:hAnsi="Garamond"/>
        </w:rPr>
        <w:t>,</w:t>
      </w:r>
      <w:r w:rsidRPr="004863A5">
        <w:rPr>
          <w:rFonts w:ascii="Garamond" w:hAnsi="Garamond"/>
        </w:rPr>
        <w:t xml:space="preserve"> but</w:t>
      </w:r>
      <w:proofErr w:type="gramEnd"/>
      <w:r w:rsidRPr="004863A5">
        <w:rPr>
          <w:rFonts w:ascii="Garamond" w:hAnsi="Garamond"/>
        </w:rPr>
        <w:t xml:space="preserve"> imagine both of the authors would have begun with some general research on their subject matter, </w:t>
      </w:r>
      <w:r w:rsidR="004863A5">
        <w:rPr>
          <w:rFonts w:ascii="Garamond" w:hAnsi="Garamond"/>
        </w:rPr>
        <w:t xml:space="preserve">and </w:t>
      </w:r>
      <w:r w:rsidRPr="004863A5">
        <w:rPr>
          <w:rFonts w:ascii="Garamond" w:hAnsi="Garamond"/>
        </w:rPr>
        <w:t xml:space="preserve">thrown quite a wide net over the area, and visited the sites of Strata Florida and Dunstable to get a feel for the environment. Following on from this general approach, </w:t>
      </w:r>
      <w:proofErr w:type="gramStart"/>
      <w:r w:rsidRPr="004863A5">
        <w:rPr>
          <w:rFonts w:ascii="Garamond" w:hAnsi="Garamond"/>
        </w:rPr>
        <w:t>a number of</w:t>
      </w:r>
      <w:proofErr w:type="gramEnd"/>
      <w:r w:rsidRPr="004863A5">
        <w:rPr>
          <w:rFonts w:ascii="Garamond" w:hAnsi="Garamond"/>
        </w:rPr>
        <w:t xml:space="preserve"> the primary sources will have been identified and examined in detail, and from this process a number of different avenues may have emerged before a specific approach was decided upon. </w:t>
      </w:r>
    </w:p>
    <w:p w14:paraId="5100F4DD" w14:textId="77777777" w:rsidR="00734EA9" w:rsidRPr="004863A5" w:rsidRDefault="00734EA9" w:rsidP="002437CA">
      <w:pPr>
        <w:rPr>
          <w:rFonts w:ascii="Garamond" w:hAnsi="Garamond"/>
        </w:rPr>
      </w:pPr>
    </w:p>
    <w:p w14:paraId="111D4416" w14:textId="3B2BB134" w:rsidR="003C3F81" w:rsidRPr="004863A5" w:rsidRDefault="003C3F81" w:rsidP="002437CA">
      <w:pPr>
        <w:rPr>
          <w:rFonts w:ascii="Garamond" w:hAnsi="Garamond"/>
        </w:rPr>
      </w:pPr>
      <w:r w:rsidRPr="004863A5">
        <w:rPr>
          <w:rFonts w:ascii="Garamond" w:hAnsi="Garamond"/>
        </w:rPr>
        <w:t>The primary sources chosen</w:t>
      </w:r>
      <w:r w:rsidR="00734EA9" w:rsidRPr="004863A5">
        <w:rPr>
          <w:rFonts w:ascii="Garamond" w:hAnsi="Garamond"/>
        </w:rPr>
        <w:t>,</w:t>
      </w:r>
      <w:r w:rsidRPr="004863A5">
        <w:rPr>
          <w:rFonts w:ascii="Garamond" w:hAnsi="Garamond"/>
        </w:rPr>
        <w:t xml:space="preserve"> help recreate </w:t>
      </w:r>
      <w:r w:rsidR="00C6516C" w:rsidRPr="004863A5">
        <w:rPr>
          <w:rFonts w:ascii="Garamond" w:hAnsi="Garamond"/>
        </w:rPr>
        <w:t xml:space="preserve">a </w:t>
      </w:r>
      <w:r w:rsidR="002C0222" w:rsidRPr="004863A5">
        <w:rPr>
          <w:rFonts w:ascii="Garamond" w:hAnsi="Garamond"/>
        </w:rPr>
        <w:t>particular moment</w:t>
      </w:r>
      <w:r w:rsidR="00C6516C" w:rsidRPr="004863A5">
        <w:rPr>
          <w:rFonts w:ascii="Garamond" w:hAnsi="Garamond"/>
        </w:rPr>
        <w:t xml:space="preserve"> in history, </w:t>
      </w:r>
      <w:r w:rsidR="00734EA9" w:rsidRPr="004863A5">
        <w:rPr>
          <w:rFonts w:ascii="Garamond" w:hAnsi="Garamond"/>
        </w:rPr>
        <w:t>giving insight</w:t>
      </w:r>
      <w:r w:rsidR="00C6516C" w:rsidRPr="004863A5">
        <w:rPr>
          <w:rFonts w:ascii="Garamond" w:hAnsi="Garamond"/>
        </w:rPr>
        <w:t xml:space="preserve"> </w:t>
      </w:r>
      <w:r w:rsidR="00734EA9" w:rsidRPr="004863A5">
        <w:rPr>
          <w:rFonts w:ascii="Garamond" w:hAnsi="Garamond"/>
        </w:rPr>
        <w:t>and colour to the context in which they were written. T</w:t>
      </w:r>
      <w:r w:rsidR="00C6516C" w:rsidRPr="004863A5">
        <w:rPr>
          <w:rFonts w:ascii="Garamond" w:hAnsi="Garamond"/>
        </w:rPr>
        <w:t>he perspective of the author(s)</w:t>
      </w:r>
      <w:r w:rsidR="00734EA9" w:rsidRPr="004863A5">
        <w:rPr>
          <w:rFonts w:ascii="Garamond" w:hAnsi="Garamond"/>
        </w:rPr>
        <w:t xml:space="preserve"> is necessarily dominant, but acknowledging this can leave space for questions to be asked about what they are not saying, as well as what they are saying</w:t>
      </w:r>
      <w:r w:rsidR="00C6516C" w:rsidRPr="004863A5">
        <w:rPr>
          <w:rFonts w:ascii="Garamond" w:hAnsi="Garamond"/>
        </w:rPr>
        <w:t>.</w:t>
      </w:r>
      <w:r w:rsidR="0042745C" w:rsidRPr="004863A5">
        <w:rPr>
          <w:rFonts w:ascii="Garamond" w:hAnsi="Garamond"/>
        </w:rPr>
        <w:t xml:space="preserve"> The</w:t>
      </w:r>
      <w:r w:rsidR="00734EA9" w:rsidRPr="004863A5">
        <w:rPr>
          <w:rFonts w:ascii="Garamond" w:hAnsi="Garamond"/>
        </w:rPr>
        <w:t xml:space="preserve"> primary sources </w:t>
      </w:r>
      <w:r w:rsidR="0042745C" w:rsidRPr="004863A5">
        <w:rPr>
          <w:rFonts w:ascii="Garamond" w:hAnsi="Garamond"/>
        </w:rPr>
        <w:t>represent the best avenue of approach to a particular moment in time, and</w:t>
      </w:r>
      <w:r w:rsidR="00734EA9" w:rsidRPr="004863A5">
        <w:rPr>
          <w:rFonts w:ascii="Garamond" w:hAnsi="Garamond"/>
        </w:rPr>
        <w:t xml:space="preserve"> a careful reading </w:t>
      </w:r>
      <w:r w:rsidR="0042745C" w:rsidRPr="004863A5">
        <w:rPr>
          <w:rFonts w:ascii="Garamond" w:hAnsi="Garamond"/>
        </w:rPr>
        <w:t>reveal</w:t>
      </w:r>
      <w:r w:rsidR="002C0222" w:rsidRPr="004863A5">
        <w:rPr>
          <w:rFonts w:ascii="Garamond" w:hAnsi="Garamond"/>
        </w:rPr>
        <w:t>s</w:t>
      </w:r>
      <w:r w:rsidR="0042745C" w:rsidRPr="004863A5">
        <w:rPr>
          <w:rFonts w:ascii="Garamond" w:hAnsi="Garamond"/>
        </w:rPr>
        <w:t xml:space="preserve"> </w:t>
      </w:r>
      <w:r w:rsidR="002C0222" w:rsidRPr="004863A5">
        <w:rPr>
          <w:rFonts w:ascii="Garamond" w:hAnsi="Garamond"/>
        </w:rPr>
        <w:t xml:space="preserve">an </w:t>
      </w:r>
      <w:r w:rsidR="0042745C" w:rsidRPr="004863A5">
        <w:rPr>
          <w:rFonts w:ascii="Garamond" w:hAnsi="Garamond"/>
        </w:rPr>
        <w:t xml:space="preserve">interplay between author(s), place, community, </w:t>
      </w:r>
      <w:r w:rsidR="002C0222" w:rsidRPr="004863A5">
        <w:rPr>
          <w:rFonts w:ascii="Garamond" w:hAnsi="Garamond"/>
        </w:rPr>
        <w:t xml:space="preserve">environment </w:t>
      </w:r>
      <w:r w:rsidR="0042745C" w:rsidRPr="004863A5">
        <w:rPr>
          <w:rFonts w:ascii="Garamond" w:hAnsi="Garamond"/>
        </w:rPr>
        <w:t xml:space="preserve">and </w:t>
      </w:r>
      <w:r w:rsidR="002C0222" w:rsidRPr="004863A5">
        <w:rPr>
          <w:rFonts w:ascii="Garamond" w:hAnsi="Garamond"/>
        </w:rPr>
        <w:t xml:space="preserve">the </w:t>
      </w:r>
      <w:r w:rsidR="0042745C" w:rsidRPr="004863A5">
        <w:rPr>
          <w:rFonts w:ascii="Garamond" w:hAnsi="Garamond"/>
        </w:rPr>
        <w:t>politics of the time</w:t>
      </w:r>
      <w:r w:rsidR="002C0222" w:rsidRPr="004863A5">
        <w:rPr>
          <w:rFonts w:ascii="Garamond" w:hAnsi="Garamond"/>
        </w:rPr>
        <w:t>. By beginning with a primary source, the layers of interpretation are minimised</w:t>
      </w:r>
      <w:r w:rsidR="0042745C" w:rsidRPr="004863A5">
        <w:rPr>
          <w:rFonts w:ascii="Garamond" w:hAnsi="Garamond"/>
        </w:rPr>
        <w:t>, th</w:t>
      </w:r>
      <w:r w:rsidR="002C0222" w:rsidRPr="004863A5">
        <w:rPr>
          <w:rFonts w:ascii="Garamond" w:hAnsi="Garamond"/>
        </w:rPr>
        <w:t xml:space="preserve">e </w:t>
      </w:r>
      <w:r w:rsidR="0042745C" w:rsidRPr="004863A5">
        <w:rPr>
          <w:rFonts w:ascii="Garamond" w:hAnsi="Garamond"/>
        </w:rPr>
        <w:t>colour</w:t>
      </w:r>
      <w:r w:rsidR="002C0222" w:rsidRPr="004863A5">
        <w:rPr>
          <w:rFonts w:ascii="Garamond" w:hAnsi="Garamond"/>
        </w:rPr>
        <w:t>ing of</w:t>
      </w:r>
      <w:r w:rsidR="0042745C" w:rsidRPr="004863A5">
        <w:rPr>
          <w:rFonts w:ascii="Garamond" w:hAnsi="Garamond"/>
        </w:rPr>
        <w:t xml:space="preserve"> the water </w:t>
      </w:r>
      <w:r w:rsidR="002C0222" w:rsidRPr="004863A5">
        <w:rPr>
          <w:rFonts w:ascii="Garamond" w:hAnsi="Garamond"/>
        </w:rPr>
        <w:t xml:space="preserve">that may come with later interpretations of the source material may give rise to some element of unconscious bias.  </w:t>
      </w:r>
    </w:p>
    <w:p w14:paraId="7ADCDF06" w14:textId="77777777" w:rsidR="003C3F81" w:rsidRPr="004863A5" w:rsidRDefault="003C3F81" w:rsidP="002437CA">
      <w:pPr>
        <w:rPr>
          <w:rFonts w:ascii="Garamond" w:hAnsi="Garamond"/>
        </w:rPr>
      </w:pPr>
    </w:p>
    <w:p w14:paraId="032EF484" w14:textId="2F57ECD1" w:rsidR="00C6516C" w:rsidRPr="004863A5" w:rsidRDefault="002C0222" w:rsidP="002437CA">
      <w:pPr>
        <w:rPr>
          <w:rFonts w:ascii="Garamond" w:hAnsi="Garamond"/>
        </w:rPr>
      </w:pPr>
      <w:r w:rsidRPr="004863A5">
        <w:rPr>
          <w:rFonts w:ascii="Garamond" w:hAnsi="Garamond"/>
        </w:rPr>
        <w:t>In the two papers t</w:t>
      </w:r>
      <w:r w:rsidR="00C6516C" w:rsidRPr="004863A5">
        <w:rPr>
          <w:rFonts w:ascii="Garamond" w:hAnsi="Garamond"/>
        </w:rPr>
        <w:t xml:space="preserve">he primary sources </w:t>
      </w:r>
      <w:r w:rsidRPr="004863A5">
        <w:rPr>
          <w:rFonts w:ascii="Garamond" w:hAnsi="Garamond"/>
        </w:rPr>
        <w:t xml:space="preserve">are extensive, and many could </w:t>
      </w:r>
      <w:r w:rsidR="00C6516C" w:rsidRPr="004863A5">
        <w:rPr>
          <w:rFonts w:ascii="Garamond" w:hAnsi="Garamond"/>
        </w:rPr>
        <w:t xml:space="preserve">have been examined in person at different </w:t>
      </w:r>
      <w:r w:rsidR="0042745C" w:rsidRPr="004863A5">
        <w:rPr>
          <w:rFonts w:ascii="Garamond" w:hAnsi="Garamond"/>
        </w:rPr>
        <w:t xml:space="preserve">libraries or archives. </w:t>
      </w:r>
      <w:r w:rsidRPr="004863A5">
        <w:rPr>
          <w:rFonts w:ascii="Garamond" w:hAnsi="Garamond"/>
        </w:rPr>
        <w:t>Translations of the primary sources</w:t>
      </w:r>
      <w:r w:rsidR="0042745C" w:rsidRPr="004863A5">
        <w:rPr>
          <w:rFonts w:ascii="Garamond" w:hAnsi="Garamond"/>
        </w:rPr>
        <w:t xml:space="preserve"> have been published and are </w:t>
      </w:r>
      <w:r w:rsidRPr="004863A5">
        <w:rPr>
          <w:rFonts w:ascii="Garamond" w:hAnsi="Garamond"/>
        </w:rPr>
        <w:t xml:space="preserve">also </w:t>
      </w:r>
      <w:r w:rsidR="0042745C" w:rsidRPr="004863A5">
        <w:rPr>
          <w:rFonts w:ascii="Garamond" w:hAnsi="Garamond"/>
        </w:rPr>
        <w:t xml:space="preserve">available in </w:t>
      </w:r>
      <w:r w:rsidR="00C6516C" w:rsidRPr="004863A5">
        <w:rPr>
          <w:rFonts w:ascii="Garamond" w:hAnsi="Garamond"/>
        </w:rPr>
        <w:t xml:space="preserve">libraries. Some of the </w:t>
      </w:r>
      <w:r w:rsidR="0042745C" w:rsidRPr="004863A5">
        <w:rPr>
          <w:rFonts w:ascii="Garamond" w:hAnsi="Garamond"/>
        </w:rPr>
        <w:t>manuscripts</w:t>
      </w:r>
      <w:r w:rsidR="00C6516C" w:rsidRPr="004863A5">
        <w:rPr>
          <w:rFonts w:ascii="Garamond" w:hAnsi="Garamond"/>
        </w:rPr>
        <w:t xml:space="preserve"> have been digitised, but an initial perusal of links is a fr</w:t>
      </w:r>
      <w:r w:rsidR="0042745C" w:rsidRPr="004863A5">
        <w:rPr>
          <w:rFonts w:ascii="Garamond" w:hAnsi="Garamond"/>
        </w:rPr>
        <w:t xml:space="preserve">aught </w:t>
      </w:r>
      <w:r w:rsidR="00C6516C" w:rsidRPr="004863A5">
        <w:rPr>
          <w:rFonts w:ascii="Garamond" w:hAnsi="Garamond"/>
        </w:rPr>
        <w:t xml:space="preserve">experience. In the case of some of the poetry cited, the collection of </w:t>
      </w:r>
      <w:proofErr w:type="spellStart"/>
      <w:r w:rsidR="00C6516C" w:rsidRPr="004863A5">
        <w:rPr>
          <w:rFonts w:ascii="Garamond" w:hAnsi="Garamond"/>
        </w:rPr>
        <w:t>Guto'r</w:t>
      </w:r>
      <w:proofErr w:type="spellEnd"/>
      <w:r w:rsidR="00C6516C" w:rsidRPr="004863A5">
        <w:rPr>
          <w:rFonts w:ascii="Garamond" w:hAnsi="Garamond"/>
        </w:rPr>
        <w:t xml:space="preserve"> Glyn</w:t>
      </w:r>
      <w:r w:rsidR="00C6516C" w:rsidRPr="004863A5">
        <w:rPr>
          <w:rFonts w:ascii="Garamond" w:hAnsi="Garamond"/>
        </w:rPr>
        <w:t xml:space="preserve"> is </w:t>
      </w:r>
      <w:r w:rsidRPr="004863A5">
        <w:rPr>
          <w:rFonts w:ascii="Garamond" w:hAnsi="Garamond"/>
        </w:rPr>
        <w:t xml:space="preserve">readily </w:t>
      </w:r>
      <w:r w:rsidR="00C6516C" w:rsidRPr="004863A5">
        <w:rPr>
          <w:rFonts w:ascii="Garamond" w:hAnsi="Garamond"/>
        </w:rPr>
        <w:t xml:space="preserve">available online. </w:t>
      </w:r>
    </w:p>
    <w:p w14:paraId="23A0712A" w14:textId="77777777" w:rsidR="002437CA" w:rsidRPr="004863A5" w:rsidRDefault="002437CA" w:rsidP="002437CA">
      <w:pPr>
        <w:rPr>
          <w:rFonts w:ascii="Garamond" w:hAnsi="Garamond"/>
        </w:rPr>
      </w:pPr>
    </w:p>
    <w:p w14:paraId="334B9232" w14:textId="153643B1" w:rsidR="00BC296E" w:rsidRDefault="00C6516C" w:rsidP="002437CA">
      <w:pPr>
        <w:rPr>
          <w:rFonts w:ascii="Garamond" w:hAnsi="Garamond"/>
        </w:rPr>
      </w:pPr>
      <w:r w:rsidRPr="004863A5">
        <w:rPr>
          <w:rFonts w:ascii="Garamond" w:hAnsi="Garamond"/>
        </w:rPr>
        <w:t xml:space="preserve">The authors </w:t>
      </w:r>
      <w:r w:rsidR="002C0222" w:rsidRPr="004863A5">
        <w:rPr>
          <w:rFonts w:ascii="Garamond" w:hAnsi="Garamond"/>
        </w:rPr>
        <w:t xml:space="preserve">both </w:t>
      </w:r>
      <w:r w:rsidRPr="004863A5">
        <w:rPr>
          <w:rFonts w:ascii="Garamond" w:hAnsi="Garamond"/>
        </w:rPr>
        <w:t>look at the</w:t>
      </w:r>
      <w:r w:rsidR="002C0222" w:rsidRPr="004863A5">
        <w:rPr>
          <w:rFonts w:ascii="Garamond" w:hAnsi="Garamond"/>
        </w:rPr>
        <w:t xml:space="preserve">ir </w:t>
      </w:r>
      <w:r w:rsidRPr="004863A5">
        <w:rPr>
          <w:rFonts w:ascii="Garamond" w:hAnsi="Garamond"/>
        </w:rPr>
        <w:t>primary source</w:t>
      </w:r>
      <w:r w:rsidR="004863A5">
        <w:rPr>
          <w:rFonts w:ascii="Garamond" w:hAnsi="Garamond"/>
        </w:rPr>
        <w:t>s</w:t>
      </w:r>
      <w:r w:rsidRPr="004863A5">
        <w:rPr>
          <w:rFonts w:ascii="Garamond" w:hAnsi="Garamond"/>
        </w:rPr>
        <w:t xml:space="preserve"> with </w:t>
      </w:r>
      <w:r w:rsidR="004863A5">
        <w:rPr>
          <w:rFonts w:ascii="Garamond" w:hAnsi="Garamond"/>
        </w:rPr>
        <w:t xml:space="preserve">a </w:t>
      </w:r>
      <w:r w:rsidRPr="004863A5">
        <w:rPr>
          <w:rFonts w:ascii="Garamond" w:hAnsi="Garamond"/>
        </w:rPr>
        <w:t xml:space="preserve">critical eye, which informs the </w:t>
      </w:r>
      <w:r w:rsidR="007528B7">
        <w:rPr>
          <w:rFonts w:ascii="Garamond" w:hAnsi="Garamond"/>
        </w:rPr>
        <w:t xml:space="preserve">reader to a </w:t>
      </w:r>
      <w:r w:rsidRPr="004863A5">
        <w:rPr>
          <w:rFonts w:ascii="Garamond" w:hAnsi="Garamond"/>
        </w:rPr>
        <w:t xml:space="preserve">greater </w:t>
      </w:r>
      <w:r w:rsidR="007528B7">
        <w:rPr>
          <w:rFonts w:ascii="Garamond" w:hAnsi="Garamond"/>
        </w:rPr>
        <w:t xml:space="preserve">or lesser </w:t>
      </w:r>
      <w:r w:rsidRPr="004863A5">
        <w:rPr>
          <w:rFonts w:ascii="Garamond" w:hAnsi="Garamond"/>
        </w:rPr>
        <w:t>degree</w:t>
      </w:r>
      <w:r w:rsidR="007528B7">
        <w:rPr>
          <w:rFonts w:ascii="Garamond" w:hAnsi="Garamond"/>
        </w:rPr>
        <w:t xml:space="preserve"> that even a primary source </w:t>
      </w:r>
      <w:proofErr w:type="gramStart"/>
      <w:r w:rsidR="007528B7">
        <w:rPr>
          <w:rFonts w:ascii="Garamond" w:hAnsi="Garamond"/>
        </w:rPr>
        <w:t>has to</w:t>
      </w:r>
      <w:proofErr w:type="gramEnd"/>
      <w:r w:rsidR="007528B7">
        <w:rPr>
          <w:rFonts w:ascii="Garamond" w:hAnsi="Garamond"/>
        </w:rPr>
        <w:t xml:space="preserve"> be questioned.</w:t>
      </w:r>
      <w:r w:rsidR="002C0222" w:rsidRPr="004863A5">
        <w:rPr>
          <w:rFonts w:ascii="Garamond" w:hAnsi="Garamond"/>
        </w:rPr>
        <w:t xml:space="preserve"> </w:t>
      </w:r>
      <w:r w:rsidR="003C3F81" w:rsidRPr="004863A5">
        <w:rPr>
          <w:rFonts w:ascii="Garamond" w:hAnsi="Garamond"/>
        </w:rPr>
        <w:t xml:space="preserve">The selection of the primary </w:t>
      </w:r>
      <w:proofErr w:type="gramStart"/>
      <w:r w:rsidR="003C3F81" w:rsidRPr="004863A5">
        <w:rPr>
          <w:rFonts w:ascii="Garamond" w:hAnsi="Garamond"/>
        </w:rPr>
        <w:t>sources</w:t>
      </w:r>
      <w:proofErr w:type="gramEnd"/>
      <w:r w:rsidR="003C3F81" w:rsidRPr="004863A5">
        <w:rPr>
          <w:rFonts w:ascii="Garamond" w:hAnsi="Garamond"/>
        </w:rPr>
        <w:t xml:space="preserve"> </w:t>
      </w:r>
      <w:r w:rsidR="002C0222" w:rsidRPr="004863A5">
        <w:rPr>
          <w:rFonts w:ascii="Garamond" w:hAnsi="Garamond"/>
        </w:rPr>
        <w:t xml:space="preserve">points to </w:t>
      </w:r>
      <w:r w:rsidR="003C3F81" w:rsidRPr="004863A5">
        <w:rPr>
          <w:rFonts w:ascii="Garamond" w:hAnsi="Garamond"/>
        </w:rPr>
        <w:t xml:space="preserve">the author’s </w:t>
      </w:r>
      <w:r w:rsidR="007528B7">
        <w:rPr>
          <w:rFonts w:ascii="Garamond" w:hAnsi="Garamond"/>
        </w:rPr>
        <w:t xml:space="preserve">own </w:t>
      </w:r>
      <w:r w:rsidR="003C3F81" w:rsidRPr="004863A5">
        <w:rPr>
          <w:rFonts w:ascii="Garamond" w:hAnsi="Garamond"/>
        </w:rPr>
        <w:t xml:space="preserve">understanding of </w:t>
      </w:r>
      <w:r w:rsidR="002C0222" w:rsidRPr="004863A5">
        <w:rPr>
          <w:rFonts w:ascii="Garamond" w:hAnsi="Garamond"/>
        </w:rPr>
        <w:t xml:space="preserve">how the relevant </w:t>
      </w:r>
      <w:r w:rsidR="003C3F81" w:rsidRPr="004863A5">
        <w:rPr>
          <w:rFonts w:ascii="Garamond" w:hAnsi="Garamond"/>
        </w:rPr>
        <w:t>historical events ha</w:t>
      </w:r>
      <w:r w:rsidR="002C0222" w:rsidRPr="004863A5">
        <w:rPr>
          <w:rFonts w:ascii="Garamond" w:hAnsi="Garamond"/>
        </w:rPr>
        <w:t xml:space="preserve">ve </w:t>
      </w:r>
      <w:r w:rsidR="003C3F81" w:rsidRPr="004863A5">
        <w:rPr>
          <w:rFonts w:ascii="Garamond" w:hAnsi="Garamond"/>
        </w:rPr>
        <w:t>evolved</w:t>
      </w:r>
      <w:r w:rsidR="003C3F81" w:rsidRPr="004863A5">
        <w:rPr>
          <w:rFonts w:ascii="Garamond" w:hAnsi="Garamond"/>
        </w:rPr>
        <w:t>,</w:t>
      </w:r>
      <w:r w:rsidR="003C3F81" w:rsidRPr="004863A5">
        <w:rPr>
          <w:rFonts w:ascii="Garamond" w:hAnsi="Garamond"/>
        </w:rPr>
        <w:t xml:space="preserve"> and </w:t>
      </w:r>
      <w:r w:rsidR="007528B7">
        <w:rPr>
          <w:rFonts w:ascii="Garamond" w:hAnsi="Garamond"/>
        </w:rPr>
        <w:t xml:space="preserve">demonstrating </w:t>
      </w:r>
      <w:r w:rsidR="003C3F81" w:rsidRPr="004863A5">
        <w:rPr>
          <w:rFonts w:ascii="Garamond" w:hAnsi="Garamond"/>
        </w:rPr>
        <w:t xml:space="preserve">how </w:t>
      </w:r>
      <w:r w:rsidR="002C0222" w:rsidRPr="004863A5">
        <w:rPr>
          <w:rFonts w:ascii="Garamond" w:hAnsi="Garamond"/>
        </w:rPr>
        <w:t xml:space="preserve">the various different primary sources are interlinked and </w:t>
      </w:r>
      <w:r w:rsidR="007528B7">
        <w:rPr>
          <w:rFonts w:ascii="Garamond" w:hAnsi="Garamond"/>
        </w:rPr>
        <w:t xml:space="preserve">are </w:t>
      </w:r>
      <w:r w:rsidR="002C0222" w:rsidRPr="004863A5">
        <w:rPr>
          <w:rFonts w:ascii="Garamond" w:hAnsi="Garamond"/>
        </w:rPr>
        <w:t>in dialogue with each other</w:t>
      </w:r>
      <w:r w:rsidR="007528B7">
        <w:rPr>
          <w:rFonts w:ascii="Garamond" w:hAnsi="Garamond"/>
        </w:rPr>
        <w:t xml:space="preserve"> helps set the context</w:t>
      </w:r>
      <w:r w:rsidR="002C0222" w:rsidRPr="004863A5">
        <w:rPr>
          <w:rFonts w:ascii="Garamond" w:hAnsi="Garamond"/>
        </w:rPr>
        <w:t xml:space="preserve">. </w:t>
      </w:r>
      <w:r w:rsidR="00E30BA6" w:rsidRPr="004863A5">
        <w:rPr>
          <w:rFonts w:ascii="Garamond" w:hAnsi="Garamond"/>
        </w:rPr>
        <w:t xml:space="preserve">The </w:t>
      </w:r>
      <w:proofErr w:type="gramStart"/>
      <w:r w:rsidR="00E30BA6" w:rsidRPr="004863A5">
        <w:rPr>
          <w:rFonts w:ascii="Garamond" w:hAnsi="Garamond"/>
        </w:rPr>
        <w:t>various different</w:t>
      </w:r>
      <w:proofErr w:type="gramEnd"/>
      <w:r w:rsidR="00E30BA6" w:rsidRPr="004863A5">
        <w:rPr>
          <w:rFonts w:ascii="Garamond" w:hAnsi="Garamond"/>
        </w:rPr>
        <w:t xml:space="preserve"> primary sources are </w:t>
      </w:r>
      <w:r w:rsidR="007528B7">
        <w:rPr>
          <w:rFonts w:ascii="Garamond" w:hAnsi="Garamond"/>
        </w:rPr>
        <w:t xml:space="preserve">then </w:t>
      </w:r>
      <w:r w:rsidR="00E30BA6" w:rsidRPr="004863A5">
        <w:rPr>
          <w:rFonts w:ascii="Garamond" w:hAnsi="Garamond"/>
        </w:rPr>
        <w:t xml:space="preserve">used to build an argument, and question </w:t>
      </w:r>
      <w:r w:rsidR="003C3F81" w:rsidRPr="004863A5">
        <w:rPr>
          <w:rFonts w:ascii="Garamond" w:hAnsi="Garamond"/>
        </w:rPr>
        <w:t xml:space="preserve">previous </w:t>
      </w:r>
      <w:r w:rsidR="00E30BA6" w:rsidRPr="004863A5">
        <w:rPr>
          <w:rFonts w:ascii="Garamond" w:hAnsi="Garamond"/>
        </w:rPr>
        <w:t>conclusions</w:t>
      </w:r>
      <w:r w:rsidR="004E3470" w:rsidRPr="004863A5">
        <w:rPr>
          <w:rFonts w:ascii="Garamond" w:hAnsi="Garamond"/>
        </w:rPr>
        <w:t xml:space="preserve">, </w:t>
      </w:r>
      <w:r w:rsidR="00E30BA6" w:rsidRPr="004863A5">
        <w:rPr>
          <w:rFonts w:ascii="Garamond" w:hAnsi="Garamond"/>
        </w:rPr>
        <w:t xml:space="preserve">whilst an examination of the </w:t>
      </w:r>
      <w:r w:rsidR="004E3470" w:rsidRPr="004863A5">
        <w:rPr>
          <w:rFonts w:ascii="Garamond" w:hAnsi="Garamond"/>
        </w:rPr>
        <w:t>secondary sources</w:t>
      </w:r>
      <w:r w:rsidR="00E30BA6" w:rsidRPr="004863A5">
        <w:rPr>
          <w:rFonts w:ascii="Garamond" w:hAnsi="Garamond"/>
        </w:rPr>
        <w:t xml:space="preserve"> </w:t>
      </w:r>
      <w:r w:rsidR="004E3470" w:rsidRPr="004863A5">
        <w:rPr>
          <w:rFonts w:ascii="Garamond" w:hAnsi="Garamond"/>
        </w:rPr>
        <w:t>inform</w:t>
      </w:r>
      <w:r w:rsidR="00E30BA6" w:rsidRPr="004863A5">
        <w:rPr>
          <w:rFonts w:ascii="Garamond" w:hAnsi="Garamond"/>
        </w:rPr>
        <w:t>s</w:t>
      </w:r>
      <w:r w:rsidR="004E3470" w:rsidRPr="004863A5">
        <w:rPr>
          <w:rFonts w:ascii="Garamond" w:hAnsi="Garamond"/>
        </w:rPr>
        <w:t xml:space="preserve"> the debate</w:t>
      </w:r>
      <w:r w:rsidR="00E30BA6" w:rsidRPr="004863A5">
        <w:rPr>
          <w:rFonts w:ascii="Garamond" w:hAnsi="Garamond"/>
        </w:rPr>
        <w:t xml:space="preserve"> further</w:t>
      </w:r>
      <w:r w:rsidR="004E3470" w:rsidRPr="004863A5">
        <w:rPr>
          <w:rFonts w:ascii="Garamond" w:hAnsi="Garamond"/>
        </w:rPr>
        <w:t>.</w:t>
      </w:r>
    </w:p>
    <w:p w14:paraId="028F8A53" w14:textId="77777777" w:rsidR="007528B7" w:rsidRPr="004863A5" w:rsidRDefault="007528B7" w:rsidP="002437CA">
      <w:pPr>
        <w:rPr>
          <w:rFonts w:ascii="Garamond" w:hAnsi="Garamond"/>
        </w:rPr>
      </w:pPr>
    </w:p>
    <w:p w14:paraId="5E085CF8" w14:textId="3C91417D" w:rsidR="0042745C" w:rsidRPr="004863A5" w:rsidRDefault="0042745C" w:rsidP="002437CA">
      <w:pPr>
        <w:rPr>
          <w:rFonts w:ascii="Garamond" w:hAnsi="Garamond"/>
        </w:rPr>
      </w:pPr>
      <w:r w:rsidRPr="004863A5">
        <w:rPr>
          <w:rFonts w:ascii="Garamond" w:hAnsi="Garamond"/>
        </w:rPr>
        <w:t xml:space="preserve">In the Annals of Dunstable Priory, reference is made to marginal notes, interlinear additions, changes in ink and hand, before in the second half of the document authorship becomes more </w:t>
      </w:r>
      <w:r w:rsidRPr="004863A5">
        <w:rPr>
          <w:rFonts w:ascii="Garamond" w:hAnsi="Garamond"/>
        </w:rPr>
        <w:lastRenderedPageBreak/>
        <w:t xml:space="preserve">concentrated. </w:t>
      </w:r>
      <w:r w:rsidR="00E30BA6" w:rsidRPr="004863A5">
        <w:rPr>
          <w:rFonts w:ascii="Garamond" w:hAnsi="Garamond"/>
        </w:rPr>
        <w:t xml:space="preserve">Additional </w:t>
      </w:r>
      <w:r w:rsidRPr="004863A5">
        <w:rPr>
          <w:rFonts w:ascii="Garamond" w:hAnsi="Garamond"/>
        </w:rPr>
        <w:t>question</w:t>
      </w:r>
      <w:r w:rsidR="00E30BA6" w:rsidRPr="004863A5">
        <w:rPr>
          <w:rFonts w:ascii="Garamond" w:hAnsi="Garamond"/>
        </w:rPr>
        <w:t xml:space="preserve">s </w:t>
      </w:r>
      <w:r w:rsidR="007528B7">
        <w:rPr>
          <w:rFonts w:ascii="Garamond" w:hAnsi="Garamond"/>
        </w:rPr>
        <w:t xml:space="preserve">arise </w:t>
      </w:r>
      <w:r w:rsidR="00E30BA6" w:rsidRPr="004863A5">
        <w:rPr>
          <w:rFonts w:ascii="Garamond" w:hAnsi="Garamond"/>
        </w:rPr>
        <w:t>surrounding</w:t>
      </w:r>
      <w:r w:rsidRPr="004863A5">
        <w:rPr>
          <w:rFonts w:ascii="Garamond" w:hAnsi="Garamond"/>
        </w:rPr>
        <w:t xml:space="preserve"> erasures</w:t>
      </w:r>
      <w:r w:rsidR="004E3470" w:rsidRPr="004863A5">
        <w:rPr>
          <w:rFonts w:ascii="Garamond" w:hAnsi="Garamond"/>
        </w:rPr>
        <w:t>, what was removed and what d</w:t>
      </w:r>
      <w:r w:rsidR="00E30BA6" w:rsidRPr="004863A5">
        <w:rPr>
          <w:rFonts w:ascii="Garamond" w:hAnsi="Garamond"/>
        </w:rPr>
        <w:t>oes such an editorial process infer</w:t>
      </w:r>
      <w:r w:rsidR="004E3470" w:rsidRPr="004863A5">
        <w:rPr>
          <w:rFonts w:ascii="Garamond" w:hAnsi="Garamond"/>
        </w:rPr>
        <w:t>? Is it an indication of uncertainty, or a concern with presenting the correct version of events</w:t>
      </w:r>
      <w:r w:rsidRPr="004863A5">
        <w:rPr>
          <w:rFonts w:ascii="Garamond" w:hAnsi="Garamond"/>
        </w:rPr>
        <w:t xml:space="preserve">. </w:t>
      </w:r>
      <w:r w:rsidR="007528B7">
        <w:rPr>
          <w:rFonts w:ascii="Garamond" w:hAnsi="Garamond"/>
        </w:rPr>
        <w:t>Does a</w:t>
      </w:r>
      <w:r w:rsidRPr="004863A5">
        <w:rPr>
          <w:rFonts w:ascii="Garamond" w:hAnsi="Garamond"/>
        </w:rPr>
        <w:t xml:space="preserve">n additional </w:t>
      </w:r>
      <w:r w:rsidR="00E30BA6" w:rsidRPr="004863A5">
        <w:rPr>
          <w:rFonts w:ascii="Garamond" w:hAnsi="Garamond"/>
        </w:rPr>
        <w:t>folio</w:t>
      </w:r>
      <w:r w:rsidR="004E3470" w:rsidRPr="004863A5">
        <w:rPr>
          <w:rFonts w:ascii="Garamond" w:hAnsi="Garamond"/>
        </w:rPr>
        <w:t xml:space="preserve"> inserted at a later point speaks of a need to </w:t>
      </w:r>
      <w:r w:rsidR="00E30BA6" w:rsidRPr="004863A5">
        <w:rPr>
          <w:rFonts w:ascii="Garamond" w:hAnsi="Garamond"/>
        </w:rPr>
        <w:t xml:space="preserve">alter, amend, or substantiate </w:t>
      </w:r>
      <w:r w:rsidR="004E3470" w:rsidRPr="004863A5">
        <w:rPr>
          <w:rFonts w:ascii="Garamond" w:hAnsi="Garamond"/>
        </w:rPr>
        <w:t>the record</w:t>
      </w:r>
      <w:r w:rsidRPr="004863A5">
        <w:rPr>
          <w:rFonts w:ascii="Garamond" w:hAnsi="Garamond"/>
        </w:rPr>
        <w:t>.</w:t>
      </w:r>
      <w:r w:rsidR="004E3470" w:rsidRPr="004863A5">
        <w:rPr>
          <w:rFonts w:ascii="Garamond" w:hAnsi="Garamond"/>
        </w:rPr>
        <w:t xml:space="preserve"> Blank spaces left where information was </w:t>
      </w:r>
      <w:r w:rsidR="00E30BA6" w:rsidRPr="004863A5">
        <w:rPr>
          <w:rFonts w:ascii="Garamond" w:hAnsi="Garamond"/>
        </w:rPr>
        <w:t xml:space="preserve">later </w:t>
      </w:r>
      <w:r w:rsidR="004E3470" w:rsidRPr="004863A5">
        <w:rPr>
          <w:rFonts w:ascii="Garamond" w:hAnsi="Garamond"/>
        </w:rPr>
        <w:t>to be added</w:t>
      </w:r>
      <w:r w:rsidR="00E30BA6" w:rsidRPr="004863A5">
        <w:rPr>
          <w:rFonts w:ascii="Garamond" w:hAnsi="Garamond"/>
        </w:rPr>
        <w:t>, speaks again of a consciousness that events are evolving even as they are being written about</w:t>
      </w:r>
      <w:r w:rsidR="004E3470" w:rsidRPr="004863A5">
        <w:rPr>
          <w:rFonts w:ascii="Garamond" w:hAnsi="Garamond"/>
        </w:rPr>
        <w:t xml:space="preserve">. </w:t>
      </w:r>
      <w:r w:rsidR="00E30BA6" w:rsidRPr="004863A5">
        <w:rPr>
          <w:rFonts w:ascii="Garamond" w:hAnsi="Garamond"/>
        </w:rPr>
        <w:t xml:space="preserve">All these various aspects taken </w:t>
      </w:r>
      <w:r w:rsidR="004E3470" w:rsidRPr="004863A5">
        <w:rPr>
          <w:rFonts w:ascii="Garamond" w:hAnsi="Garamond"/>
        </w:rPr>
        <w:t>together</w:t>
      </w:r>
      <w:r w:rsidR="007528B7">
        <w:rPr>
          <w:rFonts w:ascii="Garamond" w:hAnsi="Garamond"/>
        </w:rPr>
        <w:t xml:space="preserve"> </w:t>
      </w:r>
      <w:r w:rsidR="004E3470" w:rsidRPr="004863A5">
        <w:rPr>
          <w:rFonts w:ascii="Garamond" w:hAnsi="Garamond"/>
        </w:rPr>
        <w:t xml:space="preserve">point to a living </w:t>
      </w:r>
      <w:r w:rsidR="00E30BA6" w:rsidRPr="004863A5">
        <w:rPr>
          <w:rFonts w:ascii="Garamond" w:hAnsi="Garamond"/>
        </w:rPr>
        <w:t xml:space="preserve">document, a living </w:t>
      </w:r>
      <w:r w:rsidR="004E3470" w:rsidRPr="004863A5">
        <w:rPr>
          <w:rFonts w:ascii="Garamond" w:hAnsi="Garamond"/>
        </w:rPr>
        <w:t xml:space="preserve">community, concerned with its place in the wider world, and reflective of a belief that Dunstable Priory was significant, and would continue to be </w:t>
      </w:r>
      <w:r w:rsidR="00E30BA6" w:rsidRPr="004863A5">
        <w:rPr>
          <w:rFonts w:ascii="Garamond" w:hAnsi="Garamond"/>
        </w:rPr>
        <w:t xml:space="preserve">so, </w:t>
      </w:r>
      <w:r w:rsidR="004E3470" w:rsidRPr="004863A5">
        <w:rPr>
          <w:rFonts w:ascii="Garamond" w:hAnsi="Garamond"/>
        </w:rPr>
        <w:t>the possession of such a written document</w:t>
      </w:r>
      <w:r w:rsidR="007528B7">
        <w:rPr>
          <w:rFonts w:ascii="Garamond" w:hAnsi="Garamond"/>
        </w:rPr>
        <w:t xml:space="preserve"> demonstrating this belief to the world</w:t>
      </w:r>
      <w:r w:rsidR="004E3470" w:rsidRPr="004863A5">
        <w:rPr>
          <w:rFonts w:ascii="Garamond" w:hAnsi="Garamond"/>
        </w:rPr>
        <w:t>.</w:t>
      </w:r>
    </w:p>
    <w:p w14:paraId="29A76D39" w14:textId="77777777" w:rsidR="004E3470" w:rsidRPr="004863A5" w:rsidRDefault="004E3470" w:rsidP="002437CA">
      <w:pPr>
        <w:rPr>
          <w:rFonts w:ascii="Garamond" w:hAnsi="Garamond"/>
        </w:rPr>
      </w:pPr>
    </w:p>
    <w:p w14:paraId="7AA34F16" w14:textId="4D16AA9E" w:rsidR="00D674DD" w:rsidRPr="004863A5" w:rsidRDefault="00E30BA6" w:rsidP="002437CA">
      <w:pPr>
        <w:rPr>
          <w:rFonts w:ascii="Garamond" w:hAnsi="Garamond"/>
        </w:rPr>
      </w:pPr>
      <w:r w:rsidRPr="004863A5">
        <w:rPr>
          <w:rFonts w:ascii="Garamond" w:hAnsi="Garamond"/>
        </w:rPr>
        <w:t xml:space="preserve">In the paper on the </w:t>
      </w:r>
      <w:r w:rsidR="00D674DD" w:rsidRPr="004863A5">
        <w:rPr>
          <w:rFonts w:ascii="Garamond" w:hAnsi="Garamond"/>
        </w:rPr>
        <w:t>Cistercian Abbey of Strata Florida</w:t>
      </w:r>
      <w:r w:rsidRPr="004863A5">
        <w:rPr>
          <w:rFonts w:ascii="Garamond" w:hAnsi="Garamond"/>
        </w:rPr>
        <w:t>, it is interesting to note that t</w:t>
      </w:r>
      <w:r w:rsidR="00D674DD" w:rsidRPr="004863A5">
        <w:rPr>
          <w:rFonts w:ascii="Garamond" w:hAnsi="Garamond"/>
        </w:rPr>
        <w:t xml:space="preserve">he National Archives questions Rees dating of </w:t>
      </w:r>
      <w:r w:rsidR="002E71EF">
        <w:rPr>
          <w:rFonts w:ascii="Garamond" w:hAnsi="Garamond"/>
        </w:rPr>
        <w:t xml:space="preserve">a petition </w:t>
      </w:r>
      <w:r w:rsidR="00D674DD" w:rsidRPr="004863A5">
        <w:rPr>
          <w:rFonts w:ascii="Garamond" w:hAnsi="Garamond"/>
        </w:rPr>
        <w:t>and suggests instead a date nearly sixty years prior based on handwriting</w:t>
      </w:r>
      <w:r w:rsidR="002E71EF">
        <w:rPr>
          <w:rFonts w:ascii="Garamond" w:hAnsi="Garamond"/>
        </w:rPr>
        <w:t>, language</w:t>
      </w:r>
      <w:r w:rsidR="00D674DD" w:rsidRPr="004863A5">
        <w:rPr>
          <w:rFonts w:ascii="Garamond" w:hAnsi="Garamond"/>
        </w:rPr>
        <w:t xml:space="preserve"> and form, and </w:t>
      </w:r>
      <w:r w:rsidRPr="004863A5">
        <w:rPr>
          <w:rFonts w:ascii="Garamond" w:hAnsi="Garamond"/>
        </w:rPr>
        <w:t>Burton f</w:t>
      </w:r>
      <w:r w:rsidR="00D674DD" w:rsidRPr="004863A5">
        <w:rPr>
          <w:rFonts w:ascii="Garamond" w:hAnsi="Garamond"/>
        </w:rPr>
        <w:t xml:space="preserve">urther notes that </w:t>
      </w:r>
      <w:r w:rsidRPr="004863A5">
        <w:rPr>
          <w:rFonts w:ascii="Garamond" w:hAnsi="Garamond"/>
        </w:rPr>
        <w:t xml:space="preserve">the </w:t>
      </w:r>
      <w:r w:rsidR="00D674DD" w:rsidRPr="004863A5">
        <w:rPr>
          <w:rFonts w:ascii="Garamond" w:hAnsi="Garamond"/>
        </w:rPr>
        <w:t xml:space="preserve">Rees dating does not </w:t>
      </w:r>
      <w:proofErr w:type="gramStart"/>
      <w:r w:rsidR="00D674DD" w:rsidRPr="004863A5">
        <w:rPr>
          <w:rFonts w:ascii="Garamond" w:hAnsi="Garamond"/>
        </w:rPr>
        <w:t>take into account</w:t>
      </w:r>
      <w:proofErr w:type="gramEnd"/>
      <w:r w:rsidR="00D674DD" w:rsidRPr="004863A5">
        <w:rPr>
          <w:rFonts w:ascii="Garamond" w:hAnsi="Garamond"/>
        </w:rPr>
        <w:t xml:space="preserve"> the reference to the sixth year of the King. Primary sources such as papal letters and petitions to the Crown, help illustrate the </w:t>
      </w:r>
      <w:r w:rsidRPr="004863A5">
        <w:rPr>
          <w:rFonts w:ascii="Garamond" w:hAnsi="Garamond"/>
        </w:rPr>
        <w:t>often-fraught</w:t>
      </w:r>
      <w:r w:rsidR="00D674DD" w:rsidRPr="004863A5">
        <w:rPr>
          <w:rFonts w:ascii="Garamond" w:hAnsi="Garamond"/>
        </w:rPr>
        <w:t xml:space="preserve"> nature of elections, and the disputes that follow</w:t>
      </w:r>
      <w:r w:rsidRPr="004863A5">
        <w:rPr>
          <w:rFonts w:ascii="Garamond" w:hAnsi="Garamond"/>
        </w:rPr>
        <w:t xml:space="preserve">. The disputes in and of themselves </w:t>
      </w:r>
      <w:r w:rsidR="00D674DD" w:rsidRPr="004863A5">
        <w:rPr>
          <w:rFonts w:ascii="Garamond" w:hAnsi="Garamond"/>
        </w:rPr>
        <w:t xml:space="preserve">underline the significance of the Abbey. </w:t>
      </w:r>
      <w:r w:rsidR="004863A5" w:rsidRPr="004863A5">
        <w:rPr>
          <w:rFonts w:ascii="Garamond" w:hAnsi="Garamond"/>
        </w:rPr>
        <w:t>T</w:t>
      </w:r>
      <w:r w:rsidR="00D674DD" w:rsidRPr="004863A5">
        <w:rPr>
          <w:rFonts w:ascii="Garamond" w:hAnsi="Garamond"/>
        </w:rPr>
        <w:t xml:space="preserve">he primary sources </w:t>
      </w:r>
      <w:r w:rsidR="007528B7">
        <w:rPr>
          <w:rFonts w:ascii="Garamond" w:hAnsi="Garamond"/>
        </w:rPr>
        <w:t>highlight</w:t>
      </w:r>
      <w:r w:rsidR="00D674DD" w:rsidRPr="004863A5">
        <w:rPr>
          <w:rFonts w:ascii="Garamond" w:hAnsi="Garamond"/>
        </w:rPr>
        <w:t xml:space="preserve"> the flux at the Abbey</w:t>
      </w:r>
      <w:r w:rsidR="007528B7">
        <w:rPr>
          <w:rFonts w:ascii="Garamond" w:hAnsi="Garamond"/>
        </w:rPr>
        <w:t xml:space="preserve"> itse</w:t>
      </w:r>
      <w:r w:rsidR="004863A5" w:rsidRPr="004863A5">
        <w:rPr>
          <w:rFonts w:ascii="Garamond" w:hAnsi="Garamond"/>
        </w:rPr>
        <w:t>lf</w:t>
      </w:r>
      <w:r w:rsidR="00D674DD" w:rsidRPr="004863A5">
        <w:rPr>
          <w:rFonts w:ascii="Garamond" w:hAnsi="Garamond"/>
        </w:rPr>
        <w:t xml:space="preserve">, but </w:t>
      </w:r>
      <w:r w:rsidR="004863A5" w:rsidRPr="004863A5">
        <w:rPr>
          <w:rFonts w:ascii="Garamond" w:hAnsi="Garamond"/>
        </w:rPr>
        <w:t xml:space="preserve">the question is also posed as to what </w:t>
      </w:r>
      <w:proofErr w:type="gramStart"/>
      <w:r w:rsidR="004863A5" w:rsidRPr="004863A5">
        <w:rPr>
          <w:rFonts w:ascii="Garamond" w:hAnsi="Garamond"/>
        </w:rPr>
        <w:t>is the wider significance of the primary sources</w:t>
      </w:r>
      <w:proofErr w:type="gramEnd"/>
      <w:r w:rsidR="004863A5" w:rsidRPr="004863A5">
        <w:rPr>
          <w:rFonts w:ascii="Garamond" w:hAnsi="Garamond"/>
        </w:rPr>
        <w:t>, what do they say about the world beyond the Abbey. W</w:t>
      </w:r>
      <w:r w:rsidR="00D674DD" w:rsidRPr="004863A5">
        <w:rPr>
          <w:rFonts w:ascii="Garamond" w:hAnsi="Garamond"/>
        </w:rPr>
        <w:t xml:space="preserve">hat can the sources </w:t>
      </w:r>
      <w:r w:rsidR="004863A5" w:rsidRPr="004863A5">
        <w:rPr>
          <w:rFonts w:ascii="Garamond" w:hAnsi="Garamond"/>
        </w:rPr>
        <w:t xml:space="preserve">that Burton </w:t>
      </w:r>
      <w:r w:rsidR="00D674DD" w:rsidRPr="004863A5">
        <w:rPr>
          <w:rFonts w:ascii="Garamond" w:hAnsi="Garamond"/>
        </w:rPr>
        <w:t xml:space="preserve">has identified tell us about the place or </w:t>
      </w:r>
      <w:r w:rsidR="004863A5" w:rsidRPr="004863A5">
        <w:rPr>
          <w:rFonts w:ascii="Garamond" w:hAnsi="Garamond"/>
        </w:rPr>
        <w:t xml:space="preserve">the </w:t>
      </w:r>
      <w:r w:rsidR="00D674DD" w:rsidRPr="004863A5">
        <w:rPr>
          <w:rFonts w:ascii="Garamond" w:hAnsi="Garamond"/>
        </w:rPr>
        <w:t xml:space="preserve">standing </w:t>
      </w:r>
      <w:r w:rsidR="007528B7" w:rsidRPr="004863A5">
        <w:rPr>
          <w:rFonts w:ascii="Garamond" w:hAnsi="Garamond"/>
        </w:rPr>
        <w:t>of Cistercians</w:t>
      </w:r>
      <w:r w:rsidR="00D674DD" w:rsidRPr="004863A5">
        <w:rPr>
          <w:rFonts w:ascii="Garamond" w:hAnsi="Garamond"/>
        </w:rPr>
        <w:t xml:space="preserve"> in the world beyond Strata Florida, and </w:t>
      </w:r>
      <w:r w:rsidR="004863A5" w:rsidRPr="004863A5">
        <w:rPr>
          <w:rFonts w:ascii="Garamond" w:hAnsi="Garamond"/>
        </w:rPr>
        <w:t xml:space="preserve">equally </w:t>
      </w:r>
      <w:r w:rsidR="00D674DD" w:rsidRPr="004863A5">
        <w:rPr>
          <w:rFonts w:ascii="Garamond" w:hAnsi="Garamond"/>
        </w:rPr>
        <w:t xml:space="preserve">of their role in </w:t>
      </w:r>
      <w:r w:rsidR="004863A5" w:rsidRPr="004863A5">
        <w:rPr>
          <w:rFonts w:ascii="Garamond" w:hAnsi="Garamond"/>
        </w:rPr>
        <w:t xml:space="preserve">the </w:t>
      </w:r>
      <w:r w:rsidR="00D5750D" w:rsidRPr="004863A5">
        <w:rPr>
          <w:rFonts w:ascii="Garamond" w:hAnsi="Garamond"/>
        </w:rPr>
        <w:t xml:space="preserve">locality of preserving </w:t>
      </w:r>
      <w:r w:rsidR="00D674DD" w:rsidRPr="004863A5">
        <w:rPr>
          <w:rFonts w:ascii="Garamond" w:hAnsi="Garamond"/>
        </w:rPr>
        <w:t>identity and culture</w:t>
      </w:r>
      <w:r w:rsidR="004863A5" w:rsidRPr="004863A5">
        <w:rPr>
          <w:rFonts w:ascii="Garamond" w:hAnsi="Garamond"/>
        </w:rPr>
        <w:t xml:space="preserve">. What was </w:t>
      </w:r>
      <w:r w:rsidR="00D5750D" w:rsidRPr="004863A5">
        <w:rPr>
          <w:rFonts w:ascii="Garamond" w:hAnsi="Garamond"/>
        </w:rPr>
        <w:t>the value to a poet of obtaining the patronage of an Abbey</w:t>
      </w:r>
      <w:r w:rsidR="004863A5" w:rsidRPr="004863A5">
        <w:rPr>
          <w:rFonts w:ascii="Garamond" w:hAnsi="Garamond"/>
        </w:rPr>
        <w:t>, and how does patronage itself affect the neutrality of the primary source</w:t>
      </w:r>
      <w:r w:rsidR="00D5750D" w:rsidRPr="004863A5">
        <w:rPr>
          <w:rFonts w:ascii="Garamond" w:hAnsi="Garamond"/>
        </w:rPr>
        <w:t xml:space="preserve">. The various petitions </w:t>
      </w:r>
      <w:r w:rsidR="004863A5" w:rsidRPr="004863A5">
        <w:rPr>
          <w:rFonts w:ascii="Garamond" w:hAnsi="Garamond"/>
        </w:rPr>
        <w:t>to</w:t>
      </w:r>
      <w:r w:rsidR="00D5750D" w:rsidRPr="004863A5">
        <w:rPr>
          <w:rFonts w:ascii="Garamond" w:hAnsi="Garamond"/>
        </w:rPr>
        <w:t xml:space="preserve"> the Kings also </w:t>
      </w:r>
      <w:r w:rsidR="004863A5" w:rsidRPr="004863A5">
        <w:rPr>
          <w:rFonts w:ascii="Garamond" w:hAnsi="Garamond"/>
        </w:rPr>
        <w:t xml:space="preserve">demonstrate </w:t>
      </w:r>
      <w:r w:rsidR="00D5750D" w:rsidRPr="004863A5">
        <w:rPr>
          <w:rFonts w:ascii="Garamond" w:hAnsi="Garamond"/>
        </w:rPr>
        <w:t xml:space="preserve">the tightrope that stretched between on the one hand the requirements of locale, </w:t>
      </w:r>
      <w:r w:rsidR="004863A5" w:rsidRPr="004863A5">
        <w:rPr>
          <w:rFonts w:ascii="Garamond" w:hAnsi="Garamond"/>
        </w:rPr>
        <w:t>and</w:t>
      </w:r>
      <w:r w:rsidR="00D5750D" w:rsidRPr="004863A5">
        <w:rPr>
          <w:rFonts w:ascii="Garamond" w:hAnsi="Garamond"/>
        </w:rPr>
        <w:t xml:space="preserve"> on the other the need often for wider understanding of the place of the Abbey in a wider framework.</w:t>
      </w:r>
    </w:p>
    <w:p w14:paraId="3E87D9BE" w14:textId="77777777" w:rsidR="004E3470" w:rsidRPr="004863A5" w:rsidRDefault="004E3470" w:rsidP="002437CA">
      <w:pPr>
        <w:rPr>
          <w:rFonts w:ascii="Garamond" w:hAnsi="Garamond"/>
        </w:rPr>
      </w:pPr>
    </w:p>
    <w:p w14:paraId="755B9523" w14:textId="51C0909C" w:rsidR="00BC296E" w:rsidRDefault="007528B7" w:rsidP="002437CA">
      <w:pPr>
        <w:rPr>
          <w:rFonts w:ascii="Garamond" w:hAnsi="Garamond"/>
        </w:rPr>
      </w:pPr>
      <w:r>
        <w:rPr>
          <w:rFonts w:ascii="Garamond" w:hAnsi="Garamond"/>
        </w:rPr>
        <w:t>Listed below are the primary sources used in both papers:</w:t>
      </w:r>
    </w:p>
    <w:p w14:paraId="2523F5B5" w14:textId="77777777" w:rsidR="007528B7" w:rsidRPr="004863A5" w:rsidRDefault="007528B7" w:rsidP="002437CA">
      <w:pPr>
        <w:rPr>
          <w:rFonts w:ascii="Garamond" w:hAnsi="Garamond"/>
        </w:rPr>
      </w:pPr>
    </w:p>
    <w:p w14:paraId="10752893" w14:textId="06AD1D20" w:rsidR="00BC296E" w:rsidRPr="004863A5" w:rsidRDefault="00BC296E" w:rsidP="002437CA">
      <w:pPr>
        <w:rPr>
          <w:rFonts w:ascii="Garamond" w:hAnsi="Garamond"/>
          <w:b/>
          <w:bCs/>
        </w:rPr>
      </w:pPr>
      <w:r w:rsidRPr="004863A5">
        <w:rPr>
          <w:rFonts w:ascii="Garamond" w:hAnsi="Garamond"/>
          <w:b/>
          <w:bCs/>
        </w:rPr>
        <w:t>The Annals of Dunstable</w:t>
      </w:r>
    </w:p>
    <w:p w14:paraId="4AF9FECD" w14:textId="673FBEF7" w:rsidR="00BC296E" w:rsidRPr="004863A5" w:rsidRDefault="00BC296E" w:rsidP="002437CA">
      <w:pPr>
        <w:rPr>
          <w:rFonts w:ascii="Garamond" w:hAnsi="Garamond"/>
        </w:rPr>
      </w:pPr>
      <w:r w:rsidRPr="004863A5">
        <w:rPr>
          <w:rFonts w:ascii="Garamond" w:hAnsi="Garamond"/>
        </w:rPr>
        <w:t xml:space="preserve">London, British Library, Cotton MS Tiberius A. X ________________, Royal MS </w:t>
      </w:r>
      <w:r w:rsidRPr="004863A5">
        <w:rPr>
          <w:rFonts w:ascii="Garamond" w:hAnsi="Garamond"/>
          <w:vertAlign w:val="subscript"/>
        </w:rPr>
        <w:t>13</w:t>
      </w:r>
      <w:r w:rsidRPr="004863A5">
        <w:rPr>
          <w:rFonts w:ascii="Garamond" w:hAnsi="Garamond"/>
        </w:rPr>
        <w:t xml:space="preserve"> E. VI</w:t>
      </w:r>
    </w:p>
    <w:p w14:paraId="29F920F0" w14:textId="02C7D399" w:rsidR="00BC296E" w:rsidRPr="004863A5" w:rsidRDefault="00BC296E" w:rsidP="002437CA">
      <w:pPr>
        <w:rPr>
          <w:rFonts w:ascii="Garamond" w:hAnsi="Garamond"/>
        </w:rPr>
      </w:pPr>
      <w:r w:rsidRPr="004863A5">
        <w:rPr>
          <w:rFonts w:ascii="Garamond" w:hAnsi="Garamond"/>
          <w:i/>
          <w:iCs/>
        </w:rPr>
        <w:t xml:space="preserve">Annales </w:t>
      </w:r>
      <w:proofErr w:type="spellStart"/>
      <w:r w:rsidRPr="004863A5">
        <w:rPr>
          <w:rFonts w:ascii="Garamond" w:hAnsi="Garamond"/>
          <w:i/>
          <w:iCs/>
        </w:rPr>
        <w:t>Prioratus</w:t>
      </w:r>
      <w:proofErr w:type="spellEnd"/>
      <w:r w:rsidRPr="004863A5">
        <w:rPr>
          <w:rFonts w:ascii="Garamond" w:hAnsi="Garamond"/>
          <w:i/>
          <w:iCs/>
        </w:rPr>
        <w:t xml:space="preserve"> de </w:t>
      </w:r>
      <w:proofErr w:type="spellStart"/>
      <w:r w:rsidRPr="004863A5">
        <w:rPr>
          <w:rFonts w:ascii="Garamond" w:hAnsi="Garamond"/>
          <w:i/>
          <w:iCs/>
        </w:rPr>
        <w:t>Dunstaplia</w:t>
      </w:r>
      <w:proofErr w:type="spellEnd"/>
      <w:r w:rsidRPr="004863A5">
        <w:rPr>
          <w:rFonts w:ascii="Garamond" w:hAnsi="Garamond"/>
          <w:i/>
          <w:iCs/>
        </w:rPr>
        <w:t xml:space="preserve">, in Annales </w:t>
      </w:r>
      <w:proofErr w:type="spellStart"/>
      <w:r w:rsidRPr="004863A5">
        <w:rPr>
          <w:rFonts w:ascii="Garamond" w:hAnsi="Garamond"/>
          <w:i/>
          <w:iCs/>
        </w:rPr>
        <w:t>monastici</w:t>
      </w:r>
      <w:proofErr w:type="spellEnd"/>
      <w:r w:rsidRPr="004863A5">
        <w:rPr>
          <w:rFonts w:ascii="Garamond" w:hAnsi="Garamond"/>
          <w:i/>
          <w:iCs/>
        </w:rPr>
        <w:t xml:space="preserve">, III: Annales </w:t>
      </w:r>
      <w:proofErr w:type="spellStart"/>
      <w:r w:rsidRPr="004863A5">
        <w:rPr>
          <w:rFonts w:ascii="Garamond" w:hAnsi="Garamond"/>
          <w:i/>
          <w:iCs/>
        </w:rPr>
        <w:t>prioratus</w:t>
      </w:r>
      <w:proofErr w:type="spellEnd"/>
      <w:r w:rsidRPr="004863A5">
        <w:rPr>
          <w:rFonts w:ascii="Garamond" w:hAnsi="Garamond"/>
          <w:i/>
          <w:iCs/>
        </w:rPr>
        <w:t xml:space="preserve"> de </w:t>
      </w:r>
      <w:proofErr w:type="spellStart"/>
      <w:r w:rsidRPr="004863A5">
        <w:rPr>
          <w:rFonts w:ascii="Garamond" w:hAnsi="Garamond"/>
          <w:i/>
          <w:iCs/>
        </w:rPr>
        <w:t>Dunstaplia</w:t>
      </w:r>
      <w:proofErr w:type="spellEnd"/>
      <w:r w:rsidRPr="004863A5">
        <w:rPr>
          <w:rFonts w:ascii="Garamond" w:hAnsi="Garamond"/>
          <w:i/>
          <w:iCs/>
        </w:rPr>
        <w:t xml:space="preserve"> (A.D. 1-1297); Annales </w:t>
      </w:r>
      <w:proofErr w:type="spellStart"/>
      <w:r w:rsidRPr="004863A5">
        <w:rPr>
          <w:rFonts w:ascii="Garamond" w:hAnsi="Garamond"/>
          <w:i/>
          <w:iCs/>
        </w:rPr>
        <w:t>monasterii</w:t>
      </w:r>
      <w:proofErr w:type="spellEnd"/>
      <w:r w:rsidRPr="004863A5">
        <w:rPr>
          <w:rFonts w:ascii="Garamond" w:hAnsi="Garamond"/>
          <w:i/>
          <w:iCs/>
        </w:rPr>
        <w:t xml:space="preserve"> de </w:t>
      </w:r>
      <w:proofErr w:type="spellStart"/>
      <w:r w:rsidRPr="004863A5">
        <w:rPr>
          <w:rFonts w:ascii="Garamond" w:hAnsi="Garamond"/>
          <w:i/>
          <w:iCs/>
        </w:rPr>
        <w:t>Bermundeseia</w:t>
      </w:r>
      <w:proofErr w:type="spellEnd"/>
      <w:r w:rsidRPr="004863A5">
        <w:rPr>
          <w:rFonts w:ascii="Garamond" w:hAnsi="Garamond"/>
          <w:i/>
          <w:iCs/>
        </w:rPr>
        <w:t xml:space="preserve"> (A.D. 1042-1432</w:t>
      </w:r>
      <w:proofErr w:type="gramStart"/>
      <w:r w:rsidRPr="004863A5">
        <w:rPr>
          <w:rFonts w:ascii="Garamond" w:hAnsi="Garamond"/>
          <w:i/>
          <w:iCs/>
        </w:rPr>
        <w:t>),</w:t>
      </w:r>
      <w:r w:rsidRPr="004863A5">
        <w:rPr>
          <w:rFonts w:ascii="Garamond" w:hAnsi="Garamond"/>
        </w:rPr>
        <w:t xml:space="preserve"> </w:t>
      </w:r>
      <w:r w:rsidR="007509D7" w:rsidRPr="004863A5">
        <w:rPr>
          <w:rFonts w:ascii="Garamond" w:hAnsi="Garamond"/>
        </w:rPr>
        <w:t xml:space="preserve"> </w:t>
      </w:r>
      <w:r w:rsidRPr="004863A5">
        <w:rPr>
          <w:rFonts w:ascii="Garamond" w:hAnsi="Garamond"/>
        </w:rPr>
        <w:t>ed.</w:t>
      </w:r>
      <w:proofErr w:type="gramEnd"/>
      <w:r w:rsidRPr="004863A5">
        <w:rPr>
          <w:rFonts w:ascii="Garamond" w:hAnsi="Garamond"/>
        </w:rPr>
        <w:t xml:space="preserve"> By Henry Richards Luard, Rerum </w:t>
      </w:r>
      <w:proofErr w:type="spellStart"/>
      <w:r w:rsidRPr="004863A5">
        <w:rPr>
          <w:rFonts w:ascii="Garamond" w:hAnsi="Garamond"/>
        </w:rPr>
        <w:t>Britannicarum</w:t>
      </w:r>
      <w:proofErr w:type="spellEnd"/>
      <w:r w:rsidRPr="004863A5">
        <w:rPr>
          <w:rFonts w:ascii="Garamond" w:hAnsi="Garamond"/>
        </w:rPr>
        <w:t xml:space="preserve"> </w:t>
      </w:r>
      <w:proofErr w:type="spellStart"/>
      <w:r w:rsidRPr="004863A5">
        <w:rPr>
          <w:rFonts w:ascii="Garamond" w:hAnsi="Garamond"/>
        </w:rPr>
        <w:t>medii</w:t>
      </w:r>
      <w:proofErr w:type="spellEnd"/>
      <w:r w:rsidRPr="004863A5">
        <w:rPr>
          <w:rFonts w:ascii="Garamond" w:hAnsi="Garamond"/>
        </w:rPr>
        <w:t xml:space="preserve"> </w:t>
      </w:r>
      <w:proofErr w:type="spellStart"/>
      <w:r w:rsidRPr="004863A5">
        <w:rPr>
          <w:rFonts w:ascii="Garamond" w:hAnsi="Garamond"/>
        </w:rPr>
        <w:t>aevi</w:t>
      </w:r>
      <w:proofErr w:type="spellEnd"/>
      <w:r w:rsidRPr="004863A5">
        <w:rPr>
          <w:rFonts w:ascii="Garamond" w:hAnsi="Garamond"/>
        </w:rPr>
        <w:t xml:space="preserve"> </w:t>
      </w:r>
      <w:proofErr w:type="spellStart"/>
      <w:r w:rsidRPr="004863A5">
        <w:rPr>
          <w:rFonts w:ascii="Garamond" w:hAnsi="Garamond"/>
        </w:rPr>
        <w:t>scriptores</w:t>
      </w:r>
      <w:proofErr w:type="spellEnd"/>
      <w:r w:rsidRPr="004863A5">
        <w:rPr>
          <w:rFonts w:ascii="Garamond" w:hAnsi="Garamond"/>
        </w:rPr>
        <w:t>, 36 (London: Longman, Green, Reader and Dyer, 1866).</w:t>
      </w:r>
    </w:p>
    <w:p w14:paraId="3DA8B085" w14:textId="2FEBC7F6" w:rsidR="00BC296E" w:rsidRPr="004863A5" w:rsidRDefault="00BC296E" w:rsidP="002437CA">
      <w:pPr>
        <w:rPr>
          <w:rFonts w:ascii="Garamond" w:hAnsi="Garamond"/>
        </w:rPr>
      </w:pPr>
      <w:r w:rsidRPr="004863A5">
        <w:rPr>
          <w:rFonts w:ascii="Garamond" w:hAnsi="Garamond"/>
          <w:i/>
          <w:iCs/>
        </w:rPr>
        <w:t>The Annals of Dunstable Priory</w:t>
      </w:r>
      <w:r w:rsidRPr="004863A5">
        <w:rPr>
          <w:rFonts w:ascii="Garamond" w:hAnsi="Garamond"/>
        </w:rPr>
        <w:t xml:space="preserve">, ed. By Harriett R. Webster and trans. By David </w:t>
      </w:r>
      <w:proofErr w:type="spellStart"/>
      <w:r w:rsidRPr="004863A5">
        <w:rPr>
          <w:rFonts w:ascii="Garamond" w:hAnsi="Garamond"/>
        </w:rPr>
        <w:t>Preest</w:t>
      </w:r>
      <w:proofErr w:type="spellEnd"/>
      <w:r w:rsidRPr="004863A5">
        <w:rPr>
          <w:rFonts w:ascii="Garamond" w:hAnsi="Garamond"/>
        </w:rPr>
        <w:t xml:space="preserve"> (Woodbridge: Boydell and Brewer, 2018)</w:t>
      </w:r>
    </w:p>
    <w:p w14:paraId="07EB41D8" w14:textId="4F990757" w:rsidR="00BC296E" w:rsidRPr="004863A5" w:rsidRDefault="00BC296E" w:rsidP="002437CA">
      <w:pPr>
        <w:rPr>
          <w:rFonts w:ascii="Garamond" w:hAnsi="Garamond"/>
        </w:rPr>
      </w:pPr>
      <w:proofErr w:type="spellStart"/>
      <w:r w:rsidRPr="004863A5">
        <w:rPr>
          <w:rFonts w:ascii="Garamond" w:hAnsi="Garamond"/>
          <w:i/>
          <w:iCs/>
        </w:rPr>
        <w:t>Gesta</w:t>
      </w:r>
      <w:proofErr w:type="spellEnd"/>
      <w:r w:rsidRPr="004863A5">
        <w:rPr>
          <w:rFonts w:ascii="Garamond" w:hAnsi="Garamond"/>
          <w:i/>
          <w:iCs/>
        </w:rPr>
        <w:t xml:space="preserve"> </w:t>
      </w:r>
      <w:proofErr w:type="spellStart"/>
      <w:r w:rsidRPr="004863A5">
        <w:rPr>
          <w:rFonts w:ascii="Garamond" w:hAnsi="Garamond"/>
          <w:i/>
          <w:iCs/>
        </w:rPr>
        <w:t>abbatum</w:t>
      </w:r>
      <w:proofErr w:type="spellEnd"/>
      <w:r w:rsidRPr="004863A5">
        <w:rPr>
          <w:rFonts w:ascii="Garamond" w:hAnsi="Garamond"/>
          <w:i/>
          <w:iCs/>
        </w:rPr>
        <w:t xml:space="preserve"> </w:t>
      </w:r>
      <w:proofErr w:type="spellStart"/>
      <w:r w:rsidRPr="004863A5">
        <w:rPr>
          <w:rFonts w:ascii="Garamond" w:hAnsi="Garamond"/>
          <w:i/>
          <w:iCs/>
        </w:rPr>
        <w:t>monasterii</w:t>
      </w:r>
      <w:proofErr w:type="spellEnd"/>
      <w:r w:rsidRPr="004863A5">
        <w:rPr>
          <w:rFonts w:ascii="Garamond" w:hAnsi="Garamond"/>
          <w:i/>
          <w:iCs/>
        </w:rPr>
        <w:t xml:space="preserve"> Sancti Albani</w:t>
      </w:r>
      <w:r w:rsidRPr="004863A5">
        <w:rPr>
          <w:rFonts w:ascii="Garamond" w:hAnsi="Garamond"/>
        </w:rPr>
        <w:t xml:space="preserve">, ed. By James G. Clarke and trans. By David </w:t>
      </w:r>
      <w:proofErr w:type="spellStart"/>
      <w:r w:rsidRPr="004863A5">
        <w:rPr>
          <w:rFonts w:ascii="Garamond" w:hAnsi="Garamond"/>
        </w:rPr>
        <w:t>Preest</w:t>
      </w:r>
      <w:proofErr w:type="spellEnd"/>
      <w:r w:rsidRPr="004863A5">
        <w:rPr>
          <w:rFonts w:ascii="Garamond" w:hAnsi="Garamond"/>
        </w:rPr>
        <w:t xml:space="preserve"> (Woodbridge: Boydell and Brewer, 2019)</w:t>
      </w:r>
    </w:p>
    <w:p w14:paraId="0051BD04" w14:textId="08A1EECF" w:rsidR="00BC296E" w:rsidRPr="004863A5" w:rsidRDefault="00BC296E" w:rsidP="002437CA">
      <w:pPr>
        <w:rPr>
          <w:rFonts w:ascii="Garamond" w:hAnsi="Garamond"/>
        </w:rPr>
      </w:pPr>
      <w:proofErr w:type="spellStart"/>
      <w:r w:rsidRPr="004863A5">
        <w:rPr>
          <w:rFonts w:ascii="Garamond" w:hAnsi="Garamond"/>
          <w:i/>
          <w:iCs/>
        </w:rPr>
        <w:t>Radulfi</w:t>
      </w:r>
      <w:proofErr w:type="spellEnd"/>
      <w:r w:rsidRPr="004863A5">
        <w:rPr>
          <w:rFonts w:ascii="Garamond" w:hAnsi="Garamond"/>
          <w:i/>
          <w:iCs/>
        </w:rPr>
        <w:t xml:space="preserve"> de </w:t>
      </w:r>
      <w:proofErr w:type="spellStart"/>
      <w:r w:rsidRPr="004863A5">
        <w:rPr>
          <w:rFonts w:ascii="Garamond" w:hAnsi="Garamond"/>
          <w:i/>
          <w:iCs/>
        </w:rPr>
        <w:t>Diceto</w:t>
      </w:r>
      <w:proofErr w:type="spellEnd"/>
      <w:r w:rsidRPr="004863A5">
        <w:rPr>
          <w:rFonts w:ascii="Garamond" w:hAnsi="Garamond"/>
          <w:i/>
          <w:iCs/>
        </w:rPr>
        <w:t xml:space="preserve"> decani </w:t>
      </w:r>
      <w:proofErr w:type="spellStart"/>
      <w:r w:rsidRPr="004863A5">
        <w:rPr>
          <w:rFonts w:ascii="Garamond" w:hAnsi="Garamond"/>
          <w:i/>
          <w:iCs/>
        </w:rPr>
        <w:t>Lundoniensis</w:t>
      </w:r>
      <w:proofErr w:type="spellEnd"/>
      <w:r w:rsidRPr="004863A5">
        <w:rPr>
          <w:rFonts w:ascii="Garamond" w:hAnsi="Garamond"/>
          <w:i/>
          <w:iCs/>
        </w:rPr>
        <w:t xml:space="preserve"> opera </w:t>
      </w:r>
      <w:proofErr w:type="spellStart"/>
      <w:r w:rsidRPr="004863A5">
        <w:rPr>
          <w:rFonts w:ascii="Garamond" w:hAnsi="Garamond"/>
          <w:i/>
          <w:iCs/>
        </w:rPr>
        <w:t>historica</w:t>
      </w:r>
      <w:proofErr w:type="spellEnd"/>
      <w:r w:rsidRPr="004863A5">
        <w:rPr>
          <w:rFonts w:ascii="Garamond" w:hAnsi="Garamond"/>
        </w:rPr>
        <w:t xml:space="preserve">, ed. By William Stubbs, Rerum </w:t>
      </w:r>
      <w:proofErr w:type="spellStart"/>
      <w:r w:rsidRPr="004863A5">
        <w:rPr>
          <w:rFonts w:ascii="Garamond" w:hAnsi="Garamond"/>
        </w:rPr>
        <w:t>Britannicarum</w:t>
      </w:r>
      <w:proofErr w:type="spellEnd"/>
      <w:r w:rsidRPr="004863A5">
        <w:rPr>
          <w:rFonts w:ascii="Garamond" w:hAnsi="Garamond"/>
        </w:rPr>
        <w:t xml:space="preserve"> </w:t>
      </w:r>
      <w:proofErr w:type="spellStart"/>
      <w:r w:rsidRPr="004863A5">
        <w:rPr>
          <w:rFonts w:ascii="Garamond" w:hAnsi="Garamond"/>
        </w:rPr>
        <w:t>medii</w:t>
      </w:r>
      <w:proofErr w:type="spellEnd"/>
      <w:r w:rsidRPr="004863A5">
        <w:rPr>
          <w:rFonts w:ascii="Garamond" w:hAnsi="Garamond"/>
        </w:rPr>
        <w:t xml:space="preserve"> </w:t>
      </w:r>
      <w:proofErr w:type="spellStart"/>
      <w:r w:rsidRPr="004863A5">
        <w:rPr>
          <w:rFonts w:ascii="Garamond" w:hAnsi="Garamond"/>
        </w:rPr>
        <w:t>aevi</w:t>
      </w:r>
      <w:proofErr w:type="spellEnd"/>
      <w:r w:rsidRPr="004863A5">
        <w:rPr>
          <w:rFonts w:ascii="Garamond" w:hAnsi="Garamond"/>
        </w:rPr>
        <w:t xml:space="preserve"> </w:t>
      </w:r>
      <w:proofErr w:type="spellStart"/>
      <w:r w:rsidRPr="004863A5">
        <w:rPr>
          <w:rFonts w:ascii="Garamond" w:hAnsi="Garamond"/>
        </w:rPr>
        <w:t>scriptores</w:t>
      </w:r>
      <w:proofErr w:type="spellEnd"/>
      <w:r w:rsidRPr="004863A5">
        <w:rPr>
          <w:rFonts w:ascii="Garamond" w:hAnsi="Garamond"/>
        </w:rPr>
        <w:t>, 68, 2 vols (London: Longman, 1876)</w:t>
      </w:r>
    </w:p>
    <w:p w14:paraId="5ADC8F6B" w14:textId="000747F5" w:rsidR="00BC296E" w:rsidRPr="004863A5" w:rsidRDefault="00BC296E" w:rsidP="002437CA">
      <w:pPr>
        <w:rPr>
          <w:rFonts w:ascii="Garamond" w:hAnsi="Garamond"/>
        </w:rPr>
      </w:pPr>
      <w:r w:rsidRPr="004863A5">
        <w:rPr>
          <w:rFonts w:ascii="Garamond" w:hAnsi="Garamond"/>
        </w:rPr>
        <w:lastRenderedPageBreak/>
        <w:t xml:space="preserve">Thomas Buton, </w:t>
      </w:r>
      <w:r w:rsidRPr="004863A5">
        <w:rPr>
          <w:rFonts w:ascii="Garamond" w:hAnsi="Garamond"/>
          <w:i/>
          <w:iCs/>
        </w:rPr>
        <w:t xml:space="preserve">Chronica </w:t>
      </w:r>
      <w:proofErr w:type="spellStart"/>
      <w:r w:rsidRPr="004863A5">
        <w:rPr>
          <w:rFonts w:ascii="Garamond" w:hAnsi="Garamond"/>
          <w:i/>
          <w:iCs/>
        </w:rPr>
        <w:t>monasterii</w:t>
      </w:r>
      <w:proofErr w:type="spellEnd"/>
      <w:r w:rsidRPr="004863A5">
        <w:rPr>
          <w:rFonts w:ascii="Garamond" w:hAnsi="Garamond"/>
          <w:i/>
          <w:iCs/>
        </w:rPr>
        <w:t xml:space="preserve"> de Melsa, a </w:t>
      </w:r>
      <w:proofErr w:type="spellStart"/>
      <w:r w:rsidRPr="004863A5">
        <w:rPr>
          <w:rFonts w:ascii="Garamond" w:hAnsi="Garamond"/>
          <w:i/>
          <w:iCs/>
        </w:rPr>
        <w:t>fundatione</w:t>
      </w:r>
      <w:proofErr w:type="spellEnd"/>
      <w:r w:rsidRPr="004863A5">
        <w:rPr>
          <w:rFonts w:ascii="Garamond" w:hAnsi="Garamond"/>
          <w:i/>
          <w:iCs/>
        </w:rPr>
        <w:t xml:space="preserve"> </w:t>
      </w:r>
      <w:proofErr w:type="spellStart"/>
      <w:r w:rsidR="007509D7" w:rsidRPr="004863A5">
        <w:rPr>
          <w:rFonts w:ascii="Garamond" w:hAnsi="Garamond"/>
          <w:i/>
          <w:iCs/>
        </w:rPr>
        <w:t>usque</w:t>
      </w:r>
      <w:proofErr w:type="spellEnd"/>
      <w:r w:rsidR="007509D7" w:rsidRPr="004863A5">
        <w:rPr>
          <w:rFonts w:ascii="Garamond" w:hAnsi="Garamond"/>
          <w:i/>
          <w:iCs/>
        </w:rPr>
        <w:t xml:space="preserve"> ad annum 1396</w:t>
      </w:r>
      <w:r w:rsidR="007509D7" w:rsidRPr="004863A5">
        <w:rPr>
          <w:rFonts w:ascii="Garamond" w:hAnsi="Garamond"/>
        </w:rPr>
        <w:t xml:space="preserve">, ed. By Edward A. Bond, Rerun </w:t>
      </w:r>
      <w:proofErr w:type="spellStart"/>
      <w:r w:rsidR="007509D7" w:rsidRPr="004863A5">
        <w:rPr>
          <w:rFonts w:ascii="Garamond" w:hAnsi="Garamond"/>
        </w:rPr>
        <w:t>Britannicarum</w:t>
      </w:r>
      <w:proofErr w:type="spellEnd"/>
      <w:r w:rsidR="007509D7" w:rsidRPr="004863A5">
        <w:rPr>
          <w:rFonts w:ascii="Garamond" w:hAnsi="Garamond"/>
        </w:rPr>
        <w:t xml:space="preserve"> </w:t>
      </w:r>
      <w:proofErr w:type="spellStart"/>
      <w:r w:rsidR="007509D7" w:rsidRPr="004863A5">
        <w:rPr>
          <w:rFonts w:ascii="Garamond" w:hAnsi="Garamond"/>
        </w:rPr>
        <w:t>medii</w:t>
      </w:r>
      <w:proofErr w:type="spellEnd"/>
      <w:r w:rsidR="007509D7" w:rsidRPr="004863A5">
        <w:rPr>
          <w:rFonts w:ascii="Garamond" w:hAnsi="Garamond"/>
        </w:rPr>
        <w:t xml:space="preserve"> </w:t>
      </w:r>
      <w:proofErr w:type="spellStart"/>
      <w:r w:rsidR="007509D7" w:rsidRPr="004863A5">
        <w:rPr>
          <w:rFonts w:ascii="Garamond" w:hAnsi="Garamond"/>
        </w:rPr>
        <w:t>aevi</w:t>
      </w:r>
      <w:proofErr w:type="spellEnd"/>
      <w:r w:rsidR="007509D7" w:rsidRPr="004863A5">
        <w:rPr>
          <w:rFonts w:ascii="Garamond" w:hAnsi="Garamond"/>
        </w:rPr>
        <w:t xml:space="preserve"> </w:t>
      </w:r>
      <w:proofErr w:type="spellStart"/>
      <w:r w:rsidR="007509D7" w:rsidRPr="004863A5">
        <w:rPr>
          <w:rFonts w:ascii="Garamond" w:hAnsi="Garamond"/>
        </w:rPr>
        <w:t>scriptores</w:t>
      </w:r>
      <w:proofErr w:type="spellEnd"/>
      <w:r w:rsidR="007509D7" w:rsidRPr="004863A5">
        <w:rPr>
          <w:rFonts w:ascii="Garamond" w:hAnsi="Garamond"/>
        </w:rPr>
        <w:t>, 43, 3 vols (London: Longman, Green, Reader and Dyer, 1866-68)</w:t>
      </w:r>
    </w:p>
    <w:p w14:paraId="6CD19A4C" w14:textId="77777777" w:rsidR="007509D7" w:rsidRPr="004863A5" w:rsidRDefault="007509D7" w:rsidP="002437CA">
      <w:pPr>
        <w:rPr>
          <w:rFonts w:ascii="Garamond" w:hAnsi="Garamond"/>
        </w:rPr>
      </w:pPr>
    </w:p>
    <w:p w14:paraId="22AE0FF9" w14:textId="4675ACC8" w:rsidR="007509D7" w:rsidRPr="004863A5" w:rsidRDefault="007509D7" w:rsidP="002437CA">
      <w:pPr>
        <w:rPr>
          <w:rFonts w:ascii="Garamond" w:hAnsi="Garamond"/>
          <w:b/>
          <w:bCs/>
        </w:rPr>
      </w:pPr>
      <w:r w:rsidRPr="004863A5">
        <w:rPr>
          <w:rFonts w:ascii="Garamond" w:hAnsi="Garamond"/>
          <w:b/>
          <w:bCs/>
        </w:rPr>
        <w:t>Authority and Conflict at the Cistercian Abbey of Strata Florida</w:t>
      </w:r>
    </w:p>
    <w:p w14:paraId="66FB7C78" w14:textId="550A61AA" w:rsidR="007509D7" w:rsidRPr="004863A5" w:rsidRDefault="007509D7" w:rsidP="007509D7">
      <w:pPr>
        <w:rPr>
          <w:rFonts w:ascii="Garamond" w:hAnsi="Garamond"/>
        </w:rPr>
      </w:pPr>
      <w:r w:rsidRPr="004863A5">
        <w:rPr>
          <w:rFonts w:ascii="Garamond" w:hAnsi="Garamond"/>
        </w:rPr>
        <w:t>J. Goronwy</w:t>
      </w:r>
      <w:r w:rsidRPr="004863A5">
        <w:rPr>
          <w:rFonts w:ascii="Garamond" w:hAnsi="Garamond"/>
        </w:rPr>
        <w:t xml:space="preserve"> </w:t>
      </w:r>
      <w:r w:rsidRPr="004863A5">
        <w:rPr>
          <w:rFonts w:ascii="Garamond" w:hAnsi="Garamond"/>
        </w:rPr>
        <w:t xml:space="preserve">Edwards (ed.), </w:t>
      </w:r>
      <w:proofErr w:type="spellStart"/>
      <w:r w:rsidRPr="004863A5">
        <w:rPr>
          <w:rFonts w:ascii="Garamond" w:hAnsi="Garamond"/>
          <w:i/>
          <w:iCs/>
        </w:rPr>
        <w:t>Littere</w:t>
      </w:r>
      <w:proofErr w:type="spellEnd"/>
      <w:r w:rsidRPr="004863A5">
        <w:rPr>
          <w:rFonts w:ascii="Garamond" w:hAnsi="Garamond"/>
          <w:i/>
          <w:iCs/>
        </w:rPr>
        <w:t xml:space="preserve"> Wallie Preserved in Liber A</w:t>
      </w:r>
      <w:r w:rsidRPr="004863A5">
        <w:rPr>
          <w:rFonts w:ascii="Garamond" w:hAnsi="Garamond"/>
        </w:rPr>
        <w:t xml:space="preserve"> in the Public Record Office (Cardiff,</w:t>
      </w:r>
      <w:r w:rsidRPr="004863A5">
        <w:rPr>
          <w:rFonts w:ascii="Garamond" w:hAnsi="Garamond"/>
        </w:rPr>
        <w:t xml:space="preserve"> </w:t>
      </w:r>
      <w:r w:rsidRPr="004863A5">
        <w:rPr>
          <w:rFonts w:ascii="Garamond" w:hAnsi="Garamond"/>
        </w:rPr>
        <w:t xml:space="preserve">1940), </w:t>
      </w:r>
      <w:proofErr w:type="spellStart"/>
      <w:r w:rsidRPr="004863A5">
        <w:rPr>
          <w:rFonts w:ascii="Garamond" w:hAnsi="Garamond"/>
        </w:rPr>
        <w:t>nos</w:t>
      </w:r>
      <w:proofErr w:type="spellEnd"/>
      <w:r w:rsidRPr="004863A5">
        <w:rPr>
          <w:rFonts w:ascii="Garamond" w:hAnsi="Garamond"/>
        </w:rPr>
        <w:t xml:space="preserve"> 71, 187</w:t>
      </w:r>
    </w:p>
    <w:p w14:paraId="4463586D" w14:textId="77777777" w:rsidR="007509D7" w:rsidRPr="004863A5" w:rsidRDefault="007509D7" w:rsidP="007509D7">
      <w:pPr>
        <w:rPr>
          <w:rFonts w:ascii="Garamond" w:hAnsi="Garamond"/>
        </w:rPr>
      </w:pPr>
      <w:r w:rsidRPr="004863A5">
        <w:rPr>
          <w:rFonts w:ascii="Garamond" w:hAnsi="Garamond"/>
          <w:i/>
          <w:iCs/>
        </w:rPr>
        <w:t>Calendar of the Close Rolls Preserved in the Public</w:t>
      </w:r>
      <w:r w:rsidRPr="004863A5">
        <w:rPr>
          <w:rFonts w:ascii="Garamond" w:hAnsi="Garamond"/>
          <w:i/>
          <w:iCs/>
        </w:rPr>
        <w:t xml:space="preserve"> </w:t>
      </w:r>
      <w:r w:rsidRPr="004863A5">
        <w:rPr>
          <w:rFonts w:ascii="Garamond" w:hAnsi="Garamond"/>
          <w:i/>
          <w:iCs/>
        </w:rPr>
        <w:t>Record Office</w:t>
      </w:r>
      <w:r w:rsidRPr="004863A5">
        <w:rPr>
          <w:rFonts w:ascii="Garamond" w:hAnsi="Garamond"/>
        </w:rPr>
        <w:t xml:space="preserve"> (London, 1902</w:t>
      </w:r>
      <w:proofErr w:type="gramStart"/>
      <w:r w:rsidRPr="004863A5">
        <w:rPr>
          <w:rFonts w:ascii="Garamond" w:hAnsi="Garamond"/>
        </w:rPr>
        <w:t>– ,</w:t>
      </w:r>
      <w:proofErr w:type="gramEnd"/>
      <w:r w:rsidRPr="004863A5">
        <w:rPr>
          <w:rFonts w:ascii="Garamond" w:hAnsi="Garamond"/>
        </w:rPr>
        <w:t xml:space="preserve"> hereafter Cal. Cl. R.), 1279–88, pp. 407–8; </w:t>
      </w:r>
    </w:p>
    <w:p w14:paraId="5CC11E38" w14:textId="765DF256" w:rsidR="007509D7" w:rsidRPr="004863A5" w:rsidRDefault="007509D7" w:rsidP="007509D7">
      <w:pPr>
        <w:rPr>
          <w:rFonts w:ascii="Garamond" w:hAnsi="Garamond"/>
        </w:rPr>
      </w:pPr>
      <w:r w:rsidRPr="004863A5">
        <w:rPr>
          <w:rFonts w:ascii="Garamond" w:hAnsi="Garamond"/>
          <w:i/>
          <w:iCs/>
        </w:rPr>
        <w:t>Calendar</w:t>
      </w:r>
      <w:r w:rsidRPr="004863A5">
        <w:rPr>
          <w:rFonts w:ascii="Garamond" w:hAnsi="Garamond"/>
          <w:i/>
          <w:iCs/>
        </w:rPr>
        <w:t xml:space="preserve"> </w:t>
      </w:r>
      <w:r w:rsidRPr="004863A5">
        <w:rPr>
          <w:rFonts w:ascii="Garamond" w:hAnsi="Garamond"/>
          <w:i/>
          <w:iCs/>
        </w:rPr>
        <w:t>of the Patent Rolls Preserved in the Public Record Office</w:t>
      </w:r>
      <w:r w:rsidRPr="004863A5">
        <w:rPr>
          <w:rFonts w:ascii="Garamond" w:hAnsi="Garamond"/>
        </w:rPr>
        <w:t xml:space="preserve"> (London, 1891</w:t>
      </w:r>
      <w:proofErr w:type="gramStart"/>
      <w:r w:rsidRPr="004863A5">
        <w:rPr>
          <w:rFonts w:ascii="Garamond" w:hAnsi="Garamond"/>
        </w:rPr>
        <w:t>– ,</w:t>
      </w:r>
      <w:proofErr w:type="gramEnd"/>
      <w:r w:rsidRPr="004863A5">
        <w:rPr>
          <w:rFonts w:ascii="Garamond" w:hAnsi="Garamond"/>
        </w:rPr>
        <w:t xml:space="preserve"> hereafter Cal.</w:t>
      </w:r>
      <w:r w:rsidRPr="004863A5">
        <w:rPr>
          <w:rFonts w:ascii="Garamond" w:hAnsi="Garamond"/>
        </w:rPr>
        <w:t xml:space="preserve"> </w:t>
      </w:r>
      <w:r w:rsidRPr="004863A5">
        <w:rPr>
          <w:rFonts w:ascii="Garamond" w:hAnsi="Garamond"/>
        </w:rPr>
        <w:t>Pat. R.), 1343–45, p. 231.</w:t>
      </w:r>
    </w:p>
    <w:p w14:paraId="2148E6C2" w14:textId="64754EE8" w:rsidR="007509D7" w:rsidRPr="004863A5" w:rsidRDefault="007509D7" w:rsidP="007509D7">
      <w:pPr>
        <w:rPr>
          <w:rFonts w:ascii="Garamond" w:hAnsi="Garamond"/>
        </w:rPr>
      </w:pPr>
      <w:r w:rsidRPr="004863A5">
        <w:rPr>
          <w:rFonts w:ascii="Garamond" w:hAnsi="Garamond"/>
        </w:rPr>
        <w:t>London, The National Archives (hereafter TNA) SC 8/82/4057; see also SC</w:t>
      </w:r>
      <w:r w:rsidR="007528B7">
        <w:rPr>
          <w:rFonts w:ascii="Garamond" w:hAnsi="Garamond"/>
        </w:rPr>
        <w:t xml:space="preserve"> </w:t>
      </w:r>
      <w:r w:rsidRPr="004863A5">
        <w:rPr>
          <w:rFonts w:ascii="Garamond" w:hAnsi="Garamond"/>
        </w:rPr>
        <w:t>8/4/165 and SC 8/34/1681.</w:t>
      </w:r>
    </w:p>
    <w:p w14:paraId="6FD904A4" w14:textId="3F1FBA1B" w:rsidR="007509D7" w:rsidRPr="004863A5" w:rsidRDefault="00D427FD" w:rsidP="007509D7">
      <w:pPr>
        <w:rPr>
          <w:rFonts w:ascii="Garamond" w:hAnsi="Garamond"/>
        </w:rPr>
      </w:pPr>
      <w:r w:rsidRPr="004863A5">
        <w:rPr>
          <w:rFonts w:ascii="Garamond" w:hAnsi="Garamond"/>
        </w:rPr>
        <w:t>TNA SC 8/336/15874; see also SC 8/87/4334, 4335, 4336,</w:t>
      </w:r>
    </w:p>
    <w:p w14:paraId="5671A00D" w14:textId="5966FAB8" w:rsidR="00D427FD" w:rsidRPr="004863A5" w:rsidRDefault="00D427FD" w:rsidP="00D427FD">
      <w:pPr>
        <w:rPr>
          <w:rFonts w:ascii="Garamond" w:hAnsi="Garamond"/>
        </w:rPr>
      </w:pPr>
      <w:r w:rsidRPr="004863A5">
        <w:rPr>
          <w:rFonts w:ascii="Garamond" w:hAnsi="Garamond"/>
          <w:i/>
          <w:iCs/>
        </w:rPr>
        <w:t>The</w:t>
      </w:r>
      <w:r w:rsidRPr="004863A5">
        <w:rPr>
          <w:rFonts w:ascii="Garamond" w:hAnsi="Garamond"/>
          <w:i/>
          <w:iCs/>
        </w:rPr>
        <w:t xml:space="preserve"> </w:t>
      </w:r>
      <w:r w:rsidRPr="004863A5">
        <w:rPr>
          <w:rFonts w:ascii="Garamond" w:hAnsi="Garamond"/>
          <w:i/>
          <w:iCs/>
        </w:rPr>
        <w:t>Great Roll of the Pipe for the Thirteenth Year of the Reign of King John, Michaelmas 1211</w:t>
      </w:r>
      <w:r w:rsidRPr="004863A5">
        <w:rPr>
          <w:rFonts w:ascii="Garamond" w:hAnsi="Garamond"/>
        </w:rPr>
        <w:t>(London, 1953)</w:t>
      </w:r>
    </w:p>
    <w:p w14:paraId="31BECCCB" w14:textId="2A37E821" w:rsidR="00D427FD" w:rsidRPr="004863A5" w:rsidRDefault="00D427FD" w:rsidP="00D427FD">
      <w:pPr>
        <w:rPr>
          <w:rFonts w:ascii="Garamond" w:hAnsi="Garamond"/>
        </w:rPr>
      </w:pPr>
      <w:r w:rsidRPr="004863A5">
        <w:rPr>
          <w:rFonts w:ascii="Garamond" w:hAnsi="Garamond"/>
        </w:rPr>
        <w:t xml:space="preserve">Patricia M. Barnes (ed.), </w:t>
      </w:r>
      <w:r w:rsidRPr="002E71EF">
        <w:rPr>
          <w:rFonts w:ascii="Garamond" w:hAnsi="Garamond"/>
          <w:i/>
          <w:iCs/>
        </w:rPr>
        <w:t>The Great Roll of the Pipe for the Fourteenth Year</w:t>
      </w:r>
      <w:r w:rsidR="003C3F81" w:rsidRPr="002E71EF">
        <w:rPr>
          <w:rFonts w:ascii="Garamond" w:hAnsi="Garamond"/>
          <w:i/>
          <w:iCs/>
        </w:rPr>
        <w:t xml:space="preserve"> </w:t>
      </w:r>
      <w:r w:rsidRPr="002E71EF">
        <w:rPr>
          <w:rFonts w:ascii="Garamond" w:hAnsi="Garamond"/>
          <w:i/>
          <w:iCs/>
        </w:rPr>
        <w:t>of the Reign of King John, Michaelmas 1212</w:t>
      </w:r>
      <w:r w:rsidRPr="004863A5">
        <w:rPr>
          <w:rFonts w:ascii="Garamond" w:hAnsi="Garamond"/>
        </w:rPr>
        <w:t xml:space="preserve"> (London, 1955)</w:t>
      </w:r>
    </w:p>
    <w:p w14:paraId="548BAA7E" w14:textId="3A179436" w:rsidR="00D427FD" w:rsidRPr="004863A5" w:rsidRDefault="00D427FD" w:rsidP="00D427FD">
      <w:pPr>
        <w:rPr>
          <w:rFonts w:ascii="Garamond" w:hAnsi="Garamond"/>
        </w:rPr>
      </w:pPr>
      <w:r w:rsidRPr="002E71EF">
        <w:rPr>
          <w:rFonts w:ascii="Garamond" w:hAnsi="Garamond"/>
          <w:i/>
          <w:iCs/>
        </w:rPr>
        <w:t>The Great Roll of the Pipe for the Sixteenth</w:t>
      </w:r>
      <w:r w:rsidR="007528B7" w:rsidRPr="002E71EF">
        <w:rPr>
          <w:rFonts w:ascii="Garamond" w:hAnsi="Garamond"/>
          <w:i/>
          <w:iCs/>
        </w:rPr>
        <w:t xml:space="preserve"> </w:t>
      </w:r>
      <w:r w:rsidRPr="002E71EF">
        <w:rPr>
          <w:rFonts w:ascii="Garamond" w:hAnsi="Garamond"/>
          <w:i/>
          <w:iCs/>
        </w:rPr>
        <w:t>Year of the Reign of King John, Michaelmas 1214</w:t>
      </w:r>
      <w:r w:rsidRPr="004863A5">
        <w:rPr>
          <w:rFonts w:ascii="Garamond" w:hAnsi="Garamond"/>
        </w:rPr>
        <w:t xml:space="preserve"> (London, 1962),</w:t>
      </w:r>
    </w:p>
    <w:p w14:paraId="42FCFB2B" w14:textId="174DE7D9" w:rsidR="00D427FD" w:rsidRPr="004863A5" w:rsidRDefault="00D427FD" w:rsidP="00D427FD">
      <w:pPr>
        <w:rPr>
          <w:rFonts w:ascii="Garamond" w:hAnsi="Garamond"/>
        </w:rPr>
      </w:pPr>
      <w:r w:rsidRPr="002E71EF">
        <w:rPr>
          <w:rFonts w:ascii="Garamond" w:hAnsi="Garamond"/>
          <w:i/>
          <w:iCs/>
        </w:rPr>
        <w:t xml:space="preserve">Brut y </w:t>
      </w:r>
      <w:proofErr w:type="spellStart"/>
      <w:r w:rsidRPr="002E71EF">
        <w:rPr>
          <w:rFonts w:ascii="Garamond" w:hAnsi="Garamond"/>
          <w:i/>
          <w:iCs/>
        </w:rPr>
        <w:t>Tywysogyon</w:t>
      </w:r>
      <w:proofErr w:type="spellEnd"/>
      <w:r w:rsidRPr="004863A5">
        <w:rPr>
          <w:rFonts w:ascii="Garamond" w:hAnsi="Garamond"/>
        </w:rPr>
        <w:t xml:space="preserve">, </w:t>
      </w:r>
      <w:proofErr w:type="gramStart"/>
      <w:r w:rsidRPr="004863A5">
        <w:rPr>
          <w:rFonts w:ascii="Garamond" w:hAnsi="Garamond"/>
        </w:rPr>
        <w:t>or,</w:t>
      </w:r>
      <w:proofErr w:type="gramEnd"/>
      <w:r w:rsidRPr="004863A5">
        <w:rPr>
          <w:rFonts w:ascii="Garamond" w:hAnsi="Garamond"/>
        </w:rPr>
        <w:t xml:space="preserve"> the </w:t>
      </w:r>
      <w:r w:rsidRPr="002E71EF">
        <w:rPr>
          <w:rFonts w:ascii="Garamond" w:hAnsi="Garamond"/>
          <w:i/>
          <w:iCs/>
        </w:rPr>
        <w:t>Chronicle of the</w:t>
      </w:r>
      <w:r w:rsidRPr="002E71EF">
        <w:rPr>
          <w:rFonts w:ascii="Garamond" w:hAnsi="Garamond"/>
          <w:i/>
          <w:iCs/>
        </w:rPr>
        <w:t xml:space="preserve"> </w:t>
      </w:r>
      <w:r w:rsidRPr="002E71EF">
        <w:rPr>
          <w:rFonts w:ascii="Garamond" w:hAnsi="Garamond"/>
          <w:i/>
          <w:iCs/>
        </w:rPr>
        <w:t xml:space="preserve">Princes: Red Book of </w:t>
      </w:r>
      <w:proofErr w:type="spellStart"/>
      <w:r w:rsidRPr="002E71EF">
        <w:rPr>
          <w:rFonts w:ascii="Garamond" w:hAnsi="Garamond"/>
          <w:i/>
          <w:iCs/>
        </w:rPr>
        <w:t>Hergest</w:t>
      </w:r>
      <w:proofErr w:type="spellEnd"/>
      <w:r w:rsidRPr="004863A5">
        <w:rPr>
          <w:rFonts w:ascii="Garamond" w:hAnsi="Garamond"/>
        </w:rPr>
        <w:t xml:space="preserve"> (Cardiff, 1955),</w:t>
      </w:r>
    </w:p>
    <w:p w14:paraId="0A440664" w14:textId="1F12EDFD" w:rsidR="00D427FD" w:rsidRPr="004863A5" w:rsidRDefault="00D427FD" w:rsidP="00D427FD">
      <w:pPr>
        <w:rPr>
          <w:rFonts w:ascii="Garamond" w:hAnsi="Garamond"/>
        </w:rPr>
      </w:pPr>
      <w:r w:rsidRPr="004863A5">
        <w:rPr>
          <w:rFonts w:ascii="Garamond" w:hAnsi="Garamond"/>
        </w:rPr>
        <w:t>TNA C/145/58/29</w:t>
      </w:r>
    </w:p>
    <w:p w14:paraId="2C978CD1" w14:textId="7C91EF2D" w:rsidR="00D427FD" w:rsidRPr="004863A5" w:rsidRDefault="00D427FD" w:rsidP="00D427FD">
      <w:pPr>
        <w:rPr>
          <w:rFonts w:ascii="Garamond" w:hAnsi="Garamond"/>
        </w:rPr>
      </w:pPr>
      <w:r w:rsidRPr="004863A5">
        <w:rPr>
          <w:rFonts w:ascii="Garamond" w:hAnsi="Garamond"/>
          <w:i/>
          <w:iCs/>
        </w:rPr>
        <w:t>Calendar of the Charter Rolls Preserved in the Public Record Office</w:t>
      </w:r>
      <w:r w:rsidRPr="004863A5">
        <w:rPr>
          <w:rFonts w:ascii="Garamond" w:hAnsi="Garamond"/>
        </w:rPr>
        <w:t>, 6 vols</w:t>
      </w:r>
      <w:r w:rsidR="002E71EF">
        <w:rPr>
          <w:rFonts w:ascii="Garamond" w:hAnsi="Garamond"/>
        </w:rPr>
        <w:t xml:space="preserve"> </w:t>
      </w:r>
      <w:r w:rsidRPr="004863A5">
        <w:rPr>
          <w:rFonts w:ascii="Garamond" w:hAnsi="Garamond"/>
        </w:rPr>
        <w:t xml:space="preserve">(London, 1903–27), </w:t>
      </w:r>
      <w:r w:rsidRPr="004863A5">
        <w:rPr>
          <w:rFonts w:ascii="Garamond" w:hAnsi="Garamond"/>
          <w:i/>
          <w:iCs/>
        </w:rPr>
        <w:t>1327–41</w:t>
      </w:r>
    </w:p>
    <w:p w14:paraId="3131AAAE" w14:textId="1D2EEF1A" w:rsidR="00D427FD" w:rsidRPr="004863A5" w:rsidRDefault="00D427FD" w:rsidP="00D427FD">
      <w:pPr>
        <w:rPr>
          <w:rFonts w:ascii="Garamond" w:hAnsi="Garamond"/>
        </w:rPr>
      </w:pPr>
      <w:r w:rsidRPr="004863A5">
        <w:rPr>
          <w:rFonts w:ascii="Garamond" w:hAnsi="Garamond"/>
          <w:i/>
          <w:iCs/>
        </w:rPr>
        <w:t>Cal. Pat. R.</w:t>
      </w:r>
      <w:r w:rsidRPr="004863A5">
        <w:rPr>
          <w:rFonts w:ascii="Garamond" w:hAnsi="Garamond"/>
        </w:rPr>
        <w:t xml:space="preserve"> 1377–81, p. 551</w:t>
      </w:r>
    </w:p>
    <w:p w14:paraId="5F391B2C" w14:textId="09AD62BF" w:rsidR="00D427FD" w:rsidRPr="004863A5" w:rsidRDefault="00D427FD" w:rsidP="00D427FD">
      <w:pPr>
        <w:rPr>
          <w:rFonts w:ascii="Garamond" w:hAnsi="Garamond"/>
        </w:rPr>
      </w:pPr>
      <w:r w:rsidRPr="004863A5">
        <w:rPr>
          <w:rFonts w:ascii="Garamond" w:hAnsi="Garamond"/>
        </w:rPr>
        <w:t>TNA C 85/167/22</w:t>
      </w:r>
    </w:p>
    <w:p w14:paraId="51E76254" w14:textId="3908C852" w:rsidR="00D427FD" w:rsidRPr="004863A5" w:rsidRDefault="00D427FD" w:rsidP="00D427FD">
      <w:pPr>
        <w:rPr>
          <w:rFonts w:ascii="Garamond" w:hAnsi="Garamond"/>
        </w:rPr>
      </w:pPr>
      <w:r w:rsidRPr="004863A5">
        <w:rPr>
          <w:rFonts w:ascii="Garamond" w:hAnsi="Garamond"/>
        </w:rPr>
        <w:t xml:space="preserve">J.-M. </w:t>
      </w:r>
      <w:proofErr w:type="spellStart"/>
      <w:r w:rsidRPr="004863A5">
        <w:rPr>
          <w:rFonts w:ascii="Garamond" w:hAnsi="Garamond"/>
        </w:rPr>
        <w:t>Canivez</w:t>
      </w:r>
      <w:proofErr w:type="spellEnd"/>
      <w:r w:rsidRPr="004863A5">
        <w:rPr>
          <w:rFonts w:ascii="Garamond" w:hAnsi="Garamond"/>
        </w:rPr>
        <w:t xml:space="preserve"> (ed.), </w:t>
      </w:r>
      <w:proofErr w:type="spellStart"/>
      <w:r w:rsidRPr="004863A5">
        <w:rPr>
          <w:rFonts w:ascii="Garamond" w:hAnsi="Garamond"/>
        </w:rPr>
        <w:t>Statuta</w:t>
      </w:r>
      <w:proofErr w:type="spellEnd"/>
      <w:r w:rsidRPr="004863A5">
        <w:rPr>
          <w:rFonts w:ascii="Garamond" w:hAnsi="Garamond"/>
        </w:rPr>
        <w:t xml:space="preserve"> </w:t>
      </w:r>
      <w:proofErr w:type="spellStart"/>
      <w:r w:rsidRPr="004863A5">
        <w:rPr>
          <w:rFonts w:ascii="Garamond" w:hAnsi="Garamond"/>
        </w:rPr>
        <w:t>Capitulorum</w:t>
      </w:r>
      <w:proofErr w:type="spellEnd"/>
      <w:r w:rsidRPr="004863A5">
        <w:rPr>
          <w:rFonts w:ascii="Garamond" w:hAnsi="Garamond"/>
        </w:rPr>
        <w:t xml:space="preserve"> </w:t>
      </w:r>
      <w:proofErr w:type="spellStart"/>
      <w:r w:rsidRPr="004863A5">
        <w:rPr>
          <w:rFonts w:ascii="Garamond" w:hAnsi="Garamond"/>
        </w:rPr>
        <w:t>Generalium</w:t>
      </w:r>
      <w:proofErr w:type="spellEnd"/>
      <w:r w:rsidRPr="004863A5">
        <w:rPr>
          <w:rFonts w:ascii="Garamond" w:hAnsi="Garamond"/>
        </w:rPr>
        <w:t xml:space="preserve"> </w:t>
      </w:r>
      <w:proofErr w:type="spellStart"/>
      <w:r w:rsidRPr="004863A5">
        <w:rPr>
          <w:rFonts w:ascii="Garamond" w:hAnsi="Garamond"/>
        </w:rPr>
        <w:t>Ordinis</w:t>
      </w:r>
      <w:proofErr w:type="spellEnd"/>
      <w:r w:rsidRPr="004863A5">
        <w:rPr>
          <w:rFonts w:ascii="Garamond" w:hAnsi="Garamond"/>
        </w:rPr>
        <w:t xml:space="preserve"> </w:t>
      </w:r>
      <w:proofErr w:type="spellStart"/>
      <w:r w:rsidRPr="004863A5">
        <w:rPr>
          <w:rFonts w:ascii="Garamond" w:hAnsi="Garamond"/>
        </w:rPr>
        <w:t>Cisterciensis</w:t>
      </w:r>
      <w:proofErr w:type="spellEnd"/>
      <w:r w:rsidRPr="004863A5">
        <w:rPr>
          <w:rFonts w:ascii="Garamond" w:hAnsi="Garamond"/>
        </w:rPr>
        <w:t xml:space="preserve"> ab</w:t>
      </w:r>
      <w:r w:rsidR="002E71EF">
        <w:rPr>
          <w:rFonts w:ascii="Garamond" w:hAnsi="Garamond"/>
        </w:rPr>
        <w:t xml:space="preserve"> </w:t>
      </w:r>
      <w:r w:rsidRPr="004863A5">
        <w:rPr>
          <w:rFonts w:ascii="Garamond" w:hAnsi="Garamond"/>
        </w:rPr>
        <w:t>Anno 1116 ad Annum 1786, 8 vols (Louvain, 1933–41), III, p. 494 (1344/65).</w:t>
      </w:r>
    </w:p>
    <w:p w14:paraId="7A33889E" w14:textId="77777777" w:rsidR="00D427FD" w:rsidRPr="004863A5" w:rsidRDefault="00D427FD" w:rsidP="00D427FD">
      <w:pPr>
        <w:rPr>
          <w:rFonts w:ascii="Garamond" w:hAnsi="Garamond"/>
        </w:rPr>
      </w:pPr>
      <w:r w:rsidRPr="004863A5">
        <w:rPr>
          <w:rFonts w:ascii="Garamond" w:hAnsi="Garamond"/>
        </w:rPr>
        <w:t xml:space="preserve">J. H. Parry (ed.), </w:t>
      </w:r>
      <w:proofErr w:type="spellStart"/>
      <w:r w:rsidRPr="004863A5">
        <w:rPr>
          <w:rFonts w:ascii="Garamond" w:hAnsi="Garamond"/>
        </w:rPr>
        <w:t>Registrum</w:t>
      </w:r>
      <w:proofErr w:type="spellEnd"/>
      <w:r w:rsidRPr="004863A5">
        <w:rPr>
          <w:rFonts w:ascii="Garamond" w:hAnsi="Garamond"/>
        </w:rPr>
        <w:t xml:space="preserve"> Johannis de </w:t>
      </w:r>
      <w:proofErr w:type="spellStart"/>
      <w:r w:rsidRPr="004863A5">
        <w:rPr>
          <w:rFonts w:ascii="Garamond" w:hAnsi="Garamond"/>
        </w:rPr>
        <w:t>Trillek</w:t>
      </w:r>
      <w:proofErr w:type="spellEnd"/>
      <w:r w:rsidRPr="004863A5">
        <w:rPr>
          <w:rFonts w:ascii="Garamond" w:hAnsi="Garamond"/>
        </w:rPr>
        <w:t xml:space="preserve">, </w:t>
      </w:r>
      <w:proofErr w:type="spellStart"/>
      <w:r w:rsidRPr="004863A5">
        <w:rPr>
          <w:rFonts w:ascii="Garamond" w:hAnsi="Garamond"/>
        </w:rPr>
        <w:t>Episcopi</w:t>
      </w:r>
      <w:proofErr w:type="spellEnd"/>
      <w:r w:rsidRPr="004863A5">
        <w:rPr>
          <w:rFonts w:ascii="Garamond" w:hAnsi="Garamond"/>
        </w:rPr>
        <w:t xml:space="preserve"> </w:t>
      </w:r>
      <w:proofErr w:type="spellStart"/>
      <w:r w:rsidRPr="004863A5">
        <w:rPr>
          <w:rFonts w:ascii="Garamond" w:hAnsi="Garamond"/>
        </w:rPr>
        <w:t>Herefordensis</w:t>
      </w:r>
      <w:proofErr w:type="spellEnd"/>
      <w:r w:rsidRPr="004863A5">
        <w:rPr>
          <w:rFonts w:ascii="Garamond" w:hAnsi="Garamond"/>
        </w:rPr>
        <w:t>, AD MCCCXLIV–</w:t>
      </w:r>
    </w:p>
    <w:p w14:paraId="70DE745E" w14:textId="5C378097" w:rsidR="00D427FD" w:rsidRPr="004863A5" w:rsidRDefault="00D427FD" w:rsidP="00D427FD">
      <w:pPr>
        <w:rPr>
          <w:rFonts w:ascii="Garamond" w:hAnsi="Garamond"/>
        </w:rPr>
      </w:pPr>
      <w:r w:rsidRPr="004863A5">
        <w:rPr>
          <w:rFonts w:ascii="Garamond" w:hAnsi="Garamond"/>
        </w:rPr>
        <w:t xml:space="preserve">MCCCLXI, </w:t>
      </w:r>
      <w:proofErr w:type="spellStart"/>
      <w:r w:rsidRPr="004863A5">
        <w:rPr>
          <w:rFonts w:ascii="Garamond" w:hAnsi="Garamond"/>
        </w:rPr>
        <w:t>Cantilupe</w:t>
      </w:r>
      <w:proofErr w:type="spellEnd"/>
      <w:r w:rsidRPr="004863A5">
        <w:rPr>
          <w:rFonts w:ascii="Garamond" w:hAnsi="Garamond"/>
        </w:rPr>
        <w:t xml:space="preserve"> Society (1910) and Canterbury and York Society, 8</w:t>
      </w:r>
      <w:r w:rsidR="002E71EF">
        <w:rPr>
          <w:rFonts w:ascii="Garamond" w:hAnsi="Garamond"/>
        </w:rPr>
        <w:t xml:space="preserve"> </w:t>
      </w:r>
      <w:r w:rsidRPr="004863A5">
        <w:rPr>
          <w:rFonts w:ascii="Garamond" w:hAnsi="Garamond"/>
        </w:rPr>
        <w:t>(1912)</w:t>
      </w:r>
    </w:p>
    <w:p w14:paraId="6A82CC69" w14:textId="5AA7B00F" w:rsidR="00D427FD" w:rsidRPr="004863A5" w:rsidRDefault="00D427FD" w:rsidP="00D427FD">
      <w:pPr>
        <w:rPr>
          <w:rFonts w:ascii="Garamond" w:hAnsi="Garamond"/>
        </w:rPr>
      </w:pPr>
      <w:r w:rsidRPr="004863A5">
        <w:rPr>
          <w:rFonts w:ascii="Garamond" w:hAnsi="Garamond"/>
        </w:rPr>
        <w:t xml:space="preserve">Register </w:t>
      </w:r>
      <w:proofErr w:type="spellStart"/>
      <w:r w:rsidRPr="004863A5">
        <w:rPr>
          <w:rFonts w:ascii="Garamond" w:hAnsi="Garamond"/>
        </w:rPr>
        <w:t>Trillek</w:t>
      </w:r>
      <w:proofErr w:type="spellEnd"/>
    </w:p>
    <w:p w14:paraId="790E201A" w14:textId="1EA73467" w:rsidR="00D427FD" w:rsidRPr="004863A5" w:rsidRDefault="00D427FD" w:rsidP="00D427FD">
      <w:pPr>
        <w:rPr>
          <w:rFonts w:ascii="Garamond" w:hAnsi="Garamond"/>
        </w:rPr>
      </w:pPr>
      <w:r w:rsidRPr="004863A5">
        <w:rPr>
          <w:rFonts w:ascii="Garamond" w:hAnsi="Garamond"/>
        </w:rPr>
        <w:t xml:space="preserve">TNA E 36/144, fol.1cv; calendared in </w:t>
      </w:r>
      <w:r w:rsidRPr="004863A5">
        <w:rPr>
          <w:rFonts w:ascii="Garamond" w:hAnsi="Garamond"/>
          <w:i/>
          <w:iCs/>
        </w:rPr>
        <w:t>The Register of Edward the Black Prince</w:t>
      </w:r>
      <w:r w:rsidR="002E71EF">
        <w:rPr>
          <w:rFonts w:ascii="Garamond" w:hAnsi="Garamond"/>
          <w:i/>
          <w:iCs/>
        </w:rPr>
        <w:t xml:space="preserve"> </w:t>
      </w:r>
      <w:r w:rsidRPr="004863A5">
        <w:rPr>
          <w:rFonts w:ascii="Garamond" w:hAnsi="Garamond"/>
          <w:i/>
          <w:iCs/>
        </w:rPr>
        <w:t>Preserved in the Public Record Office</w:t>
      </w:r>
      <w:r w:rsidRPr="004863A5">
        <w:rPr>
          <w:rFonts w:ascii="Garamond" w:hAnsi="Garamond"/>
        </w:rPr>
        <w:t>, 4 vols (London, 1930–3), I, p. 2.</w:t>
      </w:r>
    </w:p>
    <w:p w14:paraId="668B4CAB" w14:textId="36AE47B6" w:rsidR="00D427FD" w:rsidRPr="004863A5" w:rsidRDefault="00D427FD" w:rsidP="00D427FD">
      <w:pPr>
        <w:rPr>
          <w:rFonts w:ascii="Garamond" w:hAnsi="Garamond"/>
        </w:rPr>
      </w:pPr>
      <w:r w:rsidRPr="004863A5">
        <w:rPr>
          <w:rFonts w:ascii="Garamond" w:hAnsi="Garamond"/>
        </w:rPr>
        <w:t xml:space="preserve">Calendar of Inquisitions </w:t>
      </w:r>
      <w:proofErr w:type="gramStart"/>
      <w:r w:rsidRPr="004863A5">
        <w:rPr>
          <w:rFonts w:ascii="Garamond" w:hAnsi="Garamond"/>
        </w:rPr>
        <w:t>Post Mortem</w:t>
      </w:r>
      <w:proofErr w:type="gramEnd"/>
      <w:r w:rsidRPr="004863A5">
        <w:rPr>
          <w:rFonts w:ascii="Garamond" w:hAnsi="Garamond"/>
        </w:rPr>
        <w:t xml:space="preserve">, </w:t>
      </w:r>
      <w:r w:rsidRPr="004863A5">
        <w:rPr>
          <w:rFonts w:ascii="Garamond" w:hAnsi="Garamond"/>
        </w:rPr>
        <w:t>V &amp; VI</w:t>
      </w:r>
    </w:p>
    <w:p w14:paraId="29484EED" w14:textId="0E4F3AC7" w:rsidR="00C07532" w:rsidRPr="004863A5" w:rsidRDefault="00C07532" w:rsidP="00D427FD">
      <w:pPr>
        <w:rPr>
          <w:rFonts w:ascii="Garamond" w:hAnsi="Garamond"/>
        </w:rPr>
      </w:pPr>
      <w:r w:rsidRPr="004863A5">
        <w:rPr>
          <w:rFonts w:ascii="Garamond" w:hAnsi="Garamond"/>
        </w:rPr>
        <w:lastRenderedPageBreak/>
        <w:t>TNA SC 8/87/4334,</w:t>
      </w:r>
    </w:p>
    <w:p w14:paraId="4CD68A68" w14:textId="1AF17F67" w:rsidR="00C07532" w:rsidRPr="004863A5" w:rsidRDefault="00C07532" w:rsidP="00D427FD">
      <w:pPr>
        <w:rPr>
          <w:rFonts w:ascii="Garamond" w:hAnsi="Garamond"/>
        </w:rPr>
      </w:pPr>
      <w:r w:rsidRPr="004863A5">
        <w:rPr>
          <w:rFonts w:ascii="Garamond" w:hAnsi="Garamond"/>
        </w:rPr>
        <w:t>Calendar of Charter Rolls 1327–41</w:t>
      </w:r>
    </w:p>
    <w:p w14:paraId="326F074F" w14:textId="77777777" w:rsidR="00C07532" w:rsidRPr="004863A5" w:rsidRDefault="00C07532" w:rsidP="00C07532">
      <w:pPr>
        <w:rPr>
          <w:rFonts w:ascii="Garamond" w:hAnsi="Garamond"/>
        </w:rPr>
      </w:pPr>
      <w:r w:rsidRPr="004863A5">
        <w:rPr>
          <w:rFonts w:ascii="Garamond" w:hAnsi="Garamond"/>
        </w:rPr>
        <w:t>Dafydd Johnston (ed.), Gwaith Llywelyn Goch ap Meurig Hen (Aberystwyth,</w:t>
      </w:r>
    </w:p>
    <w:p w14:paraId="568DDFF2" w14:textId="68783265" w:rsidR="00C07532" w:rsidRPr="004863A5" w:rsidRDefault="00C07532" w:rsidP="00C07532">
      <w:pPr>
        <w:rPr>
          <w:rFonts w:ascii="Garamond" w:hAnsi="Garamond"/>
        </w:rPr>
      </w:pPr>
      <w:r w:rsidRPr="004863A5">
        <w:rPr>
          <w:rFonts w:ascii="Garamond" w:hAnsi="Garamond"/>
        </w:rPr>
        <w:t>1998)</w:t>
      </w:r>
    </w:p>
    <w:p w14:paraId="3097B791" w14:textId="21EACBAB" w:rsidR="00C07532" w:rsidRPr="004863A5" w:rsidRDefault="00C07532" w:rsidP="00C07532">
      <w:pPr>
        <w:rPr>
          <w:rFonts w:ascii="Garamond" w:hAnsi="Garamond"/>
        </w:rPr>
      </w:pPr>
      <w:r w:rsidRPr="004863A5">
        <w:rPr>
          <w:rFonts w:ascii="Garamond" w:hAnsi="Garamond"/>
        </w:rPr>
        <w:t>D. R. Johnston (ed.), Gwaith Iolo Goch (Cardiff, 1988),</w:t>
      </w:r>
    </w:p>
    <w:p w14:paraId="70D88D19" w14:textId="77777777" w:rsidR="002E71EF" w:rsidRDefault="00C07532" w:rsidP="00C07532">
      <w:pPr>
        <w:rPr>
          <w:rFonts w:ascii="Garamond" w:hAnsi="Garamond"/>
        </w:rPr>
      </w:pPr>
      <w:r w:rsidRPr="004863A5">
        <w:rPr>
          <w:rFonts w:ascii="Garamond" w:hAnsi="Garamond"/>
        </w:rPr>
        <w:t>TNA SC 8/139/6928; Rees (ed.), Calendar of Ancient Petitions</w:t>
      </w:r>
      <w:r w:rsidR="002E71EF">
        <w:rPr>
          <w:rFonts w:ascii="Garamond" w:hAnsi="Garamond"/>
        </w:rPr>
        <w:t xml:space="preserve"> </w:t>
      </w:r>
    </w:p>
    <w:p w14:paraId="098351CD" w14:textId="6575A3C6" w:rsidR="00C07532" w:rsidRPr="004863A5" w:rsidRDefault="00C07532" w:rsidP="00C07532">
      <w:pPr>
        <w:rPr>
          <w:rFonts w:ascii="Garamond" w:hAnsi="Garamond"/>
        </w:rPr>
      </w:pPr>
      <w:r w:rsidRPr="004863A5">
        <w:rPr>
          <w:rFonts w:ascii="Garamond" w:hAnsi="Garamond"/>
        </w:rPr>
        <w:t>Wendy R. Childs and Leslie Watkins (eds and trans.), T</w:t>
      </w:r>
      <w:r w:rsidRPr="004863A5">
        <w:rPr>
          <w:rFonts w:ascii="Garamond" w:hAnsi="Garamond"/>
          <w:i/>
          <w:iCs/>
        </w:rPr>
        <w:t>he</w:t>
      </w:r>
      <w:r w:rsidR="002E71EF">
        <w:rPr>
          <w:rFonts w:ascii="Garamond" w:hAnsi="Garamond"/>
          <w:i/>
          <w:iCs/>
        </w:rPr>
        <w:t xml:space="preserve"> </w:t>
      </w:r>
      <w:r w:rsidRPr="004863A5">
        <w:rPr>
          <w:rFonts w:ascii="Garamond" w:hAnsi="Garamond"/>
          <w:i/>
          <w:iCs/>
        </w:rPr>
        <w:t>St Albans Chronicle: The Chronica Majora of Thomas Walsingham</w:t>
      </w:r>
      <w:r w:rsidRPr="004863A5">
        <w:rPr>
          <w:rFonts w:ascii="Garamond" w:hAnsi="Garamond"/>
        </w:rPr>
        <w:t>, vol. 2, Oxford</w:t>
      </w:r>
      <w:r w:rsidR="002E71EF">
        <w:rPr>
          <w:rFonts w:ascii="Garamond" w:hAnsi="Garamond"/>
        </w:rPr>
        <w:t xml:space="preserve"> </w:t>
      </w:r>
      <w:r w:rsidRPr="004863A5">
        <w:rPr>
          <w:rFonts w:ascii="Garamond" w:hAnsi="Garamond"/>
        </w:rPr>
        <w:t>Medieval Texts (Oxford, 2011)</w:t>
      </w:r>
    </w:p>
    <w:p w14:paraId="77DDEB94" w14:textId="2A5F09FC" w:rsidR="00C07532" w:rsidRPr="004863A5" w:rsidRDefault="00C07532" w:rsidP="00C07532">
      <w:pPr>
        <w:rPr>
          <w:rFonts w:ascii="Garamond" w:hAnsi="Garamond"/>
        </w:rPr>
      </w:pPr>
      <w:r w:rsidRPr="004863A5">
        <w:rPr>
          <w:rFonts w:ascii="Garamond" w:hAnsi="Garamond"/>
        </w:rPr>
        <w:t>TNA 67/37</w:t>
      </w:r>
    </w:p>
    <w:p w14:paraId="22BEBC38" w14:textId="77777777" w:rsidR="00C07532" w:rsidRPr="004863A5" w:rsidRDefault="00C07532" w:rsidP="00C07532">
      <w:pPr>
        <w:rPr>
          <w:rFonts w:ascii="Garamond" w:hAnsi="Garamond"/>
          <w:i/>
          <w:iCs/>
        </w:rPr>
      </w:pPr>
      <w:r w:rsidRPr="004863A5">
        <w:rPr>
          <w:rFonts w:ascii="Garamond" w:hAnsi="Garamond"/>
        </w:rPr>
        <w:t xml:space="preserve">R. C. Fowler and C. Jenkins (eds), </w:t>
      </w:r>
      <w:proofErr w:type="spellStart"/>
      <w:r w:rsidRPr="004863A5">
        <w:rPr>
          <w:rFonts w:ascii="Garamond" w:hAnsi="Garamond"/>
          <w:i/>
          <w:iCs/>
        </w:rPr>
        <w:t>Registrum</w:t>
      </w:r>
      <w:proofErr w:type="spellEnd"/>
      <w:r w:rsidRPr="004863A5">
        <w:rPr>
          <w:rFonts w:ascii="Garamond" w:hAnsi="Garamond"/>
          <w:i/>
          <w:iCs/>
        </w:rPr>
        <w:t xml:space="preserve"> Simonis de </w:t>
      </w:r>
      <w:proofErr w:type="spellStart"/>
      <w:r w:rsidRPr="004863A5">
        <w:rPr>
          <w:rFonts w:ascii="Garamond" w:hAnsi="Garamond"/>
          <w:i/>
          <w:iCs/>
        </w:rPr>
        <w:t>Sudbiria</w:t>
      </w:r>
      <w:proofErr w:type="spellEnd"/>
      <w:r w:rsidRPr="004863A5">
        <w:rPr>
          <w:rFonts w:ascii="Garamond" w:hAnsi="Garamond"/>
          <w:i/>
          <w:iCs/>
        </w:rPr>
        <w:t xml:space="preserve">, </w:t>
      </w:r>
      <w:proofErr w:type="spellStart"/>
      <w:r w:rsidRPr="004863A5">
        <w:rPr>
          <w:rFonts w:ascii="Garamond" w:hAnsi="Garamond"/>
          <w:i/>
          <w:iCs/>
        </w:rPr>
        <w:t>Diocesis</w:t>
      </w:r>
      <w:proofErr w:type="spellEnd"/>
    </w:p>
    <w:p w14:paraId="2388D33A" w14:textId="6AAF707C" w:rsidR="00C07532" w:rsidRPr="004863A5" w:rsidRDefault="00C07532" w:rsidP="00C07532">
      <w:pPr>
        <w:rPr>
          <w:rFonts w:ascii="Garamond" w:hAnsi="Garamond"/>
        </w:rPr>
      </w:pPr>
      <w:proofErr w:type="spellStart"/>
      <w:r w:rsidRPr="004863A5">
        <w:rPr>
          <w:rFonts w:ascii="Garamond" w:hAnsi="Garamond"/>
          <w:i/>
          <w:iCs/>
        </w:rPr>
        <w:t>Lundoniensis</w:t>
      </w:r>
      <w:proofErr w:type="spellEnd"/>
      <w:r w:rsidRPr="004863A5">
        <w:rPr>
          <w:rFonts w:ascii="Garamond" w:hAnsi="Garamond"/>
          <w:i/>
          <w:iCs/>
        </w:rPr>
        <w:t>, AD 1362–1375,</w:t>
      </w:r>
      <w:r w:rsidRPr="004863A5">
        <w:rPr>
          <w:rFonts w:ascii="Garamond" w:hAnsi="Garamond"/>
        </w:rPr>
        <w:t xml:space="preserve"> 2 vols, Canterbury and York Society, 34, 38 (1927,</w:t>
      </w:r>
      <w:r w:rsidR="002E71EF">
        <w:rPr>
          <w:rFonts w:ascii="Garamond" w:hAnsi="Garamond"/>
        </w:rPr>
        <w:t xml:space="preserve"> </w:t>
      </w:r>
      <w:r w:rsidRPr="004863A5">
        <w:rPr>
          <w:rFonts w:ascii="Garamond" w:hAnsi="Garamond"/>
        </w:rPr>
        <w:t>1938), II</w:t>
      </w:r>
    </w:p>
    <w:p w14:paraId="36D35B39" w14:textId="72C0C79C" w:rsidR="00C07532" w:rsidRPr="004863A5" w:rsidRDefault="002E71EF" w:rsidP="00C07532">
      <w:pPr>
        <w:rPr>
          <w:rFonts w:ascii="Garamond" w:hAnsi="Garamond"/>
        </w:rPr>
      </w:pPr>
      <w:r>
        <w:rPr>
          <w:rFonts w:ascii="Garamond" w:hAnsi="Garamond"/>
        </w:rPr>
        <w:t>Various Poems at</w:t>
      </w:r>
      <w:r w:rsidR="00C07532" w:rsidRPr="004863A5">
        <w:rPr>
          <w:rFonts w:ascii="Garamond" w:hAnsi="Garamond"/>
        </w:rPr>
        <w:t xml:space="preserve"> www.gutorglyn.net</w:t>
      </w:r>
    </w:p>
    <w:p w14:paraId="10D0945D" w14:textId="4D0EABC2" w:rsidR="00C07532" w:rsidRPr="004863A5" w:rsidRDefault="00C07532" w:rsidP="00C07532">
      <w:pPr>
        <w:rPr>
          <w:rFonts w:ascii="Garamond" w:hAnsi="Garamond"/>
        </w:rPr>
      </w:pPr>
      <w:r w:rsidRPr="004863A5">
        <w:rPr>
          <w:rFonts w:ascii="Garamond" w:hAnsi="Garamond"/>
        </w:rPr>
        <w:t xml:space="preserve">Aberystwyth, National Library of Wales MS </w:t>
      </w:r>
      <w:proofErr w:type="spellStart"/>
      <w:r w:rsidRPr="004863A5">
        <w:rPr>
          <w:rFonts w:ascii="Garamond" w:hAnsi="Garamond"/>
        </w:rPr>
        <w:t>Peniarth</w:t>
      </w:r>
      <w:proofErr w:type="spellEnd"/>
      <w:r w:rsidRPr="004863A5">
        <w:rPr>
          <w:rFonts w:ascii="Garamond" w:hAnsi="Garamond"/>
        </w:rPr>
        <w:t xml:space="preserve"> 57,</w:t>
      </w:r>
    </w:p>
    <w:p w14:paraId="6AD89BBC" w14:textId="2B9176E8" w:rsidR="00C07532" w:rsidRPr="004863A5" w:rsidRDefault="00C07532" w:rsidP="00C07532">
      <w:pPr>
        <w:rPr>
          <w:rFonts w:ascii="Garamond" w:hAnsi="Garamond"/>
        </w:rPr>
      </w:pPr>
      <w:r w:rsidRPr="004863A5">
        <w:rPr>
          <w:rFonts w:ascii="Garamond" w:hAnsi="Garamond"/>
        </w:rPr>
        <w:t>TNA C 66/453, m. 19; Cal. Pat. R. 1441–1446,</w:t>
      </w:r>
    </w:p>
    <w:p w14:paraId="2B5A1A28" w14:textId="6B6D2AED" w:rsidR="00C07532" w:rsidRPr="004863A5" w:rsidRDefault="00C07532" w:rsidP="00C07532">
      <w:pPr>
        <w:rPr>
          <w:rFonts w:ascii="Garamond" w:hAnsi="Garamond"/>
        </w:rPr>
      </w:pPr>
      <w:r w:rsidRPr="004863A5">
        <w:rPr>
          <w:rFonts w:ascii="Garamond" w:hAnsi="Garamond"/>
        </w:rPr>
        <w:t>TNA SC 8/336/15974; calendared in Rees (ed.), Calendar of Ancient Petitions</w:t>
      </w:r>
    </w:p>
    <w:p w14:paraId="768F63B7" w14:textId="74A2DCDF" w:rsidR="00C07532" w:rsidRPr="004863A5" w:rsidRDefault="00C07532" w:rsidP="00C07532">
      <w:pPr>
        <w:rPr>
          <w:rFonts w:ascii="Garamond" w:hAnsi="Garamond"/>
        </w:rPr>
      </w:pPr>
      <w:r w:rsidRPr="004863A5">
        <w:rPr>
          <w:rFonts w:ascii="Garamond" w:hAnsi="Garamond"/>
        </w:rPr>
        <w:t>J. A. Twemlow (ed.), Calendar of Entries in the Papal Registers relating to Great</w:t>
      </w:r>
      <w:r w:rsidR="002E71EF">
        <w:rPr>
          <w:rFonts w:ascii="Garamond" w:hAnsi="Garamond"/>
        </w:rPr>
        <w:t xml:space="preserve"> </w:t>
      </w:r>
      <w:r w:rsidRPr="004863A5">
        <w:rPr>
          <w:rFonts w:ascii="Garamond" w:hAnsi="Garamond"/>
        </w:rPr>
        <w:t>Britain and Ireland: Papal Letters, IX (London, 1912),</w:t>
      </w:r>
    </w:p>
    <w:p w14:paraId="54FC424E" w14:textId="4E640E79" w:rsidR="006630C5" w:rsidRPr="004863A5" w:rsidRDefault="006630C5" w:rsidP="00C07532">
      <w:pPr>
        <w:rPr>
          <w:rFonts w:ascii="Garamond" w:hAnsi="Garamond"/>
        </w:rPr>
      </w:pPr>
      <w:r w:rsidRPr="004863A5">
        <w:rPr>
          <w:rFonts w:ascii="Garamond" w:hAnsi="Garamond"/>
        </w:rPr>
        <w:t>Calendar of Papal Letters</w:t>
      </w:r>
    </w:p>
    <w:p w14:paraId="53F6245F" w14:textId="77777777" w:rsidR="006630C5" w:rsidRPr="004863A5" w:rsidRDefault="006630C5" w:rsidP="00C07532">
      <w:pPr>
        <w:rPr>
          <w:rFonts w:ascii="Garamond" w:hAnsi="Garamond"/>
        </w:rPr>
      </w:pPr>
    </w:p>
    <w:p w14:paraId="2C83CECF" w14:textId="7005B9A9" w:rsidR="006630C5" w:rsidRPr="004863A5" w:rsidRDefault="007528B7" w:rsidP="006630C5">
      <w:pPr>
        <w:rPr>
          <w:rFonts w:ascii="Garamond" w:hAnsi="Garamond"/>
        </w:rPr>
      </w:pPr>
      <w:r>
        <w:rPr>
          <w:rFonts w:ascii="Garamond" w:hAnsi="Garamond"/>
        </w:rPr>
        <w:t xml:space="preserve">The authors </w:t>
      </w:r>
      <w:r w:rsidR="006630C5" w:rsidRPr="004863A5">
        <w:rPr>
          <w:rFonts w:ascii="Garamond" w:hAnsi="Garamond"/>
        </w:rPr>
        <w:t>have accessed materials from</w:t>
      </w:r>
      <w:r>
        <w:rPr>
          <w:rFonts w:ascii="Garamond" w:hAnsi="Garamond"/>
        </w:rPr>
        <w:t xml:space="preserve"> </w:t>
      </w:r>
      <w:r w:rsidR="006630C5" w:rsidRPr="004863A5">
        <w:rPr>
          <w:rFonts w:ascii="Garamond" w:hAnsi="Garamond"/>
        </w:rPr>
        <w:t>The National Archives, Kew</w:t>
      </w:r>
      <w:r>
        <w:rPr>
          <w:rFonts w:ascii="Garamond" w:hAnsi="Garamond"/>
        </w:rPr>
        <w:t xml:space="preserve">, the </w:t>
      </w:r>
      <w:r w:rsidR="006630C5" w:rsidRPr="004863A5">
        <w:rPr>
          <w:rFonts w:ascii="Garamond" w:hAnsi="Garamond"/>
        </w:rPr>
        <w:t>British Library</w:t>
      </w:r>
      <w:r w:rsidR="003C3F81" w:rsidRPr="004863A5">
        <w:rPr>
          <w:rFonts w:ascii="Garamond" w:hAnsi="Garamond"/>
        </w:rPr>
        <w:t>, Cotton Collection</w:t>
      </w:r>
      <w:r>
        <w:rPr>
          <w:rFonts w:ascii="Garamond" w:hAnsi="Garamond"/>
        </w:rPr>
        <w:t xml:space="preserve">, </w:t>
      </w:r>
      <w:r w:rsidR="003C3F81" w:rsidRPr="004863A5">
        <w:rPr>
          <w:rFonts w:ascii="Garamond" w:hAnsi="Garamond"/>
        </w:rPr>
        <w:t>Public Record Office</w:t>
      </w:r>
      <w:r>
        <w:rPr>
          <w:rFonts w:ascii="Garamond" w:hAnsi="Garamond"/>
        </w:rPr>
        <w:t xml:space="preserve"> (London &amp; Cardiff), </w:t>
      </w:r>
      <w:r w:rsidR="003C3F81" w:rsidRPr="004863A5">
        <w:rPr>
          <w:rFonts w:ascii="Garamond" w:hAnsi="Garamond"/>
        </w:rPr>
        <w:t>National Library of Wales</w:t>
      </w:r>
      <w:r>
        <w:rPr>
          <w:rFonts w:ascii="Garamond" w:hAnsi="Garamond"/>
        </w:rPr>
        <w:t xml:space="preserve"> and online at g</w:t>
      </w:r>
      <w:r w:rsidR="006630C5" w:rsidRPr="004863A5">
        <w:rPr>
          <w:rFonts w:ascii="Garamond" w:hAnsi="Garamond"/>
        </w:rPr>
        <w:t>utor</w:t>
      </w:r>
      <w:r>
        <w:rPr>
          <w:rFonts w:ascii="Garamond" w:hAnsi="Garamond"/>
        </w:rPr>
        <w:t>g</w:t>
      </w:r>
      <w:r w:rsidR="006630C5" w:rsidRPr="004863A5">
        <w:rPr>
          <w:rFonts w:ascii="Garamond" w:hAnsi="Garamond"/>
        </w:rPr>
        <w:t>lyn.net</w:t>
      </w:r>
    </w:p>
    <w:sectPr w:rsidR="006630C5" w:rsidRPr="004863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aramond">
    <w:panose1 w:val="020204040303010108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6F738D"/>
    <w:multiLevelType w:val="hybridMultilevel"/>
    <w:tmpl w:val="6002C5D0"/>
    <w:lvl w:ilvl="0" w:tplc="18090001">
      <w:start w:val="1"/>
      <w:numFmt w:val="bullet"/>
      <w:lvlText w:val=""/>
      <w:lvlJc w:val="left"/>
      <w:pPr>
        <w:ind w:left="774" w:hanging="360"/>
      </w:pPr>
      <w:rPr>
        <w:rFonts w:ascii="Symbol" w:hAnsi="Symbol" w:hint="default"/>
      </w:rPr>
    </w:lvl>
    <w:lvl w:ilvl="1" w:tplc="18090003" w:tentative="1">
      <w:start w:val="1"/>
      <w:numFmt w:val="bullet"/>
      <w:lvlText w:val="o"/>
      <w:lvlJc w:val="left"/>
      <w:pPr>
        <w:ind w:left="1494" w:hanging="360"/>
      </w:pPr>
      <w:rPr>
        <w:rFonts w:ascii="Courier New" w:hAnsi="Courier New" w:cs="Courier New" w:hint="default"/>
      </w:rPr>
    </w:lvl>
    <w:lvl w:ilvl="2" w:tplc="18090005" w:tentative="1">
      <w:start w:val="1"/>
      <w:numFmt w:val="bullet"/>
      <w:lvlText w:val=""/>
      <w:lvlJc w:val="left"/>
      <w:pPr>
        <w:ind w:left="2214" w:hanging="360"/>
      </w:pPr>
      <w:rPr>
        <w:rFonts w:ascii="Wingdings" w:hAnsi="Wingdings" w:hint="default"/>
      </w:rPr>
    </w:lvl>
    <w:lvl w:ilvl="3" w:tplc="18090001" w:tentative="1">
      <w:start w:val="1"/>
      <w:numFmt w:val="bullet"/>
      <w:lvlText w:val=""/>
      <w:lvlJc w:val="left"/>
      <w:pPr>
        <w:ind w:left="2934" w:hanging="360"/>
      </w:pPr>
      <w:rPr>
        <w:rFonts w:ascii="Symbol" w:hAnsi="Symbol" w:hint="default"/>
      </w:rPr>
    </w:lvl>
    <w:lvl w:ilvl="4" w:tplc="18090003" w:tentative="1">
      <w:start w:val="1"/>
      <w:numFmt w:val="bullet"/>
      <w:lvlText w:val="o"/>
      <w:lvlJc w:val="left"/>
      <w:pPr>
        <w:ind w:left="3654" w:hanging="360"/>
      </w:pPr>
      <w:rPr>
        <w:rFonts w:ascii="Courier New" w:hAnsi="Courier New" w:cs="Courier New" w:hint="default"/>
      </w:rPr>
    </w:lvl>
    <w:lvl w:ilvl="5" w:tplc="18090005" w:tentative="1">
      <w:start w:val="1"/>
      <w:numFmt w:val="bullet"/>
      <w:lvlText w:val=""/>
      <w:lvlJc w:val="left"/>
      <w:pPr>
        <w:ind w:left="4374" w:hanging="360"/>
      </w:pPr>
      <w:rPr>
        <w:rFonts w:ascii="Wingdings" w:hAnsi="Wingdings" w:hint="default"/>
      </w:rPr>
    </w:lvl>
    <w:lvl w:ilvl="6" w:tplc="18090001" w:tentative="1">
      <w:start w:val="1"/>
      <w:numFmt w:val="bullet"/>
      <w:lvlText w:val=""/>
      <w:lvlJc w:val="left"/>
      <w:pPr>
        <w:ind w:left="5094" w:hanging="360"/>
      </w:pPr>
      <w:rPr>
        <w:rFonts w:ascii="Symbol" w:hAnsi="Symbol" w:hint="default"/>
      </w:rPr>
    </w:lvl>
    <w:lvl w:ilvl="7" w:tplc="18090003" w:tentative="1">
      <w:start w:val="1"/>
      <w:numFmt w:val="bullet"/>
      <w:lvlText w:val="o"/>
      <w:lvlJc w:val="left"/>
      <w:pPr>
        <w:ind w:left="5814" w:hanging="360"/>
      </w:pPr>
      <w:rPr>
        <w:rFonts w:ascii="Courier New" w:hAnsi="Courier New" w:cs="Courier New" w:hint="default"/>
      </w:rPr>
    </w:lvl>
    <w:lvl w:ilvl="8" w:tplc="18090005" w:tentative="1">
      <w:start w:val="1"/>
      <w:numFmt w:val="bullet"/>
      <w:lvlText w:val=""/>
      <w:lvlJc w:val="left"/>
      <w:pPr>
        <w:ind w:left="6534" w:hanging="360"/>
      </w:pPr>
      <w:rPr>
        <w:rFonts w:ascii="Wingdings" w:hAnsi="Wingdings" w:hint="default"/>
      </w:rPr>
    </w:lvl>
  </w:abstractNum>
  <w:num w:numId="1" w16cid:durableId="17838410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7CA"/>
    <w:rsid w:val="002437CA"/>
    <w:rsid w:val="002C0222"/>
    <w:rsid w:val="002E71EF"/>
    <w:rsid w:val="003C3F81"/>
    <w:rsid w:val="0042745C"/>
    <w:rsid w:val="00433C48"/>
    <w:rsid w:val="004863A5"/>
    <w:rsid w:val="004E3470"/>
    <w:rsid w:val="006630C5"/>
    <w:rsid w:val="00734EA9"/>
    <w:rsid w:val="007509D7"/>
    <w:rsid w:val="007528B7"/>
    <w:rsid w:val="00BC296E"/>
    <w:rsid w:val="00C07532"/>
    <w:rsid w:val="00C6516C"/>
    <w:rsid w:val="00D427FD"/>
    <w:rsid w:val="00D5750D"/>
    <w:rsid w:val="00D674DD"/>
    <w:rsid w:val="00E30BA6"/>
    <w:rsid w:val="00F91257"/>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AB8C4"/>
  <w15:chartTrackingRefBased/>
  <w15:docId w15:val="{27737370-1381-44CF-BFE7-2B54D156F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IE"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37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37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37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37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37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37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37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37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37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37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37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37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37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37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37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37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37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37CA"/>
    <w:rPr>
      <w:rFonts w:eastAsiaTheme="majorEastAsia" w:cstheme="majorBidi"/>
      <w:color w:val="272727" w:themeColor="text1" w:themeTint="D8"/>
    </w:rPr>
  </w:style>
  <w:style w:type="paragraph" w:styleId="Title">
    <w:name w:val="Title"/>
    <w:basedOn w:val="Normal"/>
    <w:next w:val="Normal"/>
    <w:link w:val="TitleChar"/>
    <w:uiPriority w:val="10"/>
    <w:qFormat/>
    <w:rsid w:val="002437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37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37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37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37CA"/>
    <w:pPr>
      <w:spacing w:before="160"/>
      <w:jc w:val="center"/>
    </w:pPr>
    <w:rPr>
      <w:i/>
      <w:iCs/>
      <w:color w:val="404040" w:themeColor="text1" w:themeTint="BF"/>
    </w:rPr>
  </w:style>
  <w:style w:type="character" w:customStyle="1" w:styleId="QuoteChar">
    <w:name w:val="Quote Char"/>
    <w:basedOn w:val="DefaultParagraphFont"/>
    <w:link w:val="Quote"/>
    <w:uiPriority w:val="29"/>
    <w:rsid w:val="002437CA"/>
    <w:rPr>
      <w:i/>
      <w:iCs/>
      <w:color w:val="404040" w:themeColor="text1" w:themeTint="BF"/>
    </w:rPr>
  </w:style>
  <w:style w:type="paragraph" w:styleId="ListParagraph">
    <w:name w:val="List Paragraph"/>
    <w:basedOn w:val="Normal"/>
    <w:uiPriority w:val="34"/>
    <w:qFormat/>
    <w:rsid w:val="002437CA"/>
    <w:pPr>
      <w:ind w:left="720"/>
      <w:contextualSpacing/>
    </w:pPr>
  </w:style>
  <w:style w:type="character" w:styleId="IntenseEmphasis">
    <w:name w:val="Intense Emphasis"/>
    <w:basedOn w:val="DefaultParagraphFont"/>
    <w:uiPriority w:val="21"/>
    <w:qFormat/>
    <w:rsid w:val="002437CA"/>
    <w:rPr>
      <w:i/>
      <w:iCs/>
      <w:color w:val="0F4761" w:themeColor="accent1" w:themeShade="BF"/>
    </w:rPr>
  </w:style>
  <w:style w:type="paragraph" w:styleId="IntenseQuote">
    <w:name w:val="Intense Quote"/>
    <w:basedOn w:val="Normal"/>
    <w:next w:val="Normal"/>
    <w:link w:val="IntenseQuoteChar"/>
    <w:uiPriority w:val="30"/>
    <w:qFormat/>
    <w:rsid w:val="002437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37CA"/>
    <w:rPr>
      <w:i/>
      <w:iCs/>
      <w:color w:val="0F4761" w:themeColor="accent1" w:themeShade="BF"/>
    </w:rPr>
  </w:style>
  <w:style w:type="character" w:styleId="IntenseReference">
    <w:name w:val="Intense Reference"/>
    <w:basedOn w:val="DefaultParagraphFont"/>
    <w:uiPriority w:val="32"/>
    <w:qFormat/>
    <w:rsid w:val="002437C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1304</TotalTime>
  <Pages>4</Pages>
  <Words>1355</Words>
  <Characters>7729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Bruce Hayes</dc:creator>
  <cp:keywords/>
  <dc:description/>
  <cp:lastModifiedBy>Bruce Hayes</cp:lastModifiedBy>
  <cp:revision>1</cp:revision>
  <dcterms:created xsi:type="dcterms:W3CDTF">2024-10-16T17:25:00Z</dcterms:created>
  <dcterms:modified xsi:type="dcterms:W3CDTF">2024-10-17T15:09:00Z</dcterms:modified>
</cp:coreProperties>
</file>