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9C74E3" w14:textId="1C2A850E" w:rsidR="0009419B" w:rsidRPr="0076369A" w:rsidRDefault="00602DA6">
      <w:pPr>
        <w:rPr>
          <w:rFonts w:ascii="Times New Roman" w:hAnsi="Times New Roman" w:cs="Times New Roman"/>
          <w:b/>
          <w:bCs/>
          <w:sz w:val="24"/>
          <w:szCs w:val="24"/>
        </w:rPr>
      </w:pPr>
      <w:r w:rsidRPr="0076369A">
        <w:rPr>
          <w:rFonts w:ascii="Times New Roman" w:hAnsi="Times New Roman" w:cs="Times New Roman"/>
          <w:b/>
          <w:bCs/>
          <w:sz w:val="24"/>
          <w:szCs w:val="24"/>
        </w:rPr>
        <w:t>Article Review: Hasmonea</w:t>
      </w:r>
      <w:r w:rsidR="003B43E1" w:rsidRPr="0076369A">
        <w:rPr>
          <w:rFonts w:ascii="Times New Roman" w:hAnsi="Times New Roman" w:cs="Times New Roman"/>
          <w:b/>
          <w:bCs/>
          <w:sz w:val="24"/>
          <w:szCs w:val="24"/>
        </w:rPr>
        <w:t>n Jerusalem: A Jewish City in a Hellenistic Orbit by Lee I. Levine</w:t>
      </w:r>
    </w:p>
    <w:p w14:paraId="018A4864" w14:textId="77777777" w:rsidR="0009419B" w:rsidRDefault="0009419B" w:rsidP="0009419B">
      <w:pPr>
        <w:pStyle w:val="NormalWeb"/>
        <w:spacing w:before="0" w:beforeAutospacing="0" w:after="0" w:afterAutospacing="0"/>
        <w:rPr>
          <w:rStyle w:val="Strong"/>
          <w:rFonts w:eastAsiaTheme="majorEastAsia"/>
          <w:b w:val="0"/>
          <w:bCs w:val="0"/>
          <w:color w:val="0E101A"/>
        </w:rPr>
      </w:pPr>
      <w:r w:rsidRPr="0076369A">
        <w:rPr>
          <w:rStyle w:val="Strong"/>
          <w:rFonts w:eastAsiaTheme="majorEastAsia"/>
          <w:b w:val="0"/>
          <w:bCs w:val="0"/>
          <w:color w:val="0E101A"/>
        </w:rPr>
        <w:t xml:space="preserve">The geopolitical location of Jerusalem and Judea contributed an integral part to the Hellenization of Israel. Not only </w:t>
      </w:r>
      <w:proofErr w:type="gramStart"/>
      <w:r w:rsidRPr="0076369A">
        <w:rPr>
          <w:rStyle w:val="Strong"/>
          <w:rFonts w:eastAsiaTheme="majorEastAsia"/>
          <w:b w:val="0"/>
          <w:bCs w:val="0"/>
          <w:color w:val="0E101A"/>
        </w:rPr>
        <w:t>was</w:t>
      </w:r>
      <w:proofErr w:type="gramEnd"/>
      <w:r w:rsidRPr="0076369A">
        <w:rPr>
          <w:rStyle w:val="Strong"/>
          <w:rFonts w:eastAsiaTheme="majorEastAsia"/>
          <w:b w:val="0"/>
          <w:bCs w:val="0"/>
          <w:color w:val="0E101A"/>
        </w:rPr>
        <w:t xml:space="preserve"> the temple chosen by God according to the scriptures (</w:t>
      </w:r>
      <w:proofErr w:type="spellStart"/>
      <w:r w:rsidRPr="0076369A">
        <w:rPr>
          <w:rStyle w:val="Strong"/>
          <w:rFonts w:eastAsiaTheme="majorEastAsia"/>
          <w:b w:val="0"/>
          <w:bCs w:val="0"/>
          <w:color w:val="0E101A"/>
        </w:rPr>
        <w:t>Deut</w:t>
      </w:r>
      <w:proofErr w:type="spellEnd"/>
      <w:r w:rsidRPr="0076369A">
        <w:rPr>
          <w:rStyle w:val="Strong"/>
          <w:rFonts w:eastAsiaTheme="majorEastAsia"/>
          <w:b w:val="0"/>
          <w:bCs w:val="0"/>
          <w:color w:val="0E101A"/>
        </w:rPr>
        <w:t xml:space="preserve"> 12:5), but it was at one point the focal attention of all nations for religious pilgrimage (Isaiah 2: 1-2). The conquest of the east by the Greeks sees Israel as a strategic buffering zone between Egypt, the Mediterranean, Assyria, and Jordan to the East. Though</w:t>
      </w:r>
      <w:r w:rsidRPr="0009419B">
        <w:rPr>
          <w:rStyle w:val="Strong"/>
          <w:rFonts w:eastAsiaTheme="majorEastAsia"/>
          <w:b w:val="0"/>
          <w:bCs w:val="0"/>
          <w:color w:val="0E101A"/>
        </w:rPr>
        <w:t xml:space="preserve"> Jerusalem was well known for religious traditions, it consequently straddled Greek-roman culture and language imparted by the Seleucid empires. However, my article reviews focus on the title ``Hasmonaean Jerusalem: a Jewish City in a Hellenistic Orbit’’ by Lee I Levine which will explore Jewish Polity in mid second century with the ascendance of the Hasmoneans and the establishment of a sovereign state. Jerusalem had been under Jewish Hegemony for almost a thousand years though it was considered a Jewish city. Firstly, the discussion will entail the Hasmoneans radically changing the geographical concept of Israel and the ideology of the Hasmonean hegemony reclaiming ancestral homeland. Secondly emphasis the enhanced prominence of the temple in Jewish life. Lastly, discuss Jewish art undergoing a radical change and the emergence of Jewish Sects. The essay will include cross-references from scholarly authors to compare, argue, or agree with Levine’s views in verifying the topic of this article review.</w:t>
      </w:r>
    </w:p>
    <w:p w14:paraId="01F63E52" w14:textId="77777777" w:rsidR="0076369A" w:rsidRPr="0009419B" w:rsidRDefault="0076369A" w:rsidP="0009419B">
      <w:pPr>
        <w:pStyle w:val="NormalWeb"/>
        <w:spacing w:before="0" w:beforeAutospacing="0" w:after="0" w:afterAutospacing="0"/>
        <w:rPr>
          <w:b/>
          <w:bCs/>
          <w:color w:val="0E101A"/>
        </w:rPr>
      </w:pPr>
    </w:p>
    <w:p w14:paraId="3107D6AE" w14:textId="77777777" w:rsidR="0009419B" w:rsidRDefault="0009419B" w:rsidP="0009419B">
      <w:pPr>
        <w:pStyle w:val="NormalWeb"/>
        <w:spacing w:before="0" w:beforeAutospacing="0" w:after="0" w:afterAutospacing="0"/>
        <w:rPr>
          <w:color w:val="0E101A"/>
        </w:rPr>
      </w:pPr>
      <w:r>
        <w:rPr>
          <w:rStyle w:val="Strong"/>
          <w:rFonts w:eastAsiaTheme="majorEastAsia"/>
          <w:color w:val="0E101A"/>
        </w:rPr>
        <w:t> </w:t>
      </w:r>
    </w:p>
    <w:p w14:paraId="14C3AD74" w14:textId="77777777" w:rsidR="0009419B" w:rsidRPr="0009419B" w:rsidRDefault="0009419B" w:rsidP="0009419B">
      <w:pPr>
        <w:pStyle w:val="NormalWeb"/>
        <w:spacing w:before="0" w:beforeAutospacing="0" w:after="0" w:afterAutospacing="0"/>
        <w:rPr>
          <w:b/>
          <w:bCs/>
          <w:color w:val="0E101A"/>
        </w:rPr>
      </w:pPr>
      <w:r w:rsidRPr="0009419B">
        <w:rPr>
          <w:rStyle w:val="Strong"/>
          <w:rFonts w:eastAsiaTheme="majorEastAsia"/>
          <w:b w:val="0"/>
          <w:bCs w:val="0"/>
          <w:color w:val="0E101A"/>
        </w:rPr>
        <w:t xml:space="preserve">The Hellenistic period ranging from 333-164 BCE inevitably cross marginalised Israel's geographical boundaries. As a result, Judea was ruled by the Egyptians, Syrians, and portions of Alexandra dividing up the empire (Becking and Grabbe 2010). However, it was not until King Antiochus IV outlawed Judaism and enforced pagan worship that led to the Maccabean revolt. According to scriptures (1 Kings 11: 29 - 39), the kingdom was divided with ten tribes of Israel migrating to the north while Judah and Benjamine occupied the south with Jerusalem as the capital. Hasmonean attempts to purify the land of Hellenistic influences involved military conquests converting Hellenised settlements back to Judaism depicted in the book of Maccabees. However, sources attribute the revolt to a distinct identity </w:t>
      </w:r>
      <w:proofErr w:type="gramStart"/>
      <w:r w:rsidRPr="0009419B">
        <w:rPr>
          <w:rStyle w:val="Strong"/>
          <w:rFonts w:eastAsiaTheme="majorEastAsia"/>
          <w:b w:val="0"/>
          <w:bCs w:val="0"/>
          <w:color w:val="0E101A"/>
        </w:rPr>
        <w:t>protesting against</w:t>
      </w:r>
      <w:proofErr w:type="gramEnd"/>
      <w:r w:rsidRPr="0009419B">
        <w:rPr>
          <w:rStyle w:val="Strong"/>
          <w:rFonts w:eastAsiaTheme="majorEastAsia"/>
          <w:b w:val="0"/>
          <w:bCs w:val="0"/>
          <w:color w:val="0E101A"/>
        </w:rPr>
        <w:t xml:space="preserve"> exploitation and injustice (Collins and Manning 2016 p.11). These atrocities caused Jews divisions between submitting to Hellenistic values or loyalty to ancestral covenants. Jews encountered massacres and martyrdom as a result. 1 Maccabees highlights ``renegade Jews’’ urging Jewish submission to the customs of surrounding gentiles even persuading many to covenantal repudiation (1 Mac 11-15). Controversially, many in Israel wilfully resisted…accepting death rather than defiling themselves and profaning the holy covenant (1 Mac 62-63) (Porter and de Roo 2021). Eventually, the Hasmonaean dynasty territorially regained regions of south Idumea, Perea, Samaria, galilee, and the western Jordan River (Levine 2001). These attestations coincided with the rededication of the temple and the Hasmonean authority asserted by God. Maccabean sources confirm these interventions as `` legitimate assertion simultaneously exercising functions of a royal Priesthood, particular military leadership, emphasising a Hasmoneans innovation (Honigman 2014).</w:t>
      </w:r>
    </w:p>
    <w:p w14:paraId="31E1EAC2" w14:textId="77777777" w:rsidR="0009419B" w:rsidRPr="0009419B" w:rsidRDefault="0009419B" w:rsidP="0009419B">
      <w:pPr>
        <w:pStyle w:val="NormalWeb"/>
        <w:spacing w:before="0" w:beforeAutospacing="0" w:after="0" w:afterAutospacing="0"/>
        <w:rPr>
          <w:b/>
          <w:bCs/>
          <w:color w:val="0E101A"/>
        </w:rPr>
      </w:pPr>
      <w:r w:rsidRPr="0009419B">
        <w:rPr>
          <w:rStyle w:val="Strong"/>
          <w:rFonts w:eastAsiaTheme="majorEastAsia"/>
          <w:b w:val="0"/>
          <w:bCs w:val="0"/>
          <w:color w:val="0E101A"/>
        </w:rPr>
        <w:t> </w:t>
      </w:r>
    </w:p>
    <w:p w14:paraId="42F7EBBB" w14:textId="77777777" w:rsidR="0009419B" w:rsidRDefault="0009419B" w:rsidP="0009419B">
      <w:pPr>
        <w:pStyle w:val="NormalWeb"/>
        <w:spacing w:before="0" w:beforeAutospacing="0" w:after="0" w:afterAutospacing="0"/>
        <w:rPr>
          <w:rStyle w:val="Strong"/>
          <w:rFonts w:eastAsiaTheme="majorEastAsia"/>
          <w:b w:val="0"/>
          <w:bCs w:val="0"/>
          <w:color w:val="0E101A"/>
        </w:rPr>
      </w:pPr>
      <w:r w:rsidRPr="0009419B">
        <w:rPr>
          <w:rStyle w:val="Strong"/>
          <w:rFonts w:eastAsiaTheme="majorEastAsia"/>
          <w:b w:val="0"/>
          <w:bCs w:val="0"/>
          <w:color w:val="0E101A"/>
        </w:rPr>
        <w:t> </w:t>
      </w:r>
    </w:p>
    <w:p w14:paraId="52709A7A" w14:textId="77777777" w:rsidR="0076369A" w:rsidRDefault="0076369A" w:rsidP="0009419B">
      <w:pPr>
        <w:pStyle w:val="NormalWeb"/>
        <w:spacing w:before="0" w:beforeAutospacing="0" w:after="0" w:afterAutospacing="0"/>
        <w:rPr>
          <w:rStyle w:val="Strong"/>
          <w:rFonts w:eastAsiaTheme="majorEastAsia"/>
          <w:b w:val="0"/>
          <w:bCs w:val="0"/>
          <w:color w:val="0E101A"/>
        </w:rPr>
      </w:pPr>
    </w:p>
    <w:p w14:paraId="560AC041" w14:textId="77777777" w:rsidR="0076369A" w:rsidRDefault="0076369A" w:rsidP="0009419B">
      <w:pPr>
        <w:pStyle w:val="NormalWeb"/>
        <w:spacing w:before="0" w:beforeAutospacing="0" w:after="0" w:afterAutospacing="0"/>
        <w:rPr>
          <w:rStyle w:val="Strong"/>
          <w:rFonts w:eastAsiaTheme="majorEastAsia"/>
          <w:b w:val="0"/>
          <w:bCs w:val="0"/>
          <w:color w:val="0E101A"/>
        </w:rPr>
      </w:pPr>
    </w:p>
    <w:p w14:paraId="0F09DF7C" w14:textId="77777777" w:rsidR="0076369A" w:rsidRDefault="0076369A" w:rsidP="0009419B">
      <w:pPr>
        <w:pStyle w:val="NormalWeb"/>
        <w:spacing w:before="0" w:beforeAutospacing="0" w:after="0" w:afterAutospacing="0"/>
        <w:rPr>
          <w:rStyle w:val="Strong"/>
          <w:rFonts w:eastAsiaTheme="majorEastAsia"/>
          <w:b w:val="0"/>
          <w:bCs w:val="0"/>
          <w:color w:val="0E101A"/>
        </w:rPr>
      </w:pPr>
    </w:p>
    <w:p w14:paraId="11AE3B15" w14:textId="77777777" w:rsidR="0076369A" w:rsidRDefault="0076369A" w:rsidP="0009419B">
      <w:pPr>
        <w:pStyle w:val="NormalWeb"/>
        <w:spacing w:before="0" w:beforeAutospacing="0" w:after="0" w:afterAutospacing="0"/>
        <w:rPr>
          <w:rStyle w:val="Strong"/>
          <w:rFonts w:eastAsiaTheme="majorEastAsia"/>
          <w:b w:val="0"/>
          <w:bCs w:val="0"/>
          <w:color w:val="0E101A"/>
        </w:rPr>
      </w:pPr>
    </w:p>
    <w:p w14:paraId="5297C327" w14:textId="77777777" w:rsidR="0076369A" w:rsidRDefault="0076369A" w:rsidP="0009419B">
      <w:pPr>
        <w:pStyle w:val="NormalWeb"/>
        <w:spacing w:before="0" w:beforeAutospacing="0" w:after="0" w:afterAutospacing="0"/>
        <w:rPr>
          <w:rStyle w:val="Strong"/>
          <w:rFonts w:eastAsiaTheme="majorEastAsia"/>
          <w:b w:val="0"/>
          <w:bCs w:val="0"/>
          <w:color w:val="0E101A"/>
        </w:rPr>
      </w:pPr>
    </w:p>
    <w:p w14:paraId="18B35FC8" w14:textId="77777777" w:rsidR="0076369A" w:rsidRPr="0009419B" w:rsidRDefault="0076369A" w:rsidP="0009419B">
      <w:pPr>
        <w:pStyle w:val="NormalWeb"/>
        <w:spacing w:before="0" w:beforeAutospacing="0" w:after="0" w:afterAutospacing="0"/>
        <w:rPr>
          <w:b/>
          <w:bCs/>
          <w:color w:val="0E101A"/>
        </w:rPr>
      </w:pPr>
    </w:p>
    <w:p w14:paraId="3C1B3F8F" w14:textId="77777777" w:rsidR="0009419B" w:rsidRPr="0009419B" w:rsidRDefault="0009419B" w:rsidP="0009419B">
      <w:pPr>
        <w:pStyle w:val="NormalWeb"/>
        <w:spacing w:before="0" w:beforeAutospacing="0" w:after="0" w:afterAutospacing="0"/>
        <w:rPr>
          <w:b/>
          <w:bCs/>
          <w:color w:val="0E101A"/>
        </w:rPr>
      </w:pPr>
      <w:r w:rsidRPr="0009419B">
        <w:rPr>
          <w:rStyle w:val="Strong"/>
          <w:rFonts w:eastAsiaTheme="majorEastAsia"/>
          <w:b w:val="0"/>
          <w:bCs w:val="0"/>
          <w:color w:val="0E101A"/>
        </w:rPr>
        <w:t xml:space="preserve">Biblically the Maccabees descended from a priestly tribe returning during the second temple period. Sources stated by (Porten 2007) `` reveal place names located in Benjamin (Ezra 2:20, </w:t>
      </w:r>
      <w:proofErr w:type="spellStart"/>
      <w:r w:rsidRPr="0009419B">
        <w:rPr>
          <w:rStyle w:val="Strong"/>
          <w:rFonts w:eastAsiaTheme="majorEastAsia"/>
          <w:b w:val="0"/>
          <w:bCs w:val="0"/>
          <w:color w:val="0E101A"/>
        </w:rPr>
        <w:t>Neh</w:t>
      </w:r>
      <w:proofErr w:type="spellEnd"/>
      <w:r w:rsidRPr="0009419B">
        <w:rPr>
          <w:rStyle w:val="Strong"/>
          <w:rFonts w:eastAsiaTheme="majorEastAsia"/>
          <w:b w:val="0"/>
          <w:bCs w:val="0"/>
          <w:color w:val="0E101A"/>
        </w:rPr>
        <w:t xml:space="preserve"> 7:25-38). Some of these families likely settled in Judah. Seventeen settlements are cited for Judah in the time of Nehemiah (</w:t>
      </w:r>
      <w:proofErr w:type="spellStart"/>
      <w:r w:rsidRPr="0009419B">
        <w:rPr>
          <w:rStyle w:val="Strong"/>
          <w:rFonts w:eastAsiaTheme="majorEastAsia"/>
          <w:b w:val="0"/>
          <w:bCs w:val="0"/>
          <w:color w:val="0E101A"/>
        </w:rPr>
        <w:t>Neh</w:t>
      </w:r>
      <w:proofErr w:type="spellEnd"/>
      <w:r w:rsidRPr="0009419B">
        <w:rPr>
          <w:rStyle w:val="Strong"/>
          <w:rFonts w:eastAsiaTheme="majorEastAsia"/>
          <w:b w:val="0"/>
          <w:bCs w:val="0"/>
          <w:color w:val="0E101A"/>
        </w:rPr>
        <w:t xml:space="preserve"> 11: 25 -30). Their priestly lineage justifies the Maccabean revolt in upholding reverence for the temple. Traditionally temple administration was mandatory. Sacrificial practices and festivals were maintained according to the Mosaic law of the Torah. However, periodically the first temple to the second temple period encountered transitional disruption because of Greco-Roman occupation. Rhythmic practices of temple rituals were altered as a result. The temple gained prominence as a religious site to surrounding nations requiring the Hasmonaean leadership to keep it in order. (Rubenstein 2020) evidence biblical sources referring to the Sukkot festival (Exodus 23:16, 34:32) …The temple festival attracted large pilgrims and involved elaborate sacrificial rites. Judas was the first of the Hasmoneans to ally with the Romans ousting Antiochus troops and taking control of the temple. Josephus explains Judas becoming an expert in the temple, purifying, and renovating the area, replacing polluted vessels for the services… building another altar, and reinstalling the expiatory sacrifices (The Jewish war, I). However, by 516 BCE the temple deteriorated in religious significance with the arrival of King Herod, expanding the outer courts of the temple for political gain. (Magness 2019) explains ``Herod’s temple mount was analogous to ancient Agora’s marketplace consisting of large open spaces surrounded by public buildings as basilicas and theatres.</w:t>
      </w:r>
    </w:p>
    <w:p w14:paraId="7C623234" w14:textId="77777777" w:rsidR="0009419B" w:rsidRPr="0009419B" w:rsidRDefault="0009419B" w:rsidP="0009419B">
      <w:pPr>
        <w:pStyle w:val="NormalWeb"/>
        <w:spacing w:before="0" w:beforeAutospacing="0" w:after="0" w:afterAutospacing="0"/>
        <w:rPr>
          <w:b/>
          <w:bCs/>
          <w:color w:val="0E101A"/>
        </w:rPr>
      </w:pPr>
      <w:r w:rsidRPr="0009419B">
        <w:rPr>
          <w:rStyle w:val="Strong"/>
          <w:rFonts w:eastAsiaTheme="majorEastAsia"/>
          <w:b w:val="0"/>
          <w:bCs w:val="0"/>
          <w:color w:val="0E101A"/>
        </w:rPr>
        <w:t> </w:t>
      </w:r>
    </w:p>
    <w:p w14:paraId="5E2CEC40" w14:textId="470B0672" w:rsidR="0009419B" w:rsidRPr="0009419B" w:rsidRDefault="0009419B" w:rsidP="0009419B">
      <w:pPr>
        <w:pStyle w:val="NormalWeb"/>
        <w:spacing w:before="0" w:beforeAutospacing="0" w:after="0" w:afterAutospacing="0"/>
        <w:rPr>
          <w:b/>
          <w:bCs/>
          <w:color w:val="0E101A"/>
        </w:rPr>
      </w:pPr>
      <w:r w:rsidRPr="0009419B">
        <w:rPr>
          <w:rStyle w:val="Strong"/>
          <w:rFonts w:eastAsiaTheme="majorEastAsia"/>
          <w:b w:val="0"/>
          <w:bCs w:val="0"/>
          <w:color w:val="0E101A"/>
        </w:rPr>
        <w:t xml:space="preserve">Hellenism majorly influenced the adoption of the Greek language in the East. The Hebrew language and culture succumbed to Greek monetary systems of pagan symbols in their dynastic coins. Within Judaism itself, because of the diaspora and intermingling of Greco-Roman cultures, the preservation of the Jewish faith encountered a diversion. These transpired into the Sadducees, Pharisees, and the </w:t>
      </w:r>
      <w:proofErr w:type="gramStart"/>
      <w:r w:rsidRPr="0009419B">
        <w:rPr>
          <w:rStyle w:val="Strong"/>
          <w:rFonts w:eastAsiaTheme="majorEastAsia"/>
          <w:b w:val="0"/>
          <w:bCs w:val="0"/>
          <w:color w:val="0E101A"/>
        </w:rPr>
        <w:t>Essences</w:t>
      </w:r>
      <w:proofErr w:type="gramEnd"/>
      <w:r w:rsidRPr="0009419B">
        <w:rPr>
          <w:rStyle w:val="Strong"/>
          <w:rFonts w:eastAsiaTheme="majorEastAsia"/>
          <w:b w:val="0"/>
          <w:bCs w:val="0"/>
          <w:color w:val="0E101A"/>
        </w:rPr>
        <w:t xml:space="preserve"> who were authors of the Dead Sea scrolls. Amongst the Essenes were Josephus, Philo </w:t>
      </w:r>
      <w:proofErr w:type="spellStart"/>
      <w:r w:rsidRPr="0009419B">
        <w:rPr>
          <w:rStyle w:val="Strong"/>
          <w:rFonts w:eastAsiaTheme="majorEastAsia"/>
          <w:b w:val="0"/>
          <w:bCs w:val="0"/>
          <w:color w:val="0E101A"/>
        </w:rPr>
        <w:t>Judaeus</w:t>
      </w:r>
      <w:proofErr w:type="spellEnd"/>
      <w:r w:rsidRPr="0009419B">
        <w:rPr>
          <w:rStyle w:val="Strong"/>
          <w:rFonts w:eastAsiaTheme="majorEastAsia"/>
          <w:b w:val="0"/>
          <w:bCs w:val="0"/>
          <w:color w:val="0E101A"/>
        </w:rPr>
        <w:t xml:space="preserve">, and others establishing the sectarian settlement at Qumran around 100 BCE but was destroyed in 68CE during the first revolt (Magness 2019). History and antiquities of the Jews accounted for Josephus's writings and the book of Maccabees in Hebrew and Greek texts. While the temple region was overwhelmed by Greek culture, it still maintained regional dominance. (Avigad 1984) evidences the Jerusalem shrine surpassed Hellenistic temple worlds in size and magnificence confirmed by archaeological discoveries in the city (Collins and Lim 2010). Supportively in the biblical text according to (Ezekiel 5:5, 48:35) the aftermath of the destruction describes the city as the centre of the world. However, considering the Greco-Roman revolt and the destruction of Jerusalem in 70 </w:t>
      </w:r>
      <w:proofErr w:type="gramStart"/>
      <w:r w:rsidRPr="0009419B">
        <w:rPr>
          <w:rStyle w:val="Strong"/>
          <w:rFonts w:eastAsiaTheme="majorEastAsia"/>
          <w:b w:val="0"/>
          <w:bCs w:val="0"/>
          <w:color w:val="0E101A"/>
        </w:rPr>
        <w:t>AD</w:t>
      </w:r>
      <w:proofErr w:type="gramEnd"/>
      <w:r w:rsidRPr="0009419B">
        <w:rPr>
          <w:rStyle w:val="Strong"/>
          <w:rFonts w:eastAsiaTheme="majorEastAsia"/>
          <w:b w:val="0"/>
          <w:bCs w:val="0"/>
          <w:color w:val="0E101A"/>
        </w:rPr>
        <w:t>, the survival of the Jewish Torah and traditions was vital. The Dead Sea Scrolls accounted for the historical administration of the temple. (Brooke 2005; Kapfer 2007) states ``The scrolls revealed various stages of development and changing use of temple ideology and language about the temple. Several diverse groups related to the temple in separate ways (Collins and Lim 2010). While some Jewish sects preferred their oral</w:t>
      </w:r>
      <w:r w:rsidR="00703947">
        <w:rPr>
          <w:rStyle w:val="Strong"/>
          <w:rFonts w:eastAsiaTheme="majorEastAsia"/>
          <w:b w:val="0"/>
          <w:bCs w:val="0"/>
          <w:color w:val="0E101A"/>
        </w:rPr>
        <w:t xml:space="preserve"> traditions</w:t>
      </w:r>
      <w:r w:rsidRPr="0009419B">
        <w:rPr>
          <w:rStyle w:val="Strong"/>
          <w:rFonts w:eastAsiaTheme="majorEastAsia"/>
          <w:b w:val="0"/>
          <w:bCs w:val="0"/>
          <w:color w:val="0E101A"/>
        </w:rPr>
        <w:t xml:space="preserve"> other sources considered it as beneficial to the Jewish community. `` Der Gott der </w:t>
      </w:r>
      <w:proofErr w:type="spellStart"/>
      <w:r w:rsidRPr="0009419B">
        <w:rPr>
          <w:rStyle w:val="Strong"/>
          <w:rFonts w:eastAsiaTheme="majorEastAsia"/>
          <w:b w:val="0"/>
          <w:bCs w:val="0"/>
          <w:color w:val="0E101A"/>
        </w:rPr>
        <w:t>Makkabaer</w:t>
      </w:r>
      <w:proofErr w:type="spellEnd"/>
      <w:r w:rsidRPr="0009419B">
        <w:rPr>
          <w:rStyle w:val="Strong"/>
          <w:rFonts w:eastAsiaTheme="majorEastAsia"/>
          <w:b w:val="0"/>
          <w:bCs w:val="0"/>
          <w:color w:val="0E101A"/>
        </w:rPr>
        <w:t xml:space="preserve"> reiterates from Ezra to the last of the Maccabees on the significance of self-Hellenization…Judaism owed its vitality and survival to its capacity for absorption, translating sacred texts into Greek, particularly rethinking its history in Greek terms subjecting its scriptures in a manner owed much to Greek scholarship (Millar 1990). Coincidingly according to historians, Eastern Hellenistic Roman civilization was well documented by Jewish traditions while some empires successfully resisted. `` Bickerman quotes Hellenistic Judaism `` in the context of an acculturation comparison with Mesopotamian cultures…Judaism was the best documented of ancient Asian cultures serving to improve our understanding of monumental changes in the Near East in those centuries…however independent of Aramaic cultures, who withstood Hellenistic encroachment in Syria and surrounding regions.</w:t>
      </w:r>
    </w:p>
    <w:p w14:paraId="7C703AB9" w14:textId="77777777" w:rsidR="0009419B" w:rsidRPr="0009419B" w:rsidRDefault="0009419B" w:rsidP="0009419B">
      <w:pPr>
        <w:pStyle w:val="NormalWeb"/>
        <w:spacing w:before="0" w:beforeAutospacing="0" w:after="0" w:afterAutospacing="0"/>
        <w:rPr>
          <w:b/>
          <w:bCs/>
          <w:color w:val="0E101A"/>
        </w:rPr>
      </w:pPr>
      <w:r w:rsidRPr="0009419B">
        <w:rPr>
          <w:rStyle w:val="Strong"/>
          <w:rFonts w:eastAsiaTheme="majorEastAsia"/>
          <w:b w:val="0"/>
          <w:bCs w:val="0"/>
          <w:color w:val="0E101A"/>
        </w:rPr>
        <w:t> </w:t>
      </w:r>
    </w:p>
    <w:p w14:paraId="7889C57D" w14:textId="77777777" w:rsidR="0009419B" w:rsidRDefault="0009419B" w:rsidP="0009419B">
      <w:pPr>
        <w:pStyle w:val="NormalWeb"/>
        <w:spacing w:before="0" w:beforeAutospacing="0" w:after="0" w:afterAutospacing="0"/>
        <w:rPr>
          <w:rStyle w:val="Strong"/>
          <w:rFonts w:eastAsiaTheme="majorEastAsia"/>
          <w:b w:val="0"/>
          <w:bCs w:val="0"/>
          <w:color w:val="0E101A"/>
        </w:rPr>
      </w:pPr>
      <w:r w:rsidRPr="0009419B">
        <w:rPr>
          <w:rStyle w:val="Strong"/>
          <w:rFonts w:eastAsiaTheme="majorEastAsia"/>
          <w:b w:val="0"/>
          <w:bCs w:val="0"/>
          <w:color w:val="0E101A"/>
        </w:rPr>
        <w:t xml:space="preserve">To conclude the review, Levine’s first interpretations of the Hasmonean dynasty impacting the geographical concept and Hasmonean hegemony reclaiming ancestral land are agreeable. Furthermore, tradition and scriptures reinforced their authoritative stance to reconvert regions dominated by the Seleucid empires. These events are clarified, agreeably with the records of the book of Maccabee historically likened to the time of the Old Testament. The difference is cleansing took place amongst the tribes of Israel rather than to a foreign conqueror. However, I disagree to some extent with Collins and Mannings due to the symbiotic nature of the Hasmonean hegemony, less intrusive to Jewish prerogatives concerning the covenant. Secondly, Levine’s emphasis on the enhanced prominence of the temple in Jewish life is evident. Attempts by the priestly sects to maintain temple traditions including the Jewish festival’s relegated with time. Agreeably the temple encountered disturbances to the practices of temple rituals with Greco Greco-Roman occupation. The Hasmonaean allegiance with the Romans to deter Antiochus troops was an initiation process leading to Roman dominance by King Herod. According to </w:t>
      </w:r>
      <w:proofErr w:type="spellStart"/>
      <w:r w:rsidRPr="0009419B">
        <w:rPr>
          <w:rStyle w:val="Strong"/>
          <w:rFonts w:eastAsiaTheme="majorEastAsia"/>
          <w:b w:val="0"/>
          <w:bCs w:val="0"/>
          <w:color w:val="0E101A"/>
        </w:rPr>
        <w:t>Magnesse</w:t>
      </w:r>
      <w:proofErr w:type="spellEnd"/>
      <w:r w:rsidRPr="0009419B">
        <w:rPr>
          <w:rStyle w:val="Strong"/>
          <w:rFonts w:eastAsiaTheme="majorEastAsia"/>
          <w:b w:val="0"/>
          <w:bCs w:val="0"/>
          <w:color w:val="0E101A"/>
        </w:rPr>
        <w:t xml:space="preserve"> I contentiously agree that the temple extension by King Herod transitioned to a political marketplace further derailing the temple of its original purpose. Lastly, Levine’s indication of Jewish art undergoing a radical change was inevitable of Seleucid conquest with the emergence of Jewish Sects. According to Levine, archaeological evidence, and human and animal images were found on </w:t>
      </w:r>
      <w:proofErr w:type="spellStart"/>
      <w:r w:rsidRPr="0009419B">
        <w:rPr>
          <w:rStyle w:val="Strong"/>
          <w:rFonts w:eastAsiaTheme="majorEastAsia"/>
          <w:b w:val="0"/>
          <w:bCs w:val="0"/>
          <w:color w:val="0E101A"/>
        </w:rPr>
        <w:t>Yehud</w:t>
      </w:r>
      <w:proofErr w:type="spellEnd"/>
      <w:r w:rsidRPr="0009419B">
        <w:rPr>
          <w:rStyle w:val="Strong"/>
          <w:rFonts w:eastAsiaTheme="majorEastAsia"/>
          <w:b w:val="0"/>
          <w:bCs w:val="0"/>
          <w:color w:val="0E101A"/>
        </w:rPr>
        <w:t xml:space="preserve"> coins from Hellenistic Jerusalem. However, for centuries no human or animal presentations were found in Judea. Defensively I support </w:t>
      </w:r>
      <w:proofErr w:type="spellStart"/>
      <w:r w:rsidRPr="0009419B">
        <w:rPr>
          <w:rStyle w:val="Strong"/>
          <w:rFonts w:eastAsiaTheme="majorEastAsia"/>
          <w:b w:val="0"/>
          <w:bCs w:val="0"/>
          <w:color w:val="0E101A"/>
        </w:rPr>
        <w:t>Magnesse</w:t>
      </w:r>
      <w:proofErr w:type="spellEnd"/>
      <w:r w:rsidRPr="0009419B">
        <w:rPr>
          <w:rStyle w:val="Strong"/>
          <w:rFonts w:eastAsiaTheme="majorEastAsia"/>
          <w:b w:val="0"/>
          <w:bCs w:val="0"/>
          <w:color w:val="0E101A"/>
        </w:rPr>
        <w:t xml:space="preserve"> on the establishment of the various sects whom Josephus accounted for Jewish history both in the Greek and Hebrew language. Despite the dominance of the Greek language, I agree with Millar on Jewish adaption, particularly with the translation of their sacred texts. According to Bickerman and agreeably with his interpretation, the Hellenization of Judaism was properly documented compared to the other Middle Eastern empires as historically significant. Overall, and conclusively I reiterate that the topic ``Hasmonean Jerusalem was a Jewish city in a Hellenistic Orbit’’. </w:t>
      </w:r>
    </w:p>
    <w:p w14:paraId="648F72BA" w14:textId="77777777" w:rsidR="003D0318" w:rsidRDefault="003D0318" w:rsidP="0009419B">
      <w:pPr>
        <w:pStyle w:val="NormalWeb"/>
        <w:spacing w:before="0" w:beforeAutospacing="0" w:after="0" w:afterAutospacing="0"/>
        <w:rPr>
          <w:rStyle w:val="Strong"/>
          <w:rFonts w:eastAsiaTheme="majorEastAsia"/>
          <w:b w:val="0"/>
          <w:bCs w:val="0"/>
          <w:color w:val="0E101A"/>
        </w:rPr>
      </w:pPr>
    </w:p>
    <w:p w14:paraId="6E5642BF" w14:textId="77777777" w:rsidR="003D0318" w:rsidRDefault="003D0318" w:rsidP="0009419B">
      <w:pPr>
        <w:pStyle w:val="NormalWeb"/>
        <w:spacing w:before="0" w:beforeAutospacing="0" w:after="0" w:afterAutospacing="0"/>
        <w:rPr>
          <w:rStyle w:val="Strong"/>
          <w:rFonts w:eastAsiaTheme="majorEastAsia"/>
          <w:b w:val="0"/>
          <w:bCs w:val="0"/>
          <w:color w:val="0E101A"/>
        </w:rPr>
      </w:pPr>
    </w:p>
    <w:p w14:paraId="3122B7B6" w14:textId="24950A4D" w:rsidR="003D0318" w:rsidRPr="0009419B" w:rsidRDefault="003D0318" w:rsidP="0009419B">
      <w:pPr>
        <w:pStyle w:val="NormalWeb"/>
        <w:spacing w:before="0" w:beforeAutospacing="0" w:after="0" w:afterAutospacing="0"/>
        <w:rPr>
          <w:b/>
          <w:bCs/>
          <w:color w:val="0E101A"/>
        </w:rPr>
      </w:pPr>
      <w:r>
        <w:rPr>
          <w:rStyle w:val="Strong"/>
          <w:rFonts w:eastAsiaTheme="majorEastAsia"/>
          <w:b w:val="0"/>
          <w:bCs w:val="0"/>
          <w:color w:val="0E101A"/>
        </w:rPr>
        <w:t>(148</w:t>
      </w:r>
      <w:r w:rsidR="007C2F9F">
        <w:rPr>
          <w:rStyle w:val="Strong"/>
          <w:rFonts w:eastAsiaTheme="majorEastAsia"/>
          <w:b w:val="0"/>
          <w:bCs w:val="0"/>
          <w:color w:val="0E101A"/>
        </w:rPr>
        <w:t>2</w:t>
      </w:r>
      <w:r>
        <w:rPr>
          <w:rStyle w:val="Strong"/>
          <w:rFonts w:eastAsiaTheme="majorEastAsia"/>
          <w:b w:val="0"/>
          <w:bCs w:val="0"/>
          <w:color w:val="0E101A"/>
        </w:rPr>
        <w:t xml:space="preserve"> Words)</w:t>
      </w:r>
    </w:p>
    <w:p w14:paraId="7E68B22D" w14:textId="77777777" w:rsidR="0009419B" w:rsidRDefault="0009419B"/>
    <w:p w14:paraId="1AF7843B" w14:textId="77777777" w:rsidR="006579CD" w:rsidRDefault="006579CD"/>
    <w:p w14:paraId="13CE61DC" w14:textId="77777777" w:rsidR="008A552C" w:rsidRDefault="008A552C"/>
    <w:p w14:paraId="0E1DC750" w14:textId="77777777" w:rsidR="008A552C" w:rsidRDefault="008A552C"/>
    <w:p w14:paraId="28C7A052" w14:textId="77777777" w:rsidR="008A552C" w:rsidRDefault="008A552C"/>
    <w:p w14:paraId="74160C01" w14:textId="77777777" w:rsidR="008A552C" w:rsidRDefault="008A552C"/>
    <w:p w14:paraId="3EFE715C" w14:textId="77777777" w:rsidR="008A552C" w:rsidRDefault="008A552C"/>
    <w:p w14:paraId="05357702" w14:textId="77777777" w:rsidR="008A552C" w:rsidRDefault="008A552C"/>
    <w:p w14:paraId="365263AD" w14:textId="77777777" w:rsidR="008A552C" w:rsidRDefault="008A552C"/>
    <w:p w14:paraId="0D2BFFDC" w14:textId="77777777" w:rsidR="008A552C" w:rsidRDefault="008A552C"/>
    <w:p w14:paraId="4005FBD5" w14:textId="77777777" w:rsidR="006579CD" w:rsidRDefault="006579CD"/>
    <w:p w14:paraId="3ABE1A5B" w14:textId="7719E80F" w:rsidR="006579CD" w:rsidRPr="008A552C" w:rsidRDefault="006579CD" w:rsidP="006579CD">
      <w:pPr>
        <w:rPr>
          <w:rFonts w:ascii="Times New Roman" w:hAnsi="Times New Roman" w:cs="Times New Roman"/>
          <w:b/>
          <w:bCs/>
          <w:sz w:val="24"/>
          <w:szCs w:val="24"/>
        </w:rPr>
      </w:pPr>
      <w:r w:rsidRPr="008A552C">
        <w:rPr>
          <w:rFonts w:ascii="Times New Roman" w:hAnsi="Times New Roman" w:cs="Times New Roman"/>
          <w:b/>
          <w:bCs/>
          <w:sz w:val="24"/>
          <w:szCs w:val="24"/>
        </w:rPr>
        <w:t>Bibliography</w:t>
      </w:r>
    </w:p>
    <w:p w14:paraId="2A05DF04"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 xml:space="preserve">Becking, B. E and Grabbe, L. 2010. Between Evidence and Ideology, Leiden, The Netherlands: Brill. Available from: Brill </w:t>
      </w:r>
      <w:hyperlink r:id="rId4" w:history="1">
        <w:r w:rsidRPr="008A552C">
          <w:rPr>
            <w:rStyle w:val="Hyperlink"/>
            <w:rFonts w:ascii="Times New Roman" w:hAnsi="Times New Roman" w:cs="Times New Roman"/>
            <w:sz w:val="24"/>
            <w:szCs w:val="24"/>
          </w:rPr>
          <w:t>http://doi-org.ezproxy.uwtsd.ac.uk/10.1163/ej.9789004187375.i-234</w:t>
        </w:r>
      </w:hyperlink>
      <w:r w:rsidRPr="008A552C">
        <w:rPr>
          <w:rFonts w:ascii="Times New Roman" w:hAnsi="Times New Roman" w:cs="Times New Roman"/>
          <w:sz w:val="24"/>
          <w:szCs w:val="24"/>
        </w:rPr>
        <w:t xml:space="preserve"> [Accessed 31 March 2024]</w:t>
      </w:r>
    </w:p>
    <w:p w14:paraId="3E495AA5"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 xml:space="preserve">Collins, J. J and Manning, J. G. 2016. Revolt and Resistance in the Ancient Classical World and the Near East, Leiden, The Netherlands: Brill. Available from: Brill </w:t>
      </w:r>
      <w:hyperlink r:id="rId5" w:history="1">
        <w:r w:rsidRPr="008A552C">
          <w:rPr>
            <w:rStyle w:val="Hyperlink"/>
            <w:rFonts w:ascii="Times New Roman" w:hAnsi="Times New Roman" w:cs="Times New Roman"/>
            <w:sz w:val="24"/>
            <w:szCs w:val="24"/>
          </w:rPr>
          <w:t>https://doi-org.ezproxy.uwtsd.ac.uk/10.1163/9789004330184</w:t>
        </w:r>
      </w:hyperlink>
      <w:r w:rsidRPr="008A552C">
        <w:rPr>
          <w:rFonts w:ascii="Times New Roman" w:hAnsi="Times New Roman" w:cs="Times New Roman"/>
          <w:sz w:val="24"/>
          <w:szCs w:val="24"/>
        </w:rPr>
        <w:t xml:space="preserve"> [Accessed 10 March 2024]</w:t>
      </w:r>
    </w:p>
    <w:p w14:paraId="1F273CA4"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Honigman, S. 2014. ``Conclusion’’. In Tales of High Priests and Taxes: The books of the Maccabees and the Judean Rebellion against Antiochos IV, 1</w:t>
      </w:r>
      <w:r w:rsidRPr="008A552C">
        <w:rPr>
          <w:rFonts w:ascii="Times New Roman" w:hAnsi="Times New Roman" w:cs="Times New Roman"/>
          <w:sz w:val="24"/>
          <w:szCs w:val="24"/>
          <w:vertAlign w:val="superscript"/>
        </w:rPr>
        <w:t>st</w:t>
      </w:r>
      <w:r w:rsidRPr="008A552C">
        <w:rPr>
          <w:rFonts w:ascii="Times New Roman" w:hAnsi="Times New Roman" w:cs="Times New Roman"/>
          <w:sz w:val="24"/>
          <w:szCs w:val="24"/>
        </w:rPr>
        <w:t xml:space="preserve"> ed. pp. 183-86. University of California Press. </w:t>
      </w:r>
      <w:hyperlink r:id="rId6" w:history="1">
        <w:r w:rsidRPr="008A552C">
          <w:rPr>
            <w:rStyle w:val="Hyperlink"/>
            <w:rFonts w:ascii="Times New Roman" w:hAnsi="Times New Roman" w:cs="Times New Roman"/>
            <w:sz w:val="24"/>
            <w:szCs w:val="24"/>
          </w:rPr>
          <w:t>http://www.jstor.org/stable/10.1525/j.ctt7zw143.10</w:t>
        </w:r>
      </w:hyperlink>
      <w:r w:rsidRPr="008A552C">
        <w:rPr>
          <w:rFonts w:ascii="Times New Roman" w:hAnsi="Times New Roman" w:cs="Times New Roman"/>
          <w:sz w:val="24"/>
          <w:szCs w:val="24"/>
        </w:rPr>
        <w:t>.</w:t>
      </w:r>
    </w:p>
    <w:p w14:paraId="3F4E2B1B" w14:textId="77777777" w:rsidR="006579CD" w:rsidRPr="008A552C" w:rsidRDefault="006579CD" w:rsidP="006579CD">
      <w:pPr>
        <w:rPr>
          <w:rFonts w:ascii="Times New Roman" w:hAnsi="Times New Roman" w:cs="Times New Roman"/>
          <w:sz w:val="24"/>
          <w:szCs w:val="24"/>
        </w:rPr>
      </w:pPr>
      <w:proofErr w:type="spellStart"/>
      <w:r w:rsidRPr="008A552C">
        <w:rPr>
          <w:rFonts w:ascii="Times New Roman" w:hAnsi="Times New Roman" w:cs="Times New Roman"/>
          <w:sz w:val="24"/>
          <w:szCs w:val="24"/>
        </w:rPr>
        <w:t>Josphus</w:t>
      </w:r>
      <w:proofErr w:type="spellEnd"/>
      <w:r w:rsidRPr="008A552C">
        <w:rPr>
          <w:rFonts w:ascii="Times New Roman" w:hAnsi="Times New Roman" w:cs="Times New Roman"/>
          <w:sz w:val="24"/>
          <w:szCs w:val="24"/>
        </w:rPr>
        <w:t xml:space="preserve">. The Jewish War, Volume 1: Books 1-2. Translated by H. St. J. </w:t>
      </w:r>
      <w:proofErr w:type="spellStart"/>
      <w:r w:rsidRPr="008A552C">
        <w:rPr>
          <w:rFonts w:ascii="Times New Roman" w:hAnsi="Times New Roman" w:cs="Times New Roman"/>
          <w:sz w:val="24"/>
          <w:szCs w:val="24"/>
        </w:rPr>
        <w:t>Thankeray</w:t>
      </w:r>
      <w:proofErr w:type="spellEnd"/>
      <w:r w:rsidRPr="008A552C">
        <w:rPr>
          <w:rFonts w:ascii="Times New Roman" w:hAnsi="Times New Roman" w:cs="Times New Roman"/>
          <w:sz w:val="24"/>
          <w:szCs w:val="24"/>
        </w:rPr>
        <w:t>. Loeb Classical Library 203. Cambridge, MA: Harvard University Press, 1927.</w:t>
      </w:r>
    </w:p>
    <w:p w14:paraId="34D8883F"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Levine, L.I. 1997, ``Hasmonean Jerusalem: A Jewish city in a Hellenistic orbit’’, Judaism, vol. 46, no. 2, pp. 140-146.</w:t>
      </w:r>
    </w:p>
    <w:p w14:paraId="71EF9FC4"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 xml:space="preserve">Magness, J. 2019. ``The First Jewish Revolt against Rome.’’ In Masada. United States: Princeton University Press, pp. 141 – 162. Available at: </w:t>
      </w:r>
      <w:hyperlink r:id="rId7" w:history="1">
        <w:r w:rsidRPr="008A552C">
          <w:rPr>
            <w:rStyle w:val="Hyperlink"/>
            <w:rFonts w:ascii="Times New Roman" w:hAnsi="Times New Roman" w:cs="Times New Roman"/>
            <w:sz w:val="24"/>
            <w:szCs w:val="24"/>
          </w:rPr>
          <w:t>http://doi.org/10.1515/9780691186016-009</w:t>
        </w:r>
      </w:hyperlink>
    </w:p>
    <w:p w14:paraId="10D11BF7"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Millar, F. 1990. Review of the Jews in the Greek Age, by E.J Bickerman. The Journal of Hellenistic Studies, 110. pp. 258 – 259. http://doi.org/10.2307/631800</w:t>
      </w:r>
    </w:p>
    <w:p w14:paraId="412A8CA6" w14:textId="77777777" w:rsidR="006579CD" w:rsidRPr="008A552C" w:rsidRDefault="006579CD" w:rsidP="006579CD">
      <w:pPr>
        <w:spacing w:after="0" w:line="240" w:lineRule="auto"/>
        <w:rPr>
          <w:rFonts w:ascii="Times New Roman" w:eastAsia="Times New Roman" w:hAnsi="Times New Roman" w:cs="Times New Roman"/>
          <w:kern w:val="0"/>
          <w:sz w:val="24"/>
          <w:szCs w:val="24"/>
          <w:lang w:eastAsia="en-GB"/>
          <w14:ligatures w14:val="none"/>
        </w:rPr>
      </w:pPr>
      <w:r w:rsidRPr="008A552C">
        <w:rPr>
          <w:rFonts w:ascii="Times New Roman" w:eastAsia="Times New Roman" w:hAnsi="Times New Roman" w:cs="Times New Roman"/>
          <w:kern w:val="0"/>
          <w:sz w:val="24"/>
          <w:szCs w:val="24"/>
          <w:lang w:eastAsia="en-GB"/>
          <w14:ligatures w14:val="none"/>
        </w:rPr>
        <w:t xml:space="preserve">Porten, B. (2007) “Exile, Babylonian,” </w:t>
      </w:r>
      <w:r w:rsidRPr="008A552C">
        <w:rPr>
          <w:rFonts w:ascii="Times New Roman" w:eastAsia="Times New Roman" w:hAnsi="Times New Roman" w:cs="Times New Roman"/>
          <w:i/>
          <w:iCs/>
          <w:kern w:val="0"/>
          <w:sz w:val="24"/>
          <w:szCs w:val="24"/>
          <w:lang w:eastAsia="en-GB"/>
          <w14:ligatures w14:val="none"/>
        </w:rPr>
        <w:t>Encyclopaedia Judaica</w:t>
      </w:r>
      <w:r w:rsidRPr="008A552C">
        <w:rPr>
          <w:rFonts w:ascii="Times New Roman" w:eastAsia="Times New Roman" w:hAnsi="Times New Roman" w:cs="Times New Roman"/>
          <w:kern w:val="0"/>
          <w:sz w:val="24"/>
          <w:szCs w:val="24"/>
          <w:lang w:eastAsia="en-GB"/>
          <w14:ligatures w14:val="none"/>
        </w:rPr>
        <w:t>.</w:t>
      </w:r>
    </w:p>
    <w:p w14:paraId="1862A5CE" w14:textId="77777777" w:rsidR="006579CD" w:rsidRPr="008A552C" w:rsidRDefault="006579CD" w:rsidP="006579CD">
      <w:pPr>
        <w:spacing w:after="0" w:line="240" w:lineRule="auto"/>
        <w:rPr>
          <w:rFonts w:ascii="Times New Roman" w:eastAsia="Times New Roman" w:hAnsi="Times New Roman" w:cs="Times New Roman"/>
          <w:kern w:val="0"/>
          <w:sz w:val="24"/>
          <w:szCs w:val="24"/>
          <w:lang w:eastAsia="en-GB"/>
          <w14:ligatures w14:val="none"/>
        </w:rPr>
      </w:pPr>
    </w:p>
    <w:p w14:paraId="1B7FA016"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 xml:space="preserve">Porter, S. </w:t>
      </w:r>
      <w:proofErr w:type="gramStart"/>
      <w:r w:rsidRPr="008A552C">
        <w:rPr>
          <w:rFonts w:ascii="Times New Roman" w:hAnsi="Times New Roman" w:cs="Times New Roman"/>
          <w:sz w:val="24"/>
          <w:szCs w:val="24"/>
        </w:rPr>
        <w:t>E.</w:t>
      </w:r>
      <w:proofErr w:type="gramEnd"/>
      <w:r w:rsidRPr="008A552C">
        <w:rPr>
          <w:rFonts w:ascii="Times New Roman" w:hAnsi="Times New Roman" w:cs="Times New Roman"/>
          <w:sz w:val="24"/>
          <w:szCs w:val="24"/>
        </w:rPr>
        <w:t xml:space="preserve"> and de Roo, J.C.R. 2021. The Concept of the Covenant in the Second Temple Period, Leiden, The Netherlands: Brill. Available from: Brill </w:t>
      </w:r>
      <w:hyperlink r:id="rId8" w:history="1">
        <w:r w:rsidRPr="008A552C">
          <w:rPr>
            <w:rStyle w:val="Hyperlink"/>
            <w:rFonts w:ascii="Times New Roman" w:hAnsi="Times New Roman" w:cs="Times New Roman"/>
            <w:sz w:val="24"/>
            <w:szCs w:val="24"/>
          </w:rPr>
          <w:t>https://doi-org.ezproxy.uwtsd.ac.uk/10.1163/9789004497047</w:t>
        </w:r>
      </w:hyperlink>
      <w:r w:rsidRPr="008A552C">
        <w:rPr>
          <w:rFonts w:ascii="Times New Roman" w:hAnsi="Times New Roman" w:cs="Times New Roman"/>
          <w:sz w:val="24"/>
          <w:szCs w:val="24"/>
        </w:rPr>
        <w:t xml:space="preserve"> [Accessed 13 March 2024]</w:t>
      </w:r>
    </w:p>
    <w:p w14:paraId="0A2D3414"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 xml:space="preserve">Rubenstein, J. L. 2020. The Origins and Ancient History of Sukkot. In A History of Sukkot in the Second Temple and Rabbinic Periods. pp. 13 – 30. Brown Judaic Studies. </w:t>
      </w:r>
      <w:hyperlink r:id="rId9" w:history="1">
        <w:r w:rsidRPr="008A552C">
          <w:rPr>
            <w:rStyle w:val="Hyperlink"/>
            <w:rFonts w:ascii="Times New Roman" w:hAnsi="Times New Roman" w:cs="Times New Roman"/>
            <w:sz w:val="24"/>
            <w:szCs w:val="24"/>
          </w:rPr>
          <w:t>http://doi.org/10.2307/j.ctvzpv502.7</w:t>
        </w:r>
      </w:hyperlink>
    </w:p>
    <w:p w14:paraId="03338CB4" w14:textId="77777777" w:rsidR="006579CD" w:rsidRPr="008A552C" w:rsidRDefault="006579CD" w:rsidP="006579CD">
      <w:pPr>
        <w:rPr>
          <w:rFonts w:ascii="Times New Roman" w:hAnsi="Times New Roman" w:cs="Times New Roman"/>
          <w:sz w:val="24"/>
          <w:szCs w:val="24"/>
        </w:rPr>
      </w:pPr>
      <w:r w:rsidRPr="008A552C">
        <w:rPr>
          <w:rFonts w:ascii="Times New Roman" w:hAnsi="Times New Roman" w:cs="Times New Roman"/>
          <w:sz w:val="24"/>
          <w:szCs w:val="24"/>
        </w:rPr>
        <w:t>The Holy Bible. 2021: England: Trinitarian Bible Society.</w:t>
      </w:r>
    </w:p>
    <w:p w14:paraId="6BA99A06" w14:textId="77777777" w:rsidR="006579CD" w:rsidRPr="008A552C" w:rsidRDefault="006579CD" w:rsidP="006579CD">
      <w:pPr>
        <w:rPr>
          <w:rFonts w:ascii="Times New Roman" w:hAnsi="Times New Roman" w:cs="Times New Roman"/>
        </w:rPr>
      </w:pPr>
    </w:p>
    <w:p w14:paraId="6486C0B5" w14:textId="77777777" w:rsidR="006579CD" w:rsidRPr="008A552C" w:rsidRDefault="006579CD" w:rsidP="006579CD">
      <w:pPr>
        <w:rPr>
          <w:rFonts w:ascii="Times New Roman" w:hAnsi="Times New Roman" w:cs="Times New Roman"/>
          <w:b/>
          <w:bCs/>
        </w:rPr>
      </w:pPr>
    </w:p>
    <w:p w14:paraId="08B6E8EA" w14:textId="77777777" w:rsidR="006579CD" w:rsidRDefault="006579CD"/>
    <w:sectPr w:rsidR="006579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47F"/>
    <w:rsid w:val="000027CB"/>
    <w:rsid w:val="000050A2"/>
    <w:rsid w:val="00012827"/>
    <w:rsid w:val="00013C85"/>
    <w:rsid w:val="00025A6D"/>
    <w:rsid w:val="00035E9C"/>
    <w:rsid w:val="000371CA"/>
    <w:rsid w:val="00041F88"/>
    <w:rsid w:val="000447B4"/>
    <w:rsid w:val="000516AC"/>
    <w:rsid w:val="0006799B"/>
    <w:rsid w:val="00081AA9"/>
    <w:rsid w:val="000861D5"/>
    <w:rsid w:val="0009419B"/>
    <w:rsid w:val="000A7769"/>
    <w:rsid w:val="000B681C"/>
    <w:rsid w:val="000B7ACA"/>
    <w:rsid w:val="000C7FB4"/>
    <w:rsid w:val="000E4DF2"/>
    <w:rsid w:val="000F0A67"/>
    <w:rsid w:val="000F3726"/>
    <w:rsid w:val="00107BAD"/>
    <w:rsid w:val="00115E12"/>
    <w:rsid w:val="0012617A"/>
    <w:rsid w:val="00131026"/>
    <w:rsid w:val="001369D3"/>
    <w:rsid w:val="001563C5"/>
    <w:rsid w:val="00160B8F"/>
    <w:rsid w:val="00182150"/>
    <w:rsid w:val="00191398"/>
    <w:rsid w:val="0019272A"/>
    <w:rsid w:val="00193645"/>
    <w:rsid w:val="001C2FB6"/>
    <w:rsid w:val="001D079C"/>
    <w:rsid w:val="001D3CBD"/>
    <w:rsid w:val="001E6537"/>
    <w:rsid w:val="00202F76"/>
    <w:rsid w:val="00204B2C"/>
    <w:rsid w:val="00215749"/>
    <w:rsid w:val="00224EEF"/>
    <w:rsid w:val="00225913"/>
    <w:rsid w:val="0023325A"/>
    <w:rsid w:val="002352AF"/>
    <w:rsid w:val="002418E4"/>
    <w:rsid w:val="00250193"/>
    <w:rsid w:val="00250526"/>
    <w:rsid w:val="00252017"/>
    <w:rsid w:val="0026324D"/>
    <w:rsid w:val="00264716"/>
    <w:rsid w:val="00273DFE"/>
    <w:rsid w:val="00276936"/>
    <w:rsid w:val="0028628E"/>
    <w:rsid w:val="002B1D55"/>
    <w:rsid w:val="002B1FEC"/>
    <w:rsid w:val="002B647F"/>
    <w:rsid w:val="002D0C82"/>
    <w:rsid w:val="002D1EA1"/>
    <w:rsid w:val="002E1989"/>
    <w:rsid w:val="00300521"/>
    <w:rsid w:val="003229B9"/>
    <w:rsid w:val="00343D20"/>
    <w:rsid w:val="00361F59"/>
    <w:rsid w:val="00364044"/>
    <w:rsid w:val="00367C47"/>
    <w:rsid w:val="00386561"/>
    <w:rsid w:val="003A3771"/>
    <w:rsid w:val="003B43E1"/>
    <w:rsid w:val="003D0318"/>
    <w:rsid w:val="003D1612"/>
    <w:rsid w:val="003D27F4"/>
    <w:rsid w:val="003D7729"/>
    <w:rsid w:val="003F503B"/>
    <w:rsid w:val="003F6895"/>
    <w:rsid w:val="003F69EF"/>
    <w:rsid w:val="003F751B"/>
    <w:rsid w:val="00414B7F"/>
    <w:rsid w:val="00424F54"/>
    <w:rsid w:val="00425389"/>
    <w:rsid w:val="00440BCA"/>
    <w:rsid w:val="0044752B"/>
    <w:rsid w:val="00453F76"/>
    <w:rsid w:val="00462B6A"/>
    <w:rsid w:val="0047799D"/>
    <w:rsid w:val="00483F58"/>
    <w:rsid w:val="004902A3"/>
    <w:rsid w:val="004925D0"/>
    <w:rsid w:val="004A11BF"/>
    <w:rsid w:val="004B3304"/>
    <w:rsid w:val="004C0C3C"/>
    <w:rsid w:val="004D02F8"/>
    <w:rsid w:val="004F258B"/>
    <w:rsid w:val="00526BA3"/>
    <w:rsid w:val="005478E9"/>
    <w:rsid w:val="00556F55"/>
    <w:rsid w:val="00562AC5"/>
    <w:rsid w:val="00572ABC"/>
    <w:rsid w:val="005762D3"/>
    <w:rsid w:val="005B00E9"/>
    <w:rsid w:val="005C423B"/>
    <w:rsid w:val="005D50D0"/>
    <w:rsid w:val="006018EB"/>
    <w:rsid w:val="00602DA6"/>
    <w:rsid w:val="006030EB"/>
    <w:rsid w:val="006079AA"/>
    <w:rsid w:val="00607D6D"/>
    <w:rsid w:val="006120CA"/>
    <w:rsid w:val="00616786"/>
    <w:rsid w:val="006266F9"/>
    <w:rsid w:val="00636DB7"/>
    <w:rsid w:val="006402DA"/>
    <w:rsid w:val="006514D7"/>
    <w:rsid w:val="006527DA"/>
    <w:rsid w:val="00655A4A"/>
    <w:rsid w:val="0065673A"/>
    <w:rsid w:val="006579CD"/>
    <w:rsid w:val="00665D21"/>
    <w:rsid w:val="006758D2"/>
    <w:rsid w:val="00692755"/>
    <w:rsid w:val="0069493E"/>
    <w:rsid w:val="00696DE5"/>
    <w:rsid w:val="006A2B01"/>
    <w:rsid w:val="006A2F79"/>
    <w:rsid w:val="006A5B82"/>
    <w:rsid w:val="006B7411"/>
    <w:rsid w:val="006C3291"/>
    <w:rsid w:val="006D7F65"/>
    <w:rsid w:val="006E777F"/>
    <w:rsid w:val="006F45D0"/>
    <w:rsid w:val="0070387E"/>
    <w:rsid w:val="00703947"/>
    <w:rsid w:val="00704519"/>
    <w:rsid w:val="007142BE"/>
    <w:rsid w:val="0071487D"/>
    <w:rsid w:val="0072286D"/>
    <w:rsid w:val="007235A8"/>
    <w:rsid w:val="00732CA2"/>
    <w:rsid w:val="00745FF7"/>
    <w:rsid w:val="00751ABE"/>
    <w:rsid w:val="00752A90"/>
    <w:rsid w:val="0076369A"/>
    <w:rsid w:val="00767838"/>
    <w:rsid w:val="00780097"/>
    <w:rsid w:val="007953FE"/>
    <w:rsid w:val="007A1A80"/>
    <w:rsid w:val="007A1E57"/>
    <w:rsid w:val="007A7B63"/>
    <w:rsid w:val="007C2F9F"/>
    <w:rsid w:val="007D1C7D"/>
    <w:rsid w:val="007D396E"/>
    <w:rsid w:val="007D6436"/>
    <w:rsid w:val="007D7103"/>
    <w:rsid w:val="007E2236"/>
    <w:rsid w:val="007E43A1"/>
    <w:rsid w:val="007F2757"/>
    <w:rsid w:val="007F4BE8"/>
    <w:rsid w:val="00802DED"/>
    <w:rsid w:val="008061AA"/>
    <w:rsid w:val="00810511"/>
    <w:rsid w:val="008150DE"/>
    <w:rsid w:val="00837180"/>
    <w:rsid w:val="00870C74"/>
    <w:rsid w:val="00874530"/>
    <w:rsid w:val="008756F8"/>
    <w:rsid w:val="00895319"/>
    <w:rsid w:val="008A1400"/>
    <w:rsid w:val="008A552C"/>
    <w:rsid w:val="008B3040"/>
    <w:rsid w:val="008B7900"/>
    <w:rsid w:val="008C1547"/>
    <w:rsid w:val="008C3BE6"/>
    <w:rsid w:val="008C59F6"/>
    <w:rsid w:val="008C733C"/>
    <w:rsid w:val="008D22C7"/>
    <w:rsid w:val="008E2E35"/>
    <w:rsid w:val="008F0028"/>
    <w:rsid w:val="008F3AD8"/>
    <w:rsid w:val="008F572F"/>
    <w:rsid w:val="00906B01"/>
    <w:rsid w:val="009363D3"/>
    <w:rsid w:val="00943F46"/>
    <w:rsid w:val="00944F5C"/>
    <w:rsid w:val="009479EA"/>
    <w:rsid w:val="00955E79"/>
    <w:rsid w:val="00956B20"/>
    <w:rsid w:val="00981DE6"/>
    <w:rsid w:val="009966E2"/>
    <w:rsid w:val="009A4004"/>
    <w:rsid w:val="009C3247"/>
    <w:rsid w:val="009D1208"/>
    <w:rsid w:val="009D76DC"/>
    <w:rsid w:val="009E5839"/>
    <w:rsid w:val="009F6348"/>
    <w:rsid w:val="00A16593"/>
    <w:rsid w:val="00A23B41"/>
    <w:rsid w:val="00A2499A"/>
    <w:rsid w:val="00A2535A"/>
    <w:rsid w:val="00A363C8"/>
    <w:rsid w:val="00A55782"/>
    <w:rsid w:val="00A61D9F"/>
    <w:rsid w:val="00A62AA9"/>
    <w:rsid w:val="00A635AD"/>
    <w:rsid w:val="00A715A8"/>
    <w:rsid w:val="00A743AD"/>
    <w:rsid w:val="00A82549"/>
    <w:rsid w:val="00AA3FA5"/>
    <w:rsid w:val="00AB05FF"/>
    <w:rsid w:val="00AC3D34"/>
    <w:rsid w:val="00AD4EF1"/>
    <w:rsid w:val="00AE026B"/>
    <w:rsid w:val="00AE3CE7"/>
    <w:rsid w:val="00AF2678"/>
    <w:rsid w:val="00AF6F80"/>
    <w:rsid w:val="00B003C9"/>
    <w:rsid w:val="00B01801"/>
    <w:rsid w:val="00B16CC3"/>
    <w:rsid w:val="00B21D80"/>
    <w:rsid w:val="00B22E92"/>
    <w:rsid w:val="00B3042A"/>
    <w:rsid w:val="00B31567"/>
    <w:rsid w:val="00B5307A"/>
    <w:rsid w:val="00B614EE"/>
    <w:rsid w:val="00B85063"/>
    <w:rsid w:val="00BB79DA"/>
    <w:rsid w:val="00BC76FC"/>
    <w:rsid w:val="00BD13E0"/>
    <w:rsid w:val="00BD54B6"/>
    <w:rsid w:val="00BD7314"/>
    <w:rsid w:val="00BE1132"/>
    <w:rsid w:val="00BE1A9C"/>
    <w:rsid w:val="00BE5DAB"/>
    <w:rsid w:val="00C006E7"/>
    <w:rsid w:val="00C17074"/>
    <w:rsid w:val="00C21006"/>
    <w:rsid w:val="00C249E5"/>
    <w:rsid w:val="00C24CF5"/>
    <w:rsid w:val="00C37ADF"/>
    <w:rsid w:val="00C43220"/>
    <w:rsid w:val="00C511D5"/>
    <w:rsid w:val="00C601DF"/>
    <w:rsid w:val="00C661B8"/>
    <w:rsid w:val="00C67057"/>
    <w:rsid w:val="00C76F2D"/>
    <w:rsid w:val="00C82F47"/>
    <w:rsid w:val="00C92098"/>
    <w:rsid w:val="00CA1FEF"/>
    <w:rsid w:val="00CB4470"/>
    <w:rsid w:val="00CB7173"/>
    <w:rsid w:val="00CD2B8A"/>
    <w:rsid w:val="00CE1AF4"/>
    <w:rsid w:val="00CE2BC2"/>
    <w:rsid w:val="00CF4871"/>
    <w:rsid w:val="00CF7DE3"/>
    <w:rsid w:val="00D16AAE"/>
    <w:rsid w:val="00D34F4A"/>
    <w:rsid w:val="00D423E1"/>
    <w:rsid w:val="00D44111"/>
    <w:rsid w:val="00D47BBA"/>
    <w:rsid w:val="00DA1DB8"/>
    <w:rsid w:val="00DA28EC"/>
    <w:rsid w:val="00DB0A84"/>
    <w:rsid w:val="00DB3C8A"/>
    <w:rsid w:val="00DC1081"/>
    <w:rsid w:val="00DC5384"/>
    <w:rsid w:val="00DD15A5"/>
    <w:rsid w:val="00DD3EDA"/>
    <w:rsid w:val="00DE0FC6"/>
    <w:rsid w:val="00DE67D1"/>
    <w:rsid w:val="00DF0F76"/>
    <w:rsid w:val="00DF7FB0"/>
    <w:rsid w:val="00E00EFF"/>
    <w:rsid w:val="00E12BB5"/>
    <w:rsid w:val="00E219C2"/>
    <w:rsid w:val="00E21C51"/>
    <w:rsid w:val="00E3340C"/>
    <w:rsid w:val="00E344B9"/>
    <w:rsid w:val="00E37429"/>
    <w:rsid w:val="00E538C9"/>
    <w:rsid w:val="00E66056"/>
    <w:rsid w:val="00E7139B"/>
    <w:rsid w:val="00E727A2"/>
    <w:rsid w:val="00EA67DB"/>
    <w:rsid w:val="00EF1922"/>
    <w:rsid w:val="00EF6DF1"/>
    <w:rsid w:val="00F0406B"/>
    <w:rsid w:val="00F1620D"/>
    <w:rsid w:val="00F175D9"/>
    <w:rsid w:val="00F63341"/>
    <w:rsid w:val="00F67CEA"/>
    <w:rsid w:val="00F845E3"/>
    <w:rsid w:val="00F86195"/>
    <w:rsid w:val="00F9266C"/>
    <w:rsid w:val="00F95FD4"/>
    <w:rsid w:val="00FB2343"/>
    <w:rsid w:val="00FC338A"/>
    <w:rsid w:val="00FD52AB"/>
    <w:rsid w:val="00FF0395"/>
    <w:rsid w:val="00FF09BF"/>
    <w:rsid w:val="00FF5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B9F35"/>
  <w15:chartTrackingRefBased/>
  <w15:docId w15:val="{2738B154-EF1B-42A3-AEE2-6265CC774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64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64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64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6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6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6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6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6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6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6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6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6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6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6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6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6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6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647F"/>
    <w:rPr>
      <w:rFonts w:eastAsiaTheme="majorEastAsia" w:cstheme="majorBidi"/>
      <w:color w:val="272727" w:themeColor="text1" w:themeTint="D8"/>
    </w:rPr>
  </w:style>
  <w:style w:type="paragraph" w:styleId="Title">
    <w:name w:val="Title"/>
    <w:basedOn w:val="Normal"/>
    <w:next w:val="Normal"/>
    <w:link w:val="TitleChar"/>
    <w:uiPriority w:val="10"/>
    <w:qFormat/>
    <w:rsid w:val="002B6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6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6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6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647F"/>
    <w:pPr>
      <w:spacing w:before="160"/>
      <w:jc w:val="center"/>
    </w:pPr>
    <w:rPr>
      <w:i/>
      <w:iCs/>
      <w:color w:val="404040" w:themeColor="text1" w:themeTint="BF"/>
    </w:rPr>
  </w:style>
  <w:style w:type="character" w:customStyle="1" w:styleId="QuoteChar">
    <w:name w:val="Quote Char"/>
    <w:basedOn w:val="DefaultParagraphFont"/>
    <w:link w:val="Quote"/>
    <w:uiPriority w:val="29"/>
    <w:rsid w:val="002B647F"/>
    <w:rPr>
      <w:i/>
      <w:iCs/>
      <w:color w:val="404040" w:themeColor="text1" w:themeTint="BF"/>
    </w:rPr>
  </w:style>
  <w:style w:type="paragraph" w:styleId="ListParagraph">
    <w:name w:val="List Paragraph"/>
    <w:basedOn w:val="Normal"/>
    <w:uiPriority w:val="34"/>
    <w:qFormat/>
    <w:rsid w:val="002B647F"/>
    <w:pPr>
      <w:ind w:left="720"/>
      <w:contextualSpacing/>
    </w:pPr>
  </w:style>
  <w:style w:type="character" w:styleId="IntenseEmphasis">
    <w:name w:val="Intense Emphasis"/>
    <w:basedOn w:val="DefaultParagraphFont"/>
    <w:uiPriority w:val="21"/>
    <w:qFormat/>
    <w:rsid w:val="002B647F"/>
    <w:rPr>
      <w:i/>
      <w:iCs/>
      <w:color w:val="0F4761" w:themeColor="accent1" w:themeShade="BF"/>
    </w:rPr>
  </w:style>
  <w:style w:type="paragraph" w:styleId="IntenseQuote">
    <w:name w:val="Intense Quote"/>
    <w:basedOn w:val="Normal"/>
    <w:next w:val="Normal"/>
    <w:link w:val="IntenseQuoteChar"/>
    <w:uiPriority w:val="30"/>
    <w:qFormat/>
    <w:rsid w:val="002B6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647F"/>
    <w:rPr>
      <w:i/>
      <w:iCs/>
      <w:color w:val="0F4761" w:themeColor="accent1" w:themeShade="BF"/>
    </w:rPr>
  </w:style>
  <w:style w:type="character" w:styleId="IntenseReference">
    <w:name w:val="Intense Reference"/>
    <w:basedOn w:val="DefaultParagraphFont"/>
    <w:uiPriority w:val="32"/>
    <w:qFormat/>
    <w:rsid w:val="002B647F"/>
    <w:rPr>
      <w:b/>
      <w:bCs/>
      <w:smallCaps/>
      <w:color w:val="0F4761" w:themeColor="accent1" w:themeShade="BF"/>
      <w:spacing w:val="5"/>
    </w:rPr>
  </w:style>
  <w:style w:type="character" w:styleId="Strong">
    <w:name w:val="Strong"/>
    <w:basedOn w:val="DefaultParagraphFont"/>
    <w:uiPriority w:val="22"/>
    <w:qFormat/>
    <w:rsid w:val="002B647F"/>
    <w:rPr>
      <w:b/>
      <w:bCs/>
    </w:rPr>
  </w:style>
  <w:style w:type="paragraph" w:styleId="NoSpacing">
    <w:name w:val="No Spacing"/>
    <w:uiPriority w:val="1"/>
    <w:qFormat/>
    <w:rsid w:val="002B647F"/>
    <w:pPr>
      <w:spacing w:after="0" w:line="240" w:lineRule="auto"/>
    </w:pPr>
  </w:style>
  <w:style w:type="paragraph" w:styleId="NormalWeb">
    <w:name w:val="Normal (Web)"/>
    <w:basedOn w:val="Normal"/>
    <w:uiPriority w:val="99"/>
    <w:semiHidden/>
    <w:unhideWhenUsed/>
    <w:rsid w:val="0009419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579C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5843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63/9789004497047" TargetMode="External"/><Relationship Id="rId3" Type="http://schemas.openxmlformats.org/officeDocument/2006/relationships/webSettings" Target="webSettings.xml"/><Relationship Id="rId7" Type="http://schemas.openxmlformats.org/officeDocument/2006/relationships/hyperlink" Target="http://doi.org/10.1515/9780691186016-00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stor.org/stable/10.1525/j.ctt7zw143.10" TargetMode="External"/><Relationship Id="rId11" Type="http://schemas.openxmlformats.org/officeDocument/2006/relationships/theme" Target="theme/theme1.xml"/><Relationship Id="rId5" Type="http://schemas.openxmlformats.org/officeDocument/2006/relationships/hyperlink" Target="https://doi-org.ezproxy.uwtsd.ac.uk/10.1163/9789004330184" TargetMode="External"/><Relationship Id="rId10" Type="http://schemas.openxmlformats.org/officeDocument/2006/relationships/fontTable" Target="fontTable.xml"/><Relationship Id="rId4" Type="http://schemas.openxmlformats.org/officeDocument/2006/relationships/hyperlink" Target="http://doi-org.ezproxy.uwtsd.ac.uk/10.1163/ej.9789004187375.i-234" TargetMode="External"/><Relationship Id="rId9" Type="http://schemas.openxmlformats.org/officeDocument/2006/relationships/hyperlink" Target="http://doi.org/10.2307/j.ctvzpv50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1871</Words>
  <Characters>10669</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Philitoga</dc:creator>
  <cp:keywords/>
  <dc:description/>
  <cp:lastModifiedBy>Daniel Philitoga</cp:lastModifiedBy>
  <cp:revision>2</cp:revision>
  <dcterms:created xsi:type="dcterms:W3CDTF">2024-04-08T08:25:00Z</dcterms:created>
  <dcterms:modified xsi:type="dcterms:W3CDTF">2024-04-08T08:25:00Z</dcterms:modified>
</cp:coreProperties>
</file>