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61DD74" w14:textId="77777777" w:rsidR="00070092" w:rsidRDefault="00070092" w:rsidP="00DB309D">
      <w:pPr>
        <w:jc w:val="center"/>
        <w:rPr>
          <w:rFonts w:cstheme="minorHAnsi"/>
          <w:b/>
          <w:bCs/>
        </w:rPr>
      </w:pPr>
    </w:p>
    <w:p w14:paraId="69DDCC9C" w14:textId="77777777" w:rsidR="00070092" w:rsidRDefault="00070092" w:rsidP="00DB309D">
      <w:pPr>
        <w:jc w:val="center"/>
        <w:rPr>
          <w:rFonts w:cstheme="minorHAnsi"/>
          <w:b/>
          <w:bCs/>
        </w:rPr>
      </w:pPr>
    </w:p>
    <w:p w14:paraId="6D97CF60" w14:textId="77777777" w:rsidR="00070092" w:rsidRDefault="00070092" w:rsidP="00DB309D">
      <w:pPr>
        <w:jc w:val="center"/>
        <w:rPr>
          <w:rFonts w:cstheme="minorHAnsi"/>
          <w:b/>
          <w:bCs/>
        </w:rPr>
      </w:pPr>
    </w:p>
    <w:p w14:paraId="14D3595D" w14:textId="77777777" w:rsidR="00070092" w:rsidRDefault="00070092" w:rsidP="00DB309D">
      <w:pPr>
        <w:jc w:val="center"/>
        <w:rPr>
          <w:rFonts w:cstheme="minorHAnsi"/>
          <w:b/>
          <w:bCs/>
        </w:rPr>
      </w:pPr>
    </w:p>
    <w:p w14:paraId="30430388" w14:textId="77777777" w:rsidR="00070092" w:rsidRDefault="00070092" w:rsidP="00DB309D">
      <w:pPr>
        <w:jc w:val="center"/>
        <w:rPr>
          <w:rFonts w:cstheme="minorHAnsi"/>
          <w:b/>
          <w:bCs/>
        </w:rPr>
      </w:pPr>
    </w:p>
    <w:p w14:paraId="7F0CD493" w14:textId="77777777" w:rsidR="00070092" w:rsidRDefault="00070092" w:rsidP="00DB309D">
      <w:pPr>
        <w:jc w:val="center"/>
        <w:rPr>
          <w:rFonts w:cstheme="minorHAnsi"/>
          <w:b/>
          <w:bCs/>
        </w:rPr>
      </w:pPr>
    </w:p>
    <w:p w14:paraId="0D78A256" w14:textId="77777777" w:rsidR="00070092" w:rsidRDefault="00070092" w:rsidP="00DB309D">
      <w:pPr>
        <w:jc w:val="center"/>
        <w:rPr>
          <w:rFonts w:cstheme="minorHAnsi"/>
          <w:b/>
          <w:bCs/>
        </w:rPr>
      </w:pPr>
    </w:p>
    <w:p w14:paraId="43F19305" w14:textId="77777777" w:rsidR="00070092" w:rsidRDefault="00070092" w:rsidP="00DB309D">
      <w:pPr>
        <w:jc w:val="center"/>
        <w:rPr>
          <w:rFonts w:cstheme="minorHAnsi"/>
          <w:b/>
          <w:bCs/>
        </w:rPr>
      </w:pPr>
    </w:p>
    <w:p w14:paraId="28D0FCC5" w14:textId="77777777" w:rsidR="00070092" w:rsidRDefault="00070092" w:rsidP="00DB309D">
      <w:pPr>
        <w:jc w:val="center"/>
        <w:rPr>
          <w:rFonts w:cstheme="minorHAnsi"/>
          <w:b/>
          <w:bCs/>
        </w:rPr>
      </w:pPr>
      <w:r>
        <w:rPr>
          <w:rFonts w:cstheme="minorHAnsi"/>
          <w:b/>
          <w:bCs/>
        </w:rPr>
        <w:t>Title</w:t>
      </w:r>
    </w:p>
    <w:p w14:paraId="1A334F32" w14:textId="77777777" w:rsidR="00070092" w:rsidRDefault="00070092" w:rsidP="00DB309D">
      <w:pPr>
        <w:jc w:val="center"/>
        <w:rPr>
          <w:rFonts w:cstheme="minorHAnsi"/>
          <w:b/>
          <w:bCs/>
        </w:rPr>
      </w:pPr>
    </w:p>
    <w:p w14:paraId="546044A1" w14:textId="77777777" w:rsidR="00070092" w:rsidRDefault="00070092" w:rsidP="00DB309D">
      <w:pPr>
        <w:jc w:val="center"/>
        <w:rPr>
          <w:rFonts w:cstheme="minorHAnsi"/>
          <w:b/>
          <w:bCs/>
        </w:rPr>
      </w:pPr>
    </w:p>
    <w:p w14:paraId="0E4A4B33" w14:textId="292A0FBB" w:rsidR="00070092" w:rsidRPr="00070092" w:rsidRDefault="00070092" w:rsidP="00DB309D">
      <w:pPr>
        <w:pStyle w:val="NormalWeb"/>
        <w:jc w:val="center"/>
        <w:rPr>
          <w:rFonts w:ascii="Calibri" w:hAnsi="Calibri" w:cs="Calibri"/>
          <w:sz w:val="22"/>
          <w:szCs w:val="22"/>
        </w:rPr>
      </w:pPr>
      <w:r>
        <w:rPr>
          <w:rFonts w:ascii="Calibri" w:hAnsi="Calibri" w:cs="Calibri"/>
          <w:sz w:val="22"/>
          <w:szCs w:val="22"/>
        </w:rPr>
        <w:t xml:space="preserve">Following a reading of </w:t>
      </w:r>
      <w:r>
        <w:rPr>
          <w:rFonts w:ascii="Calibri" w:hAnsi="Calibri" w:cs="Calibri"/>
          <w:i/>
          <w:iCs/>
          <w:sz w:val="22"/>
          <w:szCs w:val="22"/>
        </w:rPr>
        <w:t xml:space="preserve">De </w:t>
      </w:r>
      <w:proofErr w:type="spellStart"/>
      <w:r>
        <w:rPr>
          <w:rFonts w:ascii="Calibri" w:hAnsi="Calibri" w:cs="Calibri"/>
          <w:i/>
          <w:iCs/>
          <w:sz w:val="22"/>
          <w:szCs w:val="22"/>
        </w:rPr>
        <w:t>Incarnatione</w:t>
      </w:r>
      <w:proofErr w:type="spellEnd"/>
      <w:r>
        <w:rPr>
          <w:rFonts w:ascii="Calibri" w:hAnsi="Calibri" w:cs="Calibri"/>
          <w:i/>
          <w:iCs/>
          <w:sz w:val="22"/>
          <w:szCs w:val="22"/>
        </w:rPr>
        <w:t xml:space="preserve"> </w:t>
      </w:r>
      <w:proofErr w:type="spellStart"/>
      <w:r>
        <w:rPr>
          <w:rFonts w:ascii="Calibri" w:hAnsi="Calibri" w:cs="Calibri"/>
          <w:i/>
          <w:iCs/>
          <w:sz w:val="22"/>
          <w:szCs w:val="22"/>
        </w:rPr>
        <w:t>Verbi</w:t>
      </w:r>
      <w:proofErr w:type="spellEnd"/>
      <w:r w:rsidRPr="00070092">
        <w:rPr>
          <w:rFonts w:ascii="Calibri" w:hAnsi="Calibri" w:cs="Calibri"/>
          <w:i/>
          <w:iCs/>
          <w:sz w:val="22"/>
          <w:szCs w:val="22"/>
        </w:rPr>
        <w:t xml:space="preserve"> Dei</w:t>
      </w:r>
      <w:r>
        <w:rPr>
          <w:rFonts w:ascii="Calibri" w:hAnsi="Calibri" w:cs="Calibri"/>
          <w:sz w:val="22"/>
          <w:szCs w:val="22"/>
        </w:rPr>
        <w:t>, a</w:t>
      </w:r>
      <w:r w:rsidRPr="00070092">
        <w:rPr>
          <w:rFonts w:ascii="Calibri" w:hAnsi="Calibri" w:cs="Calibri"/>
          <w:sz w:val="22"/>
          <w:szCs w:val="22"/>
        </w:rPr>
        <w:t>nalyse</w:t>
      </w:r>
      <w:r>
        <w:rPr>
          <w:rFonts w:ascii="Calibri" w:hAnsi="Calibri" w:cs="Calibri"/>
          <w:sz w:val="22"/>
          <w:szCs w:val="22"/>
        </w:rPr>
        <w:t xml:space="preserve"> the primary characteristics of Athanasius’s Christology. To what extent, if at all, is it dependent on faith in the Triune God?</w:t>
      </w:r>
    </w:p>
    <w:p w14:paraId="59B03F83" w14:textId="3D71DE0C" w:rsidR="00070092" w:rsidRDefault="00070092" w:rsidP="00DB309D">
      <w:pPr>
        <w:jc w:val="center"/>
        <w:rPr>
          <w:rFonts w:cstheme="minorHAnsi"/>
          <w:b/>
          <w:bCs/>
        </w:rPr>
      </w:pPr>
      <w:r>
        <w:rPr>
          <w:rFonts w:cstheme="minorHAnsi"/>
          <w:b/>
          <w:bCs/>
        </w:rPr>
        <w:br w:type="page"/>
      </w:r>
    </w:p>
    <w:p w14:paraId="68728B94" w14:textId="3887FD04" w:rsidR="002B49ED" w:rsidRPr="005523B7" w:rsidRDefault="002B49ED" w:rsidP="00DB309D">
      <w:pPr>
        <w:rPr>
          <w:rFonts w:cstheme="minorHAnsi"/>
          <w:b/>
          <w:bCs/>
        </w:rPr>
      </w:pPr>
    </w:p>
    <w:p w14:paraId="54024B0F" w14:textId="2EFBB0CD" w:rsidR="009B7D3B" w:rsidRPr="005523B7" w:rsidRDefault="009B7D3B" w:rsidP="00DB309D">
      <w:pPr>
        <w:jc w:val="center"/>
        <w:rPr>
          <w:rFonts w:cstheme="minorHAnsi"/>
          <w:b/>
          <w:bCs/>
        </w:rPr>
      </w:pPr>
      <w:r w:rsidRPr="005523B7">
        <w:rPr>
          <w:rFonts w:cstheme="minorHAnsi"/>
          <w:b/>
          <w:bCs/>
        </w:rPr>
        <w:t>Abbreviations</w:t>
      </w:r>
    </w:p>
    <w:p w14:paraId="08BA871C" w14:textId="77777777" w:rsidR="009B7D3B" w:rsidRPr="005523B7" w:rsidRDefault="009B7D3B" w:rsidP="00DB309D">
      <w:pPr>
        <w:jc w:val="center"/>
        <w:rPr>
          <w:rFonts w:cstheme="minorHAnsi"/>
          <w:b/>
          <w:bCs/>
        </w:rPr>
      </w:pPr>
    </w:p>
    <w:tbl>
      <w:tblPr>
        <w:tblStyle w:val="TableGrid"/>
        <w:tblW w:w="0" w:type="auto"/>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2"/>
        <w:gridCol w:w="6038"/>
      </w:tblGrid>
      <w:tr w:rsidR="009B7D3B" w:rsidRPr="005523B7" w14:paraId="026909CC" w14:textId="77777777" w:rsidTr="009B7D3B">
        <w:tc>
          <w:tcPr>
            <w:tcW w:w="1532" w:type="dxa"/>
          </w:tcPr>
          <w:p w14:paraId="538A84AA" w14:textId="1B4A4E78" w:rsidR="009B7D3B" w:rsidRPr="005523B7" w:rsidRDefault="003751B9" w:rsidP="00DB309D">
            <w:pPr>
              <w:rPr>
                <w:rFonts w:cstheme="minorHAnsi"/>
              </w:rPr>
            </w:pPr>
            <w:r>
              <w:rPr>
                <w:rFonts w:cstheme="minorHAnsi"/>
              </w:rPr>
              <w:t>CG-DI</w:t>
            </w:r>
          </w:p>
        </w:tc>
        <w:tc>
          <w:tcPr>
            <w:tcW w:w="6038" w:type="dxa"/>
          </w:tcPr>
          <w:p w14:paraId="04105A68" w14:textId="5ADA773B" w:rsidR="009B7D3B" w:rsidRPr="005523B7" w:rsidRDefault="009B7D3B" w:rsidP="00DB309D">
            <w:pPr>
              <w:rPr>
                <w:rFonts w:cstheme="minorHAnsi"/>
              </w:rPr>
            </w:pPr>
            <w:r w:rsidRPr="005523B7">
              <w:rPr>
                <w:rFonts w:cstheme="minorHAnsi"/>
              </w:rPr>
              <w:t xml:space="preserve">Two-fold volume </w:t>
            </w:r>
            <w:r w:rsidRPr="005523B7">
              <w:rPr>
                <w:rFonts w:cstheme="minorHAnsi"/>
                <w:i/>
                <w:iCs/>
              </w:rPr>
              <w:t xml:space="preserve">Contra </w:t>
            </w:r>
            <w:proofErr w:type="spellStart"/>
            <w:r w:rsidRPr="005523B7">
              <w:rPr>
                <w:rFonts w:cstheme="minorHAnsi"/>
                <w:i/>
                <w:iCs/>
              </w:rPr>
              <w:t>Gentes</w:t>
            </w:r>
            <w:proofErr w:type="spellEnd"/>
            <w:r w:rsidRPr="005523B7">
              <w:rPr>
                <w:rFonts w:cstheme="minorHAnsi"/>
              </w:rPr>
              <w:t xml:space="preserve"> and </w:t>
            </w:r>
            <w:r w:rsidRPr="005523B7">
              <w:rPr>
                <w:rFonts w:cstheme="minorHAnsi"/>
                <w:i/>
                <w:iCs/>
              </w:rPr>
              <w:t xml:space="preserve">De </w:t>
            </w:r>
            <w:proofErr w:type="spellStart"/>
            <w:r w:rsidRPr="005523B7">
              <w:rPr>
                <w:rFonts w:cstheme="minorHAnsi"/>
                <w:i/>
                <w:iCs/>
              </w:rPr>
              <w:t>Incarnatione</w:t>
            </w:r>
            <w:proofErr w:type="spellEnd"/>
            <w:r w:rsidRPr="005523B7">
              <w:rPr>
                <w:rFonts w:cstheme="minorHAnsi"/>
                <w:i/>
                <w:iCs/>
              </w:rPr>
              <w:t xml:space="preserve"> </w:t>
            </w:r>
            <w:r w:rsidR="00C354C9" w:rsidRPr="005523B7">
              <w:rPr>
                <w:rFonts w:cstheme="minorHAnsi"/>
                <w:i/>
                <w:iCs/>
              </w:rPr>
              <w:t xml:space="preserve">Verbum </w:t>
            </w:r>
            <w:r w:rsidRPr="005523B7">
              <w:rPr>
                <w:rFonts w:cstheme="minorHAnsi"/>
                <w:i/>
                <w:iCs/>
              </w:rPr>
              <w:t>Dei</w:t>
            </w:r>
          </w:p>
        </w:tc>
      </w:tr>
      <w:tr w:rsidR="009B7D3B" w:rsidRPr="005523B7" w14:paraId="15C0923B" w14:textId="77777777" w:rsidTr="009B7D3B">
        <w:tc>
          <w:tcPr>
            <w:tcW w:w="1532" w:type="dxa"/>
          </w:tcPr>
          <w:p w14:paraId="12A98B90" w14:textId="433CE9A1" w:rsidR="009B7D3B" w:rsidRPr="003751B9" w:rsidRDefault="003751B9" w:rsidP="00DB309D">
            <w:pPr>
              <w:rPr>
                <w:rFonts w:cstheme="minorHAnsi"/>
              </w:rPr>
            </w:pPr>
            <w:r>
              <w:rPr>
                <w:rFonts w:cstheme="minorHAnsi"/>
              </w:rPr>
              <w:t>DI</w:t>
            </w:r>
          </w:p>
        </w:tc>
        <w:tc>
          <w:tcPr>
            <w:tcW w:w="6038" w:type="dxa"/>
          </w:tcPr>
          <w:p w14:paraId="0D5BCC7D" w14:textId="5508763D" w:rsidR="009B7D3B" w:rsidRPr="005523B7" w:rsidRDefault="009B7D3B" w:rsidP="00DB309D">
            <w:pPr>
              <w:rPr>
                <w:rFonts w:cstheme="minorHAnsi"/>
                <w:i/>
                <w:iCs/>
              </w:rPr>
            </w:pPr>
            <w:r w:rsidRPr="005523B7">
              <w:rPr>
                <w:rFonts w:cstheme="minorHAnsi"/>
                <w:i/>
                <w:iCs/>
              </w:rPr>
              <w:t xml:space="preserve">De </w:t>
            </w:r>
            <w:proofErr w:type="spellStart"/>
            <w:r w:rsidRPr="005523B7">
              <w:rPr>
                <w:rFonts w:cstheme="minorHAnsi"/>
                <w:i/>
                <w:iCs/>
              </w:rPr>
              <w:t>Incarnatione</w:t>
            </w:r>
            <w:proofErr w:type="spellEnd"/>
            <w:r w:rsidRPr="005523B7">
              <w:rPr>
                <w:rFonts w:cstheme="minorHAnsi"/>
                <w:i/>
                <w:iCs/>
              </w:rPr>
              <w:t xml:space="preserve"> </w:t>
            </w:r>
            <w:r w:rsidR="00C354C9" w:rsidRPr="005523B7">
              <w:rPr>
                <w:rFonts w:cstheme="minorHAnsi"/>
                <w:i/>
                <w:iCs/>
              </w:rPr>
              <w:t xml:space="preserve">Verbum </w:t>
            </w:r>
            <w:r w:rsidRPr="005523B7">
              <w:rPr>
                <w:rFonts w:cstheme="minorHAnsi"/>
                <w:i/>
                <w:iCs/>
              </w:rPr>
              <w:t>Dei</w:t>
            </w:r>
          </w:p>
        </w:tc>
      </w:tr>
      <w:tr w:rsidR="009B7D3B" w:rsidRPr="005523B7" w14:paraId="0FC0FDE8" w14:textId="77777777" w:rsidTr="009B7D3B">
        <w:tc>
          <w:tcPr>
            <w:tcW w:w="1532" w:type="dxa"/>
          </w:tcPr>
          <w:p w14:paraId="17B6AB77" w14:textId="293D9AB8" w:rsidR="009B7D3B" w:rsidRPr="003751B9" w:rsidRDefault="003751B9" w:rsidP="00DB309D">
            <w:pPr>
              <w:rPr>
                <w:rFonts w:cstheme="minorHAnsi"/>
              </w:rPr>
            </w:pPr>
            <w:r>
              <w:rPr>
                <w:rFonts w:cstheme="minorHAnsi"/>
              </w:rPr>
              <w:t>CG</w:t>
            </w:r>
          </w:p>
        </w:tc>
        <w:tc>
          <w:tcPr>
            <w:tcW w:w="6038" w:type="dxa"/>
          </w:tcPr>
          <w:p w14:paraId="55DCB963" w14:textId="77777777" w:rsidR="009B7D3B" w:rsidRPr="005523B7" w:rsidRDefault="009B7D3B" w:rsidP="00DB309D">
            <w:pPr>
              <w:rPr>
                <w:rFonts w:cstheme="minorHAnsi"/>
                <w:i/>
                <w:iCs/>
              </w:rPr>
            </w:pPr>
            <w:r w:rsidRPr="005523B7">
              <w:rPr>
                <w:rFonts w:cstheme="minorHAnsi"/>
                <w:i/>
                <w:iCs/>
              </w:rPr>
              <w:t xml:space="preserve">Contra </w:t>
            </w:r>
            <w:proofErr w:type="spellStart"/>
            <w:r w:rsidRPr="005523B7">
              <w:rPr>
                <w:rFonts w:cstheme="minorHAnsi"/>
                <w:i/>
                <w:iCs/>
              </w:rPr>
              <w:t>Gentes</w:t>
            </w:r>
            <w:proofErr w:type="spellEnd"/>
          </w:p>
        </w:tc>
      </w:tr>
      <w:tr w:rsidR="009B7D3B" w:rsidRPr="00CC721F" w14:paraId="68B8286F" w14:textId="77777777" w:rsidTr="009B7D3B">
        <w:tc>
          <w:tcPr>
            <w:tcW w:w="1532" w:type="dxa"/>
          </w:tcPr>
          <w:p w14:paraId="4AAC510D" w14:textId="4880FA39" w:rsidR="009B7D3B" w:rsidRPr="00CC721F" w:rsidRDefault="00CC721F" w:rsidP="00DB309D">
            <w:pPr>
              <w:rPr>
                <w:rFonts w:cstheme="minorHAnsi"/>
              </w:rPr>
            </w:pPr>
            <w:proofErr w:type="spellStart"/>
            <w:r w:rsidRPr="00CC721F">
              <w:rPr>
                <w:rFonts w:cstheme="minorHAnsi"/>
              </w:rPr>
              <w:t>Con.Ar</w:t>
            </w:r>
            <w:proofErr w:type="spellEnd"/>
            <w:r w:rsidRPr="00CC721F">
              <w:rPr>
                <w:rFonts w:cstheme="minorHAnsi"/>
              </w:rPr>
              <w:t>.</w:t>
            </w:r>
          </w:p>
        </w:tc>
        <w:tc>
          <w:tcPr>
            <w:tcW w:w="6038" w:type="dxa"/>
          </w:tcPr>
          <w:p w14:paraId="4FAE31C5" w14:textId="24E6B812" w:rsidR="009B7D3B" w:rsidRPr="00CC721F" w:rsidRDefault="00CC721F" w:rsidP="00DB309D">
            <w:pPr>
              <w:rPr>
                <w:rFonts w:cstheme="minorHAnsi"/>
                <w:i/>
                <w:iCs/>
              </w:rPr>
            </w:pPr>
            <w:r>
              <w:rPr>
                <w:rFonts w:cstheme="minorHAnsi"/>
                <w:i/>
                <w:iCs/>
              </w:rPr>
              <w:t xml:space="preserve">Contra </w:t>
            </w:r>
            <w:proofErr w:type="spellStart"/>
            <w:r>
              <w:rPr>
                <w:rFonts w:cstheme="minorHAnsi"/>
                <w:i/>
                <w:iCs/>
              </w:rPr>
              <w:t>Arianos</w:t>
            </w:r>
            <w:proofErr w:type="spellEnd"/>
          </w:p>
        </w:tc>
      </w:tr>
      <w:tr w:rsidR="009B7D3B" w:rsidRPr="00CC721F" w14:paraId="29FD973F" w14:textId="77777777" w:rsidTr="009B7D3B">
        <w:tc>
          <w:tcPr>
            <w:tcW w:w="1532" w:type="dxa"/>
          </w:tcPr>
          <w:p w14:paraId="0F62BEE3" w14:textId="77777777" w:rsidR="009B7D3B" w:rsidRPr="00CC721F" w:rsidRDefault="009B7D3B" w:rsidP="00DB309D">
            <w:pPr>
              <w:rPr>
                <w:rFonts w:cstheme="minorHAnsi"/>
              </w:rPr>
            </w:pPr>
          </w:p>
        </w:tc>
        <w:tc>
          <w:tcPr>
            <w:tcW w:w="6038" w:type="dxa"/>
          </w:tcPr>
          <w:p w14:paraId="5A41D10C" w14:textId="77777777" w:rsidR="009B7D3B" w:rsidRPr="00CC721F" w:rsidRDefault="009B7D3B" w:rsidP="00DB309D">
            <w:pPr>
              <w:rPr>
                <w:rFonts w:cstheme="minorHAnsi"/>
              </w:rPr>
            </w:pPr>
          </w:p>
        </w:tc>
      </w:tr>
      <w:tr w:rsidR="009B7D3B" w:rsidRPr="00CC721F" w14:paraId="3C2C0851" w14:textId="77777777" w:rsidTr="009B7D3B">
        <w:tc>
          <w:tcPr>
            <w:tcW w:w="1532" w:type="dxa"/>
          </w:tcPr>
          <w:p w14:paraId="2C42DE8C" w14:textId="77777777" w:rsidR="009B7D3B" w:rsidRPr="00CC721F" w:rsidRDefault="009B7D3B" w:rsidP="00DB309D">
            <w:pPr>
              <w:rPr>
                <w:rFonts w:cstheme="minorHAnsi"/>
              </w:rPr>
            </w:pPr>
          </w:p>
        </w:tc>
        <w:tc>
          <w:tcPr>
            <w:tcW w:w="6038" w:type="dxa"/>
          </w:tcPr>
          <w:p w14:paraId="1C6079C4" w14:textId="77777777" w:rsidR="009B7D3B" w:rsidRPr="00CC721F" w:rsidRDefault="009B7D3B" w:rsidP="00DB309D">
            <w:pPr>
              <w:rPr>
                <w:rFonts w:cstheme="minorHAnsi"/>
              </w:rPr>
            </w:pPr>
          </w:p>
        </w:tc>
      </w:tr>
      <w:tr w:rsidR="009B7D3B" w:rsidRPr="00CC721F" w14:paraId="793A2110" w14:textId="77777777" w:rsidTr="009B7D3B">
        <w:tc>
          <w:tcPr>
            <w:tcW w:w="1532" w:type="dxa"/>
          </w:tcPr>
          <w:p w14:paraId="417D6BA9" w14:textId="77777777" w:rsidR="009B7D3B" w:rsidRPr="00CC721F" w:rsidRDefault="009B7D3B" w:rsidP="00DB309D">
            <w:pPr>
              <w:rPr>
                <w:rFonts w:cstheme="minorHAnsi"/>
              </w:rPr>
            </w:pPr>
          </w:p>
        </w:tc>
        <w:tc>
          <w:tcPr>
            <w:tcW w:w="6038" w:type="dxa"/>
          </w:tcPr>
          <w:p w14:paraId="0397FFB9" w14:textId="77777777" w:rsidR="009B7D3B" w:rsidRPr="00CC721F" w:rsidRDefault="009B7D3B" w:rsidP="00DB309D">
            <w:pPr>
              <w:rPr>
                <w:rFonts w:cstheme="minorHAnsi"/>
              </w:rPr>
            </w:pPr>
          </w:p>
        </w:tc>
      </w:tr>
    </w:tbl>
    <w:p w14:paraId="49843FE8" w14:textId="4613603E" w:rsidR="009B7D3B" w:rsidRPr="00CC721F" w:rsidRDefault="009B7D3B" w:rsidP="00DB309D">
      <w:pPr>
        <w:rPr>
          <w:rFonts w:cstheme="minorHAnsi"/>
        </w:rPr>
      </w:pPr>
    </w:p>
    <w:p w14:paraId="303286B9" w14:textId="1D673882" w:rsidR="00E1645C" w:rsidRPr="005523B7" w:rsidRDefault="00070092" w:rsidP="00DB309D">
      <w:pPr>
        <w:rPr>
          <w:rFonts w:cstheme="minorHAnsi"/>
        </w:rPr>
      </w:pPr>
      <w:r>
        <w:rPr>
          <w:rFonts w:cstheme="minorHAnsi"/>
        </w:rPr>
        <w:br w:type="page"/>
      </w:r>
    </w:p>
    <w:p w14:paraId="00F96929" w14:textId="14366934" w:rsidR="0098607F" w:rsidRDefault="0098607F" w:rsidP="00BC4F6F">
      <w:pPr>
        <w:spacing w:line="360" w:lineRule="auto"/>
        <w:rPr>
          <w:rFonts w:cstheme="minorHAnsi"/>
        </w:rPr>
      </w:pPr>
      <w:r w:rsidRPr="005523B7">
        <w:rPr>
          <w:rFonts w:cstheme="minorHAnsi"/>
        </w:rPr>
        <w:lastRenderedPageBreak/>
        <w:t xml:space="preserve">Athanasius’ two-part apologetic, </w:t>
      </w:r>
      <w:r w:rsidRPr="005523B7">
        <w:rPr>
          <w:rFonts w:cstheme="minorHAnsi"/>
          <w:i/>
          <w:iCs/>
        </w:rPr>
        <w:t xml:space="preserve">Contra </w:t>
      </w:r>
      <w:proofErr w:type="spellStart"/>
      <w:r w:rsidRPr="005523B7">
        <w:rPr>
          <w:rFonts w:cstheme="minorHAnsi"/>
          <w:i/>
          <w:iCs/>
        </w:rPr>
        <w:t>Gentes</w:t>
      </w:r>
      <w:proofErr w:type="spellEnd"/>
      <w:r w:rsidRPr="005523B7">
        <w:rPr>
          <w:rFonts w:cstheme="minorHAnsi"/>
        </w:rPr>
        <w:t xml:space="preserve"> and </w:t>
      </w:r>
      <w:r w:rsidRPr="005523B7">
        <w:rPr>
          <w:rFonts w:cstheme="minorHAnsi"/>
          <w:i/>
          <w:iCs/>
        </w:rPr>
        <w:t xml:space="preserve">De </w:t>
      </w:r>
      <w:proofErr w:type="spellStart"/>
      <w:r w:rsidRPr="005523B7">
        <w:rPr>
          <w:rFonts w:cstheme="minorHAnsi"/>
          <w:i/>
          <w:iCs/>
        </w:rPr>
        <w:t>Incarnatione</w:t>
      </w:r>
      <w:proofErr w:type="spellEnd"/>
      <w:r w:rsidRPr="005523B7">
        <w:rPr>
          <w:rFonts w:cstheme="minorHAnsi"/>
          <w:i/>
          <w:iCs/>
        </w:rPr>
        <w:t xml:space="preserve"> </w:t>
      </w:r>
      <w:proofErr w:type="spellStart"/>
      <w:r w:rsidRPr="005523B7">
        <w:rPr>
          <w:rFonts w:cstheme="minorHAnsi"/>
          <w:i/>
          <w:iCs/>
        </w:rPr>
        <w:t>Verbi</w:t>
      </w:r>
      <w:proofErr w:type="spellEnd"/>
      <w:r w:rsidRPr="005523B7">
        <w:rPr>
          <w:rFonts w:cstheme="minorHAnsi"/>
          <w:i/>
          <w:iCs/>
        </w:rPr>
        <w:t xml:space="preserve"> Dei </w:t>
      </w:r>
      <w:r>
        <w:rPr>
          <w:rFonts w:cstheme="minorHAnsi"/>
        </w:rPr>
        <w:t xml:space="preserve">(CG-DI), </w:t>
      </w:r>
      <w:r w:rsidRPr="005523B7">
        <w:rPr>
          <w:rFonts w:cstheme="minorHAnsi"/>
        </w:rPr>
        <w:t>has been called the first great classic of developed Greek Orthodox theology.</w:t>
      </w:r>
      <w:r w:rsidRPr="004B77E8">
        <w:rPr>
          <w:rStyle w:val="FootnoteReference"/>
        </w:rPr>
        <w:footnoteReference w:id="1"/>
      </w:r>
      <w:r w:rsidR="004F6C19">
        <w:rPr>
          <w:rFonts w:cstheme="minorHAnsi"/>
        </w:rPr>
        <w:t xml:space="preserve"> </w:t>
      </w:r>
      <w:r>
        <w:rPr>
          <w:rFonts w:cstheme="minorHAnsi"/>
        </w:rPr>
        <w:t>The nub of its presenting issue concern</w:t>
      </w:r>
      <w:r w:rsidR="004669ED">
        <w:rPr>
          <w:rFonts w:cstheme="minorHAnsi"/>
        </w:rPr>
        <w:t>s</w:t>
      </w:r>
      <w:r>
        <w:rPr>
          <w:rFonts w:cstheme="minorHAnsi"/>
        </w:rPr>
        <w:t xml:space="preserve"> the identity and function of the Son of God, Jesus Christ. It is both theological and political</w:t>
      </w:r>
      <w:r w:rsidR="004669ED">
        <w:rPr>
          <w:rFonts w:cstheme="minorHAnsi"/>
        </w:rPr>
        <w:t xml:space="preserve"> struggle</w:t>
      </w:r>
      <w:r>
        <w:rPr>
          <w:rFonts w:cstheme="minorHAnsi"/>
        </w:rPr>
        <w:t>, the issue exacerbated by the many changes of emperor and bishop, and their adherents. It revolves around the Christological, soteriological understanding of the Son of God, Jesus Christ,</w:t>
      </w:r>
      <w:r w:rsidRPr="009D73E1">
        <w:rPr>
          <w:rFonts w:cstheme="minorHAnsi"/>
        </w:rPr>
        <w:t xml:space="preserve"> </w:t>
      </w:r>
      <w:r>
        <w:rPr>
          <w:rFonts w:cstheme="minorHAnsi"/>
        </w:rPr>
        <w:t>and the Trinity: “two schools, two debates and two councils”</w:t>
      </w:r>
      <w:r w:rsidRPr="004B77E8">
        <w:rPr>
          <w:rStyle w:val="FootnoteReference"/>
        </w:rPr>
        <w:footnoteReference w:id="2"/>
      </w:r>
      <w:r>
        <w:rPr>
          <w:rFonts w:cstheme="minorHAnsi"/>
        </w:rPr>
        <w:t xml:space="preserve">. </w:t>
      </w:r>
      <w:r w:rsidR="004F6C19">
        <w:rPr>
          <w:rFonts w:cstheme="minorHAnsi"/>
        </w:rPr>
        <w:t>It h</w:t>
      </w:r>
      <w:r>
        <w:rPr>
          <w:rFonts w:cstheme="minorHAnsi"/>
        </w:rPr>
        <w:t xml:space="preserve">angs on the importance of the words </w:t>
      </w:r>
      <w:proofErr w:type="spellStart"/>
      <w:r>
        <w:rPr>
          <w:rFonts w:cstheme="minorHAnsi"/>
          <w:i/>
          <w:iCs/>
        </w:rPr>
        <w:t>homoousios</w:t>
      </w:r>
      <w:proofErr w:type="spellEnd"/>
      <w:r>
        <w:rPr>
          <w:rFonts w:cstheme="minorHAnsi"/>
        </w:rPr>
        <w:t xml:space="preserve"> and </w:t>
      </w:r>
      <w:proofErr w:type="spellStart"/>
      <w:r>
        <w:rPr>
          <w:rFonts w:cstheme="minorHAnsi"/>
          <w:i/>
          <w:iCs/>
        </w:rPr>
        <w:t>homoiousios</w:t>
      </w:r>
      <w:proofErr w:type="spellEnd"/>
      <w:r w:rsidR="004F6C19">
        <w:rPr>
          <w:rFonts w:cstheme="minorHAnsi"/>
        </w:rPr>
        <w:t>, the opposing views of the Athanasi</w:t>
      </w:r>
      <w:r w:rsidR="004669ED">
        <w:rPr>
          <w:rFonts w:cstheme="minorHAnsi"/>
        </w:rPr>
        <w:t>an</w:t>
      </w:r>
      <w:r w:rsidR="004F6C19">
        <w:rPr>
          <w:rFonts w:cstheme="minorHAnsi"/>
        </w:rPr>
        <w:t>/Alexandrian and Arian interpretations.</w:t>
      </w:r>
      <w:r>
        <w:rPr>
          <w:rFonts w:cstheme="minorHAnsi"/>
        </w:rPr>
        <w:t xml:space="preserve"> </w:t>
      </w:r>
      <w:r w:rsidRPr="005523B7">
        <w:rPr>
          <w:rFonts w:cstheme="minorHAnsi"/>
        </w:rPr>
        <w:t xml:space="preserve">This essay focuses first on establishing the tenets of Athanasius’ Christology in </w:t>
      </w:r>
      <w:r>
        <w:rPr>
          <w:rFonts w:cstheme="minorHAnsi"/>
        </w:rPr>
        <w:t>DI</w:t>
      </w:r>
      <w:r w:rsidRPr="005523B7">
        <w:rPr>
          <w:rFonts w:cstheme="minorHAnsi"/>
        </w:rPr>
        <w:t xml:space="preserve">, then discusses the extent of </w:t>
      </w:r>
      <w:r w:rsidR="004F6C19">
        <w:rPr>
          <w:rFonts w:cstheme="minorHAnsi"/>
        </w:rPr>
        <w:t>Athanasius’ Christological</w:t>
      </w:r>
      <w:r w:rsidRPr="005523B7">
        <w:rPr>
          <w:rFonts w:cstheme="minorHAnsi"/>
        </w:rPr>
        <w:t xml:space="preserve"> dependency on a </w:t>
      </w:r>
      <w:r>
        <w:rPr>
          <w:rFonts w:cstheme="minorHAnsi"/>
        </w:rPr>
        <w:t>Trinit</w:t>
      </w:r>
      <w:r w:rsidRPr="005523B7">
        <w:rPr>
          <w:rFonts w:cstheme="minorHAnsi"/>
        </w:rPr>
        <w:t>arian faith.</w:t>
      </w:r>
    </w:p>
    <w:p w14:paraId="7A5077B3" w14:textId="77777777" w:rsidR="0098607F" w:rsidRDefault="0098607F" w:rsidP="00BC4F6F">
      <w:pPr>
        <w:spacing w:line="360" w:lineRule="auto"/>
        <w:rPr>
          <w:rFonts w:cstheme="minorHAnsi"/>
        </w:rPr>
      </w:pPr>
    </w:p>
    <w:p w14:paraId="7C0D0370" w14:textId="51D74AFB" w:rsidR="0098607F" w:rsidRDefault="004669ED" w:rsidP="00BC4F6F">
      <w:pPr>
        <w:spacing w:line="360" w:lineRule="auto"/>
        <w:rPr>
          <w:rFonts w:cstheme="minorHAnsi"/>
        </w:rPr>
      </w:pPr>
      <w:r>
        <w:rPr>
          <w:rFonts w:cstheme="minorHAnsi"/>
        </w:rPr>
        <w:t>His</w:t>
      </w:r>
      <w:r w:rsidR="0098607F">
        <w:rPr>
          <w:rFonts w:cstheme="minorHAnsi"/>
        </w:rPr>
        <w:t xml:space="preserve"> approach is necessarily </w:t>
      </w:r>
      <w:r w:rsidR="0098607F" w:rsidRPr="00300582">
        <w:rPr>
          <w:rFonts w:cstheme="minorHAnsi"/>
        </w:rPr>
        <w:t>Christocentric</w:t>
      </w:r>
      <w:r w:rsidR="0098607F">
        <w:rPr>
          <w:rFonts w:cstheme="minorHAnsi"/>
        </w:rPr>
        <w:t xml:space="preserve">, emphatically supported by Scripture. Athanasius argues that the Son of God is </w:t>
      </w:r>
      <w:proofErr w:type="spellStart"/>
      <w:r w:rsidR="0098607F">
        <w:rPr>
          <w:rFonts w:cstheme="minorHAnsi"/>
          <w:i/>
          <w:iCs/>
        </w:rPr>
        <w:t>homoousios</w:t>
      </w:r>
      <w:proofErr w:type="spellEnd"/>
      <w:r w:rsidR="0098607F">
        <w:rPr>
          <w:rFonts w:cstheme="minorHAnsi"/>
        </w:rPr>
        <w:t xml:space="preserve">, of “one substance” with God (the </w:t>
      </w:r>
      <w:r w:rsidR="0098607F" w:rsidRPr="007D6966">
        <w:rPr>
          <w:rFonts w:cstheme="minorHAnsi"/>
          <w:i/>
          <w:iCs/>
        </w:rPr>
        <w:t>absolute equality</w:t>
      </w:r>
      <w:r w:rsidR="0098607F">
        <w:rPr>
          <w:rFonts w:cstheme="minorHAnsi"/>
        </w:rPr>
        <w:t xml:space="preserve"> of Son and Father</w:t>
      </w:r>
      <w:r w:rsidR="0098607F" w:rsidRPr="004B77E8">
        <w:rPr>
          <w:rStyle w:val="FootnoteReference"/>
        </w:rPr>
        <w:footnoteReference w:id="3"/>
      </w:r>
      <w:r w:rsidR="0098607F">
        <w:rPr>
          <w:rFonts w:cstheme="minorHAnsi"/>
        </w:rPr>
        <w:t xml:space="preserve">), </w:t>
      </w:r>
      <w:r>
        <w:rPr>
          <w:rFonts w:cstheme="minorHAnsi"/>
        </w:rPr>
        <w:t>contrary to</w:t>
      </w:r>
      <w:r w:rsidR="0098607F">
        <w:rPr>
          <w:rFonts w:cstheme="minorHAnsi"/>
        </w:rPr>
        <w:t xml:space="preserve"> Arius’ argued </w:t>
      </w:r>
      <w:proofErr w:type="spellStart"/>
      <w:r w:rsidR="0098607F">
        <w:rPr>
          <w:rFonts w:cstheme="minorHAnsi"/>
          <w:i/>
          <w:iCs/>
        </w:rPr>
        <w:t>homoiousios</w:t>
      </w:r>
      <w:proofErr w:type="spellEnd"/>
      <w:r w:rsidR="0098607F">
        <w:rPr>
          <w:rFonts w:cstheme="minorHAnsi"/>
        </w:rPr>
        <w:t xml:space="preserve"> (of </w:t>
      </w:r>
      <w:r w:rsidR="0098607F" w:rsidRPr="007D4F85">
        <w:rPr>
          <w:rFonts w:cstheme="minorHAnsi"/>
          <w:i/>
          <w:iCs/>
        </w:rPr>
        <w:t>similar</w:t>
      </w:r>
      <w:r w:rsidR="0098607F">
        <w:rPr>
          <w:rFonts w:cstheme="minorHAnsi"/>
        </w:rPr>
        <w:t xml:space="preserve"> substance).</w:t>
      </w:r>
      <w:r>
        <w:rPr>
          <w:rFonts w:cstheme="minorHAnsi"/>
        </w:rPr>
        <w:t xml:space="preserve"> Athanasius</w:t>
      </w:r>
      <w:r w:rsidR="0098607F">
        <w:rPr>
          <w:rFonts w:cstheme="minorHAnsi"/>
        </w:rPr>
        <w:t xml:space="preserve"> identifies the </w:t>
      </w:r>
      <w:r w:rsidR="0098607F" w:rsidRPr="007D4F85">
        <w:rPr>
          <w:rFonts w:cstheme="minorHAnsi"/>
          <w:i/>
          <w:iCs/>
        </w:rPr>
        <w:t>Word of God</w:t>
      </w:r>
      <w:r w:rsidR="0098607F">
        <w:rPr>
          <w:rFonts w:cstheme="minorHAnsi"/>
        </w:rPr>
        <w:t xml:space="preserve"> with the necessary Incarnation as Jesus Christ, </w:t>
      </w:r>
      <w:r w:rsidR="0098607F" w:rsidRPr="007D4F85">
        <w:rPr>
          <w:rFonts w:cstheme="minorHAnsi"/>
          <w:i/>
          <w:iCs/>
        </w:rPr>
        <w:t>Son of God</w:t>
      </w:r>
      <w:r w:rsidR="0098607F">
        <w:rPr>
          <w:rFonts w:cstheme="minorHAnsi"/>
        </w:rPr>
        <w:t>, the two expressions accepted within earlier theological reasoning.</w:t>
      </w:r>
      <w:r w:rsidR="0098607F" w:rsidRPr="004B77E8">
        <w:rPr>
          <w:rStyle w:val="FootnoteReference"/>
        </w:rPr>
        <w:footnoteReference w:id="4"/>
      </w:r>
      <w:r w:rsidR="0098607F">
        <w:rPr>
          <w:rFonts w:cstheme="minorHAnsi"/>
        </w:rPr>
        <w:t xml:space="preserve"> A</w:t>
      </w:r>
      <w:r w:rsidR="0098607F" w:rsidRPr="00300582">
        <w:rPr>
          <w:rFonts w:cstheme="minorHAnsi"/>
        </w:rPr>
        <w:t xml:space="preserve">ll reality </w:t>
      </w:r>
      <w:r w:rsidR="0098607F">
        <w:rPr>
          <w:rFonts w:cstheme="minorHAnsi"/>
        </w:rPr>
        <w:t xml:space="preserve">from creation to salvation </w:t>
      </w:r>
      <w:r w:rsidR="0098607F" w:rsidRPr="00300582">
        <w:rPr>
          <w:rFonts w:cstheme="minorHAnsi"/>
        </w:rPr>
        <w:t xml:space="preserve">flows uniformly </w:t>
      </w:r>
      <w:r w:rsidR="0098607F">
        <w:rPr>
          <w:rFonts w:cstheme="minorHAnsi"/>
        </w:rPr>
        <w:t xml:space="preserve">through </w:t>
      </w:r>
      <w:r w:rsidR="0098607F" w:rsidRPr="00300582">
        <w:rPr>
          <w:rFonts w:cstheme="minorHAnsi"/>
        </w:rPr>
        <w:t>Christ’s identity in relation to God and humanity.</w:t>
      </w:r>
      <w:r w:rsidR="0098607F" w:rsidRPr="004B77E8">
        <w:rPr>
          <w:rStyle w:val="FootnoteReference"/>
        </w:rPr>
        <w:footnoteReference w:id="5"/>
      </w:r>
      <w:r w:rsidR="0098607F">
        <w:rPr>
          <w:rFonts w:cstheme="minorHAnsi"/>
        </w:rPr>
        <w:t xml:space="preserve"> </w:t>
      </w:r>
    </w:p>
    <w:p w14:paraId="0789C752" w14:textId="77777777" w:rsidR="0098607F" w:rsidRDefault="0098607F" w:rsidP="00BC4F6F">
      <w:pPr>
        <w:spacing w:line="360" w:lineRule="auto"/>
        <w:rPr>
          <w:rFonts w:cstheme="minorHAnsi"/>
        </w:rPr>
      </w:pPr>
    </w:p>
    <w:p w14:paraId="4BB03ED3" w14:textId="6B1EF64F" w:rsidR="0098607F" w:rsidRDefault="0098607F" w:rsidP="00BC4F6F">
      <w:pPr>
        <w:spacing w:line="360" w:lineRule="auto"/>
        <w:rPr>
          <w:rFonts w:cstheme="minorHAnsi"/>
        </w:rPr>
      </w:pPr>
      <w:r>
        <w:rPr>
          <w:rFonts w:cstheme="minorHAnsi"/>
        </w:rPr>
        <w:t>Athanasius reasons that Christ</w:t>
      </w:r>
      <w:r w:rsidRPr="00300582">
        <w:rPr>
          <w:rFonts w:cstheme="minorHAnsi"/>
        </w:rPr>
        <w:t xml:space="preserve"> is</w:t>
      </w:r>
      <w:r>
        <w:rPr>
          <w:rFonts w:cstheme="minorHAnsi"/>
        </w:rPr>
        <w:t xml:space="preserve"> </w:t>
      </w:r>
      <w:r w:rsidRPr="00300582">
        <w:rPr>
          <w:rFonts w:cstheme="minorHAnsi"/>
        </w:rPr>
        <w:t>Alpha and Omega</w:t>
      </w:r>
      <w:r>
        <w:rPr>
          <w:rFonts w:cstheme="minorHAnsi"/>
        </w:rPr>
        <w:t xml:space="preserve">. </w:t>
      </w:r>
      <w:proofErr w:type="spellStart"/>
      <w:r>
        <w:rPr>
          <w:rFonts w:cstheme="minorHAnsi"/>
          <w:i/>
          <w:iCs/>
        </w:rPr>
        <w:t>Homoousios</w:t>
      </w:r>
      <w:proofErr w:type="spellEnd"/>
      <w:r>
        <w:rPr>
          <w:rFonts w:cstheme="minorHAnsi"/>
        </w:rPr>
        <w:t xml:space="preserve"> flows through his presence as the Word of God with God </w:t>
      </w:r>
      <w:r w:rsidRPr="00EA46E1">
        <w:rPr>
          <w:rFonts w:cstheme="minorHAnsi"/>
          <w:i/>
          <w:iCs/>
        </w:rPr>
        <w:t>ab initio</w:t>
      </w:r>
      <w:r>
        <w:rPr>
          <w:rFonts w:cstheme="minorHAnsi"/>
        </w:rPr>
        <w:t xml:space="preserve">. The pre-existent, incorrupt, uncreated and infinite God with the consubstantial </w:t>
      </w:r>
      <w:r>
        <w:rPr>
          <w:rFonts w:cstheme="minorHAnsi"/>
          <w:i/>
          <w:iCs/>
        </w:rPr>
        <w:t xml:space="preserve">incorporeal </w:t>
      </w:r>
      <w:r>
        <w:rPr>
          <w:rFonts w:cstheme="minorHAnsi"/>
        </w:rPr>
        <w:t xml:space="preserve">Word of God created </w:t>
      </w:r>
      <w:r>
        <w:rPr>
          <w:rFonts w:cstheme="minorHAnsi"/>
          <w:i/>
          <w:iCs/>
        </w:rPr>
        <w:t xml:space="preserve">ex nihilo </w:t>
      </w:r>
      <w:r>
        <w:rPr>
          <w:rFonts w:cstheme="minorHAnsi"/>
        </w:rPr>
        <w:t xml:space="preserve">the </w:t>
      </w:r>
      <w:r>
        <w:rPr>
          <w:rFonts w:cstheme="minorHAnsi"/>
          <w:i/>
          <w:iCs/>
        </w:rPr>
        <w:t xml:space="preserve">corporeal </w:t>
      </w:r>
      <w:r>
        <w:rPr>
          <w:rFonts w:cstheme="minorHAnsi"/>
        </w:rPr>
        <w:t xml:space="preserve">world and all created beings with humans made </w:t>
      </w:r>
      <w:r>
        <w:rPr>
          <w:rFonts w:cstheme="minorHAnsi"/>
          <w:i/>
          <w:iCs/>
        </w:rPr>
        <w:t>imagine Dei</w:t>
      </w:r>
      <w:r>
        <w:rPr>
          <w:rFonts w:cstheme="minorHAnsi"/>
        </w:rPr>
        <w:t>. Humanity became corrupted and mortal through the Fall (1.1-5)</w:t>
      </w:r>
      <w:r w:rsidRPr="004B77E8">
        <w:rPr>
          <w:rStyle w:val="FootnoteReference"/>
        </w:rPr>
        <w:footnoteReference w:id="6"/>
      </w:r>
      <w:r>
        <w:rPr>
          <w:rFonts w:cstheme="minorHAnsi"/>
        </w:rPr>
        <w:t xml:space="preserve">, increasingly distant from the Creator. This necessitated the </w:t>
      </w:r>
      <w:r>
        <w:rPr>
          <w:rFonts w:cstheme="minorHAnsi"/>
        </w:rPr>
        <w:lastRenderedPageBreak/>
        <w:t>Word becoming flesh in response to mankind’s transgression. This transgression cried out for salvation, requiring humanity’s total renewal “by the Self-same Word Who made it in the beginning”</w:t>
      </w:r>
      <w:r w:rsidRPr="004B77E8">
        <w:rPr>
          <w:rStyle w:val="FootnoteReference"/>
        </w:rPr>
        <w:footnoteReference w:id="7"/>
      </w:r>
      <w:r>
        <w:rPr>
          <w:rFonts w:cstheme="minorHAnsi"/>
        </w:rPr>
        <w:t xml:space="preserve">. Renewal could transpire only </w:t>
      </w:r>
      <w:r w:rsidRPr="005523B7">
        <w:rPr>
          <w:rFonts w:cstheme="minorHAnsi"/>
        </w:rPr>
        <w:t>through Incarnation</w:t>
      </w:r>
      <w:r>
        <w:rPr>
          <w:rFonts w:cstheme="minorHAnsi"/>
        </w:rPr>
        <w:t xml:space="preserve"> of the Word, destroying death and corruption through the necessary assumption of a </w:t>
      </w:r>
      <w:r w:rsidR="004669ED">
        <w:rPr>
          <w:rFonts w:cstheme="minorHAnsi"/>
        </w:rPr>
        <w:t xml:space="preserve">corporeal finite </w:t>
      </w:r>
      <w:r>
        <w:rPr>
          <w:rFonts w:cstheme="minorHAnsi"/>
        </w:rPr>
        <w:t>body, like mankind,</w:t>
      </w:r>
      <w:r w:rsidR="004669ED">
        <w:rPr>
          <w:rFonts w:cstheme="minorHAnsi"/>
        </w:rPr>
        <w:t xml:space="preserve"> created</w:t>
      </w:r>
      <w:r>
        <w:rPr>
          <w:rFonts w:cstheme="minorHAnsi"/>
        </w:rPr>
        <w:t xml:space="preserve"> </w:t>
      </w:r>
      <w:r>
        <w:rPr>
          <w:rFonts w:cstheme="minorHAnsi"/>
          <w:i/>
          <w:iCs/>
        </w:rPr>
        <w:t>imagine Dei.</w:t>
      </w:r>
      <w:r w:rsidRPr="004B77E8">
        <w:rPr>
          <w:rStyle w:val="FootnoteReference"/>
        </w:rPr>
        <w:footnoteReference w:id="8"/>
      </w:r>
      <w:r>
        <w:rPr>
          <w:rFonts w:cstheme="minorHAnsi"/>
        </w:rPr>
        <w:t xml:space="preserve"> </w:t>
      </w:r>
    </w:p>
    <w:p w14:paraId="4366FAAC" w14:textId="77777777" w:rsidR="0098607F" w:rsidRDefault="0098607F" w:rsidP="00BC4F6F">
      <w:pPr>
        <w:spacing w:line="360" w:lineRule="auto"/>
        <w:rPr>
          <w:rFonts w:cstheme="minorHAnsi"/>
        </w:rPr>
      </w:pPr>
    </w:p>
    <w:p w14:paraId="60AB600A" w14:textId="35B1C782" w:rsidR="0098607F" w:rsidRDefault="0098607F" w:rsidP="00BC4F6F">
      <w:pPr>
        <w:spacing w:line="360" w:lineRule="auto"/>
        <w:rPr>
          <w:rFonts w:eastAsia="Times New Roman" w:cstheme="minorHAnsi"/>
          <w:kern w:val="0"/>
          <w:lang w:eastAsia="en-GB"/>
          <w14:ligatures w14:val="none"/>
        </w:rPr>
      </w:pPr>
      <w:r>
        <w:rPr>
          <w:rFonts w:cstheme="minorHAnsi"/>
        </w:rPr>
        <w:t xml:space="preserve">Jesus Christ, the incarnate Word must suffer as a sacrificial substitute </w:t>
      </w:r>
      <w:r w:rsidR="00F72507">
        <w:rPr>
          <w:rFonts w:cstheme="minorHAnsi"/>
        </w:rPr>
        <w:t>for all humanity (not some form of penal, retributive justice, but grace</w:t>
      </w:r>
      <w:r w:rsidR="00F72507" w:rsidRPr="004B77E8">
        <w:rPr>
          <w:rStyle w:val="FootnoteReference"/>
        </w:rPr>
        <w:footnoteReference w:id="9"/>
      </w:r>
      <w:r w:rsidR="00F72507">
        <w:rPr>
          <w:rFonts w:cstheme="minorHAnsi"/>
        </w:rPr>
        <w:t>)</w:t>
      </w:r>
      <w:r>
        <w:rPr>
          <w:rFonts w:cstheme="minorHAnsi"/>
        </w:rPr>
        <w:t>, then be able to intercede for all with the Father and inaugurate the new Creation.</w:t>
      </w:r>
      <w:r w:rsidRPr="004B77E8">
        <w:rPr>
          <w:rStyle w:val="FootnoteReference"/>
        </w:rPr>
        <w:footnoteReference w:id="10"/>
      </w:r>
      <w:r w:rsidRPr="005523B7">
        <w:rPr>
          <w:rFonts w:eastAsia="Times New Roman" w:cstheme="minorHAnsi"/>
          <w:kern w:val="0"/>
          <w:lang w:eastAsia="en-GB"/>
          <w14:ligatures w14:val="none"/>
        </w:rPr>
        <w:t xml:space="preserve"> </w:t>
      </w:r>
      <w:r>
        <w:rPr>
          <w:rFonts w:cstheme="minorHAnsi"/>
        </w:rPr>
        <w:t>Through God’s love</w:t>
      </w:r>
      <w:r w:rsidRPr="004B77E8">
        <w:rPr>
          <w:rStyle w:val="FootnoteReference"/>
        </w:rPr>
        <w:footnoteReference w:id="11"/>
      </w:r>
      <w:r>
        <w:rPr>
          <w:rFonts w:cstheme="minorHAnsi"/>
        </w:rPr>
        <w:t>, death is defeated once and for all</w:t>
      </w:r>
      <w:r w:rsidRPr="005523B7">
        <w:rPr>
          <w:rFonts w:cstheme="minorHAnsi"/>
        </w:rPr>
        <w:t xml:space="preserve"> </w:t>
      </w:r>
      <w:r>
        <w:rPr>
          <w:rFonts w:cstheme="minorHAnsi"/>
        </w:rPr>
        <w:t xml:space="preserve">by </w:t>
      </w:r>
      <w:r w:rsidRPr="005523B7">
        <w:rPr>
          <w:rFonts w:cstheme="minorHAnsi"/>
        </w:rPr>
        <w:t xml:space="preserve">Christ’s </w:t>
      </w:r>
      <w:r>
        <w:rPr>
          <w:rFonts w:cstheme="minorHAnsi"/>
        </w:rPr>
        <w:t>d</w:t>
      </w:r>
      <w:r w:rsidRPr="005523B7">
        <w:rPr>
          <w:rFonts w:cstheme="minorHAnsi"/>
        </w:rPr>
        <w:t xml:space="preserve">eath and subsequent </w:t>
      </w:r>
      <w:r>
        <w:rPr>
          <w:rFonts w:cstheme="minorHAnsi"/>
        </w:rPr>
        <w:t>Resurrection</w:t>
      </w:r>
      <w:r w:rsidRPr="004B77E8">
        <w:rPr>
          <w:rStyle w:val="FootnoteReference"/>
        </w:rPr>
        <w:footnoteReference w:id="12"/>
      </w:r>
      <w:r>
        <w:rPr>
          <w:rFonts w:cstheme="minorHAnsi"/>
        </w:rPr>
        <w:t>:</w:t>
      </w:r>
    </w:p>
    <w:p w14:paraId="29904B62" w14:textId="77777777" w:rsidR="0098607F" w:rsidRDefault="0098607F" w:rsidP="00BC4F6F">
      <w:pPr>
        <w:spacing w:line="360" w:lineRule="auto"/>
        <w:ind w:left="720"/>
        <w:rPr>
          <w:rFonts w:eastAsia="Times New Roman" w:cstheme="minorHAnsi"/>
          <w:kern w:val="0"/>
          <w:lang w:eastAsia="en-GB"/>
          <w14:ligatures w14:val="none"/>
        </w:rPr>
      </w:pPr>
      <w:r>
        <w:rPr>
          <w:rFonts w:eastAsia="Times New Roman" w:cstheme="minorHAnsi"/>
          <w:kern w:val="0"/>
          <w:lang w:eastAsia="en-GB"/>
          <w14:ligatures w14:val="none"/>
        </w:rPr>
        <w:t>“in no other way was it expedient for us, indeed the Lord offered for our sakes the one death that was supremely good”</w:t>
      </w:r>
      <w:r w:rsidRPr="004B77E8">
        <w:rPr>
          <w:rStyle w:val="FootnoteReference"/>
        </w:rPr>
        <w:footnoteReference w:id="13"/>
      </w:r>
      <w:r>
        <w:rPr>
          <w:rFonts w:eastAsia="Times New Roman" w:cstheme="minorHAnsi"/>
          <w:kern w:val="0"/>
          <w:lang w:eastAsia="en-GB"/>
          <w14:ligatures w14:val="none"/>
        </w:rPr>
        <w:t xml:space="preserve">. </w:t>
      </w:r>
    </w:p>
    <w:p w14:paraId="1FA8A9B9" w14:textId="1DDC302F" w:rsidR="0098607F" w:rsidRDefault="0098607F" w:rsidP="00BC4F6F">
      <w:pPr>
        <w:spacing w:line="360" w:lineRule="auto"/>
        <w:rPr>
          <w:rFonts w:eastAsia="Times New Roman" w:cstheme="minorHAnsi"/>
          <w:kern w:val="0"/>
          <w:lang w:eastAsia="en-GB"/>
          <w14:ligatures w14:val="none"/>
        </w:rPr>
      </w:pPr>
      <w:r>
        <w:rPr>
          <w:rFonts w:eastAsia="Times New Roman" w:cstheme="minorHAnsi"/>
          <w:kern w:val="0"/>
          <w:lang w:eastAsia="en-GB"/>
          <w14:ligatures w14:val="none"/>
        </w:rPr>
        <w:t>Athanasius defies alternative conclusions (5.30-32).</w:t>
      </w:r>
    </w:p>
    <w:p w14:paraId="2483DDC0" w14:textId="77777777" w:rsidR="0098607F" w:rsidRDefault="0098607F" w:rsidP="00BC4F6F">
      <w:pPr>
        <w:spacing w:line="360" w:lineRule="auto"/>
        <w:rPr>
          <w:rFonts w:cstheme="minorHAnsi"/>
        </w:rPr>
      </w:pPr>
    </w:p>
    <w:p w14:paraId="71DEC36C" w14:textId="19AB9484" w:rsidR="0098607F" w:rsidRDefault="0098607F" w:rsidP="00BC4F6F">
      <w:pPr>
        <w:spacing w:line="360" w:lineRule="auto"/>
        <w:rPr>
          <w:rFonts w:cstheme="minorHAnsi"/>
        </w:rPr>
      </w:pPr>
      <w:r>
        <w:rPr>
          <w:rFonts w:cstheme="minorHAnsi"/>
        </w:rPr>
        <w:t>Athanasius shows how the Jewish Scriptures attest to a Trinitarian understanding (6.33-40)</w:t>
      </w:r>
      <w:r w:rsidR="004669ED">
        <w:rPr>
          <w:rFonts w:cstheme="minorHAnsi"/>
        </w:rPr>
        <w:t>, whilst</w:t>
      </w:r>
      <w:r>
        <w:rPr>
          <w:rFonts w:cstheme="minorHAnsi"/>
        </w:rPr>
        <w:t xml:space="preserve"> </w:t>
      </w:r>
      <w:r w:rsidRPr="00300582">
        <w:rPr>
          <w:rFonts w:cstheme="minorHAnsi"/>
        </w:rPr>
        <w:t>find</w:t>
      </w:r>
      <w:r w:rsidR="004669ED">
        <w:rPr>
          <w:rFonts w:cstheme="minorHAnsi"/>
        </w:rPr>
        <w:t>ing</w:t>
      </w:r>
      <w:r w:rsidRPr="00300582">
        <w:rPr>
          <w:rFonts w:cstheme="minorHAnsi"/>
        </w:rPr>
        <w:t xml:space="preserve"> no other explanation </w:t>
      </w:r>
      <w:r w:rsidR="004669ED">
        <w:rPr>
          <w:rFonts w:cstheme="minorHAnsi"/>
        </w:rPr>
        <w:t xml:space="preserve">in Gentile philosophy (7.41-8.55) </w:t>
      </w:r>
      <w:r w:rsidRPr="00300582">
        <w:rPr>
          <w:rFonts w:cstheme="minorHAnsi"/>
        </w:rPr>
        <w:t>than to claim Jesus Christ as indeed “the Son of God, Existent Word and Wisdom and Power of the Father”</w:t>
      </w:r>
      <w:r w:rsidRPr="004B77E8">
        <w:rPr>
          <w:rStyle w:val="FootnoteReference"/>
        </w:rPr>
        <w:footnoteReference w:id="14"/>
      </w:r>
      <w:r w:rsidR="004669ED">
        <w:rPr>
          <w:rFonts w:cstheme="minorHAnsi"/>
        </w:rPr>
        <w:t>.</w:t>
      </w:r>
      <w:r w:rsidRPr="00300582">
        <w:rPr>
          <w:rFonts w:cstheme="minorHAnsi"/>
        </w:rPr>
        <w:t xml:space="preserve"> </w:t>
      </w:r>
      <w:r w:rsidR="004669ED">
        <w:rPr>
          <w:rFonts w:cstheme="minorHAnsi"/>
        </w:rPr>
        <w:t xml:space="preserve">He </w:t>
      </w:r>
      <w:r w:rsidRPr="00300582">
        <w:rPr>
          <w:rFonts w:cstheme="minorHAnsi"/>
        </w:rPr>
        <w:t xml:space="preserve">seemingly </w:t>
      </w:r>
      <w:r w:rsidR="004669ED">
        <w:rPr>
          <w:rFonts w:cstheme="minorHAnsi"/>
        </w:rPr>
        <w:t>conflates</w:t>
      </w:r>
      <w:r w:rsidRPr="00300582">
        <w:rPr>
          <w:rFonts w:cstheme="minorHAnsi"/>
        </w:rPr>
        <w:t xml:space="preserve"> </w:t>
      </w:r>
      <w:r w:rsidR="004669ED">
        <w:rPr>
          <w:rFonts w:cstheme="minorHAnsi"/>
        </w:rPr>
        <w:t>‘</w:t>
      </w:r>
      <w:r w:rsidRPr="00300582">
        <w:rPr>
          <w:rFonts w:cstheme="minorHAnsi"/>
        </w:rPr>
        <w:t>Son of God</w:t>
      </w:r>
      <w:r w:rsidR="004669ED">
        <w:rPr>
          <w:rFonts w:cstheme="minorHAnsi"/>
        </w:rPr>
        <w:t>’</w:t>
      </w:r>
      <w:r w:rsidRPr="00300582">
        <w:rPr>
          <w:rFonts w:cstheme="minorHAnsi"/>
        </w:rPr>
        <w:t>/‘</w:t>
      </w:r>
      <w:r w:rsidRPr="00300582">
        <w:rPr>
          <w:rFonts w:cstheme="minorHAnsi"/>
          <w:i/>
          <w:iCs/>
        </w:rPr>
        <w:t>pneuma’/’</w:t>
      </w:r>
      <w:proofErr w:type="spellStart"/>
      <w:r w:rsidRPr="00300582">
        <w:rPr>
          <w:rFonts w:cstheme="minorHAnsi"/>
          <w:i/>
          <w:iCs/>
        </w:rPr>
        <w:t>ruach</w:t>
      </w:r>
      <w:proofErr w:type="spellEnd"/>
      <w:r w:rsidRPr="00300582">
        <w:rPr>
          <w:rFonts w:cstheme="minorHAnsi"/>
          <w:i/>
          <w:iCs/>
        </w:rPr>
        <w:t>’</w:t>
      </w:r>
      <w:r w:rsidRPr="00300582">
        <w:rPr>
          <w:rFonts w:cstheme="minorHAnsi"/>
        </w:rPr>
        <w:t xml:space="preserve"> </w:t>
      </w:r>
      <w:r w:rsidR="004669ED">
        <w:rPr>
          <w:rFonts w:cstheme="minorHAnsi"/>
        </w:rPr>
        <w:t>within the</w:t>
      </w:r>
      <w:r w:rsidRPr="00300582">
        <w:rPr>
          <w:rFonts w:cstheme="minorHAnsi"/>
        </w:rPr>
        <w:t xml:space="preserve"> triune consubstantial relationship, via a confessional rather than a systematically theological understanding like Paul and John</w:t>
      </w:r>
      <w:r w:rsidRPr="004B77E8">
        <w:rPr>
          <w:rStyle w:val="FootnoteReference"/>
        </w:rPr>
        <w:footnoteReference w:id="15"/>
      </w:r>
      <w:r w:rsidRPr="00300582">
        <w:rPr>
          <w:rFonts w:cstheme="minorHAnsi"/>
        </w:rPr>
        <w:t>.</w:t>
      </w:r>
    </w:p>
    <w:p w14:paraId="76F88524" w14:textId="4B0AADAB" w:rsidR="008D1BDF" w:rsidRDefault="008D1BDF" w:rsidP="00BC4F6F">
      <w:pPr>
        <w:spacing w:line="360" w:lineRule="auto"/>
        <w:rPr>
          <w:rFonts w:cstheme="minorHAnsi"/>
        </w:rPr>
      </w:pPr>
    </w:p>
    <w:p w14:paraId="3C168651" w14:textId="3F48CB6F" w:rsidR="00A77488" w:rsidRPr="00357154" w:rsidRDefault="004672F3" w:rsidP="00BC4F6F">
      <w:pPr>
        <w:spacing w:line="360" w:lineRule="auto"/>
        <w:rPr>
          <w:rFonts w:cstheme="minorHAnsi"/>
          <w:b/>
          <w:bCs/>
        </w:rPr>
      </w:pPr>
      <w:r>
        <w:rPr>
          <w:rFonts w:cstheme="minorHAnsi"/>
        </w:rPr>
        <w:t>Athanasius</w:t>
      </w:r>
      <w:r w:rsidR="00A77488">
        <w:rPr>
          <w:rFonts w:cstheme="minorHAnsi"/>
        </w:rPr>
        <w:t xml:space="preserve">’ </w:t>
      </w:r>
      <w:r>
        <w:rPr>
          <w:rFonts w:cstheme="minorHAnsi"/>
        </w:rPr>
        <w:t xml:space="preserve">trinitarian views are not fully expressed in CG-DI; that is not its purpose. His Christology </w:t>
      </w:r>
      <w:r w:rsidR="00294051">
        <w:rPr>
          <w:rFonts w:cstheme="minorHAnsi"/>
        </w:rPr>
        <w:t>is consistent</w:t>
      </w:r>
      <w:r w:rsidR="00294051" w:rsidRPr="004B77E8">
        <w:rPr>
          <w:rStyle w:val="FootnoteReference"/>
        </w:rPr>
        <w:footnoteReference w:id="16"/>
      </w:r>
      <w:r w:rsidR="00294051">
        <w:rPr>
          <w:rFonts w:cstheme="minorHAnsi"/>
        </w:rPr>
        <w:t xml:space="preserve">; </w:t>
      </w:r>
      <w:r w:rsidR="00A77488">
        <w:rPr>
          <w:rFonts w:cstheme="minorHAnsi"/>
        </w:rPr>
        <w:t xml:space="preserve">it relies on the </w:t>
      </w:r>
      <w:r w:rsidR="00A77488" w:rsidRPr="005E1E3C">
        <w:rPr>
          <w:rFonts w:cstheme="minorHAnsi"/>
          <w:i/>
          <w:iCs/>
        </w:rPr>
        <w:t xml:space="preserve">activity </w:t>
      </w:r>
      <w:r w:rsidR="00A77488">
        <w:rPr>
          <w:rFonts w:cstheme="minorHAnsi"/>
        </w:rPr>
        <w:t xml:space="preserve">of the triune God. </w:t>
      </w:r>
      <w:r w:rsidR="004669ED">
        <w:rPr>
          <w:rFonts w:cstheme="minorHAnsi"/>
        </w:rPr>
        <w:t>F</w:t>
      </w:r>
      <w:r w:rsidR="00A77488">
        <w:rPr>
          <w:rFonts w:cstheme="minorHAnsi"/>
        </w:rPr>
        <w:t xml:space="preserve">irst, through the Word’s </w:t>
      </w:r>
      <w:r w:rsidR="00A77488" w:rsidRPr="005E1E3C">
        <w:rPr>
          <w:rFonts w:cstheme="minorHAnsi"/>
          <w:i/>
          <w:iCs/>
        </w:rPr>
        <w:t>activity</w:t>
      </w:r>
      <w:r w:rsidR="00A77488">
        <w:rPr>
          <w:rFonts w:cstheme="minorHAnsi"/>
        </w:rPr>
        <w:t xml:space="preserve"> in the Creation, Incarnation, Resurrection, the Word of God evidences </w:t>
      </w:r>
      <w:r w:rsidR="00A77488" w:rsidRPr="004669ED">
        <w:rPr>
          <w:rFonts w:cstheme="minorHAnsi"/>
          <w:i/>
          <w:iCs/>
        </w:rPr>
        <w:t xml:space="preserve">divine </w:t>
      </w:r>
      <w:r w:rsidR="00A77488" w:rsidRPr="004669ED">
        <w:rPr>
          <w:rFonts w:cstheme="minorHAnsi"/>
        </w:rPr>
        <w:lastRenderedPageBreak/>
        <w:t>activity,</w:t>
      </w:r>
      <w:r w:rsidR="00A77488">
        <w:rPr>
          <w:rFonts w:cstheme="minorHAnsi"/>
        </w:rPr>
        <w:t xml:space="preserve"> in </w:t>
      </w:r>
      <w:r w:rsidR="004669ED">
        <w:rPr>
          <w:rFonts w:cstheme="minorHAnsi"/>
        </w:rPr>
        <w:t xml:space="preserve">both </w:t>
      </w:r>
      <w:r w:rsidR="00A77488">
        <w:rPr>
          <w:rFonts w:cstheme="minorHAnsi"/>
        </w:rPr>
        <w:t xml:space="preserve">the person and substance of God’s Son and, secondly, through God’s activity in the world </w:t>
      </w:r>
      <w:r w:rsidR="00A77488">
        <w:rPr>
          <w:rFonts w:cstheme="minorHAnsi"/>
          <w:i/>
          <w:iCs/>
        </w:rPr>
        <w:t>through</w:t>
      </w:r>
      <w:r w:rsidR="00A77488">
        <w:rPr>
          <w:rFonts w:cstheme="minorHAnsi"/>
        </w:rPr>
        <w:t xml:space="preserve"> his Son and </w:t>
      </w:r>
      <w:r w:rsidR="00A77488" w:rsidRPr="009339F7">
        <w:rPr>
          <w:rFonts w:cstheme="minorHAnsi"/>
          <w:i/>
          <w:iCs/>
        </w:rPr>
        <w:t>separately through</w:t>
      </w:r>
      <w:r w:rsidR="00A77488">
        <w:rPr>
          <w:rFonts w:cstheme="minorHAnsi"/>
        </w:rPr>
        <w:t xml:space="preserve"> his </w:t>
      </w:r>
      <w:r w:rsidR="00A77488">
        <w:rPr>
          <w:rFonts w:cstheme="minorHAnsi"/>
          <w:i/>
          <w:iCs/>
        </w:rPr>
        <w:t>revelation</w:t>
      </w:r>
      <w:r w:rsidR="00A77488">
        <w:rPr>
          <w:rFonts w:cstheme="minorHAnsi"/>
        </w:rPr>
        <w:t xml:space="preserve"> to the </w:t>
      </w:r>
      <w:proofErr w:type="spellStart"/>
      <w:r w:rsidR="00A77488">
        <w:rPr>
          <w:rFonts w:cstheme="minorHAnsi"/>
        </w:rPr>
        <w:t>patriachs</w:t>
      </w:r>
      <w:proofErr w:type="spellEnd"/>
      <w:r w:rsidR="00A77488">
        <w:rPr>
          <w:rFonts w:cstheme="minorHAnsi"/>
        </w:rPr>
        <w:t>, prophets, apostles and scriptural texts.</w:t>
      </w:r>
      <w:r w:rsidR="00A77488" w:rsidRPr="004B77E8">
        <w:rPr>
          <w:rStyle w:val="FootnoteReference"/>
        </w:rPr>
        <w:footnoteReference w:id="17"/>
      </w:r>
    </w:p>
    <w:p w14:paraId="32CF379B" w14:textId="77777777" w:rsidR="00A77488" w:rsidRDefault="00A77488" w:rsidP="00BC4F6F">
      <w:pPr>
        <w:spacing w:line="360" w:lineRule="auto"/>
        <w:rPr>
          <w:rFonts w:cstheme="minorHAnsi"/>
        </w:rPr>
      </w:pPr>
    </w:p>
    <w:p w14:paraId="6E11C146" w14:textId="00AE67E3" w:rsidR="00153140" w:rsidRDefault="00294051" w:rsidP="00BC4F6F">
      <w:pPr>
        <w:spacing w:line="360" w:lineRule="auto"/>
        <w:rPr>
          <w:rFonts w:cstheme="minorHAnsi"/>
        </w:rPr>
      </w:pPr>
      <w:r w:rsidRPr="005523B7">
        <w:rPr>
          <w:rFonts w:cstheme="minorHAnsi"/>
        </w:rPr>
        <w:t xml:space="preserve">George </w:t>
      </w:r>
      <w:proofErr w:type="spellStart"/>
      <w:r w:rsidRPr="005523B7">
        <w:rPr>
          <w:rFonts w:cstheme="minorHAnsi"/>
        </w:rPr>
        <w:t>Lindbeck</w:t>
      </w:r>
      <w:proofErr w:type="spellEnd"/>
      <w:r w:rsidRPr="005523B7">
        <w:rPr>
          <w:rFonts w:cstheme="minorHAnsi"/>
        </w:rPr>
        <w:t xml:space="preserve"> </w:t>
      </w:r>
      <w:r w:rsidR="004669ED">
        <w:rPr>
          <w:rFonts w:cstheme="minorHAnsi"/>
        </w:rPr>
        <w:t>emphasises</w:t>
      </w:r>
      <w:r w:rsidRPr="005523B7">
        <w:rPr>
          <w:rFonts w:cstheme="minorHAnsi"/>
        </w:rPr>
        <w:t xml:space="preserve"> Athanasius</w:t>
      </w:r>
      <w:r w:rsidR="004669ED">
        <w:rPr>
          <w:rFonts w:cstheme="minorHAnsi"/>
        </w:rPr>
        <w:t>’</w:t>
      </w:r>
      <w:r w:rsidRPr="005523B7">
        <w:rPr>
          <w:rFonts w:cstheme="minorHAnsi"/>
        </w:rPr>
        <w:t xml:space="preserve"> underst</w:t>
      </w:r>
      <w:r w:rsidR="004669ED">
        <w:rPr>
          <w:rFonts w:cstheme="minorHAnsi"/>
        </w:rPr>
        <w:t>anding of</w:t>
      </w:r>
      <w:r w:rsidRPr="005523B7">
        <w:rPr>
          <w:rFonts w:cstheme="minorHAnsi"/>
        </w:rPr>
        <w:t xml:space="preserve"> the consubstantiality of the Father and the Son</w:t>
      </w:r>
      <w:r>
        <w:rPr>
          <w:rFonts w:cstheme="minorHAnsi"/>
        </w:rPr>
        <w:t>, without being one and the same person.</w:t>
      </w:r>
      <w:r w:rsidRPr="004B77E8">
        <w:rPr>
          <w:rStyle w:val="FootnoteReference"/>
        </w:rPr>
        <w:footnoteReference w:id="18"/>
      </w:r>
      <w:r w:rsidRPr="005523B7">
        <w:rPr>
          <w:rFonts w:cstheme="minorHAnsi"/>
        </w:rPr>
        <w:t xml:space="preserve"> </w:t>
      </w:r>
      <w:r w:rsidR="004669ED">
        <w:rPr>
          <w:rFonts w:cstheme="minorHAnsi"/>
        </w:rPr>
        <w:t xml:space="preserve">Athanasius </w:t>
      </w:r>
      <w:r w:rsidRPr="005523B7">
        <w:rPr>
          <w:rFonts w:cstheme="minorHAnsi"/>
        </w:rPr>
        <w:t xml:space="preserve">reveals his </w:t>
      </w:r>
      <w:r>
        <w:rPr>
          <w:rFonts w:cstheme="minorHAnsi"/>
        </w:rPr>
        <w:t>Trinit</w:t>
      </w:r>
      <w:r w:rsidRPr="005523B7">
        <w:rPr>
          <w:rFonts w:cstheme="minorHAnsi"/>
        </w:rPr>
        <w:t xml:space="preserve">arian views in the guise of </w:t>
      </w:r>
      <w:r w:rsidRPr="00215E2F">
        <w:rPr>
          <w:rFonts w:cstheme="minorHAnsi"/>
          <w:i/>
          <w:iCs/>
        </w:rPr>
        <w:t>revelation</w:t>
      </w:r>
      <w:r w:rsidRPr="005523B7">
        <w:rPr>
          <w:rFonts w:cstheme="minorHAnsi"/>
        </w:rPr>
        <w:t xml:space="preserve">. </w:t>
      </w:r>
      <w:r w:rsidR="00743ECF">
        <w:rPr>
          <w:rFonts w:cstheme="minorHAnsi"/>
        </w:rPr>
        <w:t>He</w:t>
      </w:r>
      <w:r w:rsidR="00743ECF" w:rsidRPr="00FE06E2">
        <w:rPr>
          <w:rFonts w:cstheme="minorHAnsi"/>
        </w:rPr>
        <w:t xml:space="preserve"> </w:t>
      </w:r>
      <w:r w:rsidR="00743ECF">
        <w:rPr>
          <w:rFonts w:cstheme="minorHAnsi"/>
        </w:rPr>
        <w:t>also expresses t</w:t>
      </w:r>
      <w:r w:rsidR="00743ECF" w:rsidRPr="00FE06E2">
        <w:rPr>
          <w:rFonts w:cstheme="minorHAnsi"/>
        </w:rPr>
        <w:t xml:space="preserve">he </w:t>
      </w:r>
      <w:r w:rsidR="00743ECF" w:rsidRPr="00153140">
        <w:rPr>
          <w:rFonts w:cstheme="minorHAnsi"/>
          <w:i/>
          <w:iCs/>
        </w:rPr>
        <w:t>whole</w:t>
      </w:r>
      <w:r w:rsidR="00743ECF">
        <w:rPr>
          <w:rFonts w:cstheme="minorHAnsi"/>
        </w:rPr>
        <w:t xml:space="preserve"> t</w:t>
      </w:r>
      <w:r w:rsidR="00743ECF" w:rsidRPr="00FE06E2">
        <w:rPr>
          <w:rFonts w:cstheme="minorHAnsi"/>
        </w:rPr>
        <w:t xml:space="preserve">rinitarian relationship succinctly through the </w:t>
      </w:r>
      <w:r w:rsidR="00743ECF" w:rsidRPr="00743ECF">
        <w:rPr>
          <w:rFonts w:cstheme="minorHAnsi"/>
          <w:i/>
          <w:iCs/>
        </w:rPr>
        <w:t>revelatory</w:t>
      </w:r>
      <w:r w:rsidR="00743ECF" w:rsidRPr="00FE06E2">
        <w:rPr>
          <w:rFonts w:cstheme="minorHAnsi"/>
        </w:rPr>
        <w:t xml:space="preserve"> nature of Scripture</w:t>
      </w:r>
      <w:r w:rsidR="00743ECF" w:rsidRPr="004B77E8">
        <w:rPr>
          <w:rStyle w:val="FootnoteReference"/>
        </w:rPr>
        <w:footnoteReference w:id="19"/>
      </w:r>
      <w:r w:rsidR="00743ECF" w:rsidRPr="00FE06E2">
        <w:rPr>
          <w:rFonts w:cstheme="minorHAnsi"/>
        </w:rPr>
        <w:t xml:space="preserve"> and “pious reasoning”</w:t>
      </w:r>
      <w:r w:rsidR="00743ECF" w:rsidRPr="004B77E8">
        <w:rPr>
          <w:rStyle w:val="FootnoteReference"/>
        </w:rPr>
        <w:footnoteReference w:id="20"/>
      </w:r>
      <w:r w:rsidR="00743ECF" w:rsidRPr="00FE06E2">
        <w:rPr>
          <w:rFonts w:cstheme="minorHAnsi"/>
        </w:rPr>
        <w:t xml:space="preserve">. </w:t>
      </w:r>
      <w:r w:rsidRPr="005523B7">
        <w:rPr>
          <w:rFonts w:cstheme="minorHAnsi"/>
        </w:rPr>
        <w:t xml:space="preserve">The Father-Son relationship is </w:t>
      </w:r>
      <w:r w:rsidRPr="00AE0AB8">
        <w:rPr>
          <w:rFonts w:cstheme="minorHAnsi"/>
          <w:i/>
          <w:iCs/>
        </w:rPr>
        <w:t>revealed</w:t>
      </w:r>
      <w:r w:rsidRPr="005523B7">
        <w:rPr>
          <w:rFonts w:cstheme="minorHAnsi"/>
        </w:rPr>
        <w:t xml:space="preserve"> in the divine economy of salvation and divine life </w:t>
      </w:r>
      <w:r w:rsidRPr="005523B7">
        <w:rPr>
          <w:rFonts w:cstheme="minorHAnsi"/>
          <w:i/>
          <w:iCs/>
        </w:rPr>
        <w:t>per se</w:t>
      </w:r>
      <w:r w:rsidRPr="005523B7">
        <w:rPr>
          <w:rFonts w:cstheme="minorHAnsi"/>
        </w:rPr>
        <w:t xml:space="preserve"> through </w:t>
      </w:r>
      <w:r>
        <w:rPr>
          <w:rFonts w:cstheme="minorHAnsi"/>
        </w:rPr>
        <w:t>S</w:t>
      </w:r>
      <w:r w:rsidRPr="005523B7">
        <w:rPr>
          <w:rFonts w:cstheme="minorHAnsi"/>
        </w:rPr>
        <w:t>criptures such as Luke 10:22</w:t>
      </w:r>
      <w:r w:rsidRPr="004B77E8">
        <w:rPr>
          <w:rStyle w:val="FootnoteReference"/>
        </w:rPr>
        <w:footnoteReference w:id="21"/>
      </w:r>
      <w:r w:rsidR="00743ECF">
        <w:rPr>
          <w:rFonts w:cstheme="minorHAnsi"/>
        </w:rPr>
        <w:t xml:space="preserve">, then </w:t>
      </w:r>
      <w:r w:rsidRPr="005523B7">
        <w:rPr>
          <w:rFonts w:cstheme="minorHAnsi"/>
        </w:rPr>
        <w:t>the establishment of the consubstantiality of Father and Son</w:t>
      </w:r>
      <w:r w:rsidR="00153140">
        <w:rPr>
          <w:rFonts w:cstheme="minorHAnsi"/>
        </w:rPr>
        <w:t xml:space="preserve"> throughout DI</w:t>
      </w:r>
      <w:r w:rsidRPr="005523B7">
        <w:rPr>
          <w:rFonts w:cstheme="minorHAnsi"/>
        </w:rPr>
        <w:t>.</w:t>
      </w:r>
      <w:r w:rsidRPr="004B77E8">
        <w:rPr>
          <w:rStyle w:val="FootnoteReference"/>
        </w:rPr>
        <w:footnoteReference w:id="22"/>
      </w:r>
      <w:r>
        <w:rPr>
          <w:rFonts w:cstheme="minorHAnsi"/>
        </w:rPr>
        <w:t xml:space="preserve"> </w:t>
      </w:r>
      <w:r w:rsidR="00153140" w:rsidRPr="00FE06E2">
        <w:rPr>
          <w:rFonts w:cstheme="minorHAnsi"/>
        </w:rPr>
        <w:t xml:space="preserve">Athanasius’ affirmation is </w:t>
      </w:r>
      <w:r w:rsidR="00153140">
        <w:rPr>
          <w:rFonts w:cstheme="minorHAnsi"/>
        </w:rPr>
        <w:t>t</w:t>
      </w:r>
      <w:r w:rsidR="00153140" w:rsidRPr="00FE06E2">
        <w:rPr>
          <w:rFonts w:cstheme="minorHAnsi"/>
        </w:rPr>
        <w:t xml:space="preserve">rinitarian </w:t>
      </w:r>
      <w:r w:rsidR="00153140">
        <w:rPr>
          <w:rFonts w:cstheme="minorHAnsi"/>
        </w:rPr>
        <w:t xml:space="preserve">whilst </w:t>
      </w:r>
      <w:r w:rsidR="00153140" w:rsidRPr="00FE06E2">
        <w:rPr>
          <w:rFonts w:cstheme="minorHAnsi"/>
        </w:rPr>
        <w:t>remain</w:t>
      </w:r>
      <w:r w:rsidR="00153140">
        <w:rPr>
          <w:rFonts w:cstheme="minorHAnsi"/>
        </w:rPr>
        <w:t>ing</w:t>
      </w:r>
      <w:r w:rsidR="00153140" w:rsidRPr="00FE06E2">
        <w:rPr>
          <w:rFonts w:cstheme="minorHAnsi"/>
        </w:rPr>
        <w:t xml:space="preserve"> centred around the person and substance</w:t>
      </w:r>
      <w:r w:rsidR="00153140" w:rsidRPr="00300582">
        <w:rPr>
          <w:rFonts w:cstheme="minorHAnsi"/>
        </w:rPr>
        <w:t xml:space="preserve"> of Jesus Christ</w:t>
      </w:r>
      <w:r w:rsidR="00153140" w:rsidRPr="004B77E8">
        <w:rPr>
          <w:rStyle w:val="FootnoteReference"/>
        </w:rPr>
        <w:footnoteReference w:id="23"/>
      </w:r>
      <w:r w:rsidR="00153140" w:rsidRPr="00300582">
        <w:rPr>
          <w:rFonts w:cstheme="minorHAnsi"/>
        </w:rPr>
        <w:t>:</w:t>
      </w:r>
      <w:r w:rsidR="00153140">
        <w:rPr>
          <w:rFonts w:cstheme="minorHAnsi"/>
        </w:rPr>
        <w:t xml:space="preserve"> </w:t>
      </w:r>
    </w:p>
    <w:p w14:paraId="3A3086DA" w14:textId="77777777" w:rsidR="00153140" w:rsidRPr="005523B7" w:rsidRDefault="00153140" w:rsidP="00BC4F6F">
      <w:pPr>
        <w:spacing w:line="360" w:lineRule="auto"/>
        <w:ind w:left="720"/>
        <w:rPr>
          <w:rFonts w:eastAsia="Times New Roman" w:cstheme="minorHAnsi"/>
          <w:kern w:val="0"/>
          <w:lang w:eastAsia="en-GB"/>
          <w14:ligatures w14:val="none"/>
        </w:rPr>
      </w:pPr>
      <w:r w:rsidRPr="005523B7">
        <w:rPr>
          <w:rFonts w:cstheme="minorHAnsi"/>
        </w:rPr>
        <w:t>“</w:t>
      </w:r>
      <w:r w:rsidRPr="005523B7">
        <w:rPr>
          <w:rFonts w:eastAsia="Times New Roman" w:cstheme="minorHAnsi"/>
          <w:kern w:val="0"/>
          <w:lang w:eastAsia="en-GB"/>
          <w14:ligatures w14:val="none"/>
        </w:rPr>
        <w:t xml:space="preserve">since the Word of God has been manifested in a body, and has made known to us His own Father … men, turning their eyes to the true God, Word of the Father, … come to know the true God. </w:t>
      </w:r>
      <w:r w:rsidRPr="00D976D2">
        <w:rPr>
          <w:rFonts w:eastAsia="Times New Roman" w:cstheme="minorHAnsi"/>
          <w:kern w:val="0"/>
          <w:lang w:eastAsia="en-GB"/>
          <w14:ligatures w14:val="none"/>
        </w:rPr>
        <w:t>Now this is proof that Christ is God, the Word and Power of God</w:t>
      </w:r>
      <w:r w:rsidRPr="005523B7">
        <w:rPr>
          <w:rFonts w:eastAsia="Times New Roman" w:cstheme="minorHAnsi"/>
          <w:kern w:val="0"/>
          <w:lang w:eastAsia="en-GB"/>
          <w14:ligatures w14:val="none"/>
        </w:rPr>
        <w:t>"</w:t>
      </w:r>
      <w:r w:rsidRPr="004B77E8">
        <w:rPr>
          <w:rStyle w:val="FootnoteReference"/>
        </w:rPr>
        <w:footnoteReference w:id="24"/>
      </w:r>
      <w:r>
        <w:rPr>
          <w:rFonts w:eastAsia="Times New Roman" w:cstheme="minorHAnsi"/>
          <w:kern w:val="0"/>
          <w:lang w:eastAsia="en-GB"/>
          <w14:ligatures w14:val="none"/>
        </w:rPr>
        <w:t>.</w:t>
      </w:r>
    </w:p>
    <w:p w14:paraId="75F367AB" w14:textId="45F74577" w:rsidR="004672F3" w:rsidRDefault="004672F3" w:rsidP="00BC4F6F">
      <w:pPr>
        <w:spacing w:line="360" w:lineRule="auto"/>
        <w:rPr>
          <w:rFonts w:cstheme="minorHAnsi"/>
        </w:rPr>
      </w:pPr>
      <w:r>
        <w:rPr>
          <w:rFonts w:cstheme="minorHAnsi"/>
        </w:rPr>
        <w:t xml:space="preserve">His constant referral to scripture gains support from many theologians from his time onwards, including the notion of </w:t>
      </w:r>
      <w:r w:rsidR="00743ECF">
        <w:rPr>
          <w:rFonts w:cstheme="minorHAnsi"/>
        </w:rPr>
        <w:t>‘</w:t>
      </w:r>
      <w:r>
        <w:rPr>
          <w:rFonts w:cstheme="minorHAnsi"/>
        </w:rPr>
        <w:t>(self-)</w:t>
      </w:r>
      <w:proofErr w:type="spellStart"/>
      <w:r>
        <w:rPr>
          <w:rFonts w:cstheme="minorHAnsi"/>
        </w:rPr>
        <w:t>revelationary</w:t>
      </w:r>
      <w:proofErr w:type="spellEnd"/>
      <w:r>
        <w:rPr>
          <w:rFonts w:cstheme="minorHAnsi"/>
        </w:rPr>
        <w:t xml:space="preserve"> presence</w:t>
      </w:r>
      <w:r w:rsidR="00743ECF">
        <w:rPr>
          <w:rFonts w:cstheme="minorHAnsi"/>
        </w:rPr>
        <w:t>’</w:t>
      </w:r>
      <w:r>
        <w:rPr>
          <w:rFonts w:cstheme="minorHAnsi"/>
        </w:rPr>
        <w:t xml:space="preserve"> developed by Jürgen </w:t>
      </w:r>
      <w:proofErr w:type="spellStart"/>
      <w:r>
        <w:rPr>
          <w:rFonts w:cstheme="minorHAnsi"/>
        </w:rPr>
        <w:lastRenderedPageBreak/>
        <w:t>Moltmann</w:t>
      </w:r>
      <w:proofErr w:type="spellEnd"/>
      <w:r w:rsidRPr="004B77E8">
        <w:rPr>
          <w:rStyle w:val="FootnoteReference"/>
        </w:rPr>
        <w:footnoteReference w:id="25"/>
      </w:r>
      <w:r>
        <w:rPr>
          <w:rFonts w:cstheme="minorHAnsi"/>
        </w:rPr>
        <w:t xml:space="preserve">, </w:t>
      </w:r>
      <w:proofErr w:type="spellStart"/>
      <w:r>
        <w:rPr>
          <w:rFonts w:cstheme="minorHAnsi"/>
        </w:rPr>
        <w:t>Wolfhart</w:t>
      </w:r>
      <w:proofErr w:type="spellEnd"/>
      <w:r>
        <w:rPr>
          <w:rFonts w:cstheme="minorHAnsi"/>
        </w:rPr>
        <w:t xml:space="preserve"> </w:t>
      </w:r>
      <w:proofErr w:type="spellStart"/>
      <w:r>
        <w:rPr>
          <w:rFonts w:cstheme="minorHAnsi"/>
        </w:rPr>
        <w:t>Panneberg</w:t>
      </w:r>
      <w:proofErr w:type="spellEnd"/>
      <w:r w:rsidRPr="004B77E8">
        <w:rPr>
          <w:rStyle w:val="FootnoteReference"/>
        </w:rPr>
        <w:footnoteReference w:id="26"/>
      </w:r>
      <w:r>
        <w:rPr>
          <w:rFonts w:cstheme="minorHAnsi"/>
        </w:rPr>
        <w:t xml:space="preserve"> and Karl Barth</w:t>
      </w:r>
      <w:r w:rsidRPr="004B77E8">
        <w:rPr>
          <w:rStyle w:val="FootnoteReference"/>
        </w:rPr>
        <w:footnoteReference w:id="27"/>
      </w:r>
      <w:r>
        <w:rPr>
          <w:rFonts w:cstheme="minorHAnsi"/>
        </w:rPr>
        <w:t>, who affirms “the triune God is God Himself in His revelation”</w:t>
      </w:r>
      <w:r w:rsidRPr="004B77E8">
        <w:rPr>
          <w:rStyle w:val="FootnoteReference"/>
        </w:rPr>
        <w:footnoteReference w:id="28"/>
      </w:r>
      <w:r>
        <w:rPr>
          <w:rFonts w:cstheme="minorHAnsi"/>
        </w:rPr>
        <w:t xml:space="preserve">. </w:t>
      </w:r>
    </w:p>
    <w:p w14:paraId="04625884" w14:textId="77777777" w:rsidR="004672F3" w:rsidRDefault="004672F3" w:rsidP="00BC4F6F">
      <w:pPr>
        <w:spacing w:line="360" w:lineRule="auto"/>
        <w:rPr>
          <w:rFonts w:cstheme="minorHAnsi"/>
        </w:rPr>
      </w:pPr>
    </w:p>
    <w:p w14:paraId="78209601" w14:textId="693ECF99" w:rsidR="00976BF4" w:rsidRPr="00FE06E2" w:rsidRDefault="00FE06E2" w:rsidP="00BC4F6F">
      <w:pPr>
        <w:spacing w:line="360" w:lineRule="auto"/>
        <w:rPr>
          <w:rFonts w:cstheme="minorHAnsi"/>
        </w:rPr>
      </w:pPr>
      <w:r>
        <w:rPr>
          <w:rFonts w:cstheme="minorHAnsi"/>
        </w:rPr>
        <w:t>But c</w:t>
      </w:r>
      <w:r w:rsidR="001B22D2">
        <w:rPr>
          <w:rFonts w:cstheme="minorHAnsi"/>
        </w:rPr>
        <w:t xml:space="preserve">oncentration on the nature of the Trinity develops </w:t>
      </w:r>
      <w:r w:rsidR="00326078">
        <w:rPr>
          <w:rFonts w:cstheme="minorHAnsi"/>
        </w:rPr>
        <w:t>organically in</w:t>
      </w:r>
      <w:r w:rsidR="001B22D2">
        <w:rPr>
          <w:rFonts w:cstheme="minorHAnsi"/>
        </w:rPr>
        <w:t xml:space="preserve"> response to the formal resolution of the </w:t>
      </w:r>
      <w:proofErr w:type="spellStart"/>
      <w:r w:rsidR="001B22D2">
        <w:rPr>
          <w:rFonts w:cstheme="minorHAnsi"/>
          <w:i/>
          <w:iCs/>
        </w:rPr>
        <w:t>homoousios</w:t>
      </w:r>
      <w:proofErr w:type="spellEnd"/>
      <w:r w:rsidR="001B22D2">
        <w:rPr>
          <w:rFonts w:cstheme="minorHAnsi"/>
        </w:rPr>
        <w:t>/</w:t>
      </w:r>
      <w:proofErr w:type="spellStart"/>
      <w:r w:rsidR="001B22D2">
        <w:rPr>
          <w:rFonts w:cstheme="minorHAnsi"/>
          <w:i/>
          <w:iCs/>
        </w:rPr>
        <w:t>homoiousios</w:t>
      </w:r>
      <w:proofErr w:type="spellEnd"/>
      <w:r w:rsidR="001B22D2">
        <w:rPr>
          <w:rFonts w:cstheme="minorHAnsi"/>
        </w:rPr>
        <w:t xml:space="preserve"> problem. </w:t>
      </w:r>
      <w:r w:rsidR="00326078">
        <w:rPr>
          <w:rFonts w:cstheme="minorHAnsi"/>
        </w:rPr>
        <w:t xml:space="preserve">Until this point, agreed trinitarian credal statements involved only </w:t>
      </w:r>
      <w:r w:rsidR="00014099">
        <w:rPr>
          <w:rFonts w:cstheme="minorHAnsi"/>
        </w:rPr>
        <w:t xml:space="preserve">a simple </w:t>
      </w:r>
      <w:r w:rsidR="001B22D2" w:rsidRPr="00300582">
        <w:rPr>
          <w:rFonts w:cstheme="minorHAnsi"/>
        </w:rPr>
        <w:t>acknowledge</w:t>
      </w:r>
      <w:r w:rsidR="00014099">
        <w:rPr>
          <w:rFonts w:cstheme="minorHAnsi"/>
        </w:rPr>
        <w:t>ment of</w:t>
      </w:r>
      <w:r w:rsidR="00014099" w:rsidRPr="00300582">
        <w:rPr>
          <w:rFonts w:cstheme="minorHAnsi"/>
        </w:rPr>
        <w:t xml:space="preserve"> </w:t>
      </w:r>
      <w:r w:rsidR="001B22D2" w:rsidRPr="00300582">
        <w:rPr>
          <w:rFonts w:cstheme="minorHAnsi"/>
        </w:rPr>
        <w:t xml:space="preserve">the </w:t>
      </w:r>
      <w:r w:rsidR="001B22D2" w:rsidRPr="00014099">
        <w:rPr>
          <w:rFonts w:cstheme="minorHAnsi"/>
          <w:i/>
          <w:iCs/>
        </w:rPr>
        <w:t>existence</w:t>
      </w:r>
      <w:r w:rsidR="001B22D2" w:rsidRPr="00300582">
        <w:rPr>
          <w:rFonts w:cstheme="minorHAnsi"/>
        </w:rPr>
        <w:t xml:space="preserve"> of “one Holy Spirit” </w:t>
      </w:r>
      <w:r w:rsidR="001B22D2">
        <w:rPr>
          <w:rFonts w:cstheme="minorHAnsi"/>
        </w:rPr>
        <w:t xml:space="preserve">within the resultant </w:t>
      </w:r>
      <w:r w:rsidR="001B22D2" w:rsidRPr="00300582">
        <w:rPr>
          <w:rFonts w:cstheme="minorHAnsi"/>
        </w:rPr>
        <w:t>325AD Creeds of Caesarea and Nicaea.</w:t>
      </w:r>
      <w:r w:rsidR="001B22D2" w:rsidRPr="004B77E8">
        <w:rPr>
          <w:rStyle w:val="FootnoteReference"/>
        </w:rPr>
        <w:footnoteReference w:id="29"/>
      </w:r>
      <w:r w:rsidR="00014099">
        <w:rPr>
          <w:rFonts w:cstheme="minorHAnsi"/>
        </w:rPr>
        <w:t xml:space="preserve"> </w:t>
      </w:r>
      <w:r w:rsidR="00C53B74">
        <w:rPr>
          <w:rFonts w:cstheme="minorHAnsi"/>
        </w:rPr>
        <w:t xml:space="preserve">Athanasius emphasises his trinitarian credentials </w:t>
      </w:r>
      <w:r w:rsidR="00CC721F">
        <w:rPr>
          <w:rFonts w:cstheme="minorHAnsi"/>
        </w:rPr>
        <w:t>whilst</w:t>
      </w:r>
      <w:r w:rsidR="00C53B74">
        <w:rPr>
          <w:rFonts w:cstheme="minorHAnsi"/>
        </w:rPr>
        <w:t xml:space="preserve"> dismiss</w:t>
      </w:r>
      <w:r w:rsidR="00CC721F">
        <w:rPr>
          <w:rFonts w:cstheme="minorHAnsi"/>
        </w:rPr>
        <w:t>ing</w:t>
      </w:r>
      <w:r w:rsidR="00C53B74">
        <w:rPr>
          <w:rFonts w:cstheme="minorHAnsi"/>
        </w:rPr>
        <w:t xml:space="preserve"> </w:t>
      </w:r>
      <w:r w:rsidR="001C343F">
        <w:rPr>
          <w:rFonts w:cstheme="minorHAnsi"/>
        </w:rPr>
        <w:t>heretical views</w:t>
      </w:r>
      <w:r w:rsidR="00294051">
        <w:rPr>
          <w:rFonts w:cstheme="minorHAnsi"/>
        </w:rPr>
        <w:t xml:space="preserve"> extensive in later writings, including </w:t>
      </w:r>
      <w:proofErr w:type="spellStart"/>
      <w:r w:rsidR="00294051">
        <w:rPr>
          <w:rFonts w:cstheme="minorHAnsi"/>
        </w:rPr>
        <w:t>Con.Ar</w:t>
      </w:r>
      <w:proofErr w:type="spellEnd"/>
      <w:r w:rsidR="00294051">
        <w:rPr>
          <w:rFonts w:cstheme="minorHAnsi"/>
        </w:rPr>
        <w:t>.</w:t>
      </w:r>
      <w:r w:rsidR="001C343F" w:rsidRPr="00FE06E2">
        <w:rPr>
          <w:rFonts w:cstheme="minorHAnsi"/>
        </w:rPr>
        <w:t>:</w:t>
      </w:r>
    </w:p>
    <w:p w14:paraId="120B415D" w14:textId="033720C1" w:rsidR="00ED5665" w:rsidRPr="00FE06E2" w:rsidRDefault="00ED5665" w:rsidP="00BC4F6F">
      <w:pPr>
        <w:pStyle w:val="NormalWeb"/>
        <w:spacing w:before="0" w:beforeAutospacing="0" w:after="0" w:afterAutospacing="0" w:line="360" w:lineRule="auto"/>
        <w:ind w:left="720"/>
        <w:rPr>
          <w:rFonts w:asciiTheme="minorHAnsi" w:hAnsiTheme="minorHAnsi" w:cstheme="minorHAnsi"/>
        </w:rPr>
      </w:pPr>
      <w:r w:rsidRPr="00FE06E2">
        <w:rPr>
          <w:rFonts w:asciiTheme="minorHAnsi" w:hAnsiTheme="minorHAnsi" w:cstheme="minorHAnsi"/>
        </w:rPr>
        <w:t>“there is but one form</w:t>
      </w:r>
      <w:r w:rsidRPr="00FE06E2">
        <w:rPr>
          <w:rFonts w:asciiTheme="minorHAnsi" w:hAnsiTheme="minorHAnsi" w:cstheme="minorHAnsi"/>
          <w:position w:val="8"/>
          <w:sz w:val="14"/>
          <w:szCs w:val="14"/>
        </w:rPr>
        <w:t xml:space="preserve"> </w:t>
      </w:r>
      <w:r w:rsidRPr="00FE06E2">
        <w:rPr>
          <w:rFonts w:asciiTheme="minorHAnsi" w:hAnsiTheme="minorHAnsi" w:cstheme="minorHAnsi"/>
        </w:rPr>
        <w:t>of Godhead, which is also in the Word; and one God, the Father, existing by Himself according as He is above all, and appearing in the Son according as He pervades all things, and in the Spirit according as in Him He acts in all things through the Word. For thus we confess God to be one through the Triad, and we say that it is much more religious than the godhead of the heretics with its many kinds, and many parts, to entertain a belief of the One Godhead in a Triad.”</w:t>
      </w:r>
      <w:r w:rsidRPr="004B77E8">
        <w:rPr>
          <w:rStyle w:val="FootnoteReference"/>
        </w:rPr>
        <w:footnoteReference w:id="30"/>
      </w:r>
    </w:p>
    <w:p w14:paraId="2E47ADD4" w14:textId="49DC6EBC" w:rsidR="00C53B74" w:rsidRPr="00FE06E2" w:rsidRDefault="00FE06E2" w:rsidP="00BC4F6F">
      <w:pPr>
        <w:spacing w:line="360" w:lineRule="auto"/>
        <w:rPr>
          <w:rFonts w:cstheme="minorHAnsi"/>
        </w:rPr>
      </w:pPr>
      <w:r>
        <w:rPr>
          <w:rFonts w:cstheme="minorHAnsi"/>
        </w:rPr>
        <w:t xml:space="preserve">This allows the conclusion of a doctrine of God to be </w:t>
      </w:r>
      <w:r w:rsidR="00294051">
        <w:rPr>
          <w:rFonts w:cstheme="minorHAnsi"/>
        </w:rPr>
        <w:t>de</w:t>
      </w:r>
      <w:r>
        <w:rPr>
          <w:rFonts w:cstheme="minorHAnsi"/>
        </w:rPr>
        <w:t>term</w:t>
      </w:r>
      <w:r w:rsidR="00294051">
        <w:rPr>
          <w:rFonts w:cstheme="minorHAnsi"/>
        </w:rPr>
        <w:t>in</w:t>
      </w:r>
      <w:r>
        <w:rPr>
          <w:rFonts w:cstheme="minorHAnsi"/>
        </w:rPr>
        <w:t xml:space="preserve">ed as </w:t>
      </w:r>
      <w:r w:rsidR="001C343F" w:rsidRPr="00FE06E2">
        <w:rPr>
          <w:rFonts w:cstheme="minorHAnsi"/>
        </w:rPr>
        <w:t>“Trinity in Unity and Unity in Trinity”</w:t>
      </w:r>
      <w:r w:rsidRPr="004B77E8">
        <w:rPr>
          <w:rStyle w:val="FootnoteReference"/>
        </w:rPr>
        <w:footnoteReference w:id="31"/>
      </w:r>
    </w:p>
    <w:p w14:paraId="7A6A9B18" w14:textId="77777777" w:rsidR="001B22D2" w:rsidRPr="00FE06E2" w:rsidRDefault="001B22D2" w:rsidP="00BC4F6F">
      <w:pPr>
        <w:spacing w:line="360" w:lineRule="auto"/>
        <w:rPr>
          <w:rFonts w:cstheme="minorHAnsi"/>
        </w:rPr>
      </w:pPr>
    </w:p>
    <w:p w14:paraId="5BBC66A3" w14:textId="77777777" w:rsidR="00B17F89" w:rsidRDefault="00A43B42" w:rsidP="00B17F89">
      <w:pPr>
        <w:spacing w:line="360" w:lineRule="auto"/>
        <w:rPr>
          <w:rFonts w:cstheme="minorHAnsi"/>
        </w:rPr>
      </w:pPr>
      <w:r w:rsidRPr="00300582">
        <w:rPr>
          <w:rFonts w:cstheme="minorHAnsi"/>
        </w:rPr>
        <w:t xml:space="preserve">Athanasius is no systematic </w:t>
      </w:r>
      <w:r w:rsidR="00343EB3" w:rsidRPr="00300582">
        <w:rPr>
          <w:rFonts w:cstheme="minorHAnsi"/>
        </w:rPr>
        <w:t>theologian</w:t>
      </w:r>
      <w:r w:rsidRPr="00300582">
        <w:rPr>
          <w:rFonts w:cstheme="minorHAnsi"/>
        </w:rPr>
        <w:t xml:space="preserve">. </w:t>
      </w:r>
      <w:r w:rsidR="00A32E31" w:rsidRPr="00300582">
        <w:rPr>
          <w:rFonts w:cstheme="minorHAnsi"/>
        </w:rPr>
        <w:t>CG-CI</w:t>
      </w:r>
      <w:r w:rsidRPr="00300582">
        <w:rPr>
          <w:rFonts w:cstheme="minorHAnsi"/>
        </w:rPr>
        <w:t>’s</w:t>
      </w:r>
      <w:r w:rsidR="00A32E31" w:rsidRPr="00300582">
        <w:rPr>
          <w:rFonts w:cstheme="minorHAnsi"/>
        </w:rPr>
        <w:t xml:space="preserve"> function is </w:t>
      </w:r>
      <w:r w:rsidR="00343EB3" w:rsidRPr="00300582">
        <w:rPr>
          <w:rFonts w:cstheme="minorHAnsi"/>
        </w:rPr>
        <w:t xml:space="preserve">specifically </w:t>
      </w:r>
      <w:r w:rsidR="00A32E31" w:rsidRPr="00300582">
        <w:rPr>
          <w:rFonts w:cstheme="minorHAnsi"/>
        </w:rPr>
        <w:t xml:space="preserve">to refute what the Alexandrian school calls Arius’ ‘heretical’ teaching concerning the substance of the Son. </w:t>
      </w:r>
      <w:r w:rsidR="00185C89" w:rsidRPr="00300582">
        <w:rPr>
          <w:rFonts w:cstheme="minorHAnsi"/>
        </w:rPr>
        <w:t xml:space="preserve">Athanasius </w:t>
      </w:r>
      <w:r w:rsidR="00A32E31" w:rsidRPr="00300582">
        <w:rPr>
          <w:rFonts w:cstheme="minorHAnsi"/>
        </w:rPr>
        <w:t xml:space="preserve">mounts an </w:t>
      </w:r>
      <w:r w:rsidR="00185C89" w:rsidRPr="00300582">
        <w:rPr>
          <w:rFonts w:cstheme="minorHAnsi"/>
        </w:rPr>
        <w:t>effective accomplishe</w:t>
      </w:r>
      <w:r w:rsidR="00A32E31" w:rsidRPr="00300582">
        <w:rPr>
          <w:rFonts w:cstheme="minorHAnsi"/>
        </w:rPr>
        <w:t>d</w:t>
      </w:r>
      <w:r w:rsidR="00185C89" w:rsidRPr="00300582">
        <w:rPr>
          <w:rFonts w:cstheme="minorHAnsi"/>
        </w:rPr>
        <w:t xml:space="preserve"> counterattack within DI</w:t>
      </w:r>
      <w:r w:rsidR="00A32E31" w:rsidRPr="00300582">
        <w:rPr>
          <w:rFonts w:cstheme="minorHAnsi"/>
        </w:rPr>
        <w:t xml:space="preserve">, which treats </w:t>
      </w:r>
      <w:r w:rsidR="00185C89" w:rsidRPr="00300582">
        <w:rPr>
          <w:rFonts w:cstheme="minorHAnsi"/>
        </w:rPr>
        <w:t>Jewish and Gentile potential counterviews</w:t>
      </w:r>
      <w:r w:rsidR="00A32E31" w:rsidRPr="00300582">
        <w:rPr>
          <w:rFonts w:cstheme="minorHAnsi"/>
        </w:rPr>
        <w:t xml:space="preserve"> with equal vigour</w:t>
      </w:r>
      <w:r w:rsidR="00185C89" w:rsidRPr="00300582">
        <w:rPr>
          <w:rFonts w:cstheme="minorHAnsi"/>
        </w:rPr>
        <w:t xml:space="preserve">. </w:t>
      </w:r>
      <w:r w:rsidRPr="00300582">
        <w:rPr>
          <w:rFonts w:cstheme="minorHAnsi"/>
        </w:rPr>
        <w:t>His focus is firmly soteriological; for him, the incarnation of the Son of God</w:t>
      </w:r>
      <w:r w:rsidR="00AE0AB8" w:rsidRPr="00300582">
        <w:rPr>
          <w:rFonts w:cstheme="minorHAnsi"/>
        </w:rPr>
        <w:t xml:space="preserve"> and</w:t>
      </w:r>
      <w:r w:rsidRPr="00300582">
        <w:rPr>
          <w:rFonts w:cstheme="minorHAnsi"/>
        </w:rPr>
        <w:t xml:space="preserve"> his redemptive sacrificial death on the Cross are </w:t>
      </w:r>
      <w:r w:rsidR="00743ECF">
        <w:rPr>
          <w:rFonts w:cstheme="minorHAnsi"/>
        </w:rPr>
        <w:lastRenderedPageBreak/>
        <w:t>central to</w:t>
      </w:r>
      <w:r w:rsidRPr="00300582">
        <w:rPr>
          <w:rFonts w:cstheme="minorHAnsi"/>
        </w:rPr>
        <w:t xml:space="preserve"> faith and theology.</w:t>
      </w:r>
      <w:r w:rsidR="00BB091F" w:rsidRPr="004B77E8">
        <w:rPr>
          <w:rStyle w:val="FootnoteReference"/>
        </w:rPr>
        <w:footnoteReference w:id="32"/>
      </w:r>
      <w:r w:rsidRPr="00300582">
        <w:rPr>
          <w:rFonts w:cstheme="minorHAnsi"/>
        </w:rPr>
        <w:t xml:space="preserve"> </w:t>
      </w:r>
      <w:r w:rsidR="00B17F89" w:rsidRPr="00300582">
        <w:rPr>
          <w:rFonts w:cstheme="minorHAnsi"/>
        </w:rPr>
        <w:t xml:space="preserve">There is no doubt that Athanasius’ Trinitarian views underlie his writing, </w:t>
      </w:r>
      <w:r w:rsidR="00B17F89">
        <w:rPr>
          <w:rFonts w:cstheme="minorHAnsi"/>
        </w:rPr>
        <w:t>bearing in mind the minimalist agreed credal statement within Nicaea 1</w:t>
      </w:r>
      <w:r w:rsidR="00B17F89" w:rsidRPr="004B77E8">
        <w:rPr>
          <w:rStyle w:val="FootnoteReference"/>
        </w:rPr>
        <w:footnoteReference w:id="33"/>
      </w:r>
    </w:p>
    <w:p w14:paraId="69811B14" w14:textId="4C24C862" w:rsidR="001D4896" w:rsidRDefault="00B17F89" w:rsidP="00B17F89">
      <w:pPr>
        <w:spacing w:line="360" w:lineRule="auto"/>
        <w:rPr>
          <w:rFonts w:cstheme="minorHAnsi"/>
        </w:rPr>
      </w:pPr>
      <w:r>
        <w:rPr>
          <w:rFonts w:cstheme="minorHAnsi"/>
        </w:rPr>
        <w:t>(</w:t>
      </w:r>
      <w:r w:rsidRPr="00300582">
        <w:rPr>
          <w:rFonts w:cstheme="minorHAnsi"/>
        </w:rPr>
        <w:t>acknowled</w:t>
      </w:r>
      <w:r>
        <w:rPr>
          <w:rFonts w:cstheme="minorHAnsi"/>
        </w:rPr>
        <w:t>ging</w:t>
      </w:r>
      <w:r w:rsidRPr="00300582">
        <w:rPr>
          <w:rFonts w:cstheme="minorHAnsi"/>
        </w:rPr>
        <w:t xml:space="preserve"> the existence of “one Holy Spirit”</w:t>
      </w:r>
      <w:r>
        <w:rPr>
          <w:rFonts w:cstheme="minorHAnsi"/>
        </w:rPr>
        <w:t xml:space="preserve"> and no more</w:t>
      </w:r>
      <w:r w:rsidRPr="00300582">
        <w:rPr>
          <w:rFonts w:cstheme="minorHAnsi"/>
        </w:rPr>
        <w:t>.</w:t>
      </w:r>
      <w:r w:rsidRPr="004B77E8">
        <w:rPr>
          <w:rStyle w:val="FootnoteReference"/>
        </w:rPr>
        <w:footnoteReference w:id="34"/>
      </w:r>
      <w:r w:rsidRPr="00300582">
        <w:rPr>
          <w:rFonts w:cstheme="minorHAnsi"/>
        </w:rPr>
        <w:t xml:space="preserve"> </w:t>
      </w:r>
      <w:r w:rsidR="005941AE">
        <w:rPr>
          <w:rFonts w:cstheme="minorHAnsi"/>
        </w:rPr>
        <w:t xml:space="preserve">Continued flawed </w:t>
      </w:r>
      <w:r w:rsidRPr="00300582">
        <w:rPr>
          <w:rFonts w:cstheme="minorHAnsi"/>
        </w:rPr>
        <w:t>teaching</w:t>
      </w:r>
      <w:r w:rsidR="005941AE" w:rsidRPr="004B77E8">
        <w:rPr>
          <w:rStyle w:val="FootnoteReference"/>
        </w:rPr>
        <w:footnoteReference w:id="35"/>
      </w:r>
      <w:r w:rsidR="005941AE">
        <w:rPr>
          <w:rFonts w:cstheme="minorHAnsi"/>
        </w:rPr>
        <w:t xml:space="preserve">, demonstrated how </w:t>
      </w:r>
      <w:r>
        <w:rPr>
          <w:rFonts w:cstheme="minorHAnsi"/>
        </w:rPr>
        <w:t>understanding</w:t>
      </w:r>
      <w:r w:rsidR="005941AE">
        <w:rPr>
          <w:rFonts w:cstheme="minorHAnsi"/>
        </w:rPr>
        <w:t>s</w:t>
      </w:r>
      <w:r>
        <w:rPr>
          <w:rFonts w:cstheme="minorHAnsi"/>
        </w:rPr>
        <w:t xml:space="preserve"> of </w:t>
      </w:r>
      <w:proofErr w:type="spellStart"/>
      <w:r>
        <w:rPr>
          <w:rFonts w:cstheme="minorHAnsi"/>
          <w:i/>
          <w:iCs/>
        </w:rPr>
        <w:t>ousia</w:t>
      </w:r>
      <w:proofErr w:type="spellEnd"/>
      <w:r>
        <w:rPr>
          <w:rFonts w:cstheme="minorHAnsi"/>
          <w:i/>
          <w:iCs/>
        </w:rPr>
        <w:t xml:space="preserve">, </w:t>
      </w:r>
      <w:proofErr w:type="spellStart"/>
      <w:r>
        <w:rPr>
          <w:rFonts w:cstheme="minorHAnsi"/>
          <w:i/>
          <w:iCs/>
        </w:rPr>
        <w:t>homoousios</w:t>
      </w:r>
      <w:proofErr w:type="spellEnd"/>
      <w:r>
        <w:rPr>
          <w:rFonts w:cstheme="minorHAnsi"/>
          <w:i/>
          <w:iCs/>
        </w:rPr>
        <w:t xml:space="preserve"> </w:t>
      </w:r>
      <w:r w:rsidRPr="008B26A6">
        <w:rPr>
          <w:rFonts w:cstheme="minorHAnsi"/>
        </w:rPr>
        <w:t xml:space="preserve">and </w:t>
      </w:r>
      <w:proofErr w:type="spellStart"/>
      <w:r>
        <w:rPr>
          <w:rFonts w:cstheme="minorHAnsi"/>
          <w:i/>
          <w:iCs/>
        </w:rPr>
        <w:t>hypostastis</w:t>
      </w:r>
      <w:proofErr w:type="spellEnd"/>
      <w:r>
        <w:rPr>
          <w:rFonts w:cstheme="minorHAnsi"/>
          <w:i/>
          <w:iCs/>
        </w:rPr>
        <w:t xml:space="preserve"> </w:t>
      </w:r>
      <w:r>
        <w:rPr>
          <w:rFonts w:cstheme="minorHAnsi"/>
        </w:rPr>
        <w:t>remained unresolved</w:t>
      </w:r>
      <w:r w:rsidRPr="004B77E8">
        <w:rPr>
          <w:rStyle w:val="FootnoteReference"/>
        </w:rPr>
        <w:footnoteReference w:id="36"/>
      </w:r>
      <w:r w:rsidR="005941AE">
        <w:rPr>
          <w:rFonts w:cstheme="minorHAnsi"/>
        </w:rPr>
        <w:t xml:space="preserve">, </w:t>
      </w:r>
      <w:r w:rsidRPr="00300582">
        <w:rPr>
          <w:rFonts w:cstheme="minorHAnsi"/>
        </w:rPr>
        <w:t xml:space="preserve">Athanasius further rebuttals </w:t>
      </w:r>
      <w:r>
        <w:rPr>
          <w:rFonts w:cstheme="minorHAnsi"/>
        </w:rPr>
        <w:t xml:space="preserve">were </w:t>
      </w:r>
      <w:r w:rsidRPr="00300582">
        <w:rPr>
          <w:rFonts w:cstheme="minorHAnsi"/>
        </w:rPr>
        <w:t xml:space="preserve">influential in the finally agreed 381AD Nicene (or </w:t>
      </w:r>
      <w:proofErr w:type="spellStart"/>
      <w:r w:rsidRPr="00300582">
        <w:rPr>
          <w:rFonts w:cstheme="minorHAnsi"/>
        </w:rPr>
        <w:t>Nicaeno</w:t>
      </w:r>
      <w:proofErr w:type="spellEnd"/>
      <w:r w:rsidRPr="00300582">
        <w:rPr>
          <w:rFonts w:cstheme="minorHAnsi"/>
        </w:rPr>
        <w:t>-Constantinopolitan) Creed and the more emphatic c6th Pseudo-Athanasian Creed,</w:t>
      </w:r>
      <w:r w:rsidR="005941AE">
        <w:rPr>
          <w:rFonts w:cstheme="minorHAnsi"/>
        </w:rPr>
        <w:t xml:space="preserve"> [</w:t>
      </w:r>
      <w:proofErr w:type="spellStart"/>
      <w:r w:rsidR="005941AE" w:rsidRPr="005941AE">
        <w:rPr>
          <w:rFonts w:cstheme="minorHAnsi"/>
          <w:i/>
          <w:iCs/>
        </w:rPr>
        <w:t>Quicunque</w:t>
      </w:r>
      <w:proofErr w:type="spellEnd"/>
      <w:r w:rsidR="005941AE" w:rsidRPr="005941AE">
        <w:rPr>
          <w:rFonts w:cstheme="minorHAnsi"/>
          <w:i/>
          <w:iCs/>
        </w:rPr>
        <w:t xml:space="preserve"> </w:t>
      </w:r>
      <w:proofErr w:type="spellStart"/>
      <w:r w:rsidR="005941AE" w:rsidRPr="005941AE">
        <w:rPr>
          <w:rFonts w:cstheme="minorHAnsi"/>
          <w:i/>
          <w:iCs/>
        </w:rPr>
        <w:t>Vult</w:t>
      </w:r>
      <w:proofErr w:type="spellEnd"/>
      <w:r w:rsidR="005941AE">
        <w:rPr>
          <w:rFonts w:cstheme="minorHAnsi"/>
        </w:rPr>
        <w:t>]</w:t>
      </w:r>
      <w:r w:rsidRPr="00300582">
        <w:rPr>
          <w:rFonts w:ascii="Arial" w:hAnsi="Arial" w:cs="Arial"/>
          <w:i/>
          <w:iCs/>
          <w:color w:val="202122"/>
          <w:sz w:val="21"/>
          <w:szCs w:val="21"/>
        </w:rPr>
        <w:t>.</w:t>
      </w:r>
      <w:r w:rsidRPr="00300582">
        <w:rPr>
          <w:rFonts w:cstheme="minorHAnsi"/>
        </w:rPr>
        <w:t xml:space="preserve"> </w:t>
      </w:r>
      <w:r w:rsidR="00CD2CF8" w:rsidRPr="00300582">
        <w:rPr>
          <w:rFonts w:cstheme="minorHAnsi"/>
        </w:rPr>
        <w:t>His</w:t>
      </w:r>
      <w:r w:rsidR="00287D17" w:rsidRPr="00300582">
        <w:rPr>
          <w:rFonts w:cstheme="minorHAnsi"/>
        </w:rPr>
        <w:t xml:space="preserve"> confident conclusion reminds readers of the pedagogical function of his work: correct teaching about the truth of the Word of God</w:t>
      </w:r>
      <w:r w:rsidR="00287D17" w:rsidRPr="004B77E8">
        <w:rPr>
          <w:rStyle w:val="FootnoteReference"/>
        </w:rPr>
        <w:footnoteReference w:id="37"/>
      </w:r>
      <w:r w:rsidR="00287D17" w:rsidRPr="00300582">
        <w:rPr>
          <w:rFonts w:cstheme="minorHAnsi"/>
        </w:rPr>
        <w:t xml:space="preserve"> in preparation for Christ’s second coming and judgment.</w:t>
      </w:r>
      <w:r w:rsidR="00287D17" w:rsidRPr="004B77E8">
        <w:rPr>
          <w:rStyle w:val="FootnoteReference"/>
        </w:rPr>
        <w:footnoteReference w:id="38"/>
      </w:r>
      <w:r w:rsidR="00287D17" w:rsidRPr="00300582">
        <w:rPr>
          <w:rFonts w:cstheme="minorHAnsi"/>
        </w:rPr>
        <w:t xml:space="preserve"> </w:t>
      </w:r>
    </w:p>
    <w:p w14:paraId="1AC83245" w14:textId="77777777" w:rsidR="001D4896" w:rsidRPr="00300582" w:rsidRDefault="001D4896" w:rsidP="00BC4F6F">
      <w:pPr>
        <w:spacing w:line="360" w:lineRule="auto"/>
        <w:rPr>
          <w:rFonts w:cstheme="minorHAnsi"/>
        </w:rPr>
      </w:pPr>
    </w:p>
    <w:p w14:paraId="67BAC5D4" w14:textId="77777777" w:rsidR="00743ECF" w:rsidRDefault="00153140" w:rsidP="00BC4F6F">
      <w:pPr>
        <w:spacing w:line="360" w:lineRule="auto"/>
        <w:rPr>
          <w:rFonts w:cstheme="minorHAnsi"/>
        </w:rPr>
      </w:pPr>
      <w:r>
        <w:rPr>
          <w:rFonts w:cstheme="minorHAnsi"/>
        </w:rPr>
        <w:t xml:space="preserve">That pedagogical function begs two questions: ‘Can Christ be understood without having Christ in the Trinity?’ and, indeed, ‘Can the Trinity be understood without Christ?’ The answer to </w:t>
      </w:r>
      <w:r w:rsidR="002B601C">
        <w:rPr>
          <w:rFonts w:cstheme="minorHAnsi"/>
        </w:rPr>
        <w:t>both</w:t>
      </w:r>
      <w:r>
        <w:rPr>
          <w:rFonts w:cstheme="minorHAnsi"/>
        </w:rPr>
        <w:t xml:space="preserve"> question </w:t>
      </w:r>
      <w:r w:rsidR="002B601C">
        <w:rPr>
          <w:rFonts w:cstheme="minorHAnsi"/>
        </w:rPr>
        <w:t xml:space="preserve">denies the existence of a triune God and </w:t>
      </w:r>
      <w:r w:rsidR="00743ECF">
        <w:rPr>
          <w:rFonts w:cstheme="minorHAnsi"/>
        </w:rPr>
        <w:t>signals errant alternative teaching:</w:t>
      </w:r>
      <w:r>
        <w:rPr>
          <w:rFonts w:cstheme="minorHAnsi"/>
        </w:rPr>
        <w:t xml:space="preserve"> Arianism, the idea of adoptionism</w:t>
      </w:r>
      <w:r w:rsidR="002B601C">
        <w:rPr>
          <w:rFonts w:cstheme="minorHAnsi"/>
        </w:rPr>
        <w:t xml:space="preserve">, later fine-tuned by theologians like Walter Kasper and </w:t>
      </w:r>
      <w:proofErr w:type="spellStart"/>
      <w:r w:rsidR="002B601C">
        <w:rPr>
          <w:rFonts w:cstheme="minorHAnsi"/>
        </w:rPr>
        <w:t>Wolfhart</w:t>
      </w:r>
      <w:proofErr w:type="spellEnd"/>
      <w:r w:rsidR="002B601C">
        <w:rPr>
          <w:rFonts w:cstheme="minorHAnsi"/>
        </w:rPr>
        <w:t xml:space="preserve"> </w:t>
      </w:r>
      <w:proofErr w:type="spellStart"/>
      <w:r w:rsidR="002B601C">
        <w:rPr>
          <w:rFonts w:cstheme="minorHAnsi"/>
        </w:rPr>
        <w:t>Pannenberg</w:t>
      </w:r>
      <w:proofErr w:type="spellEnd"/>
      <w:r w:rsidR="002B601C">
        <w:rPr>
          <w:rFonts w:cstheme="minorHAnsi"/>
        </w:rPr>
        <w:t>, the heretical Apollinarian teachings, Docetism an</w:t>
      </w:r>
      <w:r>
        <w:rPr>
          <w:rFonts w:cstheme="minorHAnsi"/>
        </w:rPr>
        <w:t xml:space="preserve">d the many later attempts to provide an unshakeable doctrinal and credal statement about Christianity. </w:t>
      </w:r>
      <w:r w:rsidR="00120C5C">
        <w:rPr>
          <w:rFonts w:cstheme="minorHAnsi"/>
        </w:rPr>
        <w:t>(</w:t>
      </w:r>
      <w:r w:rsidR="00703943">
        <w:rPr>
          <w:rFonts w:cstheme="minorHAnsi"/>
        </w:rPr>
        <w:t xml:space="preserve">Regarding Apollinarianism, </w:t>
      </w:r>
      <w:r w:rsidR="00120C5C">
        <w:rPr>
          <w:rFonts w:cstheme="minorHAnsi"/>
        </w:rPr>
        <w:t xml:space="preserve">Kyriakos </w:t>
      </w:r>
      <w:proofErr w:type="spellStart"/>
      <w:r w:rsidR="00120C5C">
        <w:rPr>
          <w:rFonts w:cstheme="minorHAnsi"/>
        </w:rPr>
        <w:t>Stavrianos</w:t>
      </w:r>
      <w:proofErr w:type="spellEnd"/>
      <w:r w:rsidR="00120C5C">
        <w:rPr>
          <w:rFonts w:cstheme="minorHAnsi"/>
        </w:rPr>
        <w:t xml:space="preserve"> emphatically </w:t>
      </w:r>
      <w:r w:rsidR="00703943">
        <w:rPr>
          <w:rFonts w:cstheme="minorHAnsi"/>
        </w:rPr>
        <w:t>reinforces</w:t>
      </w:r>
      <w:r w:rsidR="00120C5C">
        <w:rPr>
          <w:rFonts w:cstheme="minorHAnsi"/>
        </w:rPr>
        <w:t xml:space="preserve"> Athanasius’ Christological conclusions).</w:t>
      </w:r>
      <w:r w:rsidR="00120C5C" w:rsidRPr="004B77E8">
        <w:rPr>
          <w:rStyle w:val="FootnoteReference"/>
        </w:rPr>
        <w:footnoteReference w:id="39"/>
      </w:r>
      <w:r w:rsidR="00120C5C">
        <w:rPr>
          <w:rFonts w:cstheme="minorHAnsi"/>
        </w:rPr>
        <w:t xml:space="preserve"> </w:t>
      </w:r>
    </w:p>
    <w:p w14:paraId="6E310516" w14:textId="77777777" w:rsidR="00743ECF" w:rsidRDefault="00743ECF" w:rsidP="00BC4F6F">
      <w:pPr>
        <w:spacing w:line="360" w:lineRule="auto"/>
        <w:rPr>
          <w:rFonts w:cstheme="minorHAnsi"/>
        </w:rPr>
      </w:pPr>
    </w:p>
    <w:p w14:paraId="7B63FAD4" w14:textId="79D87755" w:rsidR="00153140" w:rsidRPr="00BF5034" w:rsidRDefault="00743ECF" w:rsidP="00BC4F6F">
      <w:pPr>
        <w:spacing w:line="360" w:lineRule="auto"/>
        <w:rPr>
          <w:rFonts w:cstheme="minorHAnsi"/>
        </w:rPr>
      </w:pPr>
      <w:r>
        <w:rPr>
          <w:rFonts w:cstheme="minorHAnsi"/>
        </w:rPr>
        <w:t>Theology of Religion conclusions foster alternative non-Christian expressions of b</w:t>
      </w:r>
      <w:r w:rsidR="002B601C">
        <w:rPr>
          <w:rFonts w:cstheme="minorHAnsi"/>
        </w:rPr>
        <w:t xml:space="preserve">elief </w:t>
      </w:r>
      <w:r w:rsidR="002B601C" w:rsidRPr="00BF5034">
        <w:rPr>
          <w:rFonts w:cstheme="minorHAnsi"/>
        </w:rPr>
        <w:t xml:space="preserve">in the one true God, as can be </w:t>
      </w:r>
      <w:r w:rsidR="00FD54EE">
        <w:rPr>
          <w:rFonts w:cstheme="minorHAnsi"/>
        </w:rPr>
        <w:t>reasoned</w:t>
      </w:r>
      <w:r w:rsidR="002B601C" w:rsidRPr="00BF5034">
        <w:rPr>
          <w:rFonts w:cstheme="minorHAnsi"/>
        </w:rPr>
        <w:t xml:space="preserve"> in the different understandings of ‘</w:t>
      </w:r>
      <w:r w:rsidR="00FD54EE">
        <w:rPr>
          <w:rFonts w:cstheme="minorHAnsi"/>
        </w:rPr>
        <w:t xml:space="preserve">ultimate </w:t>
      </w:r>
      <w:r w:rsidR="002B601C" w:rsidRPr="00BF5034">
        <w:rPr>
          <w:rFonts w:cstheme="minorHAnsi"/>
        </w:rPr>
        <w:t>other</w:t>
      </w:r>
      <w:r w:rsidR="00FD54EE">
        <w:rPr>
          <w:rFonts w:cstheme="minorHAnsi"/>
        </w:rPr>
        <w:t>ness</w:t>
      </w:r>
      <w:r w:rsidR="002B601C" w:rsidRPr="00BF5034">
        <w:rPr>
          <w:rFonts w:cstheme="minorHAnsi"/>
        </w:rPr>
        <w:t xml:space="preserve">’ in </w:t>
      </w:r>
      <w:r w:rsidR="002B601C" w:rsidRPr="00BF5034">
        <w:rPr>
          <w:rFonts w:cstheme="minorHAnsi"/>
        </w:rPr>
        <w:lastRenderedPageBreak/>
        <w:t>different world religions, worldviews and philosophies.</w:t>
      </w:r>
      <w:r w:rsidR="00BF5034" w:rsidRPr="004B77E8">
        <w:rPr>
          <w:rStyle w:val="FootnoteReference"/>
        </w:rPr>
        <w:footnoteReference w:id="40"/>
      </w:r>
      <w:r w:rsidR="002B601C" w:rsidRPr="00BF5034">
        <w:rPr>
          <w:rFonts w:cstheme="minorHAnsi"/>
        </w:rPr>
        <w:t xml:space="preserve"> </w:t>
      </w:r>
      <w:r w:rsidR="00FD54EE">
        <w:rPr>
          <w:rFonts w:cstheme="minorHAnsi"/>
        </w:rPr>
        <w:t xml:space="preserve">Returning to Christian theology, </w:t>
      </w:r>
      <w:r w:rsidR="001F271C" w:rsidRPr="00BF5034">
        <w:rPr>
          <w:rFonts w:cstheme="minorHAnsi"/>
        </w:rPr>
        <w:t xml:space="preserve">Hans </w:t>
      </w:r>
      <w:proofErr w:type="spellStart"/>
      <w:r w:rsidR="001F271C" w:rsidRPr="00BF5034">
        <w:rPr>
          <w:rFonts w:cstheme="minorHAnsi"/>
        </w:rPr>
        <w:t>Urs</w:t>
      </w:r>
      <w:proofErr w:type="spellEnd"/>
      <w:r w:rsidR="001F271C" w:rsidRPr="00BF5034">
        <w:rPr>
          <w:rFonts w:cstheme="minorHAnsi"/>
        </w:rPr>
        <w:t xml:space="preserve"> von Balthasar cogently sums up Christian understanding of the triune relationships with reference back to the mystery of the Incarnation:</w:t>
      </w:r>
    </w:p>
    <w:p w14:paraId="4B6614B8" w14:textId="0E90170F" w:rsidR="001F271C" w:rsidRPr="00BF5034" w:rsidRDefault="001F271C" w:rsidP="00BC4F6F">
      <w:pPr>
        <w:pStyle w:val="NormalWeb"/>
        <w:shd w:val="clear" w:color="auto" w:fill="FFFFFF"/>
        <w:spacing w:before="0" w:beforeAutospacing="0" w:after="0" w:afterAutospacing="0" w:line="360" w:lineRule="auto"/>
        <w:ind w:left="720"/>
        <w:rPr>
          <w:rFonts w:asciiTheme="minorHAnsi" w:hAnsiTheme="minorHAnsi" w:cstheme="minorHAnsi"/>
        </w:rPr>
      </w:pPr>
      <w:r w:rsidRPr="00BF5034">
        <w:rPr>
          <w:rFonts w:asciiTheme="minorHAnsi" w:hAnsiTheme="minorHAnsi" w:cstheme="minorHAnsi"/>
        </w:rPr>
        <w:t xml:space="preserve">“What is necessary today, after long experience of the history of theology, is an effort at an authentic </w:t>
      </w:r>
      <w:r w:rsidRPr="00BF5034">
        <w:rPr>
          <w:rFonts w:asciiTheme="minorHAnsi" w:hAnsiTheme="minorHAnsi" w:cstheme="minorHAnsi"/>
          <w:i/>
          <w:iCs/>
        </w:rPr>
        <w:t>theological</w:t>
      </w:r>
      <w:r w:rsidRPr="00BF5034">
        <w:rPr>
          <w:rFonts w:asciiTheme="minorHAnsi" w:hAnsiTheme="minorHAnsi" w:cstheme="minorHAnsi"/>
        </w:rPr>
        <w:t xml:space="preserve"> deepening of the particular mysteries of salvation in their incarnationally concrete character ... without losing to view the Trinitarian background and so the functional aspect of the work of Jesus, which means no less than the relations within the Trinity that define his Person.”</w:t>
      </w:r>
      <w:r w:rsidR="00BF5034" w:rsidRPr="004B77E8">
        <w:rPr>
          <w:rStyle w:val="FootnoteReference"/>
        </w:rPr>
        <w:footnoteReference w:id="41"/>
      </w:r>
    </w:p>
    <w:p w14:paraId="57F2A24B" w14:textId="77777777" w:rsidR="00153140" w:rsidRPr="00BF5034" w:rsidRDefault="00153140" w:rsidP="00BC4F6F">
      <w:pPr>
        <w:spacing w:line="360" w:lineRule="auto"/>
        <w:rPr>
          <w:rFonts w:cstheme="minorHAnsi"/>
        </w:rPr>
      </w:pPr>
    </w:p>
    <w:p w14:paraId="1C5A0322" w14:textId="363AFDFE" w:rsidR="001F271C" w:rsidRDefault="001F271C" w:rsidP="00BC4F6F">
      <w:pPr>
        <w:spacing w:line="360" w:lineRule="auto"/>
        <w:rPr>
          <w:rFonts w:cstheme="minorHAnsi"/>
        </w:rPr>
      </w:pPr>
      <w:r w:rsidRPr="00BF5034">
        <w:rPr>
          <w:rFonts w:cstheme="minorHAnsi"/>
        </w:rPr>
        <w:t>Athanasius</w:t>
      </w:r>
      <w:r w:rsidRPr="00300582">
        <w:rPr>
          <w:rFonts w:cstheme="minorHAnsi"/>
        </w:rPr>
        <w:t xml:space="preserve"> expands on both his Christological and Trinitarian views in </w:t>
      </w:r>
      <w:r w:rsidRPr="00300582">
        <w:rPr>
          <w:rFonts w:cstheme="minorHAnsi"/>
          <w:i/>
          <w:iCs/>
        </w:rPr>
        <w:t xml:space="preserve">Contra </w:t>
      </w:r>
      <w:proofErr w:type="spellStart"/>
      <w:r w:rsidRPr="00300582">
        <w:rPr>
          <w:rFonts w:cstheme="minorHAnsi"/>
          <w:i/>
          <w:iCs/>
        </w:rPr>
        <w:t>Arianes</w:t>
      </w:r>
      <w:proofErr w:type="spellEnd"/>
      <w:r w:rsidRPr="00300582">
        <w:rPr>
          <w:rFonts w:cstheme="minorHAnsi"/>
        </w:rPr>
        <w:t xml:space="preserve"> and his extensive </w:t>
      </w:r>
      <w:r w:rsidR="00FD54EE">
        <w:rPr>
          <w:rFonts w:cstheme="minorHAnsi"/>
        </w:rPr>
        <w:t xml:space="preserve">later </w:t>
      </w:r>
      <w:r w:rsidRPr="00300582">
        <w:rPr>
          <w:rFonts w:cstheme="minorHAnsi"/>
        </w:rPr>
        <w:t>correspondence.</w:t>
      </w:r>
      <w:r>
        <w:rPr>
          <w:rFonts w:cstheme="minorHAnsi"/>
        </w:rPr>
        <w:t xml:space="preserve"> Trinit</w:t>
      </w:r>
      <w:r w:rsidRPr="0090510C">
        <w:rPr>
          <w:rFonts w:cstheme="minorHAnsi"/>
        </w:rPr>
        <w:t>arianism</w:t>
      </w:r>
      <w:r w:rsidRPr="005523B7">
        <w:rPr>
          <w:rFonts w:cstheme="minorHAnsi"/>
        </w:rPr>
        <w:t xml:space="preserve"> as a doctrine </w:t>
      </w:r>
      <w:r>
        <w:rPr>
          <w:rFonts w:cstheme="minorHAnsi"/>
        </w:rPr>
        <w:t xml:space="preserve">demanded </w:t>
      </w:r>
      <w:r w:rsidRPr="005523B7">
        <w:rPr>
          <w:rFonts w:cstheme="minorHAnsi"/>
        </w:rPr>
        <w:t xml:space="preserve">further clarification only </w:t>
      </w:r>
      <w:r>
        <w:rPr>
          <w:rFonts w:cstheme="minorHAnsi"/>
        </w:rPr>
        <w:t>once</w:t>
      </w:r>
      <w:r w:rsidRPr="005523B7">
        <w:rPr>
          <w:rFonts w:cstheme="minorHAnsi"/>
        </w:rPr>
        <w:t xml:space="preserve"> the substance and person of Christ </w:t>
      </w:r>
      <w:r>
        <w:rPr>
          <w:rFonts w:cstheme="minorHAnsi"/>
        </w:rPr>
        <w:t>called it into question. Indeed, in proffering his opposition to Arius, Athanasius is fulfilling his role as bishop, one of whose functions is to “bring food for the flock, namely instructions from the Scriptures”</w:t>
      </w:r>
      <w:r w:rsidRPr="004B77E8">
        <w:rPr>
          <w:rStyle w:val="FootnoteReference"/>
        </w:rPr>
        <w:footnoteReference w:id="42"/>
      </w:r>
      <w:r>
        <w:rPr>
          <w:rFonts w:cstheme="minorHAnsi"/>
        </w:rPr>
        <w:t xml:space="preserve">. </w:t>
      </w:r>
      <w:r w:rsidRPr="005523B7">
        <w:rPr>
          <w:rFonts w:cstheme="minorHAnsi"/>
        </w:rPr>
        <w:t xml:space="preserve">Miroslav </w:t>
      </w:r>
      <w:proofErr w:type="spellStart"/>
      <w:r w:rsidRPr="005523B7">
        <w:rPr>
          <w:rFonts w:cstheme="minorHAnsi"/>
        </w:rPr>
        <w:t>Volf’s</w:t>
      </w:r>
      <w:proofErr w:type="spellEnd"/>
      <w:r w:rsidRPr="004B77E8">
        <w:rPr>
          <w:rStyle w:val="FootnoteReference"/>
        </w:rPr>
        <w:footnoteReference w:id="43"/>
      </w:r>
      <w:r w:rsidRPr="005523B7">
        <w:rPr>
          <w:rFonts w:cstheme="minorHAnsi"/>
        </w:rPr>
        <w:t xml:space="preserve"> conclusions </w:t>
      </w:r>
      <w:r>
        <w:rPr>
          <w:rFonts w:cstheme="minorHAnsi"/>
        </w:rPr>
        <w:t xml:space="preserve">here concerning the Trinity </w:t>
      </w:r>
      <w:r w:rsidRPr="005523B7">
        <w:rPr>
          <w:rFonts w:cstheme="minorHAnsi"/>
        </w:rPr>
        <w:t>seem apt</w:t>
      </w:r>
      <w:r>
        <w:rPr>
          <w:rFonts w:cstheme="minorHAnsi"/>
        </w:rPr>
        <w:t>.</w:t>
      </w:r>
      <w:r w:rsidRPr="005523B7">
        <w:rPr>
          <w:rFonts w:cstheme="minorHAnsi"/>
        </w:rPr>
        <w:t xml:space="preserve"> </w:t>
      </w:r>
      <w:r>
        <w:rPr>
          <w:rFonts w:cstheme="minorHAnsi"/>
        </w:rPr>
        <w:t>He rejects</w:t>
      </w:r>
      <w:r w:rsidRPr="005523B7">
        <w:rPr>
          <w:rFonts w:cstheme="minorHAnsi"/>
        </w:rPr>
        <w:t xml:space="preserve"> </w:t>
      </w:r>
      <w:r>
        <w:rPr>
          <w:rFonts w:cstheme="minorHAnsi"/>
        </w:rPr>
        <w:t xml:space="preserve">Ratzinger’s </w:t>
      </w:r>
      <w:r w:rsidRPr="005523B7">
        <w:rPr>
          <w:rFonts w:cstheme="minorHAnsi"/>
        </w:rPr>
        <w:t xml:space="preserve">views (a form of pyramidical dominance of the one) and </w:t>
      </w:r>
      <w:proofErr w:type="spellStart"/>
      <w:r w:rsidRPr="005523B7">
        <w:rPr>
          <w:rFonts w:cstheme="minorHAnsi"/>
        </w:rPr>
        <w:t>Zizoulas</w:t>
      </w:r>
      <w:proofErr w:type="spellEnd"/>
      <w:r>
        <w:rPr>
          <w:rFonts w:cstheme="minorHAnsi"/>
        </w:rPr>
        <w:t>’</w:t>
      </w:r>
      <w:r w:rsidRPr="005523B7">
        <w:rPr>
          <w:rFonts w:cstheme="minorHAnsi"/>
        </w:rPr>
        <w:t xml:space="preserve"> (a hierarchical bipolarity between the one and the many)</w:t>
      </w:r>
      <w:r w:rsidRPr="004B77E8">
        <w:rPr>
          <w:rStyle w:val="FootnoteReference"/>
        </w:rPr>
        <w:footnoteReference w:id="44"/>
      </w:r>
      <w:r>
        <w:rPr>
          <w:rFonts w:cstheme="minorHAnsi"/>
        </w:rPr>
        <w:t xml:space="preserve">. </w:t>
      </w:r>
    </w:p>
    <w:p w14:paraId="2F80A301" w14:textId="77777777" w:rsidR="008C6EB0" w:rsidRDefault="008C6EB0" w:rsidP="00BC4F6F">
      <w:pPr>
        <w:spacing w:line="360" w:lineRule="auto"/>
        <w:rPr>
          <w:rFonts w:cstheme="minorHAnsi"/>
        </w:rPr>
      </w:pPr>
    </w:p>
    <w:p w14:paraId="48C67D05" w14:textId="4817D89A" w:rsidR="00EB4795" w:rsidRDefault="008C6EB0" w:rsidP="00BC4F6F">
      <w:pPr>
        <w:spacing w:line="360" w:lineRule="auto"/>
        <w:rPr>
          <w:rFonts w:cstheme="minorHAnsi"/>
        </w:rPr>
      </w:pPr>
      <w:r>
        <w:rPr>
          <w:rFonts w:cstheme="minorHAnsi"/>
        </w:rPr>
        <w:t>A</w:t>
      </w:r>
      <w:r w:rsidRPr="005523B7">
        <w:rPr>
          <w:rFonts w:cstheme="minorHAnsi"/>
        </w:rPr>
        <w:t xml:space="preserve"> more nuanced description of Athanasius’ </w:t>
      </w:r>
      <w:r w:rsidR="00343EB3">
        <w:rPr>
          <w:rFonts w:cstheme="minorHAnsi"/>
        </w:rPr>
        <w:t>Trinit</w:t>
      </w:r>
      <w:r w:rsidRPr="005523B7">
        <w:rPr>
          <w:rFonts w:cstheme="minorHAnsi"/>
        </w:rPr>
        <w:t>aria</w:t>
      </w:r>
      <w:r>
        <w:rPr>
          <w:rFonts w:cstheme="minorHAnsi"/>
        </w:rPr>
        <w:t>n structure</w:t>
      </w:r>
      <w:r w:rsidRPr="005523B7">
        <w:rPr>
          <w:rFonts w:cstheme="minorHAnsi"/>
        </w:rPr>
        <w:t xml:space="preserve"> </w:t>
      </w:r>
      <w:r>
        <w:rPr>
          <w:rFonts w:cstheme="minorHAnsi"/>
        </w:rPr>
        <w:t xml:space="preserve">describes a </w:t>
      </w:r>
      <w:r w:rsidRPr="005523B7">
        <w:rPr>
          <w:rFonts w:cstheme="minorHAnsi"/>
          <w:i/>
          <w:iCs/>
        </w:rPr>
        <w:t>perichoresis</w:t>
      </w:r>
      <w:r w:rsidRPr="005523B7">
        <w:rPr>
          <w:rFonts w:cstheme="minorHAnsi"/>
        </w:rPr>
        <w:t xml:space="preserve">, </w:t>
      </w:r>
      <w:r>
        <w:rPr>
          <w:rFonts w:cstheme="minorHAnsi"/>
        </w:rPr>
        <w:t xml:space="preserve">where all share the divine attributes, without any hierarchy or subordination, but </w:t>
      </w:r>
      <w:r w:rsidRPr="005523B7">
        <w:rPr>
          <w:rFonts w:cstheme="minorHAnsi"/>
        </w:rPr>
        <w:t xml:space="preserve">“a polycentric and symmetrical reciprocity </w:t>
      </w:r>
      <w:r>
        <w:rPr>
          <w:rFonts w:cstheme="minorHAnsi"/>
        </w:rPr>
        <w:t>of</w:t>
      </w:r>
      <w:r w:rsidRPr="005523B7">
        <w:rPr>
          <w:rFonts w:cstheme="minorHAnsi"/>
        </w:rPr>
        <w:t xml:space="preserve"> the many”</w:t>
      </w:r>
      <w:r w:rsidRPr="004B77E8">
        <w:rPr>
          <w:rStyle w:val="FootnoteReference"/>
        </w:rPr>
        <w:footnoteReference w:id="45"/>
      </w:r>
      <w:r w:rsidR="0090510C">
        <w:rPr>
          <w:rFonts w:cstheme="minorHAnsi"/>
        </w:rPr>
        <w:t>, as set out in</w:t>
      </w:r>
      <w:r w:rsidR="00B3490B">
        <w:rPr>
          <w:rFonts w:cstheme="minorHAnsi"/>
        </w:rPr>
        <w:t xml:space="preserve"> the later</w:t>
      </w:r>
      <w:r w:rsidR="0090510C">
        <w:rPr>
          <w:rFonts w:cstheme="minorHAnsi"/>
        </w:rPr>
        <w:t xml:space="preserve"> </w:t>
      </w:r>
      <w:proofErr w:type="spellStart"/>
      <w:r w:rsidR="0090510C" w:rsidRPr="009B5B4A">
        <w:rPr>
          <w:rFonts w:ascii="Arial" w:hAnsi="Arial" w:cs="Arial"/>
          <w:i/>
          <w:iCs/>
          <w:color w:val="202122"/>
          <w:sz w:val="21"/>
          <w:szCs w:val="21"/>
        </w:rPr>
        <w:t>Quicunque</w:t>
      </w:r>
      <w:proofErr w:type="spellEnd"/>
      <w:r w:rsidR="0090510C" w:rsidRPr="009B5B4A">
        <w:rPr>
          <w:rFonts w:ascii="Arial" w:hAnsi="Arial" w:cs="Arial"/>
          <w:i/>
          <w:iCs/>
          <w:color w:val="202122"/>
          <w:sz w:val="21"/>
          <w:szCs w:val="21"/>
        </w:rPr>
        <w:t xml:space="preserve"> </w:t>
      </w:r>
      <w:proofErr w:type="spellStart"/>
      <w:r w:rsidR="0090510C" w:rsidRPr="009B5B4A">
        <w:rPr>
          <w:rFonts w:ascii="Arial" w:hAnsi="Arial" w:cs="Arial"/>
          <w:i/>
          <w:iCs/>
          <w:color w:val="202122"/>
          <w:sz w:val="21"/>
          <w:szCs w:val="21"/>
        </w:rPr>
        <w:lastRenderedPageBreak/>
        <w:t>Vult</w:t>
      </w:r>
      <w:proofErr w:type="spellEnd"/>
      <w:r w:rsidRPr="005523B7">
        <w:rPr>
          <w:rFonts w:cstheme="minorHAnsi"/>
        </w:rPr>
        <w:t>.</w:t>
      </w:r>
      <w:r>
        <w:rPr>
          <w:rFonts w:cstheme="minorHAnsi"/>
        </w:rPr>
        <w:t xml:space="preserve"> For Athanasius, the Cross bears witness to the </w:t>
      </w:r>
      <w:r w:rsidR="00343EB3">
        <w:rPr>
          <w:rFonts w:cstheme="minorHAnsi"/>
        </w:rPr>
        <w:t>Trinit</w:t>
      </w:r>
      <w:r>
        <w:rPr>
          <w:rFonts w:cstheme="minorHAnsi"/>
        </w:rPr>
        <w:t>y</w:t>
      </w:r>
      <w:r w:rsidRPr="004B77E8">
        <w:rPr>
          <w:rStyle w:val="FootnoteReference"/>
        </w:rPr>
        <w:footnoteReference w:id="46"/>
      </w:r>
      <w:r>
        <w:rPr>
          <w:rFonts w:cstheme="minorHAnsi"/>
        </w:rPr>
        <w:t>, confirmed “in accordance with the nature of the invisible God that he should be known through his works … [Christ] is very Son of God, having his being from God as from a Father, Whose Word and Wisdom, and Whose Power He is”</w:t>
      </w:r>
      <w:r w:rsidRPr="004B77E8">
        <w:rPr>
          <w:rStyle w:val="FootnoteReference"/>
        </w:rPr>
        <w:footnoteReference w:id="47"/>
      </w:r>
      <w:r w:rsidR="00AB675F">
        <w:rPr>
          <w:rFonts w:cstheme="minorHAnsi"/>
        </w:rPr>
        <w:t xml:space="preserve"> </w:t>
      </w:r>
      <w:r w:rsidR="00E44B8A">
        <w:rPr>
          <w:rFonts w:cstheme="minorHAnsi"/>
        </w:rPr>
        <w:t xml:space="preserve">Athanasius </w:t>
      </w:r>
      <w:r w:rsidR="00E44B8A" w:rsidRPr="007C14A3">
        <w:rPr>
          <w:rFonts w:cstheme="minorHAnsi"/>
          <w:i/>
          <w:iCs/>
        </w:rPr>
        <w:t>assumes</w:t>
      </w:r>
      <w:r w:rsidR="00E44B8A">
        <w:rPr>
          <w:rFonts w:cstheme="minorHAnsi"/>
        </w:rPr>
        <w:t xml:space="preserve"> the pre-existent consubstantiality of </w:t>
      </w:r>
      <w:r>
        <w:rPr>
          <w:rFonts w:cstheme="minorHAnsi"/>
        </w:rPr>
        <w:t xml:space="preserve">the </w:t>
      </w:r>
      <w:r w:rsidR="00E44B8A">
        <w:rPr>
          <w:rFonts w:cstheme="minorHAnsi"/>
        </w:rPr>
        <w:t>Word</w:t>
      </w:r>
      <w:r>
        <w:rPr>
          <w:rFonts w:cstheme="minorHAnsi"/>
        </w:rPr>
        <w:t xml:space="preserve"> of God</w:t>
      </w:r>
      <w:r w:rsidR="00E44B8A">
        <w:rPr>
          <w:rFonts w:cstheme="minorHAnsi"/>
        </w:rPr>
        <w:t xml:space="preserve"> (i.e. Christ) with the Father</w:t>
      </w:r>
      <w:r w:rsidR="00037468">
        <w:rPr>
          <w:rFonts w:cstheme="minorHAnsi"/>
        </w:rPr>
        <w:t xml:space="preserve"> for the </w:t>
      </w:r>
      <w:r w:rsidR="00E44B8A">
        <w:rPr>
          <w:rFonts w:cstheme="minorHAnsi"/>
        </w:rPr>
        <w:t>Creation.</w:t>
      </w:r>
      <w:r w:rsidR="000A3067" w:rsidRPr="004B77E8">
        <w:rPr>
          <w:rStyle w:val="FootnoteReference"/>
        </w:rPr>
        <w:footnoteReference w:id="48"/>
      </w:r>
      <w:r w:rsidR="00E44B8A">
        <w:rPr>
          <w:rFonts w:cstheme="minorHAnsi"/>
        </w:rPr>
        <w:t xml:space="preserve"> </w:t>
      </w:r>
      <w:r w:rsidR="00C91254" w:rsidRPr="00300582">
        <w:rPr>
          <w:rFonts w:cstheme="minorHAnsi"/>
        </w:rPr>
        <w:t xml:space="preserve">Can the Trinity be understood without Christ? </w:t>
      </w:r>
      <w:r w:rsidR="00CC7415" w:rsidRPr="00300582">
        <w:rPr>
          <w:rFonts w:cstheme="minorHAnsi"/>
        </w:rPr>
        <w:t>No, i</w:t>
      </w:r>
      <w:r w:rsidR="00C91254" w:rsidRPr="00300582">
        <w:rPr>
          <w:rFonts w:cstheme="minorHAnsi"/>
        </w:rPr>
        <w:t>t is</w:t>
      </w:r>
      <w:r w:rsidR="00E44B8A" w:rsidRPr="00300582">
        <w:rPr>
          <w:rFonts w:cstheme="minorHAnsi"/>
        </w:rPr>
        <w:t xml:space="preserve"> a question of interdependence</w:t>
      </w:r>
      <w:r w:rsidR="00CC7415" w:rsidRPr="00300582">
        <w:rPr>
          <w:rFonts w:cstheme="minorHAnsi"/>
        </w:rPr>
        <w:t xml:space="preserve"> on</w:t>
      </w:r>
      <w:r w:rsidR="00E44B8A" w:rsidRPr="00300582">
        <w:rPr>
          <w:rFonts w:cstheme="minorHAnsi"/>
        </w:rPr>
        <w:t>, rather than independence</w:t>
      </w:r>
      <w:r w:rsidR="00CC7415" w:rsidRPr="00300582">
        <w:rPr>
          <w:rFonts w:cstheme="minorHAnsi"/>
        </w:rPr>
        <w:t xml:space="preserve"> from a triune God</w:t>
      </w:r>
      <w:r w:rsidR="00E44B8A" w:rsidRPr="00300582">
        <w:rPr>
          <w:rFonts w:cstheme="minorHAnsi"/>
        </w:rPr>
        <w:t>,</w:t>
      </w:r>
      <w:r w:rsidR="00E44B8A">
        <w:rPr>
          <w:rFonts w:cstheme="minorHAnsi"/>
        </w:rPr>
        <w:t xml:space="preserve"> and therefore a question of </w:t>
      </w:r>
      <w:r w:rsidR="00E44B8A" w:rsidRPr="00465B2E">
        <w:rPr>
          <w:rFonts w:cstheme="minorHAnsi"/>
          <w:i/>
          <w:iCs/>
        </w:rPr>
        <w:t>relative</w:t>
      </w:r>
      <w:r w:rsidR="00E44B8A">
        <w:rPr>
          <w:rFonts w:cstheme="minorHAnsi"/>
        </w:rPr>
        <w:t xml:space="preserve"> relationship, hence </w:t>
      </w:r>
      <w:r w:rsidR="00037468">
        <w:rPr>
          <w:rFonts w:cstheme="minorHAnsi"/>
        </w:rPr>
        <w:t>DI’s</w:t>
      </w:r>
      <w:r w:rsidR="00E44B8A">
        <w:rPr>
          <w:rFonts w:cstheme="minorHAnsi"/>
        </w:rPr>
        <w:t xml:space="preserve"> refutation of Arian </w:t>
      </w:r>
      <w:r w:rsidR="00037468">
        <w:rPr>
          <w:rFonts w:cstheme="minorHAnsi"/>
        </w:rPr>
        <w:t>teaching</w:t>
      </w:r>
      <w:r w:rsidR="004B77E8">
        <w:rPr>
          <w:rFonts w:cstheme="minorHAnsi"/>
        </w:rPr>
        <w:t>,</w:t>
      </w:r>
      <w:r w:rsidR="00E44B8A">
        <w:rPr>
          <w:rFonts w:cstheme="minorHAnsi"/>
        </w:rPr>
        <w:t xml:space="preserve"> </w:t>
      </w:r>
      <w:r w:rsidR="00351549">
        <w:rPr>
          <w:rFonts w:cstheme="minorHAnsi"/>
        </w:rPr>
        <w:t xml:space="preserve">other questionable heresies (for example, </w:t>
      </w:r>
      <w:proofErr w:type="spellStart"/>
      <w:r w:rsidR="00B3490B">
        <w:rPr>
          <w:rFonts w:cstheme="minorHAnsi"/>
        </w:rPr>
        <w:t>Apollinariansim</w:t>
      </w:r>
      <w:proofErr w:type="spellEnd"/>
      <w:r w:rsidR="00B3490B">
        <w:rPr>
          <w:rFonts w:cstheme="minorHAnsi"/>
        </w:rPr>
        <w:t xml:space="preserve">, </w:t>
      </w:r>
      <w:proofErr w:type="spellStart"/>
      <w:r w:rsidR="00B3490B">
        <w:rPr>
          <w:rFonts w:cstheme="minorHAnsi"/>
        </w:rPr>
        <w:t>Eutychianism</w:t>
      </w:r>
      <w:proofErr w:type="spellEnd"/>
      <w:r w:rsidR="00351549">
        <w:rPr>
          <w:rFonts w:cstheme="minorHAnsi"/>
        </w:rPr>
        <w:t xml:space="preserve">, </w:t>
      </w:r>
      <w:r w:rsidR="00B3490B">
        <w:rPr>
          <w:rFonts w:cstheme="minorHAnsi"/>
        </w:rPr>
        <w:t>extreme Nestorianism</w:t>
      </w:r>
      <w:r w:rsidR="00351549">
        <w:rPr>
          <w:rFonts w:cstheme="minorHAnsi"/>
        </w:rPr>
        <w:t xml:space="preserve">, monergism and </w:t>
      </w:r>
      <w:proofErr w:type="spellStart"/>
      <w:r w:rsidR="00351549">
        <w:rPr>
          <w:rFonts w:cstheme="minorHAnsi"/>
        </w:rPr>
        <w:t>monotheletism</w:t>
      </w:r>
      <w:proofErr w:type="spellEnd"/>
      <w:r w:rsidR="004B77E8">
        <w:rPr>
          <w:rFonts w:cstheme="minorHAnsi"/>
        </w:rPr>
        <w:t>)</w:t>
      </w:r>
      <w:r w:rsidR="004B77E8" w:rsidRPr="004B77E8">
        <w:rPr>
          <w:rStyle w:val="FootnoteReference"/>
        </w:rPr>
        <w:footnoteReference w:id="49"/>
      </w:r>
      <w:r w:rsidR="004B77E8" w:rsidRPr="004B77E8">
        <w:rPr>
          <w:rFonts w:cstheme="minorHAnsi"/>
        </w:rPr>
        <w:t xml:space="preserve"> </w:t>
      </w:r>
      <w:r w:rsidR="004B77E8">
        <w:rPr>
          <w:rFonts w:cstheme="minorHAnsi"/>
        </w:rPr>
        <w:t>and beyond Chalcedon to</w:t>
      </w:r>
      <w:r w:rsidR="004B77E8">
        <w:rPr>
          <w:rFonts w:cstheme="minorHAnsi"/>
        </w:rPr>
        <w:t xml:space="preserve"> </w:t>
      </w:r>
      <w:r w:rsidR="001D4896">
        <w:rPr>
          <w:rFonts w:cstheme="minorHAnsi"/>
        </w:rPr>
        <w:t>the</w:t>
      </w:r>
      <w:r w:rsidR="00E44B8A">
        <w:rPr>
          <w:rFonts w:cstheme="minorHAnsi"/>
        </w:rPr>
        <w:t xml:space="preserve"> </w:t>
      </w:r>
      <w:r w:rsidR="007B2FCA">
        <w:rPr>
          <w:rFonts w:cstheme="minorHAnsi"/>
        </w:rPr>
        <w:t xml:space="preserve">later </w:t>
      </w:r>
      <w:r w:rsidR="00E44B8A">
        <w:rPr>
          <w:rFonts w:cstheme="minorHAnsi"/>
        </w:rPr>
        <w:t xml:space="preserve">schismatic resolution </w:t>
      </w:r>
      <w:r w:rsidR="00B3490B">
        <w:rPr>
          <w:rFonts w:cstheme="minorHAnsi"/>
        </w:rPr>
        <w:t>to</w:t>
      </w:r>
      <w:r w:rsidR="00E44B8A">
        <w:rPr>
          <w:rFonts w:cstheme="minorHAnsi"/>
        </w:rPr>
        <w:t xml:space="preserve"> the </w:t>
      </w:r>
      <w:r w:rsidR="00E44B8A">
        <w:rPr>
          <w:rFonts w:cstheme="minorHAnsi"/>
          <w:i/>
          <w:iCs/>
        </w:rPr>
        <w:t>filioque</w:t>
      </w:r>
      <w:r w:rsidR="00E44B8A">
        <w:rPr>
          <w:rFonts w:cstheme="minorHAnsi"/>
        </w:rPr>
        <w:t xml:space="preserve"> question.</w:t>
      </w:r>
      <w:r w:rsidR="007B2FCA">
        <w:rPr>
          <w:rFonts w:cstheme="minorHAnsi"/>
        </w:rPr>
        <w:t xml:space="preserve"> </w:t>
      </w:r>
    </w:p>
    <w:p w14:paraId="47D26357" w14:textId="77777777" w:rsidR="00EB4795" w:rsidRDefault="00EB4795" w:rsidP="00DB309D">
      <w:pPr>
        <w:rPr>
          <w:rFonts w:cstheme="minorHAnsi"/>
        </w:rPr>
      </w:pPr>
    </w:p>
    <w:p w14:paraId="4CE2D980" w14:textId="29D5DED9" w:rsidR="008A4C5D" w:rsidRDefault="006043B6" w:rsidP="00DB309D">
      <w:pPr>
        <w:rPr>
          <w:rFonts w:cstheme="minorHAnsi"/>
          <w:b/>
          <w:bCs/>
        </w:rPr>
      </w:pPr>
      <w:r w:rsidRPr="00300582">
        <w:rPr>
          <w:rFonts w:cstheme="minorHAnsi"/>
          <w:b/>
          <w:bCs/>
        </w:rPr>
        <w:t>Total</w:t>
      </w:r>
      <w:r w:rsidR="00300582" w:rsidRPr="00300582">
        <w:rPr>
          <w:rFonts w:cstheme="minorHAnsi"/>
          <w:b/>
          <w:bCs/>
        </w:rPr>
        <w:t>:</w:t>
      </w:r>
      <w:r w:rsidRPr="00300582">
        <w:rPr>
          <w:rFonts w:cstheme="minorHAnsi"/>
          <w:b/>
          <w:bCs/>
        </w:rPr>
        <w:t xml:space="preserve"> </w:t>
      </w:r>
      <w:r w:rsidR="00980042">
        <w:rPr>
          <w:rFonts w:cstheme="minorHAnsi"/>
          <w:b/>
          <w:bCs/>
        </w:rPr>
        <w:t>1</w:t>
      </w:r>
      <w:r w:rsidR="00444EE6">
        <w:rPr>
          <w:rFonts w:cstheme="minorHAnsi"/>
          <w:b/>
          <w:bCs/>
        </w:rPr>
        <w:t>5</w:t>
      </w:r>
      <w:r w:rsidR="00EF7996">
        <w:rPr>
          <w:rFonts w:cstheme="minorHAnsi"/>
          <w:b/>
          <w:bCs/>
        </w:rPr>
        <w:t>9</w:t>
      </w:r>
      <w:r w:rsidR="004B77E8">
        <w:rPr>
          <w:rFonts w:cstheme="minorHAnsi"/>
          <w:b/>
          <w:bCs/>
        </w:rPr>
        <w:t>6</w:t>
      </w:r>
      <w:r w:rsidRPr="00300582">
        <w:rPr>
          <w:rFonts w:cstheme="minorHAnsi"/>
          <w:b/>
          <w:bCs/>
        </w:rPr>
        <w:t xml:space="preserve"> words</w:t>
      </w:r>
      <w:r w:rsidR="00D167F0">
        <w:rPr>
          <w:rFonts w:cstheme="minorHAnsi"/>
          <w:b/>
          <w:bCs/>
        </w:rPr>
        <w:t xml:space="preserve"> </w:t>
      </w:r>
    </w:p>
    <w:p w14:paraId="72D9EB49" w14:textId="17D422F3" w:rsidR="00923D1C" w:rsidRDefault="00923D1C" w:rsidP="00DB309D">
      <w:pPr>
        <w:rPr>
          <w:rFonts w:cstheme="minorHAnsi"/>
          <w:b/>
          <w:bCs/>
        </w:rPr>
      </w:pPr>
    </w:p>
    <w:p w14:paraId="62C39F0C" w14:textId="4C1F0D96" w:rsidR="006D23B2" w:rsidRDefault="00D167F0" w:rsidP="00DB309D">
      <w:pPr>
        <w:rPr>
          <w:rFonts w:cstheme="minorHAnsi"/>
          <w:b/>
          <w:bCs/>
        </w:rPr>
      </w:pPr>
      <w:r>
        <w:rPr>
          <w:rFonts w:cstheme="minorHAnsi"/>
          <w:b/>
          <w:bCs/>
        </w:rPr>
        <w:t>Bibliography</w:t>
      </w:r>
    </w:p>
    <w:p w14:paraId="5E590CBB" w14:textId="194A4897" w:rsidR="00B17F89" w:rsidRDefault="00B17F89" w:rsidP="00DB309D">
      <w:pPr>
        <w:rPr>
          <w:rFonts w:cstheme="minorHAnsi"/>
          <w:b/>
          <w:bCs/>
        </w:rPr>
      </w:pPr>
    </w:p>
    <w:p w14:paraId="1D122B7A" w14:textId="77777777" w:rsidR="009E5F33" w:rsidRPr="009E5F33" w:rsidRDefault="00D167F0" w:rsidP="009E5F33">
      <w:pPr>
        <w:pStyle w:val="Bibliography"/>
        <w:rPr>
          <w:rFonts w:ascii="Calibri" w:cs="Calibri"/>
        </w:rPr>
      </w:pPr>
      <w:r>
        <w:rPr>
          <w:rFonts w:cstheme="minorHAnsi"/>
          <w:b/>
          <w:bCs/>
        </w:rPr>
        <w:fldChar w:fldCharType="begin"/>
      </w:r>
      <w:r w:rsidR="00B17F89">
        <w:rPr>
          <w:rFonts w:cstheme="minorHAnsi"/>
          <w:b/>
          <w:bCs/>
        </w:rPr>
        <w:instrText xml:space="preserve"> ADDIN ZOTERO_BIBL {"uncited":[],"omitted":[],"custom":[]} CSL_BIBLIOGRAPHY </w:instrText>
      </w:r>
      <w:r>
        <w:rPr>
          <w:rFonts w:cstheme="minorHAnsi"/>
          <w:b/>
          <w:bCs/>
        </w:rPr>
        <w:fldChar w:fldCharType="separate"/>
      </w:r>
      <w:proofErr w:type="spellStart"/>
      <w:r w:rsidR="009E5F33" w:rsidRPr="009E5F33">
        <w:rPr>
          <w:rFonts w:ascii="Calibri" w:cs="Calibri"/>
        </w:rPr>
        <w:t>Anatolios</w:t>
      </w:r>
      <w:proofErr w:type="spellEnd"/>
      <w:r w:rsidR="009E5F33" w:rsidRPr="009E5F33">
        <w:rPr>
          <w:rFonts w:ascii="Calibri" w:cs="Calibri"/>
        </w:rPr>
        <w:t xml:space="preserve">, Khaled, </w:t>
      </w:r>
      <w:r w:rsidR="009E5F33" w:rsidRPr="009E5F33">
        <w:rPr>
          <w:rFonts w:ascii="Calibri" w:cs="Calibri"/>
          <w:i/>
          <w:iCs/>
        </w:rPr>
        <w:t>Athanasius</w:t>
      </w:r>
      <w:r w:rsidR="009E5F33" w:rsidRPr="009E5F33">
        <w:rPr>
          <w:rFonts w:ascii="Calibri" w:cs="Calibri"/>
        </w:rPr>
        <w:t>, The Early Church Fathers (New York: Routledge, 2004)</w:t>
      </w:r>
    </w:p>
    <w:p w14:paraId="5D1AA2F6" w14:textId="77777777" w:rsidR="009E5F33" w:rsidRPr="009E5F33" w:rsidRDefault="009E5F33" w:rsidP="009E5F33">
      <w:pPr>
        <w:pStyle w:val="Bibliography"/>
        <w:rPr>
          <w:rFonts w:ascii="Calibri" w:cs="Calibri"/>
        </w:rPr>
      </w:pPr>
      <w:r w:rsidRPr="009E5F33">
        <w:rPr>
          <w:rFonts w:ascii="Calibri" w:cs="Calibri"/>
        </w:rPr>
        <w:t xml:space="preserve">‘Article 3: The Myth Of God Incarnate’, </w:t>
      </w:r>
      <w:r w:rsidRPr="009E5F33">
        <w:rPr>
          <w:rFonts w:ascii="Calibri" w:cs="Calibri"/>
          <w:i/>
          <w:iCs/>
        </w:rPr>
        <w:t>Philosophical Investigations</w:t>
      </w:r>
      <w:r w:rsidRPr="009E5F33">
        <w:rPr>
          <w:rFonts w:ascii="Calibri" w:cs="Calibri"/>
        </w:rPr>
        <w:t>, 2015 &lt;https://peped.org/philosophicalinvestigations/article-3-the-myth-of-god-incarnate/&gt; [accessed 17 February 2023]</w:t>
      </w:r>
    </w:p>
    <w:p w14:paraId="61EAA7AF" w14:textId="77777777" w:rsidR="009E5F33" w:rsidRPr="009E5F33" w:rsidRDefault="009E5F33" w:rsidP="009E5F33">
      <w:pPr>
        <w:pStyle w:val="Bibliography"/>
        <w:rPr>
          <w:rFonts w:ascii="Calibri" w:cs="Calibri"/>
        </w:rPr>
      </w:pPr>
      <w:r w:rsidRPr="009E5F33">
        <w:rPr>
          <w:rFonts w:ascii="Calibri" w:cs="Calibri"/>
        </w:rPr>
        <w:t xml:space="preserve">Athanasius, </w:t>
      </w:r>
      <w:r w:rsidRPr="009E5F33">
        <w:rPr>
          <w:rFonts w:ascii="Calibri" w:cs="Calibri"/>
          <w:i/>
          <w:iCs/>
        </w:rPr>
        <w:t xml:space="preserve">Contra </w:t>
      </w:r>
      <w:proofErr w:type="spellStart"/>
      <w:r w:rsidRPr="009E5F33">
        <w:rPr>
          <w:rFonts w:ascii="Calibri" w:cs="Calibri"/>
          <w:i/>
          <w:iCs/>
        </w:rPr>
        <w:t>Gentes</w:t>
      </w:r>
      <w:proofErr w:type="spellEnd"/>
      <w:r w:rsidRPr="009E5F33">
        <w:rPr>
          <w:rFonts w:ascii="Calibri" w:cs="Calibri"/>
          <w:i/>
          <w:iCs/>
        </w:rPr>
        <w:t xml:space="preserve"> and De </w:t>
      </w:r>
      <w:proofErr w:type="spellStart"/>
      <w:r w:rsidRPr="009E5F33">
        <w:rPr>
          <w:rFonts w:ascii="Calibri" w:cs="Calibri"/>
          <w:i/>
          <w:iCs/>
        </w:rPr>
        <w:t>Incarnatione</w:t>
      </w:r>
      <w:proofErr w:type="spellEnd"/>
      <w:r w:rsidRPr="009E5F33">
        <w:rPr>
          <w:rFonts w:ascii="Calibri" w:cs="Calibri"/>
        </w:rPr>
        <w:t>, ed. by Robert W. Thomson, trans. by Robert W. Thomson, Oxford Early Christian Texts (Oxford: Clarendon Press, 1971)</w:t>
      </w:r>
    </w:p>
    <w:p w14:paraId="022FC922" w14:textId="77777777" w:rsidR="009E5F33" w:rsidRPr="009E5F33" w:rsidRDefault="009E5F33" w:rsidP="009E5F33">
      <w:pPr>
        <w:pStyle w:val="Bibliography"/>
        <w:rPr>
          <w:rFonts w:ascii="Calibri" w:cs="Calibri"/>
        </w:rPr>
      </w:pPr>
      <w:r w:rsidRPr="009E5F33">
        <w:rPr>
          <w:rFonts w:ascii="Calibri" w:cs="Calibri"/>
        </w:rPr>
        <w:t>———, ‘On the Incarnation of the Word’ &lt;https://ccel.org/ccel/a/athanasius/incarnation/cache/incarnation.txt&gt; [accessed 2 March 2023]</w:t>
      </w:r>
    </w:p>
    <w:p w14:paraId="7E43C7AF" w14:textId="77777777" w:rsidR="009E5F33" w:rsidRPr="009E5F33" w:rsidRDefault="009E5F33" w:rsidP="009E5F33">
      <w:pPr>
        <w:pStyle w:val="Bibliography"/>
        <w:rPr>
          <w:rFonts w:ascii="Calibri" w:cs="Calibri"/>
        </w:rPr>
      </w:pPr>
      <w:r w:rsidRPr="009E5F33">
        <w:rPr>
          <w:rFonts w:ascii="Calibri" w:cs="Calibri"/>
        </w:rPr>
        <w:t xml:space="preserve">Barth, Karl, </w:t>
      </w:r>
      <w:r w:rsidRPr="009E5F33">
        <w:rPr>
          <w:rFonts w:ascii="Calibri" w:cs="Calibri"/>
          <w:i/>
          <w:iCs/>
        </w:rPr>
        <w:t>Church Dogmatics</w:t>
      </w:r>
      <w:r w:rsidRPr="009E5F33">
        <w:rPr>
          <w:rFonts w:ascii="Calibri" w:cs="Calibri"/>
        </w:rPr>
        <w:t>, ed. by G. W Bromiley and Thomas F Torrance (Peabody, Mass.: Hendrickson Publishers, 2010)</w:t>
      </w:r>
    </w:p>
    <w:p w14:paraId="09507679" w14:textId="77777777" w:rsidR="009E5F33" w:rsidRPr="009E5F33" w:rsidRDefault="009E5F33" w:rsidP="009E5F33">
      <w:pPr>
        <w:pStyle w:val="Bibliography"/>
        <w:rPr>
          <w:rFonts w:ascii="Calibri" w:cs="Calibri"/>
        </w:rPr>
      </w:pPr>
      <w:r w:rsidRPr="009E5F33">
        <w:rPr>
          <w:rFonts w:ascii="Calibri" w:cs="Calibri"/>
        </w:rPr>
        <w:t>Berry, John, ‘The Unconditional Givenness of Revelation of the Trinity in the Paschal Mystery’, 2020, pp. 83–161 &lt;https://doi.org/10.6084/m9.figshare.12102750&gt;</w:t>
      </w:r>
    </w:p>
    <w:p w14:paraId="6EDDA7BE" w14:textId="77777777" w:rsidR="009E5F33" w:rsidRPr="009E5F33" w:rsidRDefault="009E5F33" w:rsidP="009E5F33">
      <w:pPr>
        <w:pStyle w:val="Bibliography"/>
        <w:rPr>
          <w:rFonts w:ascii="Calibri" w:cs="Calibri"/>
        </w:rPr>
      </w:pPr>
      <w:proofErr w:type="spellStart"/>
      <w:r w:rsidRPr="009E5F33">
        <w:rPr>
          <w:rFonts w:ascii="Calibri" w:cs="Calibri"/>
        </w:rPr>
        <w:lastRenderedPageBreak/>
        <w:t>Bettenson</w:t>
      </w:r>
      <w:proofErr w:type="spellEnd"/>
      <w:r w:rsidRPr="009E5F33">
        <w:rPr>
          <w:rFonts w:ascii="Calibri" w:cs="Calibri"/>
        </w:rPr>
        <w:t xml:space="preserve">, Henry, and Chris Maunder, eds., </w:t>
      </w:r>
      <w:r w:rsidRPr="009E5F33">
        <w:rPr>
          <w:rFonts w:ascii="Calibri" w:cs="Calibri"/>
          <w:i/>
          <w:iCs/>
        </w:rPr>
        <w:t>Documents of the Christian Church</w:t>
      </w:r>
      <w:r w:rsidRPr="009E5F33">
        <w:rPr>
          <w:rFonts w:ascii="Calibri" w:cs="Calibri"/>
        </w:rPr>
        <w:t>, 4th ed. / edited by Chris Maunder (Oxford ; New York: Oxford University Press, 2011)</w:t>
      </w:r>
    </w:p>
    <w:p w14:paraId="48790F2C" w14:textId="77777777" w:rsidR="009E5F33" w:rsidRPr="009E5F33" w:rsidRDefault="009E5F33" w:rsidP="009E5F33">
      <w:pPr>
        <w:pStyle w:val="Bibliography"/>
        <w:rPr>
          <w:rFonts w:ascii="Calibri" w:cs="Calibri"/>
        </w:rPr>
      </w:pPr>
      <w:r w:rsidRPr="009E5F33">
        <w:rPr>
          <w:rFonts w:ascii="Calibri" w:cs="Calibri"/>
        </w:rPr>
        <w:t xml:space="preserve">Davis, Stephen T., Daniel Kendall SJ, and Gerald </w:t>
      </w:r>
      <w:proofErr w:type="spellStart"/>
      <w:r w:rsidRPr="009E5F33">
        <w:rPr>
          <w:rFonts w:ascii="Calibri" w:cs="Calibri"/>
        </w:rPr>
        <w:t>O’Collins</w:t>
      </w:r>
      <w:proofErr w:type="spellEnd"/>
      <w:r w:rsidRPr="009E5F33">
        <w:rPr>
          <w:rFonts w:ascii="Calibri" w:cs="Calibri"/>
        </w:rPr>
        <w:t xml:space="preserve"> SJ, eds., </w:t>
      </w:r>
      <w:r w:rsidRPr="009E5F33">
        <w:rPr>
          <w:rFonts w:ascii="Calibri" w:cs="Calibri"/>
          <w:i/>
          <w:iCs/>
        </w:rPr>
        <w:t>The Incarnation: An Interdisciplinary Symposium on the Incarnation of the Son of God</w:t>
      </w:r>
      <w:r w:rsidRPr="009E5F33">
        <w:rPr>
          <w:rFonts w:ascii="Calibri" w:cs="Calibri"/>
        </w:rPr>
        <w:t xml:space="preserve"> (Oxford University Press, 2002) &lt;https://doi.org/10.1093/0199248451.001.0001&gt;</w:t>
      </w:r>
    </w:p>
    <w:p w14:paraId="6747DB3B" w14:textId="77777777" w:rsidR="009E5F33" w:rsidRPr="009E5F33" w:rsidRDefault="009E5F33" w:rsidP="009E5F33">
      <w:pPr>
        <w:pStyle w:val="Bibliography"/>
        <w:rPr>
          <w:rFonts w:ascii="Calibri" w:cs="Calibri"/>
        </w:rPr>
      </w:pPr>
      <w:r w:rsidRPr="009E5F33">
        <w:rPr>
          <w:rFonts w:ascii="Calibri" w:cs="Calibri"/>
        </w:rPr>
        <w:t>‘First Council of Nicaea | Description, History, Significance, &amp; Facts | Britannica’, 2023 &lt;https://www.britannica.com/topic/homoousios&gt; [accessed 13 March 2023]</w:t>
      </w:r>
    </w:p>
    <w:p w14:paraId="4AB254E1" w14:textId="77777777" w:rsidR="009E5F33" w:rsidRPr="009E5F33" w:rsidRDefault="009E5F33" w:rsidP="009E5F33">
      <w:pPr>
        <w:pStyle w:val="Bibliography"/>
        <w:rPr>
          <w:rFonts w:ascii="Calibri" w:cs="Calibri"/>
        </w:rPr>
      </w:pPr>
      <w:proofErr w:type="spellStart"/>
      <w:r w:rsidRPr="009E5F33">
        <w:rPr>
          <w:rFonts w:ascii="Calibri" w:cs="Calibri"/>
        </w:rPr>
        <w:t>Gousmett</w:t>
      </w:r>
      <w:proofErr w:type="spellEnd"/>
      <w:r w:rsidRPr="009E5F33">
        <w:rPr>
          <w:rFonts w:ascii="Calibri" w:cs="Calibri"/>
        </w:rPr>
        <w:t>, Chris, ‘THE CHRIST OF THE SPIRIT’: &lt;https://www.allofliferedeemed.co.uk/Gousmett/CGChristOfTheSpirit.pdf&gt;</w:t>
      </w:r>
    </w:p>
    <w:p w14:paraId="366F0B8A" w14:textId="77777777" w:rsidR="009E5F33" w:rsidRPr="009E5F33" w:rsidRDefault="009E5F33" w:rsidP="009E5F33">
      <w:pPr>
        <w:pStyle w:val="Bibliography"/>
        <w:rPr>
          <w:rFonts w:ascii="Calibri" w:cs="Calibri"/>
        </w:rPr>
      </w:pPr>
      <w:r w:rsidRPr="009E5F33">
        <w:rPr>
          <w:rFonts w:ascii="Calibri" w:cs="Calibri"/>
        </w:rPr>
        <w:t xml:space="preserve">Greene, Colin J.D., </w:t>
      </w:r>
      <w:r w:rsidRPr="009E5F33">
        <w:rPr>
          <w:rFonts w:ascii="Calibri" w:cs="Calibri"/>
          <w:i/>
          <w:iCs/>
        </w:rPr>
        <w:t>Christology in Cultural Perspective Marking Out the Horizons</w:t>
      </w:r>
      <w:r w:rsidRPr="009E5F33">
        <w:rPr>
          <w:rFonts w:ascii="Calibri" w:cs="Calibri"/>
        </w:rPr>
        <w:t xml:space="preserve"> (Wipf &amp; Stock Pub, 2015)</w:t>
      </w:r>
    </w:p>
    <w:p w14:paraId="5D1A71C4" w14:textId="77777777" w:rsidR="009E5F33" w:rsidRPr="009E5F33" w:rsidRDefault="009E5F33" w:rsidP="009E5F33">
      <w:pPr>
        <w:pStyle w:val="Bibliography"/>
        <w:rPr>
          <w:rFonts w:ascii="Calibri" w:cs="Calibri"/>
        </w:rPr>
      </w:pPr>
      <w:proofErr w:type="spellStart"/>
      <w:r w:rsidRPr="009E5F33">
        <w:rPr>
          <w:rFonts w:ascii="Calibri" w:cs="Calibri"/>
        </w:rPr>
        <w:t>Gunton</w:t>
      </w:r>
      <w:proofErr w:type="spellEnd"/>
      <w:r w:rsidRPr="009E5F33">
        <w:rPr>
          <w:rFonts w:ascii="Calibri" w:cs="Calibri"/>
        </w:rPr>
        <w:t xml:space="preserve">, Colin E., ed., </w:t>
      </w:r>
      <w:r w:rsidRPr="009E5F33">
        <w:rPr>
          <w:rFonts w:ascii="Calibri" w:cs="Calibri"/>
          <w:i/>
          <w:iCs/>
        </w:rPr>
        <w:t>The Cambridge Companion to Christian Doctrine</w:t>
      </w:r>
      <w:r w:rsidRPr="009E5F33">
        <w:rPr>
          <w:rFonts w:ascii="Calibri" w:cs="Calibri"/>
        </w:rPr>
        <w:t>, Cambridge Companions to Religion (Cambridge [England] ; New York: Cambridge University Press, 1997)</w:t>
      </w:r>
    </w:p>
    <w:p w14:paraId="5A8B54BA" w14:textId="77777777" w:rsidR="009E5F33" w:rsidRPr="009E5F33" w:rsidRDefault="009E5F33" w:rsidP="009E5F33">
      <w:pPr>
        <w:pStyle w:val="Bibliography"/>
        <w:rPr>
          <w:rFonts w:ascii="Calibri" w:cs="Calibri"/>
        </w:rPr>
      </w:pPr>
      <w:r w:rsidRPr="009E5F33">
        <w:rPr>
          <w:rFonts w:ascii="Calibri" w:cs="Calibri"/>
        </w:rPr>
        <w:t>Hardy, Edward R., ‘Saint Athanasius | Biography &amp; Facts | Britannica’ &lt;https://www.britannica.com/biography/Saint-Athanasius&gt; [accessed 1 March 2023]</w:t>
      </w:r>
    </w:p>
    <w:p w14:paraId="2E3E4C52" w14:textId="77777777" w:rsidR="009E5F33" w:rsidRPr="009E5F33" w:rsidRDefault="009E5F33" w:rsidP="009E5F33">
      <w:pPr>
        <w:pStyle w:val="Bibliography"/>
        <w:rPr>
          <w:rFonts w:ascii="Calibri" w:cs="Calibri"/>
        </w:rPr>
      </w:pPr>
      <w:r w:rsidRPr="009E5F33">
        <w:rPr>
          <w:rFonts w:ascii="Calibri" w:cs="Calibri"/>
        </w:rPr>
        <w:t xml:space="preserve">Heil, Uta, ‘Athanasius of Alexandria – Teacher and Martyr of the Christian Church, in: Paul as Homo Novus. Authorial Strategies of Self-Fashioning in Light of a Ciceronian Term (Studia </w:t>
      </w:r>
      <w:proofErr w:type="spellStart"/>
      <w:r w:rsidRPr="009E5F33">
        <w:rPr>
          <w:rFonts w:ascii="Calibri" w:cs="Calibri"/>
        </w:rPr>
        <w:t>Aarhusiana</w:t>
      </w:r>
      <w:proofErr w:type="spellEnd"/>
      <w:r w:rsidRPr="009E5F33">
        <w:rPr>
          <w:rFonts w:ascii="Calibri" w:cs="Calibri"/>
        </w:rPr>
        <w:t xml:space="preserve"> </w:t>
      </w:r>
      <w:proofErr w:type="spellStart"/>
      <w:r w:rsidRPr="009E5F33">
        <w:rPr>
          <w:rFonts w:ascii="Calibri" w:cs="Calibri"/>
        </w:rPr>
        <w:t>Neotestamentica</w:t>
      </w:r>
      <w:proofErr w:type="spellEnd"/>
      <w:r w:rsidRPr="009E5F33">
        <w:rPr>
          <w:rFonts w:ascii="Calibri" w:cs="Calibri"/>
        </w:rPr>
        <w:t xml:space="preserve"> 6), Eds. Eve-Marie Becker and Jacob Mortensen, Göttingen: </w:t>
      </w:r>
      <w:proofErr w:type="spellStart"/>
      <w:r w:rsidRPr="009E5F33">
        <w:rPr>
          <w:rFonts w:ascii="Calibri" w:cs="Calibri"/>
        </w:rPr>
        <w:t>Vandenhoeck</w:t>
      </w:r>
      <w:proofErr w:type="spellEnd"/>
      <w:r w:rsidRPr="009E5F33">
        <w:rPr>
          <w:rFonts w:ascii="Calibri" w:cs="Calibri"/>
        </w:rPr>
        <w:t xml:space="preserve"> &amp;amp; Ruprecht, 2018, 177-196.’, </w:t>
      </w:r>
      <w:r w:rsidRPr="009E5F33">
        <w:rPr>
          <w:rFonts w:ascii="Calibri" w:cs="Calibri"/>
          <w:i/>
          <w:iCs/>
        </w:rPr>
        <w:t>Uta Heil</w:t>
      </w:r>
      <w:r w:rsidRPr="009E5F33">
        <w:rPr>
          <w:rFonts w:ascii="Calibri" w:cs="Calibri"/>
        </w:rPr>
        <w:t>, 2018 &lt;https://www.academia.edu/40176144/Athanasius_of_Alexandria_Teacher_and_Martyr_of_the_Christian_Church_in_Paul_as_homo_novus_Authorial_strategies_of_self_fashioning_in_light_of_a_Ciceronian_term_Studia_Aarhusiana_Neotestamentica_6_eds_Eve_Marie_Becker_and_Jacob_Mortensen_G%C3%B6ttingen_Vandenhoeck_and_Ruprecht_2018_177_196&gt; [accessed 7 March 2023]</w:t>
      </w:r>
    </w:p>
    <w:p w14:paraId="2702BD15" w14:textId="77777777" w:rsidR="009E5F33" w:rsidRPr="009E5F33" w:rsidRDefault="009E5F33" w:rsidP="009E5F33">
      <w:pPr>
        <w:pStyle w:val="Bibliography"/>
        <w:rPr>
          <w:rFonts w:ascii="Calibri" w:cs="Calibri"/>
        </w:rPr>
      </w:pPr>
      <w:proofErr w:type="spellStart"/>
      <w:r w:rsidRPr="009E5F33">
        <w:rPr>
          <w:rFonts w:ascii="Calibri" w:cs="Calibri"/>
        </w:rPr>
        <w:t>Lindbeck</w:t>
      </w:r>
      <w:proofErr w:type="spellEnd"/>
      <w:r w:rsidRPr="009E5F33">
        <w:rPr>
          <w:rFonts w:ascii="Calibri" w:cs="Calibri"/>
        </w:rPr>
        <w:t xml:space="preserve">, George A., </w:t>
      </w:r>
      <w:r w:rsidRPr="009E5F33">
        <w:rPr>
          <w:rFonts w:ascii="Calibri" w:cs="Calibri"/>
          <w:i/>
          <w:iCs/>
        </w:rPr>
        <w:t>The Nature of Doctrine: Religion and Theology in a Postliberal Age</w:t>
      </w:r>
      <w:r w:rsidRPr="009E5F33">
        <w:rPr>
          <w:rFonts w:ascii="Calibri" w:cs="Calibri"/>
        </w:rPr>
        <w:t xml:space="preserve"> (London: SPCK, 1984)</w:t>
      </w:r>
    </w:p>
    <w:p w14:paraId="2F1C998F" w14:textId="77777777" w:rsidR="009E5F33" w:rsidRPr="009E5F33" w:rsidRDefault="009E5F33" w:rsidP="009E5F33">
      <w:pPr>
        <w:pStyle w:val="Bibliography"/>
        <w:rPr>
          <w:rFonts w:ascii="Calibri" w:cs="Calibri"/>
        </w:rPr>
      </w:pPr>
      <w:r w:rsidRPr="009E5F33">
        <w:rPr>
          <w:rFonts w:ascii="Calibri" w:cs="Calibri"/>
        </w:rPr>
        <w:t xml:space="preserve">McGrath, Alister E., </w:t>
      </w:r>
      <w:r w:rsidRPr="009E5F33">
        <w:rPr>
          <w:rFonts w:ascii="Calibri" w:cs="Calibri"/>
          <w:i/>
          <w:iCs/>
        </w:rPr>
        <w:t>Christian Theology: An Introduction</w:t>
      </w:r>
      <w:r w:rsidRPr="009E5F33">
        <w:rPr>
          <w:rFonts w:ascii="Calibri" w:cs="Calibri"/>
        </w:rPr>
        <w:t>, 3rd ed (Oxford ; Malden, MA: Blackwell Publishers, 2001)</w:t>
      </w:r>
    </w:p>
    <w:p w14:paraId="773BCF00" w14:textId="77777777" w:rsidR="009E5F33" w:rsidRPr="009E5F33" w:rsidRDefault="009E5F33" w:rsidP="009E5F33">
      <w:pPr>
        <w:pStyle w:val="Bibliography"/>
        <w:rPr>
          <w:rFonts w:ascii="Calibri" w:cs="Calibri"/>
        </w:rPr>
      </w:pPr>
      <w:r w:rsidRPr="009E5F33">
        <w:rPr>
          <w:rFonts w:ascii="Calibri" w:cs="Calibri"/>
        </w:rPr>
        <w:t xml:space="preserve">Metropolitan of Damietta, Anba </w:t>
      </w:r>
      <w:proofErr w:type="spellStart"/>
      <w:r w:rsidRPr="009E5F33">
        <w:rPr>
          <w:rFonts w:ascii="Calibri" w:cs="Calibri"/>
        </w:rPr>
        <w:t>Bishoy</w:t>
      </w:r>
      <w:proofErr w:type="spellEnd"/>
      <w:r w:rsidRPr="009E5F33">
        <w:rPr>
          <w:rFonts w:ascii="Calibri" w:cs="Calibri"/>
        </w:rPr>
        <w:t xml:space="preserve">, ‘The Christology of St Athanasius (Pdf File)’, </w:t>
      </w:r>
      <w:r w:rsidRPr="009E5F33">
        <w:rPr>
          <w:rFonts w:ascii="Calibri" w:cs="Calibri"/>
          <w:i/>
          <w:iCs/>
        </w:rPr>
        <w:t>True Coptic Orthodoxy</w:t>
      </w:r>
      <w:r w:rsidRPr="009E5F33">
        <w:rPr>
          <w:rFonts w:ascii="Calibri" w:cs="Calibri"/>
        </w:rPr>
        <w:t>, 2022 &lt;https://www.truecopticorthodoxy.com/general-1-5&gt; [accessed 22 January 2023]</w:t>
      </w:r>
    </w:p>
    <w:p w14:paraId="4C811ADA" w14:textId="77777777" w:rsidR="009E5F33" w:rsidRPr="009E5F33" w:rsidRDefault="009E5F33" w:rsidP="009E5F33">
      <w:pPr>
        <w:pStyle w:val="Bibliography"/>
        <w:rPr>
          <w:rFonts w:ascii="Calibri" w:cs="Calibri"/>
        </w:rPr>
      </w:pPr>
      <w:proofErr w:type="spellStart"/>
      <w:r w:rsidRPr="009E5F33">
        <w:rPr>
          <w:rFonts w:ascii="Calibri" w:cs="Calibri"/>
        </w:rPr>
        <w:t>Moltmann</w:t>
      </w:r>
      <w:proofErr w:type="spellEnd"/>
      <w:r w:rsidRPr="009E5F33">
        <w:rPr>
          <w:rFonts w:ascii="Calibri" w:cs="Calibri"/>
        </w:rPr>
        <w:t xml:space="preserve">, Jürgen., John. Bowden, and Richard Armstrong. Wilson, </w:t>
      </w:r>
      <w:r w:rsidRPr="009E5F33">
        <w:rPr>
          <w:rFonts w:ascii="Calibri" w:cs="Calibri"/>
          <w:i/>
          <w:iCs/>
        </w:rPr>
        <w:t>The Crucified God : The Cross of Christ as the Foundation and Criticism of Christian Theology</w:t>
      </w:r>
      <w:r w:rsidRPr="009E5F33">
        <w:rPr>
          <w:rFonts w:ascii="Calibri" w:cs="Calibri"/>
        </w:rPr>
        <w:t xml:space="preserve"> (London: S.C.M. Press, 1974)</w:t>
      </w:r>
    </w:p>
    <w:p w14:paraId="0FEFEDBF" w14:textId="77777777" w:rsidR="009E5F33" w:rsidRPr="009E5F33" w:rsidRDefault="009E5F33" w:rsidP="009E5F33">
      <w:pPr>
        <w:pStyle w:val="Bibliography"/>
        <w:rPr>
          <w:rFonts w:ascii="Calibri" w:cs="Calibri"/>
        </w:rPr>
      </w:pPr>
      <w:proofErr w:type="spellStart"/>
      <w:r w:rsidRPr="009E5F33">
        <w:rPr>
          <w:rFonts w:ascii="Calibri" w:cs="Calibri"/>
        </w:rPr>
        <w:t>O’Collins</w:t>
      </w:r>
      <w:proofErr w:type="spellEnd"/>
      <w:r w:rsidRPr="009E5F33">
        <w:rPr>
          <w:rFonts w:ascii="Calibri" w:cs="Calibri"/>
        </w:rPr>
        <w:t xml:space="preserve">, Gerald, </w:t>
      </w:r>
      <w:r w:rsidRPr="009E5F33">
        <w:rPr>
          <w:rFonts w:ascii="Calibri" w:cs="Calibri"/>
          <w:i/>
          <w:iCs/>
        </w:rPr>
        <w:t>Christology: A Biblical, Historical, and Systematic Study of Jesus Christ</w:t>
      </w:r>
      <w:r w:rsidRPr="009E5F33">
        <w:rPr>
          <w:rFonts w:ascii="Calibri" w:cs="Calibri"/>
        </w:rPr>
        <w:t xml:space="preserve"> (Oxford ; New York: Oxford University Press, 1995)</w:t>
      </w:r>
    </w:p>
    <w:p w14:paraId="028075FB" w14:textId="77777777" w:rsidR="009E5F33" w:rsidRPr="009E5F33" w:rsidRDefault="009E5F33" w:rsidP="009E5F33">
      <w:pPr>
        <w:pStyle w:val="Bibliography"/>
        <w:rPr>
          <w:rFonts w:ascii="Calibri" w:cs="Calibri"/>
        </w:rPr>
      </w:pPr>
      <w:proofErr w:type="spellStart"/>
      <w:r w:rsidRPr="009E5F33">
        <w:rPr>
          <w:rFonts w:ascii="Calibri" w:cs="Calibri"/>
        </w:rPr>
        <w:lastRenderedPageBreak/>
        <w:t>Pannenberg</w:t>
      </w:r>
      <w:proofErr w:type="spellEnd"/>
      <w:r w:rsidRPr="009E5F33">
        <w:rPr>
          <w:rFonts w:ascii="Calibri" w:cs="Calibri"/>
        </w:rPr>
        <w:t xml:space="preserve">, </w:t>
      </w:r>
      <w:proofErr w:type="spellStart"/>
      <w:r w:rsidRPr="009E5F33">
        <w:rPr>
          <w:rFonts w:ascii="Calibri" w:cs="Calibri"/>
        </w:rPr>
        <w:t>Wolfhart</w:t>
      </w:r>
      <w:proofErr w:type="spellEnd"/>
      <w:r w:rsidRPr="009E5F33">
        <w:rPr>
          <w:rFonts w:ascii="Calibri" w:cs="Calibri"/>
        </w:rPr>
        <w:t xml:space="preserve">, </w:t>
      </w:r>
      <w:r w:rsidRPr="009E5F33">
        <w:rPr>
          <w:rFonts w:ascii="Calibri" w:cs="Calibri"/>
          <w:i/>
          <w:iCs/>
        </w:rPr>
        <w:t>Jesus, God and Man</w:t>
      </w:r>
      <w:r w:rsidRPr="009E5F33">
        <w:rPr>
          <w:rFonts w:ascii="Calibri" w:cs="Calibri"/>
        </w:rPr>
        <w:t xml:space="preserve"> (Philadelphia, Westminster Press, 1968) &lt;http://archive.org/details/jesusgodman0000pann&gt; [accessed 14 March 2023]</w:t>
      </w:r>
    </w:p>
    <w:p w14:paraId="153ADD80" w14:textId="77777777" w:rsidR="009E5F33" w:rsidRPr="009E5F33" w:rsidRDefault="009E5F33" w:rsidP="009E5F33">
      <w:pPr>
        <w:pStyle w:val="Bibliography"/>
        <w:rPr>
          <w:rFonts w:ascii="Calibri" w:cs="Calibri"/>
        </w:rPr>
      </w:pPr>
      <w:r w:rsidRPr="009E5F33">
        <w:rPr>
          <w:rFonts w:ascii="Calibri" w:cs="Calibri"/>
        </w:rPr>
        <w:t>‘Philip Schaff: NPNF2-04. Athanasius: Select Works and Letters - Christian Classics Ethereal Library’ &lt;https://ccel.org/ccel/schaff/npnf204/npnf204.xxi.ii.iv.iii.html&gt; [accessed 14 March 2023]</w:t>
      </w:r>
    </w:p>
    <w:p w14:paraId="0E503DA3" w14:textId="77777777" w:rsidR="009E5F33" w:rsidRPr="009E5F33" w:rsidRDefault="009E5F33" w:rsidP="009E5F33">
      <w:pPr>
        <w:pStyle w:val="Bibliography"/>
        <w:rPr>
          <w:rFonts w:ascii="Calibri" w:cs="Calibri"/>
        </w:rPr>
      </w:pPr>
      <w:r w:rsidRPr="009E5F33">
        <w:rPr>
          <w:rFonts w:ascii="Calibri" w:cs="Calibri"/>
        </w:rPr>
        <w:t xml:space="preserve">Sanders, Fred, ‘The </w:t>
      </w:r>
      <w:proofErr w:type="spellStart"/>
      <w:r w:rsidRPr="009E5F33">
        <w:rPr>
          <w:rFonts w:ascii="Calibri" w:cs="Calibri"/>
        </w:rPr>
        <w:t>Center</w:t>
      </w:r>
      <w:proofErr w:type="spellEnd"/>
      <w:r w:rsidRPr="009E5F33">
        <w:rPr>
          <w:rFonts w:ascii="Calibri" w:cs="Calibri"/>
        </w:rPr>
        <w:t xml:space="preserve"> of Athanasius’ Theology’, </w:t>
      </w:r>
      <w:r w:rsidRPr="009E5F33">
        <w:rPr>
          <w:rFonts w:ascii="Calibri" w:cs="Calibri"/>
          <w:i/>
          <w:iCs/>
        </w:rPr>
        <w:t>The Scriptorium Daily</w:t>
      </w:r>
      <w:r w:rsidRPr="009E5F33">
        <w:rPr>
          <w:rFonts w:ascii="Calibri" w:cs="Calibri"/>
        </w:rPr>
        <w:t>, 2014 &lt;https://scriptoriumdaily.com/center-athanasius-theology/&gt; [accessed 9 March 2023]</w:t>
      </w:r>
    </w:p>
    <w:p w14:paraId="3759614B" w14:textId="77777777" w:rsidR="009E5F33" w:rsidRPr="009E5F33" w:rsidRDefault="009E5F33" w:rsidP="009E5F33">
      <w:pPr>
        <w:pStyle w:val="Bibliography"/>
        <w:rPr>
          <w:rFonts w:ascii="Calibri" w:cs="Calibri"/>
        </w:rPr>
      </w:pPr>
      <w:r w:rsidRPr="009E5F33">
        <w:rPr>
          <w:rFonts w:ascii="Calibri" w:cs="Calibri"/>
        </w:rPr>
        <w:t>Scrivener, Glen, ‘Creation and Salvation: Irenaeus and Athanasius | Union Resources’ &lt;https://www.uniontheology.org/resources/doctrine/god/creation-and-salvation-irenaeus-and-athanasius&gt; [accessed 23 January 2023]</w:t>
      </w:r>
    </w:p>
    <w:p w14:paraId="7AF6543B" w14:textId="77777777" w:rsidR="009E5F33" w:rsidRPr="009E5F33" w:rsidRDefault="009E5F33" w:rsidP="009E5F33">
      <w:pPr>
        <w:pStyle w:val="Bibliography"/>
        <w:rPr>
          <w:rFonts w:ascii="Calibri" w:cs="Calibri"/>
        </w:rPr>
      </w:pPr>
      <w:proofErr w:type="spellStart"/>
      <w:r w:rsidRPr="009E5F33">
        <w:rPr>
          <w:rFonts w:ascii="Calibri" w:cs="Calibri"/>
        </w:rPr>
        <w:t>Stavrianos</w:t>
      </w:r>
      <w:proofErr w:type="spellEnd"/>
      <w:r w:rsidRPr="009E5F33">
        <w:rPr>
          <w:rFonts w:ascii="Calibri" w:cs="Calibri"/>
        </w:rPr>
        <w:t xml:space="preserve">, Kyriakos S., ‘Trinity Doctrine and Christology of Saint Athanasius, Archbishop of Alexandria, in His Letter to Epictetus, Bishop of Corinth.’, </w:t>
      </w:r>
      <w:proofErr w:type="spellStart"/>
      <w:r w:rsidRPr="009E5F33">
        <w:rPr>
          <w:rFonts w:ascii="Calibri" w:cs="Calibri"/>
          <w:i/>
          <w:iCs/>
        </w:rPr>
        <w:t>Konštantínove</w:t>
      </w:r>
      <w:proofErr w:type="spellEnd"/>
      <w:r w:rsidRPr="009E5F33">
        <w:rPr>
          <w:rFonts w:ascii="Calibri" w:cs="Calibri"/>
          <w:i/>
          <w:iCs/>
        </w:rPr>
        <w:t xml:space="preserve"> </w:t>
      </w:r>
      <w:proofErr w:type="spellStart"/>
      <w:r w:rsidRPr="009E5F33">
        <w:rPr>
          <w:rFonts w:ascii="Calibri" w:cs="Calibri"/>
          <w:i/>
          <w:iCs/>
        </w:rPr>
        <w:t>Listy</w:t>
      </w:r>
      <w:proofErr w:type="spellEnd"/>
      <w:r w:rsidRPr="009E5F33">
        <w:rPr>
          <w:rFonts w:ascii="Calibri" w:cs="Calibri"/>
          <w:i/>
          <w:iCs/>
        </w:rPr>
        <w:t>/Constantine’s Letters</w:t>
      </w:r>
      <w:r w:rsidRPr="009E5F33">
        <w:rPr>
          <w:rFonts w:ascii="Calibri" w:cs="Calibri"/>
        </w:rPr>
        <w:t>, 12.1 (2019), 3–12 &lt;https://doi.org/10.17846/CL.2019.12.1.3-12&gt;</w:t>
      </w:r>
    </w:p>
    <w:p w14:paraId="570A6167" w14:textId="77777777" w:rsidR="009E5F33" w:rsidRPr="009E5F33" w:rsidRDefault="009E5F33" w:rsidP="009E5F33">
      <w:pPr>
        <w:pStyle w:val="Bibliography"/>
        <w:rPr>
          <w:rFonts w:ascii="Calibri" w:cs="Calibri"/>
        </w:rPr>
      </w:pPr>
      <w:r w:rsidRPr="009E5F33">
        <w:rPr>
          <w:rFonts w:ascii="Calibri" w:cs="Calibri"/>
        </w:rPr>
        <w:t xml:space="preserve">Torrance, Thomas Forsyth, ‘The Doctrine of the Holy Trinity According to St Athanasius’, </w:t>
      </w:r>
      <w:r w:rsidRPr="009E5F33">
        <w:rPr>
          <w:rFonts w:ascii="Calibri" w:cs="Calibri"/>
          <w:i/>
          <w:iCs/>
        </w:rPr>
        <w:t>Anglican Theological Review</w:t>
      </w:r>
      <w:r w:rsidRPr="009E5F33">
        <w:rPr>
          <w:rFonts w:ascii="Calibri" w:cs="Calibri"/>
        </w:rPr>
        <w:t>, 71.4 (1989), 395–405</w:t>
      </w:r>
    </w:p>
    <w:p w14:paraId="4447A3EE" w14:textId="77777777" w:rsidR="009E5F33" w:rsidRPr="009E5F33" w:rsidRDefault="009E5F33" w:rsidP="009E5F33">
      <w:pPr>
        <w:pStyle w:val="Bibliography"/>
        <w:rPr>
          <w:rFonts w:ascii="Calibri" w:cs="Calibri"/>
        </w:rPr>
      </w:pPr>
      <w:proofErr w:type="spellStart"/>
      <w:r w:rsidRPr="009E5F33">
        <w:rPr>
          <w:rFonts w:ascii="Calibri" w:cs="Calibri"/>
        </w:rPr>
        <w:t>Volf</w:t>
      </w:r>
      <w:proofErr w:type="spellEnd"/>
      <w:r w:rsidRPr="009E5F33">
        <w:rPr>
          <w:rFonts w:ascii="Calibri" w:cs="Calibri"/>
        </w:rPr>
        <w:t xml:space="preserve">, Miroslav, </w:t>
      </w:r>
      <w:r w:rsidRPr="009E5F33">
        <w:rPr>
          <w:rFonts w:ascii="Calibri" w:cs="Calibri"/>
          <w:i/>
          <w:iCs/>
        </w:rPr>
        <w:t>After Our Likeness: The Church as the Image of the Trinity</w:t>
      </w:r>
      <w:r w:rsidRPr="009E5F33">
        <w:rPr>
          <w:rFonts w:ascii="Calibri" w:cs="Calibri"/>
        </w:rPr>
        <w:t xml:space="preserve">, Sacra </w:t>
      </w:r>
      <w:proofErr w:type="spellStart"/>
      <w:r w:rsidRPr="009E5F33">
        <w:rPr>
          <w:rFonts w:ascii="Calibri" w:cs="Calibri"/>
        </w:rPr>
        <w:t>Doctrina</w:t>
      </w:r>
      <w:proofErr w:type="spellEnd"/>
      <w:r w:rsidRPr="009E5F33">
        <w:rPr>
          <w:rFonts w:ascii="Calibri" w:cs="Calibri"/>
        </w:rPr>
        <w:t xml:space="preserve"> (Grand Rapids, </w:t>
      </w:r>
      <w:proofErr w:type="spellStart"/>
      <w:r w:rsidRPr="009E5F33">
        <w:rPr>
          <w:rFonts w:ascii="Calibri" w:cs="Calibri"/>
        </w:rPr>
        <w:t>Mich</w:t>
      </w:r>
      <w:proofErr w:type="spellEnd"/>
      <w:r w:rsidRPr="009E5F33">
        <w:rPr>
          <w:rFonts w:ascii="Calibri" w:cs="Calibri"/>
        </w:rPr>
        <w:t>: William B. Eerdmans, 1998)</w:t>
      </w:r>
    </w:p>
    <w:p w14:paraId="599EAAF9" w14:textId="30480202" w:rsidR="00D167F0" w:rsidRDefault="00D167F0" w:rsidP="00DB309D">
      <w:pPr>
        <w:rPr>
          <w:rFonts w:cstheme="minorHAnsi"/>
          <w:b/>
          <w:bCs/>
        </w:rPr>
      </w:pPr>
      <w:r>
        <w:rPr>
          <w:rFonts w:cstheme="minorHAnsi"/>
          <w:b/>
          <w:bCs/>
        </w:rPr>
        <w:fldChar w:fldCharType="end"/>
      </w:r>
    </w:p>
    <w:p w14:paraId="56DD84BB" w14:textId="5B55C37B" w:rsidR="00D167F0" w:rsidRDefault="00D167F0" w:rsidP="00DB309D">
      <w:pPr>
        <w:rPr>
          <w:rFonts w:cstheme="minorHAnsi"/>
          <w:b/>
          <w:bCs/>
        </w:rPr>
      </w:pPr>
      <w:r>
        <w:rPr>
          <w:rFonts w:cstheme="minorHAnsi"/>
          <w:b/>
          <w:bCs/>
        </w:rPr>
        <w:t xml:space="preserve">Other sources </w:t>
      </w:r>
      <w:r w:rsidR="009A45E3">
        <w:rPr>
          <w:rFonts w:cstheme="minorHAnsi"/>
          <w:b/>
          <w:bCs/>
        </w:rPr>
        <w:t>consulted</w:t>
      </w:r>
    </w:p>
    <w:p w14:paraId="19347D53" w14:textId="0DB898FF" w:rsidR="00D167F0" w:rsidRDefault="00D167F0" w:rsidP="00DB309D">
      <w:pPr>
        <w:rPr>
          <w:rFonts w:cstheme="minorHAnsi"/>
          <w:b/>
          <w:bCs/>
        </w:rPr>
      </w:pPr>
    </w:p>
    <w:p w14:paraId="2C06C46A" w14:textId="1AA9F37F" w:rsidR="009A45E3" w:rsidRPr="009A45E3" w:rsidRDefault="009A45E3" w:rsidP="00DB309D">
      <w:pPr>
        <w:pStyle w:val="Bibliography"/>
        <w:rPr>
          <w:rFonts w:ascii="Calibri" w:cs="Calibri"/>
        </w:rPr>
      </w:pPr>
      <w:proofErr w:type="spellStart"/>
      <w:r w:rsidRPr="009A45E3">
        <w:rPr>
          <w:rFonts w:ascii="Calibri" w:cs="Calibri"/>
        </w:rPr>
        <w:t>Gunton</w:t>
      </w:r>
      <w:proofErr w:type="spellEnd"/>
      <w:r w:rsidRPr="009A45E3">
        <w:rPr>
          <w:rFonts w:ascii="Calibri" w:cs="Calibri"/>
        </w:rPr>
        <w:t xml:space="preserve">, Colin E., Stephen R. Holmes, and Murray A. Rae, </w:t>
      </w:r>
      <w:r w:rsidRPr="009A45E3">
        <w:rPr>
          <w:rFonts w:ascii="Calibri" w:cs="Calibri"/>
          <w:i/>
          <w:iCs/>
        </w:rPr>
        <w:t>The Practice of Theology: A Reader</w:t>
      </w:r>
      <w:r w:rsidRPr="009A45E3">
        <w:rPr>
          <w:rFonts w:ascii="Calibri" w:cs="Calibri"/>
        </w:rPr>
        <w:t xml:space="preserve"> (London: SCM press, 2001)</w:t>
      </w:r>
    </w:p>
    <w:p w14:paraId="6F249DDA" w14:textId="2F75CD8C" w:rsidR="009A45E3" w:rsidRDefault="009A45E3" w:rsidP="00DB309D">
      <w:pPr>
        <w:pStyle w:val="Bibliography"/>
        <w:rPr>
          <w:rFonts w:ascii="Calibri" w:cs="Calibri"/>
        </w:rPr>
      </w:pPr>
      <w:proofErr w:type="spellStart"/>
      <w:r w:rsidRPr="009A45E3">
        <w:rPr>
          <w:rFonts w:ascii="Calibri" w:cs="Calibri"/>
        </w:rPr>
        <w:t>Lochman</w:t>
      </w:r>
      <w:proofErr w:type="spellEnd"/>
      <w:r w:rsidRPr="009A45E3">
        <w:rPr>
          <w:rFonts w:ascii="Calibri" w:cs="Calibri"/>
        </w:rPr>
        <w:t xml:space="preserve">, Jan </w:t>
      </w:r>
      <w:proofErr w:type="spellStart"/>
      <w:r w:rsidRPr="009A45E3">
        <w:rPr>
          <w:rFonts w:ascii="Calibri" w:cs="Calibri"/>
        </w:rPr>
        <w:t>Milič</w:t>
      </w:r>
      <w:proofErr w:type="spellEnd"/>
      <w:r w:rsidRPr="009A45E3">
        <w:rPr>
          <w:rFonts w:ascii="Calibri" w:cs="Calibri"/>
        </w:rPr>
        <w:t xml:space="preserve">., </w:t>
      </w:r>
      <w:r w:rsidRPr="009A45E3">
        <w:rPr>
          <w:rFonts w:ascii="Calibri" w:cs="Calibri"/>
          <w:i/>
          <w:iCs/>
        </w:rPr>
        <w:t>The Faith We Confess: An Ecumenical Dogmatics</w:t>
      </w:r>
      <w:r w:rsidRPr="009A45E3">
        <w:rPr>
          <w:rFonts w:ascii="Calibri" w:cs="Calibri"/>
        </w:rPr>
        <w:t xml:space="preserve"> (Edinburgh: T &amp; T Clark, 1985)</w:t>
      </w:r>
    </w:p>
    <w:p w14:paraId="09507B0C" w14:textId="6E701675" w:rsidR="009A45E3" w:rsidRDefault="009A45E3" w:rsidP="00DB309D">
      <w:pPr>
        <w:pStyle w:val="Bibliography"/>
        <w:rPr>
          <w:rFonts w:ascii="Calibri" w:cs="Calibri"/>
        </w:rPr>
      </w:pPr>
      <w:proofErr w:type="spellStart"/>
      <w:r w:rsidRPr="009A45E3">
        <w:rPr>
          <w:rFonts w:ascii="Calibri" w:cs="Calibri"/>
        </w:rPr>
        <w:t>Migliore</w:t>
      </w:r>
      <w:proofErr w:type="spellEnd"/>
      <w:r w:rsidRPr="009A45E3">
        <w:rPr>
          <w:rFonts w:ascii="Calibri" w:cs="Calibri"/>
        </w:rPr>
        <w:t xml:space="preserve">, Daniel L., </w:t>
      </w:r>
      <w:r w:rsidRPr="009A45E3">
        <w:rPr>
          <w:rFonts w:ascii="Calibri" w:cs="Calibri"/>
          <w:i/>
          <w:iCs/>
        </w:rPr>
        <w:t>Faith Seeking Understanding: An Introduction to Christian Theology</w:t>
      </w:r>
      <w:r w:rsidRPr="009A45E3">
        <w:rPr>
          <w:rFonts w:ascii="Calibri" w:cs="Calibri"/>
        </w:rPr>
        <w:t xml:space="preserve">, 2nd ed (Grand Rapids, </w:t>
      </w:r>
      <w:proofErr w:type="spellStart"/>
      <w:r w:rsidRPr="009A45E3">
        <w:rPr>
          <w:rFonts w:ascii="Calibri" w:cs="Calibri"/>
        </w:rPr>
        <w:t>Mich</w:t>
      </w:r>
      <w:proofErr w:type="spellEnd"/>
      <w:r w:rsidRPr="009A45E3">
        <w:rPr>
          <w:rFonts w:ascii="Calibri" w:cs="Calibri"/>
        </w:rPr>
        <w:t>: W.B. Eerdmans, 2004)</w:t>
      </w:r>
    </w:p>
    <w:p w14:paraId="5D1A8236" w14:textId="36A9006B" w:rsidR="009A45E3" w:rsidRPr="009A45E3" w:rsidRDefault="009A45E3" w:rsidP="00DB309D">
      <w:pPr>
        <w:pStyle w:val="Bibliography"/>
        <w:rPr>
          <w:rFonts w:ascii="Calibri" w:cs="Calibri"/>
        </w:rPr>
      </w:pPr>
      <w:proofErr w:type="spellStart"/>
      <w:r w:rsidRPr="009A45E3">
        <w:rPr>
          <w:rFonts w:ascii="Calibri" w:cs="Calibri"/>
        </w:rPr>
        <w:t>Rahner</w:t>
      </w:r>
      <w:proofErr w:type="spellEnd"/>
      <w:r w:rsidRPr="009A45E3">
        <w:rPr>
          <w:rFonts w:ascii="Calibri" w:cs="Calibri"/>
        </w:rPr>
        <w:t xml:space="preserve">, Karl, and Johannes </w:t>
      </w:r>
      <w:proofErr w:type="spellStart"/>
      <w:r w:rsidRPr="009A45E3">
        <w:rPr>
          <w:rFonts w:ascii="Calibri" w:cs="Calibri"/>
        </w:rPr>
        <w:t>Feiner</w:t>
      </w:r>
      <w:proofErr w:type="spellEnd"/>
      <w:r w:rsidRPr="009A45E3">
        <w:rPr>
          <w:rFonts w:ascii="Calibri" w:cs="Calibri"/>
        </w:rPr>
        <w:t xml:space="preserve">, </w:t>
      </w:r>
      <w:r w:rsidRPr="009A45E3">
        <w:rPr>
          <w:rFonts w:ascii="Calibri" w:cs="Calibri"/>
          <w:i/>
          <w:iCs/>
        </w:rPr>
        <w:t>The Trinity</w:t>
      </w:r>
      <w:r w:rsidRPr="009A45E3">
        <w:rPr>
          <w:rFonts w:ascii="Calibri" w:cs="Calibri"/>
        </w:rPr>
        <w:t xml:space="preserve">, </w:t>
      </w:r>
      <w:proofErr w:type="spellStart"/>
      <w:r w:rsidRPr="009A45E3">
        <w:rPr>
          <w:rFonts w:ascii="Calibri" w:cs="Calibri"/>
        </w:rPr>
        <w:t>Mysterium</w:t>
      </w:r>
      <w:proofErr w:type="spellEnd"/>
      <w:r w:rsidRPr="009A45E3">
        <w:rPr>
          <w:rFonts w:ascii="Calibri" w:cs="Calibri"/>
        </w:rPr>
        <w:t xml:space="preserve"> </w:t>
      </w:r>
      <w:proofErr w:type="spellStart"/>
      <w:r w:rsidRPr="009A45E3">
        <w:rPr>
          <w:rFonts w:ascii="Calibri" w:cs="Calibri"/>
        </w:rPr>
        <w:t>Salutis</w:t>
      </w:r>
      <w:proofErr w:type="spellEnd"/>
      <w:r w:rsidRPr="009A45E3">
        <w:rPr>
          <w:rFonts w:ascii="Calibri" w:cs="Calibri"/>
        </w:rPr>
        <w:t xml:space="preserve"> (London, [New York]: Burns &amp; Oates; Herder and Herder, 1970)</w:t>
      </w:r>
    </w:p>
    <w:p w14:paraId="2768043D" w14:textId="77777777" w:rsidR="009A45E3" w:rsidRPr="009A45E3" w:rsidRDefault="009A45E3" w:rsidP="00DB309D">
      <w:pPr>
        <w:pStyle w:val="Bibliography"/>
        <w:rPr>
          <w:rFonts w:ascii="Calibri" w:cs="Calibri"/>
        </w:rPr>
      </w:pPr>
      <w:proofErr w:type="spellStart"/>
      <w:r w:rsidRPr="009A45E3">
        <w:rPr>
          <w:rFonts w:ascii="Calibri" w:cs="Calibri"/>
        </w:rPr>
        <w:t>Thiselton</w:t>
      </w:r>
      <w:proofErr w:type="spellEnd"/>
      <w:r w:rsidRPr="009A45E3">
        <w:rPr>
          <w:rFonts w:ascii="Calibri" w:cs="Calibri"/>
        </w:rPr>
        <w:t xml:space="preserve">, Anthony C., </w:t>
      </w:r>
      <w:r w:rsidRPr="009A45E3">
        <w:rPr>
          <w:rFonts w:ascii="Calibri" w:cs="Calibri"/>
          <w:i/>
          <w:iCs/>
        </w:rPr>
        <w:t>Approaching the Study of Theology: An Introduction to Key Thinkers, Concepts, Methods and Debates</w:t>
      </w:r>
      <w:r w:rsidRPr="009A45E3">
        <w:rPr>
          <w:rFonts w:ascii="Calibri" w:cs="Calibri"/>
        </w:rPr>
        <w:t xml:space="preserve"> (London: SPCK, 2017)</w:t>
      </w:r>
    </w:p>
    <w:p w14:paraId="7DD218D1" w14:textId="77777777" w:rsidR="00D167F0" w:rsidRPr="00D167F0" w:rsidRDefault="00D167F0" w:rsidP="00DB309D">
      <w:pPr>
        <w:rPr>
          <w:rFonts w:cstheme="minorHAnsi"/>
        </w:rPr>
      </w:pPr>
    </w:p>
    <w:sectPr w:rsidR="00D167F0" w:rsidRPr="00D167F0" w:rsidSect="005729FD">
      <w:headerReference w:type="default"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E2E1FB" w14:textId="77777777" w:rsidR="00E310E8" w:rsidRDefault="00E310E8" w:rsidP="00E62387">
      <w:r>
        <w:separator/>
      </w:r>
    </w:p>
  </w:endnote>
  <w:endnote w:type="continuationSeparator" w:id="0">
    <w:p w14:paraId="296F45D0" w14:textId="77777777" w:rsidR="00E310E8" w:rsidRDefault="00E310E8" w:rsidP="00E623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FF0A6" w14:textId="504F9E79" w:rsidR="00036A3A" w:rsidRDefault="00036A3A" w:rsidP="00036A3A">
    <w:pPr>
      <w:pStyle w:val="Footer"/>
      <w:jc w:val="center"/>
    </w:pPr>
    <w:r>
      <w:rPr>
        <w:rFonts w:ascii="Times New Roman" w:hAnsi="Times New Roman" w:cs="Times New Roman"/>
      </w:rPr>
      <w:t xml:space="preserve">Page </w:t>
    </w:r>
    <w:r>
      <w:rPr>
        <w:rFonts w:ascii="Times New Roman" w:hAnsi="Times New Roman" w:cs="Times New Roman"/>
      </w:rPr>
      <w:fldChar w:fldCharType="begin"/>
    </w:r>
    <w:r>
      <w:rPr>
        <w:rFonts w:ascii="Times New Roman" w:hAnsi="Times New Roman" w:cs="Times New Roman"/>
      </w:rPr>
      <w:instrText xml:space="preserve"> PAGE </w:instrText>
    </w:r>
    <w:r>
      <w:rPr>
        <w:rFonts w:ascii="Times New Roman" w:hAnsi="Times New Roman" w:cs="Times New Roman"/>
      </w:rPr>
      <w:fldChar w:fldCharType="separate"/>
    </w:r>
    <w:r>
      <w:rPr>
        <w:rFonts w:ascii="Times New Roman" w:hAnsi="Times New Roman" w:cs="Times New Roman"/>
        <w:noProof/>
      </w:rPr>
      <w:t>5</w:t>
    </w:r>
    <w:r>
      <w:rPr>
        <w:rFonts w:ascii="Times New Roman" w:hAnsi="Times New Roman" w:cs="Times New Roman"/>
      </w:rPr>
      <w:fldChar w:fldCharType="end"/>
    </w:r>
    <w:r>
      <w:rPr>
        <w:rFonts w:ascii="Times New Roman" w:hAnsi="Times New Roman" w:cs="Times New Roman"/>
      </w:rPr>
      <w:t xml:space="preserve"> of </w:t>
    </w:r>
    <w:r>
      <w:rPr>
        <w:rFonts w:ascii="Times New Roman" w:hAnsi="Times New Roman" w:cs="Times New Roman"/>
      </w:rPr>
      <w:fldChar w:fldCharType="begin"/>
    </w:r>
    <w:r>
      <w:rPr>
        <w:rFonts w:ascii="Times New Roman" w:hAnsi="Times New Roman" w:cs="Times New Roman"/>
      </w:rPr>
      <w:instrText xml:space="preserve"> NUMPAGES </w:instrText>
    </w:r>
    <w:r>
      <w:rPr>
        <w:rFonts w:ascii="Times New Roman" w:hAnsi="Times New Roman" w:cs="Times New Roman"/>
      </w:rPr>
      <w:fldChar w:fldCharType="separate"/>
    </w:r>
    <w:r>
      <w:rPr>
        <w:rFonts w:ascii="Times New Roman" w:hAnsi="Times New Roman" w:cs="Times New Roman"/>
        <w:noProof/>
      </w:rPr>
      <w:t>7</w:t>
    </w:r>
    <w:r>
      <w:rPr>
        <w:rFonts w:ascii="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048B05" w14:textId="77777777" w:rsidR="00E310E8" w:rsidRDefault="00E310E8" w:rsidP="00E62387">
      <w:r>
        <w:separator/>
      </w:r>
    </w:p>
  </w:footnote>
  <w:footnote w:type="continuationSeparator" w:id="0">
    <w:p w14:paraId="6C2446DA" w14:textId="77777777" w:rsidR="00E310E8" w:rsidRDefault="00E310E8" w:rsidP="00E62387">
      <w:r>
        <w:continuationSeparator/>
      </w:r>
    </w:p>
  </w:footnote>
  <w:footnote w:id="1">
    <w:p w14:paraId="19DD19B9" w14:textId="77777777" w:rsidR="0098607F" w:rsidRDefault="0098607F" w:rsidP="0098607F">
      <w:pPr>
        <w:pStyle w:val="FootnoteText"/>
      </w:pPr>
      <w:r w:rsidRPr="004B77E8">
        <w:rPr>
          <w:rStyle w:val="FootnoteReference"/>
        </w:rPr>
        <w:footnoteRef/>
      </w:r>
      <w:r>
        <w:t xml:space="preserve"> </w:t>
      </w:r>
      <w:r>
        <w:fldChar w:fldCharType="begin"/>
      </w:r>
      <w:r>
        <w:instrText xml:space="preserve"> ADDIN ZOTERO_ITEM CSL_CITATION {"citationID":"XR81axgI","properties":{"formattedCitation":"Edward R. Hardy, \\uc0\\u8216{}Saint Athanasius | Biography &amp; Facts | Britannica\\uc0\\u8217{} &lt;https://www.britannica.com/biography/Saint-Athanasius&gt; [accessed 1 March 2023].","plainCitation":"Edward R. Hardy, ‘Saint Athanasius | Biography &amp; Facts | Britannica’ &lt;https://www.britannica.com/biography/Saint-Athanasius&gt; [accessed 1 March 2023].","noteIndex":1},"citationItems":[{"id":2399,"uris":["http://zotero.org/users/7540819/items/TVEA4I3V"],"itemData":{"id":2399,"type":"webpage","abstract":"St. Athanasius, also called Saint Athanasius of Alexandria or Saint Athanasius the Apostolic, (born c. 293, Alexandria—died May 2, 373, Alexandria; feast day May 2), theologian, ecclesiastical statesman, and Egyptian national leader. He was the chief defender of Christian orthodoxy in the 4th-century battle against Arianism, the heresy that the Son of God was a creature of like, but not of the same, substance as God the Father. His important works include The Life of St. Antony, On the Incarnation, and Four Orations Against the Arians. Athanasius received his philosophical and theological training at Alexandria. In 325 he attended Bishop","language":"en","title":"Saint Athanasius | Biography &amp; Facts | Britannica","URL":"https://www.britannica.com/biography/Saint-Athanasius","author":[{"family":"Hardy","given":"Edward R."}],"accessed":{"date-parts":[["2023",3,1]]}}}],"schema":"https://github.com/citation-style-language/schema/raw/master/csl-citation.json"} </w:instrText>
      </w:r>
      <w:r>
        <w:fldChar w:fldCharType="separate"/>
      </w:r>
      <w:r w:rsidRPr="00C45E43">
        <w:rPr>
          <w:rFonts w:ascii="Calibri" w:cs="Calibri"/>
        </w:rPr>
        <w:t>Edward R. Hardy, ‘Saint Athanasius | Biography &amp; Facts | Britannica’ &lt;https://www.britannica.com/biography/Saint-Athanasius&gt; [accessed 1 March 2023].</w:t>
      </w:r>
      <w:r>
        <w:fldChar w:fldCharType="end"/>
      </w:r>
    </w:p>
  </w:footnote>
  <w:footnote w:id="2">
    <w:p w14:paraId="52307FBC" w14:textId="77777777" w:rsidR="0098607F" w:rsidRDefault="0098607F" w:rsidP="0098607F">
      <w:pPr>
        <w:pStyle w:val="FootnoteText"/>
      </w:pPr>
      <w:r w:rsidRPr="004B77E8">
        <w:rPr>
          <w:rStyle w:val="FootnoteReference"/>
        </w:rPr>
        <w:footnoteRef/>
      </w:r>
      <w:r>
        <w:t xml:space="preserve"> </w:t>
      </w:r>
      <w:r>
        <w:fldChar w:fldCharType="begin"/>
      </w:r>
      <w:r>
        <w:instrText xml:space="preserve"> ADDIN ZOTERO_ITEM CSL_CITATION {"citationID":"DGgJWsrd","properties":{"formattedCitation":"Alister E. McGrath, {\\i{}Christian Theology: An Introduction}, 3rd ed (Oxford\\uc0\\u8239{}; Malden, MA: Blackwell Publishers, 2001).","plainCitation":"Alister E. McGrath, Christian Theology: An Introduction, 3rd ed (Oxford ; Malden, MA: Blackwell Publishers, 2001).","dontUpdate":true,"noteIndex":2},"citationItems":[{"id":1923,"uris":["http://zotero.org/users/7540819/items/XY7ZAMH3"],"itemData":{"id":1923,"type":"book","call-number":"BT65 .M34 2001","edition":"3rd ed","event-place":"Oxford ; Malden, MA","ISBN":"978-0-631-22527-0","number-of-pages":"616","publisher":"Blackwell Publishers","publisher-place":"Oxford ; Malden, MA","source":"Library of Congress ISBN","title":"Christian theology: an introduction","title-short":"Christian theology","author":[{"family":"McGrath","given":"Alister E."}],"issued":{"date-parts":[["2001"]]}}}],"schema":"https://github.com/citation-style-language/schema/raw/master/csl-citation.json"} </w:instrText>
      </w:r>
      <w:r>
        <w:fldChar w:fldCharType="separate"/>
      </w:r>
      <w:r w:rsidRPr="009D73E1">
        <w:rPr>
          <w:rFonts w:ascii="Calibri" w:cs="Calibri"/>
        </w:rPr>
        <w:t xml:space="preserve">Alister E. McGrath, </w:t>
      </w:r>
      <w:r w:rsidRPr="009D73E1">
        <w:rPr>
          <w:rFonts w:ascii="Calibri" w:cs="Calibri"/>
          <w:i/>
          <w:iCs/>
        </w:rPr>
        <w:t>Christian Theology: An Introduction</w:t>
      </w:r>
      <w:r w:rsidRPr="009D73E1">
        <w:rPr>
          <w:rFonts w:ascii="Calibri" w:cs="Calibri"/>
        </w:rPr>
        <w:t>, 3rd ed (Oxford ; Malden, MA: Blackwell Publishers, 2001)</w:t>
      </w:r>
      <w:r>
        <w:rPr>
          <w:rFonts w:ascii="Calibri" w:cs="Calibri"/>
        </w:rPr>
        <w:t>, 22</w:t>
      </w:r>
      <w:r w:rsidRPr="009D73E1">
        <w:rPr>
          <w:rFonts w:ascii="Calibri" w:cs="Calibri"/>
        </w:rPr>
        <w:t>.</w:t>
      </w:r>
      <w:r>
        <w:fldChar w:fldCharType="end"/>
      </w:r>
    </w:p>
  </w:footnote>
  <w:footnote w:id="3">
    <w:p w14:paraId="29A12B9C" w14:textId="77777777" w:rsidR="0098607F" w:rsidRDefault="0098607F" w:rsidP="0098607F">
      <w:pPr>
        <w:pStyle w:val="FootnoteText"/>
      </w:pPr>
      <w:r w:rsidRPr="004B77E8">
        <w:rPr>
          <w:rStyle w:val="FootnoteReference"/>
        </w:rPr>
        <w:footnoteRef/>
      </w:r>
      <w:r>
        <w:t xml:space="preserve"> </w:t>
      </w:r>
      <w:r>
        <w:fldChar w:fldCharType="begin"/>
      </w:r>
      <w:r>
        <w:instrText xml:space="preserve"> ADDIN ZOTERO_ITEM CSL_CITATION {"citationID":"L4wyNqjI","properties":{"formattedCitation":"\\uc0\\u8216{}First Council of Nicaea | Description, History, Significance, &amp; Facts | Britannica\\uc0\\u8217{}, 2023 &lt;https://www.britannica.com/topic/homoousios&gt; [accessed 13 March 2023].","plainCitation":"‘First Council of Nicaea | Description, History, Significance, &amp; Facts | Britannica’, 2023 &lt;https://www.britannica.com/topic/homoousios&gt; [accessed 13 March 2023].","noteIndex":3},"citationItems":[{"id":2462,"uris":["http://zotero.org/users/7540819/items/5YYBXF2R"],"itemData":{"id":2462,"type":"webpage","abstract":"homoousios, in Christianity, the key term of the Christological doctrine formulated at the first ecumenical council, held at Nicaea in 325, to affirm that God the Son and God the Father are of the same substance. The First Council of Nicaea, presided over by the emperor Constantine, was convened to resolve the controversy within the church over the relationship between the persons of the Trinity. The council condemned Arianism, which taught that Christ was more than human but not fully divine. The use of homoousios (Greek: “of one substance”) in the creed produced at the council was meant to put","language":"en","title":"First Council of Nicaea | Description, History, Significance, &amp; Facts | Britannica","URL":"https://www.britannica.com/topic/homoousios","accessed":{"date-parts":[["2023",3,13]]},"issued":{"date-parts":[["2023",2,18]]}}}],"schema":"https://github.com/citation-style-language/schema/raw/master/csl-citation.json"} </w:instrText>
      </w:r>
      <w:r>
        <w:fldChar w:fldCharType="separate"/>
      </w:r>
      <w:r w:rsidRPr="007D6966">
        <w:rPr>
          <w:rFonts w:ascii="Calibri" w:cs="Calibri"/>
        </w:rPr>
        <w:t>‘First Council of Nicaea | Description, History, Significance, &amp; Facts | Britannica’, 2023 &lt;https://www.britannica.com/topic/homoousios&gt; [accessed 13 March 2023].</w:t>
      </w:r>
      <w:r>
        <w:fldChar w:fldCharType="end"/>
      </w:r>
    </w:p>
  </w:footnote>
  <w:footnote w:id="4">
    <w:p w14:paraId="2712D11F" w14:textId="77777777" w:rsidR="0098607F" w:rsidRDefault="0098607F" w:rsidP="0098607F">
      <w:pPr>
        <w:pStyle w:val="FootnoteText"/>
      </w:pPr>
      <w:r w:rsidRPr="004B77E8">
        <w:rPr>
          <w:rStyle w:val="FootnoteReference"/>
        </w:rPr>
        <w:footnoteRef/>
      </w:r>
      <w:r>
        <w:t xml:space="preserve"> Cf. the Gospel of John, Pauline epistles and other patristic writers, such as Irenaeus.</w:t>
      </w:r>
    </w:p>
  </w:footnote>
  <w:footnote w:id="5">
    <w:p w14:paraId="17ED56C0" w14:textId="77777777" w:rsidR="0098607F" w:rsidRDefault="0098607F" w:rsidP="0098607F">
      <w:pPr>
        <w:pStyle w:val="FootnoteText"/>
      </w:pPr>
      <w:r w:rsidRPr="004B77E8">
        <w:rPr>
          <w:rStyle w:val="FootnoteReference"/>
        </w:rPr>
        <w:footnoteRef/>
      </w:r>
      <w:r>
        <w:t xml:space="preserve"> </w:t>
      </w:r>
      <w:r>
        <w:fldChar w:fldCharType="begin"/>
      </w:r>
      <w:r>
        <w:instrText xml:space="preserve"> ADDIN ZOTERO_ITEM CSL_CITATION {"citationID":"3ofOlfP9","properties":{"formattedCitation":"Glen Scrivener, \\uc0\\u8216{}Creation and Salvation: Irenaeus and Athanasius | Union Resources\\uc0\\u8217{} &lt;https://www.uniontheology.org/resources/doctrine/god/creation-and-salvation-irenaeus-and-athanasius&gt; [accessed 23 January 2023].","plainCitation":"Glen Scrivener, ‘Creation and Salvation: Irenaeus and Athanasius | Union Resources’ &lt;https://www.uniontheology.org/resources/doctrine/god/creation-and-salvation-irenaeus-and-athanasius&gt; [accessed 23 January 2023].","noteIndex":5},"citationItems":[{"id":2319,"uris":["http://zotero.org/users/7540819/items/7MPL3QNM"],"itemData":{"id":2319,"type":"webpage","title":"Creation and Salvation: Irenaeus and Athanasius | Union Resources","URL":"https://www.uniontheology.org/resources/doctrine/god/creation-and-salvation-irenaeus-and-athanasius","author":[{"family":"Scrivener","given":"Glen"}],"accessed":{"date-parts":[["2023",1,23]]}}}],"schema":"https://github.com/citation-style-language/schema/raw/master/csl-citation.json"} </w:instrText>
      </w:r>
      <w:r>
        <w:fldChar w:fldCharType="separate"/>
      </w:r>
      <w:r w:rsidRPr="001E3ED2">
        <w:rPr>
          <w:rFonts w:ascii="Calibri" w:cs="Calibri"/>
        </w:rPr>
        <w:t>Glen Scrivener, ‘Creation and Salvation: Irenaeus and Athanasius | Union Resources’ &lt;https://www.uniontheology.org/resources/doctrine/god/creation-and-salvation-irenaeus-and-athanasius&gt; [accessed 23 January 2023].</w:t>
      </w:r>
      <w:r>
        <w:fldChar w:fldCharType="end"/>
      </w:r>
    </w:p>
  </w:footnote>
  <w:footnote w:id="6">
    <w:p w14:paraId="0725B7FB" w14:textId="77777777" w:rsidR="0098607F" w:rsidRDefault="0098607F" w:rsidP="0098607F">
      <w:pPr>
        <w:pStyle w:val="FootnoteText"/>
      </w:pPr>
      <w:r w:rsidRPr="004B77E8">
        <w:rPr>
          <w:rStyle w:val="FootnoteReference"/>
        </w:rPr>
        <w:footnoteRef/>
      </w:r>
      <w:r>
        <w:t xml:space="preserve"> This and similar references are taken from the translation: </w:t>
      </w:r>
      <w:r>
        <w:fldChar w:fldCharType="begin"/>
      </w:r>
      <w:r>
        <w:instrText xml:space="preserve"> ADDIN ZOTERO_ITEM CSL_CITATION {"citationID":"I6AlGerX","properties":{"formattedCitation":"Athanasius, \\uc0\\u8216{}On the Incarnation of the Word\\uc0\\u8217{} &lt;https://ccel.org/ccel/a/athanasius/incarnation/cache/incarnation.txt&gt; [accessed 2 March 2023].","plainCitation":"Athanasius, ‘On the Incarnation of the Word’ &lt;https://ccel.org/ccel/a/athanasius/incarnation/cache/incarnation.txt&gt; [accessed 2 March 2023].","noteIndex":6},"citationItems":[{"id":2401,"uris":["http://zotero.org/users/7540819/items/8SFSSVVT"],"itemData":{"id":2401,"type":"webpage","title":"On the Incarnation of the Word","URL":"https://ccel.org/ccel/a/athanasius/incarnation/cache/incarnation.txt","author":[{"family":"Athanasius","given":""}],"accessed":{"date-parts":[["2023",3,2]]}}}],"schema":"https://github.com/citation-style-language/schema/raw/master/csl-citation.json"} </w:instrText>
      </w:r>
      <w:r>
        <w:fldChar w:fldCharType="separate"/>
      </w:r>
      <w:r w:rsidRPr="00390DB1">
        <w:rPr>
          <w:rFonts w:ascii="Calibri" w:cs="Calibri"/>
        </w:rPr>
        <w:t>Athanasius, ‘On the Incarnation of the Word’ &lt;https://ccel.org/ccel/a/athanasius/incarnation/cache/incarnation.txt&gt; [accessed 2 March 2023].</w:t>
      </w:r>
      <w:r>
        <w:fldChar w:fldCharType="end"/>
      </w:r>
    </w:p>
  </w:footnote>
  <w:footnote w:id="7">
    <w:p w14:paraId="4D0FBC73" w14:textId="6D21FBC5" w:rsidR="0098607F" w:rsidRDefault="0098607F" w:rsidP="0098607F">
      <w:pPr>
        <w:pStyle w:val="FootnoteText"/>
      </w:pPr>
      <w:r w:rsidRPr="004B77E8">
        <w:rPr>
          <w:rStyle w:val="FootnoteReference"/>
        </w:rPr>
        <w:footnoteRef/>
      </w:r>
      <w:r>
        <w:t xml:space="preserve"> </w:t>
      </w:r>
      <w:r>
        <w:fldChar w:fldCharType="begin"/>
      </w:r>
      <w:r w:rsidR="00F72507">
        <w:instrText xml:space="preserve"> ADDIN ZOTERO_ITEM CSL_CITATION {"citationID":"IMx24o5J","properties":{"formattedCitation":"Athanasius, \\uc0\\u8216{}On the Incarnation of the Word\\uc0\\u8217{}.","plainCitation":"Athanasius, ‘On the Incarnation of the Word’.","dontUpdate":true,"noteIndex":7},"citationItems":[{"id":2401,"uris":["http://zotero.org/users/7540819/items/8SFSSVVT"],"itemData":{"id":2401,"type":"webpage","title":"On the Incarnation of the Word","URL":"https://ccel.org/ccel/a/athanasius/incarnation/cache/incarnation.txt","author":[{"family":"Athanasius","given":""}],"accessed":{"date-parts":[["2023",3,2]]}}}],"schema":"https://github.com/citation-style-language/schema/raw/master/csl-citation.json"} </w:instrText>
      </w:r>
      <w:r>
        <w:fldChar w:fldCharType="separate"/>
      </w:r>
      <w:r w:rsidRPr="00923D1C">
        <w:rPr>
          <w:rFonts w:ascii="Calibri" w:cs="Calibri"/>
        </w:rPr>
        <w:t>Athanasius, ‘On the Incarnation of the Word’</w:t>
      </w:r>
      <w:r>
        <w:rPr>
          <w:rFonts w:ascii="Calibri" w:cs="Calibri"/>
        </w:rPr>
        <w:t>, 1.1</w:t>
      </w:r>
      <w:r w:rsidRPr="00923D1C">
        <w:rPr>
          <w:rFonts w:ascii="Calibri" w:cs="Calibri"/>
        </w:rPr>
        <w:t>.</w:t>
      </w:r>
      <w:r>
        <w:fldChar w:fldCharType="end"/>
      </w:r>
    </w:p>
  </w:footnote>
  <w:footnote w:id="8">
    <w:p w14:paraId="6FBD5E51" w14:textId="7EC072AA" w:rsidR="0098607F" w:rsidRDefault="0098607F" w:rsidP="0098607F">
      <w:pPr>
        <w:pStyle w:val="FootnoteText"/>
      </w:pPr>
      <w:r w:rsidRPr="004B77E8">
        <w:rPr>
          <w:rStyle w:val="FootnoteReference"/>
        </w:rPr>
        <w:footnoteRef/>
      </w:r>
      <w:r>
        <w:t xml:space="preserve"> </w:t>
      </w:r>
      <w:r>
        <w:fldChar w:fldCharType="begin"/>
      </w:r>
      <w:r w:rsidR="00F72507">
        <w:instrText xml:space="preserve"> ADDIN ZOTERO_ITEM CSL_CITATION {"citationID":"rgiVfCIe","properties":{"formattedCitation":"Athanasius, \\uc0\\u8216{}On the Incarnation of the Word\\uc0\\u8217{}.","plainCitation":"Athanasius, ‘On the Incarnation of the Word’.","dontUpdate":true,"noteIndex":8},"citationItems":[{"id":2401,"uris":["http://zotero.org/users/7540819/items/8SFSSVVT"],"itemData":{"id":2401,"type":"webpage","title":"On the Incarnation of the Word","URL":"https://ccel.org/ccel/a/athanasius/incarnation/cache/incarnation.txt","author":[{"family":"Athanasius","given":""}],"accessed":{"date-parts":[["2023",3,2]]}}}],"schema":"https://github.com/citation-style-language/schema/raw/master/csl-citation.json"} </w:instrText>
      </w:r>
      <w:r>
        <w:fldChar w:fldCharType="separate"/>
      </w:r>
      <w:r w:rsidRPr="00982D39">
        <w:rPr>
          <w:rFonts w:ascii="Calibri" w:cs="Calibri"/>
        </w:rPr>
        <w:t>Athanasius, ‘On the Incarnation of the Word’</w:t>
      </w:r>
      <w:r>
        <w:rPr>
          <w:rFonts w:ascii="Calibri" w:cs="Calibri"/>
        </w:rPr>
        <w:t>. 3.13</w:t>
      </w:r>
      <w:r w:rsidRPr="00982D39">
        <w:rPr>
          <w:rFonts w:ascii="Calibri" w:cs="Calibri"/>
        </w:rPr>
        <w:t>.</w:t>
      </w:r>
      <w:r>
        <w:fldChar w:fldCharType="end"/>
      </w:r>
    </w:p>
  </w:footnote>
  <w:footnote w:id="9">
    <w:p w14:paraId="416535C1" w14:textId="52F702BB" w:rsidR="00F72507" w:rsidRDefault="00F72507">
      <w:pPr>
        <w:pStyle w:val="FootnoteText"/>
      </w:pPr>
      <w:r w:rsidRPr="004B77E8">
        <w:rPr>
          <w:rStyle w:val="FootnoteReference"/>
        </w:rPr>
        <w:footnoteRef/>
      </w:r>
      <w:r>
        <w:t xml:space="preserve"> </w:t>
      </w:r>
      <w:r>
        <w:fldChar w:fldCharType="begin"/>
      </w:r>
      <w:r w:rsidR="009339F7">
        <w:instrText xml:space="preserve"> ADDIN ZOTERO_ITEM CSL_CITATION {"citationID":"z0EOOVSq","properties":{"formattedCitation":"Athanasius, \\uc0\\u8216{}On the Incarnation of the Word\\uc0\\u8217{}.","plainCitation":"Athanasius, ‘On the Incarnation of the Word’.","dontUpdate":true,"noteIndex":9},"citationItems":[{"id":2401,"uris":["http://zotero.org/users/7540819/items/8SFSSVVT"],"itemData":{"id":2401,"type":"webpage","title":"On the Incarnation of the Word","URL":"https://ccel.org/ccel/a/athanasius/incarnation/cache/incarnation.txt","author":[{"family":"Athanasius","given":""}],"accessed":{"date-parts":[["2023",3,2]]}}}],"schema":"https://github.com/citation-style-language/schema/raw/master/csl-citation.json"} </w:instrText>
      </w:r>
      <w:r>
        <w:fldChar w:fldCharType="separate"/>
      </w:r>
      <w:r w:rsidRPr="00F72507">
        <w:rPr>
          <w:rFonts w:ascii="Calibri" w:cs="Calibri"/>
        </w:rPr>
        <w:t>Athanasius, ‘On the Incarnation of the Word’</w:t>
      </w:r>
      <w:r>
        <w:rPr>
          <w:rFonts w:ascii="Calibri" w:cs="Calibri"/>
        </w:rPr>
        <w:t>, 7.4</w:t>
      </w:r>
      <w:r w:rsidRPr="00F72507">
        <w:rPr>
          <w:rFonts w:ascii="Calibri" w:cs="Calibri"/>
        </w:rPr>
        <w:t>.</w:t>
      </w:r>
      <w:r>
        <w:fldChar w:fldCharType="end"/>
      </w:r>
    </w:p>
  </w:footnote>
  <w:footnote w:id="10">
    <w:p w14:paraId="4ED841C3" w14:textId="2FE97703" w:rsidR="0098607F" w:rsidRDefault="0098607F" w:rsidP="0098607F">
      <w:pPr>
        <w:pStyle w:val="FootnoteText"/>
      </w:pPr>
      <w:r w:rsidRPr="004B77E8">
        <w:rPr>
          <w:rStyle w:val="FootnoteReference"/>
        </w:rPr>
        <w:footnoteRef/>
      </w:r>
      <w:r>
        <w:t xml:space="preserve"> </w:t>
      </w:r>
      <w:r>
        <w:fldChar w:fldCharType="begin"/>
      </w:r>
      <w:r w:rsidR="00F72507">
        <w:instrText xml:space="preserve"> ADDIN ZOTERO_ITEM CSL_CITATION {"citationID":"ib74A92S","properties":{"formattedCitation":"Athanasius, \\uc0\\u8216{}On the Incarnation of the Word\\uc0\\u8217{}.","plainCitation":"Athanasius, ‘On the Incarnation of the Word’.","dontUpdate":true,"noteIndex":10},"citationItems":[{"id":2401,"uris":["http://zotero.org/users/7540819/items/8SFSSVVT"],"itemData":{"id":2401,"type":"webpage","title":"On the Incarnation of the Word","URL":"https://ccel.org/ccel/a/athanasius/incarnation/cache/incarnation.txt","author":[{"family":"Athanasius","given":""}],"accessed":{"date-parts":[["2023",3,2]]}}}],"schema":"https://github.com/citation-style-language/schema/raw/master/csl-citation.json"} </w:instrText>
      </w:r>
      <w:r>
        <w:fldChar w:fldCharType="separate"/>
      </w:r>
      <w:r w:rsidRPr="00982D39">
        <w:rPr>
          <w:rFonts w:ascii="Calibri" w:cs="Calibri"/>
        </w:rPr>
        <w:t>Athanasius, ‘On the Incarnation of the Word’</w:t>
      </w:r>
      <w:r>
        <w:rPr>
          <w:rFonts w:ascii="Calibri" w:cs="Calibri"/>
        </w:rPr>
        <w:t>, 2.7</w:t>
      </w:r>
      <w:r w:rsidRPr="00982D39">
        <w:rPr>
          <w:rFonts w:ascii="Calibri" w:cs="Calibri"/>
        </w:rPr>
        <w:t>.</w:t>
      </w:r>
      <w:r>
        <w:fldChar w:fldCharType="end"/>
      </w:r>
      <w:r>
        <w:t xml:space="preserve"> Cf. also Athanasius’ biblical illustrations from Lk. 19:10; Jn. 3:3; 1 Cor. 1:21; Eph. 3:17ff; 1 Pet. 2:22; Jn. 10:37.</w:t>
      </w:r>
    </w:p>
  </w:footnote>
  <w:footnote w:id="11">
    <w:p w14:paraId="595FA4E3" w14:textId="3B0A5E23" w:rsidR="0098607F" w:rsidRDefault="0098607F" w:rsidP="0098607F">
      <w:pPr>
        <w:pStyle w:val="FootnoteText"/>
      </w:pPr>
      <w:r w:rsidRPr="004B77E8">
        <w:rPr>
          <w:rStyle w:val="FootnoteReference"/>
        </w:rPr>
        <w:footnoteRef/>
      </w:r>
      <w:r>
        <w:t xml:space="preserve"> </w:t>
      </w:r>
      <w:r>
        <w:fldChar w:fldCharType="begin"/>
      </w:r>
      <w:r w:rsidR="00F72507">
        <w:instrText xml:space="preserve"> ADDIN ZOTERO_ITEM CSL_CITATION {"citationID":"fRi04eQc","properties":{"formattedCitation":"Athanasius, \\uc0\\u8216{}On the Incarnation of the Word\\uc0\\u8217{}.","plainCitation":"Athanasius, ‘On the Incarnation of the Word’.","dontUpdate":true,"noteIndex":11},"citationItems":[{"id":2401,"uris":["http://zotero.org/users/7540819/items/8SFSSVVT"],"itemData":{"id":2401,"type":"webpage","title":"On the Incarnation of the Word","URL":"https://ccel.org/ccel/a/athanasius/incarnation/cache/incarnation.txt","author":[{"family":"Athanasius","given":""}],"accessed":{"date-parts":[["2023",3,2]]}}}],"schema":"https://github.com/citation-style-language/schema/raw/master/csl-citation.json"} </w:instrText>
      </w:r>
      <w:r>
        <w:fldChar w:fldCharType="separate"/>
      </w:r>
      <w:r w:rsidRPr="00982D39">
        <w:rPr>
          <w:rFonts w:ascii="Calibri" w:cs="Calibri"/>
        </w:rPr>
        <w:t>Athanasius, ‘On the Incarnation of the Word’</w:t>
      </w:r>
      <w:r>
        <w:rPr>
          <w:rFonts w:ascii="Calibri" w:cs="Calibri"/>
        </w:rPr>
        <w:t>, 2.8</w:t>
      </w:r>
      <w:r w:rsidRPr="00982D39">
        <w:rPr>
          <w:rFonts w:ascii="Calibri" w:cs="Calibri"/>
        </w:rPr>
        <w:t>.</w:t>
      </w:r>
      <w:r>
        <w:fldChar w:fldCharType="end"/>
      </w:r>
    </w:p>
  </w:footnote>
  <w:footnote w:id="12">
    <w:p w14:paraId="45458A81" w14:textId="020D080C" w:rsidR="0098607F" w:rsidRDefault="0098607F" w:rsidP="0098607F">
      <w:pPr>
        <w:pStyle w:val="FootnoteText"/>
      </w:pPr>
      <w:r w:rsidRPr="004B77E8">
        <w:rPr>
          <w:rStyle w:val="FootnoteReference"/>
        </w:rPr>
        <w:footnoteRef/>
      </w:r>
      <w:r>
        <w:t xml:space="preserve"> </w:t>
      </w:r>
      <w:r>
        <w:fldChar w:fldCharType="begin"/>
      </w:r>
      <w:r w:rsidR="00F72507">
        <w:instrText xml:space="preserve"> ADDIN ZOTERO_ITEM CSL_CITATION {"citationID":"HxgZkHBT","properties":{"formattedCitation":"Athanasius, \\uc0\\u8216{}On the Incarnation of the Word\\uc0\\u8217{}.","plainCitation":"Athanasius, ‘On the Incarnation of the Word’.","dontUpdate":true,"noteIndex":12},"citationItems":[{"id":2401,"uris":["http://zotero.org/users/7540819/items/8SFSSVVT"],"itemData":{"id":2401,"type":"webpage","title":"On the Incarnation of the Word","URL":"https://ccel.org/ccel/a/athanasius/incarnation/cache/incarnation.txt","author":[{"family":"Athanasius","given":""}],"accessed":{"date-parts":[["2023",3,2]]}}}],"schema":"https://github.com/citation-style-language/schema/raw/master/csl-citation.json"} </w:instrText>
      </w:r>
      <w:r>
        <w:fldChar w:fldCharType="separate"/>
      </w:r>
      <w:r w:rsidRPr="00982D39">
        <w:rPr>
          <w:rFonts w:ascii="Calibri" w:cs="Calibri"/>
        </w:rPr>
        <w:t>Athanasius, ‘On the Incarnation of the Word’</w:t>
      </w:r>
      <w:r>
        <w:rPr>
          <w:rFonts w:ascii="Calibri" w:cs="Calibri"/>
        </w:rPr>
        <w:t>, 4.19-5.32</w:t>
      </w:r>
      <w:r w:rsidRPr="00982D39">
        <w:rPr>
          <w:rFonts w:ascii="Calibri" w:cs="Calibri"/>
        </w:rPr>
        <w:t>.</w:t>
      </w:r>
      <w:r>
        <w:fldChar w:fldCharType="end"/>
      </w:r>
    </w:p>
  </w:footnote>
  <w:footnote w:id="13">
    <w:p w14:paraId="17DF623D" w14:textId="3A4E85AA" w:rsidR="0098607F" w:rsidRDefault="0098607F" w:rsidP="0098607F">
      <w:pPr>
        <w:pStyle w:val="FootnoteText"/>
      </w:pPr>
      <w:r w:rsidRPr="004B77E8">
        <w:rPr>
          <w:rStyle w:val="FootnoteReference"/>
        </w:rPr>
        <w:footnoteRef/>
      </w:r>
      <w:r>
        <w:t xml:space="preserve"> </w:t>
      </w:r>
      <w:r>
        <w:fldChar w:fldCharType="begin"/>
      </w:r>
      <w:r w:rsidR="00F72507">
        <w:instrText xml:space="preserve"> ADDIN ZOTERO_ITEM CSL_CITATION {"citationID":"VNnZSmxW","properties":{"formattedCitation":"Athanasius, \\uc0\\u8216{}On the Incarnation of the Word\\uc0\\u8217{}.","plainCitation":"Athanasius, ‘On the Incarnation of the Word’.","dontUpdate":true,"noteIndex":13},"citationItems":[{"id":2401,"uris":["http://zotero.org/users/7540819/items/8SFSSVVT"],"itemData":{"id":2401,"type":"webpage","title":"On the Incarnation of the Word","URL":"https://ccel.org/ccel/a/athanasius/incarnation/cache/incarnation.txt","author":[{"family":"Athanasius","given":""}],"accessed":{"date-parts":[["2023",3,2]]}}}],"schema":"https://github.com/citation-style-language/schema/raw/master/csl-citation.json"} </w:instrText>
      </w:r>
      <w:r>
        <w:fldChar w:fldCharType="separate"/>
      </w:r>
      <w:r w:rsidRPr="0082651C">
        <w:rPr>
          <w:rFonts w:ascii="Calibri" w:cs="Calibri"/>
        </w:rPr>
        <w:t>Athanasius, ‘On the Incarnation of the Word’</w:t>
      </w:r>
      <w:r>
        <w:rPr>
          <w:rFonts w:ascii="Calibri" w:cs="Calibri"/>
        </w:rPr>
        <w:t>, 4:25</w:t>
      </w:r>
      <w:r w:rsidRPr="0082651C">
        <w:rPr>
          <w:rFonts w:ascii="Calibri" w:cs="Calibri"/>
        </w:rPr>
        <w:t>.</w:t>
      </w:r>
      <w:r>
        <w:fldChar w:fldCharType="end"/>
      </w:r>
    </w:p>
  </w:footnote>
  <w:footnote w:id="14">
    <w:p w14:paraId="0A2C0A26" w14:textId="0C8DC3CA" w:rsidR="0098607F" w:rsidRDefault="0098607F" w:rsidP="0098607F">
      <w:pPr>
        <w:pStyle w:val="FootnoteText"/>
      </w:pPr>
      <w:r w:rsidRPr="004B77E8">
        <w:rPr>
          <w:rStyle w:val="FootnoteReference"/>
        </w:rPr>
        <w:footnoteRef/>
      </w:r>
      <w:r>
        <w:t xml:space="preserve"> </w:t>
      </w:r>
      <w:r>
        <w:fldChar w:fldCharType="begin"/>
      </w:r>
      <w:r w:rsidR="00F72507">
        <w:instrText xml:space="preserve"> ADDIN ZOTERO_ITEM CSL_CITATION {"citationID":"iDD6r22Y","properties":{"formattedCitation":"Athanasius, \\uc0\\u8216{}On the Incarnation of the Word\\uc0\\u8217{}.","plainCitation":"Athanasius, ‘On the Incarnation of the Word’.","dontUpdate":true,"noteIndex":14},"citationItems":[{"id":2401,"uris":["http://zotero.org/users/7540819/items/8SFSSVVT"],"itemData":{"id":2401,"type":"webpage","title":"On the Incarnation of the Word","URL":"https://ccel.org/ccel/a/athanasius/incarnation/cache/incarnation.txt","author":[{"family":"Athanasius","given":""}],"accessed":{"date-parts":[["2023",3,2]]}}}],"schema":"https://github.com/citation-style-language/schema/raw/master/csl-citation.json"} </w:instrText>
      </w:r>
      <w:r>
        <w:fldChar w:fldCharType="separate"/>
      </w:r>
      <w:r w:rsidRPr="006D2AD6">
        <w:rPr>
          <w:rFonts w:ascii="Calibri" w:cs="Calibri"/>
        </w:rPr>
        <w:t>Athanasius, ‘On the Incarnation of the Word’</w:t>
      </w:r>
      <w:r>
        <w:rPr>
          <w:rFonts w:ascii="Calibri" w:cs="Calibri"/>
        </w:rPr>
        <w:t>, 6.48</w:t>
      </w:r>
      <w:r w:rsidRPr="006D2AD6">
        <w:rPr>
          <w:rFonts w:ascii="Calibri" w:cs="Calibri"/>
        </w:rPr>
        <w:t>.</w:t>
      </w:r>
      <w:r>
        <w:fldChar w:fldCharType="end"/>
      </w:r>
    </w:p>
  </w:footnote>
  <w:footnote w:id="15">
    <w:p w14:paraId="568E034F" w14:textId="77777777" w:rsidR="0098607F" w:rsidRDefault="0098607F" w:rsidP="0098607F">
      <w:pPr>
        <w:pStyle w:val="FootnoteText"/>
      </w:pPr>
      <w:r w:rsidRPr="004B77E8">
        <w:rPr>
          <w:rStyle w:val="FootnoteReference"/>
        </w:rPr>
        <w:footnoteRef/>
      </w:r>
      <w:r>
        <w:t xml:space="preserve"> E.g. Phil. 1:18-20, 27; 2:1-11; 3:20-21 and Jn. 1:1-5, 17-18; 3:16-17 </w:t>
      </w:r>
      <w:r>
        <w:rPr>
          <w:i/>
          <w:iCs/>
        </w:rPr>
        <w:t>inter alia.</w:t>
      </w:r>
      <w:r>
        <w:t xml:space="preserve"> </w:t>
      </w:r>
    </w:p>
  </w:footnote>
  <w:footnote w:id="16">
    <w:p w14:paraId="75BBA052" w14:textId="48252557" w:rsidR="00294051" w:rsidRDefault="00294051" w:rsidP="00294051">
      <w:pPr>
        <w:pStyle w:val="FootnoteText"/>
      </w:pPr>
      <w:r w:rsidRPr="004B77E8">
        <w:rPr>
          <w:rStyle w:val="FootnoteReference"/>
        </w:rPr>
        <w:footnoteRef/>
      </w:r>
      <w:r>
        <w:t xml:space="preserve"> </w:t>
      </w:r>
      <w:r>
        <w:fldChar w:fldCharType="begin"/>
      </w:r>
      <w:r w:rsidR="00BF5034">
        <w:instrText xml:space="preserve"> ADDIN ZOTERO_ITEM CSL_CITATION {"citationID":"jheIIlQx","properties":{"formattedCitation":"Athanasius, \\uc0\\u8216{}On the Incarnation of the Word\\uc0\\u8217{}.","plainCitation":"Athanasius, ‘On the Incarnation of the Word’.","dontUpdate":true,"noteIndex":16},"citationItems":[{"id":2401,"uris":["http://zotero.org/users/7540819/items/8SFSSVVT"],"itemData":{"id":2401,"type":"webpage","title":"On the Incarnation of the Word","URL":"https://ccel.org/ccel/a/athanasius/incarnation/cache/incarnation.txt","author":[{"family":"Athanasius","given":""}],"accessed":{"date-parts":[["2023",3,2]]}}}],"schema":"https://github.com/citation-style-language/schema/raw/master/csl-citation.json"} </w:instrText>
      </w:r>
      <w:r>
        <w:fldChar w:fldCharType="separate"/>
      </w:r>
      <w:r w:rsidRPr="00982D39">
        <w:rPr>
          <w:rFonts w:ascii="Calibri" w:cs="Calibri"/>
        </w:rPr>
        <w:t>Athanasius, ‘On the Incarnation of the Word’</w:t>
      </w:r>
      <w:r>
        <w:rPr>
          <w:rFonts w:ascii="Calibri" w:cs="Calibri"/>
        </w:rPr>
        <w:t>, 9.56</w:t>
      </w:r>
      <w:r w:rsidRPr="00982D39">
        <w:rPr>
          <w:rFonts w:ascii="Calibri" w:cs="Calibri"/>
        </w:rPr>
        <w:t>.</w:t>
      </w:r>
      <w:r>
        <w:fldChar w:fldCharType="end"/>
      </w:r>
    </w:p>
  </w:footnote>
  <w:footnote w:id="17">
    <w:p w14:paraId="6E5983C6" w14:textId="5705D8B7" w:rsidR="00A77488" w:rsidRDefault="00A77488" w:rsidP="00A77488">
      <w:pPr>
        <w:pStyle w:val="FootnoteText"/>
      </w:pPr>
      <w:r w:rsidRPr="004B77E8">
        <w:rPr>
          <w:rStyle w:val="FootnoteReference"/>
        </w:rPr>
        <w:footnoteRef/>
      </w:r>
      <w:r>
        <w:t xml:space="preserve"> Cf. </w:t>
      </w:r>
      <w:r>
        <w:fldChar w:fldCharType="begin"/>
      </w:r>
      <w:r w:rsidR="00120C5C">
        <w:instrText xml:space="preserve"> ADDIN ZOTERO_ITEM CSL_CITATION {"citationID":"eJIIs3db","properties":{"formattedCitation":"Athanasius, \\uc0\\u8216{}On the Incarnation of the Word\\uc0\\u8217{}.","plainCitation":"Athanasius, ‘On the Incarnation of the Word’.","dontUpdate":true,"noteIndex":17},"citationItems":[{"id":2401,"uris":["http://zotero.org/users/7540819/items/8SFSSVVT"],"itemData":{"id":2401,"type":"webpage","title":"On the Incarnation of the Word","URL":"https://ccel.org/ccel/a/athanasius/incarnation/cache/incarnation.txt","author":[{"family":"Athanasius","given":""}],"accessed":{"date-parts":[["2023",3,2]]}}}],"schema":"https://github.com/citation-style-language/schema/raw/master/csl-citation.json"} </w:instrText>
      </w:r>
      <w:r>
        <w:fldChar w:fldCharType="separate"/>
      </w:r>
      <w:r w:rsidRPr="009339F7">
        <w:rPr>
          <w:rFonts w:ascii="Calibri" w:cs="Calibri"/>
        </w:rPr>
        <w:t>Athanasius, ‘On the Incarnation of the Word’</w:t>
      </w:r>
      <w:r>
        <w:rPr>
          <w:rFonts w:ascii="Calibri" w:cs="Calibri"/>
        </w:rPr>
        <w:t>, 3.14</w:t>
      </w:r>
      <w:r w:rsidRPr="009339F7">
        <w:rPr>
          <w:rFonts w:ascii="Calibri" w:cs="Calibri"/>
        </w:rPr>
        <w:t>.</w:t>
      </w:r>
      <w:r>
        <w:fldChar w:fldCharType="end"/>
      </w:r>
      <w:r>
        <w:t>; as one example of many throughout DI.</w:t>
      </w:r>
    </w:p>
  </w:footnote>
  <w:footnote w:id="18">
    <w:p w14:paraId="5B72E7C5" w14:textId="6E6590F8" w:rsidR="00294051" w:rsidRDefault="00294051" w:rsidP="00294051">
      <w:pPr>
        <w:pStyle w:val="FootnoteText"/>
      </w:pPr>
      <w:r w:rsidRPr="004B77E8">
        <w:rPr>
          <w:rStyle w:val="FootnoteReference"/>
        </w:rPr>
        <w:footnoteRef/>
      </w:r>
      <w:r>
        <w:t xml:space="preserve"> </w:t>
      </w:r>
      <w:r>
        <w:fldChar w:fldCharType="begin"/>
      </w:r>
      <w:r w:rsidR="00120C5C">
        <w:instrText xml:space="preserve"> ADDIN ZOTERO_ITEM CSL_CITATION {"citationID":"wsZG7j5u","properties":{"formattedCitation":"George A. Lindbeck, {\\i{}The Nature of Doctrine: Religion and Theology in a Postliberal Age} (London: SPCK, 1984).","plainCitation":"George A. Lindbeck, The Nature of Doctrine: Religion and Theology in a Postliberal Age (London: SPCK, 1984).","dontUpdate":true,"noteIndex":18},"citationItems":[{"id":2292,"uris":["http://zotero.org/users/7540819/items/ZQ5JW3FM"],"itemData":{"id":2292,"type":"book","event-place":"London","ISBN":"978-0-281-04133-6","language":"eng","number-of-pages":"142","publisher":"SPCK","publisher-place":"London","source":"K10plus ISBN","title":"The nature of doctrine: religion and theology in a postliberal age","title-short":"The nature of doctrine","author":[{"family":"Lindbeck","given":"George A."}],"issued":{"date-parts":[["1984"]]}}}],"schema":"https://github.com/citation-style-language/schema/raw/master/csl-citation.json"} </w:instrText>
      </w:r>
      <w:r>
        <w:fldChar w:fldCharType="separate"/>
      </w:r>
      <w:r w:rsidRPr="00760392">
        <w:rPr>
          <w:rFonts w:ascii="Calibri" w:cs="Calibri"/>
        </w:rPr>
        <w:t xml:space="preserve">George A. Lindbeck, </w:t>
      </w:r>
      <w:r w:rsidRPr="00760392">
        <w:rPr>
          <w:rFonts w:ascii="Calibri" w:cs="Calibri"/>
          <w:i/>
          <w:iCs/>
        </w:rPr>
        <w:t>The Nature of Doctrine: Religion and Theology in a Postliberal Age</w:t>
      </w:r>
      <w:r w:rsidRPr="00760392">
        <w:rPr>
          <w:rFonts w:ascii="Calibri" w:cs="Calibri"/>
        </w:rPr>
        <w:t xml:space="preserve"> (London: SPCK, 1984)</w:t>
      </w:r>
      <w:r>
        <w:rPr>
          <w:rFonts w:ascii="Calibri" w:cs="Calibri"/>
        </w:rPr>
        <w:t>, 94</w:t>
      </w:r>
      <w:r w:rsidRPr="00760392">
        <w:rPr>
          <w:rFonts w:ascii="Calibri" w:cs="Calibri"/>
        </w:rPr>
        <w:t>.</w:t>
      </w:r>
      <w:r>
        <w:fldChar w:fldCharType="end"/>
      </w:r>
    </w:p>
  </w:footnote>
  <w:footnote w:id="19">
    <w:p w14:paraId="5CC510A5" w14:textId="38C9FB82" w:rsidR="00743ECF" w:rsidRDefault="00743ECF" w:rsidP="00743ECF">
      <w:pPr>
        <w:pStyle w:val="FootnoteText"/>
      </w:pPr>
      <w:r w:rsidRPr="004B77E8">
        <w:rPr>
          <w:rStyle w:val="FootnoteReference"/>
        </w:rPr>
        <w:footnoteRef/>
      </w:r>
      <w:r>
        <w:t xml:space="preserve"> </w:t>
      </w:r>
      <w:r>
        <w:fldChar w:fldCharType="begin"/>
      </w:r>
      <w:r w:rsidR="00B17F89">
        <w:instrText xml:space="preserve"> ADDIN ZOTERO_ITEM CSL_CITATION {"citationID":"OEXpzeVt","properties":{"formattedCitation":"Athanasius, {\\i{}Contra Gentes and De Incarnatione}, ed. by Robert W. Thomson, trans. by Robert W. Thomson, Oxford Early Christian Texts (Oxford: Clarendon Press, 1971).","plainCitation":"Athanasius, Contra Gentes and De Incarnatione, ed. by Robert W. Thomson, trans. by Robert W. Thomson, Oxford Early Christian Texts (Oxford: Clarendon Press, 1971).","dontUpdate":true,"noteIndex":19},"citationItems":[{"id":2381,"uris":["http://zotero.org/users/7540819/items/F2M423PY"],"itemData":{"id":2381,"type":"book","call-number":"BT1116.A82 C6 1971","collection-title":"Oxford early Christian texts","event-place":"Oxford","ISBN":"978-0-19-826801-7","language":"enggrc","number-of-pages":"288","publisher":"Clarendon Press","publisher-place":"Oxford","source":"Library of Congress ISBN","title":"Contra gentes and De incarnatione","title-short":"Contra gentes","author":[{"family":"Athanasius","given":""}],"translator":[{"family":"Thomson","given":"Robert W."}],"editor":[{"family":"Thomson","given":"Robert W."}],"issued":{"date-parts":[["1971"]]}}}],"schema":"https://github.com/citation-style-language/schema/raw/master/csl-citation.json"} </w:instrText>
      </w:r>
      <w:r>
        <w:fldChar w:fldCharType="separate"/>
      </w:r>
      <w:r w:rsidRPr="00982D39">
        <w:rPr>
          <w:rFonts w:ascii="Calibri" w:cs="Calibri"/>
        </w:rPr>
        <w:t xml:space="preserve">Athanasius, </w:t>
      </w:r>
      <w:r w:rsidRPr="00982D39">
        <w:rPr>
          <w:rFonts w:ascii="Calibri" w:cs="Calibri"/>
          <w:i/>
          <w:iCs/>
        </w:rPr>
        <w:t>Contra Gentes and De Incarnatione</w:t>
      </w:r>
      <w:r w:rsidRPr="00982D39">
        <w:rPr>
          <w:rFonts w:ascii="Calibri" w:cs="Calibri"/>
        </w:rPr>
        <w:t>, ed. by Robert W. Thomson, trans. by Robert W. Thomson, Oxford Early Christian Texts (Oxford: Clarendon Press, 1971)</w:t>
      </w:r>
      <w:r>
        <w:rPr>
          <w:rFonts w:ascii="Calibri" w:cs="Calibri"/>
        </w:rPr>
        <w:t>, 56</w:t>
      </w:r>
      <w:r w:rsidRPr="00982D39">
        <w:rPr>
          <w:rFonts w:ascii="Calibri" w:cs="Calibri"/>
        </w:rPr>
        <w:t>.</w:t>
      </w:r>
      <w:r>
        <w:fldChar w:fldCharType="end"/>
      </w:r>
    </w:p>
  </w:footnote>
  <w:footnote w:id="20">
    <w:p w14:paraId="0F1C758B" w14:textId="17FDB562" w:rsidR="00743ECF" w:rsidRDefault="00743ECF" w:rsidP="00743ECF">
      <w:pPr>
        <w:pStyle w:val="FootnoteText"/>
      </w:pPr>
      <w:r w:rsidRPr="004B77E8">
        <w:rPr>
          <w:rStyle w:val="FootnoteReference"/>
        </w:rPr>
        <w:footnoteRef/>
      </w:r>
      <w:r>
        <w:t xml:space="preserve"> </w:t>
      </w:r>
      <w:r w:rsidRPr="006969BF">
        <w:rPr>
          <w:i/>
          <w:iCs/>
        </w:rPr>
        <w:t xml:space="preserve">Letters to </w:t>
      </w:r>
      <w:proofErr w:type="spellStart"/>
      <w:r w:rsidRPr="006969BF">
        <w:rPr>
          <w:i/>
          <w:iCs/>
        </w:rPr>
        <w:t>Serapion</w:t>
      </w:r>
      <w:proofErr w:type="spellEnd"/>
      <w:r w:rsidRPr="006969BF">
        <w:rPr>
          <w:i/>
          <w:iCs/>
        </w:rPr>
        <w:t xml:space="preserve"> on the Holy Spirit (1:15-33)</w:t>
      </w:r>
      <w:r>
        <w:t xml:space="preserve"> in </w:t>
      </w:r>
      <w:r>
        <w:fldChar w:fldCharType="begin"/>
      </w:r>
      <w:r w:rsidR="00B17F89">
        <w:instrText xml:space="preserve"> ADDIN ZOTERO_ITEM CSL_CITATION {"citationID":"dL7t8ENK","properties":{"formattedCitation":"Khaled Anatolios, {\\i{}Athanasius}, The Early Church Fathers (New York: Routledge, 2004).","plainCitation":"Khaled Anatolios, Athanasius, The Early Church Fathers (New York: Routledge, 2004).","dontUpdate":true,"noteIndex":20},"citationItems":[{"id":2464,"uris":["http://zotero.org/users/7540819/items/QDG7F6TL"],"itemData":{"id":2464,"type":"book","call-number":"BR1720.A7 A53 2004","collection-title":"The early church fathers","event-place":"New York","ISBN":"978-0-415-20202-2","number-of-pages":"293","publisher":"Routledge","publisher-place":"New York","source":"Library of Congress ISBN","title":"Athanasius","author":[{"family":"Anatolios","given":"Khaled"}],"issued":{"date-parts":[["2004"]]}}}],"schema":"https://github.com/citation-style-language/schema/raw/master/csl-citation.json"} </w:instrText>
      </w:r>
      <w:r>
        <w:fldChar w:fldCharType="separate"/>
      </w:r>
      <w:r w:rsidRPr="006969BF">
        <w:rPr>
          <w:rFonts w:ascii="Calibri" w:cs="Calibri"/>
        </w:rPr>
        <w:t xml:space="preserve">Khaled Anatolios, </w:t>
      </w:r>
      <w:r w:rsidRPr="006969BF">
        <w:rPr>
          <w:rFonts w:ascii="Calibri" w:cs="Calibri"/>
          <w:i/>
          <w:iCs/>
        </w:rPr>
        <w:t>Athanasius</w:t>
      </w:r>
      <w:r w:rsidRPr="006969BF">
        <w:rPr>
          <w:rFonts w:ascii="Calibri" w:cs="Calibri"/>
        </w:rPr>
        <w:t>, The Early Church Fathers (New York: Routledge, 2004)</w:t>
      </w:r>
      <w:r>
        <w:rPr>
          <w:rFonts w:ascii="Calibri" w:cs="Calibri"/>
        </w:rPr>
        <w:t>, 219</w:t>
      </w:r>
      <w:r w:rsidRPr="006969BF">
        <w:rPr>
          <w:rFonts w:ascii="Calibri" w:cs="Calibri"/>
        </w:rPr>
        <w:t>.</w:t>
      </w:r>
      <w:r>
        <w:fldChar w:fldCharType="end"/>
      </w:r>
      <w:r>
        <w:t xml:space="preserve"> </w:t>
      </w:r>
    </w:p>
  </w:footnote>
  <w:footnote w:id="21">
    <w:p w14:paraId="62324CE0" w14:textId="2AFBC99B" w:rsidR="00294051" w:rsidRDefault="00294051" w:rsidP="00294051">
      <w:pPr>
        <w:pStyle w:val="FootnoteText"/>
      </w:pPr>
      <w:r w:rsidRPr="004B77E8">
        <w:rPr>
          <w:rStyle w:val="FootnoteReference"/>
        </w:rPr>
        <w:footnoteRef/>
      </w:r>
      <w:r>
        <w:t xml:space="preserve"> Cf. Ralph del Colle in </w:t>
      </w:r>
      <w:r>
        <w:fldChar w:fldCharType="begin"/>
      </w:r>
      <w:r w:rsidR="00B17F89">
        <w:instrText xml:space="preserve"> ADDIN ZOTERO_ITEM CSL_CITATION {"citationID":"OuWCRM27","properties":{"formattedCitation":"Gunton.","plainCitation":"Gunton.","dontUpdate":true,"noteIndex":21},"citationItems":[{"id":2358,"uris":["http://zotero.org/users/7540819/items/2SDT7V9E"],"itemData":{"id":2358,"type":"book","call-number":"BT80 .C29 1997","collection-title":"Cambridge companions to religion","event-place":"Cambridge [England] ; New York","ISBN":"978-0-521-47118-3","number-of-pages":"307","publisher":"Cambridge University Press","publisher-place":"Cambridge [England] ; New York","source":"Library of Congress ISBN","title":"The Cambridge companion to Christian doctrine","editor":[{"family":"Gunton","given":"Colin E."}],"issued":{"date-parts":[["1997"]]}}}],"schema":"https://github.com/citation-style-language/schema/raw/master/csl-citation.json"} </w:instrText>
      </w:r>
      <w:r>
        <w:fldChar w:fldCharType="separate"/>
      </w:r>
      <w:r>
        <w:rPr>
          <w:noProof/>
        </w:rPr>
        <w:t>Gunton, 124-125.</w:t>
      </w:r>
      <w:r>
        <w:fldChar w:fldCharType="end"/>
      </w:r>
    </w:p>
  </w:footnote>
  <w:footnote w:id="22">
    <w:p w14:paraId="3EBC2530" w14:textId="77777777" w:rsidR="00294051" w:rsidRDefault="00294051" w:rsidP="00294051">
      <w:pPr>
        <w:pStyle w:val="FootnoteText"/>
      </w:pPr>
      <w:r w:rsidRPr="004B77E8">
        <w:rPr>
          <w:rStyle w:val="FootnoteReference"/>
        </w:rPr>
        <w:footnoteRef/>
      </w:r>
      <w:r>
        <w:t xml:space="preserve"> Cf. John 10:38 (“</w:t>
      </w:r>
      <w:r>
        <w:rPr>
          <w:rFonts w:ascii="Segoe UI" w:hAnsi="Segoe UI" w:cs="Segoe UI"/>
          <w:color w:val="000000"/>
          <w:shd w:val="clear" w:color="auto" w:fill="FFFFFF"/>
        </w:rPr>
        <w:t>believe the works, that you may know and understand that the Father is in me, and I in the Father”); 14:10-11 (“</w:t>
      </w:r>
      <w:r>
        <w:rPr>
          <w:rStyle w:val="woj"/>
          <w:rFonts w:ascii="Segoe UI" w:hAnsi="Segoe UI" w:cs="Segoe UI"/>
          <w:color w:val="000000"/>
        </w:rPr>
        <w:t>it is the Father, living in me, who is doing his work.</w:t>
      </w:r>
      <w:r>
        <w:rPr>
          <w:rStyle w:val="apple-converted-space"/>
          <w:rFonts w:ascii="Segoe UI" w:hAnsi="Segoe UI" w:cs="Segoe UI"/>
          <w:color w:val="000000"/>
          <w:shd w:val="clear" w:color="auto" w:fill="FFFFFF"/>
        </w:rPr>
        <w:t xml:space="preserve"> </w:t>
      </w:r>
      <w:r>
        <w:rPr>
          <w:rStyle w:val="woj"/>
          <w:rFonts w:ascii="Segoe UI" w:hAnsi="Segoe UI" w:cs="Segoe UI"/>
          <w:color w:val="000000"/>
        </w:rPr>
        <w:t>Believe me when I say that I am in the Father and the Father is in me; or at least believe on the evidence of the works themselves.”) and 17:21 (“</w:t>
      </w:r>
      <w:r>
        <w:rPr>
          <w:rFonts w:ascii="Segoe UI" w:hAnsi="Segoe UI" w:cs="Segoe UI"/>
          <w:b/>
          <w:bCs/>
          <w:color w:val="000000"/>
          <w:vertAlign w:val="superscript"/>
        </w:rPr>
        <w:t> </w:t>
      </w:r>
      <w:r>
        <w:rPr>
          <w:rFonts w:ascii="Segoe UI" w:hAnsi="Segoe UI" w:cs="Segoe UI"/>
          <w:color w:val="000000"/>
          <w:shd w:val="clear" w:color="auto" w:fill="FFFFFF"/>
        </w:rPr>
        <w:t>that all of them may be one,</w:t>
      </w:r>
      <w:r>
        <w:rPr>
          <w:rStyle w:val="apple-converted-space"/>
          <w:rFonts w:ascii="Segoe UI" w:hAnsi="Segoe UI" w:cs="Segoe UI"/>
          <w:color w:val="000000"/>
          <w:shd w:val="clear" w:color="auto" w:fill="FFFFFF"/>
        </w:rPr>
        <w:t> </w:t>
      </w:r>
      <w:r>
        <w:rPr>
          <w:rFonts w:ascii="Segoe UI" w:hAnsi="Segoe UI" w:cs="Segoe UI"/>
          <w:color w:val="000000"/>
          <w:shd w:val="clear" w:color="auto" w:fill="FFFFFF"/>
        </w:rPr>
        <w:t>Father, just as you are in me and I am in you.</w:t>
      </w:r>
      <w:r>
        <w:rPr>
          <w:rStyle w:val="apple-converted-space"/>
          <w:rFonts w:ascii="Segoe UI" w:hAnsi="Segoe UI" w:cs="Segoe UI"/>
          <w:color w:val="000000"/>
          <w:shd w:val="clear" w:color="auto" w:fill="FFFFFF"/>
        </w:rPr>
        <w:t> </w:t>
      </w:r>
      <w:r>
        <w:rPr>
          <w:rFonts w:ascii="Segoe UI" w:hAnsi="Segoe UI" w:cs="Segoe UI"/>
          <w:color w:val="000000"/>
          <w:shd w:val="clear" w:color="auto" w:fill="FFFFFF"/>
        </w:rPr>
        <w:t>May they also be in us so that the world may believe that you have sent me.”</w:t>
      </w:r>
    </w:p>
  </w:footnote>
  <w:footnote w:id="23">
    <w:p w14:paraId="386B3CCE" w14:textId="389324D8" w:rsidR="00153140" w:rsidRDefault="00153140" w:rsidP="00153140">
      <w:pPr>
        <w:pStyle w:val="FootnoteText"/>
      </w:pPr>
      <w:r w:rsidRPr="004B77E8">
        <w:rPr>
          <w:rStyle w:val="FootnoteReference"/>
        </w:rPr>
        <w:footnoteRef/>
      </w:r>
      <w:r>
        <w:t xml:space="preserve"> Cf. also </w:t>
      </w:r>
      <w:r>
        <w:fldChar w:fldCharType="begin"/>
      </w:r>
      <w:r w:rsidR="00B17F89">
        <w:instrText xml:space="preserve"> ADDIN ZOTERO_ITEM CSL_CITATION {"citationID":"R8bhaFbd","properties":{"formattedCitation":"Thomas Forsyth) Torrance, \\uc0\\u8216{}The Doctrine of the Holy Trinity According to St Athanasius\\uc0\\u8217{}, {\\i{}Anglican Theological Review}, 71.4 (1989), 395\\uc0\\u8211{}405.","plainCitation":"Thomas Forsyth) Torrance, ‘The Doctrine of the Holy Trinity According to St Athanasius’, Anglican Theological Review, 71.4 (1989), 395–405.","dontUpdate":true,"noteIndex":23},"citationItems":[{"id":2299,"uris":["http://zotero.org/users/7540819/items/L99GGTKM"],"itemData":{"id":2299,"type":"article-journal","archive":"Atla Religion Database with AtlaSerials","container-title":"Anglican Theological Review","ISSN":"0003-3286","issue":"4","journalAbbreviation":"Anglican Theological Review","page":"395-405","source":"EBSCOhost","title":"The doctrine of the Holy Trinity according to St Athanasius","volume":"71","author":[{"family":"Torrance","given":"Thomas Forsyth"}],"issued":{"date-parts":[["1989"]]}}}],"schema":"https://github.com/citation-style-language/schema/raw/master/csl-citation.json"} </w:instrText>
      </w:r>
      <w:r>
        <w:fldChar w:fldCharType="separate"/>
      </w:r>
      <w:r w:rsidRPr="00C91254">
        <w:rPr>
          <w:rFonts w:ascii="Calibri" w:cs="Calibri"/>
        </w:rPr>
        <w:t xml:space="preserve">Thomas Forsyth Torrance, ‘The Doctrine of the Holy Trinity According to St Athanasius’, </w:t>
      </w:r>
      <w:r w:rsidRPr="00C91254">
        <w:rPr>
          <w:rFonts w:ascii="Calibri" w:cs="Calibri"/>
          <w:i/>
          <w:iCs/>
        </w:rPr>
        <w:t>Anglican Theological Review</w:t>
      </w:r>
      <w:r w:rsidRPr="00C91254">
        <w:rPr>
          <w:rFonts w:ascii="Calibri" w:cs="Calibri"/>
        </w:rPr>
        <w:t>, 71.4 (1989), 39</w:t>
      </w:r>
      <w:r>
        <w:rPr>
          <w:rFonts w:ascii="Calibri" w:cs="Calibri"/>
        </w:rPr>
        <w:t>7</w:t>
      </w:r>
      <w:r w:rsidRPr="00C91254">
        <w:rPr>
          <w:rFonts w:ascii="Calibri" w:cs="Calibri"/>
        </w:rPr>
        <w:t>.</w:t>
      </w:r>
      <w:r>
        <w:fldChar w:fldCharType="end"/>
      </w:r>
    </w:p>
  </w:footnote>
  <w:footnote w:id="24">
    <w:p w14:paraId="05088547" w14:textId="0B9AECE2" w:rsidR="00153140" w:rsidRDefault="00153140" w:rsidP="00153140">
      <w:pPr>
        <w:pStyle w:val="FootnoteText"/>
      </w:pPr>
      <w:r w:rsidRPr="004B77E8">
        <w:rPr>
          <w:rStyle w:val="FootnoteReference"/>
        </w:rPr>
        <w:footnoteRef/>
      </w:r>
      <w:r>
        <w:t xml:space="preserve"> </w:t>
      </w:r>
      <w:r>
        <w:fldChar w:fldCharType="begin"/>
      </w:r>
      <w:r w:rsidR="00B17F89">
        <w:instrText xml:space="preserve"> ADDIN ZOTERO_ITEM CSL_CITATION {"citationID":"jwrLqSMS","properties":{"formattedCitation":"Athanasius, \\uc0\\u8216{}On the Incarnation of the Word\\uc0\\u8217{}.","plainCitation":"Athanasius, ‘On the Incarnation of the Word’.","dontUpdate":true,"noteIndex":24},"citationItems":[{"id":2401,"uris":["http://zotero.org/users/7540819/items/8SFSSVVT"],"itemData":{"id":2401,"type":"webpage","title":"On the Incarnation of the Word","URL":"https://ccel.org/ccel/a/athanasius/incarnation/cache/incarnation.txt","author":[{"family":"Athanasius","given":""}],"accessed":{"date-parts":[["2023",3,2]]}}}],"schema":"https://github.com/citation-style-language/schema/raw/master/csl-citation.json"} </w:instrText>
      </w:r>
      <w:r>
        <w:fldChar w:fldCharType="separate"/>
      </w:r>
      <w:r w:rsidRPr="00982D39">
        <w:rPr>
          <w:rFonts w:ascii="Calibri" w:cs="Calibri"/>
        </w:rPr>
        <w:t>Athanasius, ‘On the Incarnation of the Word’</w:t>
      </w:r>
      <w:r>
        <w:rPr>
          <w:rFonts w:ascii="Calibri" w:cs="Calibri"/>
        </w:rPr>
        <w:t>, 9.56</w:t>
      </w:r>
      <w:r w:rsidRPr="00982D39">
        <w:rPr>
          <w:rFonts w:ascii="Calibri" w:cs="Calibri"/>
        </w:rPr>
        <w:t>.</w:t>
      </w:r>
      <w:r>
        <w:fldChar w:fldCharType="end"/>
      </w:r>
    </w:p>
  </w:footnote>
  <w:footnote w:id="25">
    <w:p w14:paraId="506E4E86" w14:textId="48935F8C" w:rsidR="004672F3" w:rsidRDefault="004672F3" w:rsidP="004672F3">
      <w:pPr>
        <w:pStyle w:val="FootnoteText"/>
      </w:pPr>
      <w:r w:rsidRPr="004B77E8">
        <w:rPr>
          <w:rStyle w:val="FootnoteReference"/>
        </w:rPr>
        <w:footnoteRef/>
      </w:r>
      <w:r>
        <w:t xml:space="preserve"> </w:t>
      </w:r>
      <w:r>
        <w:fldChar w:fldCharType="begin"/>
      </w:r>
      <w:r w:rsidR="00B17F89">
        <w:instrText xml:space="preserve"> ADDIN ZOTERO_ITEM CSL_CITATION {"citationID":"XfcsVOa0","properties":{"formattedCitation":"J\\uc0\\u252{}rgen. Moltmann, John. Bowden, and Richard Armstrong. Wilson, {\\i{}The Crucified God\\uc0\\u8239{}: The Cross of Christ as the Foundation and Criticism of Christian Theology} (London: S.C.M. Press, 1974).","plainCitation":"Jürgen. Moltmann, John. Bowden, and Richard Armstrong. Wilson, The Crucified God : The Cross of Christ as the Foundation and Criticism of Christian Theology (London: S.C.M. Press, 1974).","noteIndex":25},"citationItems":[{"id":2471,"uris":["http://zotero.org/users/7540819/items/VUUIMH8H"],"itemData":{"id":2471,"type":"book","event-place":"London","publisher":"S.C.M. Press","publisher-place":"London","title":"The crucified God : the Cross of Christ as the foundation and criticism of Christian theology","author":[{"family":"Moltmann","given":"Jürgen."},{"family":"Bowden","given":"John."},{"family":"Wilson","given":"Richard Armstrong."}],"issued":{"date-parts":[["1974"]]}}}],"schema":"https://github.com/citation-style-language/schema/raw/master/csl-citation.json"} </w:instrText>
      </w:r>
      <w:r>
        <w:fldChar w:fldCharType="separate"/>
      </w:r>
      <w:r w:rsidRPr="00D4388A">
        <w:rPr>
          <w:rFonts w:ascii="Calibri" w:cs="Calibri"/>
        </w:rPr>
        <w:t xml:space="preserve">Jürgen. Moltmann, John. Bowden, and Richard Armstrong. Wilson, </w:t>
      </w:r>
      <w:r w:rsidRPr="00D4388A">
        <w:rPr>
          <w:rFonts w:ascii="Calibri" w:cs="Calibri"/>
          <w:i/>
          <w:iCs/>
        </w:rPr>
        <w:t>The Crucified God : The Cross of Christ as the Foundation and Criticism of Christian Theology</w:t>
      </w:r>
      <w:r w:rsidRPr="00D4388A">
        <w:rPr>
          <w:rFonts w:ascii="Calibri" w:cs="Calibri"/>
        </w:rPr>
        <w:t xml:space="preserve"> (London: S.C.M. Press, 1974).</w:t>
      </w:r>
      <w:r>
        <w:fldChar w:fldCharType="end"/>
      </w:r>
    </w:p>
  </w:footnote>
  <w:footnote w:id="26">
    <w:p w14:paraId="32C74F16" w14:textId="514E3DB8" w:rsidR="004672F3" w:rsidRDefault="004672F3" w:rsidP="004672F3">
      <w:pPr>
        <w:pStyle w:val="FootnoteText"/>
      </w:pPr>
      <w:r w:rsidRPr="004B77E8">
        <w:rPr>
          <w:rStyle w:val="FootnoteReference"/>
        </w:rPr>
        <w:footnoteRef/>
      </w:r>
      <w:r>
        <w:t xml:space="preserve"> </w:t>
      </w:r>
      <w:r>
        <w:fldChar w:fldCharType="begin"/>
      </w:r>
      <w:r w:rsidR="00B17F89">
        <w:instrText xml:space="preserve"> ADDIN ZOTERO_ITEM CSL_CITATION {"citationID":"za1MVg6f","properties":{"formattedCitation":"Wolfhart Pannenberg, {\\i{}Jesus, God and Man} (Philadelphia, Westminster Press, 1968) &lt;http://archive.org/details/jesusgodman0000pann&gt; [accessed 14 March 2023].","plainCitation":"Wolfhart Pannenberg, Jesus, God and Man (Philadelphia, Westminster Press, 1968) &lt;http://archive.org/details/jesusgodman0000pann&gt; [accessed 14 March 2023].","dontUpdate":true,"noteIndex":26},"citationItems":[{"id":2473,"uris":["http://zotero.org/users/7540819/items/ZUWUJU6S"],"itemData":{"id":2473,"type":"book","abstract":"415 pages 24 cm; Translation of Grundzüge der Christologie; Includes bibliographical references; The starting point -- Christology and soteriology -- pt. 1: The knowledge of Jesus' divinity -- Jesus' resurrection as the ground of his unity with God -- Jesus' divinity in relation to the Father's divinity -- pt. 2: Jesus the man before God -- The true man -- The office of Jesus -- The meaning of Jesus' vicarious death on the cross -- pt. 3: The divinity of Christ and the man Jesus -- The impasse of the doctrine of the two natures -- Jesus' personal unity with God -- The Lordship of Jesus Christ","language":"eng","number-of-pages":"432","publisher":"Philadelphia, Westminster Press","source":"Internet Archive","title":"Jesus, God and man","URL":"http://archive.org/details/jesusgodman0000pann","author":[{"family":"Pannenberg","given":"Wolfhart"}],"contributor":[{"literal":"Internet Archive"}],"accessed":{"date-parts":[["2023",3,14]]},"issued":{"date-parts":[["1968"]]}}}],"schema":"https://github.com/citation-style-language/schema/raw/master/csl-citation.json"} </w:instrText>
      </w:r>
      <w:r>
        <w:fldChar w:fldCharType="separate"/>
      </w:r>
      <w:r w:rsidRPr="00FE06E2">
        <w:rPr>
          <w:rFonts w:ascii="Calibri" w:cs="Calibri"/>
        </w:rPr>
        <w:t xml:space="preserve">Wolfhart Pannenberg, </w:t>
      </w:r>
      <w:r w:rsidRPr="00FE06E2">
        <w:rPr>
          <w:rFonts w:ascii="Calibri" w:cs="Calibri"/>
          <w:i/>
          <w:iCs/>
        </w:rPr>
        <w:t>Jesus, God and Man</w:t>
      </w:r>
      <w:r w:rsidRPr="00FE06E2">
        <w:rPr>
          <w:rFonts w:ascii="Calibri" w:cs="Calibri"/>
        </w:rPr>
        <w:t xml:space="preserve"> (Philadelphia, Westminster Press, 1968)</w:t>
      </w:r>
      <w:r w:rsidR="00BF5034">
        <w:rPr>
          <w:rFonts w:ascii="Calibri" w:cs="Calibri"/>
        </w:rPr>
        <w:t>,</w:t>
      </w:r>
      <w:r w:rsidRPr="00FE06E2">
        <w:rPr>
          <w:rFonts w:ascii="Calibri" w:cs="Calibri"/>
        </w:rPr>
        <w:t xml:space="preserve"> </w:t>
      </w:r>
      <w:r w:rsidR="00BF5034">
        <w:rPr>
          <w:rFonts w:ascii="Calibri" w:cs="Calibri"/>
        </w:rPr>
        <w:t>69, 129-130</w:t>
      </w:r>
      <w:r w:rsidR="00BF5034" w:rsidRPr="00FE06E2">
        <w:rPr>
          <w:rFonts w:ascii="Calibri" w:cs="Calibri"/>
        </w:rPr>
        <w:t>.</w:t>
      </w:r>
      <w:r w:rsidRPr="00FE06E2">
        <w:rPr>
          <w:rFonts w:ascii="Calibri" w:cs="Calibri"/>
        </w:rPr>
        <w:t>&lt;http://archive.org/details/jesusgodman0000pann&gt; [accessed 14 March 2023]</w:t>
      </w:r>
      <w:r w:rsidR="00BF5034">
        <w:rPr>
          <w:rFonts w:ascii="Calibri" w:cs="Calibri"/>
        </w:rPr>
        <w:t>.</w:t>
      </w:r>
      <w:r>
        <w:rPr>
          <w:rFonts w:ascii="Calibri" w:cs="Calibri"/>
        </w:rPr>
        <w:t xml:space="preserve"> </w:t>
      </w:r>
      <w:r>
        <w:fldChar w:fldCharType="end"/>
      </w:r>
    </w:p>
  </w:footnote>
  <w:footnote w:id="27">
    <w:p w14:paraId="2331C1C1" w14:textId="351F4A65" w:rsidR="004672F3" w:rsidRDefault="004672F3" w:rsidP="004672F3">
      <w:pPr>
        <w:pStyle w:val="FootnoteText"/>
      </w:pPr>
      <w:r w:rsidRPr="004B77E8">
        <w:rPr>
          <w:rStyle w:val="FootnoteReference"/>
        </w:rPr>
        <w:footnoteRef/>
      </w:r>
      <w:r>
        <w:t xml:space="preserve"> </w:t>
      </w:r>
      <w:r>
        <w:fldChar w:fldCharType="begin"/>
      </w:r>
      <w:r w:rsidR="00120C5C">
        <w:instrText xml:space="preserve"> ADDIN ZOTERO_ITEM CSL_CITATION {"citationID":"MBe61mVs","properties":{"formattedCitation":"Barth.","plainCitation":"Barth.","dontUpdate":true,"noteIndex":27},"citationItems":[{"id":1617,"uris":["http://zotero.org/users/7540819/items/X5DCWEN8"],"itemData":{"id":1617,"type":"book","event-place":"Peabody, Mass.","ISBN":"978-1-59856-442-6","language":"English","note":"OCLC: 607975743","publisher":"Hendrickson Publishers","publisher-place":"Peabody, Mass.","source":"Open WorldCat","title":"Church dogmatics","author":[{"family":"Barth","given":"Karl"}],"editor":[{"family":"Bromiley","given":"G. W"},{"family":"Torrance","given":"Thomas F"}],"issued":{"date-parts":[["2010"]]}}}],"schema":"https://github.com/citation-style-language/schema/raw/master/csl-citation.json"} </w:instrText>
      </w:r>
      <w:r>
        <w:fldChar w:fldCharType="separate"/>
      </w:r>
      <w:r>
        <w:rPr>
          <w:noProof/>
        </w:rPr>
        <w:t>Barth, 295.</w:t>
      </w:r>
      <w:r>
        <w:fldChar w:fldCharType="end"/>
      </w:r>
    </w:p>
  </w:footnote>
  <w:footnote w:id="28">
    <w:p w14:paraId="46E2DCE2" w14:textId="1FF73DE4" w:rsidR="004672F3" w:rsidRDefault="004672F3" w:rsidP="004672F3">
      <w:pPr>
        <w:pStyle w:val="FootnoteText"/>
      </w:pPr>
      <w:r w:rsidRPr="004B77E8">
        <w:rPr>
          <w:rStyle w:val="FootnoteReference"/>
        </w:rPr>
        <w:footnoteRef/>
      </w:r>
      <w:r>
        <w:t xml:space="preserve"> </w:t>
      </w:r>
      <w:r>
        <w:fldChar w:fldCharType="begin"/>
      </w:r>
      <w:r w:rsidR="00120C5C">
        <w:instrText xml:space="preserve"> ADDIN ZOTERO_ITEM CSL_CITATION {"citationID":"uiD6DyFG","properties":{"formattedCitation":"Karl Barth, {\\i{}Church Dogmatics}, ed. by G. W Bromiley and Thomas F Torrance (Peabody, Mass.: Hendrickson Publishers, 2010).","plainCitation":"Karl Barth, Church Dogmatics, ed. by G. W Bromiley and Thomas F Torrance (Peabody, Mass.: Hendrickson Publishers, 2010).","dontUpdate":true,"noteIndex":28},"citationItems":[{"id":1617,"uris":["http://zotero.org/users/7540819/items/X5DCWEN8"],"itemData":{"id":1617,"type":"book","event-place":"Peabody, Mass.","ISBN":"978-1-59856-442-6","language":"English","note":"OCLC: 607975743","publisher":"Hendrickson Publishers","publisher-place":"Peabody, Mass.","source":"Open WorldCat","title":"Church dogmatics","author":[{"family":"Barth","given":"Karl"}],"editor":[{"family":"Bromiley","given":"G. W"},{"family":"Torrance","given":"Thomas F"}],"issued":{"date-parts":[["2010"]]}}}],"schema":"https://github.com/citation-style-language/schema/raw/master/csl-citation.json"} </w:instrText>
      </w:r>
      <w:r>
        <w:fldChar w:fldCharType="separate"/>
      </w:r>
      <w:r w:rsidRPr="00C53B74">
        <w:rPr>
          <w:rFonts w:ascii="Calibri" w:cs="Calibri"/>
        </w:rPr>
        <w:t xml:space="preserve">Karl Barth, </w:t>
      </w:r>
      <w:r w:rsidRPr="00C53B74">
        <w:rPr>
          <w:rFonts w:ascii="Calibri" w:cs="Calibri"/>
          <w:i/>
          <w:iCs/>
        </w:rPr>
        <w:t>Church Dogmatics</w:t>
      </w:r>
      <w:r w:rsidRPr="00C53B74">
        <w:rPr>
          <w:rFonts w:ascii="Calibri" w:cs="Calibri"/>
        </w:rPr>
        <w:t>, ed. by G. W Bromiley and Thomas F Torrance (Peabody, Mass.: Hendrickson Publishers, 2010)</w:t>
      </w:r>
      <w:r>
        <w:rPr>
          <w:rFonts w:ascii="Calibri" w:cs="Calibri"/>
        </w:rPr>
        <w:t>, 293</w:t>
      </w:r>
      <w:r w:rsidRPr="00C53B74">
        <w:rPr>
          <w:rFonts w:ascii="Calibri" w:cs="Calibri"/>
        </w:rPr>
        <w:t>.</w:t>
      </w:r>
      <w:r>
        <w:fldChar w:fldCharType="end"/>
      </w:r>
    </w:p>
  </w:footnote>
  <w:footnote w:id="29">
    <w:p w14:paraId="752308FE" w14:textId="1F0ED837" w:rsidR="001B22D2" w:rsidRDefault="001B22D2" w:rsidP="001B22D2">
      <w:pPr>
        <w:pStyle w:val="FootnoteText"/>
      </w:pPr>
      <w:r w:rsidRPr="004B77E8">
        <w:rPr>
          <w:rStyle w:val="FootnoteReference"/>
        </w:rPr>
        <w:footnoteRef/>
      </w:r>
      <w:r>
        <w:t xml:space="preserve"> </w:t>
      </w:r>
      <w:r>
        <w:fldChar w:fldCharType="begin"/>
      </w:r>
      <w:r w:rsidR="00120C5C">
        <w:instrText xml:space="preserve"> ADDIN ZOTERO_ITEM CSL_CITATION {"citationID":"bgUXlltk","properties":{"formattedCitation":"{\\i{}Documents of the Christian Church}, ed. by Henry Bettenson and Chris Maunder, 4th ed. / edited by Chris Maunder (Oxford\\uc0\\u8239{}; New York: Oxford University Press, 2011).","plainCitation":"Documents of the Christian Church, ed. by Henry Bettenson and Chris Maunder, 4th ed. / edited by Chris Maunder (Oxford ; New York: Oxford University Press, 2011).","dontUpdate":true,"noteIndex":29},"citationItems":[{"id":2434,"uris":["http://zotero.org/users/7540819/items/Q28MSHTL"],"itemData":{"id":2434,"type":"book","call-number":"BR141 .D63 2011","edition":"4th ed. / edited by Chris Maunder","event-place":"Oxford ; New York","ISBN":"978-0-19-956898-7","number-of-pages":"529","publisher":"Oxford University Press","publisher-place":"Oxford ; New York","source":"Library of Congress ISBN","title":"Documents of the Christian church","editor":[{"family":"Bettenson","given":"Henry"},{"family":"Maunder","given":"Chris"}],"issued":{"date-parts":[["2011"]]}}}],"schema":"https://github.com/citation-style-language/schema/raw/master/csl-citation.json"} </w:instrText>
      </w:r>
      <w:r>
        <w:fldChar w:fldCharType="separate"/>
      </w:r>
      <w:r w:rsidRPr="002D308D">
        <w:rPr>
          <w:rFonts w:ascii="Calibri" w:cs="Calibri"/>
          <w:i/>
          <w:iCs/>
        </w:rPr>
        <w:t>Documents of the Christian Church</w:t>
      </w:r>
      <w:r w:rsidRPr="002D308D">
        <w:rPr>
          <w:rFonts w:ascii="Calibri" w:cs="Calibri"/>
        </w:rPr>
        <w:t>, ed. by Henry Bettenson and Chris Maunder, 4th ed. / edited by Chris Maunder (Oxford ; New York: Oxford University Press, 2011)</w:t>
      </w:r>
      <w:r>
        <w:rPr>
          <w:rFonts w:ascii="Calibri" w:cs="Calibri"/>
        </w:rPr>
        <w:t>,</w:t>
      </w:r>
      <w:r w:rsidR="00BF5034">
        <w:rPr>
          <w:rFonts w:ascii="Calibri" w:cs="Calibri"/>
        </w:rPr>
        <w:t xml:space="preserve"> </w:t>
      </w:r>
      <w:r>
        <w:rPr>
          <w:rFonts w:ascii="Calibri" w:cs="Calibri"/>
        </w:rPr>
        <w:t>27-29</w:t>
      </w:r>
      <w:r w:rsidRPr="002D308D">
        <w:rPr>
          <w:rFonts w:ascii="Calibri" w:cs="Calibri"/>
        </w:rPr>
        <w:t>.</w:t>
      </w:r>
      <w:r>
        <w:fldChar w:fldCharType="end"/>
      </w:r>
    </w:p>
  </w:footnote>
  <w:footnote w:id="30">
    <w:p w14:paraId="77BA0AE3" w14:textId="76090717" w:rsidR="00ED5665" w:rsidRDefault="00ED5665">
      <w:pPr>
        <w:pStyle w:val="FootnoteText"/>
      </w:pPr>
      <w:r w:rsidRPr="004B77E8">
        <w:rPr>
          <w:rStyle w:val="FootnoteReference"/>
        </w:rPr>
        <w:footnoteRef/>
      </w:r>
      <w:r>
        <w:t xml:space="preserve"> </w:t>
      </w:r>
      <w:r w:rsidR="00CC721F">
        <w:t xml:space="preserve">Con. Ar. 3.15 in </w:t>
      </w:r>
      <w:r>
        <w:fldChar w:fldCharType="begin"/>
      </w:r>
      <w:r w:rsidR="00B17F89">
        <w:instrText xml:space="preserve"> ADDIN ZOTERO_ITEM CSL_CITATION {"citationID":"YQlW6Nqr","properties":{"formattedCitation":"\\uc0\\u8216{}Philip Schaff: NPNF2-04. Athanasius: Select Works and Letters - Christian Classics Ethereal Library\\uc0\\u8217{} &lt;https://ccel.org/ccel/schaff/npnf204/npnf204.xxi.ii.iv.iii.html&gt; [accessed 14 March 2023].","plainCitation":"‘Philip Schaff: NPNF2-04. Athanasius: Select Works and Letters - Christian Classics Ethereal Library’ &lt;https://ccel.org/ccel/schaff/npnf204/npnf204.xxi.ii.iv.iii.html&gt; [accessed 14 March 2023].","noteIndex":30},"citationItems":[{"id":2469,"uris":["http://zotero.org/users/7540819/items/66SDG5NP"],"itemData":{"id":2469,"type":"webpage","title":"Philip Schaff: NPNF2-04. Athanasius: Select Works and Letters - Christian Classics Ethereal Library","URL":"https://ccel.org/ccel/schaff/npnf204/npnf204.xxi.ii.iv.iii.html","accessed":{"date-parts":[["2023",3,14]]}}}],"schema":"https://github.com/citation-style-language/schema/raw/master/csl-citation.json"} </w:instrText>
      </w:r>
      <w:r>
        <w:fldChar w:fldCharType="separate"/>
      </w:r>
      <w:r w:rsidR="00517D5B" w:rsidRPr="00517D5B">
        <w:rPr>
          <w:rFonts w:ascii="Calibri" w:cs="Calibri"/>
        </w:rPr>
        <w:t>‘Philip Schaff: NPNF2-04. Athanasius: Select Works and Letters - Christian Classics Ethereal Library’ &lt;https://ccel.org/ccel/schaff/npnf204/npnf204.xxi.ii.iv.iii.html&gt; [accessed 14 March 2023].</w:t>
      </w:r>
      <w:r>
        <w:fldChar w:fldCharType="end"/>
      </w:r>
    </w:p>
  </w:footnote>
  <w:footnote w:id="31">
    <w:p w14:paraId="08CB1799" w14:textId="2D258D86" w:rsidR="00FE06E2" w:rsidRDefault="00FE06E2">
      <w:pPr>
        <w:pStyle w:val="FootnoteText"/>
      </w:pPr>
      <w:r w:rsidRPr="004B77E8">
        <w:rPr>
          <w:rStyle w:val="FootnoteReference"/>
        </w:rPr>
        <w:footnoteRef/>
      </w:r>
      <w:r>
        <w:t xml:space="preserve"> </w:t>
      </w:r>
      <w:r>
        <w:fldChar w:fldCharType="begin"/>
      </w:r>
      <w:r w:rsidR="00120C5C">
        <w:instrText xml:space="preserve"> ADDIN ZOTERO_ITEM CSL_CITATION {"citationID":"pBjetfGa","properties":{"formattedCitation":"Thomas Forsyth Torrance, \\uc0\\u8216{}The Doctrine of the Holy Trinity According to St Athanasius\\uc0\\u8217{}, {\\i{}Anglican Theological Review}, 71.4 (1989), 395\\uc0\\u8211{}405.","plainCitation":"Thomas Forsyth Torrance, ‘The Doctrine of the Holy Trinity According to St Athanasius’, Anglican Theological Review, 71.4 (1989), 395–405.","dontUpdate":true,"noteIndex":31},"citationItems":[{"id":2299,"uris":["http://zotero.org/users/7540819/items/L99GGTKM"],"itemData":{"id":2299,"type":"article-journal","archive":"Atla Religion Database with AtlaSerials","container-title":"Anglican Theological Review","ISSN":"0003-3286","issue":"4","journalAbbreviation":"Anglican Theological Review","page":"395-405","source":"EBSCOhost","title":"The doctrine of the Holy Trinity according to St Athanasius","volume":"71","author":[{"family":"Torrance","given":"Thomas Forsyth"}],"issued":{"date-parts":[["1989"]]}}}],"schema":"https://github.com/citation-style-language/schema/raw/master/csl-citation.json"} </w:instrText>
      </w:r>
      <w:r>
        <w:fldChar w:fldCharType="separate"/>
      </w:r>
      <w:r w:rsidR="004672F3" w:rsidRPr="004672F3">
        <w:rPr>
          <w:rFonts w:ascii="Calibri" w:cs="Calibri"/>
        </w:rPr>
        <w:t xml:space="preserve">Thomas Forsyth Torrance, ‘The Doctrine of the Holy Trinity According to St Athanasius’, </w:t>
      </w:r>
      <w:r w:rsidR="004672F3" w:rsidRPr="004672F3">
        <w:rPr>
          <w:rFonts w:ascii="Calibri" w:cs="Calibri"/>
          <w:i/>
          <w:iCs/>
        </w:rPr>
        <w:t>Anglican Theological Review</w:t>
      </w:r>
      <w:r w:rsidR="004672F3" w:rsidRPr="004672F3">
        <w:rPr>
          <w:rFonts w:ascii="Calibri" w:cs="Calibri"/>
        </w:rPr>
        <w:t>, 71.4 (1989), 395.</w:t>
      </w:r>
      <w:r>
        <w:fldChar w:fldCharType="end"/>
      </w:r>
    </w:p>
  </w:footnote>
  <w:footnote w:id="32">
    <w:p w14:paraId="3E3323C9" w14:textId="798D5B8C" w:rsidR="00BB091F" w:rsidRDefault="00BB091F">
      <w:pPr>
        <w:pStyle w:val="FootnoteText"/>
      </w:pPr>
      <w:r w:rsidRPr="004B77E8">
        <w:rPr>
          <w:rStyle w:val="FootnoteReference"/>
        </w:rPr>
        <w:footnoteRef/>
      </w:r>
      <w:r>
        <w:t xml:space="preserve"> Citing Archibald </w:t>
      </w:r>
      <w:proofErr w:type="spellStart"/>
      <w:r>
        <w:t>Roberston</w:t>
      </w:r>
      <w:proofErr w:type="spellEnd"/>
      <w:r>
        <w:t xml:space="preserve"> in </w:t>
      </w:r>
      <w:r>
        <w:fldChar w:fldCharType="begin"/>
      </w:r>
      <w:r w:rsidR="00B17F89">
        <w:instrText xml:space="preserve"> ADDIN ZOTERO_ITEM CSL_CITATION {"citationID":"5mQn1pXf","properties":{"formattedCitation":"Fred Sanders, \\uc0\\u8216{}The Center of Athanasius\\uc0\\u8217{} Theology\\uc0\\u8217{}, {\\i{}The Scriptorium Daily}, 2014 &lt;https://scriptoriumdaily.com/center-athanasius-theology/&gt; [accessed 9 March 2023].","plainCitation":"Fred Sanders, ‘The Center of Athanasius’ Theology’, The Scriptorium Daily, 2014 &lt;https://scriptoriumdaily.com/center-athanasius-theology/&gt; [accessed 9 March 2023].","noteIndex":32},"citationItems":[{"id":2421,"uris":["http://zotero.org/users/7540819/items/HI39LX84"],"itemData":{"id":2421,"type":"webpage","abstract":"Most people who read the writings of Athanasius are struck by his singlemindedness. Most of his writings are ad hoc, responses to provocations in the hectic, decades-long argument with Arianism. Yet his theological vision is undistractable. He seems to be a pastoral satellite orbiting one","container-title":"The Scriptorium Daily","language":"en-US","title":"The Center of Athanasius' Theology","URL":"https://scriptoriumdaily.com/center-athanasius-theology/","author":[{"family":"Sanders","given":"Fred"}],"accessed":{"date-parts":[["2023",3,9]]},"issued":{"date-parts":[["2014",5,16]]}}}],"schema":"https://github.com/citation-style-language/schema/raw/master/csl-citation.json"} </w:instrText>
      </w:r>
      <w:r>
        <w:fldChar w:fldCharType="separate"/>
      </w:r>
      <w:r w:rsidRPr="00BB091F">
        <w:rPr>
          <w:rFonts w:ascii="Calibri" w:cs="Calibri"/>
        </w:rPr>
        <w:t xml:space="preserve">Fred Sanders, ‘The Center of Athanasius’ Theology’, </w:t>
      </w:r>
      <w:r w:rsidRPr="00BB091F">
        <w:rPr>
          <w:rFonts w:ascii="Calibri" w:cs="Calibri"/>
          <w:i/>
          <w:iCs/>
        </w:rPr>
        <w:t>The Scriptorium Daily</w:t>
      </w:r>
      <w:r w:rsidRPr="00BB091F">
        <w:rPr>
          <w:rFonts w:ascii="Calibri" w:cs="Calibri"/>
        </w:rPr>
        <w:t>, 2014 &lt;https://scriptoriumdaily.com/center-athanasius-theology/&gt; [accessed 9 March 2023].</w:t>
      </w:r>
      <w:r>
        <w:fldChar w:fldCharType="end"/>
      </w:r>
    </w:p>
  </w:footnote>
  <w:footnote w:id="33">
    <w:p w14:paraId="387D6A56" w14:textId="77777777" w:rsidR="00B17F89" w:rsidRDefault="00B17F89" w:rsidP="00B17F89">
      <w:pPr>
        <w:pStyle w:val="FootnoteText"/>
      </w:pPr>
      <w:r w:rsidRPr="004B77E8">
        <w:rPr>
          <w:rStyle w:val="FootnoteReference"/>
        </w:rPr>
        <w:footnoteRef/>
      </w:r>
      <w:r>
        <w:t xml:space="preserve"> i.e. </w:t>
      </w:r>
      <w:r w:rsidRPr="00300582">
        <w:rPr>
          <w:rFonts w:cstheme="minorHAnsi"/>
        </w:rPr>
        <w:t>the 325AD Creeds of Caesarea and Nicaea</w:t>
      </w:r>
    </w:p>
  </w:footnote>
  <w:footnote w:id="34">
    <w:p w14:paraId="3E6537AA" w14:textId="77777777" w:rsidR="00B17F89" w:rsidRDefault="00B17F89" w:rsidP="00B17F89">
      <w:pPr>
        <w:pStyle w:val="FootnoteText"/>
      </w:pPr>
      <w:r w:rsidRPr="004B77E8">
        <w:rPr>
          <w:rStyle w:val="FootnoteReference"/>
        </w:rPr>
        <w:footnoteRef/>
      </w:r>
      <w:r>
        <w:t xml:space="preserve"> </w:t>
      </w:r>
      <w:r>
        <w:fldChar w:fldCharType="begin"/>
      </w:r>
      <w:r>
        <w:instrText xml:space="preserve"> ADDIN ZOTERO_ITEM CSL_CITATION {"citationID":"IKcnbv1k","properties":{"formattedCitation":"{\\i{}Documents of the Christian Church}, ed. by Henry Bettenson and Chris Maunder, 4th ed. / edited by Chris Maunder (Oxford\\uc0\\u8239{}; New York: Oxford University Press, 2011).","plainCitation":"Documents of the Christian Church, ed. by Henry Bettenson and Chris Maunder, 4th ed. / edited by Chris Maunder (Oxford ; New York: Oxford University Press, 2011).","dontUpdate":true,"noteIndex":34},"citationItems":[{"id":2434,"uris":["http://zotero.org/users/7540819/items/Q28MSHTL"],"itemData":{"id":2434,"type":"book","call-number":"BR141 .D63 2011","edition":"4th ed. / edited by Chris Maunder","event-place":"Oxford ; New York","ISBN":"978-0-19-956898-7","number-of-pages":"529","publisher":"Oxford University Press","publisher-place":"Oxford ; New York","source":"Library of Congress ISBN","title":"Documents of the Christian church","editor":[{"family":"Bettenson","given":"Henry"},{"family":"Maunder","given":"Chris"}],"issued":{"date-parts":[["2011"]]}}}],"schema":"https://github.com/citation-style-language/schema/raw/master/csl-citation.json"} </w:instrText>
      </w:r>
      <w:r>
        <w:fldChar w:fldCharType="separate"/>
      </w:r>
      <w:r w:rsidRPr="002D308D">
        <w:rPr>
          <w:rFonts w:ascii="Calibri" w:cs="Calibri"/>
          <w:i/>
          <w:iCs/>
        </w:rPr>
        <w:t>Documents of the Christian Church</w:t>
      </w:r>
      <w:r w:rsidRPr="002D308D">
        <w:rPr>
          <w:rFonts w:ascii="Calibri" w:cs="Calibri"/>
        </w:rPr>
        <w:t>, ed. by Henry Bettenson and Chris Maunder, 4th ed. / edited by Chris Maunder (Oxford ; New York: Oxford University Press, 2011)</w:t>
      </w:r>
      <w:r>
        <w:rPr>
          <w:rFonts w:ascii="Calibri" w:cs="Calibri"/>
        </w:rPr>
        <w:t>,27-29</w:t>
      </w:r>
      <w:r w:rsidRPr="002D308D">
        <w:rPr>
          <w:rFonts w:ascii="Calibri" w:cs="Calibri"/>
        </w:rPr>
        <w:t>.</w:t>
      </w:r>
      <w:r>
        <w:fldChar w:fldCharType="end"/>
      </w:r>
    </w:p>
  </w:footnote>
  <w:footnote w:id="35">
    <w:p w14:paraId="07A691CB" w14:textId="77777777" w:rsidR="005941AE" w:rsidRPr="00C91254" w:rsidRDefault="005941AE" w:rsidP="005941AE">
      <w:pPr>
        <w:pStyle w:val="FootnoteText"/>
        <w:rPr>
          <w:i/>
          <w:iCs/>
        </w:rPr>
      </w:pPr>
      <w:r w:rsidRPr="004B77E8">
        <w:rPr>
          <w:rStyle w:val="FootnoteReference"/>
        </w:rPr>
        <w:footnoteRef/>
      </w:r>
      <w:r>
        <w:t xml:space="preserve"> Cf. </w:t>
      </w:r>
      <w:r>
        <w:fldChar w:fldCharType="begin"/>
      </w:r>
      <w:r>
        <w:instrText xml:space="preserve"> ADDIN ZOTERO_ITEM CSL_CITATION {"citationID":"GreQxdHs","properties":{"formattedCitation":"Lindbeck.","plainCitation":"Lindbeck.","dontUpdate":true,"noteIndex":35},"citationItems":[{"id":2292,"uris":["http://zotero.org/users/7540819/items/ZQ5JW3FM"],"itemData":{"id":2292,"type":"book","event-place":"London","ISBN":"978-0-281-04133-6","language":"eng","number-of-pages":"142","publisher":"SPCK","publisher-place":"London","source":"K10plus ISBN","title":"The nature of doctrine: religion and theology in a postliberal age","title-short":"The nature of doctrine","author":[{"family":"Lindbeck","given":"George A."}],"issued":{"date-parts":[["1984"]]}}}],"schema":"https://github.com/citation-style-language/schema/raw/master/csl-citation.json"} </w:instrText>
      </w:r>
      <w:r>
        <w:fldChar w:fldCharType="separate"/>
      </w:r>
      <w:r>
        <w:rPr>
          <w:noProof/>
        </w:rPr>
        <w:t>Lindbeck,94-95.</w:t>
      </w:r>
      <w:r>
        <w:fldChar w:fldCharType="end"/>
      </w:r>
      <w:r>
        <w:t xml:space="preserve"> and </w:t>
      </w:r>
      <w:r>
        <w:fldChar w:fldCharType="begin"/>
      </w:r>
      <w:r>
        <w:instrText xml:space="preserve"> ADDIN ZOTERO_ITEM CSL_CITATION {"citationID":"yYExjWxy","properties":{"formattedCitation":"Anba Bishoy Metropolitan of Damietta, \\uc0\\u8216{}The Christology of St Athanasius (Pdf File)\\uc0\\u8217{}, {\\i{}True Coptic Orthodoxy}, 2022 &lt;https://www.truecopticorthodoxy.com/general-1-5&gt; [accessed 22 January 2023].","plainCitation":"Anba Bishoy Metropolitan of Damietta, ‘The Christology of St Athanasius (Pdf File)’, True Coptic Orthodoxy, 2022 &lt;https://www.truecopticorthodoxy.com/general-1-5&gt; [accessed 22 January 2023].","noteIndex":35},"citationItems":[{"id":2316,"uris":["http://zotero.org/users/7540819/items/DIKSYJ8T"],"itemData":{"id":2316,"type":"webpage","container-title":"True Coptic Orthodoxy","title":"The Christology of St Athanasius (pdf file)","URL":"https://www.truecopticorthodoxy.com/general-1-5","author":[{"family":"Metropolitan of Damietta","given":"Anba Bishoy"}],"accessed":{"date-parts":[["2023",1,22]]},"issued":{"date-parts":[["2022"]]}}}],"schema":"https://github.com/citation-style-language/schema/raw/master/csl-citation.json"} </w:instrText>
      </w:r>
      <w:r>
        <w:fldChar w:fldCharType="separate"/>
      </w:r>
      <w:r w:rsidRPr="00C91254">
        <w:rPr>
          <w:rFonts w:ascii="Calibri" w:cs="Calibri"/>
        </w:rPr>
        <w:t xml:space="preserve">Anba Bishoy Metropolitan of Damietta, ‘The Christology of St Athanasius (Pdf File)’, </w:t>
      </w:r>
      <w:r w:rsidRPr="00C91254">
        <w:rPr>
          <w:rFonts w:ascii="Calibri" w:cs="Calibri"/>
          <w:i/>
          <w:iCs/>
        </w:rPr>
        <w:t>True Coptic Orthodoxy</w:t>
      </w:r>
      <w:r w:rsidRPr="00C91254">
        <w:rPr>
          <w:rFonts w:ascii="Calibri" w:cs="Calibri"/>
        </w:rPr>
        <w:t>, 2022 &lt;https://www.truecopticorthodoxy.com/general-1-5&gt; [accessed 22 January 2023].</w:t>
      </w:r>
      <w:r>
        <w:fldChar w:fldCharType="end"/>
      </w:r>
      <w:r>
        <w:t xml:space="preserve"> </w:t>
      </w:r>
      <w:r>
        <w:rPr>
          <w:i/>
          <w:iCs/>
        </w:rPr>
        <w:t>Inter alia.</w:t>
      </w:r>
    </w:p>
  </w:footnote>
  <w:footnote w:id="36">
    <w:p w14:paraId="6755A22F" w14:textId="2B54C1E2" w:rsidR="00B17F89" w:rsidRDefault="00B17F89" w:rsidP="00B17F89">
      <w:pPr>
        <w:pStyle w:val="FootnoteText"/>
      </w:pPr>
      <w:r w:rsidRPr="004B77E8">
        <w:rPr>
          <w:rStyle w:val="FootnoteReference"/>
        </w:rPr>
        <w:footnoteRef/>
      </w:r>
      <w:r>
        <w:t xml:space="preserve"> </w:t>
      </w:r>
      <w:r w:rsidR="005941AE">
        <w:t>Cf.</w:t>
      </w:r>
      <w:r w:rsidR="001E023B">
        <w:t xml:space="preserve"> </w:t>
      </w:r>
      <w:r>
        <w:fldChar w:fldCharType="begin"/>
      </w:r>
      <w:r>
        <w:instrText xml:space="preserve"> ADDIN ZOTERO_ITEM CSL_CITATION {"citationID":"4kN5LDuE","properties":{"formattedCitation":"Gerald O\\uc0\\u8217{}Collins, {\\i{}Christology: A Biblical, Historical, and Systematic Study of Jesus Christ} (Oxford\\uc0\\u8239{}; New York: Oxford University Press, 1995).","plainCitation":"Gerald O’Collins, Christology: A Biblical, Historical, and Systematic Study of Jesus Christ (Oxford ; New York: Oxford University Press, 1995).","dontUpdate":true,"noteIndex":36},"citationItems":[{"id":2493,"uris":["http://zotero.org/users/7540819/items/HGRWDUHQ"],"itemData":{"id":2493,"type":"book","call-number":"BT202 .O313 1995","event-place":"Oxford ; New York","ISBN":"978-0-19-875501-2","number-of-pages":"333","publisher":"Oxford University Press","publisher-place":"Oxford ; New York","source":"Library of Congress ISBN","title":"Christology: a biblical, historical, and systematic study of Jesus Christ","title-short":"Christology","author":[{"family":"O'Collins","given":"Gerald"}],"issued":{"date-parts":[["1995"]]}}}],"schema":"https://github.com/citation-style-language/schema/raw/master/csl-citation.json"} </w:instrText>
      </w:r>
      <w:r>
        <w:fldChar w:fldCharType="separate"/>
      </w:r>
      <w:r w:rsidRPr="000629D5">
        <w:rPr>
          <w:rFonts w:ascii="Calibri" w:cs="Calibri"/>
        </w:rPr>
        <w:t xml:space="preserve">Gerald O’Collins, </w:t>
      </w:r>
      <w:r w:rsidRPr="000629D5">
        <w:rPr>
          <w:rFonts w:ascii="Calibri" w:cs="Calibri"/>
          <w:i/>
          <w:iCs/>
        </w:rPr>
        <w:t>Christology: A Biblical, Historical, and Systematic Study of Jesus Christ</w:t>
      </w:r>
      <w:r w:rsidRPr="000629D5">
        <w:rPr>
          <w:rFonts w:ascii="Calibri" w:cs="Calibri"/>
        </w:rPr>
        <w:t xml:space="preserve"> (Oxford ; New York: Oxford University Press, 1995)</w:t>
      </w:r>
      <w:r>
        <w:rPr>
          <w:rFonts w:ascii="Calibri" w:cs="Calibri"/>
        </w:rPr>
        <w:t>, 178-181</w:t>
      </w:r>
      <w:r w:rsidRPr="000629D5">
        <w:rPr>
          <w:rFonts w:ascii="Calibri" w:cs="Calibri"/>
        </w:rPr>
        <w:t>.</w:t>
      </w:r>
      <w:r>
        <w:fldChar w:fldCharType="end"/>
      </w:r>
    </w:p>
  </w:footnote>
  <w:footnote w:id="37">
    <w:p w14:paraId="7E20B3E8" w14:textId="178FFDC4" w:rsidR="00287D17" w:rsidRDefault="00287D17" w:rsidP="00287D17">
      <w:pPr>
        <w:pStyle w:val="FootnoteText"/>
      </w:pPr>
      <w:r w:rsidRPr="004B77E8">
        <w:rPr>
          <w:rStyle w:val="FootnoteReference"/>
        </w:rPr>
        <w:footnoteRef/>
      </w:r>
      <w:r>
        <w:t xml:space="preserve"> </w:t>
      </w:r>
      <w:r>
        <w:fldChar w:fldCharType="begin"/>
      </w:r>
      <w:r w:rsidR="00B17F89">
        <w:instrText xml:space="preserve"> ADDIN ZOTERO_ITEM CSL_CITATION {"citationID":"Hjb0TnX9","properties":{"formattedCitation":"Athanasius, \\uc0\\u8216{}On the Incarnation of the Word\\uc0\\u8217{}.","plainCitation":"Athanasius, ‘On the Incarnation of the Word’.","dontUpdate":true,"noteIndex":37},"citationItems":[{"id":2401,"uris":["http://zotero.org/users/7540819/items/8SFSSVVT"],"itemData":{"id":2401,"type":"webpage","title":"On the Incarnation of the Word","URL":"https://ccel.org/ccel/a/athanasius/incarnation/cache/incarnation.txt","author":[{"family":"Athanasius","given":""}],"accessed":{"date-parts":[["2023",3,2]]}}}],"schema":"https://github.com/citation-style-language/schema/raw/master/csl-citation.json"} </w:instrText>
      </w:r>
      <w:r>
        <w:fldChar w:fldCharType="separate"/>
      </w:r>
      <w:r w:rsidRPr="00B555C0">
        <w:rPr>
          <w:rFonts w:ascii="Calibri" w:cs="Calibri"/>
        </w:rPr>
        <w:t>Athanasius, ‘On the Incarnation of the Word’</w:t>
      </w:r>
      <w:r>
        <w:rPr>
          <w:rFonts w:ascii="Calibri" w:cs="Calibri"/>
        </w:rPr>
        <w:t>, 9.57</w:t>
      </w:r>
      <w:r w:rsidRPr="00B555C0">
        <w:rPr>
          <w:rFonts w:ascii="Calibri" w:cs="Calibri"/>
        </w:rPr>
        <w:t>.</w:t>
      </w:r>
      <w:r>
        <w:fldChar w:fldCharType="end"/>
      </w:r>
    </w:p>
  </w:footnote>
  <w:footnote w:id="38">
    <w:p w14:paraId="530999E6" w14:textId="0F874B3F" w:rsidR="00287D17" w:rsidRDefault="00287D17" w:rsidP="00287D17">
      <w:pPr>
        <w:pStyle w:val="FootnoteText"/>
      </w:pPr>
      <w:r w:rsidRPr="004B77E8">
        <w:rPr>
          <w:rStyle w:val="FootnoteReference"/>
        </w:rPr>
        <w:footnoteRef/>
      </w:r>
      <w:r>
        <w:t xml:space="preserve"> </w:t>
      </w:r>
      <w:r>
        <w:fldChar w:fldCharType="begin"/>
      </w:r>
      <w:r w:rsidR="00B17F89">
        <w:instrText xml:space="preserve"> ADDIN ZOTERO_ITEM CSL_CITATION {"citationID":"rYFKqzQc","properties":{"formattedCitation":"Athanasius, \\uc0\\u8216{}On the Incarnation of the Word\\uc0\\u8217{}.","plainCitation":"Athanasius, ‘On the Incarnation of the Word’.","dontUpdate":true,"noteIndex":38},"citationItems":[{"id":2401,"uris":["http://zotero.org/users/7540819/items/8SFSSVVT"],"itemData":{"id":2401,"type":"webpage","title":"On the Incarnation of the Word","URL":"https://ccel.org/ccel/a/athanasius/incarnation/cache/incarnation.txt","author":[{"family":"Athanasius","given":""}],"accessed":{"date-parts":[["2023",3,2]]}}}],"schema":"https://github.com/citation-style-language/schema/raw/master/csl-citation.json"} </w:instrText>
      </w:r>
      <w:r>
        <w:fldChar w:fldCharType="separate"/>
      </w:r>
      <w:r w:rsidRPr="00B555C0">
        <w:rPr>
          <w:rFonts w:ascii="Calibri" w:cs="Calibri"/>
        </w:rPr>
        <w:t>Athanasius, ‘On the Incarnation of the Word’</w:t>
      </w:r>
      <w:r>
        <w:rPr>
          <w:rFonts w:ascii="Calibri" w:cs="Calibri"/>
        </w:rPr>
        <w:t>, 9.56</w:t>
      </w:r>
      <w:r w:rsidRPr="00B555C0">
        <w:rPr>
          <w:rFonts w:ascii="Calibri" w:cs="Calibri"/>
        </w:rPr>
        <w:t>.</w:t>
      </w:r>
      <w:r>
        <w:fldChar w:fldCharType="end"/>
      </w:r>
    </w:p>
  </w:footnote>
  <w:footnote w:id="39">
    <w:p w14:paraId="5527FF07" w14:textId="4EE853C3" w:rsidR="00120C5C" w:rsidRDefault="00120C5C">
      <w:pPr>
        <w:pStyle w:val="FootnoteText"/>
      </w:pPr>
      <w:r w:rsidRPr="004B77E8">
        <w:rPr>
          <w:rStyle w:val="FootnoteReference"/>
        </w:rPr>
        <w:footnoteRef/>
      </w:r>
      <w:r>
        <w:t xml:space="preserve"> </w:t>
      </w:r>
      <w:r>
        <w:fldChar w:fldCharType="begin"/>
      </w:r>
      <w:r w:rsidR="00B17F89">
        <w:instrText xml:space="preserve"> ADDIN ZOTERO_ITEM CSL_CITATION {"citationID":"sGkYo8yT","properties":{"formattedCitation":"Kyriakos S. Stavrianos, \\uc0\\u8216{}Trinity Doctrine and Christology of Saint Athanasius, Archbishop of Alexandria, in His Letter to Epictetus, Bishop of Corinth.\\uc0\\u8217{}, {\\i{}Kon\\uc0\\u353{}tant\\uc0\\u237{}nove Listy/Constantine\\uc0\\u8217{}s Letters}, 12.1 (2019), 3\\uc0\\u8211{}12 &lt;https://doi.org/10.17846/CL.2019.12.1.3-12&gt;.","plainCitation":"Kyriakos S. Stavrianos, ‘Trinity Doctrine and Christology of Saint Athanasius, Archbishop of Alexandria, in His Letter to Epictetus, Bishop of Corinth.’, Konštantínove Listy/Constantine’s Letters, 12.1 (2019), 3–12 &lt;https://doi.org/10.17846/CL.2019.12.1.3-12&gt;.","dontUpdate":true,"noteIndex":39},"citationItems":[{"id":2296,"uris":["http://zotero.org/users/7540819/items/CS8IQ6TK"],"itemData":{"id":2296,"type":"article-journal","abstract":"STAVRIANOS, Kyriakos S. Trinity Doctrine and Christology of Saint Athanasius, Archbishop of Alexandria, in His Letter to Epictetus, Bishop of Corinth. The letter of saint Athanasius of Alexandria to Epictetus of Corinth stands in the place of the most important text of the doctrinal texts of the Christian literature about Christology. It is recognizes to be an important text not only at the Arian controversy, but even after the first Ecumenical Council. Athanasius wrote it to answer series of questions, which come from the views of Appolinarianists, Illusionists and adherents of early Nestorianism. Jesus Christ is the Word of the God, who was incarnated. The Word of God assumed a human nature so that there are two natures truly distinct. He has become a human being to save the mankind. He took the human flesh by Virgin Mary and He was also remaining co-substantial with the God Father. Logos did not suffer during the Passion but only His human nature. There is not a temporal difference between God Father and Word of God.","container-title":"Konštantínove listy/Constantine's Letters","DOI":"10.17846/CL.2019.12.1.3-12","ISSN":"13378740, 24537675","issue":"1","journalAbbreviation":"KL/CL","language":"en","page":"3-12","source":"DOI.org (Crossref)","title":"Trinity Doctrine and Christology of Saint Athanasius, Archbishop of Alexandria, in His Letter to Epictetus, Bishop of Corinth.","volume":"12","author":[{"family":"Stavrianos","given":"Kyriakos S."}],"issued":{"date-parts":[["2019",6]]}}}],"schema":"https://github.com/citation-style-language/schema/raw/master/csl-citation.json"} </w:instrText>
      </w:r>
      <w:r>
        <w:fldChar w:fldCharType="separate"/>
      </w:r>
      <w:r w:rsidRPr="00120C5C">
        <w:rPr>
          <w:rFonts w:ascii="Calibri" w:cs="Calibri"/>
        </w:rPr>
        <w:t xml:space="preserve">Kyriakos S. Stavrianos, ‘Trinity Doctrine and Christology of Saint Athanasius, Archbishop of Alexandria, in His Letter to Epictetus, Bishop of Corinth.’, </w:t>
      </w:r>
      <w:r w:rsidRPr="00120C5C">
        <w:rPr>
          <w:rFonts w:ascii="Calibri" w:cs="Calibri"/>
          <w:i/>
          <w:iCs/>
        </w:rPr>
        <w:t>Konštantínove Listy/Constantine’s Letters</w:t>
      </w:r>
      <w:r w:rsidRPr="00120C5C">
        <w:rPr>
          <w:rFonts w:ascii="Calibri" w:cs="Calibri"/>
        </w:rPr>
        <w:t>, 12.1 (2019),</w:t>
      </w:r>
      <w:r>
        <w:rPr>
          <w:rFonts w:ascii="Calibri" w:cs="Calibri"/>
        </w:rPr>
        <w:t xml:space="preserve"> 9-1</w:t>
      </w:r>
      <w:r w:rsidR="00703943">
        <w:rPr>
          <w:rFonts w:ascii="Calibri" w:cs="Calibri"/>
        </w:rPr>
        <w:t xml:space="preserve">10, </w:t>
      </w:r>
      <w:r w:rsidRPr="00120C5C">
        <w:rPr>
          <w:rFonts w:ascii="Calibri" w:cs="Calibri"/>
        </w:rPr>
        <w:t xml:space="preserve"> &lt;https://doi.org/10.17846/CL.2019.12.1.3-12&gt;.</w:t>
      </w:r>
      <w:r>
        <w:fldChar w:fldCharType="end"/>
      </w:r>
    </w:p>
  </w:footnote>
  <w:footnote w:id="40">
    <w:p w14:paraId="750B478E" w14:textId="2D67A665" w:rsidR="00BF5034" w:rsidRPr="00BF5034" w:rsidRDefault="00BF5034">
      <w:pPr>
        <w:pStyle w:val="FootnoteText"/>
        <w:rPr>
          <w:i/>
          <w:iCs/>
        </w:rPr>
      </w:pPr>
      <w:r w:rsidRPr="004B77E8">
        <w:rPr>
          <w:rStyle w:val="FootnoteReference"/>
        </w:rPr>
        <w:footnoteRef/>
      </w:r>
      <w:r>
        <w:t xml:space="preserve"> Cf. </w:t>
      </w:r>
      <w:r>
        <w:fldChar w:fldCharType="begin"/>
      </w:r>
      <w:r w:rsidR="00B17F89">
        <w:instrText xml:space="preserve"> ADDIN ZOTERO_ITEM CSL_CITATION {"citationID":"m8Ca7JXz","properties":{"formattedCitation":"\\uc0\\u8216{}Article 3: The Myth Of God Incarnate\\uc0\\u8217{}, {\\i{}Philosophical Investigations}, 2015 &lt;https://peped.org/philosophicalinvestigations/article-3-the-myth-of-god-incarnate/&gt; [accessed 17 February 2023].","plainCitation":"‘Article 3: The Myth Of God Incarnate’, Philosophical Investigations, 2015 &lt;https://peped.org/philosophicalinvestigations/article-3-the-myth-of-god-incarnate/&gt; [accessed 17 February 2023].","noteIndex":40},"citationItems":[{"id":2363,"uris":["http://zotero.org/users/7540819/items/DPZ62GDG"],"itemData":{"id":2363,"type":"post-weblog","abstract":"source John Hick, a renowned British philosopher of religion began to be interested in the world religions and dialogue with their...","container-title":"Philosophical Investigations","language":"en-GB","title":"Article 3: The Myth Of God Incarnate","title-short":"Article 3","URL":"https://peped.org/philosophicalinvestigations/article-3-the-myth-of-god-incarnate/","accessed":{"date-parts":[["2023",2,17]]},"issued":{"date-parts":[["2015",11,14]]}}}],"schema":"https://github.com/citation-style-language/schema/raw/master/csl-citation.json"} </w:instrText>
      </w:r>
      <w:r>
        <w:fldChar w:fldCharType="separate"/>
      </w:r>
      <w:r w:rsidRPr="00BF5034">
        <w:rPr>
          <w:rFonts w:ascii="Calibri" w:cs="Calibri"/>
        </w:rPr>
        <w:t xml:space="preserve">‘Article 3: The Myth Of God Incarnate’, </w:t>
      </w:r>
      <w:r w:rsidRPr="00BF5034">
        <w:rPr>
          <w:rFonts w:ascii="Calibri" w:cs="Calibri"/>
          <w:i/>
          <w:iCs/>
        </w:rPr>
        <w:t>Philosophical Investigations</w:t>
      </w:r>
      <w:r w:rsidRPr="00BF5034">
        <w:rPr>
          <w:rFonts w:ascii="Calibri" w:cs="Calibri"/>
        </w:rPr>
        <w:t>, 2015 &lt;https://peped.org/philosophicalinvestigations/article-3-the-myth-of-god-incarnate/&gt; [accessed 17 February 2023].</w:t>
      </w:r>
      <w:r>
        <w:fldChar w:fldCharType="end"/>
      </w:r>
      <w:r>
        <w:t xml:space="preserve"> </w:t>
      </w:r>
      <w:r>
        <w:rPr>
          <w:i/>
          <w:iCs/>
        </w:rPr>
        <w:t>Inter alia.</w:t>
      </w:r>
    </w:p>
  </w:footnote>
  <w:footnote w:id="41">
    <w:p w14:paraId="48D1624E" w14:textId="08BE39E3" w:rsidR="00BF5034" w:rsidRDefault="00BF5034">
      <w:pPr>
        <w:pStyle w:val="FootnoteText"/>
      </w:pPr>
      <w:r w:rsidRPr="004B77E8">
        <w:rPr>
          <w:rStyle w:val="FootnoteReference"/>
        </w:rPr>
        <w:footnoteRef/>
      </w:r>
      <w:r>
        <w:t xml:space="preserve"> Hans </w:t>
      </w:r>
      <w:proofErr w:type="spellStart"/>
      <w:r>
        <w:t>Urs</w:t>
      </w:r>
      <w:proofErr w:type="spellEnd"/>
      <w:r>
        <w:t xml:space="preserve"> von Balthasar in </w:t>
      </w:r>
      <w:r>
        <w:fldChar w:fldCharType="begin"/>
      </w:r>
      <w:r w:rsidR="00B17F89">
        <w:instrText xml:space="preserve"> ADDIN ZOTERO_ITEM CSL_CITATION {"citationID":"jp56WES8","properties":{"formattedCitation":"John Berry, \\uc0\\u8216{}The Unconditional Givenness of Revelation of the Trinity in the Paschal Mystery\\uc0\\u8217{}, 2020, pp. 83\\uc0\\u8211{}161 &lt;https://doi.org/10.6084/m9.figshare.12102750&gt;.","plainCitation":"John Berry, ‘The Unconditional Givenness of Revelation of the Trinity in the Paschal Mystery’, 2020, pp. 83–161 &lt;https://doi.org/10.6084/m9.figshare.12102750&gt;.","dontUpdate":true,"noteIndex":41},"citationItems":[{"id":2476,"uris":["http://zotero.org/users/7540819/items/ESDHVMRF"],"itemData":{"id":2476,"type":"chapter","ISBN":"978-99957-1-710-0","note":"DOI: 10.6084/m9.figshare.12102750","page":"83-161","title":"The Unconditional Givenness of Revelation of the Trinity in the Paschal Mystery","author":[{"family":"Berry","given":"John"}],"issued":{"date-parts":[["2020",4,7]]}}}],"schema":"https://github.com/citation-style-language/schema/raw/master/csl-citation.json"} </w:instrText>
      </w:r>
      <w:r>
        <w:fldChar w:fldCharType="separate"/>
      </w:r>
      <w:r w:rsidRPr="00BF5034">
        <w:rPr>
          <w:rFonts w:ascii="Calibri" w:cs="Calibri"/>
        </w:rPr>
        <w:t xml:space="preserve">John Berry, ‘The Unconditional Givenness of Revelation of the Trinity in the Paschal Mystery’, 2020, </w:t>
      </w:r>
      <w:r>
        <w:rPr>
          <w:rFonts w:ascii="Calibri" w:cs="Calibri"/>
        </w:rPr>
        <w:t>88,</w:t>
      </w:r>
      <w:r w:rsidRPr="00BF5034">
        <w:rPr>
          <w:rFonts w:ascii="Calibri" w:cs="Calibri"/>
        </w:rPr>
        <w:t xml:space="preserve"> &lt;https://doi.org/10.6084/m9.figshare.12102750&gt;.</w:t>
      </w:r>
      <w:r>
        <w:fldChar w:fldCharType="end"/>
      </w:r>
    </w:p>
  </w:footnote>
  <w:footnote w:id="42">
    <w:p w14:paraId="4436E79F" w14:textId="63FD328B" w:rsidR="001F271C" w:rsidRDefault="001F271C" w:rsidP="001F271C">
      <w:pPr>
        <w:pStyle w:val="FootnoteText"/>
      </w:pPr>
      <w:r w:rsidRPr="004B77E8">
        <w:rPr>
          <w:rStyle w:val="FootnoteReference"/>
        </w:rPr>
        <w:footnoteRef/>
      </w:r>
      <w:r>
        <w:t xml:space="preserve"> </w:t>
      </w:r>
      <w:r>
        <w:fldChar w:fldCharType="begin"/>
      </w:r>
      <w:r w:rsidR="00B17F89">
        <w:instrText xml:space="preserve"> ADDIN ZOTERO_ITEM CSL_CITATION {"citationID":"ethVXbwD","properties":{"formattedCitation":"Uta Heil, \\uc0\\u8216{}Athanasius of Alexandria \\uc0\\u8211{} Teacher and Martyr of the Christian Church, in: Paul as Homo Novus. Authorial Strategies of Self-Fashioning in Light of a Ciceronian Term (Studia Aarhusiana Neotestamentica 6), Eds. Eve-Marie Becker and Jacob Mortensen, G\\uc0\\u246{}ttingen: Vandenhoeck &amp;amp; Ruprecht, 2018, 177-196.\\uc0\\u8217{}, {\\i{}Uta Heil}, 2018 &lt;https://www.academia.edu/40176144/Athanasius_of_Alexandria_Teacher_and_Martyr_of_the_Christian_Church_in_Paul_as_homo_novus_Authorial_strategies_of_self_fashioning_in_light_of_a_Ciceronian_term_Studia_Aarhusiana_Neotestamentica_6_eds_Eve_Marie_Becker_and_Jacob_Mortensen_G%C3%B6ttingen_Vandenhoeck_and_Ruprecht_2018_177_196&gt; [accessed 7 March 2023].","plainCitation":"Uta Heil, ‘Athanasius of Alexandria – Teacher and Martyr of the Christian Church, in: Paul as Homo Novus. Authorial Strategies of Self-Fashioning in Light of a Ciceronian Term (Studia Aarhusiana Neotestamentica 6), Eds. Eve-Marie Becker and Jacob Mortensen, Göttingen: Vandenhoeck &amp;amp; Ruprecht, 2018, 177-196.’, Uta Heil, 2018 &lt;https://www.academia.edu/40176144/Athanasius_of_Alexandria_Teacher_and_Martyr_of_the_Christian_Church_in_Paul_as_homo_novus_Authorial_strategies_of_self_fashioning_in_light_of_a_Ciceronian_term_Studia_Aarhusiana_Neotestamentica_6_eds_Eve_Marie_Becker_and_Jacob_Mortensen_G%C3%B6ttingen_Vandenhoeck_and_Ruprecht_2018_177_196&gt; [accessed 7 March 2023].","dontUpdate":true,"noteIndex":42},"citationItems":[{"id":2415,"uris":["http://zotero.org/users/7540819/items/M7P3J62Y"],"itemData":{"id":2415,"type":"article-journal","abstract":"There are two important aspects in Athanasius’ self-representation as an author that led to his success and reputation. One aspect is his depiction as the true teacher, the other aspect is his portrayal as the real martyr. “Teacher” belongs to a more","container-title":"Uta Heil","language":"en","source":"www.academia.edu","title":"Athanasius of Alexandria – Teacher and Martyr of the Christian Church, in: Paul as homo novus. Authorial strategies of self-fashioning in light of a Ciceronian term (Studia Aarhusiana Neotestamentica 6), eds. Eve-Marie Becker and Jacob Mortensen, Göttingen: Vandenhoeck &amp;amp; Ruprecht, 2018, 177-196.","title-short":"Athanasius of Alexandria – Teacher and Martyr of the Christian Church, in","URL":"https://www.academia.edu/40176144/Athanasius_of_Alexandria_Teacher_and_Martyr_of_the_Christian_Church_in_Paul_as_homo_novus_Authorial_strategies_of_self_fashioning_in_light_of_a_Ciceronian_term_Studia_Aarhusiana_Neotestamentica_6_eds_Eve_Marie_Becker_and_Jacob_Mortensen_G%C3%B6ttingen_Vandenhoeck_and_Ruprecht_2018_177_196","author":[{"family":"Heil","given":"Uta"}],"accessed":{"date-parts":[["2023",3,7]]},"issued":{"date-parts":[["2018",1,1]]}}}],"schema":"https://github.com/citation-style-language/schema/raw/master/csl-citation.json"} </w:instrText>
      </w:r>
      <w:r>
        <w:fldChar w:fldCharType="separate"/>
      </w:r>
      <w:r w:rsidRPr="00224836">
        <w:rPr>
          <w:rFonts w:ascii="Calibri" w:cs="Calibri"/>
        </w:rPr>
        <w:t xml:space="preserve">Uta Heil, ‘Athanasius of Alexandria – Teacher and Martyr of the Christian Church, in: Paul as Homo Novus. Authorial Strategies of Self-Fashioning in Light of a Ciceronian Term (Studia Aarhusiana Neotestamentica 6), Eds. Eve-Marie Becker and Jacob Mortensen, Göttingen: Vandenhoeck &amp;amp; Ruprecht, 2018, 177-196.’, </w:t>
      </w:r>
      <w:r w:rsidRPr="00224836">
        <w:rPr>
          <w:rFonts w:ascii="Calibri" w:cs="Calibri"/>
          <w:i/>
          <w:iCs/>
        </w:rPr>
        <w:t>Uta Heil</w:t>
      </w:r>
      <w:r w:rsidRPr="00224836">
        <w:rPr>
          <w:rFonts w:ascii="Calibri" w:cs="Calibri"/>
        </w:rPr>
        <w:t>, 2018 &lt;https://www.academia.edu/40176144/Athanasius_of_Alexandria_Teacher_and_Martyr_of_the_Christian_Church_in_Paul_as_homo_novus_Authorial_strategies_of_self_fashioning_in_light_of_a_Ciceronian_term_Studia_Aarhusiana_Neotestamentica_6_eds_Eve_Marie_Becker_and_Jacob_Mortensen_G%C3%B6ttingen_Vandenhoeck_and_Ruprecht_2018_177_196&gt; [accessed 7 March 2023]</w:t>
      </w:r>
      <w:r>
        <w:rPr>
          <w:rFonts w:ascii="Calibri" w:cs="Calibri"/>
        </w:rPr>
        <w:t>, 181</w:t>
      </w:r>
      <w:r w:rsidRPr="00224836">
        <w:rPr>
          <w:rFonts w:ascii="Calibri" w:cs="Calibri"/>
        </w:rPr>
        <w:t>.</w:t>
      </w:r>
      <w:r>
        <w:fldChar w:fldCharType="end"/>
      </w:r>
    </w:p>
  </w:footnote>
  <w:footnote w:id="43">
    <w:p w14:paraId="0960A86A" w14:textId="382811D6" w:rsidR="001F271C" w:rsidRDefault="001F271C" w:rsidP="001F271C">
      <w:pPr>
        <w:pStyle w:val="FootnoteText"/>
      </w:pPr>
      <w:r w:rsidRPr="004B77E8">
        <w:rPr>
          <w:rStyle w:val="FootnoteReference"/>
        </w:rPr>
        <w:footnoteRef/>
      </w:r>
      <w:r>
        <w:t xml:space="preserve"> </w:t>
      </w:r>
      <w:r>
        <w:fldChar w:fldCharType="begin"/>
      </w:r>
      <w:r w:rsidR="00B17F89">
        <w:instrText xml:space="preserve"> ADDIN ZOTERO_ITEM CSL_CITATION {"citationID":"gViIIhPh","properties":{"formattedCitation":"Miroslav Volf, {\\i{}After Our Likeness: The Church as the Image of the Trinity}, Sacra Doctrina (Grand Rapids, Mich: William B. Eerdmans, 1998).","plainCitation":"Miroslav Volf, After Our Likeness: The Church as the Image of the Trinity, Sacra Doctrina (Grand Rapids, Mich: William B. Eerdmans, 1998).","noteIndex":43},"citationItems":[{"id":2407,"uris":["http://zotero.org/users/7540819/items/BD2EIG7U"],"itemData":{"id":2407,"type":"book","call-number":"BV4405 .V65 1998","collection-title":"Sacra doctrina","event-place":"Grand Rapids, Mich","ISBN":"978-0-8028-4440-8","number-of-pages":"314","publisher":"William B. Eerdmans","publisher-place":"Grand Rapids, Mich","source":"Library of Congress ISBN","title":"After our likeness: the church as the image of the trinity","title-short":"After our likeness","author":[{"family":"Volf","given":"Miroslav"}],"issued":{"date-parts":[["1998"]]}}}],"schema":"https://github.com/citation-style-language/schema/raw/master/csl-citation.json"} </w:instrText>
      </w:r>
      <w:r>
        <w:fldChar w:fldCharType="separate"/>
      </w:r>
      <w:r w:rsidRPr="00C45E43">
        <w:rPr>
          <w:rFonts w:ascii="Calibri" w:cs="Calibri"/>
        </w:rPr>
        <w:t xml:space="preserve">Miroslav Volf, </w:t>
      </w:r>
      <w:r w:rsidRPr="00C45E43">
        <w:rPr>
          <w:rFonts w:ascii="Calibri" w:cs="Calibri"/>
          <w:i/>
          <w:iCs/>
        </w:rPr>
        <w:t xml:space="preserve">After Our Likeness: The Church as the Image of the </w:t>
      </w:r>
      <w:r>
        <w:rPr>
          <w:rFonts w:ascii="Calibri" w:cs="Calibri"/>
          <w:i/>
          <w:iCs/>
        </w:rPr>
        <w:t>Trinit</w:t>
      </w:r>
      <w:r w:rsidRPr="00C45E43">
        <w:rPr>
          <w:rFonts w:ascii="Calibri" w:cs="Calibri"/>
          <w:i/>
          <w:iCs/>
        </w:rPr>
        <w:t>y</w:t>
      </w:r>
      <w:r w:rsidRPr="00C45E43">
        <w:rPr>
          <w:rFonts w:ascii="Calibri" w:cs="Calibri"/>
        </w:rPr>
        <w:t>, Sacra Doctrina (Grand Rapids, Mich: William B. Eerdmans, 1998).</w:t>
      </w:r>
      <w:r>
        <w:fldChar w:fldCharType="end"/>
      </w:r>
    </w:p>
  </w:footnote>
  <w:footnote w:id="44">
    <w:p w14:paraId="5C29A254" w14:textId="507563DC" w:rsidR="001F271C" w:rsidRDefault="001F271C" w:rsidP="001F271C">
      <w:pPr>
        <w:pStyle w:val="FootnoteText"/>
      </w:pPr>
      <w:r w:rsidRPr="004B77E8">
        <w:rPr>
          <w:rStyle w:val="FootnoteReference"/>
        </w:rPr>
        <w:footnoteRef/>
      </w:r>
      <w:r>
        <w:t xml:space="preserve"> </w:t>
      </w:r>
      <w:r>
        <w:fldChar w:fldCharType="begin"/>
      </w:r>
      <w:r w:rsidR="00B17F89">
        <w:instrText xml:space="preserve"> ADDIN ZOTERO_ITEM CSL_CITATION {"citationID":"ZOlHuhXf","properties":{"formattedCitation":"Volf.","plainCitation":"Volf.","dontUpdate":true,"noteIndex":44},"citationItems":[{"id":2407,"uris":["http://zotero.org/users/7540819/items/BD2EIG7U"],"itemData":{"id":2407,"type":"book","call-number":"BV4405 .V65 1998","collection-title":"Sacra doctrina","event-place":"Grand Rapids, Mich","ISBN":"978-0-8028-4440-8","number-of-pages":"314","publisher":"William B. Eerdmans","publisher-place":"Grand Rapids, Mich","source":"Library of Congress ISBN","title":"After our likeness: the church as the image of the trinity","title-short":"After our likeness","author":[{"family":"Volf","given":"Miroslav"}],"issued":{"date-parts":[["1998"]]}}}],"schema":"https://github.com/citation-style-language/schema/raw/master/csl-citation.json"} </w:instrText>
      </w:r>
      <w:r>
        <w:fldChar w:fldCharType="separate"/>
      </w:r>
      <w:r>
        <w:rPr>
          <w:noProof/>
        </w:rPr>
        <w:t>Volf, 208-213.</w:t>
      </w:r>
      <w:r>
        <w:fldChar w:fldCharType="end"/>
      </w:r>
    </w:p>
  </w:footnote>
  <w:footnote w:id="45">
    <w:p w14:paraId="2B5198DE" w14:textId="72F03CB3" w:rsidR="008C6EB0" w:rsidRDefault="008C6EB0" w:rsidP="008C6EB0">
      <w:pPr>
        <w:pStyle w:val="FootnoteText"/>
      </w:pPr>
      <w:r w:rsidRPr="004B77E8">
        <w:rPr>
          <w:rStyle w:val="FootnoteReference"/>
        </w:rPr>
        <w:footnoteRef/>
      </w:r>
      <w:r>
        <w:t xml:space="preserve"> </w:t>
      </w:r>
      <w:r>
        <w:fldChar w:fldCharType="begin"/>
      </w:r>
      <w:r w:rsidR="00B17F89">
        <w:instrText xml:space="preserve"> ADDIN ZOTERO_ITEM CSL_CITATION {"citationID":"BG1fxK3b","properties":{"formattedCitation":"Volf.","plainCitation":"Volf.","dontUpdate":true,"noteIndex":45},"citationItems":[{"id":2407,"uris":["http://zotero.org/users/7540819/items/BD2EIG7U"],"itemData":{"id":2407,"type":"book","call-number":"BV4405 .V65 1998","collection-title":"Sacra doctrina","event-place":"Grand Rapids, Mich","ISBN":"978-0-8028-4440-8","number-of-pages":"314","publisher":"William B. Eerdmans","publisher-place":"Grand Rapids, Mich","source":"Library of Congress ISBN","title":"After our likeness: the church as the image of the trinity","title-short":"After our likeness","author":[{"family":"Volf","given":"Miroslav"}],"issued":{"date-parts":[["1998"]]}}}],"schema":"https://github.com/citation-style-language/schema/raw/master/csl-citation.json"} </w:instrText>
      </w:r>
      <w:r>
        <w:fldChar w:fldCharType="separate"/>
      </w:r>
      <w:r>
        <w:rPr>
          <w:noProof/>
        </w:rPr>
        <w:t>Volf, 217.</w:t>
      </w:r>
      <w:r>
        <w:fldChar w:fldCharType="end"/>
      </w:r>
    </w:p>
  </w:footnote>
  <w:footnote w:id="46">
    <w:p w14:paraId="746242DA" w14:textId="35C06E47" w:rsidR="008C6EB0" w:rsidRDefault="008C6EB0" w:rsidP="008C6EB0">
      <w:pPr>
        <w:pStyle w:val="FootnoteText"/>
      </w:pPr>
      <w:r w:rsidRPr="004B77E8">
        <w:rPr>
          <w:rStyle w:val="FootnoteReference"/>
        </w:rPr>
        <w:footnoteRef/>
      </w:r>
      <w:r>
        <w:t xml:space="preserve"> </w:t>
      </w:r>
      <w:r>
        <w:fldChar w:fldCharType="begin"/>
      </w:r>
      <w:r w:rsidR="00B17F89">
        <w:instrText xml:space="preserve"> ADDIN ZOTERO_ITEM CSL_CITATION {"citationID":"bDSO32Qr","properties":{"formattedCitation":"Athanasius, \\uc0\\u8216{}On the Incarnation of the Word\\uc0\\u8217{}.","plainCitation":"Athanasius, ‘On the Incarnation of the Word’.","dontUpdate":true,"noteIndex":46},"citationItems":[{"id":2401,"uris":["http://zotero.org/users/7540819/items/8SFSSVVT"],"itemData":{"id":2401,"type":"webpage","title":"On the Incarnation of the Word","URL":"https://ccel.org/ccel/a/athanasius/incarnation/cache/incarnation.txt","author":[{"family":"Athanasius","given":""}],"accessed":{"date-parts":[["2023",3,2]]}}}],"schema":"https://github.com/citation-style-language/schema/raw/master/csl-citation.json"} </w:instrText>
      </w:r>
      <w:r>
        <w:fldChar w:fldCharType="separate"/>
      </w:r>
      <w:r w:rsidRPr="007C14A3">
        <w:rPr>
          <w:rFonts w:ascii="Calibri" w:cs="Calibri"/>
        </w:rPr>
        <w:t>Athanasius, ‘On the Incarnation of the Word’</w:t>
      </w:r>
      <w:r>
        <w:rPr>
          <w:rFonts w:ascii="Calibri" w:cs="Calibri"/>
        </w:rPr>
        <w:t>, 5.26</w:t>
      </w:r>
      <w:r w:rsidRPr="007C14A3">
        <w:rPr>
          <w:rFonts w:ascii="Calibri" w:cs="Calibri"/>
        </w:rPr>
        <w:t>.</w:t>
      </w:r>
      <w:r>
        <w:fldChar w:fldCharType="end"/>
      </w:r>
    </w:p>
  </w:footnote>
  <w:footnote w:id="47">
    <w:p w14:paraId="78ABACF6" w14:textId="3791F161" w:rsidR="008C6EB0" w:rsidRDefault="008C6EB0" w:rsidP="008C6EB0">
      <w:pPr>
        <w:pStyle w:val="FootnoteText"/>
      </w:pPr>
      <w:r w:rsidRPr="004B77E8">
        <w:rPr>
          <w:rStyle w:val="FootnoteReference"/>
        </w:rPr>
        <w:footnoteRef/>
      </w:r>
      <w:r>
        <w:t xml:space="preserve"> </w:t>
      </w:r>
      <w:r>
        <w:fldChar w:fldCharType="begin"/>
      </w:r>
      <w:r w:rsidR="00B17F89">
        <w:instrText xml:space="preserve"> ADDIN ZOTERO_ITEM CSL_CITATION {"citationID":"aiGpCnSN","properties":{"formattedCitation":"Athanasius, \\uc0\\u8216{}On the Incarnation of the Word\\uc0\\u8217{}.","plainCitation":"Athanasius, ‘On the Incarnation of the Word’.","dontUpdate":true,"noteIndex":47},"citationItems":[{"id":2401,"uris":["http://zotero.org/users/7540819/items/8SFSSVVT"],"itemData":{"id":2401,"type":"webpage","title":"On the Incarnation of the Word","URL":"https://ccel.org/ccel/a/athanasius/incarnation/cache/incarnation.txt","author":[{"family":"Athanasius","given":""}],"accessed":{"date-parts":[["2023",3,2]]}}}],"schema":"https://github.com/citation-style-language/schema/raw/master/csl-citation.json"} </w:instrText>
      </w:r>
      <w:r>
        <w:fldChar w:fldCharType="separate"/>
      </w:r>
      <w:r w:rsidRPr="00363B31">
        <w:rPr>
          <w:rFonts w:ascii="Calibri" w:cs="Calibri"/>
        </w:rPr>
        <w:t>Athanasius, ‘On the Incarnation of the Word’</w:t>
      </w:r>
      <w:r>
        <w:rPr>
          <w:rFonts w:ascii="Calibri" w:cs="Calibri"/>
        </w:rPr>
        <w:t>, 5.32</w:t>
      </w:r>
      <w:r w:rsidRPr="00363B31">
        <w:rPr>
          <w:rFonts w:ascii="Calibri" w:cs="Calibri"/>
        </w:rPr>
        <w:t>.</w:t>
      </w:r>
      <w:r>
        <w:fldChar w:fldCharType="end"/>
      </w:r>
    </w:p>
  </w:footnote>
  <w:footnote w:id="48">
    <w:p w14:paraId="3190F56E" w14:textId="0C8AF505" w:rsidR="000A3067" w:rsidRDefault="000A3067">
      <w:pPr>
        <w:pStyle w:val="FootnoteText"/>
      </w:pPr>
      <w:r w:rsidRPr="004B77E8">
        <w:rPr>
          <w:rStyle w:val="FootnoteReference"/>
        </w:rPr>
        <w:footnoteRef/>
      </w:r>
      <w:r>
        <w:t xml:space="preserve"> Cf. also </w:t>
      </w:r>
      <w:r>
        <w:fldChar w:fldCharType="begin"/>
      </w:r>
      <w:r w:rsidR="00B17F89">
        <w:instrText xml:space="preserve"> ADDIN ZOTERO_ITEM CSL_CITATION {"citationID":"XapN3SE9","properties":{"formattedCitation":"Chris Gousmett, \\uc0\\u8216{}THE CHRIST OF THE SPIRIT\\uc0\\u8217{}: &lt;https://www.allofliferedeemed.co.uk/Gousmett/CGChristOfTheSpirit.pdf&gt;.","plainCitation":"Chris Gousmett, ‘THE CHRIST OF THE SPIRIT’: &lt;https://www.allofliferedeemed.co.uk/Gousmett/CGChristOfTheSpirit.pdf&gt;.","dontUpdate":true,"noteIndex":48},"citationItems":[{"id":2418,"uris":["http://zotero.org/users/7540819/items/7MKAA9DK"],"itemData":{"id":2418,"type":"article-journal","language":"en","source":"Zotero","title":"THE CHRIST OF THE SPIRIT:","URL":"https://www.allofliferedeemed.co.uk/Gousmett/CGChristOfTheSpirit.pdf","author":[{"family":"Gousmett","given":"Chris"}]}}],"schema":"https://github.com/citation-style-language/schema/raw/master/csl-citation.json"} </w:instrText>
      </w:r>
      <w:r>
        <w:fldChar w:fldCharType="separate"/>
      </w:r>
      <w:r w:rsidRPr="000A3067">
        <w:rPr>
          <w:rFonts w:ascii="Calibri" w:cs="Calibri"/>
        </w:rPr>
        <w:t>Chris Gousmett, ‘THE CHRIST OF THE SPIRIT’: &lt;https://www.allofliferedeemed.co.uk/Gousmett/CGChristOfTheSpirit.pdf&gt;</w:t>
      </w:r>
      <w:r>
        <w:rPr>
          <w:rFonts w:ascii="Calibri" w:cs="Calibri"/>
        </w:rPr>
        <w:t>, 2, 6 and especially the C Kannengiesser citation</w:t>
      </w:r>
      <w:r w:rsidRPr="000A3067">
        <w:rPr>
          <w:rFonts w:ascii="Calibri" w:cs="Calibri"/>
        </w:rPr>
        <w:t>.</w:t>
      </w:r>
      <w:r>
        <w:fldChar w:fldCharType="end"/>
      </w:r>
    </w:p>
  </w:footnote>
  <w:footnote w:id="49">
    <w:p w14:paraId="798D7841" w14:textId="2785CAD1" w:rsidR="004B77E8" w:rsidRDefault="004B77E8" w:rsidP="004B77E8">
      <w:pPr>
        <w:pStyle w:val="FootnoteText"/>
      </w:pPr>
      <w:r w:rsidRPr="004B77E8">
        <w:rPr>
          <w:rStyle w:val="FootnoteReference"/>
        </w:rPr>
        <w:footnoteRef/>
      </w:r>
      <w:r>
        <w:t xml:space="preserve"> Cf. </w:t>
      </w:r>
      <w:r>
        <w:rPr>
          <w:i/>
          <w:iCs/>
        </w:rPr>
        <w:t>inter alios</w:t>
      </w:r>
      <w:r>
        <w:t xml:space="preserve"> </w:t>
      </w:r>
      <w:r>
        <w:fldChar w:fldCharType="begin"/>
      </w:r>
      <w:r>
        <w:instrText xml:space="preserve"> ADDIN ZOTERO_ITEM CSL_CITATION {"citationID":"ThpRSMld","properties":{"formattedCitation":"Greene, Colin J.D., {\\i{}Christology in Cultural Perspective Marking Out the Horizons} (Wipf &amp; Stock Pub, 2015).","plainCitation":"Greene, Colin J.D., Christology in Cultural Perspective Marking Out the Horizons (Wipf &amp; Stock Pub, 2015).","noteIndex":49},"citationItems":[{"id":2387,"uris":["http://zotero.org/users/7540819/items/9CZEQ9EH"],"itemData":{"id":2387,"type":"book","ISBN":"978-1-4982-3055-1","language":"eng","note":"OCLC: 952390210","publisher":"Wipf &amp; Stock Pub","source":"Open WorldCat","title":"Christology in Cultural Perspective Marking Out the Horizons","author":[{"literal":"Greene, Colin J.D."}],"issued":{"date-parts":[["2015"]]}}}],"schema":"https://github.com/citation-style-language/schema/raw/master/csl-citation.json"} </w:instrText>
      </w:r>
      <w:r>
        <w:fldChar w:fldCharType="separate"/>
      </w:r>
      <w:r w:rsidRPr="00351549">
        <w:rPr>
          <w:rFonts w:ascii="Calibri" w:cs="Calibri"/>
        </w:rPr>
        <w:t xml:space="preserve">Greene, Colin J.D., </w:t>
      </w:r>
      <w:r w:rsidRPr="00351549">
        <w:rPr>
          <w:rFonts w:ascii="Calibri" w:cs="Calibri"/>
          <w:i/>
          <w:iCs/>
        </w:rPr>
        <w:t>Christology in Cultural Perspective Marking Out the Horizons</w:t>
      </w:r>
      <w:r w:rsidRPr="00351549">
        <w:rPr>
          <w:rFonts w:ascii="Calibri" w:cs="Calibri"/>
        </w:rPr>
        <w:t xml:space="preserve"> (Wipf &amp; Stock Pub, 2015)</w:t>
      </w:r>
      <w:r>
        <w:rPr>
          <w:rFonts w:ascii="Calibri" w:cs="Calibri"/>
        </w:rPr>
        <w:t>, 42-43</w:t>
      </w:r>
      <w:r w:rsidRPr="00351549">
        <w:rPr>
          <w:rFonts w:ascii="Calibri" w:cs="Calibri"/>
        </w:rPr>
        <w:t>.</w:t>
      </w:r>
      <w:r>
        <w:fldChar w:fldCharType="end"/>
      </w:r>
      <w:r w:rsidR="009E5F33">
        <w:t xml:space="preserve">; </w:t>
      </w:r>
      <w:r>
        <w:t xml:space="preserve">Sarah Oakley in </w:t>
      </w:r>
      <w:r>
        <w:fldChar w:fldCharType="begin"/>
      </w:r>
      <w:r>
        <w:instrText xml:space="preserve"> ADDIN ZOTERO_ITEM CSL_CITATION {"citationID":"p21GPDY3","properties":{"formattedCitation":"{\\i{}The Incarnation: An Interdisciplinary Symposium on the Incarnation of the Son of God}, ed. by Stephen T. Davis, Daniel Kendall SJ, and Gerald O\\uc0\\u8217{}Collins SJ (Oxford University Press, 2002) &lt;https://doi.org/10.1093/0199248451.001.0001&gt;.","plainCitation":"The Incarnation: An Interdisciplinary Symposium on the Incarnation of the Son of God, ed. by Stephen T. Davis, Daniel Kendall SJ, and Gerald O’Collins SJ (Oxford University Press, 2002) &lt;https://doi.org/10.1093/0199248451.001.0001&gt;.","noteIndex":49},"citationItems":[{"id":2364,"uris":["http://zotero.org/users/7540819/items/DQEJQ7SX"],"itemData":{"id":2364,"type":"book","abstract":"After a critical survey of the issues (O’Collins), this collection moves from biblical questions and milieu (Dearman, Wright, Fee, Aletti, and Segal) through some classical teaching and reflection on the incarnation (Coakley, Daley, and Stump), and on to theological and philosophical debates (Davis, Evans, and Leftow). It ends with some ‘practical’ applications of incarnation faith to writing, art, ethics, and preaching (Norris, Zagzebski, Brown, and Shuster). This volume proposes approaching the multi‐faceted incarnation faith in an organized and coherent way: namely, by reflecting on biblical, historical, foundational, systematic, and practical data and questions. Ch. 1 will point out links with later chapters and their place in the landscape of incarnation studies. That chapter, along with those to follow, recognizes how various issues connected with the incarnation cannot be solved with relative ease.","ISBN":"978-0-19-924845-2","note":"DOI: 10.1093/0199248451.001.0001","publisher":"Oxford University Press","title":"The Incarnation: An Interdisciplinary Symposium on the Incarnation of the Son of God","URL":"https://doi.org/10.1093/0199248451.001.0001","editor":[{"family":"Davis","given":"Stephen T."},{"family":"Kendall SJ","given":"Daniel"},{"family":"O'Collins SJ","given":"Gerald"}],"accessed":{"date-parts":[["2023",2,17]]},"issued":{"date-parts":[["2002",5,2]]}}}],"schema":"https://github.com/citation-style-language/schema/raw/master/csl-citation.json"} </w:instrText>
      </w:r>
      <w:r>
        <w:fldChar w:fldCharType="separate"/>
      </w:r>
      <w:r w:rsidRPr="00EF7996">
        <w:rPr>
          <w:rFonts w:ascii="Calibri" w:cs="Calibri"/>
          <w:i/>
          <w:iCs/>
        </w:rPr>
        <w:t>The Incarnation: An Interdisciplinary Symposium on the Incarnation of the Son of God</w:t>
      </w:r>
      <w:r w:rsidRPr="00EF7996">
        <w:rPr>
          <w:rFonts w:ascii="Calibri" w:cs="Calibri"/>
        </w:rPr>
        <w:t>, ed. by Stephen T. Davis, Daniel Kendall SJ, and Gerald O’Collins SJ (Oxford University Press, 2002)</w:t>
      </w:r>
      <w:r>
        <w:rPr>
          <w:rFonts w:ascii="Calibri" w:cs="Calibri"/>
        </w:rPr>
        <w:t>, 145-163</w:t>
      </w:r>
      <w:r w:rsidRPr="00EF7996">
        <w:rPr>
          <w:rFonts w:ascii="Calibri" w:cs="Calibri"/>
        </w:rPr>
        <w:t xml:space="preserve"> &lt;https://doi.org/10.1093/0199248451.001.0001&gt;.</w:t>
      </w:r>
      <w:r>
        <w:fldChar w:fldCharType="end"/>
      </w:r>
      <w:r w:rsidR="009E5F33">
        <w:t xml:space="preserve">; </w:t>
      </w:r>
      <w:r w:rsidR="009E5F33">
        <w:fldChar w:fldCharType="begin"/>
      </w:r>
      <w:r w:rsidR="009E5F33">
        <w:instrText xml:space="preserve"> ADDIN ZOTERO_ITEM CSL_CITATION {"citationID":"p3SjDPVl","properties":{"formattedCitation":"O\\uc0\\u8217{}Collins.","plainCitation":"O’Collins.","noteIndex":49},"citationItems":[{"id":2493,"uris":["http://zotero.org/users/7540819/items/HGRWDUHQ"],"itemData":{"id":2493,"type":"book","call-number":"BT202 .O313 1995","event-place":"Oxford ; New York","ISBN":"978-0-19-875501-2","number-of-pages":"333","publisher":"Oxford University Press","publisher-place":"Oxford ; New York","source":"Library of Congress ISBN","title":"Christology: a biblical, historical, and systematic study of Jesus Christ","title-short":"Christology","author":[{"family":"O'Collins","given":"Gerald"}],"issued":{"date-parts":[["1995"]]}}}],"schema":"https://github.com/citation-style-language/schema/raw/master/csl-citation.json"} </w:instrText>
      </w:r>
      <w:r w:rsidR="009E5F33">
        <w:fldChar w:fldCharType="separate"/>
      </w:r>
      <w:proofErr w:type="spellStart"/>
      <w:r w:rsidR="009E5F33" w:rsidRPr="009E5F33">
        <w:rPr>
          <w:rFonts w:ascii="Calibri" w:cs="Calibri"/>
        </w:rPr>
        <w:t>O’Collins</w:t>
      </w:r>
      <w:proofErr w:type="spellEnd"/>
      <w:r w:rsidR="009E5F33">
        <w:rPr>
          <w:rFonts w:ascii="Calibri" w:cs="Calibri"/>
        </w:rPr>
        <w:t>, 186-193</w:t>
      </w:r>
      <w:r w:rsidR="009E5F33" w:rsidRPr="009E5F33">
        <w:rPr>
          <w:rFonts w:ascii="Calibri" w:cs="Calibri"/>
        </w:rPr>
        <w:t>.</w:t>
      </w:r>
      <w:r w:rsidR="009E5F33">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D05B3" w14:textId="30FD90CE" w:rsidR="00036A3A" w:rsidRDefault="00036A3A" w:rsidP="00036A3A">
    <w:pPr>
      <w:ind w:left="-709"/>
      <w:rPr>
        <w:rFonts w:cstheme="minorHAnsi"/>
      </w:rPr>
    </w:pPr>
    <w:r w:rsidRPr="00036A3A">
      <w:rPr>
        <w:rFonts w:cstheme="minorHAnsi"/>
      </w:rPr>
      <w:t xml:space="preserve">HPRS7021 The Doctrine of the Trinity </w:t>
    </w:r>
    <w:r>
      <w:rPr>
        <w:rFonts w:cstheme="minorHAnsi"/>
      </w:rPr>
      <w:t>Text Analysis 1</w:t>
    </w:r>
    <w:r>
      <w:rPr>
        <w:rFonts w:cstheme="minorHAnsi"/>
      </w:rPr>
      <w:tab/>
    </w:r>
    <w:r>
      <w:rPr>
        <w:rFonts w:cstheme="minorHAnsi"/>
      </w:rPr>
      <w:tab/>
    </w:r>
    <w:r>
      <w:rPr>
        <w:rFonts w:cstheme="minorHAnsi"/>
      </w:rPr>
      <w:tab/>
    </w:r>
    <w:r w:rsidRPr="00036A3A">
      <w:rPr>
        <w:rFonts w:cstheme="minorHAnsi"/>
      </w:rPr>
      <w:tab/>
      <w:t>Douglas Spenceley</w:t>
    </w:r>
  </w:p>
  <w:p w14:paraId="0AA901DC" w14:textId="429C3752" w:rsidR="00036A3A" w:rsidRPr="00036A3A" w:rsidRDefault="00036A3A" w:rsidP="00036A3A">
    <w:pPr>
      <w:ind w:left="-709"/>
      <w:jc w:val="right"/>
      <w:rPr>
        <w:rFonts w:cstheme="minorHAnsi"/>
      </w:rPr>
    </w:pPr>
    <w:r>
      <w:rPr>
        <w:rFonts w:cstheme="minorHAnsi"/>
      </w:rPr>
      <w:t>Student ID: 2026303</w:t>
    </w:r>
  </w:p>
  <w:p w14:paraId="37EC7EB2" w14:textId="77777777" w:rsidR="00036A3A" w:rsidRDefault="00036A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543C6"/>
    <w:multiLevelType w:val="hybridMultilevel"/>
    <w:tmpl w:val="3FB0D2A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72807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4C1"/>
    <w:rsid w:val="000106FF"/>
    <w:rsid w:val="00014099"/>
    <w:rsid w:val="000150EA"/>
    <w:rsid w:val="00036A3A"/>
    <w:rsid w:val="00037468"/>
    <w:rsid w:val="00064BC8"/>
    <w:rsid w:val="00070092"/>
    <w:rsid w:val="000A3067"/>
    <w:rsid w:val="000C1A94"/>
    <w:rsid w:val="000C539B"/>
    <w:rsid w:val="000C72D2"/>
    <w:rsid w:val="000D799B"/>
    <w:rsid w:val="000F41AA"/>
    <w:rsid w:val="00107A84"/>
    <w:rsid w:val="00120C5C"/>
    <w:rsid w:val="0012256F"/>
    <w:rsid w:val="00130726"/>
    <w:rsid w:val="00132759"/>
    <w:rsid w:val="00136D29"/>
    <w:rsid w:val="00153140"/>
    <w:rsid w:val="00163BF9"/>
    <w:rsid w:val="00174129"/>
    <w:rsid w:val="00182411"/>
    <w:rsid w:val="00185517"/>
    <w:rsid w:val="00185C89"/>
    <w:rsid w:val="001B22D2"/>
    <w:rsid w:val="001B74BC"/>
    <w:rsid w:val="001C343F"/>
    <w:rsid w:val="001C4045"/>
    <w:rsid w:val="001D4896"/>
    <w:rsid w:val="001E023B"/>
    <w:rsid w:val="001E0E8B"/>
    <w:rsid w:val="001E3ED2"/>
    <w:rsid w:val="001F271C"/>
    <w:rsid w:val="001F502F"/>
    <w:rsid w:val="002103CD"/>
    <w:rsid w:val="00215E2F"/>
    <w:rsid w:val="00224836"/>
    <w:rsid w:val="00237D66"/>
    <w:rsid w:val="00241761"/>
    <w:rsid w:val="002455EA"/>
    <w:rsid w:val="00261302"/>
    <w:rsid w:val="00270CA5"/>
    <w:rsid w:val="00287D17"/>
    <w:rsid w:val="002934A9"/>
    <w:rsid w:val="00294051"/>
    <w:rsid w:val="002A0804"/>
    <w:rsid w:val="002A3BB6"/>
    <w:rsid w:val="002B49ED"/>
    <w:rsid w:val="002B601C"/>
    <w:rsid w:val="002B771D"/>
    <w:rsid w:val="002C2353"/>
    <w:rsid w:val="002D308D"/>
    <w:rsid w:val="002F1F7F"/>
    <w:rsid w:val="00300582"/>
    <w:rsid w:val="0030785C"/>
    <w:rsid w:val="0031562F"/>
    <w:rsid w:val="00321E43"/>
    <w:rsid w:val="00326078"/>
    <w:rsid w:val="003374C9"/>
    <w:rsid w:val="00343EB3"/>
    <w:rsid w:val="00347413"/>
    <w:rsid w:val="00351549"/>
    <w:rsid w:val="00357154"/>
    <w:rsid w:val="00361279"/>
    <w:rsid w:val="00363B31"/>
    <w:rsid w:val="003751B9"/>
    <w:rsid w:val="00384357"/>
    <w:rsid w:val="00384DE8"/>
    <w:rsid w:val="00390DB1"/>
    <w:rsid w:val="00394235"/>
    <w:rsid w:val="003A44C1"/>
    <w:rsid w:val="003B27DA"/>
    <w:rsid w:val="003B2EBA"/>
    <w:rsid w:val="003B57DC"/>
    <w:rsid w:val="003C3146"/>
    <w:rsid w:val="003C723B"/>
    <w:rsid w:val="003D5272"/>
    <w:rsid w:val="003D5A65"/>
    <w:rsid w:val="003E777D"/>
    <w:rsid w:val="003F3CAE"/>
    <w:rsid w:val="003F457F"/>
    <w:rsid w:val="004036F6"/>
    <w:rsid w:val="004115AE"/>
    <w:rsid w:val="00416251"/>
    <w:rsid w:val="0042024C"/>
    <w:rsid w:val="00420974"/>
    <w:rsid w:val="0042777B"/>
    <w:rsid w:val="00430949"/>
    <w:rsid w:val="00444EE6"/>
    <w:rsid w:val="004508BB"/>
    <w:rsid w:val="00465B2E"/>
    <w:rsid w:val="004669ED"/>
    <w:rsid w:val="004672F3"/>
    <w:rsid w:val="00482798"/>
    <w:rsid w:val="004B129F"/>
    <w:rsid w:val="004B77E8"/>
    <w:rsid w:val="004C3A69"/>
    <w:rsid w:val="004F6C19"/>
    <w:rsid w:val="0051221D"/>
    <w:rsid w:val="005122BC"/>
    <w:rsid w:val="005150BB"/>
    <w:rsid w:val="00517D5B"/>
    <w:rsid w:val="00520963"/>
    <w:rsid w:val="00546B27"/>
    <w:rsid w:val="00550599"/>
    <w:rsid w:val="005523B7"/>
    <w:rsid w:val="00560F6A"/>
    <w:rsid w:val="005729FD"/>
    <w:rsid w:val="00581941"/>
    <w:rsid w:val="005941AE"/>
    <w:rsid w:val="005947EE"/>
    <w:rsid w:val="0059661A"/>
    <w:rsid w:val="005C0DE5"/>
    <w:rsid w:val="005D2DB6"/>
    <w:rsid w:val="005D7C22"/>
    <w:rsid w:val="005E1E3C"/>
    <w:rsid w:val="005F2952"/>
    <w:rsid w:val="005F53ED"/>
    <w:rsid w:val="00600753"/>
    <w:rsid w:val="006043B6"/>
    <w:rsid w:val="006079A6"/>
    <w:rsid w:val="00651844"/>
    <w:rsid w:val="006603D5"/>
    <w:rsid w:val="006714B3"/>
    <w:rsid w:val="006773F3"/>
    <w:rsid w:val="00677979"/>
    <w:rsid w:val="006969BF"/>
    <w:rsid w:val="006A699E"/>
    <w:rsid w:val="006C750C"/>
    <w:rsid w:val="006D23B2"/>
    <w:rsid w:val="006D2AD6"/>
    <w:rsid w:val="006E2DFB"/>
    <w:rsid w:val="006F619D"/>
    <w:rsid w:val="00703943"/>
    <w:rsid w:val="00705553"/>
    <w:rsid w:val="00743ECF"/>
    <w:rsid w:val="00751C6D"/>
    <w:rsid w:val="00753612"/>
    <w:rsid w:val="00760392"/>
    <w:rsid w:val="00782C97"/>
    <w:rsid w:val="0078341F"/>
    <w:rsid w:val="007B2FCA"/>
    <w:rsid w:val="007B53DD"/>
    <w:rsid w:val="007C0008"/>
    <w:rsid w:val="007C14A3"/>
    <w:rsid w:val="007C712D"/>
    <w:rsid w:val="007F1737"/>
    <w:rsid w:val="007F297D"/>
    <w:rsid w:val="00817FD6"/>
    <w:rsid w:val="0082651C"/>
    <w:rsid w:val="00884D01"/>
    <w:rsid w:val="00891810"/>
    <w:rsid w:val="008A4C5D"/>
    <w:rsid w:val="008A663A"/>
    <w:rsid w:val="008B749D"/>
    <w:rsid w:val="008C1D44"/>
    <w:rsid w:val="008C6EB0"/>
    <w:rsid w:val="008C7D78"/>
    <w:rsid w:val="008D1BDF"/>
    <w:rsid w:val="008D3E18"/>
    <w:rsid w:val="008D5671"/>
    <w:rsid w:val="008D623F"/>
    <w:rsid w:val="0090510C"/>
    <w:rsid w:val="00910995"/>
    <w:rsid w:val="00912EE8"/>
    <w:rsid w:val="00920E1F"/>
    <w:rsid w:val="00923D1C"/>
    <w:rsid w:val="0093100B"/>
    <w:rsid w:val="00931ACA"/>
    <w:rsid w:val="009339F7"/>
    <w:rsid w:val="00976BF4"/>
    <w:rsid w:val="009773D7"/>
    <w:rsid w:val="00980042"/>
    <w:rsid w:val="00981FA9"/>
    <w:rsid w:val="009821CD"/>
    <w:rsid w:val="00982D39"/>
    <w:rsid w:val="0098607F"/>
    <w:rsid w:val="00993EE6"/>
    <w:rsid w:val="009A3D24"/>
    <w:rsid w:val="009A45E3"/>
    <w:rsid w:val="009B0B8B"/>
    <w:rsid w:val="009B5B4A"/>
    <w:rsid w:val="009B6140"/>
    <w:rsid w:val="009B7D3B"/>
    <w:rsid w:val="009C3B23"/>
    <w:rsid w:val="009D6B8D"/>
    <w:rsid w:val="009E5F33"/>
    <w:rsid w:val="009F5AFB"/>
    <w:rsid w:val="00A07870"/>
    <w:rsid w:val="00A22032"/>
    <w:rsid w:val="00A26FE1"/>
    <w:rsid w:val="00A32915"/>
    <w:rsid w:val="00A32E31"/>
    <w:rsid w:val="00A43924"/>
    <w:rsid w:val="00A43B42"/>
    <w:rsid w:val="00A75E7B"/>
    <w:rsid w:val="00A77488"/>
    <w:rsid w:val="00A83E9D"/>
    <w:rsid w:val="00A87D54"/>
    <w:rsid w:val="00AA4945"/>
    <w:rsid w:val="00AA4AA1"/>
    <w:rsid w:val="00AA6407"/>
    <w:rsid w:val="00AB27E7"/>
    <w:rsid w:val="00AB675F"/>
    <w:rsid w:val="00AB70E4"/>
    <w:rsid w:val="00AC7F14"/>
    <w:rsid w:val="00AE0AB8"/>
    <w:rsid w:val="00B0689B"/>
    <w:rsid w:val="00B17F89"/>
    <w:rsid w:val="00B3490B"/>
    <w:rsid w:val="00B425EE"/>
    <w:rsid w:val="00B46713"/>
    <w:rsid w:val="00B46CE6"/>
    <w:rsid w:val="00B51356"/>
    <w:rsid w:val="00B555C0"/>
    <w:rsid w:val="00B561B4"/>
    <w:rsid w:val="00B65412"/>
    <w:rsid w:val="00B6792D"/>
    <w:rsid w:val="00B93F2C"/>
    <w:rsid w:val="00BB091F"/>
    <w:rsid w:val="00BC433D"/>
    <w:rsid w:val="00BC4F6F"/>
    <w:rsid w:val="00BC66F0"/>
    <w:rsid w:val="00BE1FBC"/>
    <w:rsid w:val="00BF04C7"/>
    <w:rsid w:val="00BF5034"/>
    <w:rsid w:val="00C16AFC"/>
    <w:rsid w:val="00C16C67"/>
    <w:rsid w:val="00C17D31"/>
    <w:rsid w:val="00C20F3C"/>
    <w:rsid w:val="00C26C5D"/>
    <w:rsid w:val="00C338E4"/>
    <w:rsid w:val="00C354C9"/>
    <w:rsid w:val="00C42E3C"/>
    <w:rsid w:val="00C45E43"/>
    <w:rsid w:val="00C516F6"/>
    <w:rsid w:val="00C53B74"/>
    <w:rsid w:val="00C77116"/>
    <w:rsid w:val="00C91254"/>
    <w:rsid w:val="00C91ED4"/>
    <w:rsid w:val="00C9676F"/>
    <w:rsid w:val="00CA39A2"/>
    <w:rsid w:val="00CC1F4E"/>
    <w:rsid w:val="00CC5D4F"/>
    <w:rsid w:val="00CC721F"/>
    <w:rsid w:val="00CC7415"/>
    <w:rsid w:val="00CD0343"/>
    <w:rsid w:val="00CD2CF8"/>
    <w:rsid w:val="00CE0E40"/>
    <w:rsid w:val="00CF6426"/>
    <w:rsid w:val="00D04D11"/>
    <w:rsid w:val="00D07AE1"/>
    <w:rsid w:val="00D13D9A"/>
    <w:rsid w:val="00D15EC2"/>
    <w:rsid w:val="00D167F0"/>
    <w:rsid w:val="00D27D8A"/>
    <w:rsid w:val="00D33B58"/>
    <w:rsid w:val="00D4388A"/>
    <w:rsid w:val="00D45213"/>
    <w:rsid w:val="00D51F9A"/>
    <w:rsid w:val="00D75C8D"/>
    <w:rsid w:val="00D9684D"/>
    <w:rsid w:val="00D9759E"/>
    <w:rsid w:val="00D976D2"/>
    <w:rsid w:val="00DB309D"/>
    <w:rsid w:val="00DD0822"/>
    <w:rsid w:val="00DD19F5"/>
    <w:rsid w:val="00DE02EA"/>
    <w:rsid w:val="00DE60CD"/>
    <w:rsid w:val="00E0181A"/>
    <w:rsid w:val="00E1645C"/>
    <w:rsid w:val="00E20249"/>
    <w:rsid w:val="00E310E8"/>
    <w:rsid w:val="00E40939"/>
    <w:rsid w:val="00E44B8A"/>
    <w:rsid w:val="00E62387"/>
    <w:rsid w:val="00E86F83"/>
    <w:rsid w:val="00EB4795"/>
    <w:rsid w:val="00EB4F9C"/>
    <w:rsid w:val="00EC20E2"/>
    <w:rsid w:val="00EC2BAC"/>
    <w:rsid w:val="00ED29A3"/>
    <w:rsid w:val="00ED5665"/>
    <w:rsid w:val="00EF51C8"/>
    <w:rsid w:val="00EF7996"/>
    <w:rsid w:val="00F013B4"/>
    <w:rsid w:val="00F013F8"/>
    <w:rsid w:val="00F1526D"/>
    <w:rsid w:val="00F17451"/>
    <w:rsid w:val="00F405CC"/>
    <w:rsid w:val="00F4747D"/>
    <w:rsid w:val="00F501EF"/>
    <w:rsid w:val="00F53F53"/>
    <w:rsid w:val="00F56C4A"/>
    <w:rsid w:val="00F72507"/>
    <w:rsid w:val="00FB5B12"/>
    <w:rsid w:val="00FB61D6"/>
    <w:rsid w:val="00FC060E"/>
    <w:rsid w:val="00FD54EE"/>
    <w:rsid w:val="00FE06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991518"/>
  <w15:chartTrackingRefBased/>
  <w15:docId w15:val="{95227E64-85BC-4D41-B643-F8C280085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44C1"/>
    <w:pPr>
      <w:ind w:left="720"/>
      <w:contextualSpacing/>
    </w:pPr>
  </w:style>
  <w:style w:type="paragraph" w:styleId="FootnoteText">
    <w:name w:val="footnote text"/>
    <w:basedOn w:val="Normal"/>
    <w:link w:val="FootnoteTextChar"/>
    <w:uiPriority w:val="99"/>
    <w:semiHidden/>
    <w:unhideWhenUsed/>
    <w:rsid w:val="00E62387"/>
    <w:rPr>
      <w:sz w:val="20"/>
      <w:szCs w:val="20"/>
    </w:rPr>
  </w:style>
  <w:style w:type="character" w:customStyle="1" w:styleId="FootnoteTextChar">
    <w:name w:val="Footnote Text Char"/>
    <w:basedOn w:val="DefaultParagraphFont"/>
    <w:link w:val="FootnoteText"/>
    <w:uiPriority w:val="99"/>
    <w:semiHidden/>
    <w:rsid w:val="00E62387"/>
    <w:rPr>
      <w:sz w:val="20"/>
      <w:szCs w:val="20"/>
    </w:rPr>
  </w:style>
  <w:style w:type="character" w:styleId="FootnoteReference">
    <w:name w:val="footnote reference"/>
    <w:basedOn w:val="DefaultParagraphFont"/>
    <w:uiPriority w:val="99"/>
    <w:semiHidden/>
    <w:unhideWhenUsed/>
    <w:rsid w:val="00E62387"/>
    <w:rPr>
      <w:vertAlign w:val="superscript"/>
    </w:rPr>
  </w:style>
  <w:style w:type="character" w:styleId="EndnoteReference">
    <w:name w:val="endnote reference"/>
    <w:basedOn w:val="DefaultParagraphFont"/>
    <w:uiPriority w:val="99"/>
    <w:semiHidden/>
    <w:unhideWhenUsed/>
    <w:rsid w:val="009B7D3B"/>
    <w:rPr>
      <w:vertAlign w:val="superscript"/>
    </w:rPr>
  </w:style>
  <w:style w:type="table" w:styleId="TableGrid">
    <w:name w:val="Table Grid"/>
    <w:basedOn w:val="TableNormal"/>
    <w:uiPriority w:val="39"/>
    <w:rsid w:val="009B7D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181A"/>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text">
    <w:name w:val="text"/>
    <w:basedOn w:val="DefaultParagraphFont"/>
    <w:rsid w:val="00E0181A"/>
  </w:style>
  <w:style w:type="paragraph" w:customStyle="1" w:styleId="line">
    <w:name w:val="line"/>
    <w:basedOn w:val="Normal"/>
    <w:rsid w:val="00E0181A"/>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indent-1-breaks">
    <w:name w:val="indent-1-breaks"/>
    <w:basedOn w:val="DefaultParagraphFont"/>
    <w:rsid w:val="00E0181A"/>
  </w:style>
  <w:style w:type="character" w:styleId="Hyperlink">
    <w:name w:val="Hyperlink"/>
    <w:basedOn w:val="DefaultParagraphFont"/>
    <w:uiPriority w:val="99"/>
    <w:semiHidden/>
    <w:unhideWhenUsed/>
    <w:rsid w:val="00E0181A"/>
    <w:rPr>
      <w:color w:val="0000FF"/>
      <w:u w:val="single"/>
    </w:rPr>
  </w:style>
  <w:style w:type="character" w:customStyle="1" w:styleId="apple-converted-space">
    <w:name w:val="apple-converted-space"/>
    <w:basedOn w:val="DefaultParagraphFont"/>
    <w:rsid w:val="00E0181A"/>
  </w:style>
  <w:style w:type="character" w:customStyle="1" w:styleId="woj">
    <w:name w:val="woj"/>
    <w:basedOn w:val="DefaultParagraphFont"/>
    <w:rsid w:val="00550599"/>
  </w:style>
  <w:style w:type="paragraph" w:styleId="Bibliography">
    <w:name w:val="Bibliography"/>
    <w:basedOn w:val="Normal"/>
    <w:next w:val="Normal"/>
    <w:uiPriority w:val="37"/>
    <w:unhideWhenUsed/>
    <w:rsid w:val="00D167F0"/>
    <w:pPr>
      <w:spacing w:after="240"/>
      <w:ind w:left="720" w:hanging="720"/>
    </w:pPr>
  </w:style>
  <w:style w:type="paragraph" w:styleId="Header">
    <w:name w:val="header"/>
    <w:basedOn w:val="Normal"/>
    <w:link w:val="HeaderChar"/>
    <w:uiPriority w:val="99"/>
    <w:unhideWhenUsed/>
    <w:rsid w:val="00036A3A"/>
    <w:pPr>
      <w:tabs>
        <w:tab w:val="center" w:pos="4680"/>
        <w:tab w:val="right" w:pos="9360"/>
      </w:tabs>
    </w:pPr>
  </w:style>
  <w:style w:type="character" w:customStyle="1" w:styleId="HeaderChar">
    <w:name w:val="Header Char"/>
    <w:basedOn w:val="DefaultParagraphFont"/>
    <w:link w:val="Header"/>
    <w:uiPriority w:val="99"/>
    <w:rsid w:val="00036A3A"/>
  </w:style>
  <w:style w:type="paragraph" w:styleId="Footer">
    <w:name w:val="footer"/>
    <w:basedOn w:val="Normal"/>
    <w:link w:val="FooterChar"/>
    <w:uiPriority w:val="99"/>
    <w:unhideWhenUsed/>
    <w:rsid w:val="00036A3A"/>
    <w:pPr>
      <w:tabs>
        <w:tab w:val="center" w:pos="4680"/>
        <w:tab w:val="right" w:pos="9360"/>
      </w:tabs>
    </w:pPr>
  </w:style>
  <w:style w:type="character" w:customStyle="1" w:styleId="FooterChar">
    <w:name w:val="Footer Char"/>
    <w:basedOn w:val="DefaultParagraphFont"/>
    <w:link w:val="Footer"/>
    <w:uiPriority w:val="99"/>
    <w:rsid w:val="00036A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067205">
      <w:bodyDiv w:val="1"/>
      <w:marLeft w:val="0"/>
      <w:marRight w:val="0"/>
      <w:marTop w:val="0"/>
      <w:marBottom w:val="0"/>
      <w:divBdr>
        <w:top w:val="none" w:sz="0" w:space="0" w:color="auto"/>
        <w:left w:val="none" w:sz="0" w:space="0" w:color="auto"/>
        <w:bottom w:val="none" w:sz="0" w:space="0" w:color="auto"/>
        <w:right w:val="none" w:sz="0" w:space="0" w:color="auto"/>
      </w:divBdr>
      <w:divsChild>
        <w:div w:id="500462270">
          <w:marLeft w:val="0"/>
          <w:marRight w:val="0"/>
          <w:marTop w:val="0"/>
          <w:marBottom w:val="0"/>
          <w:divBdr>
            <w:top w:val="none" w:sz="0" w:space="0" w:color="auto"/>
            <w:left w:val="none" w:sz="0" w:space="0" w:color="auto"/>
            <w:bottom w:val="none" w:sz="0" w:space="0" w:color="auto"/>
            <w:right w:val="none" w:sz="0" w:space="0" w:color="auto"/>
          </w:divBdr>
          <w:divsChild>
            <w:div w:id="164245154">
              <w:marLeft w:val="0"/>
              <w:marRight w:val="0"/>
              <w:marTop w:val="0"/>
              <w:marBottom w:val="0"/>
              <w:divBdr>
                <w:top w:val="none" w:sz="0" w:space="0" w:color="auto"/>
                <w:left w:val="none" w:sz="0" w:space="0" w:color="auto"/>
                <w:bottom w:val="none" w:sz="0" w:space="0" w:color="auto"/>
                <w:right w:val="none" w:sz="0" w:space="0" w:color="auto"/>
              </w:divBdr>
              <w:divsChild>
                <w:div w:id="891499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130399">
      <w:bodyDiv w:val="1"/>
      <w:marLeft w:val="0"/>
      <w:marRight w:val="0"/>
      <w:marTop w:val="0"/>
      <w:marBottom w:val="0"/>
      <w:divBdr>
        <w:top w:val="none" w:sz="0" w:space="0" w:color="auto"/>
        <w:left w:val="none" w:sz="0" w:space="0" w:color="auto"/>
        <w:bottom w:val="none" w:sz="0" w:space="0" w:color="auto"/>
        <w:right w:val="none" w:sz="0" w:space="0" w:color="auto"/>
      </w:divBdr>
      <w:divsChild>
        <w:div w:id="91978001">
          <w:marLeft w:val="0"/>
          <w:marRight w:val="0"/>
          <w:marTop w:val="0"/>
          <w:marBottom w:val="0"/>
          <w:divBdr>
            <w:top w:val="none" w:sz="0" w:space="0" w:color="auto"/>
            <w:left w:val="none" w:sz="0" w:space="0" w:color="auto"/>
            <w:bottom w:val="none" w:sz="0" w:space="0" w:color="auto"/>
            <w:right w:val="none" w:sz="0" w:space="0" w:color="auto"/>
          </w:divBdr>
          <w:divsChild>
            <w:div w:id="1780949348">
              <w:marLeft w:val="0"/>
              <w:marRight w:val="0"/>
              <w:marTop w:val="0"/>
              <w:marBottom w:val="0"/>
              <w:divBdr>
                <w:top w:val="none" w:sz="0" w:space="0" w:color="auto"/>
                <w:left w:val="none" w:sz="0" w:space="0" w:color="auto"/>
                <w:bottom w:val="none" w:sz="0" w:space="0" w:color="auto"/>
                <w:right w:val="none" w:sz="0" w:space="0" w:color="auto"/>
              </w:divBdr>
              <w:divsChild>
                <w:div w:id="616764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017597">
      <w:bodyDiv w:val="1"/>
      <w:marLeft w:val="0"/>
      <w:marRight w:val="0"/>
      <w:marTop w:val="0"/>
      <w:marBottom w:val="0"/>
      <w:divBdr>
        <w:top w:val="none" w:sz="0" w:space="0" w:color="auto"/>
        <w:left w:val="none" w:sz="0" w:space="0" w:color="auto"/>
        <w:bottom w:val="none" w:sz="0" w:space="0" w:color="auto"/>
        <w:right w:val="none" w:sz="0" w:space="0" w:color="auto"/>
      </w:divBdr>
      <w:divsChild>
        <w:div w:id="615140602">
          <w:marLeft w:val="0"/>
          <w:marRight w:val="0"/>
          <w:marTop w:val="0"/>
          <w:marBottom w:val="0"/>
          <w:divBdr>
            <w:top w:val="none" w:sz="0" w:space="0" w:color="auto"/>
            <w:left w:val="none" w:sz="0" w:space="0" w:color="auto"/>
            <w:bottom w:val="none" w:sz="0" w:space="0" w:color="auto"/>
            <w:right w:val="none" w:sz="0" w:space="0" w:color="auto"/>
          </w:divBdr>
          <w:divsChild>
            <w:div w:id="1606963827">
              <w:marLeft w:val="0"/>
              <w:marRight w:val="0"/>
              <w:marTop w:val="0"/>
              <w:marBottom w:val="0"/>
              <w:divBdr>
                <w:top w:val="none" w:sz="0" w:space="0" w:color="auto"/>
                <w:left w:val="none" w:sz="0" w:space="0" w:color="auto"/>
                <w:bottom w:val="none" w:sz="0" w:space="0" w:color="auto"/>
                <w:right w:val="none" w:sz="0" w:space="0" w:color="auto"/>
              </w:divBdr>
              <w:divsChild>
                <w:div w:id="47835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8226086">
      <w:bodyDiv w:val="1"/>
      <w:marLeft w:val="0"/>
      <w:marRight w:val="0"/>
      <w:marTop w:val="0"/>
      <w:marBottom w:val="0"/>
      <w:divBdr>
        <w:top w:val="none" w:sz="0" w:space="0" w:color="auto"/>
        <w:left w:val="none" w:sz="0" w:space="0" w:color="auto"/>
        <w:bottom w:val="none" w:sz="0" w:space="0" w:color="auto"/>
        <w:right w:val="none" w:sz="0" w:space="0" w:color="auto"/>
      </w:divBdr>
      <w:divsChild>
        <w:div w:id="863597494">
          <w:marLeft w:val="0"/>
          <w:marRight w:val="0"/>
          <w:marTop w:val="0"/>
          <w:marBottom w:val="0"/>
          <w:divBdr>
            <w:top w:val="none" w:sz="0" w:space="0" w:color="auto"/>
            <w:left w:val="none" w:sz="0" w:space="0" w:color="auto"/>
            <w:bottom w:val="none" w:sz="0" w:space="0" w:color="auto"/>
            <w:right w:val="none" w:sz="0" w:space="0" w:color="auto"/>
          </w:divBdr>
          <w:divsChild>
            <w:div w:id="1991053771">
              <w:marLeft w:val="0"/>
              <w:marRight w:val="0"/>
              <w:marTop w:val="0"/>
              <w:marBottom w:val="0"/>
              <w:divBdr>
                <w:top w:val="none" w:sz="0" w:space="0" w:color="auto"/>
                <w:left w:val="none" w:sz="0" w:space="0" w:color="auto"/>
                <w:bottom w:val="none" w:sz="0" w:space="0" w:color="auto"/>
                <w:right w:val="none" w:sz="0" w:space="0" w:color="auto"/>
              </w:divBdr>
              <w:divsChild>
                <w:div w:id="1564296090">
                  <w:marLeft w:val="0"/>
                  <w:marRight w:val="0"/>
                  <w:marTop w:val="0"/>
                  <w:marBottom w:val="0"/>
                  <w:divBdr>
                    <w:top w:val="none" w:sz="0" w:space="0" w:color="auto"/>
                    <w:left w:val="none" w:sz="0" w:space="0" w:color="auto"/>
                    <w:bottom w:val="none" w:sz="0" w:space="0" w:color="auto"/>
                    <w:right w:val="none" w:sz="0" w:space="0" w:color="auto"/>
                  </w:divBdr>
                  <w:divsChild>
                    <w:div w:id="189230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1376933">
      <w:bodyDiv w:val="1"/>
      <w:marLeft w:val="0"/>
      <w:marRight w:val="0"/>
      <w:marTop w:val="0"/>
      <w:marBottom w:val="0"/>
      <w:divBdr>
        <w:top w:val="none" w:sz="0" w:space="0" w:color="auto"/>
        <w:left w:val="none" w:sz="0" w:space="0" w:color="auto"/>
        <w:bottom w:val="none" w:sz="0" w:space="0" w:color="auto"/>
        <w:right w:val="none" w:sz="0" w:space="0" w:color="auto"/>
      </w:divBdr>
      <w:divsChild>
        <w:div w:id="724763082">
          <w:marLeft w:val="0"/>
          <w:marRight w:val="0"/>
          <w:marTop w:val="0"/>
          <w:marBottom w:val="0"/>
          <w:divBdr>
            <w:top w:val="none" w:sz="0" w:space="0" w:color="auto"/>
            <w:left w:val="none" w:sz="0" w:space="0" w:color="auto"/>
            <w:bottom w:val="none" w:sz="0" w:space="0" w:color="auto"/>
            <w:right w:val="none" w:sz="0" w:space="0" w:color="auto"/>
          </w:divBdr>
          <w:divsChild>
            <w:div w:id="699597518">
              <w:marLeft w:val="0"/>
              <w:marRight w:val="0"/>
              <w:marTop w:val="0"/>
              <w:marBottom w:val="0"/>
              <w:divBdr>
                <w:top w:val="none" w:sz="0" w:space="0" w:color="auto"/>
                <w:left w:val="none" w:sz="0" w:space="0" w:color="auto"/>
                <w:bottom w:val="none" w:sz="0" w:space="0" w:color="auto"/>
                <w:right w:val="none" w:sz="0" w:space="0" w:color="auto"/>
              </w:divBdr>
              <w:divsChild>
                <w:div w:id="166986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154562">
      <w:bodyDiv w:val="1"/>
      <w:marLeft w:val="0"/>
      <w:marRight w:val="0"/>
      <w:marTop w:val="0"/>
      <w:marBottom w:val="0"/>
      <w:divBdr>
        <w:top w:val="none" w:sz="0" w:space="0" w:color="auto"/>
        <w:left w:val="none" w:sz="0" w:space="0" w:color="auto"/>
        <w:bottom w:val="none" w:sz="0" w:space="0" w:color="auto"/>
        <w:right w:val="none" w:sz="0" w:space="0" w:color="auto"/>
      </w:divBdr>
      <w:divsChild>
        <w:div w:id="1452823580">
          <w:marLeft w:val="0"/>
          <w:marRight w:val="0"/>
          <w:marTop w:val="0"/>
          <w:marBottom w:val="0"/>
          <w:divBdr>
            <w:top w:val="none" w:sz="0" w:space="0" w:color="auto"/>
            <w:left w:val="none" w:sz="0" w:space="0" w:color="auto"/>
            <w:bottom w:val="none" w:sz="0" w:space="0" w:color="auto"/>
            <w:right w:val="none" w:sz="0" w:space="0" w:color="auto"/>
          </w:divBdr>
          <w:divsChild>
            <w:div w:id="1190727887">
              <w:marLeft w:val="0"/>
              <w:marRight w:val="0"/>
              <w:marTop w:val="0"/>
              <w:marBottom w:val="0"/>
              <w:divBdr>
                <w:top w:val="none" w:sz="0" w:space="0" w:color="auto"/>
                <w:left w:val="none" w:sz="0" w:space="0" w:color="auto"/>
                <w:bottom w:val="none" w:sz="0" w:space="0" w:color="auto"/>
                <w:right w:val="none" w:sz="0" w:space="0" w:color="auto"/>
              </w:divBdr>
              <w:divsChild>
                <w:div w:id="32901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426983">
      <w:bodyDiv w:val="1"/>
      <w:marLeft w:val="0"/>
      <w:marRight w:val="0"/>
      <w:marTop w:val="0"/>
      <w:marBottom w:val="0"/>
      <w:divBdr>
        <w:top w:val="none" w:sz="0" w:space="0" w:color="auto"/>
        <w:left w:val="none" w:sz="0" w:space="0" w:color="auto"/>
        <w:bottom w:val="none" w:sz="0" w:space="0" w:color="auto"/>
        <w:right w:val="none" w:sz="0" w:space="0" w:color="auto"/>
      </w:divBdr>
      <w:divsChild>
        <w:div w:id="1964074934">
          <w:marLeft w:val="240"/>
          <w:marRight w:val="0"/>
          <w:marTop w:val="240"/>
          <w:marBottom w:val="240"/>
          <w:divBdr>
            <w:top w:val="none" w:sz="0" w:space="0" w:color="auto"/>
            <w:left w:val="none" w:sz="0" w:space="0" w:color="auto"/>
            <w:bottom w:val="none" w:sz="0" w:space="0" w:color="auto"/>
            <w:right w:val="none" w:sz="0" w:space="0" w:color="auto"/>
          </w:divBdr>
        </w:div>
      </w:divsChild>
    </w:div>
    <w:div w:id="1538396661">
      <w:bodyDiv w:val="1"/>
      <w:marLeft w:val="0"/>
      <w:marRight w:val="0"/>
      <w:marTop w:val="0"/>
      <w:marBottom w:val="0"/>
      <w:divBdr>
        <w:top w:val="none" w:sz="0" w:space="0" w:color="auto"/>
        <w:left w:val="none" w:sz="0" w:space="0" w:color="auto"/>
        <w:bottom w:val="none" w:sz="0" w:space="0" w:color="auto"/>
        <w:right w:val="none" w:sz="0" w:space="0" w:color="auto"/>
      </w:divBdr>
      <w:divsChild>
        <w:div w:id="1204975967">
          <w:marLeft w:val="0"/>
          <w:marRight w:val="0"/>
          <w:marTop w:val="0"/>
          <w:marBottom w:val="0"/>
          <w:divBdr>
            <w:top w:val="none" w:sz="0" w:space="0" w:color="auto"/>
            <w:left w:val="none" w:sz="0" w:space="0" w:color="auto"/>
            <w:bottom w:val="none" w:sz="0" w:space="0" w:color="auto"/>
            <w:right w:val="none" w:sz="0" w:space="0" w:color="auto"/>
          </w:divBdr>
          <w:divsChild>
            <w:div w:id="1419138579">
              <w:marLeft w:val="0"/>
              <w:marRight w:val="0"/>
              <w:marTop w:val="0"/>
              <w:marBottom w:val="0"/>
              <w:divBdr>
                <w:top w:val="none" w:sz="0" w:space="0" w:color="auto"/>
                <w:left w:val="none" w:sz="0" w:space="0" w:color="auto"/>
                <w:bottom w:val="none" w:sz="0" w:space="0" w:color="auto"/>
                <w:right w:val="none" w:sz="0" w:space="0" w:color="auto"/>
              </w:divBdr>
              <w:divsChild>
                <w:div w:id="497188381">
                  <w:marLeft w:val="0"/>
                  <w:marRight w:val="0"/>
                  <w:marTop w:val="0"/>
                  <w:marBottom w:val="0"/>
                  <w:divBdr>
                    <w:top w:val="none" w:sz="0" w:space="0" w:color="auto"/>
                    <w:left w:val="none" w:sz="0" w:space="0" w:color="auto"/>
                    <w:bottom w:val="none" w:sz="0" w:space="0" w:color="auto"/>
                    <w:right w:val="none" w:sz="0" w:space="0" w:color="auto"/>
                  </w:divBdr>
                </w:div>
              </w:divsChild>
            </w:div>
            <w:div w:id="262962820">
              <w:marLeft w:val="0"/>
              <w:marRight w:val="0"/>
              <w:marTop w:val="0"/>
              <w:marBottom w:val="0"/>
              <w:divBdr>
                <w:top w:val="none" w:sz="0" w:space="0" w:color="auto"/>
                <w:left w:val="none" w:sz="0" w:space="0" w:color="auto"/>
                <w:bottom w:val="none" w:sz="0" w:space="0" w:color="auto"/>
                <w:right w:val="none" w:sz="0" w:space="0" w:color="auto"/>
              </w:divBdr>
              <w:divsChild>
                <w:div w:id="1198542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408849">
      <w:bodyDiv w:val="1"/>
      <w:marLeft w:val="0"/>
      <w:marRight w:val="0"/>
      <w:marTop w:val="0"/>
      <w:marBottom w:val="0"/>
      <w:divBdr>
        <w:top w:val="none" w:sz="0" w:space="0" w:color="auto"/>
        <w:left w:val="none" w:sz="0" w:space="0" w:color="auto"/>
        <w:bottom w:val="none" w:sz="0" w:space="0" w:color="auto"/>
        <w:right w:val="none" w:sz="0" w:space="0" w:color="auto"/>
      </w:divBdr>
      <w:divsChild>
        <w:div w:id="1762488727">
          <w:marLeft w:val="0"/>
          <w:marRight w:val="0"/>
          <w:marTop w:val="0"/>
          <w:marBottom w:val="0"/>
          <w:divBdr>
            <w:top w:val="none" w:sz="0" w:space="0" w:color="auto"/>
            <w:left w:val="none" w:sz="0" w:space="0" w:color="auto"/>
            <w:bottom w:val="none" w:sz="0" w:space="0" w:color="auto"/>
            <w:right w:val="none" w:sz="0" w:space="0" w:color="auto"/>
          </w:divBdr>
          <w:divsChild>
            <w:div w:id="482233822">
              <w:marLeft w:val="0"/>
              <w:marRight w:val="0"/>
              <w:marTop w:val="0"/>
              <w:marBottom w:val="0"/>
              <w:divBdr>
                <w:top w:val="none" w:sz="0" w:space="0" w:color="auto"/>
                <w:left w:val="none" w:sz="0" w:space="0" w:color="auto"/>
                <w:bottom w:val="none" w:sz="0" w:space="0" w:color="auto"/>
                <w:right w:val="none" w:sz="0" w:space="0" w:color="auto"/>
              </w:divBdr>
              <w:divsChild>
                <w:div w:id="978728351">
                  <w:marLeft w:val="0"/>
                  <w:marRight w:val="0"/>
                  <w:marTop w:val="0"/>
                  <w:marBottom w:val="0"/>
                  <w:divBdr>
                    <w:top w:val="none" w:sz="0" w:space="0" w:color="auto"/>
                    <w:left w:val="none" w:sz="0" w:space="0" w:color="auto"/>
                    <w:bottom w:val="none" w:sz="0" w:space="0" w:color="auto"/>
                    <w:right w:val="none" w:sz="0" w:space="0" w:color="auto"/>
                  </w:divBdr>
                  <w:divsChild>
                    <w:div w:id="1372880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0157679">
      <w:bodyDiv w:val="1"/>
      <w:marLeft w:val="0"/>
      <w:marRight w:val="0"/>
      <w:marTop w:val="0"/>
      <w:marBottom w:val="0"/>
      <w:divBdr>
        <w:top w:val="none" w:sz="0" w:space="0" w:color="auto"/>
        <w:left w:val="none" w:sz="0" w:space="0" w:color="auto"/>
        <w:bottom w:val="none" w:sz="0" w:space="0" w:color="auto"/>
        <w:right w:val="none" w:sz="0" w:space="0" w:color="auto"/>
      </w:divBdr>
      <w:divsChild>
        <w:div w:id="1223565554">
          <w:marLeft w:val="0"/>
          <w:marRight w:val="0"/>
          <w:marTop w:val="0"/>
          <w:marBottom w:val="0"/>
          <w:divBdr>
            <w:top w:val="none" w:sz="0" w:space="0" w:color="auto"/>
            <w:left w:val="none" w:sz="0" w:space="0" w:color="auto"/>
            <w:bottom w:val="none" w:sz="0" w:space="0" w:color="auto"/>
            <w:right w:val="none" w:sz="0" w:space="0" w:color="auto"/>
          </w:divBdr>
          <w:divsChild>
            <w:div w:id="2058310398">
              <w:marLeft w:val="0"/>
              <w:marRight w:val="0"/>
              <w:marTop w:val="0"/>
              <w:marBottom w:val="0"/>
              <w:divBdr>
                <w:top w:val="none" w:sz="0" w:space="0" w:color="auto"/>
                <w:left w:val="none" w:sz="0" w:space="0" w:color="auto"/>
                <w:bottom w:val="none" w:sz="0" w:space="0" w:color="auto"/>
                <w:right w:val="none" w:sz="0" w:space="0" w:color="auto"/>
              </w:divBdr>
              <w:divsChild>
                <w:div w:id="891113791">
                  <w:marLeft w:val="0"/>
                  <w:marRight w:val="0"/>
                  <w:marTop w:val="0"/>
                  <w:marBottom w:val="0"/>
                  <w:divBdr>
                    <w:top w:val="none" w:sz="0" w:space="0" w:color="auto"/>
                    <w:left w:val="none" w:sz="0" w:space="0" w:color="auto"/>
                    <w:bottom w:val="none" w:sz="0" w:space="0" w:color="auto"/>
                    <w:right w:val="none" w:sz="0" w:space="0" w:color="auto"/>
                  </w:divBdr>
                </w:div>
              </w:divsChild>
            </w:div>
            <w:div w:id="346520263">
              <w:marLeft w:val="0"/>
              <w:marRight w:val="0"/>
              <w:marTop w:val="0"/>
              <w:marBottom w:val="0"/>
              <w:divBdr>
                <w:top w:val="none" w:sz="0" w:space="0" w:color="auto"/>
                <w:left w:val="none" w:sz="0" w:space="0" w:color="auto"/>
                <w:bottom w:val="none" w:sz="0" w:space="0" w:color="auto"/>
                <w:right w:val="none" w:sz="0" w:space="0" w:color="auto"/>
              </w:divBdr>
              <w:divsChild>
                <w:div w:id="1950165128">
                  <w:marLeft w:val="0"/>
                  <w:marRight w:val="0"/>
                  <w:marTop w:val="0"/>
                  <w:marBottom w:val="0"/>
                  <w:divBdr>
                    <w:top w:val="none" w:sz="0" w:space="0" w:color="auto"/>
                    <w:left w:val="none" w:sz="0" w:space="0" w:color="auto"/>
                    <w:bottom w:val="none" w:sz="0" w:space="0" w:color="auto"/>
                    <w:right w:val="none" w:sz="0" w:space="0" w:color="auto"/>
                  </w:divBdr>
                </w:div>
                <w:div w:id="210687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687011">
      <w:bodyDiv w:val="1"/>
      <w:marLeft w:val="0"/>
      <w:marRight w:val="0"/>
      <w:marTop w:val="0"/>
      <w:marBottom w:val="0"/>
      <w:divBdr>
        <w:top w:val="none" w:sz="0" w:space="0" w:color="auto"/>
        <w:left w:val="none" w:sz="0" w:space="0" w:color="auto"/>
        <w:bottom w:val="none" w:sz="0" w:space="0" w:color="auto"/>
        <w:right w:val="none" w:sz="0" w:space="0" w:color="auto"/>
      </w:divBdr>
      <w:divsChild>
        <w:div w:id="1024748437">
          <w:marLeft w:val="24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59CA4D-DE4F-C04F-8328-35B7E72C7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11</Pages>
  <Words>2428</Words>
  <Characters>13845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16241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Douglas Spenceley</dc:creator>
  <cp:keywords/>
  <dc:description/>
  <cp:lastModifiedBy>Douglas Spenceley</cp:lastModifiedBy>
  <cp:revision>8</cp:revision>
  <cp:lastPrinted>2023-03-14T15:25:00Z</cp:lastPrinted>
  <dcterms:created xsi:type="dcterms:W3CDTF">2023-03-17T10:45:00Z</dcterms:created>
  <dcterms:modified xsi:type="dcterms:W3CDTF">2023-03-17T16:18:00Z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zotero-version="6.0.23"&gt;&lt;session id="FURJ40bj"/&gt;&lt;style id="http://www.zotero.org/styles/modern-humanities-research-association" hasBibliography="1" bibliographyStyleHasBeenSet="1"/&gt;&lt;prefs&gt;&lt;pref name="fieldType" value="Field"/&gt;&lt;pref </vt:lpwstr>
  </property>
  <property fmtid="{D5CDD505-2E9C-101B-9397-08002B2CF9AE}" pid="3" name="ZOTERO_PREF_2">
    <vt:lpwstr>name="automaticJournalAbbreviations" value="true"/&gt;&lt;pref name="noteType" value="1"/&gt;&lt;/prefs&gt;&lt;/data&gt;</vt:lpwstr>
  </property>
</Properties>
</file>