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EA743" w14:textId="6A84026C" w:rsidR="003C2E7A" w:rsidRPr="008D1BB1" w:rsidRDefault="003C2E7A" w:rsidP="008D1BB1">
      <w:pPr>
        <w:spacing w:line="276" w:lineRule="auto"/>
        <w:rPr>
          <w:rFonts w:ascii="Arial" w:hAnsi="Arial" w:cs="Arial"/>
          <w:b/>
          <w:sz w:val="23"/>
          <w:szCs w:val="23"/>
        </w:rPr>
      </w:pPr>
      <w:bookmarkStart w:id="0" w:name="_Hlk536800416"/>
      <w:r w:rsidRPr="008D1BB1">
        <w:rPr>
          <w:rFonts w:ascii="Arial" w:hAnsi="Arial" w:cs="Arial"/>
          <w:b/>
          <w:sz w:val="23"/>
          <w:szCs w:val="23"/>
        </w:rPr>
        <w:t xml:space="preserve">Commentary on </w:t>
      </w:r>
      <w:bookmarkStart w:id="1" w:name="_Hlk536640764"/>
      <w:r w:rsidRPr="008D1BB1">
        <w:rPr>
          <w:rFonts w:ascii="Arial" w:hAnsi="Arial" w:cs="Arial"/>
          <w:b/>
          <w:sz w:val="23"/>
          <w:szCs w:val="23"/>
        </w:rPr>
        <w:t xml:space="preserve">Caroline Walker Bynum, ‘Material Continuity, Personal Survival, and the Resurrection of the Body: A Scholastic Discussion in its Medieval and Modern Contexts,’ </w:t>
      </w:r>
      <w:r w:rsidRPr="008D1BB1">
        <w:rPr>
          <w:rFonts w:ascii="Arial" w:hAnsi="Arial" w:cs="Arial"/>
          <w:b/>
          <w:i/>
          <w:sz w:val="23"/>
          <w:szCs w:val="23"/>
        </w:rPr>
        <w:t>History of Religions</w:t>
      </w:r>
      <w:r w:rsidRPr="008D1BB1">
        <w:rPr>
          <w:rFonts w:ascii="Arial" w:hAnsi="Arial" w:cs="Arial"/>
          <w:b/>
          <w:sz w:val="23"/>
          <w:szCs w:val="23"/>
        </w:rPr>
        <w:t>, vol. 30, no. 1 (August 1990)</w:t>
      </w:r>
      <w:bookmarkEnd w:id="1"/>
      <w:r w:rsidRPr="008D1BB1">
        <w:rPr>
          <w:rFonts w:ascii="Arial" w:hAnsi="Arial" w:cs="Arial"/>
          <w:b/>
          <w:sz w:val="23"/>
          <w:szCs w:val="23"/>
        </w:rPr>
        <w:t xml:space="preserve"> pp51-85</w:t>
      </w:r>
      <w:r w:rsidR="00AC3E9A" w:rsidRPr="008D1BB1">
        <w:rPr>
          <w:rFonts w:ascii="Arial" w:hAnsi="Arial" w:cs="Arial"/>
          <w:b/>
          <w:sz w:val="23"/>
          <w:szCs w:val="23"/>
        </w:rPr>
        <w:t xml:space="preserve"> </w:t>
      </w:r>
    </w:p>
    <w:p w14:paraId="3C55DA11" w14:textId="65268649" w:rsidR="003C2E7A" w:rsidRPr="008D1BB1" w:rsidRDefault="003C2E7A" w:rsidP="008D1BB1">
      <w:pPr>
        <w:spacing w:line="276" w:lineRule="auto"/>
        <w:rPr>
          <w:rFonts w:ascii="Arial" w:hAnsi="Arial" w:cs="Arial"/>
          <w:sz w:val="23"/>
          <w:szCs w:val="23"/>
        </w:rPr>
      </w:pPr>
      <w:r w:rsidRPr="008D1BB1">
        <w:rPr>
          <w:rFonts w:ascii="Arial" w:hAnsi="Arial" w:cs="Arial"/>
          <w:sz w:val="23"/>
          <w:szCs w:val="23"/>
        </w:rPr>
        <w:t xml:space="preserve">‘Material Continuity, Personal Survival and the Resurrection of the Body: A Scholastic Discussion in its Medieval and Modern Contexts’ is an article by historian Caroline Walker Bynum concerning medieval scholarship and beliefs on life after death. The title of the article summarises Bynum’s approach </w:t>
      </w:r>
      <w:r w:rsidR="0016069C" w:rsidRPr="008D1BB1">
        <w:rPr>
          <w:rFonts w:ascii="Arial" w:hAnsi="Arial" w:cs="Arial"/>
          <w:sz w:val="23"/>
          <w:szCs w:val="23"/>
        </w:rPr>
        <w:t>well and</w:t>
      </w:r>
      <w:r w:rsidRPr="008D1BB1">
        <w:rPr>
          <w:rFonts w:ascii="Arial" w:hAnsi="Arial" w:cs="Arial"/>
          <w:sz w:val="23"/>
          <w:szCs w:val="23"/>
        </w:rPr>
        <w:t xml:space="preserve"> provides key topics of argument that can be used to consider the usefulness of her work as a secondary source for understanding medieval ideas on the </w:t>
      </w:r>
      <w:r w:rsidRPr="008D1BB1">
        <w:rPr>
          <w:rFonts w:ascii="Arial" w:hAnsi="Arial" w:cs="Arial"/>
          <w:i/>
          <w:sz w:val="23"/>
          <w:szCs w:val="23"/>
        </w:rPr>
        <w:t>macabre</w:t>
      </w:r>
      <w:r w:rsidRPr="008D1BB1">
        <w:rPr>
          <w:rFonts w:ascii="Arial" w:hAnsi="Arial" w:cs="Arial"/>
          <w:sz w:val="23"/>
          <w:szCs w:val="23"/>
        </w:rPr>
        <w:t xml:space="preserve">. Bynum brings to light interesting scholarship on the resurrection of the body and the importance of an uncorrupted soul for a complete life in heaven. Furthermore, medieval issues concerning the connection between personal identity and survival are discussed within the article, and the Last Judgement provides information of the self. Walker Bynum stresses the medieval need for material continuity and the role that God plays in providing salvation, but additionally the scholastic ideas concerning the separation of the body and corruption within medieval society. </w:t>
      </w:r>
    </w:p>
    <w:p w14:paraId="090DDBE2" w14:textId="4D7EDB87" w:rsidR="00C9368C" w:rsidRPr="008D1BB1" w:rsidRDefault="00C9368C" w:rsidP="008D1BB1">
      <w:pPr>
        <w:spacing w:line="276" w:lineRule="auto"/>
        <w:rPr>
          <w:rFonts w:ascii="Arial" w:hAnsi="Arial" w:cs="Arial"/>
          <w:sz w:val="23"/>
          <w:szCs w:val="23"/>
        </w:rPr>
      </w:pPr>
      <w:r w:rsidRPr="008D1BB1">
        <w:rPr>
          <w:rFonts w:ascii="Arial" w:hAnsi="Arial" w:cs="Arial"/>
          <w:sz w:val="23"/>
          <w:szCs w:val="23"/>
        </w:rPr>
        <w:t>Firstly, Bynum explores the medieval ideas of bodily resurrection at the hands of God present</w:t>
      </w:r>
      <w:r w:rsidR="00EB6183" w:rsidRPr="008D1BB1">
        <w:rPr>
          <w:rFonts w:ascii="Arial" w:hAnsi="Arial" w:cs="Arial"/>
          <w:sz w:val="23"/>
          <w:szCs w:val="23"/>
        </w:rPr>
        <w:t>ing</w:t>
      </w:r>
      <w:r w:rsidRPr="008D1BB1">
        <w:rPr>
          <w:rFonts w:ascii="Arial" w:hAnsi="Arial" w:cs="Arial"/>
          <w:sz w:val="23"/>
          <w:szCs w:val="23"/>
        </w:rPr>
        <w:t xml:space="preserve"> modern scholars with an insight into contemporary views on the importance of the body after death. It seems worthwhile to note that within medieval society there were overarching ideas that once an individual had died their body would be laid to rest, awaiting the eventual resurrection and salvation </w:t>
      </w:r>
      <w:r w:rsidR="00EB6183" w:rsidRPr="008D1BB1">
        <w:rPr>
          <w:rFonts w:ascii="Arial" w:hAnsi="Arial" w:cs="Arial"/>
          <w:sz w:val="23"/>
          <w:szCs w:val="23"/>
        </w:rPr>
        <w:t>by</w:t>
      </w:r>
      <w:r w:rsidRPr="008D1BB1">
        <w:rPr>
          <w:rFonts w:ascii="Arial" w:hAnsi="Arial" w:cs="Arial"/>
          <w:sz w:val="23"/>
          <w:szCs w:val="23"/>
        </w:rPr>
        <w:t xml:space="preserve"> Jesus Christ.</w:t>
      </w:r>
      <w:r w:rsidR="00EB6183" w:rsidRPr="008D1BB1">
        <w:rPr>
          <w:rFonts w:ascii="Arial" w:hAnsi="Arial" w:cs="Arial"/>
          <w:sz w:val="23"/>
          <w:szCs w:val="23"/>
        </w:rPr>
        <w:t xml:space="preserve"> </w:t>
      </w:r>
      <w:r w:rsidRPr="008D1BB1">
        <w:rPr>
          <w:rFonts w:ascii="Arial" w:hAnsi="Arial" w:cs="Arial"/>
          <w:sz w:val="23"/>
          <w:szCs w:val="23"/>
        </w:rPr>
        <w:t>Bynum states that God will ‘reassemble the decayed and fragmented corpses of human beings at the end of time and grant to them eternal life and incorruptibility,’ therefore implying that it was not imperative for the body to remain complete after death.</w:t>
      </w:r>
      <w:r w:rsidRPr="008D1BB1">
        <w:rPr>
          <w:rStyle w:val="FootnoteReference"/>
          <w:rFonts w:ascii="Arial" w:hAnsi="Arial" w:cs="Arial"/>
          <w:sz w:val="23"/>
          <w:szCs w:val="23"/>
        </w:rPr>
        <w:footnoteReference w:id="1"/>
      </w:r>
      <w:r w:rsidR="00EB6183" w:rsidRPr="008D1BB1">
        <w:rPr>
          <w:rFonts w:ascii="Arial" w:hAnsi="Arial" w:cs="Arial"/>
          <w:sz w:val="23"/>
          <w:szCs w:val="23"/>
        </w:rPr>
        <w:t xml:space="preserve"> </w:t>
      </w:r>
      <w:r w:rsidRPr="008D1BB1">
        <w:rPr>
          <w:rFonts w:ascii="Arial" w:hAnsi="Arial" w:cs="Arial"/>
          <w:sz w:val="23"/>
          <w:szCs w:val="23"/>
        </w:rPr>
        <w:t>The idea of being complete once again having been resurrected seems almost a positive celebration of life, rather than something that is understood in simple and at times fearful terms.</w:t>
      </w:r>
      <w:r w:rsidR="00EB6183" w:rsidRPr="008D1BB1">
        <w:rPr>
          <w:rFonts w:ascii="Arial" w:hAnsi="Arial" w:cs="Arial"/>
          <w:sz w:val="23"/>
          <w:szCs w:val="23"/>
        </w:rPr>
        <w:t xml:space="preserve"> </w:t>
      </w:r>
      <w:r w:rsidRPr="008D1BB1">
        <w:rPr>
          <w:rFonts w:ascii="Arial" w:hAnsi="Arial" w:cs="Arial"/>
          <w:sz w:val="23"/>
          <w:szCs w:val="23"/>
        </w:rPr>
        <w:t xml:space="preserve">Historian Johan Huizinga suggests in his work entitled </w:t>
      </w:r>
      <w:r w:rsidRPr="008D1BB1">
        <w:rPr>
          <w:rFonts w:ascii="Arial" w:hAnsi="Arial" w:cs="Arial"/>
          <w:i/>
          <w:sz w:val="23"/>
          <w:szCs w:val="23"/>
        </w:rPr>
        <w:t>The Waning of the Middle Ages</w:t>
      </w:r>
      <w:r w:rsidRPr="008D1BB1">
        <w:rPr>
          <w:rFonts w:ascii="Arial" w:hAnsi="Arial" w:cs="Arial"/>
          <w:sz w:val="23"/>
          <w:szCs w:val="23"/>
        </w:rPr>
        <w:t>,</w:t>
      </w:r>
      <w:r w:rsidRPr="008D1BB1">
        <w:rPr>
          <w:rFonts w:ascii="Arial" w:hAnsi="Arial" w:cs="Arial"/>
          <w:i/>
          <w:sz w:val="23"/>
          <w:szCs w:val="23"/>
        </w:rPr>
        <w:t xml:space="preserve"> </w:t>
      </w:r>
      <w:r w:rsidRPr="008D1BB1">
        <w:rPr>
          <w:rFonts w:ascii="Arial" w:hAnsi="Arial" w:cs="Arial"/>
          <w:sz w:val="23"/>
          <w:szCs w:val="23"/>
        </w:rPr>
        <w:t>that medieval people knew only to lament the briefness of life and to be joyful of the soul’s salvation; a statement that arguably discredits the medieval understanding of death and the influence of Christian doctrine.</w:t>
      </w:r>
      <w:r w:rsidR="000859C6" w:rsidRPr="008D1BB1">
        <w:rPr>
          <w:rStyle w:val="FootnoteReference"/>
          <w:rFonts w:ascii="Arial" w:hAnsi="Arial" w:cs="Arial"/>
          <w:sz w:val="23"/>
          <w:szCs w:val="23"/>
        </w:rPr>
        <w:footnoteReference w:id="2"/>
      </w:r>
      <w:r w:rsidRPr="008D1BB1">
        <w:rPr>
          <w:rFonts w:ascii="Arial" w:hAnsi="Arial" w:cs="Arial"/>
          <w:sz w:val="23"/>
          <w:szCs w:val="23"/>
        </w:rPr>
        <w:t xml:space="preserve"> Looking at contemporary sources </w:t>
      </w:r>
      <w:r w:rsidR="00EB6183" w:rsidRPr="008D1BB1">
        <w:rPr>
          <w:rFonts w:ascii="Arial" w:hAnsi="Arial" w:cs="Arial"/>
          <w:sz w:val="23"/>
          <w:szCs w:val="23"/>
        </w:rPr>
        <w:t>such as</w:t>
      </w:r>
      <w:r w:rsidRPr="008D1BB1">
        <w:rPr>
          <w:rFonts w:ascii="Arial" w:hAnsi="Arial" w:cs="Arial"/>
          <w:sz w:val="23"/>
          <w:szCs w:val="23"/>
        </w:rPr>
        <w:t xml:space="preserve"> the work of William Newburgh, makes medieval ideas on the resurrection seem conflicting, in the case of revenants the body is deliberately interfered with to prevent further demonic possession, but would the soul of the individual be reunited with its body at the point of resurrection?</w:t>
      </w:r>
      <w:r w:rsidRPr="008D1BB1">
        <w:rPr>
          <w:rStyle w:val="FootnoteReference"/>
          <w:rFonts w:ascii="Arial" w:hAnsi="Arial" w:cs="Arial"/>
          <w:sz w:val="23"/>
          <w:szCs w:val="23"/>
        </w:rPr>
        <w:footnoteReference w:id="3"/>
      </w:r>
      <w:r w:rsidRPr="008D1BB1">
        <w:rPr>
          <w:rFonts w:ascii="Arial" w:hAnsi="Arial" w:cs="Arial"/>
          <w:sz w:val="23"/>
          <w:szCs w:val="23"/>
        </w:rPr>
        <w:t xml:space="preserve"> Bynum discusses the theological debates concerning the issues of cannibalism and resurrection, giving rise to a multitude of questions concerning dismemberment and the fragmentation of bodies. The incomplete nature of bodies seems a legitimate concern to many who find grey areas in religious teachings on resurrection, and it remains in some Christian sects in the present day. Bynum does not act with intellectual superiority to medieval theologians who consider the resurrection of umbilical cords, instead considering medieval ideas on the doctrine with empathy and careful consideration. Going so far as to quote the work of Aquinas, who talks of the body being two different species in life </w:t>
      </w:r>
      <w:r w:rsidRPr="008D1BB1">
        <w:rPr>
          <w:rFonts w:ascii="Arial" w:hAnsi="Arial" w:cs="Arial"/>
          <w:sz w:val="23"/>
          <w:szCs w:val="23"/>
        </w:rPr>
        <w:lastRenderedPageBreak/>
        <w:t xml:space="preserve">and death, Bynum provides adequate information from a contemporary perspective in that Aquinas is central to Christian thought during the middle ages. </w:t>
      </w:r>
    </w:p>
    <w:p w14:paraId="4750E5CC" w14:textId="6FF5CE9F" w:rsidR="00EB6183" w:rsidRPr="008D1BB1" w:rsidRDefault="00EB6183" w:rsidP="008D1BB1">
      <w:pPr>
        <w:spacing w:line="276" w:lineRule="auto"/>
        <w:rPr>
          <w:rFonts w:ascii="Arial" w:hAnsi="Arial" w:cs="Arial"/>
          <w:sz w:val="23"/>
          <w:szCs w:val="23"/>
        </w:rPr>
      </w:pPr>
      <w:r w:rsidRPr="008D1BB1">
        <w:rPr>
          <w:rFonts w:ascii="Arial" w:hAnsi="Arial" w:cs="Arial"/>
          <w:sz w:val="23"/>
          <w:szCs w:val="23"/>
        </w:rPr>
        <w:t xml:space="preserve">The second part of Bynum’s work is concerned with modern debates on personal identity, in addition to medieval philosophy and scholastic thought surrounding resurrection and the body. Approaching the work of medieval theologians with careful consideration, she states clearly that by removing the ‘distasteful details’ of medieval discussion questions begin to appear concerning the underlying issues with survival and identity. Taking the time to discuss modern philosophical scholarship on the body therefore contributes to her own understanding of the development of ideas on the soul and resurrection, although development does not strictly mean the progression of thought. Bynum makes it clear that modern and medieval philosophy are not the same, as all medieval thinkers would have held a body-soul dualism differing greatly to the majority of modern thinkers who do not. </w:t>
      </w:r>
      <w:r w:rsidR="00777A86" w:rsidRPr="008D1BB1">
        <w:rPr>
          <w:rFonts w:ascii="Arial" w:hAnsi="Arial" w:cs="Arial"/>
          <w:sz w:val="23"/>
          <w:szCs w:val="23"/>
        </w:rPr>
        <w:t>Furthermore, she</w:t>
      </w:r>
      <w:r w:rsidRPr="008D1BB1">
        <w:rPr>
          <w:rFonts w:ascii="Arial" w:hAnsi="Arial" w:cs="Arial"/>
          <w:sz w:val="23"/>
          <w:szCs w:val="23"/>
        </w:rPr>
        <w:t xml:space="preserve"> discusses that the idea of ‘soul’ has been largely discarded in modern scholarship, opposing greatly to the medieval period in which much of church doctrine </w:t>
      </w:r>
      <w:r w:rsidR="00777A86" w:rsidRPr="008D1BB1">
        <w:rPr>
          <w:rFonts w:ascii="Arial" w:hAnsi="Arial" w:cs="Arial"/>
          <w:sz w:val="23"/>
          <w:szCs w:val="23"/>
        </w:rPr>
        <w:t xml:space="preserve">was </w:t>
      </w:r>
      <w:r w:rsidRPr="008D1BB1">
        <w:rPr>
          <w:rFonts w:ascii="Arial" w:hAnsi="Arial" w:cs="Arial"/>
          <w:sz w:val="23"/>
          <w:szCs w:val="23"/>
        </w:rPr>
        <w:t xml:space="preserve">concerned </w:t>
      </w:r>
      <w:r w:rsidR="00777A86" w:rsidRPr="008D1BB1">
        <w:rPr>
          <w:rFonts w:ascii="Arial" w:hAnsi="Arial" w:cs="Arial"/>
          <w:sz w:val="23"/>
          <w:szCs w:val="23"/>
        </w:rPr>
        <w:t xml:space="preserve">with </w:t>
      </w:r>
      <w:r w:rsidRPr="008D1BB1">
        <w:rPr>
          <w:rFonts w:ascii="Arial" w:hAnsi="Arial" w:cs="Arial"/>
          <w:sz w:val="23"/>
          <w:szCs w:val="23"/>
        </w:rPr>
        <w:t>the care and salvation of the soul in order to obtain a shortened length of time in purgatory with the eventual ascension to heaven following the Last Judgement. Quoting the works of numerous modern scholars such as Robert Nozick and John Perry who talk of brain transplants and beaming the body through space</w:t>
      </w:r>
      <w:r w:rsidR="00282DF9" w:rsidRPr="008D1BB1">
        <w:rPr>
          <w:rFonts w:ascii="Arial" w:hAnsi="Arial" w:cs="Arial"/>
          <w:sz w:val="23"/>
          <w:szCs w:val="23"/>
        </w:rPr>
        <w:t>,</w:t>
      </w:r>
      <w:r w:rsidRPr="008D1BB1">
        <w:rPr>
          <w:rFonts w:ascii="Arial" w:hAnsi="Arial" w:cs="Arial"/>
          <w:sz w:val="23"/>
          <w:szCs w:val="23"/>
        </w:rPr>
        <w:t xml:space="preserve"> Bynum draws a direct contrast to the ideas of the medieval period which she deems almost more conceivable, claiming it is ‘no less odd than speculation about the resurrection of Christ’s foreskin … or about the fate of eaten embryos.’</w:t>
      </w:r>
      <w:r w:rsidRPr="008D1BB1">
        <w:rPr>
          <w:rStyle w:val="FootnoteReference"/>
          <w:rFonts w:ascii="Arial" w:hAnsi="Arial" w:cs="Arial"/>
          <w:sz w:val="23"/>
          <w:szCs w:val="23"/>
        </w:rPr>
        <w:footnoteReference w:id="4"/>
      </w:r>
      <w:r w:rsidRPr="008D1BB1">
        <w:rPr>
          <w:rFonts w:ascii="Arial" w:hAnsi="Arial" w:cs="Arial"/>
          <w:sz w:val="23"/>
          <w:szCs w:val="23"/>
        </w:rPr>
        <w:t xml:space="preserve"> Bynum talks about the body as representative of the self, something that can be found throughout medieval religious life, those who fear damnation and an eternity in purgatory would have understood the soul as a part of their identity through which the eventual judgement would be made. Commenting clearly upon this matter, Bynum highlights that for every medieval theological thought comes modern philosophical criticism, for example, Platonic dualism views the person as the soul, and the body is attached as a tool or prison. The ability to draw upon medieval ideas and their counterarguments in modern scholarship, is what makes Bynum’s article compelling in the understanding of the resurrection of the soul. Drawing upon the connections between church practice and theological debate within the medieval period alone shows an understanding of theology that proves the body to be essential to a person, that those who truly understood body/soul conflict, have the clearest awareness of the body’s potential for divine revelation.</w:t>
      </w:r>
      <w:r w:rsidR="00777A86" w:rsidRPr="008D1BB1">
        <w:rPr>
          <w:rStyle w:val="FootnoteReference"/>
          <w:rFonts w:ascii="Arial" w:hAnsi="Arial" w:cs="Arial"/>
          <w:sz w:val="23"/>
          <w:szCs w:val="23"/>
        </w:rPr>
        <w:footnoteReference w:id="5"/>
      </w:r>
    </w:p>
    <w:p w14:paraId="65FA1E98" w14:textId="68FB1371" w:rsidR="00282DF9" w:rsidRPr="008D1BB1" w:rsidRDefault="00282DF9" w:rsidP="008D1BB1">
      <w:pPr>
        <w:spacing w:line="276" w:lineRule="auto"/>
        <w:rPr>
          <w:rFonts w:ascii="Arial" w:hAnsi="Arial" w:cs="Arial"/>
          <w:sz w:val="23"/>
          <w:szCs w:val="23"/>
        </w:rPr>
      </w:pPr>
      <w:r w:rsidRPr="008D1BB1">
        <w:rPr>
          <w:rFonts w:ascii="Arial" w:hAnsi="Arial" w:cs="Arial"/>
          <w:sz w:val="23"/>
          <w:szCs w:val="23"/>
        </w:rPr>
        <w:t>The final issue that Caroline Walker Bynum discusses in her work is the ideas surrounding bodily partition in medieval society and its development throughout the period. Bynum begins the last section of her article by stating, 'I want to argue, however, that the connection between the outré examples of scholastic debate and the concerns of the pious existed at a deeper level as well - a level contemporaries did not see.'</w:t>
      </w:r>
      <w:r w:rsidRPr="008D1BB1">
        <w:rPr>
          <w:rStyle w:val="FootnoteReference"/>
          <w:rFonts w:ascii="Arial" w:hAnsi="Arial" w:cs="Arial"/>
          <w:sz w:val="23"/>
          <w:szCs w:val="23"/>
        </w:rPr>
        <w:footnoteReference w:id="6"/>
      </w:r>
      <w:r w:rsidRPr="008D1BB1">
        <w:rPr>
          <w:rFonts w:ascii="Arial" w:hAnsi="Arial" w:cs="Arial"/>
          <w:sz w:val="23"/>
          <w:szCs w:val="23"/>
        </w:rPr>
        <w:t xml:space="preserve"> Thus highlighting the benefits of modern scholarship, as a historian Bynum has the ability to look upon the middle ages and make connections that were unattainable to contemporary sources. Surviving contemporary sources show that medieval people believed material continuity as being crucial to identity, an important part of Bynum’s article. Bynum mentions numerous contemporary stories that imply the body has the potential to remain or come alive after death, and the presence of temporary resurrection occurs within church doctrine and hagiography. Having looked at William of </w:t>
      </w:r>
      <w:r w:rsidRPr="008D1BB1">
        <w:rPr>
          <w:rFonts w:ascii="Arial" w:hAnsi="Arial" w:cs="Arial"/>
          <w:sz w:val="23"/>
          <w:szCs w:val="23"/>
        </w:rPr>
        <w:lastRenderedPageBreak/>
        <w:t xml:space="preserve">Newburgh’s </w:t>
      </w:r>
      <w:r w:rsidRPr="008D1BB1">
        <w:rPr>
          <w:rFonts w:ascii="Arial" w:hAnsi="Arial" w:cs="Arial"/>
          <w:i/>
          <w:sz w:val="23"/>
          <w:szCs w:val="23"/>
        </w:rPr>
        <w:t>Historia rerum Anglicarum</w:t>
      </w:r>
      <w:r w:rsidRPr="008D1BB1">
        <w:rPr>
          <w:rFonts w:ascii="Arial" w:hAnsi="Arial" w:cs="Arial"/>
          <w:sz w:val="23"/>
          <w:szCs w:val="23"/>
        </w:rPr>
        <w:t>, there are numerous accounts of people returning having died days before.</w:t>
      </w:r>
      <w:r w:rsidRPr="008D1BB1">
        <w:rPr>
          <w:rStyle w:val="FootnoteReference"/>
          <w:rFonts w:ascii="Arial" w:hAnsi="Arial" w:cs="Arial"/>
          <w:i/>
          <w:sz w:val="23"/>
          <w:szCs w:val="23"/>
        </w:rPr>
        <w:t xml:space="preserve"> </w:t>
      </w:r>
      <w:r w:rsidRPr="008D1BB1">
        <w:rPr>
          <w:rStyle w:val="FootnoteReference"/>
          <w:rFonts w:ascii="Arial" w:hAnsi="Arial" w:cs="Arial"/>
          <w:i/>
          <w:sz w:val="23"/>
          <w:szCs w:val="23"/>
        </w:rPr>
        <w:footnoteReference w:id="7"/>
      </w:r>
      <w:r w:rsidRPr="008D1BB1">
        <w:rPr>
          <w:rFonts w:ascii="Arial" w:hAnsi="Arial" w:cs="Arial"/>
          <w:i/>
          <w:sz w:val="23"/>
          <w:szCs w:val="23"/>
        </w:rPr>
        <w:t xml:space="preserve"> </w:t>
      </w:r>
      <w:r w:rsidRPr="008D1BB1">
        <w:rPr>
          <w:rFonts w:ascii="Arial" w:hAnsi="Arial" w:cs="Arial"/>
          <w:sz w:val="23"/>
          <w:szCs w:val="23"/>
        </w:rPr>
        <w:t>The horrifying ideas surrounding revenants and the resurrection of the dead provided by oral testimonies and in chronicles, make death something to be feared, with many bodies having to be damaged in some way to prevent further demonic possession.</w:t>
      </w:r>
      <w:r w:rsidRPr="008D1BB1">
        <w:rPr>
          <w:rFonts w:ascii="Arial" w:hAnsi="Arial" w:cs="Arial"/>
          <w:i/>
          <w:sz w:val="23"/>
          <w:szCs w:val="23"/>
        </w:rPr>
        <w:t xml:space="preserve"> </w:t>
      </w:r>
      <w:r w:rsidRPr="008D1BB1">
        <w:rPr>
          <w:rFonts w:ascii="Arial" w:hAnsi="Arial" w:cs="Arial"/>
          <w:sz w:val="23"/>
          <w:szCs w:val="23"/>
        </w:rPr>
        <w:t xml:space="preserve">Chronicle accounts make it clear that dismemberment is used for the most repulsive crimes, something that Bynum convers in some depth, although not entirely relevant to her initial argument. There appears to have been a cultural assumption that by believing in material continuity, the idea of bodily fragmentation is deemed horrifying, whether it be of the bodies of martyrs, or those of severe criminals. Referencing directly contemporary hagiographical works such as </w:t>
      </w:r>
      <w:r w:rsidRPr="008D1BB1">
        <w:rPr>
          <w:rFonts w:ascii="Arial" w:hAnsi="Arial" w:cs="Arial"/>
          <w:i/>
          <w:sz w:val="23"/>
          <w:szCs w:val="23"/>
        </w:rPr>
        <w:t xml:space="preserve">The Golden Legend </w:t>
      </w:r>
      <w:r w:rsidRPr="008D1BB1">
        <w:rPr>
          <w:rFonts w:ascii="Arial" w:hAnsi="Arial" w:cs="Arial"/>
          <w:sz w:val="23"/>
          <w:szCs w:val="23"/>
        </w:rPr>
        <w:t>by Jacobus de Varagine, Bynum uses contemporary source material in a manner that allows her to accurately critique or agree with modern scholarship. As mentioned above, God has the ability to reassemble bodies, particularly those belonging to saints, however church doctrine concerning fragmentation results in widespread anxiety surrounding the body after death. Bynum does mention however, that despite worries with fragmentation, the bodies of saints continue to be divided for the purpose of worship and relics, an arguably conflicting ideology. Bynum sums up this section of her argument succinctly, ‘As one of the more conservative theologians might have said: material continuity is identity; body is univocal; the whole will rise, and every part is in a sense the whole.’</w:t>
      </w:r>
      <w:r w:rsidRPr="008D1BB1">
        <w:rPr>
          <w:rStyle w:val="FootnoteReference"/>
          <w:rFonts w:ascii="Arial" w:hAnsi="Arial" w:cs="Arial"/>
          <w:sz w:val="23"/>
          <w:szCs w:val="23"/>
        </w:rPr>
        <w:footnoteReference w:id="8"/>
      </w:r>
    </w:p>
    <w:p w14:paraId="47749C30" w14:textId="64699740" w:rsidR="00282DF9" w:rsidRPr="008D1BB1" w:rsidRDefault="00282DF9" w:rsidP="008D1BB1">
      <w:pPr>
        <w:spacing w:line="276" w:lineRule="auto"/>
        <w:rPr>
          <w:rFonts w:ascii="Arial" w:hAnsi="Arial" w:cs="Arial"/>
          <w:sz w:val="23"/>
          <w:szCs w:val="23"/>
        </w:rPr>
      </w:pPr>
      <w:r w:rsidRPr="008D1BB1">
        <w:rPr>
          <w:rFonts w:ascii="Arial" w:hAnsi="Arial" w:cs="Arial"/>
          <w:sz w:val="23"/>
          <w:szCs w:val="23"/>
        </w:rPr>
        <w:t xml:space="preserve">Overall, it can therefore be seen that Caroline Walker Bynum provides a useful secondary source that brings to light medieval ideas surrounding resurrection and religious doctrine on material continuity. As mentioned in the title of her article, Bynum discusses the major issues with death and resurrection in the middle ages, considering the primary source material available and how it can shed light on contemporary views. Bynum appears to have used a large range of source material, from ecclesiastical documentation, to chronicles, as well as a variety of more modern scholarship. As the purpose of the article is to compare scholastic discussion from medieval to modern on material continuity, personal identity and resurrection, Bynum takes an analytical </w:t>
      </w:r>
      <w:r w:rsidR="0016069C" w:rsidRPr="008D1BB1">
        <w:rPr>
          <w:rFonts w:ascii="Arial" w:hAnsi="Arial" w:cs="Arial"/>
          <w:sz w:val="23"/>
          <w:szCs w:val="23"/>
        </w:rPr>
        <w:t>approach,</w:t>
      </w:r>
      <w:r w:rsidRPr="008D1BB1">
        <w:rPr>
          <w:rFonts w:ascii="Arial" w:hAnsi="Arial" w:cs="Arial"/>
          <w:sz w:val="23"/>
          <w:szCs w:val="23"/>
        </w:rPr>
        <w:t xml:space="preserve"> yet the tone does not appear heavily critical or disapproving. It seems that modern scholars and readership may assume an intellectual superiority over medieval religious and theological doctrine, something that Bynum acknowledges within her work, ‘we are no closer to definitive answers than were the medieval theologians who considered the resurrection of umbilical cords and fingernails.’</w:t>
      </w:r>
      <w:r w:rsidRPr="008D1BB1">
        <w:rPr>
          <w:rStyle w:val="FootnoteReference"/>
          <w:rFonts w:ascii="Arial" w:hAnsi="Arial" w:cs="Arial"/>
          <w:sz w:val="23"/>
          <w:szCs w:val="23"/>
        </w:rPr>
        <w:footnoteReference w:id="9"/>
      </w:r>
      <w:r w:rsidRPr="008D1BB1">
        <w:rPr>
          <w:rFonts w:ascii="Arial" w:hAnsi="Arial" w:cs="Arial"/>
          <w:sz w:val="23"/>
          <w:szCs w:val="23"/>
        </w:rPr>
        <w:t xml:space="preserve"> </w:t>
      </w:r>
    </w:p>
    <w:p w14:paraId="16B8B6FE" w14:textId="77777777" w:rsidR="00EB6183" w:rsidRPr="008D1BB1" w:rsidRDefault="00EB6183" w:rsidP="008D1BB1">
      <w:pPr>
        <w:spacing w:line="276" w:lineRule="auto"/>
        <w:rPr>
          <w:rFonts w:ascii="Arial" w:hAnsi="Arial" w:cs="Arial"/>
          <w:sz w:val="23"/>
          <w:szCs w:val="23"/>
        </w:rPr>
      </w:pPr>
    </w:p>
    <w:p w14:paraId="3605E3DD" w14:textId="77777777" w:rsidR="003C2E7A" w:rsidRPr="008D1BB1" w:rsidRDefault="003C2E7A" w:rsidP="008D1BB1">
      <w:pPr>
        <w:spacing w:line="276" w:lineRule="auto"/>
        <w:rPr>
          <w:rFonts w:ascii="Arial" w:hAnsi="Arial" w:cs="Arial"/>
          <w:sz w:val="23"/>
          <w:szCs w:val="23"/>
        </w:rPr>
      </w:pPr>
    </w:p>
    <w:p w14:paraId="25004D0B" w14:textId="30AA0AF2" w:rsidR="00AD37F2" w:rsidRPr="008D1BB1" w:rsidRDefault="00AD37F2" w:rsidP="008D1BB1">
      <w:pPr>
        <w:spacing w:line="276" w:lineRule="auto"/>
      </w:pPr>
    </w:p>
    <w:p w14:paraId="0672BBA3" w14:textId="7A9507E5" w:rsidR="00456CF2" w:rsidRPr="008D1BB1" w:rsidRDefault="00456CF2" w:rsidP="008D1BB1">
      <w:pPr>
        <w:spacing w:line="276" w:lineRule="auto"/>
      </w:pPr>
    </w:p>
    <w:p w14:paraId="425CD86C" w14:textId="7EE7875D" w:rsidR="00456CF2" w:rsidRPr="008D1BB1" w:rsidRDefault="00456CF2" w:rsidP="008D1BB1">
      <w:pPr>
        <w:spacing w:line="276" w:lineRule="auto"/>
      </w:pPr>
    </w:p>
    <w:p w14:paraId="65CA719A" w14:textId="77777777" w:rsidR="008D1BB1" w:rsidRDefault="008D1BB1" w:rsidP="008D1BB1">
      <w:pPr>
        <w:spacing w:line="276" w:lineRule="auto"/>
      </w:pPr>
    </w:p>
    <w:p w14:paraId="202A32D5" w14:textId="05714756" w:rsidR="00456CF2" w:rsidRPr="008D1BB1" w:rsidRDefault="00456CF2" w:rsidP="008D1BB1">
      <w:pPr>
        <w:spacing w:line="276" w:lineRule="auto"/>
        <w:rPr>
          <w:rFonts w:ascii="Arial" w:hAnsi="Arial" w:cs="Arial"/>
          <w:b/>
          <w:sz w:val="23"/>
          <w:szCs w:val="23"/>
        </w:rPr>
      </w:pPr>
      <w:r w:rsidRPr="008D1BB1">
        <w:rPr>
          <w:rFonts w:ascii="Arial" w:hAnsi="Arial" w:cs="Arial"/>
          <w:b/>
          <w:sz w:val="23"/>
          <w:szCs w:val="23"/>
        </w:rPr>
        <w:lastRenderedPageBreak/>
        <w:t>Commentary on Individuality</w:t>
      </w:r>
      <w:r w:rsidRPr="008D1BB1">
        <w:rPr>
          <w:rFonts w:ascii="Arial" w:hAnsi="Arial" w:cs="Arial"/>
          <w:b/>
          <w:sz w:val="23"/>
          <w:szCs w:val="23"/>
        </w:rPr>
        <w:t xml:space="preserve"> </w:t>
      </w:r>
      <w:r w:rsidRPr="008D1BB1">
        <w:rPr>
          <w:rFonts w:ascii="Arial" w:hAnsi="Arial" w:cs="Arial"/>
          <w:b/>
          <w:sz w:val="23"/>
          <w:szCs w:val="23"/>
        </w:rPr>
        <w:t xml:space="preserve"> </w:t>
      </w:r>
    </w:p>
    <w:p w14:paraId="0DECD6DF" w14:textId="36E88548" w:rsidR="00456CF2" w:rsidRPr="008D1BB1" w:rsidRDefault="00456CF2" w:rsidP="008D1BB1">
      <w:pPr>
        <w:spacing w:line="276" w:lineRule="auto"/>
        <w:rPr>
          <w:rFonts w:ascii="Arial" w:hAnsi="Arial" w:cs="Arial"/>
          <w:sz w:val="23"/>
          <w:szCs w:val="23"/>
        </w:rPr>
      </w:pPr>
      <w:r w:rsidRPr="008D1BB1">
        <w:rPr>
          <w:rFonts w:ascii="Arial" w:hAnsi="Arial" w:cs="Arial"/>
          <w:sz w:val="23"/>
          <w:szCs w:val="23"/>
        </w:rPr>
        <w:t>Towards the lat</w:t>
      </w:r>
      <w:r w:rsidR="00192FBF" w:rsidRPr="008D1BB1">
        <w:rPr>
          <w:rFonts w:ascii="Arial" w:hAnsi="Arial" w:cs="Arial"/>
          <w:sz w:val="23"/>
          <w:szCs w:val="23"/>
        </w:rPr>
        <w:t>e</w:t>
      </w:r>
      <w:r w:rsidRPr="008D1BB1">
        <w:rPr>
          <w:rFonts w:ascii="Arial" w:hAnsi="Arial" w:cs="Arial"/>
          <w:sz w:val="23"/>
          <w:szCs w:val="23"/>
        </w:rPr>
        <w:t xml:space="preserve">r period of the middle ages, there continues to be widespread fear concerning death, however the development on ideas such as the doctrine of purgatory leads to concerns for the salvation of souls and the Last Judgement. Looking in particular at the concerns of salvation by the medieval individual, alongside some of the actions taken to avoid an extended period in purgatory, both by the individual on their deathbed as well as after their burial. </w:t>
      </w:r>
    </w:p>
    <w:p w14:paraId="51FBD30C" w14:textId="20CDE6A9" w:rsidR="00456CF2" w:rsidRPr="008D1BB1" w:rsidRDefault="00456CF2" w:rsidP="008D1BB1">
      <w:pPr>
        <w:spacing w:line="276" w:lineRule="auto"/>
        <w:rPr>
          <w:rFonts w:ascii="Arial" w:hAnsi="Arial" w:cs="Arial"/>
          <w:sz w:val="23"/>
          <w:szCs w:val="23"/>
        </w:rPr>
      </w:pPr>
      <w:r w:rsidRPr="008D1BB1">
        <w:rPr>
          <w:rFonts w:ascii="Arial" w:hAnsi="Arial" w:cs="Arial"/>
          <w:sz w:val="23"/>
          <w:szCs w:val="23"/>
        </w:rPr>
        <w:t xml:space="preserve">There appears to be a significant concern for the salvation of the individual soul in the later middle ages, and contemporary sources provide terrifying accounts of purgatory and the consequences of living a sinful life. Looking for instance at the </w:t>
      </w:r>
      <w:r w:rsidRPr="008D1BB1">
        <w:rPr>
          <w:rFonts w:ascii="Arial" w:hAnsi="Arial" w:cs="Arial"/>
          <w:i/>
          <w:sz w:val="23"/>
          <w:szCs w:val="23"/>
        </w:rPr>
        <w:t xml:space="preserve">Revelation of the Monk of Eynsham </w:t>
      </w:r>
      <w:r w:rsidRPr="008D1BB1">
        <w:rPr>
          <w:rFonts w:ascii="Arial" w:hAnsi="Arial" w:cs="Arial"/>
          <w:sz w:val="23"/>
          <w:szCs w:val="23"/>
        </w:rPr>
        <w:t xml:space="preserve">produced in the 1470s, the varying stages of </w:t>
      </w:r>
      <w:r w:rsidR="00192FBF" w:rsidRPr="008D1BB1">
        <w:rPr>
          <w:rFonts w:ascii="Arial" w:hAnsi="Arial" w:cs="Arial"/>
          <w:sz w:val="23"/>
          <w:szCs w:val="23"/>
        </w:rPr>
        <w:t>p</w:t>
      </w:r>
      <w:r w:rsidRPr="008D1BB1">
        <w:rPr>
          <w:rFonts w:ascii="Arial" w:hAnsi="Arial" w:cs="Arial"/>
          <w:sz w:val="23"/>
          <w:szCs w:val="23"/>
        </w:rPr>
        <w:t xml:space="preserve">urgatory are filled with suffering groups of men and women, stressing the lack of individuality after death until the ascension to </w:t>
      </w:r>
      <w:r w:rsidR="00192FBF" w:rsidRPr="008D1BB1">
        <w:rPr>
          <w:rFonts w:ascii="Arial" w:hAnsi="Arial" w:cs="Arial"/>
          <w:sz w:val="23"/>
          <w:szCs w:val="23"/>
        </w:rPr>
        <w:t>h</w:t>
      </w:r>
      <w:r w:rsidRPr="008D1BB1">
        <w:rPr>
          <w:rFonts w:ascii="Arial" w:hAnsi="Arial" w:cs="Arial"/>
          <w:sz w:val="23"/>
          <w:szCs w:val="23"/>
        </w:rPr>
        <w:t xml:space="preserve">eaven, or of course the descent to </w:t>
      </w:r>
      <w:r w:rsidR="00192FBF" w:rsidRPr="008D1BB1">
        <w:rPr>
          <w:rFonts w:ascii="Arial" w:hAnsi="Arial" w:cs="Arial"/>
          <w:sz w:val="23"/>
          <w:szCs w:val="23"/>
        </w:rPr>
        <w:t>h</w:t>
      </w:r>
      <w:r w:rsidRPr="008D1BB1">
        <w:rPr>
          <w:rFonts w:ascii="Arial" w:hAnsi="Arial" w:cs="Arial"/>
          <w:sz w:val="23"/>
          <w:szCs w:val="23"/>
        </w:rPr>
        <w:t>ell.</w:t>
      </w:r>
      <w:r w:rsidRPr="008D1BB1">
        <w:rPr>
          <w:rStyle w:val="FootnoteReference"/>
          <w:rFonts w:ascii="Arial" w:hAnsi="Arial" w:cs="Arial"/>
          <w:sz w:val="23"/>
          <w:szCs w:val="23"/>
        </w:rPr>
        <w:footnoteReference w:id="10"/>
      </w:r>
      <w:r w:rsidRPr="008D1BB1">
        <w:rPr>
          <w:rFonts w:ascii="Arial" w:hAnsi="Arial" w:cs="Arial"/>
          <w:sz w:val="23"/>
          <w:szCs w:val="23"/>
        </w:rPr>
        <w:t xml:space="preserve"> The grouping of people after death removes the individuality of life, and makes the actions taken before, during and after dying all the more important to reduce the loss of identity. The importance of the individual has been discussed widely in modern scholarship, notably Clive Burgess who acknowledges that depictions of Hell and </w:t>
      </w:r>
      <w:r w:rsidR="00192FBF" w:rsidRPr="008D1BB1">
        <w:rPr>
          <w:rFonts w:ascii="Arial" w:hAnsi="Arial" w:cs="Arial"/>
          <w:sz w:val="23"/>
          <w:szCs w:val="23"/>
        </w:rPr>
        <w:t>p</w:t>
      </w:r>
      <w:r w:rsidRPr="008D1BB1">
        <w:rPr>
          <w:rFonts w:ascii="Arial" w:hAnsi="Arial" w:cs="Arial"/>
          <w:sz w:val="23"/>
          <w:szCs w:val="23"/>
        </w:rPr>
        <w:t>urgatory in churches would have generated fear amongst parishioners and ritualised actions made upon the deathbed to avoid it.</w:t>
      </w:r>
      <w:r w:rsidRPr="008D1BB1">
        <w:rPr>
          <w:rStyle w:val="FootnoteReference"/>
          <w:rFonts w:ascii="Arial" w:hAnsi="Arial" w:cs="Arial"/>
          <w:sz w:val="23"/>
          <w:szCs w:val="23"/>
        </w:rPr>
        <w:footnoteReference w:id="11"/>
      </w:r>
      <w:r w:rsidRPr="008D1BB1">
        <w:rPr>
          <w:rFonts w:ascii="Arial" w:hAnsi="Arial" w:cs="Arial"/>
          <w:sz w:val="23"/>
          <w:szCs w:val="23"/>
        </w:rPr>
        <w:t xml:space="preserve"> It seems that there is no way to achieve complete salvation from </w:t>
      </w:r>
      <w:r w:rsidR="00192FBF" w:rsidRPr="008D1BB1">
        <w:rPr>
          <w:rFonts w:ascii="Arial" w:hAnsi="Arial" w:cs="Arial"/>
          <w:sz w:val="23"/>
          <w:szCs w:val="23"/>
        </w:rPr>
        <w:t>p</w:t>
      </w:r>
      <w:r w:rsidRPr="008D1BB1">
        <w:rPr>
          <w:rFonts w:ascii="Arial" w:hAnsi="Arial" w:cs="Arial"/>
          <w:sz w:val="23"/>
          <w:szCs w:val="23"/>
        </w:rPr>
        <w:t xml:space="preserve">urgatory, unless the individual is considered to be a figure of religious importance such as martyrs and </w:t>
      </w:r>
      <w:r w:rsidR="00192FBF" w:rsidRPr="008D1BB1">
        <w:rPr>
          <w:rFonts w:ascii="Arial" w:hAnsi="Arial" w:cs="Arial"/>
          <w:sz w:val="23"/>
          <w:szCs w:val="23"/>
        </w:rPr>
        <w:t>destined saints</w:t>
      </w:r>
      <w:r w:rsidRPr="008D1BB1">
        <w:rPr>
          <w:rFonts w:ascii="Arial" w:hAnsi="Arial" w:cs="Arial"/>
          <w:sz w:val="23"/>
          <w:szCs w:val="23"/>
        </w:rPr>
        <w:t xml:space="preserve">. This fear of life after death drives the need for widespread ecclesiastical advice on how to correctly avoid an eternity in </w:t>
      </w:r>
      <w:r w:rsidR="00192FBF" w:rsidRPr="008D1BB1">
        <w:rPr>
          <w:rFonts w:ascii="Arial" w:hAnsi="Arial" w:cs="Arial"/>
          <w:sz w:val="23"/>
          <w:szCs w:val="23"/>
        </w:rPr>
        <w:t>p</w:t>
      </w:r>
      <w:r w:rsidRPr="008D1BB1">
        <w:rPr>
          <w:rFonts w:ascii="Arial" w:hAnsi="Arial" w:cs="Arial"/>
          <w:sz w:val="23"/>
          <w:szCs w:val="23"/>
        </w:rPr>
        <w:t xml:space="preserve">urgatory. </w:t>
      </w:r>
    </w:p>
    <w:p w14:paraId="44DC4961" w14:textId="486C4F0C" w:rsidR="00456CF2" w:rsidRPr="008D1BB1" w:rsidRDefault="00456CF2" w:rsidP="008D1BB1">
      <w:pPr>
        <w:spacing w:line="276" w:lineRule="auto"/>
        <w:rPr>
          <w:rFonts w:ascii="Arial" w:hAnsi="Arial" w:cs="Arial"/>
          <w:sz w:val="23"/>
          <w:szCs w:val="23"/>
        </w:rPr>
      </w:pPr>
      <w:r w:rsidRPr="008D1BB1">
        <w:rPr>
          <w:rFonts w:ascii="Arial" w:hAnsi="Arial" w:cs="Arial"/>
          <w:sz w:val="23"/>
          <w:szCs w:val="23"/>
        </w:rPr>
        <w:t xml:space="preserve">There develops a ritualised series of actions made </w:t>
      </w:r>
      <w:r w:rsidR="00192FBF" w:rsidRPr="008D1BB1">
        <w:rPr>
          <w:rFonts w:ascii="Arial" w:hAnsi="Arial" w:cs="Arial"/>
          <w:sz w:val="23"/>
          <w:szCs w:val="23"/>
        </w:rPr>
        <w:t xml:space="preserve">by </w:t>
      </w:r>
      <w:r w:rsidRPr="008D1BB1">
        <w:rPr>
          <w:rFonts w:ascii="Arial" w:hAnsi="Arial" w:cs="Arial"/>
          <w:sz w:val="23"/>
          <w:szCs w:val="23"/>
        </w:rPr>
        <w:t xml:space="preserve">the individual on their deathbed to begin the reduction of sin and </w:t>
      </w:r>
      <w:r w:rsidR="00B729FC" w:rsidRPr="008D1BB1">
        <w:rPr>
          <w:rFonts w:ascii="Arial" w:hAnsi="Arial" w:cs="Arial"/>
          <w:sz w:val="23"/>
          <w:szCs w:val="23"/>
        </w:rPr>
        <w:t xml:space="preserve">to </w:t>
      </w:r>
      <w:r w:rsidRPr="008D1BB1">
        <w:rPr>
          <w:rFonts w:ascii="Arial" w:hAnsi="Arial" w:cs="Arial"/>
          <w:sz w:val="23"/>
          <w:szCs w:val="23"/>
        </w:rPr>
        <w:t xml:space="preserve">cast out the Devil. Most of what we know about the art of ‘dying well’ in the later medieval period is from written record, although there are numerous printed editions and illuminations of the deathbed rituals. It is thought that there </w:t>
      </w:r>
      <w:r w:rsidR="00B729FC" w:rsidRPr="008D1BB1">
        <w:rPr>
          <w:rFonts w:ascii="Arial" w:hAnsi="Arial" w:cs="Arial"/>
          <w:sz w:val="23"/>
          <w:szCs w:val="23"/>
        </w:rPr>
        <w:t>were</w:t>
      </w:r>
      <w:r w:rsidRPr="008D1BB1">
        <w:rPr>
          <w:rFonts w:ascii="Arial" w:hAnsi="Arial" w:cs="Arial"/>
          <w:sz w:val="23"/>
          <w:szCs w:val="23"/>
        </w:rPr>
        <w:t xml:space="preserve"> a series of five temptations alternating with five inspirations, a conflicting moment in which the individual is forced to face a multitude of sin in order to reject the Devil and turn to Christ often depicted with his Fourteen Holy Helpers.</w:t>
      </w:r>
      <w:r w:rsidRPr="008D1BB1">
        <w:rPr>
          <w:rStyle w:val="FootnoteReference"/>
          <w:rFonts w:ascii="Arial" w:hAnsi="Arial" w:cs="Arial"/>
          <w:sz w:val="23"/>
          <w:szCs w:val="23"/>
        </w:rPr>
        <w:footnoteReference w:id="12"/>
      </w:r>
      <w:r w:rsidRPr="008D1BB1">
        <w:rPr>
          <w:rFonts w:ascii="Arial" w:hAnsi="Arial" w:cs="Arial"/>
          <w:sz w:val="23"/>
          <w:szCs w:val="23"/>
        </w:rPr>
        <w:t xml:space="preserve"> Visual depictions of the </w:t>
      </w:r>
      <w:r w:rsidRPr="008D1BB1">
        <w:rPr>
          <w:rFonts w:ascii="Arial" w:hAnsi="Arial" w:cs="Arial"/>
          <w:i/>
          <w:sz w:val="23"/>
          <w:szCs w:val="23"/>
        </w:rPr>
        <w:t xml:space="preserve">Ars Moriendi </w:t>
      </w:r>
      <w:r w:rsidRPr="008D1BB1">
        <w:rPr>
          <w:rFonts w:ascii="Arial" w:hAnsi="Arial" w:cs="Arial"/>
          <w:sz w:val="23"/>
          <w:szCs w:val="23"/>
        </w:rPr>
        <w:t xml:space="preserve">increase the audience of deathbed practices to include not only those who could read, but those who were illiterate. It is also worthy of note that individuals may have been able to purchase plenary indulgences from the church in order to repent their sins, popularised by the series of Crusades in which participants either purchased or obtained. Despite efforts to reduce the sin of the individual on the deathbed, it is unlikely to have completely cleansed the soul, and further steps were required. </w:t>
      </w:r>
    </w:p>
    <w:p w14:paraId="51F7D5CB" w14:textId="3C3D3612" w:rsidR="00456CF2" w:rsidRPr="008D1BB1" w:rsidRDefault="00456CF2" w:rsidP="008D1BB1">
      <w:pPr>
        <w:spacing w:line="276" w:lineRule="auto"/>
        <w:rPr>
          <w:rFonts w:ascii="Arial" w:hAnsi="Arial" w:cs="Arial"/>
          <w:sz w:val="23"/>
          <w:szCs w:val="23"/>
        </w:rPr>
      </w:pPr>
      <w:r w:rsidRPr="008D1BB1">
        <w:rPr>
          <w:rFonts w:ascii="Arial" w:hAnsi="Arial" w:cs="Arial"/>
          <w:sz w:val="23"/>
          <w:szCs w:val="23"/>
        </w:rPr>
        <w:t xml:space="preserve">Furthermore, the actions taken on behalf of the individual after their death prove almost crucial to a shortened period of time in dreaded </w:t>
      </w:r>
      <w:r w:rsidR="00B729FC" w:rsidRPr="008D1BB1">
        <w:rPr>
          <w:rFonts w:ascii="Arial" w:hAnsi="Arial" w:cs="Arial"/>
          <w:sz w:val="23"/>
          <w:szCs w:val="23"/>
        </w:rPr>
        <w:t>p</w:t>
      </w:r>
      <w:r w:rsidRPr="008D1BB1">
        <w:rPr>
          <w:rFonts w:ascii="Arial" w:hAnsi="Arial" w:cs="Arial"/>
          <w:sz w:val="23"/>
          <w:szCs w:val="23"/>
        </w:rPr>
        <w:t xml:space="preserve">urgatory. It is known that continued prayer and memorial after death aided the soul of the departed, something that manuals on </w:t>
      </w:r>
      <w:r w:rsidRPr="008D1BB1">
        <w:rPr>
          <w:rFonts w:ascii="Arial" w:hAnsi="Arial" w:cs="Arial"/>
          <w:i/>
          <w:sz w:val="23"/>
          <w:szCs w:val="23"/>
        </w:rPr>
        <w:t xml:space="preserve">Ars Moriendi </w:t>
      </w:r>
      <w:r w:rsidRPr="008D1BB1">
        <w:rPr>
          <w:rFonts w:ascii="Arial" w:hAnsi="Arial" w:cs="Arial"/>
          <w:sz w:val="23"/>
          <w:szCs w:val="23"/>
        </w:rPr>
        <w:lastRenderedPageBreak/>
        <w:t xml:space="preserve">would have been able to teach. As mentioned in an above paragraph, the </w:t>
      </w:r>
      <w:r w:rsidRPr="008D1BB1">
        <w:rPr>
          <w:rFonts w:ascii="Arial" w:hAnsi="Arial" w:cs="Arial"/>
          <w:i/>
          <w:sz w:val="23"/>
          <w:szCs w:val="23"/>
        </w:rPr>
        <w:t xml:space="preserve">Revelation of the Monk of Eynsham </w:t>
      </w:r>
      <w:r w:rsidRPr="008D1BB1">
        <w:rPr>
          <w:rFonts w:ascii="Arial" w:hAnsi="Arial" w:cs="Arial"/>
          <w:sz w:val="23"/>
          <w:szCs w:val="23"/>
        </w:rPr>
        <w:t>states directly that those in Purgatory can be aided by friends and family after death, ‘Each of them was helped or hindered on their journey by things they had done in the past … and also by relief that was forthcoming also by present benefits done for them by their friends in this world.’</w:t>
      </w:r>
      <w:r w:rsidRPr="008D1BB1">
        <w:rPr>
          <w:rStyle w:val="FootnoteReference"/>
          <w:rFonts w:ascii="Arial" w:hAnsi="Arial" w:cs="Arial"/>
          <w:sz w:val="23"/>
          <w:szCs w:val="23"/>
        </w:rPr>
        <w:footnoteReference w:id="13"/>
      </w:r>
      <w:r w:rsidRPr="008D1BB1">
        <w:rPr>
          <w:rFonts w:ascii="Arial" w:hAnsi="Arial" w:cs="Arial"/>
          <w:sz w:val="23"/>
          <w:szCs w:val="23"/>
        </w:rPr>
        <w:t xml:space="preserve"> There are clear examples of individuals providing means for prayer and memorial before they have died, for instance more elaborate tombs or graves. Whilst also making charitable donations to local churches, individuals would be able to leave carvings or windows that form an immortalised version of themselves, reminding the living to aid their salvation. As the dead could be helped by those still living, it seems significant to prepare the entire community for eventual </w:t>
      </w:r>
      <w:r w:rsidR="0016069C" w:rsidRPr="008D1BB1">
        <w:rPr>
          <w:rFonts w:ascii="Arial" w:hAnsi="Arial" w:cs="Arial"/>
          <w:sz w:val="23"/>
          <w:szCs w:val="23"/>
        </w:rPr>
        <w:t>death and</w:t>
      </w:r>
      <w:r w:rsidRPr="008D1BB1">
        <w:rPr>
          <w:rFonts w:ascii="Arial" w:hAnsi="Arial" w:cs="Arial"/>
          <w:sz w:val="23"/>
          <w:szCs w:val="23"/>
        </w:rPr>
        <w:t xml:space="preserve"> makes its inclusion within church doctrine and ecclesiastical texts of great importance. </w:t>
      </w:r>
    </w:p>
    <w:p w14:paraId="2BD1B87F" w14:textId="06BB01C1" w:rsidR="00456CF2" w:rsidRPr="008D1BB1" w:rsidRDefault="00456CF2" w:rsidP="008D1BB1">
      <w:pPr>
        <w:pStyle w:val="FootnoteText"/>
        <w:spacing w:line="276" w:lineRule="auto"/>
        <w:rPr>
          <w:rFonts w:ascii="Arial" w:hAnsi="Arial" w:cs="Arial"/>
          <w:sz w:val="23"/>
          <w:szCs w:val="23"/>
        </w:rPr>
      </w:pPr>
      <w:r w:rsidRPr="008D1BB1">
        <w:rPr>
          <w:rFonts w:ascii="Arial" w:hAnsi="Arial" w:cs="Arial"/>
          <w:sz w:val="23"/>
          <w:szCs w:val="23"/>
        </w:rPr>
        <w:t xml:space="preserve">In summary, developing idea of death and texts such as Ars Moriendi in the later Middle Ages portray a society </w:t>
      </w:r>
      <w:r w:rsidR="00F75E76" w:rsidRPr="008D1BB1">
        <w:rPr>
          <w:rFonts w:ascii="Arial" w:hAnsi="Arial" w:cs="Arial"/>
          <w:sz w:val="23"/>
          <w:szCs w:val="23"/>
        </w:rPr>
        <w:t xml:space="preserve">of individuals </w:t>
      </w:r>
      <w:r w:rsidRPr="008D1BB1">
        <w:rPr>
          <w:rFonts w:ascii="Arial" w:hAnsi="Arial" w:cs="Arial"/>
          <w:sz w:val="23"/>
          <w:szCs w:val="23"/>
        </w:rPr>
        <w:t xml:space="preserve">consumed by the thought of </w:t>
      </w:r>
      <w:r w:rsidR="00F75E76" w:rsidRPr="008D1BB1">
        <w:rPr>
          <w:rFonts w:ascii="Arial" w:hAnsi="Arial" w:cs="Arial"/>
          <w:sz w:val="23"/>
          <w:szCs w:val="23"/>
        </w:rPr>
        <w:t>p</w:t>
      </w:r>
      <w:r w:rsidRPr="008D1BB1">
        <w:rPr>
          <w:rFonts w:ascii="Arial" w:hAnsi="Arial" w:cs="Arial"/>
          <w:sz w:val="23"/>
          <w:szCs w:val="23"/>
        </w:rPr>
        <w:t xml:space="preserve">urgatory and </w:t>
      </w:r>
      <w:r w:rsidR="00F75E76" w:rsidRPr="008D1BB1">
        <w:rPr>
          <w:rFonts w:ascii="Arial" w:hAnsi="Arial" w:cs="Arial"/>
          <w:sz w:val="23"/>
          <w:szCs w:val="23"/>
        </w:rPr>
        <w:t>h</w:t>
      </w:r>
      <w:r w:rsidRPr="008D1BB1">
        <w:rPr>
          <w:rFonts w:ascii="Arial" w:hAnsi="Arial" w:cs="Arial"/>
          <w:sz w:val="23"/>
          <w:szCs w:val="23"/>
        </w:rPr>
        <w:t xml:space="preserve">ell, through which it can be seen that religious doctrine influences the most vulnerable periods of life. Contemporary works such as the </w:t>
      </w:r>
      <w:r w:rsidRPr="008D1BB1">
        <w:rPr>
          <w:rFonts w:ascii="Arial" w:hAnsi="Arial" w:cs="Arial"/>
          <w:i/>
          <w:sz w:val="23"/>
          <w:szCs w:val="23"/>
        </w:rPr>
        <w:t>Revelation of the Monk of Eynsham</w:t>
      </w:r>
      <w:r w:rsidRPr="008D1BB1">
        <w:rPr>
          <w:rFonts w:ascii="Arial" w:hAnsi="Arial" w:cs="Arial"/>
          <w:sz w:val="23"/>
          <w:szCs w:val="23"/>
        </w:rPr>
        <w:t xml:space="preserve">, allow modern scholars the chance to understand the heightened fear towards dying and the gradual increase in ideas of </w:t>
      </w:r>
      <w:r w:rsidR="00F75E76" w:rsidRPr="008D1BB1">
        <w:rPr>
          <w:rFonts w:ascii="Arial" w:hAnsi="Arial" w:cs="Arial"/>
          <w:sz w:val="23"/>
          <w:szCs w:val="23"/>
        </w:rPr>
        <w:t xml:space="preserve">an individual’s </w:t>
      </w:r>
      <w:r w:rsidRPr="008D1BB1">
        <w:rPr>
          <w:rFonts w:ascii="Arial" w:hAnsi="Arial" w:cs="Arial"/>
          <w:sz w:val="23"/>
          <w:szCs w:val="23"/>
        </w:rPr>
        <w:t xml:space="preserve">salvation from </w:t>
      </w:r>
      <w:r w:rsidR="00F75E76" w:rsidRPr="008D1BB1">
        <w:rPr>
          <w:rFonts w:ascii="Arial" w:hAnsi="Arial" w:cs="Arial"/>
          <w:sz w:val="23"/>
          <w:szCs w:val="23"/>
        </w:rPr>
        <w:t>p</w:t>
      </w:r>
      <w:r w:rsidRPr="008D1BB1">
        <w:rPr>
          <w:rFonts w:ascii="Arial" w:hAnsi="Arial" w:cs="Arial"/>
          <w:sz w:val="23"/>
          <w:szCs w:val="23"/>
        </w:rPr>
        <w:t xml:space="preserve">urgatory.  </w:t>
      </w:r>
    </w:p>
    <w:p w14:paraId="1B258A81" w14:textId="17F98BBC" w:rsidR="00456CF2" w:rsidRPr="008D1BB1" w:rsidRDefault="00456CF2" w:rsidP="008D1BB1">
      <w:pPr>
        <w:spacing w:line="276" w:lineRule="auto"/>
      </w:pPr>
    </w:p>
    <w:p w14:paraId="5B7257A7" w14:textId="4C998FE3" w:rsidR="00F84684" w:rsidRPr="008D1BB1" w:rsidRDefault="00F84684" w:rsidP="008D1BB1">
      <w:pPr>
        <w:spacing w:line="276" w:lineRule="auto"/>
      </w:pPr>
    </w:p>
    <w:p w14:paraId="3A31D8B9" w14:textId="25540235" w:rsidR="00F84684" w:rsidRPr="008D1BB1" w:rsidRDefault="00F84684" w:rsidP="008D1BB1">
      <w:pPr>
        <w:spacing w:line="276" w:lineRule="auto"/>
      </w:pPr>
    </w:p>
    <w:p w14:paraId="22E56C4B" w14:textId="56784632" w:rsidR="00F84684" w:rsidRPr="008D1BB1" w:rsidRDefault="00F84684" w:rsidP="008D1BB1">
      <w:pPr>
        <w:spacing w:line="276" w:lineRule="auto"/>
      </w:pPr>
    </w:p>
    <w:p w14:paraId="5F29DAE8" w14:textId="63BFE1F4" w:rsidR="00F84684" w:rsidRPr="008D1BB1" w:rsidRDefault="00F84684" w:rsidP="008D1BB1">
      <w:pPr>
        <w:spacing w:line="276" w:lineRule="auto"/>
      </w:pPr>
    </w:p>
    <w:p w14:paraId="534C2827" w14:textId="2BAD4A31" w:rsidR="00F84684" w:rsidRPr="008D1BB1" w:rsidRDefault="00F84684" w:rsidP="008D1BB1">
      <w:pPr>
        <w:spacing w:line="276" w:lineRule="auto"/>
      </w:pPr>
    </w:p>
    <w:p w14:paraId="32041477" w14:textId="6191EAD3" w:rsidR="00F84684" w:rsidRPr="008D1BB1" w:rsidRDefault="00F84684" w:rsidP="008D1BB1">
      <w:pPr>
        <w:spacing w:line="276" w:lineRule="auto"/>
      </w:pPr>
    </w:p>
    <w:p w14:paraId="35EA9970" w14:textId="040D300A" w:rsidR="00F84684" w:rsidRPr="008D1BB1" w:rsidRDefault="00F84684" w:rsidP="008D1BB1">
      <w:pPr>
        <w:spacing w:line="276" w:lineRule="auto"/>
      </w:pPr>
    </w:p>
    <w:p w14:paraId="08F894A7" w14:textId="436B73CE" w:rsidR="00F84684" w:rsidRPr="008D1BB1" w:rsidRDefault="00F84684" w:rsidP="008D1BB1">
      <w:pPr>
        <w:spacing w:line="276" w:lineRule="auto"/>
      </w:pPr>
    </w:p>
    <w:p w14:paraId="0C4674F7" w14:textId="0601D404" w:rsidR="00F84684" w:rsidRPr="008D1BB1" w:rsidRDefault="00F84684" w:rsidP="008D1BB1">
      <w:pPr>
        <w:spacing w:line="276" w:lineRule="auto"/>
      </w:pPr>
    </w:p>
    <w:p w14:paraId="0F2F5E58" w14:textId="274314FC" w:rsidR="00F84684" w:rsidRPr="008D1BB1" w:rsidRDefault="00F84684" w:rsidP="008D1BB1">
      <w:pPr>
        <w:spacing w:line="276" w:lineRule="auto"/>
      </w:pPr>
    </w:p>
    <w:p w14:paraId="5388D82B" w14:textId="43D9D48B" w:rsidR="00F84684" w:rsidRPr="008D1BB1" w:rsidRDefault="00F84684" w:rsidP="008D1BB1">
      <w:pPr>
        <w:spacing w:line="276" w:lineRule="auto"/>
      </w:pPr>
    </w:p>
    <w:p w14:paraId="16BBBA0E" w14:textId="3ADD7198" w:rsidR="00F84684" w:rsidRPr="008D1BB1" w:rsidRDefault="00F84684" w:rsidP="008D1BB1">
      <w:pPr>
        <w:spacing w:line="276" w:lineRule="auto"/>
      </w:pPr>
    </w:p>
    <w:p w14:paraId="5C5BAB22" w14:textId="43C12C2A" w:rsidR="00F84684" w:rsidRPr="008D1BB1" w:rsidRDefault="00F84684" w:rsidP="008D1BB1">
      <w:pPr>
        <w:spacing w:line="276" w:lineRule="auto"/>
      </w:pPr>
    </w:p>
    <w:p w14:paraId="64C827EA" w14:textId="6DB021FC" w:rsidR="00F84684" w:rsidRPr="008D1BB1" w:rsidRDefault="00F84684" w:rsidP="008D1BB1">
      <w:pPr>
        <w:spacing w:line="276" w:lineRule="auto"/>
      </w:pPr>
    </w:p>
    <w:p w14:paraId="1914A28E" w14:textId="47ACEB8A" w:rsidR="00F84684" w:rsidRPr="008D1BB1" w:rsidRDefault="00F84684" w:rsidP="008D1BB1">
      <w:pPr>
        <w:spacing w:line="276" w:lineRule="auto"/>
      </w:pPr>
    </w:p>
    <w:p w14:paraId="4FD4F1B0" w14:textId="3748BDA3" w:rsidR="00F84684" w:rsidRPr="008D1BB1" w:rsidRDefault="00F84684" w:rsidP="008D1BB1">
      <w:pPr>
        <w:spacing w:line="276" w:lineRule="auto"/>
      </w:pPr>
    </w:p>
    <w:p w14:paraId="0240CA80" w14:textId="7CA37E63" w:rsidR="000E5204" w:rsidRPr="008D1BB1" w:rsidRDefault="000E5204" w:rsidP="008D1BB1">
      <w:pPr>
        <w:spacing w:line="276" w:lineRule="auto"/>
        <w:rPr>
          <w:rFonts w:ascii="Arial" w:hAnsi="Arial" w:cs="Arial"/>
          <w:b/>
          <w:sz w:val="23"/>
          <w:szCs w:val="23"/>
        </w:rPr>
      </w:pPr>
      <w:r w:rsidRPr="008D1BB1">
        <w:rPr>
          <w:rFonts w:ascii="Arial" w:hAnsi="Arial" w:cs="Arial"/>
          <w:b/>
          <w:sz w:val="23"/>
          <w:szCs w:val="23"/>
        </w:rPr>
        <w:lastRenderedPageBreak/>
        <w:t xml:space="preserve">Commentary on </w:t>
      </w:r>
      <w:r w:rsidRPr="008D1BB1">
        <w:rPr>
          <w:rFonts w:ascii="Arial" w:hAnsi="Arial" w:cs="Arial"/>
          <w:b/>
          <w:i/>
          <w:sz w:val="23"/>
          <w:szCs w:val="23"/>
        </w:rPr>
        <w:t xml:space="preserve">Danse Macabre </w:t>
      </w:r>
      <w:r w:rsidRPr="008D1BB1">
        <w:rPr>
          <w:rFonts w:ascii="Arial" w:hAnsi="Arial" w:cs="Arial"/>
          <w:b/>
          <w:sz w:val="23"/>
          <w:szCs w:val="23"/>
        </w:rPr>
        <w:t>as printed by Pierre le Rouge, 1491-1492</w:t>
      </w:r>
    </w:p>
    <w:p w14:paraId="0AA53212" w14:textId="02D530C6" w:rsidR="000E5204" w:rsidRPr="008D1BB1" w:rsidRDefault="000E5204" w:rsidP="008D1BB1">
      <w:pPr>
        <w:spacing w:line="276" w:lineRule="auto"/>
        <w:rPr>
          <w:rFonts w:ascii="Arial" w:hAnsi="Arial" w:cs="Arial"/>
          <w:sz w:val="23"/>
          <w:szCs w:val="23"/>
        </w:rPr>
      </w:pPr>
      <w:r w:rsidRPr="008D1BB1">
        <w:rPr>
          <w:rFonts w:ascii="Arial" w:hAnsi="Arial" w:cs="Arial"/>
          <w:sz w:val="23"/>
          <w:szCs w:val="23"/>
        </w:rPr>
        <w:t xml:space="preserve">The chosen image is a depiction of the </w:t>
      </w:r>
      <w:r w:rsidRPr="008D1BB1">
        <w:rPr>
          <w:rFonts w:ascii="Arial" w:hAnsi="Arial" w:cs="Arial"/>
          <w:i/>
          <w:sz w:val="23"/>
          <w:szCs w:val="23"/>
        </w:rPr>
        <w:t xml:space="preserve">Danse Macabre </w:t>
      </w:r>
      <w:r w:rsidRPr="008D1BB1">
        <w:rPr>
          <w:rFonts w:ascii="Arial" w:hAnsi="Arial" w:cs="Arial"/>
          <w:sz w:val="23"/>
          <w:szCs w:val="23"/>
        </w:rPr>
        <w:t xml:space="preserve">from the work by Jacques de Besançon titled </w:t>
      </w:r>
      <w:r w:rsidRPr="008D1BB1">
        <w:rPr>
          <w:rFonts w:ascii="Arial" w:hAnsi="Arial" w:cs="Arial"/>
          <w:i/>
          <w:sz w:val="23"/>
          <w:szCs w:val="23"/>
        </w:rPr>
        <w:t>l'Empire de la Mort, sur tous les états de la vie humaine</w:t>
      </w:r>
      <w:r w:rsidRPr="008D1BB1">
        <w:rPr>
          <w:rFonts w:ascii="Arial" w:hAnsi="Arial" w:cs="Arial"/>
          <w:sz w:val="23"/>
          <w:szCs w:val="23"/>
        </w:rPr>
        <w:t>,</w:t>
      </w:r>
      <w:r w:rsidRPr="008D1BB1">
        <w:rPr>
          <w:rFonts w:ascii="Arial" w:hAnsi="Arial" w:cs="Arial"/>
          <w:i/>
          <w:sz w:val="23"/>
          <w:szCs w:val="23"/>
        </w:rPr>
        <w:t xml:space="preserve"> </w:t>
      </w:r>
      <w:r w:rsidRPr="008D1BB1">
        <w:rPr>
          <w:rFonts w:ascii="Arial" w:hAnsi="Arial" w:cs="Arial"/>
          <w:sz w:val="23"/>
          <w:szCs w:val="23"/>
        </w:rPr>
        <w:t>as printed by French illuminator and engraver Pierre le Rouge in the late 15</w:t>
      </w:r>
      <w:r w:rsidRPr="008D1BB1">
        <w:rPr>
          <w:rFonts w:ascii="Arial" w:hAnsi="Arial" w:cs="Arial"/>
          <w:sz w:val="23"/>
          <w:szCs w:val="23"/>
          <w:vertAlign w:val="superscript"/>
        </w:rPr>
        <w:t>th</w:t>
      </w:r>
      <w:r w:rsidRPr="008D1BB1">
        <w:rPr>
          <w:rFonts w:ascii="Arial" w:hAnsi="Arial" w:cs="Arial"/>
          <w:sz w:val="23"/>
          <w:szCs w:val="23"/>
        </w:rPr>
        <w:t xml:space="preserve"> century.</w:t>
      </w:r>
      <w:r w:rsidRPr="008D1BB1">
        <w:rPr>
          <w:rStyle w:val="FootnoteReference"/>
          <w:rFonts w:ascii="Arial" w:hAnsi="Arial" w:cs="Arial"/>
          <w:sz w:val="23"/>
          <w:szCs w:val="23"/>
        </w:rPr>
        <w:footnoteReference w:id="14"/>
      </w:r>
      <w:r w:rsidRPr="008D1BB1">
        <w:rPr>
          <w:rFonts w:ascii="Arial" w:hAnsi="Arial" w:cs="Arial"/>
          <w:sz w:val="23"/>
          <w:szCs w:val="23"/>
        </w:rPr>
        <w:t xml:space="preserve"> When considering the purpose of the manuscript, its usefulness as a primary source is highlighted, and thus contemporary opinions on death and the macabre can be identified</w:t>
      </w:r>
      <w:r w:rsidRPr="008D1BB1">
        <w:rPr>
          <w:rFonts w:ascii="Arial" w:hAnsi="Arial" w:cs="Arial"/>
          <w:sz w:val="23"/>
          <w:szCs w:val="23"/>
        </w:rPr>
        <w:t>,</w:t>
      </w:r>
      <w:r w:rsidRPr="008D1BB1">
        <w:rPr>
          <w:rFonts w:ascii="Arial" w:hAnsi="Arial" w:cs="Arial"/>
          <w:sz w:val="23"/>
          <w:szCs w:val="23"/>
        </w:rPr>
        <w:t xml:space="preserve"> through the depiction and interaction of both the living and the dead.</w:t>
      </w:r>
    </w:p>
    <w:p w14:paraId="7E7E9E66" w14:textId="59A34906" w:rsidR="000E5204" w:rsidRPr="008D1BB1" w:rsidRDefault="000E5204" w:rsidP="008D1BB1">
      <w:pPr>
        <w:spacing w:line="276" w:lineRule="auto"/>
        <w:rPr>
          <w:rFonts w:ascii="Arial" w:hAnsi="Arial" w:cs="Arial"/>
          <w:sz w:val="23"/>
          <w:szCs w:val="23"/>
        </w:rPr>
      </w:pPr>
      <w:r w:rsidRPr="008D1BB1">
        <w:rPr>
          <w:rFonts w:ascii="Arial" w:hAnsi="Arial" w:cs="Arial"/>
          <w:sz w:val="23"/>
          <w:szCs w:val="23"/>
        </w:rPr>
        <w:t xml:space="preserve">It seems significant that the figures of the living are shown in stereotypical manners regarding their occupation and social standing. For example, the figure of the lover is shown wearing fine clothing, his appearance suggestive of his higher class with his dazed expression showing him as lovestruck. Furthermore, the figure of the ‘chevalier’ or knight, </w:t>
      </w:r>
      <w:r w:rsidR="00384F7B" w:rsidRPr="008D1BB1">
        <w:rPr>
          <w:rFonts w:ascii="Arial" w:hAnsi="Arial" w:cs="Arial"/>
          <w:sz w:val="23"/>
          <w:szCs w:val="23"/>
        </w:rPr>
        <w:t>i</w:t>
      </w:r>
      <w:r w:rsidRPr="008D1BB1">
        <w:rPr>
          <w:rFonts w:ascii="Arial" w:hAnsi="Arial" w:cs="Arial"/>
          <w:sz w:val="23"/>
          <w:szCs w:val="23"/>
        </w:rPr>
        <w:t xml:space="preserve">s shown in wealthy attire, his stance in pushing the figure of the dead aside implies confidence or perhaps even arrogance. Through varied characters, the </w:t>
      </w:r>
      <w:r w:rsidRPr="008D1BB1">
        <w:rPr>
          <w:rFonts w:ascii="Arial" w:hAnsi="Arial" w:cs="Arial"/>
          <w:i/>
          <w:sz w:val="23"/>
          <w:szCs w:val="23"/>
        </w:rPr>
        <w:t xml:space="preserve">Danse Macabre </w:t>
      </w:r>
      <w:r w:rsidRPr="008D1BB1">
        <w:rPr>
          <w:rFonts w:ascii="Arial" w:hAnsi="Arial" w:cs="Arial"/>
          <w:sz w:val="23"/>
          <w:szCs w:val="23"/>
        </w:rPr>
        <w:t xml:space="preserve">is a powerful piece of European artwork that cements medieval ideas surrounding death and gives modern scholarship an unwitting testimony, 'The </w:t>
      </w:r>
      <w:r w:rsidRPr="008D1BB1">
        <w:rPr>
          <w:rFonts w:ascii="Arial" w:hAnsi="Arial" w:cs="Arial"/>
          <w:i/>
          <w:sz w:val="23"/>
          <w:szCs w:val="23"/>
        </w:rPr>
        <w:t>danse</w:t>
      </w:r>
      <w:r w:rsidRPr="008D1BB1">
        <w:rPr>
          <w:rFonts w:ascii="Arial" w:hAnsi="Arial" w:cs="Arial"/>
          <w:sz w:val="23"/>
          <w:szCs w:val="23"/>
        </w:rPr>
        <w:t xml:space="preserve"> contains a moralising prologue and epilogue by the </w:t>
      </w:r>
      <w:r w:rsidRPr="008D1BB1">
        <w:rPr>
          <w:rFonts w:ascii="Arial" w:hAnsi="Arial" w:cs="Arial"/>
          <w:i/>
          <w:sz w:val="23"/>
          <w:szCs w:val="23"/>
        </w:rPr>
        <w:t>acteur</w:t>
      </w:r>
      <w:r w:rsidRPr="008D1BB1">
        <w:rPr>
          <w:rFonts w:ascii="Arial" w:hAnsi="Arial" w:cs="Arial"/>
          <w:sz w:val="23"/>
          <w:szCs w:val="23"/>
        </w:rPr>
        <w:t xml:space="preserve"> or author, which reinforce the overall message: Death will come to both young and old, rich and poor, so it is better to eschew earthly pleasures and focus on good deeds in order to attain heaven'.</w:t>
      </w:r>
      <w:r w:rsidRPr="008D1BB1">
        <w:rPr>
          <w:rStyle w:val="FootnoteReference"/>
          <w:rFonts w:ascii="Arial" w:hAnsi="Arial" w:cs="Arial"/>
          <w:sz w:val="23"/>
          <w:szCs w:val="23"/>
        </w:rPr>
        <w:footnoteReference w:id="15"/>
      </w:r>
      <w:r w:rsidRPr="008D1BB1">
        <w:rPr>
          <w:rFonts w:ascii="Arial" w:hAnsi="Arial" w:cs="Arial"/>
          <w:sz w:val="23"/>
          <w:szCs w:val="23"/>
        </w:rPr>
        <w:t xml:space="preserve"> </w:t>
      </w:r>
      <w:r w:rsidR="00384F7B" w:rsidRPr="008D1BB1">
        <w:rPr>
          <w:rFonts w:ascii="Arial" w:hAnsi="Arial" w:cs="Arial"/>
          <w:sz w:val="23"/>
          <w:szCs w:val="23"/>
        </w:rPr>
        <w:t xml:space="preserve">It has been </w:t>
      </w:r>
      <w:r w:rsidRPr="008D1BB1">
        <w:rPr>
          <w:rFonts w:ascii="Arial" w:hAnsi="Arial" w:cs="Arial"/>
          <w:sz w:val="23"/>
          <w:szCs w:val="23"/>
        </w:rPr>
        <w:t>suggest</w:t>
      </w:r>
      <w:r w:rsidR="00384F7B" w:rsidRPr="008D1BB1">
        <w:rPr>
          <w:rFonts w:ascii="Arial" w:hAnsi="Arial" w:cs="Arial"/>
          <w:sz w:val="23"/>
          <w:szCs w:val="23"/>
        </w:rPr>
        <w:t>ed</w:t>
      </w:r>
      <w:r w:rsidRPr="008D1BB1">
        <w:rPr>
          <w:rFonts w:ascii="Arial" w:hAnsi="Arial" w:cs="Arial"/>
          <w:sz w:val="23"/>
          <w:szCs w:val="23"/>
        </w:rPr>
        <w:t xml:space="preserve"> that the work by Pierre le Rouge would be likely to have been seen by those who were illiterate, and the deliberate exaggeration of appearance would be necessary to reach a wider audience.</w:t>
      </w:r>
    </w:p>
    <w:p w14:paraId="5A8FB949" w14:textId="77777777" w:rsidR="000E5204" w:rsidRPr="008D1BB1" w:rsidRDefault="000E5204" w:rsidP="008D1BB1">
      <w:pPr>
        <w:spacing w:line="276" w:lineRule="auto"/>
        <w:rPr>
          <w:rFonts w:ascii="Arial" w:hAnsi="Arial" w:cs="Arial"/>
          <w:sz w:val="23"/>
          <w:szCs w:val="23"/>
        </w:rPr>
      </w:pPr>
      <w:r w:rsidRPr="008D1BB1">
        <w:rPr>
          <w:rFonts w:ascii="Arial" w:hAnsi="Arial" w:cs="Arial"/>
          <w:sz w:val="23"/>
          <w:szCs w:val="23"/>
        </w:rPr>
        <w:t>Despite the figures of the living providing contemporary views, the figures of the dead also emphasise thoughts towards death in the late 15</w:t>
      </w:r>
      <w:r w:rsidRPr="008D1BB1">
        <w:rPr>
          <w:rFonts w:ascii="Arial" w:hAnsi="Arial" w:cs="Arial"/>
          <w:sz w:val="23"/>
          <w:szCs w:val="23"/>
          <w:vertAlign w:val="superscript"/>
        </w:rPr>
        <w:t>th</w:t>
      </w:r>
      <w:r w:rsidRPr="008D1BB1">
        <w:rPr>
          <w:rFonts w:ascii="Arial" w:hAnsi="Arial" w:cs="Arial"/>
          <w:sz w:val="23"/>
          <w:szCs w:val="23"/>
        </w:rPr>
        <w:t xml:space="preserve"> century. Almost all of the corpse figures in Pierre le Rouge’s engraving are lively and dance with spirit, a stark contrast to the static and fixed portrayal of the living. Knowing from other depictions of the </w:t>
      </w:r>
      <w:r w:rsidRPr="008D1BB1">
        <w:rPr>
          <w:rFonts w:ascii="Arial" w:hAnsi="Arial" w:cs="Arial"/>
          <w:i/>
          <w:sz w:val="23"/>
          <w:szCs w:val="23"/>
        </w:rPr>
        <w:t xml:space="preserve">Danse Macabre </w:t>
      </w:r>
      <w:r w:rsidRPr="008D1BB1">
        <w:rPr>
          <w:rFonts w:ascii="Arial" w:hAnsi="Arial" w:cs="Arial"/>
          <w:sz w:val="23"/>
          <w:szCs w:val="23"/>
        </w:rPr>
        <w:t>that the art style would have been influenced by a culture of music and dance, the figures of death appearing joyful and skipping bring to light contemporary concerns with death and the reminder that men of all occupation and status will be brought to the same social standing with a dance of the lower classes. Some of the dead are helping the living, for instance the Hermit is being aided with his walking stick by the dead with another stood behind him, perhaps therefore showing the contemporary viewing audience that there is compassion and care in death, something that need not be feared. There are scholars who believe there to have been an element of scaremongering, the art style depicting gruesome decaying bodies with worms cascading from large wounds. For instance, Johan Huizinga states that ‘the macabre vision arose from deep psychological strata of fear; religious thought at once reduced it to a means of moral exhortation.’</w:t>
      </w:r>
      <w:r w:rsidRPr="008D1BB1">
        <w:rPr>
          <w:rStyle w:val="FootnoteReference"/>
          <w:rFonts w:ascii="Arial" w:hAnsi="Arial" w:cs="Arial"/>
          <w:sz w:val="23"/>
          <w:szCs w:val="23"/>
        </w:rPr>
        <w:footnoteReference w:id="16"/>
      </w:r>
      <w:r w:rsidRPr="008D1BB1">
        <w:rPr>
          <w:rFonts w:ascii="Arial" w:hAnsi="Arial" w:cs="Arial"/>
          <w:sz w:val="23"/>
          <w:szCs w:val="23"/>
        </w:rPr>
        <w:t xml:space="preserve"> </w:t>
      </w:r>
    </w:p>
    <w:p w14:paraId="56C41B61" w14:textId="77777777" w:rsidR="000E5204" w:rsidRPr="008D1BB1" w:rsidRDefault="000E5204" w:rsidP="008D1BB1">
      <w:pPr>
        <w:spacing w:line="276" w:lineRule="auto"/>
        <w:rPr>
          <w:rFonts w:ascii="Arial" w:hAnsi="Arial" w:cs="Arial"/>
          <w:sz w:val="23"/>
          <w:szCs w:val="23"/>
        </w:rPr>
      </w:pPr>
      <w:r w:rsidRPr="008D1BB1">
        <w:rPr>
          <w:rFonts w:ascii="Arial" w:hAnsi="Arial" w:cs="Arial"/>
          <w:sz w:val="23"/>
          <w:szCs w:val="23"/>
        </w:rPr>
        <w:t xml:space="preserve">Looking past the animated figures of the dead and the perhaps reluctant figures of the living, there is an ongoing and continuous background that emphasises the stretch of the </w:t>
      </w:r>
      <w:r w:rsidRPr="008D1BB1">
        <w:rPr>
          <w:rFonts w:ascii="Arial" w:hAnsi="Arial" w:cs="Arial"/>
          <w:i/>
          <w:sz w:val="23"/>
          <w:szCs w:val="23"/>
        </w:rPr>
        <w:t xml:space="preserve">danse macabre </w:t>
      </w:r>
      <w:r w:rsidRPr="008D1BB1">
        <w:rPr>
          <w:rFonts w:ascii="Arial" w:hAnsi="Arial" w:cs="Arial"/>
          <w:sz w:val="23"/>
          <w:szCs w:val="23"/>
        </w:rPr>
        <w:t xml:space="preserve">as well as the horizontal and equal status of its victims. Throughout each of the individual frames is a simple background of continuous green grass with a clear sky leading </w:t>
      </w:r>
      <w:r w:rsidRPr="008D1BB1">
        <w:rPr>
          <w:rFonts w:ascii="Arial" w:hAnsi="Arial" w:cs="Arial"/>
          <w:sz w:val="23"/>
          <w:szCs w:val="23"/>
        </w:rPr>
        <w:lastRenderedPageBreak/>
        <w:t xml:space="preserve">from day to night, thus reiterating the long stretch of the </w:t>
      </w:r>
      <w:r w:rsidRPr="008D1BB1">
        <w:rPr>
          <w:rFonts w:ascii="Arial" w:hAnsi="Arial" w:cs="Arial"/>
          <w:i/>
          <w:sz w:val="23"/>
          <w:szCs w:val="23"/>
        </w:rPr>
        <w:t>danse macabre</w:t>
      </w:r>
      <w:r w:rsidRPr="008D1BB1">
        <w:rPr>
          <w:rFonts w:ascii="Arial" w:hAnsi="Arial" w:cs="Arial"/>
          <w:sz w:val="23"/>
          <w:szCs w:val="23"/>
        </w:rPr>
        <w:t xml:space="preserve"> despite being broken into sections due to the nature of its printing within a manuscript. Furthermore, a series of printed woodcuts by Guy Marchant in which Pierre de Rouge’s engravings were either used or copied, show that on each woodcut would have been depicted two figures of the living accompanied by two figures of the dead. In the chosen image, the manuscript has added golden pillars in order to separate each of the individual characters of the </w:t>
      </w:r>
      <w:r w:rsidRPr="008D1BB1">
        <w:rPr>
          <w:rFonts w:ascii="Arial" w:hAnsi="Arial" w:cs="Arial"/>
          <w:i/>
          <w:sz w:val="23"/>
          <w:szCs w:val="23"/>
        </w:rPr>
        <w:t xml:space="preserve">Danse Macabre </w:t>
      </w:r>
      <w:r w:rsidRPr="008D1BB1">
        <w:rPr>
          <w:rFonts w:ascii="Arial" w:hAnsi="Arial" w:cs="Arial"/>
          <w:sz w:val="23"/>
          <w:szCs w:val="23"/>
        </w:rPr>
        <w:t xml:space="preserve">but does not exclude them from one another, further showing the length of the </w:t>
      </w:r>
      <w:r w:rsidRPr="008D1BB1">
        <w:rPr>
          <w:rFonts w:ascii="Arial" w:hAnsi="Arial" w:cs="Arial"/>
          <w:i/>
          <w:sz w:val="23"/>
          <w:szCs w:val="23"/>
        </w:rPr>
        <w:t>danse</w:t>
      </w:r>
      <w:r w:rsidRPr="008D1BB1">
        <w:rPr>
          <w:rFonts w:ascii="Arial" w:hAnsi="Arial" w:cs="Arial"/>
          <w:sz w:val="23"/>
          <w:szCs w:val="23"/>
        </w:rPr>
        <w:t xml:space="preserve"> without being withheld by the structure of the manuscript. </w:t>
      </w:r>
    </w:p>
    <w:p w14:paraId="3C5B4DBA" w14:textId="77777777" w:rsidR="000E5204" w:rsidRPr="008D1BB1" w:rsidRDefault="000E5204" w:rsidP="008D1BB1">
      <w:pPr>
        <w:spacing w:line="276" w:lineRule="auto"/>
        <w:rPr>
          <w:rFonts w:ascii="Arial" w:hAnsi="Arial" w:cs="Arial"/>
          <w:sz w:val="23"/>
          <w:szCs w:val="23"/>
        </w:rPr>
      </w:pPr>
      <w:r w:rsidRPr="008D1BB1">
        <w:rPr>
          <w:rFonts w:ascii="Arial" w:hAnsi="Arial" w:cs="Arial"/>
          <w:sz w:val="23"/>
          <w:szCs w:val="23"/>
        </w:rPr>
        <w:t xml:space="preserve">Therefore, when considering the importance of Pierre le Rouge’s printed edition of the </w:t>
      </w:r>
      <w:r w:rsidRPr="008D1BB1">
        <w:rPr>
          <w:rFonts w:ascii="Arial" w:hAnsi="Arial" w:cs="Arial"/>
          <w:i/>
          <w:sz w:val="23"/>
          <w:szCs w:val="23"/>
        </w:rPr>
        <w:t>Danse Macabre</w:t>
      </w:r>
      <w:r w:rsidRPr="008D1BB1">
        <w:rPr>
          <w:rFonts w:ascii="Arial" w:hAnsi="Arial" w:cs="Arial"/>
          <w:sz w:val="23"/>
          <w:szCs w:val="23"/>
        </w:rPr>
        <w:t xml:space="preserve">, it seems significant the depictions are more prevalent than its accompanying dialogue in medieval French. Much can be learnt from medieval manuscripts, be it the process of printing or the views upon death and its significance to the living, through which modern scholarship can determine if medieval people truly considered the </w:t>
      </w:r>
      <w:r w:rsidRPr="008D1BB1">
        <w:rPr>
          <w:rFonts w:ascii="Arial" w:hAnsi="Arial" w:cs="Arial"/>
          <w:i/>
          <w:sz w:val="23"/>
          <w:szCs w:val="23"/>
        </w:rPr>
        <w:t xml:space="preserve">macabre </w:t>
      </w:r>
      <w:r w:rsidRPr="008D1BB1">
        <w:rPr>
          <w:rFonts w:ascii="Arial" w:hAnsi="Arial" w:cs="Arial"/>
          <w:sz w:val="23"/>
          <w:szCs w:val="23"/>
        </w:rPr>
        <w:t xml:space="preserve">as something to be feared or celebrated. </w:t>
      </w:r>
    </w:p>
    <w:p w14:paraId="2E7A6813" w14:textId="524D29F9" w:rsidR="00F84684" w:rsidRPr="008D1BB1" w:rsidRDefault="00F84684" w:rsidP="008D1BB1">
      <w:pPr>
        <w:spacing w:line="276" w:lineRule="auto"/>
      </w:pPr>
    </w:p>
    <w:p w14:paraId="755016C9" w14:textId="1C871B5A" w:rsidR="00384F7B" w:rsidRPr="008D1BB1" w:rsidRDefault="00384F7B" w:rsidP="008D1BB1">
      <w:pPr>
        <w:spacing w:line="276" w:lineRule="auto"/>
      </w:pPr>
    </w:p>
    <w:p w14:paraId="063108C4" w14:textId="2229FC1B" w:rsidR="00384F7B" w:rsidRPr="008D1BB1" w:rsidRDefault="00384F7B" w:rsidP="008D1BB1">
      <w:pPr>
        <w:spacing w:line="276" w:lineRule="auto"/>
      </w:pPr>
    </w:p>
    <w:p w14:paraId="3FB9546D" w14:textId="43E8B16A" w:rsidR="00384F7B" w:rsidRPr="008D1BB1" w:rsidRDefault="00384F7B" w:rsidP="008D1BB1">
      <w:pPr>
        <w:spacing w:line="276" w:lineRule="auto"/>
      </w:pPr>
    </w:p>
    <w:p w14:paraId="50EB04DA" w14:textId="6325F4C3" w:rsidR="00384F7B" w:rsidRPr="008D1BB1" w:rsidRDefault="00384F7B" w:rsidP="008D1BB1">
      <w:pPr>
        <w:spacing w:line="276" w:lineRule="auto"/>
      </w:pPr>
    </w:p>
    <w:p w14:paraId="422BC750" w14:textId="248A262D" w:rsidR="00384F7B" w:rsidRPr="008D1BB1" w:rsidRDefault="00384F7B" w:rsidP="008D1BB1">
      <w:pPr>
        <w:spacing w:line="276" w:lineRule="auto"/>
      </w:pPr>
    </w:p>
    <w:p w14:paraId="62E74537" w14:textId="5D574A03" w:rsidR="00384F7B" w:rsidRPr="008D1BB1" w:rsidRDefault="00384F7B" w:rsidP="008D1BB1">
      <w:pPr>
        <w:spacing w:line="276" w:lineRule="auto"/>
      </w:pPr>
    </w:p>
    <w:p w14:paraId="78BF38AB" w14:textId="5AEDE152" w:rsidR="00384F7B" w:rsidRPr="008D1BB1" w:rsidRDefault="00384F7B" w:rsidP="008D1BB1">
      <w:pPr>
        <w:spacing w:line="276" w:lineRule="auto"/>
      </w:pPr>
    </w:p>
    <w:p w14:paraId="72E9E186" w14:textId="117DD09D" w:rsidR="00384F7B" w:rsidRPr="008D1BB1" w:rsidRDefault="00384F7B" w:rsidP="008D1BB1">
      <w:pPr>
        <w:spacing w:line="276" w:lineRule="auto"/>
      </w:pPr>
    </w:p>
    <w:p w14:paraId="22B8BF20" w14:textId="2488E8EC" w:rsidR="00384F7B" w:rsidRPr="008D1BB1" w:rsidRDefault="00384F7B" w:rsidP="008D1BB1">
      <w:pPr>
        <w:spacing w:line="276" w:lineRule="auto"/>
      </w:pPr>
    </w:p>
    <w:p w14:paraId="335C6559" w14:textId="7AA8E956" w:rsidR="00384F7B" w:rsidRPr="008D1BB1" w:rsidRDefault="00384F7B" w:rsidP="008D1BB1">
      <w:pPr>
        <w:spacing w:line="276" w:lineRule="auto"/>
      </w:pPr>
    </w:p>
    <w:p w14:paraId="3D0C788F" w14:textId="2279EA94" w:rsidR="00384F7B" w:rsidRPr="008D1BB1" w:rsidRDefault="00384F7B" w:rsidP="008D1BB1">
      <w:pPr>
        <w:spacing w:line="276" w:lineRule="auto"/>
      </w:pPr>
    </w:p>
    <w:p w14:paraId="3A29076F" w14:textId="530EF4BB" w:rsidR="00384F7B" w:rsidRPr="008D1BB1" w:rsidRDefault="00384F7B" w:rsidP="008D1BB1">
      <w:pPr>
        <w:spacing w:line="276" w:lineRule="auto"/>
      </w:pPr>
    </w:p>
    <w:p w14:paraId="7FCF87BE" w14:textId="57976DBF" w:rsidR="00384F7B" w:rsidRPr="008D1BB1" w:rsidRDefault="00384F7B" w:rsidP="008D1BB1">
      <w:pPr>
        <w:spacing w:line="276" w:lineRule="auto"/>
      </w:pPr>
    </w:p>
    <w:p w14:paraId="675A1D9D" w14:textId="072EF917" w:rsidR="00384F7B" w:rsidRPr="008D1BB1" w:rsidRDefault="00384F7B" w:rsidP="008D1BB1">
      <w:pPr>
        <w:spacing w:line="276" w:lineRule="auto"/>
      </w:pPr>
    </w:p>
    <w:p w14:paraId="30168DCC" w14:textId="6C4A858D" w:rsidR="00384F7B" w:rsidRPr="008D1BB1" w:rsidRDefault="00384F7B" w:rsidP="008D1BB1">
      <w:pPr>
        <w:spacing w:line="276" w:lineRule="auto"/>
      </w:pPr>
    </w:p>
    <w:p w14:paraId="01F26624" w14:textId="4B45268E" w:rsidR="00384F7B" w:rsidRPr="008D1BB1" w:rsidRDefault="00384F7B" w:rsidP="008D1BB1">
      <w:pPr>
        <w:spacing w:line="276" w:lineRule="auto"/>
      </w:pPr>
    </w:p>
    <w:p w14:paraId="36E4E743" w14:textId="0688BF5F" w:rsidR="00384F7B" w:rsidRPr="008D1BB1" w:rsidRDefault="00384F7B" w:rsidP="008D1BB1">
      <w:pPr>
        <w:spacing w:line="276" w:lineRule="auto"/>
      </w:pPr>
    </w:p>
    <w:p w14:paraId="472264AC" w14:textId="0D7CE711" w:rsidR="00384F7B" w:rsidRPr="008D1BB1" w:rsidRDefault="00384F7B" w:rsidP="008D1BB1">
      <w:pPr>
        <w:spacing w:line="276" w:lineRule="auto"/>
      </w:pPr>
    </w:p>
    <w:p w14:paraId="0BB91CB8" w14:textId="578F7265" w:rsidR="00384F7B" w:rsidRPr="008D1BB1" w:rsidRDefault="00384F7B" w:rsidP="008D1BB1">
      <w:pPr>
        <w:spacing w:line="276" w:lineRule="auto"/>
      </w:pPr>
    </w:p>
    <w:p w14:paraId="3F5CEA69" w14:textId="77777777" w:rsidR="00384F7B" w:rsidRPr="008D1BB1" w:rsidRDefault="00384F7B" w:rsidP="008D1BB1">
      <w:pPr>
        <w:spacing w:line="276" w:lineRule="auto"/>
        <w:rPr>
          <w:rFonts w:ascii="Arial" w:hAnsi="Arial" w:cs="Arial"/>
          <w:b/>
          <w:sz w:val="23"/>
          <w:szCs w:val="23"/>
        </w:rPr>
      </w:pPr>
      <w:bookmarkStart w:id="2" w:name="_Hlk536270168"/>
      <w:r w:rsidRPr="008D1BB1">
        <w:rPr>
          <w:rFonts w:ascii="Arial" w:hAnsi="Arial" w:cs="Arial"/>
          <w:b/>
          <w:sz w:val="23"/>
          <w:szCs w:val="23"/>
        </w:rPr>
        <w:lastRenderedPageBreak/>
        <w:t xml:space="preserve">Commentary on Chapter V of </w:t>
      </w:r>
      <w:r w:rsidRPr="008D1BB1">
        <w:rPr>
          <w:rFonts w:ascii="Arial" w:hAnsi="Arial" w:cs="Arial"/>
          <w:b/>
          <w:i/>
          <w:iCs/>
          <w:sz w:val="23"/>
          <w:szCs w:val="23"/>
        </w:rPr>
        <w:t>The Art and Craft to Know Well to Die</w:t>
      </w:r>
      <w:r w:rsidRPr="008D1BB1">
        <w:rPr>
          <w:rFonts w:ascii="Arial" w:hAnsi="Arial" w:cs="Arial"/>
          <w:b/>
          <w:sz w:val="23"/>
          <w:szCs w:val="23"/>
        </w:rPr>
        <w:t xml:space="preserve"> by William Caxton</w:t>
      </w:r>
    </w:p>
    <w:p w14:paraId="6A9984E0" w14:textId="77777777" w:rsidR="00384F7B" w:rsidRPr="008D1BB1" w:rsidRDefault="00384F7B" w:rsidP="008D1BB1">
      <w:pPr>
        <w:spacing w:line="276" w:lineRule="auto"/>
        <w:rPr>
          <w:rFonts w:ascii="Arial" w:hAnsi="Arial" w:cs="Arial"/>
          <w:sz w:val="23"/>
          <w:szCs w:val="23"/>
        </w:rPr>
      </w:pPr>
      <w:r w:rsidRPr="008D1BB1">
        <w:rPr>
          <w:rFonts w:ascii="Arial" w:hAnsi="Arial" w:cs="Arial"/>
          <w:sz w:val="23"/>
          <w:szCs w:val="23"/>
        </w:rPr>
        <w:t xml:space="preserve">The chosen text is an extract from the fifth chapter of William Caxton’s </w:t>
      </w:r>
      <w:r w:rsidRPr="008D1BB1">
        <w:rPr>
          <w:rFonts w:ascii="Arial" w:hAnsi="Arial" w:cs="Arial"/>
          <w:i/>
          <w:sz w:val="23"/>
          <w:szCs w:val="23"/>
        </w:rPr>
        <w:t>The Art and Craft to Know Well to Die</w:t>
      </w:r>
      <w:r w:rsidRPr="008D1BB1">
        <w:rPr>
          <w:rFonts w:ascii="Arial" w:hAnsi="Arial" w:cs="Arial"/>
          <w:sz w:val="23"/>
          <w:szCs w:val="23"/>
        </w:rPr>
        <w:t xml:space="preserve"> translated from the French text </w:t>
      </w:r>
      <w:r w:rsidRPr="008D1BB1">
        <w:rPr>
          <w:rFonts w:ascii="Arial" w:hAnsi="Arial" w:cs="Arial"/>
          <w:i/>
          <w:sz w:val="23"/>
          <w:szCs w:val="23"/>
        </w:rPr>
        <w:t>L'art de bien vivre et de bien mourir</w:t>
      </w:r>
      <w:r w:rsidRPr="008D1BB1">
        <w:rPr>
          <w:rFonts w:ascii="Arial" w:hAnsi="Arial" w:cs="Arial"/>
          <w:sz w:val="23"/>
          <w:szCs w:val="23"/>
        </w:rPr>
        <w:t xml:space="preserve"> and printed in 1490.</w:t>
      </w:r>
      <w:r w:rsidRPr="008D1BB1">
        <w:rPr>
          <w:rStyle w:val="FootnoteReference"/>
          <w:rFonts w:ascii="Arial" w:hAnsi="Arial" w:cs="Arial"/>
          <w:sz w:val="23"/>
          <w:szCs w:val="23"/>
        </w:rPr>
        <w:footnoteReference w:id="17"/>
      </w:r>
      <w:r w:rsidRPr="008D1BB1">
        <w:rPr>
          <w:rFonts w:ascii="Arial" w:hAnsi="Arial" w:cs="Arial"/>
          <w:sz w:val="23"/>
          <w:szCs w:val="23"/>
        </w:rPr>
        <w:t xml:space="preserve"> Caxton is an extremely important figure in English printing, changing the production and circulation of information without the need for time consuming handwritten editions. Acquiring his knowledge of printing whilst living in areas such as Belgium and Cologne, Caxton brings the printing press to England in the late 1470s and accumulates more than a hundred editions, most of which he translates himself.</w:t>
      </w:r>
      <w:r w:rsidRPr="008D1BB1">
        <w:rPr>
          <w:rStyle w:val="FootnoteReference"/>
          <w:rFonts w:ascii="Arial" w:hAnsi="Arial" w:cs="Arial"/>
          <w:sz w:val="23"/>
          <w:szCs w:val="23"/>
        </w:rPr>
        <w:footnoteReference w:id="18"/>
      </w:r>
      <w:r w:rsidRPr="008D1BB1">
        <w:rPr>
          <w:rFonts w:ascii="Arial" w:hAnsi="Arial" w:cs="Arial"/>
          <w:sz w:val="23"/>
          <w:szCs w:val="23"/>
        </w:rPr>
        <w:t xml:space="preserve"> </w:t>
      </w:r>
    </w:p>
    <w:p w14:paraId="1E8B7133" w14:textId="03D5CFAB" w:rsidR="00384F7B" w:rsidRPr="008D1BB1" w:rsidRDefault="00384F7B" w:rsidP="008D1BB1">
      <w:pPr>
        <w:spacing w:line="276" w:lineRule="auto"/>
        <w:rPr>
          <w:rFonts w:ascii="Arial" w:hAnsi="Arial" w:cs="Arial"/>
          <w:sz w:val="23"/>
          <w:szCs w:val="23"/>
        </w:rPr>
      </w:pPr>
      <w:r w:rsidRPr="008D1BB1">
        <w:rPr>
          <w:rFonts w:ascii="Arial" w:hAnsi="Arial" w:cs="Arial"/>
          <w:sz w:val="23"/>
          <w:szCs w:val="23"/>
        </w:rPr>
        <w:t xml:space="preserve">Firstly, the title of the work, </w:t>
      </w:r>
      <w:r w:rsidRPr="008D1BB1">
        <w:rPr>
          <w:rFonts w:ascii="Arial" w:hAnsi="Arial" w:cs="Arial"/>
          <w:i/>
          <w:iCs/>
          <w:sz w:val="23"/>
          <w:szCs w:val="23"/>
        </w:rPr>
        <w:t>The Art and Craft to Know Well to Die</w:t>
      </w:r>
      <w:r w:rsidRPr="008D1BB1">
        <w:rPr>
          <w:rFonts w:ascii="Arial" w:hAnsi="Arial" w:cs="Arial"/>
          <w:iCs/>
          <w:sz w:val="23"/>
          <w:szCs w:val="23"/>
        </w:rPr>
        <w:t>, implies the stages in preparation for death should be well observed and memorised, m</w:t>
      </w:r>
      <w:r w:rsidRPr="008D1BB1">
        <w:rPr>
          <w:rFonts w:ascii="Arial" w:hAnsi="Arial" w:cs="Arial"/>
          <w:sz w:val="23"/>
          <w:szCs w:val="23"/>
        </w:rPr>
        <w:t>aking the overall tone of the extract one of guidance, with the word ‘craft’ recurring throughout the overall work, perhaps therefore suggesting that like those who learn the crafts of tradesmen, the art of dying can also be mastered. ‘</w:t>
      </w:r>
      <w:r w:rsidR="0016069C" w:rsidRPr="008D1BB1">
        <w:rPr>
          <w:rFonts w:ascii="Arial" w:hAnsi="Arial" w:cs="Arial"/>
          <w:iCs/>
          <w:sz w:val="23"/>
          <w:szCs w:val="23"/>
        </w:rPr>
        <w:t>Whomsoever</w:t>
      </w:r>
      <w:r w:rsidRPr="008D1BB1">
        <w:rPr>
          <w:rFonts w:ascii="Arial" w:hAnsi="Arial" w:cs="Arial"/>
          <w:iCs/>
          <w:sz w:val="23"/>
          <w:szCs w:val="23"/>
        </w:rPr>
        <w:t xml:space="preserve"> then will learn to die let him come and learn all the things foresaid before, or he have need in the article of necessity’ is suggestive of the importance of Caxton’s work and its role within a household or community.</w:t>
      </w:r>
      <w:r w:rsidRPr="008D1BB1">
        <w:rPr>
          <w:rFonts w:ascii="Arial" w:hAnsi="Arial" w:cs="Arial"/>
          <w:sz w:val="23"/>
          <w:szCs w:val="23"/>
        </w:rPr>
        <w:t xml:space="preserve"> It seems important to also note that as a printed work, not only would the book have reached its initial </w:t>
      </w:r>
      <w:r w:rsidR="0016069C" w:rsidRPr="008D1BB1">
        <w:rPr>
          <w:rFonts w:ascii="Arial" w:hAnsi="Arial" w:cs="Arial"/>
          <w:sz w:val="23"/>
          <w:szCs w:val="23"/>
        </w:rPr>
        <w:t>audience but</w:t>
      </w:r>
      <w:r w:rsidRPr="008D1BB1">
        <w:rPr>
          <w:rFonts w:ascii="Arial" w:hAnsi="Arial" w:cs="Arial"/>
          <w:sz w:val="23"/>
          <w:szCs w:val="23"/>
        </w:rPr>
        <w:t xml:space="preserve"> would continue to be reproduced for a wider contemporary audience, including the illiterate.  </w:t>
      </w:r>
    </w:p>
    <w:p w14:paraId="6682739D" w14:textId="77777777" w:rsidR="00384F7B" w:rsidRPr="008D1BB1" w:rsidRDefault="00384F7B" w:rsidP="008D1BB1">
      <w:pPr>
        <w:spacing w:line="276" w:lineRule="auto"/>
        <w:rPr>
          <w:rFonts w:ascii="Arial" w:hAnsi="Arial" w:cs="Arial"/>
          <w:sz w:val="23"/>
          <w:szCs w:val="23"/>
        </w:rPr>
      </w:pPr>
      <w:r w:rsidRPr="008D1BB1">
        <w:rPr>
          <w:rFonts w:ascii="Arial" w:hAnsi="Arial" w:cs="Arial"/>
          <w:sz w:val="23"/>
          <w:szCs w:val="23"/>
        </w:rPr>
        <w:t>The steps through which salvation is achieved follows a pattern of the Devil’s temptation and the Inspiration of Christ, such as the temptation to impatience followed by the inspiration to patience and charity. The soul is fortified by the actions of the individuals throughout life, and Caxton mentions several elements important to the redemption of the soul such as a crucifix ‘which always should be among the sick people’ and Holy Water which should be ‘oft cast upon them and about them to the end that the devils be put a-back from them.’ The idea of the inner conflict is covered widely by historians, for example Donald F Duclow states that ‘In the illustrations, demons and angels surround the bed of the dying man, who struggles against a series of temptations before coming to a good death.’</w:t>
      </w:r>
      <w:r w:rsidRPr="008D1BB1">
        <w:rPr>
          <w:rStyle w:val="FootnoteReference"/>
          <w:rFonts w:ascii="Arial" w:hAnsi="Arial" w:cs="Arial"/>
          <w:sz w:val="23"/>
          <w:szCs w:val="23"/>
        </w:rPr>
        <w:footnoteReference w:id="19"/>
      </w:r>
      <w:r w:rsidRPr="008D1BB1">
        <w:rPr>
          <w:rFonts w:ascii="Arial" w:hAnsi="Arial" w:cs="Arial"/>
          <w:sz w:val="23"/>
          <w:szCs w:val="23"/>
        </w:rPr>
        <w:t xml:space="preserve"> Similar to both illustration and illuminations, the literary works on the deathbed rituals also broadly termed as </w:t>
      </w:r>
      <w:r w:rsidRPr="008D1BB1">
        <w:rPr>
          <w:rFonts w:ascii="Arial" w:hAnsi="Arial" w:cs="Arial"/>
          <w:i/>
          <w:sz w:val="23"/>
          <w:szCs w:val="23"/>
        </w:rPr>
        <w:t xml:space="preserve">Ars Moriendi </w:t>
      </w:r>
      <w:r w:rsidRPr="008D1BB1">
        <w:rPr>
          <w:rFonts w:ascii="Arial" w:hAnsi="Arial" w:cs="Arial"/>
          <w:sz w:val="23"/>
          <w:szCs w:val="23"/>
        </w:rPr>
        <w:t xml:space="preserve">differentiate in their intended audience, for it is likely that as well as existing copies for personal use within wealthier homes or communities, there are surviving copies of those detailing the actions needed to be taken by the clergy attending the bedside of dying individuals. </w:t>
      </w:r>
    </w:p>
    <w:p w14:paraId="359A2FD1" w14:textId="7959F262" w:rsidR="00384F7B" w:rsidRPr="008D1BB1" w:rsidRDefault="00384F7B" w:rsidP="008D1BB1">
      <w:pPr>
        <w:spacing w:line="276" w:lineRule="auto"/>
        <w:rPr>
          <w:rFonts w:ascii="Arial" w:hAnsi="Arial" w:cs="Arial"/>
          <w:sz w:val="23"/>
          <w:szCs w:val="23"/>
        </w:rPr>
      </w:pPr>
      <w:r w:rsidRPr="008D1BB1">
        <w:rPr>
          <w:rFonts w:ascii="Arial" w:hAnsi="Arial" w:cs="Arial"/>
          <w:sz w:val="23"/>
          <w:szCs w:val="23"/>
        </w:rPr>
        <w:t xml:space="preserve">Medieval ideas of </w:t>
      </w:r>
      <w:r w:rsidR="00285AD5" w:rsidRPr="008D1BB1">
        <w:rPr>
          <w:rFonts w:ascii="Arial" w:hAnsi="Arial" w:cs="Arial"/>
          <w:sz w:val="23"/>
          <w:szCs w:val="23"/>
        </w:rPr>
        <w:t>p</w:t>
      </w:r>
      <w:r w:rsidRPr="008D1BB1">
        <w:rPr>
          <w:rFonts w:ascii="Arial" w:hAnsi="Arial" w:cs="Arial"/>
          <w:sz w:val="23"/>
          <w:szCs w:val="23"/>
        </w:rPr>
        <w:t xml:space="preserve">urgatory required a period of preparation upon the deathbed to minimise the sin and time spent before entering either Heaven or Hell, therefore a sudden death was feared greatly. Caxton references this at the beginning of the extract by stating that if the person is not oppressed by ‘hasty death’ then the process of steps can be made by priests to reduce the </w:t>
      </w:r>
      <w:r w:rsidR="0016069C" w:rsidRPr="008D1BB1">
        <w:rPr>
          <w:rFonts w:ascii="Arial" w:hAnsi="Arial" w:cs="Arial"/>
          <w:sz w:val="23"/>
          <w:szCs w:val="23"/>
        </w:rPr>
        <w:t>individual’s</w:t>
      </w:r>
      <w:r w:rsidRPr="008D1BB1">
        <w:rPr>
          <w:rFonts w:ascii="Arial" w:hAnsi="Arial" w:cs="Arial"/>
          <w:sz w:val="23"/>
          <w:szCs w:val="23"/>
        </w:rPr>
        <w:t xml:space="preserve"> sin. This is focused on heavily in modern scholarship, for instance Christopher Daniell mentions that, ‘If death was so sudden that there had been no opportunity to confess to anyone at all, it was assumed that a person had made peace with God before </w:t>
      </w:r>
      <w:r w:rsidRPr="008D1BB1">
        <w:rPr>
          <w:rFonts w:ascii="Arial" w:hAnsi="Arial" w:cs="Arial"/>
          <w:sz w:val="23"/>
          <w:szCs w:val="23"/>
        </w:rPr>
        <w:lastRenderedPageBreak/>
        <w:t>death.’</w:t>
      </w:r>
      <w:r w:rsidRPr="008D1BB1">
        <w:rPr>
          <w:rStyle w:val="FootnoteReference"/>
          <w:rFonts w:ascii="Arial" w:hAnsi="Arial" w:cs="Arial"/>
          <w:sz w:val="23"/>
          <w:szCs w:val="23"/>
        </w:rPr>
        <w:footnoteReference w:id="20"/>
      </w:r>
      <w:r w:rsidRPr="008D1BB1">
        <w:rPr>
          <w:rFonts w:ascii="Arial" w:hAnsi="Arial" w:cs="Arial"/>
          <w:sz w:val="23"/>
          <w:szCs w:val="23"/>
        </w:rPr>
        <w:t xml:space="preserve"> Furthermore, Caxton states that , ‘they ought at least to purpose to them the orisons and prayers which [are] addressed unto our Lord Jesu Christ’ reiterating that in the event of a sudden and unexpected death, the least their companions could do is say prayers and hope that their life would not reflect poorly upon their judgement having been unable to commit many of the deathbed rituals due to a lack of consciousness or communication. </w:t>
      </w:r>
    </w:p>
    <w:p w14:paraId="77294056" w14:textId="28629065" w:rsidR="00384F7B" w:rsidRPr="008D1BB1" w:rsidRDefault="00384F7B" w:rsidP="008D1BB1">
      <w:pPr>
        <w:spacing w:line="276" w:lineRule="auto"/>
        <w:rPr>
          <w:rFonts w:ascii="Arial" w:hAnsi="Arial" w:cs="Arial"/>
          <w:sz w:val="23"/>
          <w:szCs w:val="23"/>
        </w:rPr>
      </w:pPr>
      <w:r w:rsidRPr="008D1BB1">
        <w:rPr>
          <w:rFonts w:ascii="Arial" w:hAnsi="Arial" w:cs="Arial"/>
          <w:sz w:val="23"/>
          <w:szCs w:val="23"/>
        </w:rPr>
        <w:t xml:space="preserve">It can therefore be seen that William Caxton’s </w:t>
      </w:r>
      <w:r w:rsidRPr="008D1BB1">
        <w:rPr>
          <w:rFonts w:ascii="Arial" w:hAnsi="Arial" w:cs="Arial"/>
          <w:i/>
          <w:sz w:val="23"/>
          <w:szCs w:val="23"/>
        </w:rPr>
        <w:t xml:space="preserve">The Art and Craft to Know Well to Die </w:t>
      </w:r>
      <w:r w:rsidRPr="008D1BB1">
        <w:rPr>
          <w:rFonts w:ascii="Arial" w:hAnsi="Arial" w:cs="Arial"/>
          <w:sz w:val="23"/>
          <w:szCs w:val="23"/>
        </w:rPr>
        <w:t xml:space="preserve">is extremely useful to those looking at the actions taken by the medieval individual upon their deathbed. Caxton’s repetition of the word ‘salvation’ highlights the importance of the soul’s preservation and the actions needed to order to secure the shortest time in purgatory before the Last Judgement, and as a book of guidance for the dying person this seems significant for the time period. Alongside the growing influence of </w:t>
      </w:r>
      <w:r w:rsidRPr="008D1BB1">
        <w:rPr>
          <w:rFonts w:ascii="Arial" w:hAnsi="Arial" w:cs="Arial"/>
          <w:i/>
          <w:sz w:val="23"/>
          <w:szCs w:val="23"/>
        </w:rPr>
        <w:t>Ars Moriendi</w:t>
      </w:r>
      <w:r w:rsidRPr="008D1BB1">
        <w:rPr>
          <w:rFonts w:ascii="Arial" w:hAnsi="Arial" w:cs="Arial"/>
          <w:sz w:val="23"/>
          <w:szCs w:val="23"/>
        </w:rPr>
        <w:t>, Caxton has some partial involvement in its widespread printing and publication, making the possession of a deathbed handguide more accessible and affordable, perhaps significant to the spirall</w:t>
      </w:r>
      <w:r w:rsidR="00285AD5" w:rsidRPr="008D1BB1">
        <w:rPr>
          <w:rFonts w:ascii="Arial" w:hAnsi="Arial" w:cs="Arial"/>
          <w:sz w:val="23"/>
          <w:szCs w:val="23"/>
        </w:rPr>
        <w:t>ing</w:t>
      </w:r>
      <w:r w:rsidRPr="008D1BB1">
        <w:rPr>
          <w:rFonts w:ascii="Arial" w:hAnsi="Arial" w:cs="Arial"/>
          <w:sz w:val="23"/>
          <w:szCs w:val="23"/>
        </w:rPr>
        <w:t xml:space="preserve"> obsession with the dangers of purgatory. </w:t>
      </w:r>
      <w:bookmarkEnd w:id="2"/>
    </w:p>
    <w:bookmarkEnd w:id="0"/>
    <w:p w14:paraId="2B3DB323" w14:textId="2275061A" w:rsidR="00384F7B" w:rsidRDefault="00384F7B" w:rsidP="008D1BB1">
      <w:pPr>
        <w:spacing w:line="276" w:lineRule="auto"/>
      </w:pPr>
    </w:p>
    <w:p w14:paraId="7E77CF29" w14:textId="513AF483" w:rsidR="008D1BB1" w:rsidRDefault="008D1BB1" w:rsidP="008D1BB1">
      <w:pPr>
        <w:spacing w:line="276" w:lineRule="auto"/>
      </w:pPr>
    </w:p>
    <w:p w14:paraId="5DC3341C" w14:textId="24B2ECF1" w:rsidR="008D1BB1" w:rsidRDefault="008D1BB1" w:rsidP="008D1BB1">
      <w:pPr>
        <w:spacing w:line="276" w:lineRule="auto"/>
      </w:pPr>
    </w:p>
    <w:p w14:paraId="7F389A0F" w14:textId="397B40B6" w:rsidR="008D1BB1" w:rsidRDefault="008D1BB1" w:rsidP="008D1BB1">
      <w:pPr>
        <w:spacing w:line="276" w:lineRule="auto"/>
      </w:pPr>
    </w:p>
    <w:p w14:paraId="486E6B58" w14:textId="4F18F805" w:rsidR="008D1BB1" w:rsidRDefault="008D1BB1" w:rsidP="008D1BB1">
      <w:pPr>
        <w:spacing w:line="276" w:lineRule="auto"/>
      </w:pPr>
    </w:p>
    <w:p w14:paraId="0BEFA49F" w14:textId="038B2236" w:rsidR="008D1BB1" w:rsidRDefault="008D1BB1" w:rsidP="008D1BB1">
      <w:pPr>
        <w:spacing w:line="276" w:lineRule="auto"/>
      </w:pPr>
    </w:p>
    <w:p w14:paraId="0BAC18CF" w14:textId="64407099" w:rsidR="008D1BB1" w:rsidRDefault="008D1BB1" w:rsidP="008D1BB1">
      <w:pPr>
        <w:spacing w:line="276" w:lineRule="auto"/>
      </w:pPr>
    </w:p>
    <w:p w14:paraId="172C8EA7" w14:textId="236953D1" w:rsidR="008D1BB1" w:rsidRDefault="008D1BB1" w:rsidP="008D1BB1">
      <w:pPr>
        <w:spacing w:line="276" w:lineRule="auto"/>
      </w:pPr>
    </w:p>
    <w:p w14:paraId="1AC146C7" w14:textId="03C50F92" w:rsidR="008D1BB1" w:rsidRDefault="008D1BB1" w:rsidP="008D1BB1">
      <w:pPr>
        <w:spacing w:line="276" w:lineRule="auto"/>
      </w:pPr>
    </w:p>
    <w:p w14:paraId="39F30E42" w14:textId="3C76D8FC" w:rsidR="008D1BB1" w:rsidRDefault="008D1BB1" w:rsidP="008D1BB1">
      <w:pPr>
        <w:spacing w:line="276" w:lineRule="auto"/>
      </w:pPr>
    </w:p>
    <w:p w14:paraId="366F21AD" w14:textId="606BB36D" w:rsidR="008D1BB1" w:rsidRDefault="008D1BB1" w:rsidP="008D1BB1">
      <w:pPr>
        <w:spacing w:line="276" w:lineRule="auto"/>
      </w:pPr>
    </w:p>
    <w:p w14:paraId="1ECF44AD" w14:textId="108A5FCA" w:rsidR="008D1BB1" w:rsidRDefault="008D1BB1" w:rsidP="008D1BB1">
      <w:pPr>
        <w:spacing w:line="276" w:lineRule="auto"/>
      </w:pPr>
    </w:p>
    <w:p w14:paraId="2789920A" w14:textId="63B45250" w:rsidR="008D1BB1" w:rsidRDefault="008D1BB1" w:rsidP="008D1BB1">
      <w:pPr>
        <w:spacing w:line="276" w:lineRule="auto"/>
      </w:pPr>
    </w:p>
    <w:p w14:paraId="17C6A83F" w14:textId="3B3142EB" w:rsidR="008D1BB1" w:rsidRDefault="008D1BB1" w:rsidP="008D1BB1">
      <w:pPr>
        <w:spacing w:line="276" w:lineRule="auto"/>
      </w:pPr>
    </w:p>
    <w:p w14:paraId="6BE0F687" w14:textId="305E8BFC" w:rsidR="008D1BB1" w:rsidRDefault="008D1BB1" w:rsidP="008D1BB1">
      <w:pPr>
        <w:spacing w:line="276" w:lineRule="auto"/>
      </w:pPr>
    </w:p>
    <w:p w14:paraId="362D0E9A" w14:textId="7995EB6E" w:rsidR="008D1BB1" w:rsidRDefault="008D1BB1" w:rsidP="008D1BB1">
      <w:pPr>
        <w:spacing w:line="276" w:lineRule="auto"/>
      </w:pPr>
    </w:p>
    <w:p w14:paraId="0775D1BA" w14:textId="4DFB7C4D" w:rsidR="008D1BB1" w:rsidRDefault="008D1BB1" w:rsidP="008D1BB1">
      <w:pPr>
        <w:spacing w:line="276" w:lineRule="auto"/>
      </w:pPr>
    </w:p>
    <w:p w14:paraId="43DC647F" w14:textId="790843C2" w:rsidR="008D1BB1" w:rsidRDefault="008D1BB1" w:rsidP="008D1BB1">
      <w:pPr>
        <w:spacing w:line="276" w:lineRule="auto"/>
      </w:pPr>
    </w:p>
    <w:p w14:paraId="5B559094" w14:textId="286FF460" w:rsidR="008D1BB1" w:rsidRPr="00952386" w:rsidRDefault="008D1BB1" w:rsidP="00952386">
      <w:pPr>
        <w:spacing w:before="240" w:line="276" w:lineRule="auto"/>
        <w:rPr>
          <w:rFonts w:ascii="Arial" w:hAnsi="Arial" w:cs="Arial"/>
          <w:b/>
          <w:sz w:val="23"/>
          <w:szCs w:val="23"/>
        </w:rPr>
      </w:pPr>
      <w:r w:rsidRPr="00952386">
        <w:rPr>
          <w:rFonts w:ascii="Arial" w:hAnsi="Arial" w:cs="Arial"/>
          <w:b/>
          <w:sz w:val="23"/>
          <w:szCs w:val="23"/>
        </w:rPr>
        <w:lastRenderedPageBreak/>
        <w:t xml:space="preserve">Bibliography </w:t>
      </w:r>
    </w:p>
    <w:p w14:paraId="69FECF1B" w14:textId="0C88CE9B" w:rsidR="008D1BB1" w:rsidRPr="00952386" w:rsidRDefault="008D1BB1" w:rsidP="00952386">
      <w:pPr>
        <w:spacing w:before="240" w:line="276" w:lineRule="auto"/>
        <w:rPr>
          <w:rFonts w:ascii="Arial" w:hAnsi="Arial" w:cs="Arial"/>
          <w:b/>
          <w:sz w:val="23"/>
          <w:szCs w:val="23"/>
        </w:rPr>
      </w:pPr>
      <w:r w:rsidRPr="00952386">
        <w:rPr>
          <w:rFonts w:ascii="Arial" w:hAnsi="Arial" w:cs="Arial"/>
          <w:b/>
          <w:sz w:val="23"/>
          <w:szCs w:val="23"/>
        </w:rPr>
        <w:t xml:space="preserve">Primary Sources </w:t>
      </w:r>
    </w:p>
    <w:p w14:paraId="72510088" w14:textId="6DCEC1BA" w:rsidR="00952386" w:rsidRPr="00952386" w:rsidRDefault="00952386" w:rsidP="00952386">
      <w:pPr>
        <w:pStyle w:val="FootnoteText"/>
        <w:spacing w:before="240" w:line="276" w:lineRule="auto"/>
        <w:rPr>
          <w:rFonts w:ascii="Arial" w:hAnsi="Arial" w:cs="Arial"/>
          <w:color w:val="000000"/>
          <w:sz w:val="23"/>
          <w:szCs w:val="23"/>
          <w:shd w:val="clear" w:color="auto" w:fill="FFFFFF"/>
        </w:rPr>
      </w:pPr>
      <w:r w:rsidRPr="00952386">
        <w:rPr>
          <w:rFonts w:ascii="Arial" w:hAnsi="Arial" w:cs="Arial"/>
          <w:color w:val="000000"/>
          <w:sz w:val="23"/>
          <w:szCs w:val="23"/>
          <w:shd w:val="clear" w:color="auto" w:fill="FFFFFF"/>
        </w:rPr>
        <w:t>"Ars Moriendi-The Art Of Dying | Polonsky Foundation Digitization Project", </w:t>
      </w:r>
      <w:r w:rsidRPr="00952386">
        <w:rPr>
          <w:rFonts w:ascii="Arial" w:hAnsi="Arial" w:cs="Arial"/>
          <w:i/>
          <w:iCs/>
          <w:color w:val="000000"/>
          <w:sz w:val="23"/>
          <w:szCs w:val="23"/>
          <w:shd w:val="clear" w:color="auto" w:fill="FFFFFF"/>
        </w:rPr>
        <w:t>Bav.Bodleian.Ox.Ac.Uk</w:t>
      </w:r>
      <w:r w:rsidRPr="00952386">
        <w:rPr>
          <w:rFonts w:ascii="Arial" w:hAnsi="Arial" w:cs="Arial"/>
          <w:color w:val="000000"/>
          <w:sz w:val="23"/>
          <w:szCs w:val="23"/>
          <w:shd w:val="clear" w:color="auto" w:fill="FFFFFF"/>
        </w:rPr>
        <w:t>, 2019 &lt;http://bav.bodleian.ox.ac.uk/news/ars-moriendi-the-art-of-dying&gt; [Accessed 1 February 2019].</w:t>
      </w:r>
    </w:p>
    <w:p w14:paraId="4CE3D256" w14:textId="77777777" w:rsidR="00952386" w:rsidRPr="00952386" w:rsidRDefault="00952386" w:rsidP="00952386">
      <w:pPr>
        <w:spacing w:before="240" w:line="276" w:lineRule="auto"/>
        <w:rPr>
          <w:rFonts w:ascii="Arial" w:hAnsi="Arial" w:cs="Arial"/>
          <w:sz w:val="23"/>
          <w:szCs w:val="23"/>
          <w:shd w:val="clear" w:color="auto" w:fill="FFFFFF"/>
        </w:rPr>
      </w:pPr>
      <w:r w:rsidRPr="00952386">
        <w:rPr>
          <w:rFonts w:ascii="Arial" w:hAnsi="Arial" w:cs="Arial"/>
          <w:sz w:val="23"/>
          <w:szCs w:val="23"/>
          <w:shd w:val="clear" w:color="auto" w:fill="FFFFFF"/>
        </w:rPr>
        <w:t>"Danse Macabre : Ou L'empire De La Mort, Sur Tous Les États De La Vie Humaine", </w:t>
      </w:r>
      <w:r w:rsidRPr="00952386">
        <w:rPr>
          <w:rFonts w:ascii="Arial" w:hAnsi="Arial" w:cs="Arial"/>
          <w:i/>
          <w:iCs/>
          <w:sz w:val="23"/>
          <w:szCs w:val="23"/>
          <w:shd w:val="clear" w:color="auto" w:fill="FFFFFF"/>
        </w:rPr>
        <w:t>Bibliothèque Nationale De France</w:t>
      </w:r>
      <w:r w:rsidRPr="00952386">
        <w:rPr>
          <w:rFonts w:ascii="Arial" w:hAnsi="Arial" w:cs="Arial"/>
          <w:sz w:val="23"/>
          <w:szCs w:val="23"/>
          <w:shd w:val="clear" w:color="auto" w:fill="FFFFFF"/>
        </w:rPr>
        <w:t>, 2019 &lt;https://gallica.bnf.fr/ark:/12148/btv1b10542297k/f17.item&gt; [Accessed 1 February 2019].</w:t>
      </w:r>
    </w:p>
    <w:p w14:paraId="5B09116C" w14:textId="06F0E052" w:rsidR="00952386" w:rsidRPr="00952386" w:rsidRDefault="00952386" w:rsidP="00952386">
      <w:pPr>
        <w:spacing w:before="240" w:line="276" w:lineRule="auto"/>
        <w:rPr>
          <w:rFonts w:ascii="Arial" w:hAnsi="Arial" w:cs="Arial"/>
          <w:color w:val="000000"/>
          <w:sz w:val="23"/>
          <w:szCs w:val="23"/>
          <w:shd w:val="clear" w:color="auto" w:fill="FFFFFF"/>
        </w:rPr>
      </w:pPr>
      <w:r w:rsidRPr="00952386">
        <w:rPr>
          <w:rFonts w:ascii="Arial" w:hAnsi="Arial" w:cs="Arial"/>
          <w:color w:val="000000"/>
          <w:sz w:val="23"/>
          <w:szCs w:val="23"/>
          <w:shd w:val="clear" w:color="auto" w:fill="FFFFFF"/>
        </w:rPr>
        <w:t>"The Book Of The Craft Of Dying, And Other Early English Tracts Concerning Death</w:t>
      </w:r>
      <w:r w:rsidR="0016069C" w:rsidRPr="00952386">
        <w:rPr>
          <w:rFonts w:ascii="Arial" w:hAnsi="Arial" w:cs="Arial"/>
          <w:color w:val="000000"/>
          <w:sz w:val="23"/>
          <w:szCs w:val="23"/>
          <w:shd w:val="clear" w:color="auto" w:fill="FFFFFF"/>
        </w:rPr>
        <w:t>;:</w:t>
      </w:r>
      <w:r w:rsidRPr="00952386">
        <w:rPr>
          <w:rFonts w:ascii="Arial" w:hAnsi="Arial" w:cs="Arial"/>
          <w:color w:val="000000"/>
          <w:sz w:val="23"/>
          <w:szCs w:val="23"/>
          <w:shd w:val="clear" w:color="auto" w:fill="FFFFFF"/>
        </w:rPr>
        <w:t xml:space="preserve"> Caxton, William, Ca. 1422-1491", </w:t>
      </w:r>
      <w:r w:rsidRPr="00952386">
        <w:rPr>
          <w:rFonts w:ascii="Arial" w:hAnsi="Arial" w:cs="Arial"/>
          <w:i/>
          <w:iCs/>
          <w:color w:val="000000"/>
          <w:sz w:val="23"/>
          <w:szCs w:val="23"/>
          <w:shd w:val="clear" w:color="auto" w:fill="FFFFFF"/>
        </w:rPr>
        <w:t>Internet Archive</w:t>
      </w:r>
      <w:r w:rsidRPr="00952386">
        <w:rPr>
          <w:rFonts w:ascii="Arial" w:hAnsi="Arial" w:cs="Arial"/>
          <w:color w:val="000000"/>
          <w:sz w:val="23"/>
          <w:szCs w:val="23"/>
          <w:shd w:val="clear" w:color="auto" w:fill="FFFFFF"/>
        </w:rPr>
        <w:t>, 2019 &lt;https://archive.org/details/bookofcraftofdyi00caxtiala/page/xxii&gt; [Accessed 1 February 2019]</w:t>
      </w:r>
    </w:p>
    <w:p w14:paraId="0018F932" w14:textId="065BFB53" w:rsidR="00952386" w:rsidRDefault="00952386" w:rsidP="00952386">
      <w:pPr>
        <w:pStyle w:val="FootnoteText"/>
        <w:spacing w:before="240" w:line="276" w:lineRule="auto"/>
        <w:rPr>
          <w:rFonts w:ascii="Arial" w:hAnsi="Arial" w:cs="Arial"/>
          <w:sz w:val="23"/>
          <w:szCs w:val="23"/>
        </w:rPr>
      </w:pPr>
      <w:r w:rsidRPr="00952386">
        <w:rPr>
          <w:rFonts w:ascii="Arial" w:hAnsi="Arial" w:cs="Arial"/>
          <w:i/>
          <w:sz w:val="23"/>
          <w:szCs w:val="23"/>
        </w:rPr>
        <w:t>The Revelation of the Monk of Eynsham</w:t>
      </w:r>
      <w:r w:rsidRPr="00952386">
        <w:rPr>
          <w:rFonts w:ascii="Arial" w:hAnsi="Arial" w:cs="Arial"/>
          <w:sz w:val="23"/>
          <w:szCs w:val="23"/>
        </w:rPr>
        <w:t xml:space="preserve">, available in Modern </w:t>
      </w:r>
      <w:r w:rsidR="0016069C" w:rsidRPr="00952386">
        <w:rPr>
          <w:rFonts w:ascii="Arial" w:hAnsi="Arial" w:cs="Arial"/>
          <w:sz w:val="23"/>
          <w:szCs w:val="23"/>
        </w:rPr>
        <w:t>English at</w:t>
      </w:r>
      <w:r w:rsidRPr="00952386">
        <w:rPr>
          <w:rFonts w:ascii="Arial" w:hAnsi="Arial" w:cs="Arial"/>
          <w:sz w:val="23"/>
          <w:szCs w:val="23"/>
        </w:rPr>
        <w:t xml:space="preserve"> the following &lt;http://www.eleusinianm.co.uk/middle-english-literature-retold-in-modern-english/visits-to-purgatory/monk-of-eynsham&gt;.</w:t>
      </w:r>
    </w:p>
    <w:p w14:paraId="78D07497" w14:textId="6893789D" w:rsidR="00952386" w:rsidRPr="00952386" w:rsidRDefault="00952386" w:rsidP="00952386">
      <w:pPr>
        <w:spacing w:before="240" w:line="276" w:lineRule="auto"/>
        <w:rPr>
          <w:rFonts w:ascii="Arial" w:hAnsi="Arial" w:cs="Arial"/>
          <w:color w:val="000000"/>
          <w:sz w:val="23"/>
          <w:szCs w:val="23"/>
          <w:shd w:val="clear" w:color="auto" w:fill="FFFFFF"/>
        </w:rPr>
      </w:pPr>
      <w:r w:rsidRPr="00952386">
        <w:rPr>
          <w:rFonts w:ascii="Arial" w:hAnsi="Arial" w:cs="Arial"/>
          <w:color w:val="000000"/>
          <w:sz w:val="23"/>
          <w:szCs w:val="23"/>
          <w:shd w:val="clear" w:color="auto" w:fill="FFFFFF"/>
        </w:rPr>
        <w:t>"</w:t>
      </w:r>
      <w:r w:rsidR="0016069C" w:rsidRPr="00952386">
        <w:rPr>
          <w:rFonts w:ascii="Arial" w:hAnsi="Arial" w:cs="Arial"/>
          <w:color w:val="000000"/>
          <w:sz w:val="23"/>
          <w:szCs w:val="23"/>
          <w:shd w:val="clear" w:color="auto" w:fill="FFFFFF"/>
        </w:rPr>
        <w:t>William</w:t>
      </w:r>
      <w:r w:rsidRPr="00952386">
        <w:rPr>
          <w:rFonts w:ascii="Arial" w:hAnsi="Arial" w:cs="Arial"/>
          <w:color w:val="000000"/>
          <w:sz w:val="23"/>
          <w:szCs w:val="23"/>
          <w:shd w:val="clear" w:color="auto" w:fill="FFFFFF"/>
        </w:rPr>
        <w:t xml:space="preserve"> Caxton", </w:t>
      </w:r>
      <w:r w:rsidRPr="00952386">
        <w:rPr>
          <w:rFonts w:ascii="Arial" w:hAnsi="Arial" w:cs="Arial"/>
          <w:i/>
          <w:iCs/>
          <w:color w:val="000000"/>
          <w:sz w:val="23"/>
          <w:szCs w:val="23"/>
          <w:shd w:val="clear" w:color="auto" w:fill="FFFFFF"/>
        </w:rPr>
        <w:t>The British Library</w:t>
      </w:r>
      <w:r w:rsidRPr="00952386">
        <w:rPr>
          <w:rFonts w:ascii="Arial" w:hAnsi="Arial" w:cs="Arial"/>
          <w:color w:val="000000"/>
          <w:sz w:val="23"/>
          <w:szCs w:val="23"/>
          <w:shd w:val="clear" w:color="auto" w:fill="FFFFFF"/>
        </w:rPr>
        <w:t>, 2019 &lt;https://www.bl.uk/people/william-caxton&gt; [Accessed 1 February 2019]</w:t>
      </w:r>
    </w:p>
    <w:p w14:paraId="5F621DC2" w14:textId="550B935D" w:rsidR="00952386" w:rsidRPr="00952386" w:rsidRDefault="00952386" w:rsidP="00952386">
      <w:pPr>
        <w:pStyle w:val="FootnoteText"/>
        <w:spacing w:before="240" w:line="276" w:lineRule="auto"/>
        <w:rPr>
          <w:rFonts w:ascii="Arial" w:hAnsi="Arial" w:cs="Arial"/>
          <w:sz w:val="23"/>
          <w:szCs w:val="23"/>
        </w:rPr>
      </w:pPr>
      <w:r w:rsidRPr="00952386">
        <w:rPr>
          <w:rFonts w:ascii="Arial" w:hAnsi="Arial" w:cs="Arial"/>
          <w:sz w:val="23"/>
          <w:szCs w:val="23"/>
        </w:rPr>
        <w:t xml:space="preserve">William Newburgh, </w:t>
      </w:r>
      <w:r w:rsidRPr="00952386">
        <w:rPr>
          <w:rFonts w:ascii="Arial" w:hAnsi="Arial" w:cs="Arial"/>
          <w:i/>
          <w:sz w:val="23"/>
          <w:szCs w:val="23"/>
        </w:rPr>
        <w:t>Historia rerum Anglicarum</w:t>
      </w:r>
      <w:r w:rsidRPr="00952386">
        <w:rPr>
          <w:rFonts w:ascii="Arial" w:hAnsi="Arial" w:cs="Arial"/>
          <w:sz w:val="23"/>
          <w:szCs w:val="23"/>
        </w:rPr>
        <w:t xml:space="preserve"> as found in </w:t>
      </w:r>
      <w:r w:rsidRPr="00952386">
        <w:rPr>
          <w:rFonts w:ascii="Arial" w:hAnsi="Arial" w:cs="Arial"/>
          <w:i/>
          <w:sz w:val="23"/>
          <w:szCs w:val="23"/>
        </w:rPr>
        <w:t>The Church Historians of England</w:t>
      </w:r>
      <w:r w:rsidRPr="00952386">
        <w:rPr>
          <w:rFonts w:ascii="Arial" w:hAnsi="Arial" w:cs="Arial"/>
          <w:sz w:val="23"/>
          <w:szCs w:val="23"/>
        </w:rPr>
        <w:t>, vol. IV, part II, trans. Joseph Stevenson, made available by Fordham University. &lt;https://sourcebooks.fordham.edu/basis/williamofnewburgh-intro.asp&gt;</w:t>
      </w:r>
    </w:p>
    <w:p w14:paraId="7FE5BFFA" w14:textId="44FADD1B" w:rsidR="008D1BB1" w:rsidRPr="00952386" w:rsidRDefault="008D1BB1" w:rsidP="00952386">
      <w:pPr>
        <w:spacing w:before="240" w:line="276" w:lineRule="auto"/>
        <w:rPr>
          <w:rFonts w:ascii="Arial" w:hAnsi="Arial" w:cs="Arial"/>
          <w:b/>
          <w:sz w:val="23"/>
          <w:szCs w:val="23"/>
        </w:rPr>
      </w:pPr>
      <w:r w:rsidRPr="00952386">
        <w:rPr>
          <w:rFonts w:ascii="Arial" w:hAnsi="Arial" w:cs="Arial"/>
          <w:b/>
          <w:sz w:val="23"/>
          <w:szCs w:val="23"/>
        </w:rPr>
        <w:t xml:space="preserve">Secondary Sources </w:t>
      </w:r>
    </w:p>
    <w:p w14:paraId="61239C4A" w14:textId="77777777" w:rsidR="00952386" w:rsidRPr="00952386" w:rsidRDefault="00952386" w:rsidP="00952386">
      <w:pPr>
        <w:spacing w:before="240" w:line="276" w:lineRule="auto"/>
        <w:rPr>
          <w:rFonts w:ascii="Arial" w:hAnsi="Arial" w:cs="Arial"/>
          <w:sz w:val="23"/>
          <w:szCs w:val="23"/>
          <w:shd w:val="clear" w:color="auto" w:fill="FFFFFF"/>
        </w:rPr>
      </w:pPr>
      <w:r w:rsidRPr="00952386">
        <w:rPr>
          <w:rFonts w:ascii="Arial" w:hAnsi="Arial" w:cs="Arial"/>
          <w:sz w:val="23"/>
          <w:szCs w:val="23"/>
          <w:shd w:val="clear" w:color="auto" w:fill="FFFFFF"/>
        </w:rPr>
        <w:t>Burgess,</w:t>
      </w:r>
      <w:r w:rsidRPr="00952386">
        <w:rPr>
          <w:rFonts w:ascii="Arial" w:hAnsi="Arial" w:cs="Arial"/>
          <w:sz w:val="23"/>
          <w:szCs w:val="23"/>
          <w:shd w:val="clear" w:color="auto" w:fill="FFFFFF"/>
        </w:rPr>
        <w:t xml:space="preserve"> C.,</w:t>
      </w:r>
      <w:r w:rsidRPr="00952386">
        <w:rPr>
          <w:rFonts w:ascii="Arial" w:hAnsi="Arial" w:cs="Arial"/>
          <w:sz w:val="23"/>
          <w:szCs w:val="23"/>
          <w:shd w:val="clear" w:color="auto" w:fill="FFFFFF"/>
        </w:rPr>
        <w:t xml:space="preserve"> 'Longing to be Prayed for: Death and Commemoration in an English Parish in the Later Middle Ages,' in </w:t>
      </w:r>
      <w:r w:rsidRPr="00952386">
        <w:rPr>
          <w:rStyle w:val="Emphasis"/>
          <w:rFonts w:ascii="Arial" w:hAnsi="Arial" w:cs="Arial"/>
          <w:sz w:val="23"/>
          <w:szCs w:val="23"/>
          <w:shd w:val="clear" w:color="auto" w:fill="FFFFFF"/>
        </w:rPr>
        <w:t>The Place of the Dead: Death and Remembrance in Late Medieval and Early Modern Europe</w:t>
      </w:r>
      <w:r w:rsidRPr="00952386">
        <w:rPr>
          <w:rFonts w:ascii="Arial" w:hAnsi="Arial" w:cs="Arial"/>
          <w:sz w:val="23"/>
          <w:szCs w:val="23"/>
          <w:shd w:val="clear" w:color="auto" w:fill="FFFFFF"/>
        </w:rPr>
        <w:t>, ed. by B. Gordon and P. Marshall (Cambridge: 2000)</w:t>
      </w:r>
    </w:p>
    <w:p w14:paraId="2E2FAB09" w14:textId="77777777" w:rsidR="00952386" w:rsidRPr="00952386" w:rsidRDefault="00952386" w:rsidP="00952386">
      <w:pPr>
        <w:spacing w:before="240" w:line="276" w:lineRule="auto"/>
        <w:rPr>
          <w:rFonts w:ascii="Arial" w:hAnsi="Arial" w:cs="Arial"/>
          <w:sz w:val="23"/>
          <w:szCs w:val="23"/>
        </w:rPr>
      </w:pPr>
      <w:r w:rsidRPr="00952386">
        <w:rPr>
          <w:rFonts w:ascii="Arial" w:hAnsi="Arial" w:cs="Arial"/>
          <w:sz w:val="23"/>
          <w:szCs w:val="23"/>
        </w:rPr>
        <w:t>Bynum,</w:t>
      </w:r>
      <w:r w:rsidRPr="00952386">
        <w:rPr>
          <w:rFonts w:ascii="Arial" w:hAnsi="Arial" w:cs="Arial"/>
          <w:sz w:val="23"/>
          <w:szCs w:val="23"/>
        </w:rPr>
        <w:t xml:space="preserve"> </w:t>
      </w:r>
      <w:r w:rsidRPr="00952386">
        <w:rPr>
          <w:rFonts w:ascii="Arial" w:hAnsi="Arial" w:cs="Arial"/>
          <w:sz w:val="23"/>
          <w:szCs w:val="23"/>
        </w:rPr>
        <w:t>Caroline Walker</w:t>
      </w:r>
      <w:r w:rsidRPr="00952386">
        <w:rPr>
          <w:rFonts w:ascii="Arial" w:hAnsi="Arial" w:cs="Arial"/>
          <w:sz w:val="23"/>
          <w:szCs w:val="23"/>
        </w:rPr>
        <w:t>,</w:t>
      </w:r>
      <w:r w:rsidRPr="00952386">
        <w:rPr>
          <w:rFonts w:ascii="Arial" w:hAnsi="Arial" w:cs="Arial"/>
          <w:sz w:val="23"/>
          <w:szCs w:val="23"/>
        </w:rPr>
        <w:t xml:space="preserve"> ‘Material Continuity, Personal Survival, and the Resurrection of the Body: A Scholastic Discussion in its Medieval and Modern Contexts,’ </w:t>
      </w:r>
      <w:r w:rsidRPr="00952386">
        <w:rPr>
          <w:rFonts w:ascii="Arial" w:hAnsi="Arial" w:cs="Arial"/>
          <w:i/>
          <w:sz w:val="23"/>
          <w:szCs w:val="23"/>
        </w:rPr>
        <w:t>History of Religions</w:t>
      </w:r>
      <w:r w:rsidRPr="00952386">
        <w:rPr>
          <w:rFonts w:ascii="Arial" w:hAnsi="Arial" w:cs="Arial"/>
          <w:sz w:val="23"/>
          <w:szCs w:val="23"/>
        </w:rPr>
        <w:t>, vol. 30, no. 1 (August 1990)</w:t>
      </w:r>
    </w:p>
    <w:p w14:paraId="75C13E2D" w14:textId="77777777" w:rsidR="00952386" w:rsidRPr="00952386" w:rsidRDefault="00952386" w:rsidP="00952386">
      <w:pPr>
        <w:spacing w:before="240" w:line="276" w:lineRule="auto"/>
        <w:rPr>
          <w:rFonts w:ascii="Arial" w:hAnsi="Arial" w:cs="Arial"/>
          <w:color w:val="000000"/>
          <w:sz w:val="23"/>
          <w:szCs w:val="23"/>
          <w:shd w:val="clear" w:color="auto" w:fill="FFFFFF"/>
        </w:rPr>
      </w:pPr>
      <w:r w:rsidRPr="00952386">
        <w:rPr>
          <w:rFonts w:ascii="Arial" w:hAnsi="Arial" w:cs="Arial"/>
          <w:color w:val="000000"/>
          <w:sz w:val="23"/>
          <w:szCs w:val="23"/>
          <w:shd w:val="clear" w:color="auto" w:fill="FFFFFF"/>
        </w:rPr>
        <w:t>Daniell,</w:t>
      </w:r>
      <w:r w:rsidRPr="00952386">
        <w:rPr>
          <w:rFonts w:ascii="Arial" w:hAnsi="Arial" w:cs="Arial"/>
          <w:color w:val="000000"/>
          <w:sz w:val="23"/>
          <w:szCs w:val="23"/>
          <w:shd w:val="clear" w:color="auto" w:fill="FFFFFF"/>
        </w:rPr>
        <w:t xml:space="preserve"> </w:t>
      </w:r>
      <w:r w:rsidRPr="00952386">
        <w:rPr>
          <w:rFonts w:ascii="Arial" w:hAnsi="Arial" w:cs="Arial"/>
          <w:color w:val="000000"/>
          <w:sz w:val="23"/>
          <w:szCs w:val="23"/>
          <w:shd w:val="clear" w:color="auto" w:fill="FFFFFF"/>
        </w:rPr>
        <w:t>Christopher</w:t>
      </w:r>
      <w:r w:rsidRPr="00952386">
        <w:rPr>
          <w:rFonts w:ascii="Arial" w:hAnsi="Arial" w:cs="Arial"/>
          <w:color w:val="000000"/>
          <w:sz w:val="23"/>
          <w:szCs w:val="23"/>
          <w:shd w:val="clear" w:color="auto" w:fill="FFFFFF"/>
        </w:rPr>
        <w:t>,</w:t>
      </w:r>
      <w:r w:rsidRPr="00952386">
        <w:rPr>
          <w:rFonts w:ascii="Arial" w:hAnsi="Arial" w:cs="Arial"/>
          <w:color w:val="000000"/>
          <w:sz w:val="23"/>
          <w:szCs w:val="23"/>
          <w:shd w:val="clear" w:color="auto" w:fill="FFFFFF"/>
        </w:rPr>
        <w:t xml:space="preserve"> </w:t>
      </w:r>
      <w:r w:rsidRPr="00952386">
        <w:rPr>
          <w:rFonts w:ascii="Arial" w:hAnsi="Arial" w:cs="Arial"/>
          <w:sz w:val="23"/>
          <w:szCs w:val="23"/>
        </w:rPr>
        <w:t>“From Death-Bed to Remembrance” in</w:t>
      </w:r>
      <w:r w:rsidRPr="00952386">
        <w:rPr>
          <w:rFonts w:ascii="Arial" w:hAnsi="Arial" w:cs="Arial"/>
          <w:color w:val="000000"/>
          <w:sz w:val="23"/>
          <w:szCs w:val="23"/>
          <w:shd w:val="clear" w:color="auto" w:fill="FFFFFF"/>
        </w:rPr>
        <w:t> </w:t>
      </w:r>
      <w:r w:rsidRPr="00952386">
        <w:rPr>
          <w:rFonts w:ascii="Arial" w:hAnsi="Arial" w:cs="Arial"/>
          <w:i/>
          <w:iCs/>
          <w:color w:val="000000"/>
          <w:sz w:val="23"/>
          <w:szCs w:val="23"/>
          <w:shd w:val="clear" w:color="auto" w:fill="FFFFFF"/>
        </w:rPr>
        <w:t>Death And Burial In Medieval England, 1066-1550</w:t>
      </w:r>
      <w:r w:rsidRPr="00952386">
        <w:rPr>
          <w:rFonts w:ascii="Arial" w:hAnsi="Arial" w:cs="Arial"/>
          <w:color w:val="000000"/>
          <w:sz w:val="23"/>
          <w:szCs w:val="23"/>
          <w:shd w:val="clear" w:color="auto" w:fill="FFFFFF"/>
        </w:rPr>
        <w:t> (London: Taylor &amp; Francis, 2005)</w:t>
      </w:r>
    </w:p>
    <w:p w14:paraId="117B303F" w14:textId="77777777" w:rsidR="00952386" w:rsidRPr="00952386" w:rsidRDefault="00952386" w:rsidP="00952386">
      <w:pPr>
        <w:spacing w:before="240" w:line="276" w:lineRule="auto"/>
        <w:rPr>
          <w:rFonts w:ascii="Arial" w:hAnsi="Arial" w:cs="Arial"/>
          <w:sz w:val="23"/>
          <w:szCs w:val="23"/>
        </w:rPr>
      </w:pPr>
      <w:r w:rsidRPr="00952386">
        <w:rPr>
          <w:rFonts w:ascii="Arial" w:hAnsi="Arial" w:cs="Arial"/>
          <w:sz w:val="23"/>
          <w:szCs w:val="23"/>
        </w:rPr>
        <w:t>Duclow,</w:t>
      </w:r>
      <w:r w:rsidRPr="00952386">
        <w:rPr>
          <w:rFonts w:ascii="Arial" w:hAnsi="Arial" w:cs="Arial"/>
          <w:sz w:val="23"/>
          <w:szCs w:val="23"/>
        </w:rPr>
        <w:t xml:space="preserve"> </w:t>
      </w:r>
      <w:r w:rsidRPr="00952386">
        <w:rPr>
          <w:rFonts w:ascii="Arial" w:hAnsi="Arial" w:cs="Arial"/>
          <w:sz w:val="23"/>
          <w:szCs w:val="23"/>
        </w:rPr>
        <w:t>Donald F</w:t>
      </w:r>
      <w:r w:rsidRPr="00952386">
        <w:rPr>
          <w:rFonts w:ascii="Arial" w:hAnsi="Arial" w:cs="Arial"/>
          <w:sz w:val="23"/>
          <w:szCs w:val="23"/>
        </w:rPr>
        <w:t>.,</w:t>
      </w:r>
      <w:r w:rsidRPr="00952386">
        <w:rPr>
          <w:rFonts w:ascii="Arial" w:hAnsi="Arial" w:cs="Arial"/>
          <w:sz w:val="23"/>
          <w:szCs w:val="23"/>
        </w:rPr>
        <w:t xml:space="preserve"> “Dying Well: The Ars Moriendi and the Dormition of the Virgin” in Edelgard E. DuBruck and Barbara Gusick, </w:t>
      </w:r>
      <w:r w:rsidRPr="00952386">
        <w:rPr>
          <w:rFonts w:ascii="Arial" w:hAnsi="Arial" w:cs="Arial"/>
          <w:i/>
          <w:sz w:val="23"/>
          <w:szCs w:val="23"/>
        </w:rPr>
        <w:t xml:space="preserve">Death and Dying the Middle Ages </w:t>
      </w:r>
      <w:r w:rsidRPr="00952386">
        <w:rPr>
          <w:rFonts w:ascii="Arial" w:hAnsi="Arial" w:cs="Arial"/>
          <w:sz w:val="23"/>
          <w:szCs w:val="23"/>
        </w:rPr>
        <w:t>(New York: Peter Lang, 1999)</w:t>
      </w:r>
    </w:p>
    <w:p w14:paraId="3DF6A9F1" w14:textId="77777777" w:rsidR="00952386" w:rsidRPr="00952386" w:rsidRDefault="00952386" w:rsidP="00952386">
      <w:pPr>
        <w:spacing w:before="240" w:line="276" w:lineRule="auto"/>
        <w:rPr>
          <w:rFonts w:ascii="Arial" w:hAnsi="Arial" w:cs="Arial"/>
          <w:sz w:val="23"/>
          <w:szCs w:val="23"/>
          <w:shd w:val="clear" w:color="auto" w:fill="FFFFFF"/>
        </w:rPr>
      </w:pPr>
      <w:r w:rsidRPr="00952386">
        <w:rPr>
          <w:rFonts w:ascii="Arial" w:hAnsi="Arial" w:cs="Arial"/>
          <w:sz w:val="23"/>
          <w:szCs w:val="23"/>
          <w:shd w:val="clear" w:color="auto" w:fill="FFFFFF"/>
        </w:rPr>
        <w:t>Huizinga,</w:t>
      </w:r>
      <w:r w:rsidRPr="00952386">
        <w:rPr>
          <w:rFonts w:ascii="Arial" w:hAnsi="Arial" w:cs="Arial"/>
          <w:sz w:val="23"/>
          <w:szCs w:val="23"/>
          <w:shd w:val="clear" w:color="auto" w:fill="FFFFFF"/>
        </w:rPr>
        <w:t xml:space="preserve"> </w:t>
      </w:r>
      <w:r w:rsidRPr="00952386">
        <w:rPr>
          <w:rFonts w:ascii="Arial" w:hAnsi="Arial" w:cs="Arial"/>
          <w:sz w:val="23"/>
          <w:szCs w:val="23"/>
          <w:shd w:val="clear" w:color="auto" w:fill="FFFFFF"/>
        </w:rPr>
        <w:t>Johan</w:t>
      </w:r>
      <w:r w:rsidRPr="00952386">
        <w:rPr>
          <w:rFonts w:ascii="Arial" w:hAnsi="Arial" w:cs="Arial"/>
          <w:sz w:val="23"/>
          <w:szCs w:val="23"/>
          <w:shd w:val="clear" w:color="auto" w:fill="FFFFFF"/>
        </w:rPr>
        <w:t>,</w:t>
      </w:r>
      <w:r w:rsidRPr="00952386">
        <w:rPr>
          <w:rFonts w:ascii="Arial" w:hAnsi="Arial" w:cs="Arial"/>
          <w:sz w:val="23"/>
          <w:szCs w:val="23"/>
          <w:shd w:val="clear" w:color="auto" w:fill="FFFFFF"/>
        </w:rPr>
        <w:t> </w:t>
      </w:r>
      <w:r w:rsidRPr="00952386">
        <w:rPr>
          <w:rStyle w:val="Emphasis"/>
          <w:rFonts w:ascii="Arial" w:hAnsi="Arial" w:cs="Arial"/>
          <w:sz w:val="23"/>
          <w:szCs w:val="23"/>
          <w:shd w:val="clear" w:color="auto" w:fill="FFFFFF"/>
        </w:rPr>
        <w:t>The Waning of the Middle Ages</w:t>
      </w:r>
      <w:r w:rsidRPr="00952386">
        <w:rPr>
          <w:rFonts w:ascii="Arial" w:hAnsi="Arial" w:cs="Arial"/>
          <w:sz w:val="23"/>
          <w:szCs w:val="23"/>
          <w:shd w:val="clear" w:color="auto" w:fill="FFFFFF"/>
        </w:rPr>
        <w:t> (London, 1924)</w:t>
      </w:r>
    </w:p>
    <w:p w14:paraId="3AE26036" w14:textId="77777777" w:rsidR="00952386" w:rsidRPr="00952386" w:rsidRDefault="00952386" w:rsidP="00952386">
      <w:pPr>
        <w:spacing w:before="240" w:line="276" w:lineRule="auto"/>
        <w:rPr>
          <w:rFonts w:ascii="Arial" w:hAnsi="Arial" w:cs="Arial"/>
          <w:sz w:val="23"/>
          <w:szCs w:val="23"/>
          <w:shd w:val="clear" w:color="auto" w:fill="FFFFFF"/>
        </w:rPr>
      </w:pPr>
      <w:r w:rsidRPr="00952386">
        <w:rPr>
          <w:rFonts w:ascii="Arial" w:hAnsi="Arial" w:cs="Arial"/>
          <w:sz w:val="23"/>
          <w:szCs w:val="23"/>
          <w:shd w:val="clear" w:color="auto" w:fill="FFFFFF"/>
        </w:rPr>
        <w:t>Oosterwijk, Sophie, ‘Of Corpses, Constables and Kings: The </w:t>
      </w:r>
      <w:r w:rsidRPr="00952386">
        <w:rPr>
          <w:rFonts w:ascii="Arial" w:hAnsi="Arial" w:cs="Arial"/>
          <w:i/>
          <w:iCs/>
          <w:sz w:val="23"/>
          <w:szCs w:val="23"/>
          <w:shd w:val="clear" w:color="auto" w:fill="FFFFFF"/>
        </w:rPr>
        <w:t>Danse Macabre </w:t>
      </w:r>
      <w:r w:rsidRPr="00952386">
        <w:rPr>
          <w:rFonts w:ascii="Arial" w:hAnsi="Arial" w:cs="Arial"/>
          <w:sz w:val="23"/>
          <w:szCs w:val="23"/>
          <w:shd w:val="clear" w:color="auto" w:fill="FFFFFF"/>
        </w:rPr>
        <w:t>in Late Medieval and Renaissance Culture’, </w:t>
      </w:r>
      <w:r w:rsidRPr="00952386">
        <w:rPr>
          <w:rFonts w:ascii="Arial" w:hAnsi="Arial" w:cs="Arial"/>
          <w:i/>
          <w:iCs/>
          <w:sz w:val="23"/>
          <w:szCs w:val="23"/>
          <w:shd w:val="clear" w:color="auto" w:fill="FFFFFF"/>
        </w:rPr>
        <w:t>The Journal of the British Archaeological Association</w:t>
      </w:r>
      <w:r w:rsidRPr="00952386">
        <w:rPr>
          <w:rFonts w:ascii="Arial" w:hAnsi="Arial" w:cs="Arial"/>
          <w:sz w:val="23"/>
          <w:szCs w:val="23"/>
          <w:shd w:val="clear" w:color="auto" w:fill="FFFFFF"/>
        </w:rPr>
        <w:t>, 157 (2004)</w:t>
      </w:r>
    </w:p>
    <w:sectPr w:rsidR="00952386" w:rsidRPr="00952386" w:rsidSect="00082E51">
      <w:headerReference w:type="default" r:id="rId7"/>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64B31" w14:textId="77777777" w:rsidR="006644AE" w:rsidRDefault="006644AE" w:rsidP="00082E51">
      <w:pPr>
        <w:spacing w:after="0" w:line="240" w:lineRule="auto"/>
      </w:pPr>
      <w:r>
        <w:separator/>
      </w:r>
    </w:p>
  </w:endnote>
  <w:endnote w:type="continuationSeparator" w:id="0">
    <w:p w14:paraId="64D6E3CB" w14:textId="77777777" w:rsidR="006644AE" w:rsidRDefault="006644AE" w:rsidP="00082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242308"/>
      <w:docPartObj>
        <w:docPartGallery w:val="Page Numbers (Bottom of Page)"/>
        <w:docPartUnique/>
      </w:docPartObj>
    </w:sdtPr>
    <w:sdtEndPr>
      <w:rPr>
        <w:rFonts w:ascii="Arial" w:hAnsi="Arial" w:cs="Arial"/>
        <w:noProof/>
      </w:rPr>
    </w:sdtEndPr>
    <w:sdtContent>
      <w:p w14:paraId="4B69ECC0" w14:textId="2553953E" w:rsidR="003C2E7A" w:rsidRPr="00082E51" w:rsidRDefault="003C2E7A">
        <w:pPr>
          <w:pStyle w:val="Footer"/>
          <w:jc w:val="right"/>
          <w:rPr>
            <w:rFonts w:ascii="Arial" w:hAnsi="Arial" w:cs="Arial"/>
          </w:rPr>
        </w:pPr>
        <w:r w:rsidRPr="00082E51">
          <w:rPr>
            <w:rFonts w:ascii="Arial" w:hAnsi="Arial" w:cs="Arial"/>
          </w:rPr>
          <w:fldChar w:fldCharType="begin"/>
        </w:r>
        <w:r w:rsidRPr="00082E51">
          <w:rPr>
            <w:rFonts w:ascii="Arial" w:hAnsi="Arial" w:cs="Arial"/>
          </w:rPr>
          <w:instrText xml:space="preserve"> PAGE   \* MERGEFORMAT </w:instrText>
        </w:r>
        <w:r w:rsidRPr="00082E51">
          <w:rPr>
            <w:rFonts w:ascii="Arial" w:hAnsi="Arial" w:cs="Arial"/>
          </w:rPr>
          <w:fldChar w:fldCharType="separate"/>
        </w:r>
        <w:r w:rsidRPr="00082E51">
          <w:rPr>
            <w:rFonts w:ascii="Arial" w:hAnsi="Arial" w:cs="Arial"/>
            <w:noProof/>
          </w:rPr>
          <w:t>2</w:t>
        </w:r>
        <w:r w:rsidRPr="00082E51">
          <w:rPr>
            <w:rFonts w:ascii="Arial" w:hAnsi="Arial" w:cs="Arial"/>
            <w:noProof/>
          </w:rPr>
          <w:fldChar w:fldCharType="end"/>
        </w:r>
      </w:p>
    </w:sdtContent>
  </w:sdt>
  <w:p w14:paraId="20022A1B" w14:textId="77777777" w:rsidR="003C2E7A" w:rsidRDefault="003C2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28A94" w14:textId="77777777" w:rsidR="006644AE" w:rsidRDefault="006644AE" w:rsidP="00082E51">
      <w:pPr>
        <w:spacing w:after="0" w:line="240" w:lineRule="auto"/>
      </w:pPr>
      <w:r>
        <w:separator/>
      </w:r>
    </w:p>
  </w:footnote>
  <w:footnote w:type="continuationSeparator" w:id="0">
    <w:p w14:paraId="0887F54F" w14:textId="77777777" w:rsidR="006644AE" w:rsidRDefault="006644AE" w:rsidP="00082E51">
      <w:pPr>
        <w:spacing w:after="0" w:line="240" w:lineRule="auto"/>
      </w:pPr>
      <w:r>
        <w:continuationSeparator/>
      </w:r>
    </w:p>
  </w:footnote>
  <w:footnote w:id="1">
    <w:p w14:paraId="73B9284B" w14:textId="1468E2D6" w:rsidR="00C9368C" w:rsidRPr="000859C6" w:rsidRDefault="00C9368C" w:rsidP="00C9368C">
      <w:pPr>
        <w:pStyle w:val="FootnoteText"/>
        <w:rPr>
          <w:rFonts w:ascii="Arial" w:hAnsi="Arial" w:cs="Arial"/>
        </w:rPr>
      </w:pPr>
      <w:r w:rsidRPr="000859C6">
        <w:rPr>
          <w:rStyle w:val="FootnoteReference"/>
          <w:rFonts w:ascii="Arial" w:hAnsi="Arial" w:cs="Arial"/>
        </w:rPr>
        <w:footnoteRef/>
      </w:r>
      <w:r w:rsidRPr="000859C6">
        <w:rPr>
          <w:rFonts w:ascii="Arial" w:hAnsi="Arial" w:cs="Arial"/>
        </w:rPr>
        <w:t xml:space="preserve"> </w:t>
      </w:r>
      <w:r w:rsidR="000859C6" w:rsidRPr="000859C6">
        <w:rPr>
          <w:rFonts w:ascii="Arial" w:hAnsi="Arial" w:cs="Arial"/>
        </w:rPr>
        <w:t xml:space="preserve">Caroline Walker Bynum, ‘Material Continuity, Personal Survival, and the Resurrection of the Body: A Scholastic Discussion in its Medieval and Modern Contexts,’ </w:t>
      </w:r>
      <w:r w:rsidR="000859C6" w:rsidRPr="000859C6">
        <w:rPr>
          <w:rFonts w:ascii="Arial" w:hAnsi="Arial" w:cs="Arial"/>
          <w:i/>
        </w:rPr>
        <w:t>History of Religions</w:t>
      </w:r>
      <w:r w:rsidR="000859C6" w:rsidRPr="000859C6">
        <w:rPr>
          <w:rFonts w:ascii="Arial" w:hAnsi="Arial" w:cs="Arial"/>
        </w:rPr>
        <w:t xml:space="preserve">, vol. 30, no. 1 (August 1990) </w:t>
      </w:r>
      <w:r w:rsidRPr="000859C6">
        <w:rPr>
          <w:rFonts w:ascii="Arial" w:hAnsi="Arial" w:cs="Arial"/>
        </w:rPr>
        <w:t>p52</w:t>
      </w:r>
      <w:r w:rsidR="000859C6" w:rsidRPr="000859C6">
        <w:rPr>
          <w:rFonts w:ascii="Arial" w:hAnsi="Arial" w:cs="Arial"/>
        </w:rPr>
        <w:t>.</w:t>
      </w:r>
    </w:p>
  </w:footnote>
  <w:footnote w:id="2">
    <w:p w14:paraId="3C1D4ED2" w14:textId="6E817516" w:rsidR="000859C6" w:rsidRPr="00EB6183" w:rsidRDefault="000859C6">
      <w:pPr>
        <w:pStyle w:val="FootnoteText"/>
        <w:rPr>
          <w:rFonts w:ascii="Arial" w:hAnsi="Arial" w:cs="Arial"/>
        </w:rPr>
      </w:pPr>
      <w:r w:rsidRPr="00EB6183">
        <w:rPr>
          <w:rStyle w:val="FootnoteReference"/>
          <w:rFonts w:ascii="Arial" w:hAnsi="Arial" w:cs="Arial"/>
        </w:rPr>
        <w:footnoteRef/>
      </w:r>
      <w:r w:rsidRPr="00EB6183">
        <w:rPr>
          <w:rFonts w:ascii="Arial" w:hAnsi="Arial" w:cs="Arial"/>
        </w:rPr>
        <w:t xml:space="preserve"> Johan Huizinga, </w:t>
      </w:r>
      <w:r w:rsidRPr="00EB6183">
        <w:rPr>
          <w:rFonts w:ascii="Arial" w:hAnsi="Arial" w:cs="Arial"/>
          <w:i/>
        </w:rPr>
        <w:t xml:space="preserve">The Waning of the Middle Ages </w:t>
      </w:r>
      <w:r w:rsidRPr="00EB6183">
        <w:rPr>
          <w:rFonts w:ascii="Arial" w:hAnsi="Arial" w:cs="Arial"/>
        </w:rPr>
        <w:t xml:space="preserve">(London, 1924) </w:t>
      </w:r>
      <w:r w:rsidR="00EB6183" w:rsidRPr="00EB6183">
        <w:rPr>
          <w:rFonts w:ascii="Arial" w:hAnsi="Arial" w:cs="Arial"/>
        </w:rPr>
        <w:t>Ch.</w:t>
      </w:r>
      <w:r w:rsidRPr="00EB6183">
        <w:rPr>
          <w:rFonts w:ascii="Arial" w:hAnsi="Arial" w:cs="Arial"/>
        </w:rPr>
        <w:t xml:space="preserve"> 11.</w:t>
      </w:r>
    </w:p>
  </w:footnote>
  <w:footnote w:id="3">
    <w:p w14:paraId="214BB21E" w14:textId="16D2EF2E" w:rsidR="00C9368C" w:rsidRPr="000859C6" w:rsidRDefault="00C9368C" w:rsidP="00C9368C">
      <w:pPr>
        <w:pStyle w:val="FootnoteText"/>
      </w:pPr>
      <w:r w:rsidRPr="000859C6">
        <w:rPr>
          <w:rStyle w:val="FootnoteReference"/>
          <w:rFonts w:ascii="Arial" w:hAnsi="Arial" w:cs="Arial"/>
        </w:rPr>
        <w:footnoteRef/>
      </w:r>
      <w:r w:rsidRPr="000859C6">
        <w:rPr>
          <w:rFonts w:ascii="Arial" w:hAnsi="Arial" w:cs="Arial"/>
        </w:rPr>
        <w:t xml:space="preserve"> William Newburgh</w:t>
      </w:r>
      <w:r w:rsidR="000859C6" w:rsidRPr="000859C6">
        <w:rPr>
          <w:rFonts w:ascii="Arial" w:hAnsi="Arial" w:cs="Arial"/>
        </w:rPr>
        <w:t xml:space="preserve">, </w:t>
      </w:r>
      <w:r w:rsidR="000859C6" w:rsidRPr="000859C6">
        <w:rPr>
          <w:rFonts w:ascii="Arial" w:hAnsi="Arial" w:cs="Arial"/>
          <w:i/>
        </w:rPr>
        <w:t>Historia rerum Anglicarum</w:t>
      </w:r>
      <w:r w:rsidR="000859C6" w:rsidRPr="000859C6">
        <w:rPr>
          <w:rFonts w:ascii="Arial" w:hAnsi="Arial" w:cs="Arial"/>
        </w:rPr>
        <w:t xml:space="preserve"> as found in </w:t>
      </w:r>
      <w:r w:rsidR="000859C6" w:rsidRPr="000859C6">
        <w:rPr>
          <w:rFonts w:ascii="Arial" w:hAnsi="Arial" w:cs="Arial"/>
          <w:i/>
        </w:rPr>
        <w:t>The Church Historians of England</w:t>
      </w:r>
      <w:r w:rsidR="000859C6" w:rsidRPr="000859C6">
        <w:rPr>
          <w:rFonts w:ascii="Arial" w:hAnsi="Arial" w:cs="Arial"/>
        </w:rPr>
        <w:t>, vol. IV, part II, trans. Joseph Stevenson, made available by Fordham University. &lt;https://sourcebooks.fordham.edu/basis/williamofnewburgh-intro.asp&gt;</w:t>
      </w:r>
    </w:p>
  </w:footnote>
  <w:footnote w:id="4">
    <w:p w14:paraId="7C1AE2B7" w14:textId="3C1AB316" w:rsidR="00EB6183" w:rsidRPr="00777A86" w:rsidRDefault="00EB6183" w:rsidP="00EB6183">
      <w:pPr>
        <w:pStyle w:val="FootnoteText"/>
        <w:rPr>
          <w:rFonts w:ascii="Arial" w:hAnsi="Arial" w:cs="Arial"/>
        </w:rPr>
      </w:pPr>
      <w:r w:rsidRPr="00777A86">
        <w:rPr>
          <w:rStyle w:val="FootnoteReference"/>
          <w:rFonts w:ascii="Arial" w:hAnsi="Arial" w:cs="Arial"/>
        </w:rPr>
        <w:footnoteRef/>
      </w:r>
      <w:r w:rsidRPr="00777A86">
        <w:rPr>
          <w:rFonts w:ascii="Arial" w:hAnsi="Arial" w:cs="Arial"/>
        </w:rPr>
        <w:t xml:space="preserve"> </w:t>
      </w:r>
      <w:r w:rsidR="00777A86" w:rsidRPr="00777A86">
        <w:rPr>
          <w:rFonts w:ascii="Arial" w:hAnsi="Arial" w:cs="Arial"/>
        </w:rPr>
        <w:t>Bynum, ‘Material Continuity, Personal Survival, and the Resurrection of the Body’</w:t>
      </w:r>
      <w:r w:rsidRPr="00777A86">
        <w:rPr>
          <w:rFonts w:ascii="Arial" w:hAnsi="Arial" w:cs="Arial"/>
        </w:rPr>
        <w:t xml:space="preserve"> p59</w:t>
      </w:r>
      <w:r w:rsidR="00282DF9">
        <w:rPr>
          <w:rFonts w:ascii="Arial" w:hAnsi="Arial" w:cs="Arial"/>
        </w:rPr>
        <w:t>.</w:t>
      </w:r>
    </w:p>
  </w:footnote>
  <w:footnote w:id="5">
    <w:p w14:paraId="79A5A8D1" w14:textId="675539CB" w:rsidR="00777A86" w:rsidRDefault="00777A86">
      <w:pPr>
        <w:pStyle w:val="FootnoteText"/>
      </w:pPr>
      <w:r w:rsidRPr="00777A86">
        <w:rPr>
          <w:rStyle w:val="FootnoteReference"/>
          <w:rFonts w:ascii="Arial" w:hAnsi="Arial" w:cs="Arial"/>
        </w:rPr>
        <w:footnoteRef/>
      </w:r>
      <w:r w:rsidRPr="00777A86">
        <w:rPr>
          <w:rFonts w:ascii="Arial" w:hAnsi="Arial" w:cs="Arial"/>
        </w:rPr>
        <w:t xml:space="preserve"> Bynum, ‘Material Continuity, Personal Survival, and the Resurrection of the Body’ p68</w:t>
      </w:r>
      <w:r w:rsidR="00282DF9">
        <w:rPr>
          <w:rFonts w:ascii="Arial" w:hAnsi="Arial" w:cs="Arial"/>
        </w:rPr>
        <w:t>.</w:t>
      </w:r>
    </w:p>
  </w:footnote>
  <w:footnote w:id="6">
    <w:p w14:paraId="5F98B7A6" w14:textId="4B9702AD" w:rsidR="00282DF9" w:rsidRPr="00282DF9" w:rsidRDefault="00282DF9" w:rsidP="00282DF9">
      <w:pPr>
        <w:pStyle w:val="FootnoteText"/>
        <w:rPr>
          <w:rFonts w:ascii="Arial" w:hAnsi="Arial" w:cs="Arial"/>
        </w:rPr>
      </w:pPr>
      <w:r w:rsidRPr="00282DF9">
        <w:rPr>
          <w:rStyle w:val="FootnoteReference"/>
          <w:rFonts w:ascii="Arial" w:hAnsi="Arial" w:cs="Arial"/>
        </w:rPr>
        <w:footnoteRef/>
      </w:r>
      <w:r w:rsidRPr="00282DF9">
        <w:rPr>
          <w:rFonts w:ascii="Arial" w:hAnsi="Arial" w:cs="Arial"/>
        </w:rPr>
        <w:t xml:space="preserve"> Bynum</w:t>
      </w:r>
      <w:r w:rsidRPr="00777A86">
        <w:rPr>
          <w:rFonts w:ascii="Arial" w:hAnsi="Arial" w:cs="Arial"/>
        </w:rPr>
        <w:t xml:space="preserve">, ‘Material Continuity, Personal Survival, and the Resurrection of the </w:t>
      </w:r>
      <w:r w:rsidRPr="00282DF9">
        <w:rPr>
          <w:rFonts w:ascii="Arial" w:hAnsi="Arial" w:cs="Arial"/>
        </w:rPr>
        <w:t>Body’ p77</w:t>
      </w:r>
      <w:r>
        <w:rPr>
          <w:rFonts w:ascii="Arial" w:hAnsi="Arial" w:cs="Arial"/>
        </w:rPr>
        <w:t>.</w:t>
      </w:r>
    </w:p>
  </w:footnote>
  <w:footnote w:id="7">
    <w:p w14:paraId="270833EC" w14:textId="00BC9AC3" w:rsidR="00282DF9" w:rsidRPr="00282DF9" w:rsidRDefault="00282DF9" w:rsidP="00282DF9">
      <w:pPr>
        <w:pStyle w:val="FootnoteText"/>
        <w:rPr>
          <w:rFonts w:ascii="Arial" w:hAnsi="Arial" w:cs="Arial"/>
        </w:rPr>
      </w:pPr>
      <w:r w:rsidRPr="00282DF9">
        <w:rPr>
          <w:rStyle w:val="FootnoteReference"/>
          <w:rFonts w:ascii="Arial" w:hAnsi="Arial" w:cs="Arial"/>
        </w:rPr>
        <w:footnoteRef/>
      </w:r>
      <w:r w:rsidRPr="00282DF9">
        <w:rPr>
          <w:rFonts w:ascii="Arial" w:hAnsi="Arial" w:cs="Arial"/>
        </w:rPr>
        <w:t xml:space="preserve"> William of Newburgh, </w:t>
      </w:r>
      <w:r w:rsidRPr="00282DF9">
        <w:rPr>
          <w:rFonts w:ascii="Arial" w:hAnsi="Arial" w:cs="Arial"/>
          <w:i/>
        </w:rPr>
        <w:t>Historia rerum Anglicarum</w:t>
      </w:r>
    </w:p>
    <w:p w14:paraId="00CA4FD3" w14:textId="1EA3FF36" w:rsidR="00282DF9" w:rsidRPr="00211B9E" w:rsidRDefault="00282DF9" w:rsidP="00282DF9">
      <w:pPr>
        <w:pStyle w:val="FootnoteText"/>
      </w:pPr>
      <w:r w:rsidRPr="00282DF9">
        <w:rPr>
          <w:rFonts w:ascii="Arial" w:hAnsi="Arial" w:cs="Arial"/>
        </w:rPr>
        <w:t xml:space="preserve"> &lt;https://sourcebooks.fordham.edu/basis/williamofnewburgh-intro.asp&gt;</w:t>
      </w:r>
    </w:p>
  </w:footnote>
  <w:footnote w:id="8">
    <w:p w14:paraId="6C64F012" w14:textId="3041ECCE" w:rsidR="00282DF9" w:rsidRPr="00282DF9" w:rsidRDefault="00282DF9" w:rsidP="00282DF9">
      <w:pPr>
        <w:pStyle w:val="FootnoteText"/>
        <w:rPr>
          <w:rFonts w:ascii="Arial" w:hAnsi="Arial" w:cs="Arial"/>
        </w:rPr>
      </w:pPr>
      <w:r w:rsidRPr="00282DF9">
        <w:rPr>
          <w:rStyle w:val="FootnoteReference"/>
          <w:rFonts w:ascii="Arial" w:hAnsi="Arial" w:cs="Arial"/>
        </w:rPr>
        <w:footnoteRef/>
      </w:r>
      <w:r w:rsidRPr="00282DF9">
        <w:rPr>
          <w:rFonts w:ascii="Arial" w:hAnsi="Arial" w:cs="Arial"/>
        </w:rPr>
        <w:t xml:space="preserve"> Bynum, ‘Material Continuity, Personal Survival, and the Resurrection of the Body’ p84.</w:t>
      </w:r>
    </w:p>
  </w:footnote>
  <w:footnote w:id="9">
    <w:p w14:paraId="775AD900" w14:textId="6C266E27" w:rsidR="00282DF9" w:rsidRDefault="00282DF9" w:rsidP="00282DF9">
      <w:pPr>
        <w:pStyle w:val="FootnoteText"/>
      </w:pPr>
      <w:r w:rsidRPr="00282DF9">
        <w:rPr>
          <w:rStyle w:val="FootnoteReference"/>
          <w:rFonts w:ascii="Arial" w:hAnsi="Arial" w:cs="Arial"/>
        </w:rPr>
        <w:footnoteRef/>
      </w:r>
      <w:r w:rsidRPr="00282DF9">
        <w:rPr>
          <w:rFonts w:ascii="Arial" w:hAnsi="Arial" w:cs="Arial"/>
        </w:rPr>
        <w:t xml:space="preserve"> Bynum, ‘Material Continuity, Personal Survival, and the Resurrection of the Body’ pp84-5.</w:t>
      </w:r>
    </w:p>
  </w:footnote>
  <w:footnote w:id="10">
    <w:p w14:paraId="279F9B42" w14:textId="4158BD8B" w:rsidR="00456CF2" w:rsidRPr="00F84684" w:rsidRDefault="00456CF2" w:rsidP="00456CF2">
      <w:pPr>
        <w:pStyle w:val="FootnoteText"/>
        <w:rPr>
          <w:rFonts w:ascii="Arial" w:hAnsi="Arial" w:cs="Arial"/>
        </w:rPr>
      </w:pPr>
      <w:r w:rsidRPr="00F84684">
        <w:rPr>
          <w:rStyle w:val="FootnoteReference"/>
          <w:rFonts w:ascii="Arial" w:hAnsi="Arial" w:cs="Arial"/>
        </w:rPr>
        <w:footnoteRef/>
      </w:r>
      <w:r w:rsidRPr="00F84684">
        <w:rPr>
          <w:rFonts w:ascii="Arial" w:hAnsi="Arial" w:cs="Arial"/>
        </w:rPr>
        <w:t xml:space="preserve"> </w:t>
      </w:r>
      <w:r w:rsidR="00F84684">
        <w:rPr>
          <w:rFonts w:ascii="Arial" w:hAnsi="Arial" w:cs="Arial"/>
          <w:i/>
        </w:rPr>
        <w:t>The R</w:t>
      </w:r>
      <w:r w:rsidRPr="00F84684">
        <w:rPr>
          <w:rFonts w:ascii="Arial" w:hAnsi="Arial" w:cs="Arial"/>
          <w:i/>
        </w:rPr>
        <w:t>evelation of the Monk of Eynsham</w:t>
      </w:r>
      <w:r w:rsidR="00E568C6" w:rsidRPr="00F84684">
        <w:rPr>
          <w:rFonts w:ascii="Arial" w:hAnsi="Arial" w:cs="Arial"/>
        </w:rPr>
        <w:t xml:space="preserve">, available in Modern </w:t>
      </w:r>
      <w:r w:rsidR="0016069C" w:rsidRPr="00F84684">
        <w:rPr>
          <w:rFonts w:ascii="Arial" w:hAnsi="Arial" w:cs="Arial"/>
        </w:rPr>
        <w:t>English at</w:t>
      </w:r>
      <w:r w:rsidR="00E568C6" w:rsidRPr="00F84684">
        <w:rPr>
          <w:rFonts w:ascii="Arial" w:hAnsi="Arial" w:cs="Arial"/>
        </w:rPr>
        <w:t xml:space="preserve"> the following &lt;</w:t>
      </w:r>
      <w:r w:rsidR="00E568C6" w:rsidRPr="00F84684">
        <w:rPr>
          <w:rFonts w:ascii="Arial" w:hAnsi="Arial" w:cs="Arial"/>
        </w:rPr>
        <w:t>http://www.eleusinianm.co.uk/middle-english-literature-retold-in-modern-english/visits-to-purgatory/monk-of-eynsham</w:t>
      </w:r>
      <w:r w:rsidR="00E568C6" w:rsidRPr="00F84684">
        <w:rPr>
          <w:rFonts w:ascii="Arial" w:hAnsi="Arial" w:cs="Arial"/>
        </w:rPr>
        <w:t>&gt;.</w:t>
      </w:r>
    </w:p>
  </w:footnote>
  <w:footnote w:id="11">
    <w:p w14:paraId="3113F284" w14:textId="39DD8E3A" w:rsidR="00456CF2" w:rsidRPr="00F84684" w:rsidRDefault="00456CF2" w:rsidP="00456CF2">
      <w:pPr>
        <w:pStyle w:val="FootnoteText"/>
        <w:rPr>
          <w:rFonts w:ascii="Arial" w:hAnsi="Arial" w:cs="Arial"/>
          <w:i/>
        </w:rPr>
      </w:pPr>
      <w:r w:rsidRPr="00F84684">
        <w:rPr>
          <w:rStyle w:val="FootnoteReference"/>
          <w:rFonts w:ascii="Arial" w:hAnsi="Arial" w:cs="Arial"/>
        </w:rPr>
        <w:footnoteRef/>
      </w:r>
      <w:r w:rsidRPr="00F84684">
        <w:rPr>
          <w:rFonts w:ascii="Arial" w:hAnsi="Arial" w:cs="Arial"/>
        </w:rPr>
        <w:t xml:space="preserve"> </w:t>
      </w:r>
      <w:r w:rsidR="00F75E76" w:rsidRPr="00F84684">
        <w:rPr>
          <w:rFonts w:ascii="Arial" w:hAnsi="Arial" w:cs="Arial"/>
          <w:shd w:val="clear" w:color="auto" w:fill="FFFFFF"/>
        </w:rPr>
        <w:t>C. Burgess, 'Longing to be Prayed for: Death and Commemoration in an English Parish in the Later Middle Ages,' in </w:t>
      </w:r>
      <w:r w:rsidR="00F75E76" w:rsidRPr="00F84684">
        <w:rPr>
          <w:rStyle w:val="Emphasis"/>
          <w:rFonts w:ascii="Arial" w:hAnsi="Arial" w:cs="Arial"/>
          <w:shd w:val="clear" w:color="auto" w:fill="FFFFFF"/>
        </w:rPr>
        <w:t>The Place of the Dead: Death and Remembrance in Late Medieval and Early Modern Europe</w:t>
      </w:r>
      <w:r w:rsidR="00F75E76" w:rsidRPr="00F84684">
        <w:rPr>
          <w:rFonts w:ascii="Arial" w:hAnsi="Arial" w:cs="Arial"/>
          <w:shd w:val="clear" w:color="auto" w:fill="FFFFFF"/>
        </w:rPr>
        <w:t>, ed. by B. Gordon and P. Marshall (Cambridge: 2000), pp. 44-65.</w:t>
      </w:r>
    </w:p>
  </w:footnote>
  <w:footnote w:id="12">
    <w:p w14:paraId="620E5830" w14:textId="4C188691" w:rsidR="00B729FC" w:rsidRDefault="00456CF2" w:rsidP="00456CF2">
      <w:pPr>
        <w:pStyle w:val="FootnoteText"/>
      </w:pPr>
      <w:r w:rsidRPr="00F84684">
        <w:rPr>
          <w:rStyle w:val="FootnoteReference"/>
          <w:rFonts w:ascii="Arial" w:hAnsi="Arial" w:cs="Arial"/>
        </w:rPr>
        <w:footnoteRef/>
      </w:r>
      <w:r w:rsidRPr="00F84684">
        <w:rPr>
          <w:rFonts w:ascii="Arial" w:hAnsi="Arial" w:cs="Arial"/>
        </w:rPr>
        <w:t xml:space="preserve"> </w:t>
      </w:r>
      <w:r w:rsidR="00E568C6" w:rsidRPr="00F84684">
        <w:rPr>
          <w:rFonts w:ascii="Arial" w:hAnsi="Arial" w:cs="Arial"/>
          <w:color w:val="000000"/>
          <w:shd w:val="clear" w:color="auto" w:fill="FFFFFF"/>
        </w:rPr>
        <w:t>"Ars Moriendi-The Art Of Dying | Polonsky Foundation Digitization Project", </w:t>
      </w:r>
      <w:r w:rsidR="00E568C6" w:rsidRPr="00F84684">
        <w:rPr>
          <w:rFonts w:ascii="Arial" w:hAnsi="Arial" w:cs="Arial"/>
          <w:i/>
          <w:iCs/>
          <w:color w:val="000000"/>
          <w:shd w:val="clear" w:color="auto" w:fill="FFFFFF"/>
        </w:rPr>
        <w:t>Bav.Bodleian.Ox.Ac.Uk</w:t>
      </w:r>
      <w:r w:rsidR="00E568C6" w:rsidRPr="00F84684">
        <w:rPr>
          <w:rFonts w:ascii="Arial" w:hAnsi="Arial" w:cs="Arial"/>
          <w:color w:val="000000"/>
          <w:shd w:val="clear" w:color="auto" w:fill="FFFFFF"/>
        </w:rPr>
        <w:t>, 2019 &lt;http://bav.bodleian.ox.ac.uk/news/ars-moriendi-the-art-of-dying&gt; [Accessed 1 February 2019].</w:t>
      </w:r>
    </w:p>
  </w:footnote>
  <w:footnote w:id="13">
    <w:p w14:paraId="1E6CBA5A" w14:textId="77777777" w:rsidR="00456CF2" w:rsidRPr="00F84684" w:rsidRDefault="00456CF2" w:rsidP="00456CF2">
      <w:pPr>
        <w:pStyle w:val="FootnoteText"/>
        <w:rPr>
          <w:rFonts w:ascii="Arial" w:hAnsi="Arial" w:cs="Arial"/>
        </w:rPr>
      </w:pPr>
      <w:r w:rsidRPr="00F84684">
        <w:rPr>
          <w:rStyle w:val="FootnoteReference"/>
          <w:rFonts w:ascii="Arial" w:hAnsi="Arial" w:cs="Arial"/>
        </w:rPr>
        <w:footnoteRef/>
      </w:r>
      <w:r w:rsidRPr="00F84684">
        <w:rPr>
          <w:rFonts w:ascii="Arial" w:hAnsi="Arial" w:cs="Arial"/>
        </w:rPr>
        <w:t xml:space="preserve"> </w:t>
      </w:r>
      <w:r w:rsidRPr="00F84684">
        <w:rPr>
          <w:rFonts w:ascii="Arial" w:hAnsi="Arial" w:cs="Arial"/>
          <w:i/>
        </w:rPr>
        <w:t>Revelation of the Monk of Eynsham</w:t>
      </w:r>
    </w:p>
  </w:footnote>
  <w:footnote w:id="14">
    <w:p w14:paraId="15C1AB38" w14:textId="0CAFCB34" w:rsidR="000E5204" w:rsidRPr="00384F7B" w:rsidRDefault="000E5204" w:rsidP="000E5204">
      <w:pPr>
        <w:pStyle w:val="FootnoteText"/>
        <w:rPr>
          <w:rFonts w:ascii="Arial" w:hAnsi="Arial" w:cs="Arial"/>
        </w:rPr>
      </w:pPr>
      <w:r w:rsidRPr="00384F7B">
        <w:rPr>
          <w:rStyle w:val="FootnoteReference"/>
          <w:rFonts w:ascii="Arial" w:hAnsi="Arial" w:cs="Arial"/>
        </w:rPr>
        <w:footnoteRef/>
      </w:r>
      <w:r w:rsidRPr="00384F7B">
        <w:rPr>
          <w:rFonts w:ascii="Arial" w:hAnsi="Arial" w:cs="Arial"/>
        </w:rPr>
        <w:t xml:space="preserve"> </w:t>
      </w:r>
      <w:r w:rsidRPr="00384F7B">
        <w:rPr>
          <w:rFonts w:ascii="Arial" w:hAnsi="Arial" w:cs="Arial"/>
          <w:shd w:val="clear" w:color="auto" w:fill="FFFFFF"/>
        </w:rPr>
        <w:t>"Danse Macabre : Ou L'empire De La Mort, Sur Tous Les États De La Vie Humaine", </w:t>
      </w:r>
      <w:r w:rsidRPr="00384F7B">
        <w:rPr>
          <w:rFonts w:ascii="Arial" w:hAnsi="Arial" w:cs="Arial"/>
          <w:i/>
          <w:iCs/>
          <w:shd w:val="clear" w:color="auto" w:fill="FFFFFF"/>
        </w:rPr>
        <w:t>Bibliothèque Nationale De France</w:t>
      </w:r>
      <w:r w:rsidRPr="00384F7B">
        <w:rPr>
          <w:rFonts w:ascii="Arial" w:hAnsi="Arial" w:cs="Arial"/>
          <w:shd w:val="clear" w:color="auto" w:fill="FFFFFF"/>
        </w:rPr>
        <w:t>, 2019 &lt;https://gallica.bnf.fr/ark:/12148/btv1b10542297k/f17.item&gt; [Accessed 1 February 2019].</w:t>
      </w:r>
    </w:p>
  </w:footnote>
  <w:footnote w:id="15">
    <w:p w14:paraId="41D2443B" w14:textId="221B06FA" w:rsidR="000E5204" w:rsidRPr="00384F7B" w:rsidRDefault="000E5204" w:rsidP="000E5204">
      <w:pPr>
        <w:pStyle w:val="FootnoteText"/>
        <w:rPr>
          <w:rFonts w:ascii="Arial" w:hAnsi="Arial" w:cs="Arial"/>
        </w:rPr>
      </w:pPr>
      <w:r w:rsidRPr="00384F7B">
        <w:rPr>
          <w:rStyle w:val="FootnoteReference"/>
          <w:rFonts w:ascii="Arial" w:hAnsi="Arial" w:cs="Arial"/>
        </w:rPr>
        <w:footnoteRef/>
      </w:r>
      <w:r w:rsidRPr="00384F7B">
        <w:rPr>
          <w:rFonts w:ascii="Arial" w:hAnsi="Arial" w:cs="Arial"/>
        </w:rPr>
        <w:t xml:space="preserve"> </w:t>
      </w:r>
      <w:r w:rsidR="00384F7B" w:rsidRPr="00384F7B">
        <w:rPr>
          <w:rFonts w:ascii="Arial" w:hAnsi="Arial" w:cs="Arial"/>
          <w:shd w:val="clear" w:color="auto" w:fill="FFFFFF"/>
        </w:rPr>
        <w:t>Oosterwijk, Sophie, ‘Of Corpses, Constables and Kings: The </w:t>
      </w:r>
      <w:r w:rsidR="00384F7B" w:rsidRPr="00384F7B">
        <w:rPr>
          <w:rFonts w:ascii="Arial" w:hAnsi="Arial" w:cs="Arial"/>
          <w:i/>
          <w:iCs/>
          <w:shd w:val="clear" w:color="auto" w:fill="FFFFFF"/>
        </w:rPr>
        <w:t>Danse Macabre </w:t>
      </w:r>
      <w:r w:rsidR="00384F7B" w:rsidRPr="00384F7B">
        <w:rPr>
          <w:rFonts w:ascii="Arial" w:hAnsi="Arial" w:cs="Arial"/>
          <w:shd w:val="clear" w:color="auto" w:fill="FFFFFF"/>
        </w:rPr>
        <w:t>in Late Medieval and Renaissance Culture’, </w:t>
      </w:r>
      <w:r w:rsidR="00384F7B" w:rsidRPr="00384F7B">
        <w:rPr>
          <w:rFonts w:ascii="Arial" w:hAnsi="Arial" w:cs="Arial"/>
          <w:i/>
          <w:iCs/>
          <w:shd w:val="clear" w:color="auto" w:fill="FFFFFF"/>
        </w:rPr>
        <w:t>The Journal of the British Archaeological Association</w:t>
      </w:r>
      <w:r w:rsidR="00384F7B" w:rsidRPr="00384F7B">
        <w:rPr>
          <w:rFonts w:ascii="Arial" w:hAnsi="Arial" w:cs="Arial"/>
          <w:shd w:val="clear" w:color="auto" w:fill="FFFFFF"/>
        </w:rPr>
        <w:t>, 157 (2004)</w:t>
      </w:r>
      <w:r w:rsidRPr="00384F7B">
        <w:rPr>
          <w:rFonts w:ascii="Arial" w:hAnsi="Arial" w:cs="Arial"/>
        </w:rPr>
        <w:t xml:space="preserve"> p6</w:t>
      </w:r>
      <w:r w:rsidR="00384F7B" w:rsidRPr="00384F7B">
        <w:rPr>
          <w:rFonts w:ascii="Arial" w:hAnsi="Arial" w:cs="Arial"/>
        </w:rPr>
        <w:t>7.</w:t>
      </w:r>
    </w:p>
  </w:footnote>
  <w:footnote w:id="16">
    <w:p w14:paraId="3A9070D0" w14:textId="28AE9542" w:rsidR="000E5204" w:rsidRDefault="000E5204" w:rsidP="000E5204">
      <w:pPr>
        <w:pStyle w:val="FootnoteText"/>
      </w:pPr>
      <w:r w:rsidRPr="00384F7B">
        <w:rPr>
          <w:rStyle w:val="FootnoteReference"/>
          <w:rFonts w:ascii="Arial" w:hAnsi="Arial" w:cs="Arial"/>
        </w:rPr>
        <w:footnoteRef/>
      </w:r>
      <w:r w:rsidRPr="00384F7B">
        <w:rPr>
          <w:rFonts w:ascii="Arial" w:hAnsi="Arial" w:cs="Arial"/>
        </w:rPr>
        <w:t xml:space="preserve"> </w:t>
      </w:r>
      <w:r w:rsidRPr="00384F7B">
        <w:rPr>
          <w:rFonts w:ascii="Arial" w:hAnsi="Arial" w:cs="Arial"/>
          <w:shd w:val="clear" w:color="auto" w:fill="FFFFFF"/>
        </w:rPr>
        <w:t>J</w:t>
      </w:r>
      <w:r w:rsidRPr="00384F7B">
        <w:rPr>
          <w:rFonts w:ascii="Arial" w:hAnsi="Arial" w:cs="Arial"/>
          <w:shd w:val="clear" w:color="auto" w:fill="FFFFFF"/>
        </w:rPr>
        <w:t>ohan</w:t>
      </w:r>
      <w:r w:rsidRPr="00384F7B">
        <w:rPr>
          <w:rFonts w:ascii="Arial" w:hAnsi="Arial" w:cs="Arial"/>
          <w:shd w:val="clear" w:color="auto" w:fill="FFFFFF"/>
        </w:rPr>
        <w:t xml:space="preserve"> Huizinga, </w:t>
      </w:r>
      <w:r w:rsidRPr="00384F7B">
        <w:rPr>
          <w:rStyle w:val="Emphasis"/>
          <w:rFonts w:ascii="Arial" w:hAnsi="Arial" w:cs="Arial"/>
          <w:shd w:val="clear" w:color="auto" w:fill="FFFFFF"/>
        </w:rPr>
        <w:t>The Waning of the Middle Ages</w:t>
      </w:r>
      <w:r w:rsidRPr="00384F7B">
        <w:rPr>
          <w:rFonts w:ascii="Arial" w:hAnsi="Arial" w:cs="Arial"/>
          <w:shd w:val="clear" w:color="auto" w:fill="FFFFFF"/>
        </w:rPr>
        <w:t> (London, 1924</w:t>
      </w:r>
      <w:r w:rsidR="00384F7B" w:rsidRPr="00384F7B">
        <w:rPr>
          <w:rFonts w:ascii="Arial" w:hAnsi="Arial" w:cs="Arial"/>
          <w:shd w:val="clear" w:color="auto" w:fill="FFFFFF"/>
        </w:rPr>
        <w:t>)</w:t>
      </w:r>
      <w:r w:rsidRPr="00384F7B">
        <w:rPr>
          <w:rFonts w:ascii="Arial" w:hAnsi="Arial" w:cs="Arial"/>
        </w:rPr>
        <w:t xml:space="preserve"> p129</w:t>
      </w:r>
      <w:r w:rsidR="00384F7B" w:rsidRPr="00384F7B">
        <w:rPr>
          <w:rFonts w:ascii="Arial" w:hAnsi="Arial" w:cs="Arial"/>
        </w:rPr>
        <w:t>.</w:t>
      </w:r>
    </w:p>
  </w:footnote>
  <w:footnote w:id="17">
    <w:p w14:paraId="5FF26E7F" w14:textId="482934E7" w:rsidR="00285AD5" w:rsidRPr="00F6210F" w:rsidRDefault="00384F7B" w:rsidP="00384F7B">
      <w:pPr>
        <w:pStyle w:val="FootnoteText"/>
        <w:rPr>
          <w:rFonts w:ascii="Arial" w:hAnsi="Arial" w:cs="Arial"/>
        </w:rPr>
      </w:pPr>
      <w:r w:rsidRPr="00F6210F">
        <w:rPr>
          <w:rStyle w:val="FootnoteReference"/>
          <w:rFonts w:ascii="Arial" w:hAnsi="Arial" w:cs="Arial"/>
        </w:rPr>
        <w:footnoteRef/>
      </w:r>
      <w:r w:rsidR="00285AD5">
        <w:rPr>
          <w:rFonts w:ascii="Arial" w:hAnsi="Arial" w:cs="Arial"/>
        </w:rPr>
        <w:t xml:space="preserve"> Extract can be found at </w:t>
      </w:r>
      <w:r w:rsidR="00285AD5">
        <w:rPr>
          <w:rFonts w:ascii="Arial" w:hAnsi="Arial" w:cs="Arial"/>
          <w:color w:val="000000"/>
          <w:shd w:val="clear" w:color="auto" w:fill="FFFFFF"/>
        </w:rPr>
        <w:t>"The Book Of The Craft Of Dying, And Other Early English Tracts Concerning Death</w:t>
      </w:r>
      <w:r w:rsidR="0016069C">
        <w:rPr>
          <w:rFonts w:ascii="Arial" w:hAnsi="Arial" w:cs="Arial"/>
          <w:color w:val="000000"/>
          <w:shd w:val="clear" w:color="auto" w:fill="FFFFFF"/>
        </w:rPr>
        <w:t>;:</w:t>
      </w:r>
      <w:r w:rsidR="00285AD5">
        <w:rPr>
          <w:rFonts w:ascii="Arial" w:hAnsi="Arial" w:cs="Arial"/>
          <w:color w:val="000000"/>
          <w:shd w:val="clear" w:color="auto" w:fill="FFFFFF"/>
        </w:rPr>
        <w:t xml:space="preserve"> Caxton, William, Ca. 1422-1491", </w:t>
      </w:r>
      <w:r w:rsidR="00285AD5">
        <w:rPr>
          <w:rFonts w:ascii="Arial" w:hAnsi="Arial" w:cs="Arial"/>
          <w:i/>
          <w:iCs/>
          <w:color w:val="000000"/>
          <w:shd w:val="clear" w:color="auto" w:fill="FFFFFF"/>
        </w:rPr>
        <w:t>Internet Archive</w:t>
      </w:r>
      <w:r w:rsidR="00285AD5">
        <w:rPr>
          <w:rFonts w:ascii="Arial" w:hAnsi="Arial" w:cs="Arial"/>
          <w:color w:val="000000"/>
          <w:shd w:val="clear" w:color="auto" w:fill="FFFFFF"/>
        </w:rPr>
        <w:t>, 2019 &lt;https://archive.org/details/bookofcraftofdyi00caxtiala/page/xxii&gt; [Accessed 1 February 2019].</w:t>
      </w:r>
      <w:bookmarkStart w:id="3" w:name="_GoBack"/>
      <w:bookmarkEnd w:id="3"/>
    </w:p>
  </w:footnote>
  <w:footnote w:id="18">
    <w:p w14:paraId="13D6098F" w14:textId="3ED2A188" w:rsidR="00384F7B" w:rsidRPr="00F6210F" w:rsidRDefault="00384F7B" w:rsidP="00384F7B">
      <w:pPr>
        <w:pStyle w:val="FootnoteText"/>
        <w:rPr>
          <w:rFonts w:ascii="Arial" w:hAnsi="Arial" w:cs="Arial"/>
        </w:rPr>
      </w:pPr>
      <w:r w:rsidRPr="00F6210F">
        <w:rPr>
          <w:rStyle w:val="FootnoteReference"/>
          <w:rFonts w:ascii="Arial" w:hAnsi="Arial" w:cs="Arial"/>
        </w:rPr>
        <w:footnoteRef/>
      </w:r>
      <w:r w:rsidRPr="00F6210F">
        <w:rPr>
          <w:rFonts w:ascii="Arial" w:hAnsi="Arial" w:cs="Arial"/>
        </w:rPr>
        <w:t xml:space="preserve"> </w:t>
      </w:r>
      <w:r w:rsidR="00925DD0">
        <w:rPr>
          <w:rFonts w:ascii="Arial" w:hAnsi="Arial" w:cs="Arial"/>
          <w:color w:val="000000"/>
          <w:shd w:val="clear" w:color="auto" w:fill="FFFFFF"/>
        </w:rPr>
        <w:t>"</w:t>
      </w:r>
      <w:r w:rsidR="0016069C">
        <w:rPr>
          <w:rFonts w:ascii="Arial" w:hAnsi="Arial" w:cs="Arial"/>
          <w:color w:val="000000"/>
          <w:shd w:val="clear" w:color="auto" w:fill="FFFFFF"/>
        </w:rPr>
        <w:t>William</w:t>
      </w:r>
      <w:r w:rsidR="00925DD0">
        <w:rPr>
          <w:rFonts w:ascii="Arial" w:hAnsi="Arial" w:cs="Arial"/>
          <w:color w:val="000000"/>
          <w:shd w:val="clear" w:color="auto" w:fill="FFFFFF"/>
        </w:rPr>
        <w:t xml:space="preserve"> Caxton", </w:t>
      </w:r>
      <w:r w:rsidR="00925DD0">
        <w:rPr>
          <w:rFonts w:ascii="Arial" w:hAnsi="Arial" w:cs="Arial"/>
          <w:i/>
          <w:iCs/>
          <w:color w:val="000000"/>
          <w:shd w:val="clear" w:color="auto" w:fill="FFFFFF"/>
        </w:rPr>
        <w:t>The British Library</w:t>
      </w:r>
      <w:r w:rsidR="00925DD0">
        <w:rPr>
          <w:rFonts w:ascii="Arial" w:hAnsi="Arial" w:cs="Arial"/>
          <w:color w:val="000000"/>
          <w:shd w:val="clear" w:color="auto" w:fill="FFFFFF"/>
        </w:rPr>
        <w:t>, 2019 &lt;https://www.bl.uk/people/william-caxton&gt; [Accessed 1 February 2019].</w:t>
      </w:r>
    </w:p>
  </w:footnote>
  <w:footnote w:id="19">
    <w:p w14:paraId="15397D5B" w14:textId="09FB995B" w:rsidR="00384F7B" w:rsidRPr="00F6210F" w:rsidRDefault="00384F7B" w:rsidP="00384F7B">
      <w:pPr>
        <w:pStyle w:val="FootnoteText"/>
        <w:rPr>
          <w:rFonts w:ascii="Arial" w:hAnsi="Arial" w:cs="Arial"/>
        </w:rPr>
      </w:pPr>
      <w:r w:rsidRPr="00F6210F">
        <w:rPr>
          <w:rStyle w:val="FootnoteReference"/>
          <w:rFonts w:ascii="Arial" w:hAnsi="Arial" w:cs="Arial"/>
        </w:rPr>
        <w:footnoteRef/>
      </w:r>
      <w:r w:rsidRPr="00F6210F">
        <w:rPr>
          <w:rFonts w:ascii="Arial" w:hAnsi="Arial" w:cs="Arial"/>
        </w:rPr>
        <w:t xml:space="preserve"> </w:t>
      </w:r>
      <w:r w:rsidR="00F752BC">
        <w:rPr>
          <w:rFonts w:ascii="Arial" w:hAnsi="Arial" w:cs="Arial"/>
        </w:rPr>
        <w:t>Donald F. Duclow, “</w:t>
      </w:r>
      <w:r w:rsidRPr="00F6210F">
        <w:rPr>
          <w:rFonts w:ascii="Arial" w:hAnsi="Arial" w:cs="Arial"/>
        </w:rPr>
        <w:t>Dying</w:t>
      </w:r>
      <w:r w:rsidR="00F752BC">
        <w:rPr>
          <w:rFonts w:ascii="Arial" w:hAnsi="Arial" w:cs="Arial"/>
        </w:rPr>
        <w:t xml:space="preserve"> </w:t>
      </w:r>
      <w:r w:rsidRPr="00F6210F">
        <w:rPr>
          <w:rFonts w:ascii="Arial" w:hAnsi="Arial" w:cs="Arial"/>
        </w:rPr>
        <w:t>Well</w:t>
      </w:r>
      <w:r w:rsidR="00F752BC">
        <w:rPr>
          <w:rFonts w:ascii="Arial" w:hAnsi="Arial" w:cs="Arial"/>
        </w:rPr>
        <w:t xml:space="preserve">: The Ars Moriendi and the Dormition of the Virgin” in Edelgard E. DuBruck and Barbara Gusick, </w:t>
      </w:r>
      <w:r w:rsidR="00F752BC">
        <w:rPr>
          <w:rFonts w:ascii="Arial" w:hAnsi="Arial" w:cs="Arial"/>
          <w:i/>
        </w:rPr>
        <w:t xml:space="preserve">Death and Dying the Middle Ages </w:t>
      </w:r>
      <w:r w:rsidR="00F752BC">
        <w:rPr>
          <w:rFonts w:ascii="Arial" w:hAnsi="Arial" w:cs="Arial"/>
        </w:rPr>
        <w:t xml:space="preserve">(New York: Peter Lang, 1999) </w:t>
      </w:r>
      <w:r w:rsidRPr="00F6210F">
        <w:rPr>
          <w:rFonts w:ascii="Arial" w:hAnsi="Arial" w:cs="Arial"/>
        </w:rPr>
        <w:t>p380</w:t>
      </w:r>
      <w:r w:rsidR="00F752BC">
        <w:rPr>
          <w:rFonts w:ascii="Arial" w:hAnsi="Arial" w:cs="Arial"/>
        </w:rPr>
        <w:t>.</w:t>
      </w:r>
    </w:p>
  </w:footnote>
  <w:footnote w:id="20">
    <w:p w14:paraId="598ACDB2" w14:textId="7BE9864C" w:rsidR="00384F7B" w:rsidRDefault="00384F7B" w:rsidP="00384F7B">
      <w:pPr>
        <w:pStyle w:val="FootnoteText"/>
      </w:pPr>
      <w:r w:rsidRPr="00F6210F">
        <w:rPr>
          <w:rStyle w:val="FootnoteReference"/>
          <w:rFonts w:ascii="Arial" w:hAnsi="Arial" w:cs="Arial"/>
        </w:rPr>
        <w:footnoteRef/>
      </w:r>
      <w:r w:rsidRPr="00F6210F">
        <w:rPr>
          <w:rFonts w:ascii="Arial" w:hAnsi="Arial" w:cs="Arial"/>
        </w:rPr>
        <w:t xml:space="preserve"> </w:t>
      </w:r>
      <w:bookmarkStart w:id="4" w:name="_Hlk535863793"/>
      <w:r w:rsidR="00285AD5">
        <w:rPr>
          <w:rFonts w:ascii="Arial" w:hAnsi="Arial" w:cs="Arial"/>
          <w:color w:val="000000"/>
          <w:shd w:val="clear" w:color="auto" w:fill="FFFFFF"/>
        </w:rPr>
        <w:t>Christopher Daniell,</w:t>
      </w:r>
      <w:r w:rsidR="00285AD5">
        <w:rPr>
          <w:rFonts w:ascii="Arial" w:hAnsi="Arial" w:cs="Arial"/>
          <w:color w:val="000000"/>
          <w:shd w:val="clear" w:color="auto" w:fill="FFFFFF"/>
        </w:rPr>
        <w:t xml:space="preserve"> </w:t>
      </w:r>
      <w:r w:rsidR="00285AD5">
        <w:rPr>
          <w:rFonts w:ascii="Arial" w:hAnsi="Arial" w:cs="Arial"/>
        </w:rPr>
        <w:t>“</w:t>
      </w:r>
      <w:r w:rsidR="00285AD5" w:rsidRPr="00F6210F">
        <w:rPr>
          <w:rFonts w:ascii="Arial" w:hAnsi="Arial" w:cs="Arial"/>
        </w:rPr>
        <w:t>From Death-Bed to Remembrance</w:t>
      </w:r>
      <w:r w:rsidR="00285AD5">
        <w:rPr>
          <w:rFonts w:ascii="Arial" w:hAnsi="Arial" w:cs="Arial"/>
        </w:rPr>
        <w:t>”</w:t>
      </w:r>
      <w:r w:rsidR="00285AD5">
        <w:rPr>
          <w:rFonts w:ascii="Arial" w:hAnsi="Arial" w:cs="Arial"/>
        </w:rPr>
        <w:t xml:space="preserve"> in</w:t>
      </w:r>
      <w:r w:rsidR="00285AD5">
        <w:rPr>
          <w:rFonts w:ascii="Arial" w:hAnsi="Arial" w:cs="Arial"/>
          <w:color w:val="000000"/>
          <w:shd w:val="clear" w:color="auto" w:fill="FFFFFF"/>
        </w:rPr>
        <w:t> </w:t>
      </w:r>
      <w:r w:rsidR="00285AD5">
        <w:rPr>
          <w:rFonts w:ascii="Arial" w:hAnsi="Arial" w:cs="Arial"/>
          <w:i/>
          <w:iCs/>
          <w:color w:val="000000"/>
          <w:shd w:val="clear" w:color="auto" w:fill="FFFFFF"/>
        </w:rPr>
        <w:t>Death And Burial In Medieval England, 1066-1550</w:t>
      </w:r>
      <w:r w:rsidR="00285AD5">
        <w:rPr>
          <w:rFonts w:ascii="Arial" w:hAnsi="Arial" w:cs="Arial"/>
          <w:color w:val="000000"/>
          <w:shd w:val="clear" w:color="auto" w:fill="FFFFFF"/>
        </w:rPr>
        <w:t> (London: Taylor &amp; Francis, 2005)</w:t>
      </w:r>
      <w:bookmarkEnd w:id="4"/>
      <w:r w:rsidR="00285AD5">
        <w:rPr>
          <w:rFonts w:ascii="Arial" w:hAnsi="Arial" w:cs="Arial"/>
          <w:color w:val="000000"/>
          <w:shd w:val="clear" w:color="auto" w:fill="FFFFFF"/>
        </w:rPr>
        <w:t xml:space="preserve"> p32.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1214D" w14:textId="77777777" w:rsidR="003C2E7A" w:rsidRPr="000859C6" w:rsidRDefault="003C2E7A" w:rsidP="00082E51">
    <w:pPr>
      <w:pStyle w:val="Header"/>
      <w:jc w:val="right"/>
      <w:rPr>
        <w:rFonts w:ascii="Arial" w:hAnsi="Arial" w:cs="Arial"/>
        <w:sz w:val="20"/>
      </w:rPr>
    </w:pPr>
    <w:r w:rsidRPr="000859C6">
      <w:rPr>
        <w:rFonts w:ascii="Arial" w:hAnsi="Arial" w:cs="Arial"/>
        <w:sz w:val="20"/>
      </w:rPr>
      <w:t>HPHI5013 Death and Dying - Portfolio</w:t>
    </w:r>
  </w:p>
  <w:p w14:paraId="4DCD5B23" w14:textId="6B35FEC7" w:rsidR="003C2E7A" w:rsidRPr="000859C6" w:rsidRDefault="003C2E7A" w:rsidP="00082E51">
    <w:pPr>
      <w:pStyle w:val="Header"/>
      <w:spacing w:after="240"/>
      <w:jc w:val="right"/>
      <w:rPr>
        <w:rFonts w:ascii="Arial" w:hAnsi="Arial" w:cs="Arial"/>
        <w:sz w:val="20"/>
      </w:rPr>
    </w:pPr>
    <w:r w:rsidRPr="000859C6">
      <w:rPr>
        <w:rFonts w:ascii="Arial" w:hAnsi="Arial" w:cs="Arial"/>
        <w:sz w:val="20"/>
      </w:rPr>
      <w:t xml:space="preserve">1701128 - Ruth Hardy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76"/>
    <w:rsid w:val="00081CFF"/>
    <w:rsid w:val="00082E51"/>
    <w:rsid w:val="000859C6"/>
    <w:rsid w:val="000E5204"/>
    <w:rsid w:val="0016069C"/>
    <w:rsid w:val="00192FBF"/>
    <w:rsid w:val="0028079B"/>
    <w:rsid w:val="00282DF9"/>
    <w:rsid w:val="00285AD5"/>
    <w:rsid w:val="00384F7B"/>
    <w:rsid w:val="003C2E7A"/>
    <w:rsid w:val="00456CF2"/>
    <w:rsid w:val="006644AE"/>
    <w:rsid w:val="00777A86"/>
    <w:rsid w:val="007F551F"/>
    <w:rsid w:val="008D1BB1"/>
    <w:rsid w:val="00925DD0"/>
    <w:rsid w:val="00952386"/>
    <w:rsid w:val="00AB5410"/>
    <w:rsid w:val="00AC3E9A"/>
    <w:rsid w:val="00AD37F2"/>
    <w:rsid w:val="00AD65C7"/>
    <w:rsid w:val="00AF0A76"/>
    <w:rsid w:val="00B729FC"/>
    <w:rsid w:val="00B74ACF"/>
    <w:rsid w:val="00C9368C"/>
    <w:rsid w:val="00CA4BAD"/>
    <w:rsid w:val="00D54C6E"/>
    <w:rsid w:val="00DF77D1"/>
    <w:rsid w:val="00E568C6"/>
    <w:rsid w:val="00EB6183"/>
    <w:rsid w:val="00ED69F8"/>
    <w:rsid w:val="00F752BC"/>
    <w:rsid w:val="00F75E76"/>
    <w:rsid w:val="00F84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CB5929"/>
  <w15:chartTrackingRefBased/>
  <w15:docId w15:val="{8B98BA43-ACFB-4089-A626-3318A6E2D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E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E51"/>
  </w:style>
  <w:style w:type="paragraph" w:styleId="Footer">
    <w:name w:val="footer"/>
    <w:basedOn w:val="Normal"/>
    <w:link w:val="FooterChar"/>
    <w:uiPriority w:val="99"/>
    <w:unhideWhenUsed/>
    <w:rsid w:val="00082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E51"/>
  </w:style>
  <w:style w:type="paragraph" w:styleId="FootnoteText">
    <w:name w:val="footnote text"/>
    <w:basedOn w:val="Normal"/>
    <w:link w:val="FootnoteTextChar"/>
    <w:uiPriority w:val="99"/>
    <w:unhideWhenUsed/>
    <w:rsid w:val="00C9368C"/>
    <w:pPr>
      <w:spacing w:after="0" w:line="240" w:lineRule="auto"/>
    </w:pPr>
    <w:rPr>
      <w:sz w:val="20"/>
      <w:szCs w:val="20"/>
    </w:rPr>
  </w:style>
  <w:style w:type="character" w:customStyle="1" w:styleId="FootnoteTextChar">
    <w:name w:val="Footnote Text Char"/>
    <w:basedOn w:val="DefaultParagraphFont"/>
    <w:link w:val="FootnoteText"/>
    <w:uiPriority w:val="99"/>
    <w:rsid w:val="00C9368C"/>
    <w:rPr>
      <w:sz w:val="20"/>
      <w:szCs w:val="20"/>
    </w:rPr>
  </w:style>
  <w:style w:type="character" w:styleId="FootnoteReference">
    <w:name w:val="footnote reference"/>
    <w:basedOn w:val="DefaultParagraphFont"/>
    <w:uiPriority w:val="99"/>
    <w:semiHidden/>
    <w:unhideWhenUsed/>
    <w:rsid w:val="00C9368C"/>
    <w:rPr>
      <w:vertAlign w:val="superscript"/>
    </w:rPr>
  </w:style>
  <w:style w:type="character" w:styleId="Hyperlink">
    <w:name w:val="Hyperlink"/>
    <w:basedOn w:val="DefaultParagraphFont"/>
    <w:uiPriority w:val="99"/>
    <w:unhideWhenUsed/>
    <w:rsid w:val="00282DF9"/>
    <w:rPr>
      <w:color w:val="0563C1" w:themeColor="hyperlink"/>
      <w:u w:val="single"/>
    </w:rPr>
  </w:style>
  <w:style w:type="character" w:styleId="UnresolvedMention">
    <w:name w:val="Unresolved Mention"/>
    <w:basedOn w:val="DefaultParagraphFont"/>
    <w:uiPriority w:val="99"/>
    <w:semiHidden/>
    <w:unhideWhenUsed/>
    <w:rsid w:val="00282DF9"/>
    <w:rPr>
      <w:color w:val="605E5C"/>
      <w:shd w:val="clear" w:color="auto" w:fill="E1DFDD"/>
    </w:rPr>
  </w:style>
  <w:style w:type="character" w:styleId="Emphasis">
    <w:name w:val="Emphasis"/>
    <w:basedOn w:val="DefaultParagraphFont"/>
    <w:uiPriority w:val="20"/>
    <w:qFormat/>
    <w:rsid w:val="00F75E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0D131-6662-482B-9068-B8D375A5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10</Pages>
  <Words>4219</Words>
  <Characters>22029</Characters>
  <Application>Microsoft Office Word</Application>
  <DocSecurity>0</DocSecurity>
  <Lines>386</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8</cp:revision>
  <dcterms:created xsi:type="dcterms:W3CDTF">2019-01-30T18:23:00Z</dcterms:created>
  <dcterms:modified xsi:type="dcterms:W3CDTF">2019-02-01T16:19:00Z</dcterms:modified>
</cp:coreProperties>
</file>