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2163D" w14:textId="626BFF25" w:rsidR="00AB012F" w:rsidRDefault="00AB012F" w:rsidP="00AD295A">
      <w:pPr>
        <w:jc w:val="center"/>
        <w:rPr>
          <w:rFonts w:cs="Times New Roman"/>
          <w:color w:val="auto"/>
        </w:rPr>
      </w:pPr>
      <w:r>
        <w:rPr>
          <w:noProof/>
          <w:color w:val="4F81BD" w:themeColor="accent1"/>
          <w:lang w:val="en-GB" w:eastAsia="en-GB"/>
        </w:rPr>
        <w:drawing>
          <wp:inline distT="0" distB="0" distL="0" distR="0" wp14:anchorId="6428183D" wp14:editId="1C567771">
            <wp:extent cx="2196639" cy="1163782"/>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200901" cy="1166040"/>
                    </a:xfrm>
                    <a:prstGeom prst="rect">
                      <a:avLst/>
                    </a:prstGeom>
                    <a:noFill/>
                    <a:ln>
                      <a:noFill/>
                    </a:ln>
                  </pic:spPr>
                </pic:pic>
              </a:graphicData>
            </a:graphic>
          </wp:inline>
        </w:drawing>
      </w:r>
    </w:p>
    <w:p w14:paraId="52059525" w14:textId="3B866E89" w:rsidR="00E01AF9" w:rsidRPr="00AD295A" w:rsidRDefault="00AB012F" w:rsidP="00AD295A">
      <w:pPr>
        <w:jc w:val="center"/>
        <w:rPr>
          <w:rFonts w:cs="Times New Roman"/>
          <w:color w:val="auto"/>
          <w:sz w:val="54"/>
          <w:szCs w:val="54"/>
        </w:rPr>
      </w:pPr>
      <w:r>
        <w:rPr>
          <w:noProof/>
          <w:color w:val="4F81BD" w:themeColor="accent1"/>
          <w:lang w:val="en-GB" w:eastAsia="en-GB"/>
        </w:rPr>
        <w:drawing>
          <wp:anchor distT="0" distB="0" distL="114300" distR="114300" simplePos="0" relativeHeight="251657216" behindDoc="0" locked="0" layoutInCell="1" allowOverlap="1" wp14:anchorId="6E32DA94" wp14:editId="7BBB5891">
            <wp:simplePos x="0" y="0"/>
            <wp:positionH relativeFrom="column">
              <wp:posOffset>1997677</wp:posOffset>
            </wp:positionH>
            <wp:positionV relativeFrom="paragraph">
              <wp:posOffset>3024126</wp:posOffset>
            </wp:positionV>
            <wp:extent cx="1580961" cy="997527"/>
            <wp:effectExtent l="0" t="0" r="635"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580961" cy="997527"/>
                    </a:xfrm>
                    <a:prstGeom prst="rect">
                      <a:avLst/>
                    </a:prstGeom>
                  </pic:spPr>
                </pic:pic>
              </a:graphicData>
            </a:graphic>
            <wp14:sizeRelH relativeFrom="page">
              <wp14:pctWidth>0</wp14:pctWidth>
            </wp14:sizeRelH>
            <wp14:sizeRelV relativeFrom="page">
              <wp14:pctHeight>0</wp14:pctHeight>
            </wp14:sizeRelV>
          </wp:anchor>
        </w:drawing>
      </w:r>
      <w:r w:rsidR="00504820" w:rsidRPr="00AD295A">
        <w:rPr>
          <w:rFonts w:cs="Times New Roman"/>
          <w:color w:val="auto"/>
          <w:sz w:val="54"/>
          <w:szCs w:val="54"/>
        </w:rPr>
        <w:t>Financial Performance Analysis of Vodafone Group Plc</w:t>
      </w:r>
      <w:r w:rsidR="00504820" w:rsidRPr="00AD295A">
        <w:rPr>
          <w:rFonts w:cs="Times New Roman"/>
          <w:color w:val="auto"/>
          <w:sz w:val="54"/>
          <w:szCs w:val="54"/>
        </w:rPr>
        <w:br/>
        <w:t>and Capital Investment Appraisal for Beard Plc</w:t>
      </w:r>
    </w:p>
    <w:tbl>
      <w:tblPr>
        <w:tblStyle w:val="ListTable2-Accent4"/>
        <w:tblW w:w="0" w:type="auto"/>
        <w:tblLayout w:type="fixed"/>
        <w:tblLook w:val="04A0" w:firstRow="1" w:lastRow="0" w:firstColumn="1" w:lastColumn="0" w:noHBand="0" w:noVBand="1"/>
      </w:tblPr>
      <w:tblGrid>
        <w:gridCol w:w="2381"/>
        <w:gridCol w:w="6520"/>
      </w:tblGrid>
      <w:tr w:rsidR="00AD295A" w:rsidRPr="00AD295A" w14:paraId="7E07BAAF" w14:textId="77777777" w:rsidTr="00AD29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1" w:type="dxa"/>
          </w:tcPr>
          <w:p w14:paraId="3B37840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Student</w:t>
            </w:r>
          </w:p>
        </w:tc>
        <w:tc>
          <w:tcPr>
            <w:tcW w:w="6520" w:type="dxa"/>
          </w:tcPr>
          <w:p w14:paraId="5BD10DB5" w14:textId="77777777" w:rsidR="00E01AF9" w:rsidRPr="00AD295A" w:rsidRDefault="00504820">
            <w:pPr>
              <w:pStyle w:val="TableTex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295A">
              <w:rPr>
                <w:rFonts w:ascii="Times New Roman" w:hAnsi="Times New Roman" w:cs="Times New Roman"/>
                <w:sz w:val="18"/>
              </w:rPr>
              <w:t>MD. HASIBUL ISLAM</w:t>
            </w:r>
          </w:p>
        </w:tc>
      </w:tr>
      <w:tr w:rsidR="00AD295A" w:rsidRPr="00AD295A" w14:paraId="075A0E36" w14:textId="77777777" w:rsidTr="00AD2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1" w:type="dxa"/>
          </w:tcPr>
          <w:p w14:paraId="0991B4E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Student ID</w:t>
            </w:r>
          </w:p>
        </w:tc>
        <w:tc>
          <w:tcPr>
            <w:tcW w:w="6520" w:type="dxa"/>
          </w:tcPr>
          <w:p w14:paraId="35D6AA8F" w14:textId="77777777" w:rsidR="00E01AF9" w:rsidRPr="00AD295A" w:rsidRDefault="00504820">
            <w:pPr>
              <w:pStyle w:val="TableTex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D295A">
              <w:rPr>
                <w:rFonts w:ascii="Times New Roman" w:hAnsi="Times New Roman" w:cs="Times New Roman"/>
                <w:sz w:val="18"/>
              </w:rPr>
              <w:t>2516351</w:t>
            </w:r>
          </w:p>
        </w:tc>
      </w:tr>
      <w:tr w:rsidR="00AD295A" w:rsidRPr="00AD295A" w14:paraId="1EA9B883" w14:textId="77777777" w:rsidTr="00AD295A">
        <w:tc>
          <w:tcPr>
            <w:cnfStyle w:val="001000000000" w:firstRow="0" w:lastRow="0" w:firstColumn="1" w:lastColumn="0" w:oddVBand="0" w:evenVBand="0" w:oddHBand="0" w:evenHBand="0" w:firstRowFirstColumn="0" w:firstRowLastColumn="0" w:lastRowFirstColumn="0" w:lastRowLastColumn="0"/>
            <w:tcW w:w="2381" w:type="dxa"/>
          </w:tcPr>
          <w:p w14:paraId="24DFF46D" w14:textId="77777777" w:rsidR="00E01AF9" w:rsidRPr="00AD295A" w:rsidRDefault="00504820">
            <w:pPr>
              <w:pStyle w:val="TableText"/>
              <w:rPr>
                <w:rFonts w:ascii="Times New Roman" w:hAnsi="Times New Roman" w:cs="Times New Roman"/>
              </w:rPr>
            </w:pPr>
            <w:proofErr w:type="spellStart"/>
            <w:r w:rsidRPr="00AD295A">
              <w:rPr>
                <w:rFonts w:ascii="Times New Roman" w:hAnsi="Times New Roman" w:cs="Times New Roman"/>
              </w:rPr>
              <w:t>Programme</w:t>
            </w:r>
            <w:proofErr w:type="spellEnd"/>
          </w:p>
        </w:tc>
        <w:tc>
          <w:tcPr>
            <w:tcW w:w="6520" w:type="dxa"/>
          </w:tcPr>
          <w:p w14:paraId="3EB0C606" w14:textId="77777777" w:rsidR="00E01AF9" w:rsidRPr="00AD295A" w:rsidRDefault="00504820">
            <w:pPr>
              <w:pStyle w:val="TableTex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295A">
              <w:rPr>
                <w:rFonts w:ascii="Times New Roman" w:hAnsi="Times New Roman" w:cs="Times New Roman"/>
                <w:sz w:val="18"/>
              </w:rPr>
              <w:t>MBA</w:t>
            </w:r>
          </w:p>
        </w:tc>
      </w:tr>
      <w:tr w:rsidR="00AD295A" w:rsidRPr="00AD295A" w14:paraId="774C6628" w14:textId="77777777" w:rsidTr="00AD29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1" w:type="dxa"/>
          </w:tcPr>
          <w:p w14:paraId="7018356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Module</w:t>
            </w:r>
          </w:p>
        </w:tc>
        <w:tc>
          <w:tcPr>
            <w:tcW w:w="6520" w:type="dxa"/>
          </w:tcPr>
          <w:p w14:paraId="6BC4C87D" w14:textId="77777777" w:rsidR="00E01AF9" w:rsidRPr="00AD295A" w:rsidRDefault="00504820">
            <w:pPr>
              <w:pStyle w:val="TableTex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D295A">
              <w:rPr>
                <w:rFonts w:ascii="Times New Roman" w:hAnsi="Times New Roman" w:cs="Times New Roman"/>
                <w:sz w:val="18"/>
              </w:rPr>
              <w:t>BMMB7005D — Finance for Business Managers</w:t>
            </w:r>
          </w:p>
        </w:tc>
      </w:tr>
      <w:tr w:rsidR="00AD295A" w:rsidRPr="00AD295A" w14:paraId="2D50C653" w14:textId="77777777" w:rsidTr="00AD295A">
        <w:tc>
          <w:tcPr>
            <w:cnfStyle w:val="001000000000" w:firstRow="0" w:lastRow="0" w:firstColumn="1" w:lastColumn="0" w:oddVBand="0" w:evenVBand="0" w:oddHBand="0" w:evenHBand="0" w:firstRowFirstColumn="0" w:firstRowLastColumn="0" w:lastRowFirstColumn="0" w:lastRowLastColumn="0"/>
            <w:tcW w:w="2381" w:type="dxa"/>
          </w:tcPr>
          <w:p w14:paraId="48F80B62" w14:textId="350171CA" w:rsidR="00E01AF9" w:rsidRPr="00AD295A" w:rsidRDefault="00504820">
            <w:pPr>
              <w:pStyle w:val="TableText"/>
              <w:rPr>
                <w:rFonts w:ascii="Times New Roman" w:hAnsi="Times New Roman" w:cs="Times New Roman"/>
              </w:rPr>
            </w:pPr>
            <w:r w:rsidRPr="00AD295A">
              <w:rPr>
                <w:rFonts w:ascii="Times New Roman" w:hAnsi="Times New Roman" w:cs="Times New Roman"/>
              </w:rPr>
              <w:t>Assessment</w:t>
            </w:r>
          </w:p>
        </w:tc>
        <w:tc>
          <w:tcPr>
            <w:tcW w:w="6520" w:type="dxa"/>
          </w:tcPr>
          <w:p w14:paraId="6ED99C5E" w14:textId="7C8CAAEE" w:rsidR="00E01AF9" w:rsidRPr="00AD295A" w:rsidRDefault="00504820">
            <w:pPr>
              <w:pStyle w:val="TableTex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295A">
              <w:rPr>
                <w:rFonts w:ascii="Times New Roman" w:hAnsi="Times New Roman" w:cs="Times New Roman"/>
                <w:sz w:val="18"/>
              </w:rPr>
              <w:t>Beard Plc (Parts 1 and 2)</w:t>
            </w:r>
          </w:p>
        </w:tc>
      </w:tr>
    </w:tbl>
    <w:p w14:paraId="1031D45F" w14:textId="77777777" w:rsidR="00E01AF9" w:rsidRPr="00AD295A" w:rsidRDefault="00E01AF9">
      <w:pPr>
        <w:rPr>
          <w:rFonts w:cs="Times New Roman"/>
          <w:color w:val="auto"/>
        </w:rPr>
        <w:sectPr w:rsidR="00E01AF9" w:rsidRPr="00AD295A">
          <w:pgSz w:w="11906" w:h="16838"/>
          <w:pgMar w:top="1191" w:right="1247" w:bottom="1134" w:left="1361" w:header="720" w:footer="198" w:gutter="0"/>
          <w:cols w:space="720"/>
          <w:docGrid w:linePitch="360"/>
        </w:sectPr>
      </w:pPr>
    </w:p>
    <w:p w14:paraId="62ACEB38" w14:textId="77777777" w:rsidR="00E01AF9" w:rsidRPr="00AD295A" w:rsidRDefault="00504820" w:rsidP="00AD295A">
      <w:pPr>
        <w:pStyle w:val="Heading1"/>
        <w:rPr>
          <w:rFonts w:ascii="Times New Roman" w:hAnsi="Times New Roman" w:cs="Times New Roman"/>
          <w:color w:val="auto"/>
        </w:rPr>
      </w:pPr>
      <w:bookmarkStart w:id="0" w:name="_Toc236861469"/>
      <w:r w:rsidRPr="00AD295A">
        <w:rPr>
          <w:rFonts w:ascii="Times New Roman" w:hAnsi="Times New Roman" w:cs="Times New Roman"/>
          <w:color w:val="auto"/>
        </w:rPr>
        <w:lastRenderedPageBreak/>
        <w:t>Executive Summary</w:t>
      </w:r>
      <w:bookmarkEnd w:id="0"/>
    </w:p>
    <w:p w14:paraId="29377AEF" w14:textId="77777777" w:rsidR="00E1058B" w:rsidRPr="00AD295A" w:rsidRDefault="00E1058B" w:rsidP="00E1058B">
      <w:pPr>
        <w:rPr>
          <w:rFonts w:cs="Times New Roman"/>
          <w:color w:val="auto"/>
        </w:rPr>
      </w:pPr>
      <w:r w:rsidRPr="00AD295A">
        <w:rPr>
          <w:rFonts w:cs="Times New Roman"/>
          <w:color w:val="auto"/>
        </w:rPr>
        <w:t>This is a resubmission of the financial performance of Vodafone Group Plc for the year ended 31st March, 2024 and 31st March, 2025. It additionally rates three capital investment alternatives that Beard Plc has. The revenue and gross margin of Vodafone was stable while the operating result, return on capital employed and return on equity fell off sharply. It was not because of a decrease in gross profit. The group, however, lost its operating profit to a non-cash impairment cost of €4.5bn, primarily related to Germany and Romania. The absolute level of debt declined and the level of liquidity increased. But equity decreased at a greater rate than debt which led to a rise in debt-to-equity ratio. There was a slight decline in receivables turnover as well. Investor results were mixed as a result of an increase in earnings per share after 12 months and a decrease to basic earnings per share, which was negative, as well as a decrease in the dividend by 50%.</w:t>
      </w:r>
    </w:p>
    <w:p w14:paraId="72E999F4" w14:textId="307D4E3C" w:rsidR="00E01AF9" w:rsidRPr="00AD295A" w:rsidRDefault="00E1058B" w:rsidP="00E1058B">
      <w:pPr>
        <w:rPr>
          <w:rFonts w:cs="Times New Roman"/>
          <w:color w:val="auto"/>
        </w:rPr>
      </w:pPr>
      <w:r w:rsidRPr="00AD295A">
        <w:rPr>
          <w:rFonts w:cs="Times New Roman"/>
          <w:color w:val="auto"/>
        </w:rPr>
        <w:t xml:space="preserve">Vodafone needs to therefore safeguard the German turnaround, tighten up the receivables control and tie distributions to sustainable free cash flow, and also put in place a rigorous review of its 5G, enterprise, energy-efficiency investments following investment. In the case of Beard Plc, all cash flows are after the stated straight line capital allowance and the corporation tax. The NPV's for Option A at 5% discount rate is −£3.263 thousand, for Option B is £73.952 thousand and for Option C is £91.226 thousand. As the option that will generate the highest value, Option C is recommended and its approximate IRR is 8.57% </w:t>
      </w:r>
      <w:r w:rsidR="001B596C" w:rsidRPr="00AD295A">
        <w:rPr>
          <w:rFonts w:cs="Times New Roman"/>
          <w:color w:val="auto"/>
        </w:rPr>
        <w:t>Beard should spend £1.0 million on C, and spend the remaining £0.5 million on 55.56% of B.</w:t>
      </w:r>
      <w:r w:rsidRPr="00AD295A">
        <w:rPr>
          <w:rFonts w:cs="Times New Roman"/>
          <w:color w:val="auto"/>
        </w:rPr>
        <w:t xml:space="preserve"> The net present value for the combined is £132.311 thousand. Funding should only commence from retained funds whereupon there is a prudent cash reserve, followed by matched term funding and/or asset funding. Borrowing should be considered safe when debt capacity and/or covenants are an issue, but equity should be taken into account. Beard's existing cash, gearing and borrowing capacity are not claimed as it did not provide financial statements.</w:t>
      </w:r>
    </w:p>
    <w:p w14:paraId="48820035" w14:textId="3E4EDD13" w:rsidR="00E1058B" w:rsidRPr="00AD295A" w:rsidRDefault="00E1058B" w:rsidP="00E1058B">
      <w:pPr>
        <w:rPr>
          <w:rFonts w:cs="Times New Roman"/>
          <w:color w:val="auto"/>
        </w:rPr>
      </w:pPr>
    </w:p>
    <w:p w14:paraId="72840A5A" w14:textId="77777777" w:rsidR="00E1058B" w:rsidRPr="00AD295A" w:rsidRDefault="00E1058B" w:rsidP="00E1058B">
      <w:pPr>
        <w:rPr>
          <w:rFonts w:cs="Times New Roman"/>
          <w:color w:val="auto"/>
        </w:rPr>
      </w:pPr>
    </w:p>
    <w:p w14:paraId="06C41C08" w14:textId="77777777" w:rsidR="00E01AF9" w:rsidRPr="00AD295A" w:rsidRDefault="00504820" w:rsidP="00E1058B">
      <w:pPr>
        <w:rPr>
          <w:rFonts w:cs="Times New Roman"/>
          <w:color w:val="auto"/>
        </w:rPr>
      </w:pPr>
      <w:r w:rsidRPr="00AD295A">
        <w:rPr>
          <w:rFonts w:cs="Times New Roman"/>
          <w:color w:val="auto"/>
        </w:rPr>
        <w:br w:type="page"/>
      </w:r>
    </w:p>
    <w:sdt>
      <w:sdtPr>
        <w:rPr>
          <w:rFonts w:ascii="Times New Roman" w:eastAsia="Times New Roman" w:hAnsi="Times New Roman" w:cstheme="minorBidi"/>
          <w:b w:val="0"/>
          <w:bCs w:val="0"/>
          <w:color w:val="20262E"/>
          <w:sz w:val="22"/>
          <w:szCs w:val="22"/>
        </w:rPr>
        <w:id w:val="843132509"/>
        <w:docPartObj>
          <w:docPartGallery w:val="Table of Contents"/>
          <w:docPartUnique/>
        </w:docPartObj>
      </w:sdtPr>
      <w:sdtEndPr>
        <w:rPr>
          <w:noProof/>
        </w:rPr>
      </w:sdtEndPr>
      <w:sdtContent>
        <w:p w14:paraId="385C95F7" w14:textId="79B45F69" w:rsidR="003669DC" w:rsidRPr="003669DC" w:rsidRDefault="003669DC">
          <w:pPr>
            <w:pStyle w:val="TOCHeading"/>
            <w:rPr>
              <w:color w:val="auto"/>
            </w:rPr>
          </w:pPr>
          <w:r w:rsidRPr="003669DC">
            <w:rPr>
              <w:color w:val="auto"/>
            </w:rPr>
            <w:t>Table Of Contents</w:t>
          </w:r>
        </w:p>
        <w:p w14:paraId="748FB6C0" w14:textId="46E8AF22" w:rsidR="00792281" w:rsidRDefault="003669DC">
          <w:pPr>
            <w:pStyle w:val="TOC1"/>
            <w:tabs>
              <w:tab w:val="right" w:leader="dot" w:pos="9288"/>
            </w:tabs>
            <w:rPr>
              <w:rFonts w:asciiTheme="minorHAnsi" w:eastAsiaTheme="minorEastAsia" w:hAnsiTheme="minorHAnsi"/>
              <w:noProof/>
              <w:color w:val="auto"/>
            </w:rPr>
          </w:pPr>
          <w:r>
            <w:fldChar w:fldCharType="begin"/>
          </w:r>
          <w:r>
            <w:instrText xml:space="preserve"> TOC \o "1-3" \h \z \u </w:instrText>
          </w:r>
          <w:r>
            <w:fldChar w:fldCharType="separate"/>
          </w:r>
          <w:hyperlink w:anchor="_Toc236861469" w:history="1">
            <w:r w:rsidR="00792281" w:rsidRPr="00263EE8">
              <w:rPr>
                <w:rStyle w:val="Hyperlink"/>
                <w:rFonts w:eastAsiaTheme="majorEastAsia" w:cs="Times New Roman"/>
                <w:noProof/>
              </w:rPr>
              <w:t>Executive Summary</w:t>
            </w:r>
            <w:r w:rsidR="00792281">
              <w:rPr>
                <w:noProof/>
                <w:webHidden/>
              </w:rPr>
              <w:tab/>
            </w:r>
            <w:r w:rsidR="00792281">
              <w:rPr>
                <w:noProof/>
                <w:webHidden/>
              </w:rPr>
              <w:fldChar w:fldCharType="begin"/>
            </w:r>
            <w:r w:rsidR="00792281">
              <w:rPr>
                <w:noProof/>
                <w:webHidden/>
              </w:rPr>
              <w:instrText xml:space="preserve"> PAGEREF _Toc236861469 \h </w:instrText>
            </w:r>
            <w:r w:rsidR="00792281">
              <w:rPr>
                <w:noProof/>
                <w:webHidden/>
              </w:rPr>
            </w:r>
            <w:r w:rsidR="00792281">
              <w:rPr>
                <w:noProof/>
                <w:webHidden/>
              </w:rPr>
              <w:fldChar w:fldCharType="separate"/>
            </w:r>
            <w:r w:rsidR="00792281">
              <w:rPr>
                <w:noProof/>
                <w:webHidden/>
              </w:rPr>
              <w:t>1</w:t>
            </w:r>
            <w:r w:rsidR="00792281">
              <w:rPr>
                <w:noProof/>
                <w:webHidden/>
              </w:rPr>
              <w:fldChar w:fldCharType="end"/>
            </w:r>
          </w:hyperlink>
        </w:p>
        <w:p w14:paraId="4862EC1F" w14:textId="719ED7A2" w:rsidR="00792281" w:rsidRDefault="00443B20">
          <w:pPr>
            <w:pStyle w:val="TOC1"/>
            <w:tabs>
              <w:tab w:val="right" w:leader="dot" w:pos="9288"/>
            </w:tabs>
            <w:rPr>
              <w:rFonts w:asciiTheme="minorHAnsi" w:eastAsiaTheme="minorEastAsia" w:hAnsiTheme="minorHAnsi"/>
              <w:noProof/>
              <w:color w:val="auto"/>
            </w:rPr>
          </w:pPr>
          <w:hyperlink w:anchor="_Toc236861470" w:history="1">
            <w:r w:rsidR="00792281" w:rsidRPr="00263EE8">
              <w:rPr>
                <w:rStyle w:val="Hyperlink"/>
                <w:rFonts w:eastAsiaTheme="majorEastAsia" w:cs="Times New Roman"/>
                <w:noProof/>
              </w:rPr>
              <w:t>1. Introduction</w:t>
            </w:r>
            <w:r w:rsidR="00792281">
              <w:rPr>
                <w:noProof/>
                <w:webHidden/>
              </w:rPr>
              <w:tab/>
            </w:r>
            <w:r w:rsidR="00792281">
              <w:rPr>
                <w:noProof/>
                <w:webHidden/>
              </w:rPr>
              <w:fldChar w:fldCharType="begin"/>
            </w:r>
            <w:r w:rsidR="00792281">
              <w:rPr>
                <w:noProof/>
                <w:webHidden/>
              </w:rPr>
              <w:instrText xml:space="preserve"> PAGEREF _Toc236861470 \h </w:instrText>
            </w:r>
            <w:r w:rsidR="00792281">
              <w:rPr>
                <w:noProof/>
                <w:webHidden/>
              </w:rPr>
            </w:r>
            <w:r w:rsidR="00792281">
              <w:rPr>
                <w:noProof/>
                <w:webHidden/>
              </w:rPr>
              <w:fldChar w:fldCharType="separate"/>
            </w:r>
            <w:r w:rsidR="00792281">
              <w:rPr>
                <w:noProof/>
                <w:webHidden/>
              </w:rPr>
              <w:t>3</w:t>
            </w:r>
            <w:r w:rsidR="00792281">
              <w:rPr>
                <w:noProof/>
                <w:webHidden/>
              </w:rPr>
              <w:fldChar w:fldCharType="end"/>
            </w:r>
          </w:hyperlink>
        </w:p>
        <w:p w14:paraId="16092B38" w14:textId="4E759655" w:rsidR="00792281" w:rsidRDefault="00443B20">
          <w:pPr>
            <w:pStyle w:val="TOC1"/>
            <w:tabs>
              <w:tab w:val="right" w:leader="dot" w:pos="9288"/>
            </w:tabs>
            <w:rPr>
              <w:rFonts w:asciiTheme="minorHAnsi" w:eastAsiaTheme="minorEastAsia" w:hAnsiTheme="minorHAnsi"/>
              <w:noProof/>
              <w:color w:val="auto"/>
            </w:rPr>
          </w:pPr>
          <w:hyperlink w:anchor="_Toc236861471" w:history="1">
            <w:r w:rsidR="00792281" w:rsidRPr="00263EE8">
              <w:rPr>
                <w:rStyle w:val="Hyperlink"/>
                <w:rFonts w:eastAsiaTheme="majorEastAsia" w:cs="Times New Roman"/>
                <w:noProof/>
              </w:rPr>
              <w:t>2. Main Findings</w:t>
            </w:r>
            <w:r w:rsidR="00792281">
              <w:rPr>
                <w:noProof/>
                <w:webHidden/>
              </w:rPr>
              <w:tab/>
            </w:r>
            <w:r w:rsidR="00792281">
              <w:rPr>
                <w:noProof/>
                <w:webHidden/>
              </w:rPr>
              <w:fldChar w:fldCharType="begin"/>
            </w:r>
            <w:r w:rsidR="00792281">
              <w:rPr>
                <w:noProof/>
                <w:webHidden/>
              </w:rPr>
              <w:instrText xml:space="preserve"> PAGEREF _Toc236861471 \h </w:instrText>
            </w:r>
            <w:r w:rsidR="00792281">
              <w:rPr>
                <w:noProof/>
                <w:webHidden/>
              </w:rPr>
            </w:r>
            <w:r w:rsidR="00792281">
              <w:rPr>
                <w:noProof/>
                <w:webHidden/>
              </w:rPr>
              <w:fldChar w:fldCharType="separate"/>
            </w:r>
            <w:r w:rsidR="00792281">
              <w:rPr>
                <w:noProof/>
                <w:webHidden/>
              </w:rPr>
              <w:t>3</w:t>
            </w:r>
            <w:r w:rsidR="00792281">
              <w:rPr>
                <w:noProof/>
                <w:webHidden/>
              </w:rPr>
              <w:fldChar w:fldCharType="end"/>
            </w:r>
          </w:hyperlink>
        </w:p>
        <w:p w14:paraId="78CBC188" w14:textId="250AF0E4" w:rsidR="00792281" w:rsidRDefault="00443B20">
          <w:pPr>
            <w:pStyle w:val="TOC2"/>
            <w:tabs>
              <w:tab w:val="right" w:leader="dot" w:pos="9288"/>
            </w:tabs>
            <w:rPr>
              <w:rFonts w:asciiTheme="minorHAnsi" w:eastAsiaTheme="minorEastAsia" w:hAnsiTheme="minorHAnsi"/>
              <w:noProof/>
              <w:color w:val="auto"/>
            </w:rPr>
          </w:pPr>
          <w:hyperlink w:anchor="_Toc236861472" w:history="1">
            <w:r w:rsidR="00792281" w:rsidRPr="00263EE8">
              <w:rPr>
                <w:rStyle w:val="Hyperlink"/>
                <w:rFonts w:eastAsiaTheme="majorEastAsia" w:cs="Times New Roman"/>
                <w:noProof/>
              </w:rPr>
              <w:t>2.1 Part 1 — Financial analysis of Vodafone Group Plc</w:t>
            </w:r>
            <w:r w:rsidR="00792281">
              <w:rPr>
                <w:noProof/>
                <w:webHidden/>
              </w:rPr>
              <w:tab/>
            </w:r>
            <w:r w:rsidR="00792281">
              <w:rPr>
                <w:noProof/>
                <w:webHidden/>
              </w:rPr>
              <w:fldChar w:fldCharType="begin"/>
            </w:r>
            <w:r w:rsidR="00792281">
              <w:rPr>
                <w:noProof/>
                <w:webHidden/>
              </w:rPr>
              <w:instrText xml:space="preserve"> PAGEREF _Toc236861472 \h </w:instrText>
            </w:r>
            <w:r w:rsidR="00792281">
              <w:rPr>
                <w:noProof/>
                <w:webHidden/>
              </w:rPr>
            </w:r>
            <w:r w:rsidR="00792281">
              <w:rPr>
                <w:noProof/>
                <w:webHidden/>
              </w:rPr>
              <w:fldChar w:fldCharType="separate"/>
            </w:r>
            <w:r w:rsidR="00792281">
              <w:rPr>
                <w:noProof/>
                <w:webHidden/>
              </w:rPr>
              <w:t>3</w:t>
            </w:r>
            <w:r w:rsidR="00792281">
              <w:rPr>
                <w:noProof/>
                <w:webHidden/>
              </w:rPr>
              <w:fldChar w:fldCharType="end"/>
            </w:r>
          </w:hyperlink>
        </w:p>
        <w:p w14:paraId="3BCC7578" w14:textId="59CAE539" w:rsidR="00792281" w:rsidRDefault="00443B20">
          <w:pPr>
            <w:pStyle w:val="TOC3"/>
            <w:tabs>
              <w:tab w:val="right" w:leader="dot" w:pos="9288"/>
            </w:tabs>
            <w:rPr>
              <w:rFonts w:asciiTheme="minorHAnsi" w:eastAsiaTheme="minorEastAsia" w:hAnsiTheme="minorHAnsi"/>
              <w:noProof/>
              <w:color w:val="auto"/>
            </w:rPr>
          </w:pPr>
          <w:hyperlink w:anchor="_Toc236861473" w:history="1">
            <w:r w:rsidR="00792281" w:rsidRPr="00263EE8">
              <w:rPr>
                <w:rStyle w:val="Hyperlink"/>
                <w:rFonts w:eastAsiaTheme="majorEastAsia" w:cs="Times New Roman"/>
                <w:noProof/>
              </w:rPr>
              <w:t>2.1.1 Basis, data and method</w:t>
            </w:r>
            <w:r w:rsidR="00792281">
              <w:rPr>
                <w:noProof/>
                <w:webHidden/>
              </w:rPr>
              <w:tab/>
            </w:r>
            <w:r w:rsidR="00792281">
              <w:rPr>
                <w:noProof/>
                <w:webHidden/>
              </w:rPr>
              <w:fldChar w:fldCharType="begin"/>
            </w:r>
            <w:r w:rsidR="00792281">
              <w:rPr>
                <w:noProof/>
                <w:webHidden/>
              </w:rPr>
              <w:instrText xml:space="preserve"> PAGEREF _Toc236861473 \h </w:instrText>
            </w:r>
            <w:r w:rsidR="00792281">
              <w:rPr>
                <w:noProof/>
                <w:webHidden/>
              </w:rPr>
            </w:r>
            <w:r w:rsidR="00792281">
              <w:rPr>
                <w:noProof/>
                <w:webHidden/>
              </w:rPr>
              <w:fldChar w:fldCharType="separate"/>
            </w:r>
            <w:r w:rsidR="00792281">
              <w:rPr>
                <w:noProof/>
                <w:webHidden/>
              </w:rPr>
              <w:t>3</w:t>
            </w:r>
            <w:r w:rsidR="00792281">
              <w:rPr>
                <w:noProof/>
                <w:webHidden/>
              </w:rPr>
              <w:fldChar w:fldCharType="end"/>
            </w:r>
          </w:hyperlink>
        </w:p>
        <w:p w14:paraId="2DC34833" w14:textId="6C9FD368" w:rsidR="00792281" w:rsidRDefault="00443B20">
          <w:pPr>
            <w:pStyle w:val="TOC3"/>
            <w:tabs>
              <w:tab w:val="right" w:leader="dot" w:pos="9288"/>
            </w:tabs>
            <w:rPr>
              <w:rFonts w:asciiTheme="minorHAnsi" w:eastAsiaTheme="minorEastAsia" w:hAnsiTheme="minorHAnsi"/>
              <w:noProof/>
              <w:color w:val="auto"/>
            </w:rPr>
          </w:pPr>
          <w:hyperlink w:anchor="_Toc236861474" w:history="1">
            <w:r w:rsidR="00792281" w:rsidRPr="00263EE8">
              <w:rPr>
                <w:rStyle w:val="Hyperlink"/>
                <w:rFonts w:eastAsiaTheme="majorEastAsia" w:cs="Times New Roman"/>
                <w:noProof/>
              </w:rPr>
              <w:t>2.1.2 Profitability</w:t>
            </w:r>
            <w:r w:rsidR="00792281">
              <w:rPr>
                <w:noProof/>
                <w:webHidden/>
              </w:rPr>
              <w:tab/>
            </w:r>
            <w:r w:rsidR="00792281">
              <w:rPr>
                <w:noProof/>
                <w:webHidden/>
              </w:rPr>
              <w:fldChar w:fldCharType="begin"/>
            </w:r>
            <w:r w:rsidR="00792281">
              <w:rPr>
                <w:noProof/>
                <w:webHidden/>
              </w:rPr>
              <w:instrText xml:space="preserve"> PAGEREF _Toc236861474 \h </w:instrText>
            </w:r>
            <w:r w:rsidR="00792281">
              <w:rPr>
                <w:noProof/>
                <w:webHidden/>
              </w:rPr>
            </w:r>
            <w:r w:rsidR="00792281">
              <w:rPr>
                <w:noProof/>
                <w:webHidden/>
              </w:rPr>
              <w:fldChar w:fldCharType="separate"/>
            </w:r>
            <w:r w:rsidR="00792281">
              <w:rPr>
                <w:noProof/>
                <w:webHidden/>
              </w:rPr>
              <w:t>4</w:t>
            </w:r>
            <w:r w:rsidR="00792281">
              <w:rPr>
                <w:noProof/>
                <w:webHidden/>
              </w:rPr>
              <w:fldChar w:fldCharType="end"/>
            </w:r>
          </w:hyperlink>
        </w:p>
        <w:p w14:paraId="37B58A92" w14:textId="6A767F30" w:rsidR="00792281" w:rsidRDefault="00443B20">
          <w:pPr>
            <w:pStyle w:val="TOC3"/>
            <w:tabs>
              <w:tab w:val="right" w:leader="dot" w:pos="9288"/>
            </w:tabs>
            <w:rPr>
              <w:rFonts w:asciiTheme="minorHAnsi" w:eastAsiaTheme="minorEastAsia" w:hAnsiTheme="minorHAnsi"/>
              <w:noProof/>
              <w:color w:val="auto"/>
            </w:rPr>
          </w:pPr>
          <w:hyperlink w:anchor="_Toc236861475" w:history="1">
            <w:r w:rsidR="00792281" w:rsidRPr="00263EE8">
              <w:rPr>
                <w:rStyle w:val="Hyperlink"/>
                <w:rFonts w:eastAsiaTheme="majorEastAsia" w:cs="Times New Roman"/>
                <w:noProof/>
              </w:rPr>
              <w:t>2.1.3 Liquidity</w:t>
            </w:r>
            <w:r w:rsidR="00792281">
              <w:rPr>
                <w:noProof/>
                <w:webHidden/>
              </w:rPr>
              <w:tab/>
            </w:r>
            <w:r w:rsidR="00792281">
              <w:rPr>
                <w:noProof/>
                <w:webHidden/>
              </w:rPr>
              <w:fldChar w:fldCharType="begin"/>
            </w:r>
            <w:r w:rsidR="00792281">
              <w:rPr>
                <w:noProof/>
                <w:webHidden/>
              </w:rPr>
              <w:instrText xml:space="preserve"> PAGEREF _Toc236861475 \h </w:instrText>
            </w:r>
            <w:r w:rsidR="00792281">
              <w:rPr>
                <w:noProof/>
                <w:webHidden/>
              </w:rPr>
            </w:r>
            <w:r w:rsidR="00792281">
              <w:rPr>
                <w:noProof/>
                <w:webHidden/>
              </w:rPr>
              <w:fldChar w:fldCharType="separate"/>
            </w:r>
            <w:r w:rsidR="00792281">
              <w:rPr>
                <w:noProof/>
                <w:webHidden/>
              </w:rPr>
              <w:t>4</w:t>
            </w:r>
            <w:r w:rsidR="00792281">
              <w:rPr>
                <w:noProof/>
                <w:webHidden/>
              </w:rPr>
              <w:fldChar w:fldCharType="end"/>
            </w:r>
          </w:hyperlink>
        </w:p>
        <w:p w14:paraId="4A91C5CD" w14:textId="25DEFE65" w:rsidR="00792281" w:rsidRDefault="00443B20">
          <w:pPr>
            <w:pStyle w:val="TOC3"/>
            <w:tabs>
              <w:tab w:val="right" w:leader="dot" w:pos="9288"/>
            </w:tabs>
            <w:rPr>
              <w:rFonts w:asciiTheme="minorHAnsi" w:eastAsiaTheme="minorEastAsia" w:hAnsiTheme="minorHAnsi"/>
              <w:noProof/>
              <w:color w:val="auto"/>
            </w:rPr>
          </w:pPr>
          <w:hyperlink w:anchor="_Toc236861476" w:history="1">
            <w:r w:rsidR="00792281" w:rsidRPr="00263EE8">
              <w:rPr>
                <w:rStyle w:val="Hyperlink"/>
                <w:rFonts w:eastAsiaTheme="majorEastAsia" w:cs="Times New Roman"/>
                <w:noProof/>
              </w:rPr>
              <w:t>2.1.4 Gearing and solvency</w:t>
            </w:r>
            <w:r w:rsidR="00792281">
              <w:rPr>
                <w:noProof/>
                <w:webHidden/>
              </w:rPr>
              <w:tab/>
            </w:r>
            <w:r w:rsidR="00792281">
              <w:rPr>
                <w:noProof/>
                <w:webHidden/>
              </w:rPr>
              <w:fldChar w:fldCharType="begin"/>
            </w:r>
            <w:r w:rsidR="00792281">
              <w:rPr>
                <w:noProof/>
                <w:webHidden/>
              </w:rPr>
              <w:instrText xml:space="preserve"> PAGEREF _Toc236861476 \h </w:instrText>
            </w:r>
            <w:r w:rsidR="00792281">
              <w:rPr>
                <w:noProof/>
                <w:webHidden/>
              </w:rPr>
            </w:r>
            <w:r w:rsidR="00792281">
              <w:rPr>
                <w:noProof/>
                <w:webHidden/>
              </w:rPr>
              <w:fldChar w:fldCharType="separate"/>
            </w:r>
            <w:r w:rsidR="00792281">
              <w:rPr>
                <w:noProof/>
                <w:webHidden/>
              </w:rPr>
              <w:t>5</w:t>
            </w:r>
            <w:r w:rsidR="00792281">
              <w:rPr>
                <w:noProof/>
                <w:webHidden/>
              </w:rPr>
              <w:fldChar w:fldCharType="end"/>
            </w:r>
          </w:hyperlink>
        </w:p>
        <w:p w14:paraId="555E1D3E" w14:textId="7921EEB7" w:rsidR="00792281" w:rsidRDefault="00443B20">
          <w:pPr>
            <w:pStyle w:val="TOC3"/>
            <w:tabs>
              <w:tab w:val="right" w:leader="dot" w:pos="9288"/>
            </w:tabs>
            <w:rPr>
              <w:rFonts w:asciiTheme="minorHAnsi" w:eastAsiaTheme="minorEastAsia" w:hAnsiTheme="minorHAnsi"/>
              <w:noProof/>
              <w:color w:val="auto"/>
            </w:rPr>
          </w:pPr>
          <w:hyperlink w:anchor="_Toc236861477" w:history="1">
            <w:r w:rsidR="00792281" w:rsidRPr="00263EE8">
              <w:rPr>
                <w:rStyle w:val="Hyperlink"/>
                <w:rFonts w:eastAsiaTheme="majorEastAsia" w:cs="Times New Roman"/>
                <w:noProof/>
              </w:rPr>
              <w:t>2.1.5 Efficiency and working capital</w:t>
            </w:r>
            <w:r w:rsidR="00792281">
              <w:rPr>
                <w:noProof/>
                <w:webHidden/>
              </w:rPr>
              <w:tab/>
            </w:r>
            <w:r w:rsidR="00792281">
              <w:rPr>
                <w:noProof/>
                <w:webHidden/>
              </w:rPr>
              <w:fldChar w:fldCharType="begin"/>
            </w:r>
            <w:r w:rsidR="00792281">
              <w:rPr>
                <w:noProof/>
                <w:webHidden/>
              </w:rPr>
              <w:instrText xml:space="preserve"> PAGEREF _Toc236861477 \h </w:instrText>
            </w:r>
            <w:r w:rsidR="00792281">
              <w:rPr>
                <w:noProof/>
                <w:webHidden/>
              </w:rPr>
            </w:r>
            <w:r w:rsidR="00792281">
              <w:rPr>
                <w:noProof/>
                <w:webHidden/>
              </w:rPr>
              <w:fldChar w:fldCharType="separate"/>
            </w:r>
            <w:r w:rsidR="00792281">
              <w:rPr>
                <w:noProof/>
                <w:webHidden/>
              </w:rPr>
              <w:t>5</w:t>
            </w:r>
            <w:r w:rsidR="00792281">
              <w:rPr>
                <w:noProof/>
                <w:webHidden/>
              </w:rPr>
              <w:fldChar w:fldCharType="end"/>
            </w:r>
          </w:hyperlink>
        </w:p>
        <w:p w14:paraId="1694B036" w14:textId="508D40A9" w:rsidR="00792281" w:rsidRDefault="00443B20">
          <w:pPr>
            <w:pStyle w:val="TOC3"/>
            <w:tabs>
              <w:tab w:val="right" w:leader="dot" w:pos="9288"/>
            </w:tabs>
            <w:rPr>
              <w:rFonts w:asciiTheme="minorHAnsi" w:eastAsiaTheme="minorEastAsia" w:hAnsiTheme="minorHAnsi"/>
              <w:noProof/>
              <w:color w:val="auto"/>
            </w:rPr>
          </w:pPr>
          <w:hyperlink w:anchor="_Toc236861478" w:history="1">
            <w:r w:rsidR="00792281" w:rsidRPr="00263EE8">
              <w:rPr>
                <w:rStyle w:val="Hyperlink"/>
                <w:rFonts w:eastAsiaTheme="majorEastAsia" w:cs="Times New Roman"/>
                <w:noProof/>
              </w:rPr>
              <w:t>2.1.6 Investor ratios and distributions</w:t>
            </w:r>
            <w:r w:rsidR="00792281">
              <w:rPr>
                <w:noProof/>
                <w:webHidden/>
              </w:rPr>
              <w:tab/>
            </w:r>
            <w:r w:rsidR="00792281">
              <w:rPr>
                <w:noProof/>
                <w:webHidden/>
              </w:rPr>
              <w:fldChar w:fldCharType="begin"/>
            </w:r>
            <w:r w:rsidR="00792281">
              <w:rPr>
                <w:noProof/>
                <w:webHidden/>
              </w:rPr>
              <w:instrText xml:space="preserve"> PAGEREF _Toc236861478 \h </w:instrText>
            </w:r>
            <w:r w:rsidR="00792281">
              <w:rPr>
                <w:noProof/>
                <w:webHidden/>
              </w:rPr>
            </w:r>
            <w:r w:rsidR="00792281">
              <w:rPr>
                <w:noProof/>
                <w:webHidden/>
              </w:rPr>
              <w:fldChar w:fldCharType="separate"/>
            </w:r>
            <w:r w:rsidR="00792281">
              <w:rPr>
                <w:noProof/>
                <w:webHidden/>
              </w:rPr>
              <w:t>5</w:t>
            </w:r>
            <w:r w:rsidR="00792281">
              <w:rPr>
                <w:noProof/>
                <w:webHidden/>
              </w:rPr>
              <w:fldChar w:fldCharType="end"/>
            </w:r>
          </w:hyperlink>
        </w:p>
        <w:p w14:paraId="6138D58A" w14:textId="3AC1FD96" w:rsidR="00792281" w:rsidRDefault="00443B20">
          <w:pPr>
            <w:pStyle w:val="TOC3"/>
            <w:tabs>
              <w:tab w:val="right" w:leader="dot" w:pos="9288"/>
            </w:tabs>
            <w:rPr>
              <w:rFonts w:asciiTheme="minorHAnsi" w:eastAsiaTheme="minorEastAsia" w:hAnsiTheme="minorHAnsi"/>
              <w:noProof/>
              <w:color w:val="auto"/>
            </w:rPr>
          </w:pPr>
          <w:hyperlink w:anchor="_Toc236861479" w:history="1">
            <w:r w:rsidR="00792281" w:rsidRPr="00263EE8">
              <w:rPr>
                <w:rStyle w:val="Hyperlink"/>
                <w:rFonts w:eastAsiaTheme="majorEastAsia" w:cs="Times New Roman"/>
                <w:noProof/>
              </w:rPr>
              <w:t>2.1.7 Integrated evaluation and limitations</w:t>
            </w:r>
            <w:r w:rsidR="00792281">
              <w:rPr>
                <w:noProof/>
                <w:webHidden/>
              </w:rPr>
              <w:tab/>
            </w:r>
            <w:r w:rsidR="00792281">
              <w:rPr>
                <w:noProof/>
                <w:webHidden/>
              </w:rPr>
              <w:fldChar w:fldCharType="begin"/>
            </w:r>
            <w:r w:rsidR="00792281">
              <w:rPr>
                <w:noProof/>
                <w:webHidden/>
              </w:rPr>
              <w:instrText xml:space="preserve"> PAGEREF _Toc236861479 \h </w:instrText>
            </w:r>
            <w:r w:rsidR="00792281">
              <w:rPr>
                <w:noProof/>
                <w:webHidden/>
              </w:rPr>
            </w:r>
            <w:r w:rsidR="00792281">
              <w:rPr>
                <w:noProof/>
                <w:webHidden/>
              </w:rPr>
              <w:fldChar w:fldCharType="separate"/>
            </w:r>
            <w:r w:rsidR="00792281">
              <w:rPr>
                <w:noProof/>
                <w:webHidden/>
              </w:rPr>
              <w:t>6</w:t>
            </w:r>
            <w:r w:rsidR="00792281">
              <w:rPr>
                <w:noProof/>
                <w:webHidden/>
              </w:rPr>
              <w:fldChar w:fldCharType="end"/>
            </w:r>
          </w:hyperlink>
        </w:p>
        <w:p w14:paraId="5C650BBD" w14:textId="7D2CC8B0" w:rsidR="00792281" w:rsidRDefault="00443B20">
          <w:pPr>
            <w:pStyle w:val="TOC3"/>
            <w:tabs>
              <w:tab w:val="right" w:leader="dot" w:pos="9288"/>
            </w:tabs>
            <w:rPr>
              <w:rFonts w:asciiTheme="minorHAnsi" w:eastAsiaTheme="minorEastAsia" w:hAnsiTheme="minorHAnsi"/>
              <w:noProof/>
              <w:color w:val="auto"/>
            </w:rPr>
          </w:pPr>
          <w:hyperlink w:anchor="_Toc236861480" w:history="1">
            <w:r w:rsidR="00792281" w:rsidRPr="00263EE8">
              <w:rPr>
                <w:rStyle w:val="Hyperlink"/>
                <w:rFonts w:eastAsiaTheme="majorEastAsia" w:cs="Times New Roman"/>
                <w:noProof/>
              </w:rPr>
              <w:t>2.1.8 Recommendations for Vodafone</w:t>
            </w:r>
            <w:r w:rsidR="00792281">
              <w:rPr>
                <w:noProof/>
                <w:webHidden/>
              </w:rPr>
              <w:tab/>
            </w:r>
            <w:r w:rsidR="00792281">
              <w:rPr>
                <w:noProof/>
                <w:webHidden/>
              </w:rPr>
              <w:fldChar w:fldCharType="begin"/>
            </w:r>
            <w:r w:rsidR="00792281">
              <w:rPr>
                <w:noProof/>
                <w:webHidden/>
              </w:rPr>
              <w:instrText xml:space="preserve"> PAGEREF _Toc236861480 \h </w:instrText>
            </w:r>
            <w:r w:rsidR="00792281">
              <w:rPr>
                <w:noProof/>
                <w:webHidden/>
              </w:rPr>
            </w:r>
            <w:r w:rsidR="00792281">
              <w:rPr>
                <w:noProof/>
                <w:webHidden/>
              </w:rPr>
              <w:fldChar w:fldCharType="separate"/>
            </w:r>
            <w:r w:rsidR="00792281">
              <w:rPr>
                <w:noProof/>
                <w:webHidden/>
              </w:rPr>
              <w:t>6</w:t>
            </w:r>
            <w:r w:rsidR="00792281">
              <w:rPr>
                <w:noProof/>
                <w:webHidden/>
              </w:rPr>
              <w:fldChar w:fldCharType="end"/>
            </w:r>
          </w:hyperlink>
        </w:p>
        <w:p w14:paraId="2B802E20" w14:textId="09C36B9C" w:rsidR="00792281" w:rsidRDefault="00443B20">
          <w:pPr>
            <w:pStyle w:val="TOC2"/>
            <w:tabs>
              <w:tab w:val="right" w:leader="dot" w:pos="9288"/>
            </w:tabs>
            <w:rPr>
              <w:rFonts w:asciiTheme="minorHAnsi" w:eastAsiaTheme="minorEastAsia" w:hAnsiTheme="minorHAnsi"/>
              <w:noProof/>
              <w:color w:val="auto"/>
            </w:rPr>
          </w:pPr>
          <w:hyperlink w:anchor="_Toc236861481" w:history="1">
            <w:r w:rsidR="00792281" w:rsidRPr="00263EE8">
              <w:rPr>
                <w:rStyle w:val="Hyperlink"/>
                <w:rFonts w:eastAsiaTheme="majorEastAsia" w:cs="Times New Roman"/>
                <w:noProof/>
              </w:rPr>
              <w:t>2.2 Part 2 — Capital investment appraisal for Beard Plc</w:t>
            </w:r>
            <w:r w:rsidR="00792281">
              <w:rPr>
                <w:noProof/>
                <w:webHidden/>
              </w:rPr>
              <w:tab/>
            </w:r>
            <w:r w:rsidR="00792281">
              <w:rPr>
                <w:noProof/>
                <w:webHidden/>
              </w:rPr>
              <w:fldChar w:fldCharType="begin"/>
            </w:r>
            <w:r w:rsidR="00792281">
              <w:rPr>
                <w:noProof/>
                <w:webHidden/>
              </w:rPr>
              <w:instrText xml:space="preserve"> PAGEREF _Toc236861481 \h </w:instrText>
            </w:r>
            <w:r w:rsidR="00792281">
              <w:rPr>
                <w:noProof/>
                <w:webHidden/>
              </w:rPr>
            </w:r>
            <w:r w:rsidR="00792281">
              <w:rPr>
                <w:noProof/>
                <w:webHidden/>
              </w:rPr>
              <w:fldChar w:fldCharType="separate"/>
            </w:r>
            <w:r w:rsidR="00792281">
              <w:rPr>
                <w:noProof/>
                <w:webHidden/>
              </w:rPr>
              <w:t>7</w:t>
            </w:r>
            <w:r w:rsidR="00792281">
              <w:rPr>
                <w:noProof/>
                <w:webHidden/>
              </w:rPr>
              <w:fldChar w:fldCharType="end"/>
            </w:r>
          </w:hyperlink>
        </w:p>
        <w:p w14:paraId="6F763AA5" w14:textId="2E513763" w:rsidR="00792281" w:rsidRDefault="00443B20">
          <w:pPr>
            <w:pStyle w:val="TOC3"/>
            <w:tabs>
              <w:tab w:val="right" w:leader="dot" w:pos="9288"/>
            </w:tabs>
            <w:rPr>
              <w:rFonts w:asciiTheme="minorHAnsi" w:eastAsiaTheme="minorEastAsia" w:hAnsiTheme="minorHAnsi"/>
              <w:noProof/>
              <w:color w:val="auto"/>
            </w:rPr>
          </w:pPr>
          <w:hyperlink w:anchor="_Toc236861482" w:history="1">
            <w:r w:rsidR="00792281" w:rsidRPr="00263EE8">
              <w:rPr>
                <w:rStyle w:val="Hyperlink"/>
                <w:rFonts w:eastAsiaTheme="majorEastAsia" w:cs="Times New Roman"/>
                <w:noProof/>
              </w:rPr>
              <w:t>2.2.1 Case assumptions and after-tax cash flows</w:t>
            </w:r>
            <w:r w:rsidR="00792281">
              <w:rPr>
                <w:noProof/>
                <w:webHidden/>
              </w:rPr>
              <w:tab/>
            </w:r>
            <w:r w:rsidR="00792281">
              <w:rPr>
                <w:noProof/>
                <w:webHidden/>
              </w:rPr>
              <w:fldChar w:fldCharType="begin"/>
            </w:r>
            <w:r w:rsidR="00792281">
              <w:rPr>
                <w:noProof/>
                <w:webHidden/>
              </w:rPr>
              <w:instrText xml:space="preserve"> PAGEREF _Toc236861482 \h </w:instrText>
            </w:r>
            <w:r w:rsidR="00792281">
              <w:rPr>
                <w:noProof/>
                <w:webHidden/>
              </w:rPr>
            </w:r>
            <w:r w:rsidR="00792281">
              <w:rPr>
                <w:noProof/>
                <w:webHidden/>
              </w:rPr>
              <w:fldChar w:fldCharType="separate"/>
            </w:r>
            <w:r w:rsidR="00792281">
              <w:rPr>
                <w:noProof/>
                <w:webHidden/>
              </w:rPr>
              <w:t>7</w:t>
            </w:r>
            <w:r w:rsidR="00792281">
              <w:rPr>
                <w:noProof/>
                <w:webHidden/>
              </w:rPr>
              <w:fldChar w:fldCharType="end"/>
            </w:r>
          </w:hyperlink>
        </w:p>
        <w:p w14:paraId="25B4AE8D" w14:textId="18E7C2BF" w:rsidR="00792281" w:rsidRDefault="00443B20">
          <w:pPr>
            <w:pStyle w:val="TOC3"/>
            <w:tabs>
              <w:tab w:val="right" w:leader="dot" w:pos="9288"/>
            </w:tabs>
            <w:rPr>
              <w:rFonts w:asciiTheme="minorHAnsi" w:eastAsiaTheme="minorEastAsia" w:hAnsiTheme="minorHAnsi"/>
              <w:noProof/>
              <w:color w:val="auto"/>
            </w:rPr>
          </w:pPr>
          <w:hyperlink w:anchor="_Toc236861483" w:history="1">
            <w:r w:rsidR="00792281" w:rsidRPr="00263EE8">
              <w:rPr>
                <w:rStyle w:val="Hyperlink"/>
                <w:rFonts w:eastAsiaTheme="majorEastAsia" w:cs="Times New Roman"/>
                <w:noProof/>
              </w:rPr>
              <w:t>2.2.2 Net present value results</w:t>
            </w:r>
            <w:r w:rsidR="00792281">
              <w:rPr>
                <w:noProof/>
                <w:webHidden/>
              </w:rPr>
              <w:tab/>
            </w:r>
            <w:r w:rsidR="00792281">
              <w:rPr>
                <w:noProof/>
                <w:webHidden/>
              </w:rPr>
              <w:fldChar w:fldCharType="begin"/>
            </w:r>
            <w:r w:rsidR="00792281">
              <w:rPr>
                <w:noProof/>
                <w:webHidden/>
              </w:rPr>
              <w:instrText xml:space="preserve"> PAGEREF _Toc236861483 \h </w:instrText>
            </w:r>
            <w:r w:rsidR="00792281">
              <w:rPr>
                <w:noProof/>
                <w:webHidden/>
              </w:rPr>
            </w:r>
            <w:r w:rsidR="00792281">
              <w:rPr>
                <w:noProof/>
                <w:webHidden/>
              </w:rPr>
              <w:fldChar w:fldCharType="separate"/>
            </w:r>
            <w:r w:rsidR="00792281">
              <w:rPr>
                <w:noProof/>
                <w:webHidden/>
              </w:rPr>
              <w:t>7</w:t>
            </w:r>
            <w:r w:rsidR="00792281">
              <w:rPr>
                <w:noProof/>
                <w:webHidden/>
              </w:rPr>
              <w:fldChar w:fldCharType="end"/>
            </w:r>
          </w:hyperlink>
        </w:p>
        <w:p w14:paraId="1F990C33" w14:textId="26C50138" w:rsidR="00792281" w:rsidRDefault="00443B20">
          <w:pPr>
            <w:pStyle w:val="TOC3"/>
            <w:tabs>
              <w:tab w:val="right" w:leader="dot" w:pos="9288"/>
            </w:tabs>
            <w:rPr>
              <w:rFonts w:asciiTheme="minorHAnsi" w:eastAsiaTheme="minorEastAsia" w:hAnsiTheme="minorHAnsi"/>
              <w:noProof/>
              <w:color w:val="auto"/>
            </w:rPr>
          </w:pPr>
          <w:hyperlink w:anchor="_Toc236861484" w:history="1">
            <w:r w:rsidR="00792281" w:rsidRPr="00263EE8">
              <w:rPr>
                <w:rStyle w:val="Hyperlink"/>
                <w:rFonts w:eastAsiaTheme="majorEastAsia" w:cs="Times New Roman"/>
                <w:noProof/>
              </w:rPr>
              <w:t>2.2.3 Approximate internal rate of return for Option C</w:t>
            </w:r>
            <w:r w:rsidR="00792281">
              <w:rPr>
                <w:noProof/>
                <w:webHidden/>
              </w:rPr>
              <w:tab/>
            </w:r>
            <w:r w:rsidR="00792281">
              <w:rPr>
                <w:noProof/>
                <w:webHidden/>
              </w:rPr>
              <w:fldChar w:fldCharType="begin"/>
            </w:r>
            <w:r w:rsidR="00792281">
              <w:rPr>
                <w:noProof/>
                <w:webHidden/>
              </w:rPr>
              <w:instrText xml:space="preserve"> PAGEREF _Toc236861484 \h </w:instrText>
            </w:r>
            <w:r w:rsidR="00792281">
              <w:rPr>
                <w:noProof/>
                <w:webHidden/>
              </w:rPr>
            </w:r>
            <w:r w:rsidR="00792281">
              <w:rPr>
                <w:noProof/>
                <w:webHidden/>
              </w:rPr>
              <w:fldChar w:fldCharType="separate"/>
            </w:r>
            <w:r w:rsidR="00792281">
              <w:rPr>
                <w:noProof/>
                <w:webHidden/>
              </w:rPr>
              <w:t>8</w:t>
            </w:r>
            <w:r w:rsidR="00792281">
              <w:rPr>
                <w:noProof/>
                <w:webHidden/>
              </w:rPr>
              <w:fldChar w:fldCharType="end"/>
            </w:r>
          </w:hyperlink>
        </w:p>
        <w:p w14:paraId="4D75C41D" w14:textId="6AB1C47C" w:rsidR="00792281" w:rsidRDefault="00443B20">
          <w:pPr>
            <w:pStyle w:val="TOC3"/>
            <w:tabs>
              <w:tab w:val="right" w:leader="dot" w:pos="9288"/>
            </w:tabs>
            <w:rPr>
              <w:rFonts w:asciiTheme="minorHAnsi" w:eastAsiaTheme="minorEastAsia" w:hAnsiTheme="minorHAnsi"/>
              <w:noProof/>
              <w:color w:val="auto"/>
            </w:rPr>
          </w:pPr>
          <w:hyperlink w:anchor="_Toc236861485" w:history="1">
            <w:r w:rsidR="00792281" w:rsidRPr="00263EE8">
              <w:rPr>
                <w:rStyle w:val="Hyperlink"/>
                <w:rFonts w:eastAsiaTheme="majorEastAsia" w:cs="Times New Roman"/>
                <w:noProof/>
              </w:rPr>
              <w:t>2.2.4 The theoretical case for NPV</w:t>
            </w:r>
            <w:r w:rsidR="00792281">
              <w:rPr>
                <w:noProof/>
                <w:webHidden/>
              </w:rPr>
              <w:tab/>
            </w:r>
            <w:r w:rsidR="00792281">
              <w:rPr>
                <w:noProof/>
                <w:webHidden/>
              </w:rPr>
              <w:fldChar w:fldCharType="begin"/>
            </w:r>
            <w:r w:rsidR="00792281">
              <w:rPr>
                <w:noProof/>
                <w:webHidden/>
              </w:rPr>
              <w:instrText xml:space="preserve"> PAGEREF _Toc236861485 \h </w:instrText>
            </w:r>
            <w:r w:rsidR="00792281">
              <w:rPr>
                <w:noProof/>
                <w:webHidden/>
              </w:rPr>
            </w:r>
            <w:r w:rsidR="00792281">
              <w:rPr>
                <w:noProof/>
                <w:webHidden/>
              </w:rPr>
              <w:fldChar w:fldCharType="separate"/>
            </w:r>
            <w:r w:rsidR="00792281">
              <w:rPr>
                <w:noProof/>
                <w:webHidden/>
              </w:rPr>
              <w:t>8</w:t>
            </w:r>
            <w:r w:rsidR="00792281">
              <w:rPr>
                <w:noProof/>
                <w:webHidden/>
              </w:rPr>
              <w:fldChar w:fldCharType="end"/>
            </w:r>
          </w:hyperlink>
        </w:p>
        <w:p w14:paraId="39F1603B" w14:textId="778BE450" w:rsidR="00792281" w:rsidRDefault="00443B20">
          <w:pPr>
            <w:pStyle w:val="TOC3"/>
            <w:tabs>
              <w:tab w:val="right" w:leader="dot" w:pos="9288"/>
            </w:tabs>
            <w:rPr>
              <w:rFonts w:asciiTheme="minorHAnsi" w:eastAsiaTheme="minorEastAsia" w:hAnsiTheme="minorHAnsi"/>
              <w:noProof/>
              <w:color w:val="auto"/>
            </w:rPr>
          </w:pPr>
          <w:hyperlink w:anchor="_Toc236861486" w:history="1">
            <w:r w:rsidR="00792281" w:rsidRPr="00263EE8">
              <w:rPr>
                <w:rStyle w:val="Hyperlink"/>
                <w:rFonts w:eastAsiaTheme="majorEastAsia" w:cs="Times New Roman"/>
                <w:noProof/>
              </w:rPr>
              <w:t>2.2.5 Why non-discounting methods remain popular</w:t>
            </w:r>
            <w:r w:rsidR="00792281">
              <w:rPr>
                <w:noProof/>
                <w:webHidden/>
              </w:rPr>
              <w:tab/>
            </w:r>
            <w:r w:rsidR="00792281">
              <w:rPr>
                <w:noProof/>
                <w:webHidden/>
              </w:rPr>
              <w:fldChar w:fldCharType="begin"/>
            </w:r>
            <w:r w:rsidR="00792281">
              <w:rPr>
                <w:noProof/>
                <w:webHidden/>
              </w:rPr>
              <w:instrText xml:space="preserve"> PAGEREF _Toc236861486 \h </w:instrText>
            </w:r>
            <w:r w:rsidR="00792281">
              <w:rPr>
                <w:noProof/>
                <w:webHidden/>
              </w:rPr>
            </w:r>
            <w:r w:rsidR="00792281">
              <w:rPr>
                <w:noProof/>
                <w:webHidden/>
              </w:rPr>
              <w:fldChar w:fldCharType="separate"/>
            </w:r>
            <w:r w:rsidR="00792281">
              <w:rPr>
                <w:noProof/>
                <w:webHidden/>
              </w:rPr>
              <w:t>8</w:t>
            </w:r>
            <w:r w:rsidR="00792281">
              <w:rPr>
                <w:noProof/>
                <w:webHidden/>
              </w:rPr>
              <w:fldChar w:fldCharType="end"/>
            </w:r>
          </w:hyperlink>
        </w:p>
        <w:p w14:paraId="7C058D26" w14:textId="26C9E3F1" w:rsidR="00792281" w:rsidRDefault="00443B20">
          <w:pPr>
            <w:pStyle w:val="TOC3"/>
            <w:tabs>
              <w:tab w:val="right" w:leader="dot" w:pos="9288"/>
            </w:tabs>
            <w:rPr>
              <w:rFonts w:asciiTheme="minorHAnsi" w:eastAsiaTheme="minorEastAsia" w:hAnsiTheme="minorHAnsi"/>
              <w:noProof/>
              <w:color w:val="auto"/>
            </w:rPr>
          </w:pPr>
          <w:hyperlink w:anchor="_Toc236861487" w:history="1">
            <w:r w:rsidR="00792281" w:rsidRPr="00263EE8">
              <w:rPr>
                <w:rStyle w:val="Hyperlink"/>
                <w:rFonts w:eastAsiaTheme="majorEastAsia" w:cs="Times New Roman"/>
                <w:noProof/>
              </w:rPr>
              <w:t>2.2.6 Other factors before approval</w:t>
            </w:r>
            <w:r w:rsidR="00792281">
              <w:rPr>
                <w:noProof/>
                <w:webHidden/>
              </w:rPr>
              <w:tab/>
            </w:r>
            <w:r w:rsidR="00792281">
              <w:rPr>
                <w:noProof/>
                <w:webHidden/>
              </w:rPr>
              <w:fldChar w:fldCharType="begin"/>
            </w:r>
            <w:r w:rsidR="00792281">
              <w:rPr>
                <w:noProof/>
                <w:webHidden/>
              </w:rPr>
              <w:instrText xml:space="preserve"> PAGEREF _Toc236861487 \h </w:instrText>
            </w:r>
            <w:r w:rsidR="00792281">
              <w:rPr>
                <w:noProof/>
                <w:webHidden/>
              </w:rPr>
            </w:r>
            <w:r w:rsidR="00792281">
              <w:rPr>
                <w:noProof/>
                <w:webHidden/>
              </w:rPr>
              <w:fldChar w:fldCharType="separate"/>
            </w:r>
            <w:r w:rsidR="00792281">
              <w:rPr>
                <w:noProof/>
                <w:webHidden/>
              </w:rPr>
              <w:t>8</w:t>
            </w:r>
            <w:r w:rsidR="00792281">
              <w:rPr>
                <w:noProof/>
                <w:webHidden/>
              </w:rPr>
              <w:fldChar w:fldCharType="end"/>
            </w:r>
          </w:hyperlink>
        </w:p>
        <w:p w14:paraId="7C04E336" w14:textId="4C1BFB6E" w:rsidR="00792281" w:rsidRDefault="00443B20">
          <w:pPr>
            <w:pStyle w:val="TOC3"/>
            <w:tabs>
              <w:tab w:val="right" w:leader="dot" w:pos="9288"/>
            </w:tabs>
            <w:rPr>
              <w:rFonts w:asciiTheme="minorHAnsi" w:eastAsiaTheme="minorEastAsia" w:hAnsiTheme="minorHAnsi"/>
              <w:noProof/>
              <w:color w:val="auto"/>
            </w:rPr>
          </w:pPr>
          <w:hyperlink w:anchor="_Toc236861488" w:history="1">
            <w:r w:rsidR="00792281" w:rsidRPr="00263EE8">
              <w:rPr>
                <w:rStyle w:val="Hyperlink"/>
                <w:rFonts w:eastAsiaTheme="majorEastAsia" w:cs="Times New Roman"/>
                <w:noProof/>
              </w:rPr>
              <w:t>2.2.7 Capital rationing</w:t>
            </w:r>
            <w:r w:rsidR="00792281">
              <w:rPr>
                <w:noProof/>
                <w:webHidden/>
              </w:rPr>
              <w:tab/>
            </w:r>
            <w:r w:rsidR="00792281">
              <w:rPr>
                <w:noProof/>
                <w:webHidden/>
              </w:rPr>
              <w:fldChar w:fldCharType="begin"/>
            </w:r>
            <w:r w:rsidR="00792281">
              <w:rPr>
                <w:noProof/>
                <w:webHidden/>
              </w:rPr>
              <w:instrText xml:space="preserve"> PAGEREF _Toc236861488 \h </w:instrText>
            </w:r>
            <w:r w:rsidR="00792281">
              <w:rPr>
                <w:noProof/>
                <w:webHidden/>
              </w:rPr>
            </w:r>
            <w:r w:rsidR="00792281">
              <w:rPr>
                <w:noProof/>
                <w:webHidden/>
              </w:rPr>
              <w:fldChar w:fldCharType="separate"/>
            </w:r>
            <w:r w:rsidR="00792281">
              <w:rPr>
                <w:noProof/>
                <w:webHidden/>
              </w:rPr>
              <w:t>9</w:t>
            </w:r>
            <w:r w:rsidR="00792281">
              <w:rPr>
                <w:noProof/>
                <w:webHidden/>
              </w:rPr>
              <w:fldChar w:fldCharType="end"/>
            </w:r>
          </w:hyperlink>
        </w:p>
        <w:p w14:paraId="628D8AEC" w14:textId="7914F382" w:rsidR="00792281" w:rsidRDefault="00443B20">
          <w:pPr>
            <w:pStyle w:val="TOC3"/>
            <w:tabs>
              <w:tab w:val="right" w:leader="dot" w:pos="9288"/>
            </w:tabs>
            <w:rPr>
              <w:rFonts w:asciiTheme="minorHAnsi" w:eastAsiaTheme="minorEastAsia" w:hAnsiTheme="minorHAnsi"/>
              <w:noProof/>
              <w:color w:val="auto"/>
            </w:rPr>
          </w:pPr>
          <w:hyperlink w:anchor="_Toc236861489" w:history="1">
            <w:r w:rsidR="00792281" w:rsidRPr="00263EE8">
              <w:rPr>
                <w:rStyle w:val="Hyperlink"/>
                <w:rFonts w:eastAsiaTheme="majorEastAsia" w:cs="Times New Roman"/>
                <w:noProof/>
              </w:rPr>
              <w:t>2.2.8 Recommendation</w:t>
            </w:r>
            <w:r w:rsidR="00792281">
              <w:rPr>
                <w:noProof/>
                <w:webHidden/>
              </w:rPr>
              <w:tab/>
            </w:r>
            <w:r w:rsidR="00792281">
              <w:rPr>
                <w:noProof/>
                <w:webHidden/>
              </w:rPr>
              <w:fldChar w:fldCharType="begin"/>
            </w:r>
            <w:r w:rsidR="00792281">
              <w:rPr>
                <w:noProof/>
                <w:webHidden/>
              </w:rPr>
              <w:instrText xml:space="preserve"> PAGEREF _Toc236861489 \h </w:instrText>
            </w:r>
            <w:r w:rsidR="00792281">
              <w:rPr>
                <w:noProof/>
                <w:webHidden/>
              </w:rPr>
            </w:r>
            <w:r w:rsidR="00792281">
              <w:rPr>
                <w:noProof/>
                <w:webHidden/>
              </w:rPr>
              <w:fldChar w:fldCharType="separate"/>
            </w:r>
            <w:r w:rsidR="00792281">
              <w:rPr>
                <w:noProof/>
                <w:webHidden/>
              </w:rPr>
              <w:t>9</w:t>
            </w:r>
            <w:r w:rsidR="00792281">
              <w:rPr>
                <w:noProof/>
                <w:webHidden/>
              </w:rPr>
              <w:fldChar w:fldCharType="end"/>
            </w:r>
          </w:hyperlink>
        </w:p>
        <w:p w14:paraId="6B1766C2" w14:textId="15EEBDED" w:rsidR="00792281" w:rsidRDefault="00443B20">
          <w:pPr>
            <w:pStyle w:val="TOC3"/>
            <w:tabs>
              <w:tab w:val="right" w:leader="dot" w:pos="9288"/>
            </w:tabs>
            <w:rPr>
              <w:rFonts w:asciiTheme="minorHAnsi" w:eastAsiaTheme="minorEastAsia" w:hAnsiTheme="minorHAnsi"/>
              <w:noProof/>
              <w:color w:val="auto"/>
            </w:rPr>
          </w:pPr>
          <w:hyperlink w:anchor="_Toc236861490" w:history="1">
            <w:r w:rsidR="00792281" w:rsidRPr="00263EE8">
              <w:rPr>
                <w:rStyle w:val="Hyperlink"/>
                <w:rFonts w:eastAsiaTheme="majorEastAsia" w:cs="Times New Roman"/>
                <w:noProof/>
              </w:rPr>
              <w:t>2.2.9 Financing the recommended programme</w:t>
            </w:r>
            <w:r w:rsidR="00792281">
              <w:rPr>
                <w:noProof/>
                <w:webHidden/>
              </w:rPr>
              <w:tab/>
            </w:r>
            <w:r w:rsidR="00792281">
              <w:rPr>
                <w:noProof/>
                <w:webHidden/>
              </w:rPr>
              <w:fldChar w:fldCharType="begin"/>
            </w:r>
            <w:r w:rsidR="00792281">
              <w:rPr>
                <w:noProof/>
                <w:webHidden/>
              </w:rPr>
              <w:instrText xml:space="preserve"> PAGEREF _Toc236861490 \h </w:instrText>
            </w:r>
            <w:r w:rsidR="00792281">
              <w:rPr>
                <w:noProof/>
                <w:webHidden/>
              </w:rPr>
            </w:r>
            <w:r w:rsidR="00792281">
              <w:rPr>
                <w:noProof/>
                <w:webHidden/>
              </w:rPr>
              <w:fldChar w:fldCharType="separate"/>
            </w:r>
            <w:r w:rsidR="00792281">
              <w:rPr>
                <w:noProof/>
                <w:webHidden/>
              </w:rPr>
              <w:t>9</w:t>
            </w:r>
            <w:r w:rsidR="00792281">
              <w:rPr>
                <w:noProof/>
                <w:webHidden/>
              </w:rPr>
              <w:fldChar w:fldCharType="end"/>
            </w:r>
          </w:hyperlink>
        </w:p>
        <w:p w14:paraId="7BCE174F" w14:textId="2D0F5D6C" w:rsidR="00792281" w:rsidRDefault="00443B20">
          <w:pPr>
            <w:pStyle w:val="TOC1"/>
            <w:tabs>
              <w:tab w:val="right" w:leader="dot" w:pos="9288"/>
            </w:tabs>
            <w:rPr>
              <w:rFonts w:asciiTheme="minorHAnsi" w:eastAsiaTheme="minorEastAsia" w:hAnsiTheme="minorHAnsi"/>
              <w:noProof/>
              <w:color w:val="auto"/>
            </w:rPr>
          </w:pPr>
          <w:hyperlink w:anchor="_Toc236861491" w:history="1">
            <w:r w:rsidR="00792281" w:rsidRPr="00263EE8">
              <w:rPr>
                <w:rStyle w:val="Hyperlink"/>
                <w:rFonts w:eastAsiaTheme="majorEastAsia" w:cs="Times New Roman"/>
                <w:noProof/>
              </w:rPr>
              <w:t>3. Conclusion</w:t>
            </w:r>
            <w:r w:rsidR="00792281">
              <w:rPr>
                <w:noProof/>
                <w:webHidden/>
              </w:rPr>
              <w:tab/>
            </w:r>
            <w:r w:rsidR="00792281">
              <w:rPr>
                <w:noProof/>
                <w:webHidden/>
              </w:rPr>
              <w:fldChar w:fldCharType="begin"/>
            </w:r>
            <w:r w:rsidR="00792281">
              <w:rPr>
                <w:noProof/>
                <w:webHidden/>
              </w:rPr>
              <w:instrText xml:space="preserve"> PAGEREF _Toc236861491 \h </w:instrText>
            </w:r>
            <w:r w:rsidR="00792281">
              <w:rPr>
                <w:noProof/>
                <w:webHidden/>
              </w:rPr>
            </w:r>
            <w:r w:rsidR="00792281">
              <w:rPr>
                <w:noProof/>
                <w:webHidden/>
              </w:rPr>
              <w:fldChar w:fldCharType="separate"/>
            </w:r>
            <w:r w:rsidR="00792281">
              <w:rPr>
                <w:noProof/>
                <w:webHidden/>
              </w:rPr>
              <w:t>10</w:t>
            </w:r>
            <w:r w:rsidR="00792281">
              <w:rPr>
                <w:noProof/>
                <w:webHidden/>
              </w:rPr>
              <w:fldChar w:fldCharType="end"/>
            </w:r>
          </w:hyperlink>
        </w:p>
        <w:p w14:paraId="2C613533" w14:textId="4B199161" w:rsidR="00792281" w:rsidRDefault="00443B20">
          <w:pPr>
            <w:pStyle w:val="TOC1"/>
            <w:tabs>
              <w:tab w:val="right" w:leader="dot" w:pos="9288"/>
            </w:tabs>
            <w:rPr>
              <w:rFonts w:asciiTheme="minorHAnsi" w:eastAsiaTheme="minorEastAsia" w:hAnsiTheme="minorHAnsi"/>
              <w:noProof/>
              <w:color w:val="auto"/>
            </w:rPr>
          </w:pPr>
          <w:hyperlink w:anchor="_Toc236861492" w:history="1">
            <w:r w:rsidR="00792281" w:rsidRPr="00263EE8">
              <w:rPr>
                <w:rStyle w:val="Hyperlink"/>
                <w:rFonts w:eastAsiaTheme="majorEastAsia" w:cs="Times New Roman"/>
                <w:noProof/>
              </w:rPr>
              <w:t>References</w:t>
            </w:r>
            <w:r w:rsidR="00792281">
              <w:rPr>
                <w:noProof/>
                <w:webHidden/>
              </w:rPr>
              <w:tab/>
            </w:r>
            <w:r w:rsidR="00792281">
              <w:rPr>
                <w:noProof/>
                <w:webHidden/>
              </w:rPr>
              <w:fldChar w:fldCharType="begin"/>
            </w:r>
            <w:r w:rsidR="00792281">
              <w:rPr>
                <w:noProof/>
                <w:webHidden/>
              </w:rPr>
              <w:instrText xml:space="preserve"> PAGEREF _Toc236861492 \h </w:instrText>
            </w:r>
            <w:r w:rsidR="00792281">
              <w:rPr>
                <w:noProof/>
                <w:webHidden/>
              </w:rPr>
            </w:r>
            <w:r w:rsidR="00792281">
              <w:rPr>
                <w:noProof/>
                <w:webHidden/>
              </w:rPr>
              <w:fldChar w:fldCharType="separate"/>
            </w:r>
            <w:r w:rsidR="00792281">
              <w:rPr>
                <w:noProof/>
                <w:webHidden/>
              </w:rPr>
              <w:t>12</w:t>
            </w:r>
            <w:r w:rsidR="00792281">
              <w:rPr>
                <w:noProof/>
                <w:webHidden/>
              </w:rPr>
              <w:fldChar w:fldCharType="end"/>
            </w:r>
          </w:hyperlink>
        </w:p>
        <w:p w14:paraId="2842B6FA" w14:textId="103A46AD" w:rsidR="00792281" w:rsidRDefault="00443B20">
          <w:pPr>
            <w:pStyle w:val="TOC1"/>
            <w:tabs>
              <w:tab w:val="right" w:leader="dot" w:pos="9288"/>
            </w:tabs>
            <w:rPr>
              <w:rFonts w:asciiTheme="minorHAnsi" w:eastAsiaTheme="minorEastAsia" w:hAnsiTheme="minorHAnsi"/>
              <w:noProof/>
              <w:color w:val="auto"/>
            </w:rPr>
          </w:pPr>
          <w:hyperlink w:anchor="_Toc236861493" w:history="1">
            <w:r w:rsidR="00792281" w:rsidRPr="00263EE8">
              <w:rPr>
                <w:rStyle w:val="Hyperlink"/>
                <w:rFonts w:eastAsiaTheme="majorEastAsia" w:cs="Times New Roman"/>
                <w:noProof/>
              </w:rPr>
              <w:t>Appendix A — Vodafone financial statement extracts</w:t>
            </w:r>
            <w:r w:rsidR="00792281">
              <w:rPr>
                <w:noProof/>
                <w:webHidden/>
              </w:rPr>
              <w:tab/>
            </w:r>
            <w:r w:rsidR="00792281">
              <w:rPr>
                <w:noProof/>
                <w:webHidden/>
              </w:rPr>
              <w:fldChar w:fldCharType="begin"/>
            </w:r>
            <w:r w:rsidR="00792281">
              <w:rPr>
                <w:noProof/>
                <w:webHidden/>
              </w:rPr>
              <w:instrText xml:space="preserve"> PAGEREF _Toc236861493 \h </w:instrText>
            </w:r>
            <w:r w:rsidR="00792281">
              <w:rPr>
                <w:noProof/>
                <w:webHidden/>
              </w:rPr>
            </w:r>
            <w:r w:rsidR="00792281">
              <w:rPr>
                <w:noProof/>
                <w:webHidden/>
              </w:rPr>
              <w:fldChar w:fldCharType="separate"/>
            </w:r>
            <w:r w:rsidR="00792281">
              <w:rPr>
                <w:noProof/>
                <w:webHidden/>
              </w:rPr>
              <w:t>15</w:t>
            </w:r>
            <w:r w:rsidR="00792281">
              <w:rPr>
                <w:noProof/>
                <w:webHidden/>
              </w:rPr>
              <w:fldChar w:fldCharType="end"/>
            </w:r>
          </w:hyperlink>
        </w:p>
        <w:p w14:paraId="2272594F" w14:textId="4F30B3F7" w:rsidR="00792281" w:rsidRDefault="00443B20">
          <w:pPr>
            <w:pStyle w:val="TOC1"/>
            <w:tabs>
              <w:tab w:val="right" w:leader="dot" w:pos="9288"/>
            </w:tabs>
            <w:rPr>
              <w:rFonts w:asciiTheme="minorHAnsi" w:eastAsiaTheme="minorEastAsia" w:hAnsiTheme="minorHAnsi"/>
              <w:noProof/>
              <w:color w:val="auto"/>
            </w:rPr>
          </w:pPr>
          <w:hyperlink w:anchor="_Toc236861494" w:history="1">
            <w:r w:rsidR="00792281" w:rsidRPr="00263EE8">
              <w:rPr>
                <w:rStyle w:val="Hyperlink"/>
                <w:rFonts w:eastAsiaTheme="majorEastAsia" w:cs="Times New Roman"/>
                <w:noProof/>
              </w:rPr>
              <w:t>Appendix B — Vodafone ratio calculations</w:t>
            </w:r>
            <w:r w:rsidR="00792281">
              <w:rPr>
                <w:noProof/>
                <w:webHidden/>
              </w:rPr>
              <w:tab/>
            </w:r>
            <w:r w:rsidR="00792281">
              <w:rPr>
                <w:noProof/>
                <w:webHidden/>
              </w:rPr>
              <w:fldChar w:fldCharType="begin"/>
            </w:r>
            <w:r w:rsidR="00792281">
              <w:rPr>
                <w:noProof/>
                <w:webHidden/>
              </w:rPr>
              <w:instrText xml:space="preserve"> PAGEREF _Toc236861494 \h </w:instrText>
            </w:r>
            <w:r w:rsidR="00792281">
              <w:rPr>
                <w:noProof/>
                <w:webHidden/>
              </w:rPr>
            </w:r>
            <w:r w:rsidR="00792281">
              <w:rPr>
                <w:noProof/>
                <w:webHidden/>
              </w:rPr>
              <w:fldChar w:fldCharType="separate"/>
            </w:r>
            <w:r w:rsidR="00792281">
              <w:rPr>
                <w:noProof/>
                <w:webHidden/>
              </w:rPr>
              <w:t>17</w:t>
            </w:r>
            <w:r w:rsidR="00792281">
              <w:rPr>
                <w:noProof/>
                <w:webHidden/>
              </w:rPr>
              <w:fldChar w:fldCharType="end"/>
            </w:r>
          </w:hyperlink>
        </w:p>
        <w:p w14:paraId="17D8DFED" w14:textId="0562C90C" w:rsidR="00792281" w:rsidRDefault="00443B20">
          <w:pPr>
            <w:pStyle w:val="TOC1"/>
            <w:tabs>
              <w:tab w:val="right" w:leader="dot" w:pos="9288"/>
            </w:tabs>
            <w:rPr>
              <w:rFonts w:asciiTheme="minorHAnsi" w:eastAsiaTheme="minorEastAsia" w:hAnsiTheme="minorHAnsi"/>
              <w:noProof/>
              <w:color w:val="auto"/>
            </w:rPr>
          </w:pPr>
          <w:hyperlink w:anchor="_Toc236861495" w:history="1">
            <w:r w:rsidR="00792281" w:rsidRPr="00263EE8">
              <w:rPr>
                <w:rStyle w:val="Hyperlink"/>
                <w:rFonts w:eastAsiaTheme="majorEastAsia" w:cs="Times New Roman"/>
                <w:noProof/>
              </w:rPr>
              <w:t>Appendix C — Beard Plc investment appraisal workings</w:t>
            </w:r>
            <w:r w:rsidR="00792281">
              <w:rPr>
                <w:noProof/>
                <w:webHidden/>
              </w:rPr>
              <w:tab/>
            </w:r>
            <w:r w:rsidR="00792281">
              <w:rPr>
                <w:noProof/>
                <w:webHidden/>
              </w:rPr>
              <w:fldChar w:fldCharType="begin"/>
            </w:r>
            <w:r w:rsidR="00792281">
              <w:rPr>
                <w:noProof/>
                <w:webHidden/>
              </w:rPr>
              <w:instrText xml:space="preserve"> PAGEREF _Toc236861495 \h </w:instrText>
            </w:r>
            <w:r w:rsidR="00792281">
              <w:rPr>
                <w:noProof/>
                <w:webHidden/>
              </w:rPr>
            </w:r>
            <w:r w:rsidR="00792281">
              <w:rPr>
                <w:noProof/>
                <w:webHidden/>
              </w:rPr>
              <w:fldChar w:fldCharType="separate"/>
            </w:r>
            <w:r w:rsidR="00792281">
              <w:rPr>
                <w:noProof/>
                <w:webHidden/>
              </w:rPr>
              <w:t>18</w:t>
            </w:r>
            <w:r w:rsidR="00792281">
              <w:rPr>
                <w:noProof/>
                <w:webHidden/>
              </w:rPr>
              <w:fldChar w:fldCharType="end"/>
            </w:r>
          </w:hyperlink>
        </w:p>
        <w:p w14:paraId="761351B9" w14:textId="29DB3BF4" w:rsidR="00792281" w:rsidRDefault="00443B20">
          <w:pPr>
            <w:pStyle w:val="TOC1"/>
            <w:tabs>
              <w:tab w:val="right" w:leader="dot" w:pos="9288"/>
            </w:tabs>
            <w:rPr>
              <w:rFonts w:asciiTheme="minorHAnsi" w:eastAsiaTheme="minorEastAsia" w:hAnsiTheme="minorHAnsi"/>
              <w:noProof/>
              <w:color w:val="auto"/>
            </w:rPr>
          </w:pPr>
          <w:hyperlink w:anchor="_Toc236861496" w:history="1">
            <w:r w:rsidR="00792281" w:rsidRPr="00263EE8">
              <w:rPr>
                <w:rStyle w:val="Hyperlink"/>
                <w:rFonts w:eastAsiaTheme="majorEastAsia" w:cs="Times New Roman"/>
                <w:noProof/>
              </w:rPr>
              <w:t>C1. Brief data and annual capital allowances</w:t>
            </w:r>
            <w:r w:rsidR="00792281">
              <w:rPr>
                <w:noProof/>
                <w:webHidden/>
              </w:rPr>
              <w:tab/>
            </w:r>
            <w:r w:rsidR="00792281">
              <w:rPr>
                <w:noProof/>
                <w:webHidden/>
              </w:rPr>
              <w:fldChar w:fldCharType="begin"/>
            </w:r>
            <w:r w:rsidR="00792281">
              <w:rPr>
                <w:noProof/>
                <w:webHidden/>
              </w:rPr>
              <w:instrText xml:space="preserve"> PAGEREF _Toc236861496 \h </w:instrText>
            </w:r>
            <w:r w:rsidR="00792281">
              <w:rPr>
                <w:noProof/>
                <w:webHidden/>
              </w:rPr>
            </w:r>
            <w:r w:rsidR="00792281">
              <w:rPr>
                <w:noProof/>
                <w:webHidden/>
              </w:rPr>
              <w:fldChar w:fldCharType="separate"/>
            </w:r>
            <w:r w:rsidR="00792281">
              <w:rPr>
                <w:noProof/>
                <w:webHidden/>
              </w:rPr>
              <w:t>18</w:t>
            </w:r>
            <w:r w:rsidR="00792281">
              <w:rPr>
                <w:noProof/>
                <w:webHidden/>
              </w:rPr>
              <w:fldChar w:fldCharType="end"/>
            </w:r>
          </w:hyperlink>
        </w:p>
        <w:p w14:paraId="5E33231C" w14:textId="6E82A924" w:rsidR="00792281" w:rsidRDefault="00443B20">
          <w:pPr>
            <w:pStyle w:val="TOC2"/>
            <w:tabs>
              <w:tab w:val="right" w:leader="dot" w:pos="9288"/>
            </w:tabs>
            <w:rPr>
              <w:rFonts w:asciiTheme="minorHAnsi" w:eastAsiaTheme="minorEastAsia" w:hAnsiTheme="minorHAnsi"/>
              <w:noProof/>
              <w:color w:val="auto"/>
            </w:rPr>
          </w:pPr>
          <w:hyperlink w:anchor="_Toc236861497" w:history="1">
            <w:r w:rsidR="00792281" w:rsidRPr="00263EE8">
              <w:rPr>
                <w:rStyle w:val="Hyperlink"/>
                <w:rFonts w:eastAsiaTheme="majorEastAsia" w:cs="Times New Roman"/>
                <w:noProof/>
              </w:rPr>
              <w:t>C2. After-tax cash flows</w:t>
            </w:r>
            <w:r w:rsidR="00792281">
              <w:rPr>
                <w:noProof/>
                <w:webHidden/>
              </w:rPr>
              <w:tab/>
            </w:r>
            <w:r w:rsidR="00792281">
              <w:rPr>
                <w:noProof/>
                <w:webHidden/>
              </w:rPr>
              <w:fldChar w:fldCharType="begin"/>
            </w:r>
            <w:r w:rsidR="00792281">
              <w:rPr>
                <w:noProof/>
                <w:webHidden/>
              </w:rPr>
              <w:instrText xml:space="preserve"> PAGEREF _Toc236861497 \h </w:instrText>
            </w:r>
            <w:r w:rsidR="00792281">
              <w:rPr>
                <w:noProof/>
                <w:webHidden/>
              </w:rPr>
            </w:r>
            <w:r w:rsidR="00792281">
              <w:rPr>
                <w:noProof/>
                <w:webHidden/>
              </w:rPr>
              <w:fldChar w:fldCharType="separate"/>
            </w:r>
            <w:r w:rsidR="00792281">
              <w:rPr>
                <w:noProof/>
                <w:webHidden/>
              </w:rPr>
              <w:t>18</w:t>
            </w:r>
            <w:r w:rsidR="00792281">
              <w:rPr>
                <w:noProof/>
                <w:webHidden/>
              </w:rPr>
              <w:fldChar w:fldCharType="end"/>
            </w:r>
          </w:hyperlink>
        </w:p>
        <w:p w14:paraId="6AD6E194" w14:textId="070DAB3C" w:rsidR="00792281" w:rsidRDefault="00443B20">
          <w:pPr>
            <w:pStyle w:val="TOC2"/>
            <w:tabs>
              <w:tab w:val="right" w:leader="dot" w:pos="9288"/>
            </w:tabs>
            <w:rPr>
              <w:rFonts w:asciiTheme="minorHAnsi" w:eastAsiaTheme="minorEastAsia" w:hAnsiTheme="minorHAnsi"/>
              <w:noProof/>
              <w:color w:val="auto"/>
            </w:rPr>
          </w:pPr>
          <w:hyperlink w:anchor="_Toc236861498" w:history="1">
            <w:r w:rsidR="00792281" w:rsidRPr="00263EE8">
              <w:rPr>
                <w:rStyle w:val="Hyperlink"/>
                <w:rFonts w:eastAsiaTheme="majorEastAsia" w:cs="Times New Roman"/>
                <w:noProof/>
              </w:rPr>
              <w:t>C3. NPV at 5%</w:t>
            </w:r>
            <w:r w:rsidR="00792281">
              <w:rPr>
                <w:noProof/>
                <w:webHidden/>
              </w:rPr>
              <w:tab/>
            </w:r>
            <w:r w:rsidR="00792281">
              <w:rPr>
                <w:noProof/>
                <w:webHidden/>
              </w:rPr>
              <w:fldChar w:fldCharType="begin"/>
            </w:r>
            <w:r w:rsidR="00792281">
              <w:rPr>
                <w:noProof/>
                <w:webHidden/>
              </w:rPr>
              <w:instrText xml:space="preserve"> PAGEREF _Toc236861498 \h </w:instrText>
            </w:r>
            <w:r w:rsidR="00792281">
              <w:rPr>
                <w:noProof/>
                <w:webHidden/>
              </w:rPr>
            </w:r>
            <w:r w:rsidR="00792281">
              <w:rPr>
                <w:noProof/>
                <w:webHidden/>
              </w:rPr>
              <w:fldChar w:fldCharType="separate"/>
            </w:r>
            <w:r w:rsidR="00792281">
              <w:rPr>
                <w:noProof/>
                <w:webHidden/>
              </w:rPr>
              <w:t>18</w:t>
            </w:r>
            <w:r w:rsidR="00792281">
              <w:rPr>
                <w:noProof/>
                <w:webHidden/>
              </w:rPr>
              <w:fldChar w:fldCharType="end"/>
            </w:r>
          </w:hyperlink>
        </w:p>
        <w:p w14:paraId="5098E6FF" w14:textId="73C5CFDB" w:rsidR="00792281" w:rsidRDefault="00443B20">
          <w:pPr>
            <w:pStyle w:val="TOC2"/>
            <w:tabs>
              <w:tab w:val="right" w:leader="dot" w:pos="9288"/>
            </w:tabs>
            <w:rPr>
              <w:rFonts w:asciiTheme="minorHAnsi" w:eastAsiaTheme="minorEastAsia" w:hAnsiTheme="minorHAnsi"/>
              <w:noProof/>
              <w:color w:val="auto"/>
            </w:rPr>
          </w:pPr>
          <w:hyperlink w:anchor="_Toc236861499" w:history="1">
            <w:r w:rsidR="00792281" w:rsidRPr="00263EE8">
              <w:rPr>
                <w:rStyle w:val="Hyperlink"/>
                <w:rFonts w:eastAsiaTheme="majorEastAsia" w:cs="Times New Roman"/>
                <w:noProof/>
              </w:rPr>
              <w:t>C4. Approximate IRR of Option C</w:t>
            </w:r>
            <w:r w:rsidR="00792281">
              <w:rPr>
                <w:noProof/>
                <w:webHidden/>
              </w:rPr>
              <w:tab/>
            </w:r>
            <w:r w:rsidR="00792281">
              <w:rPr>
                <w:noProof/>
                <w:webHidden/>
              </w:rPr>
              <w:fldChar w:fldCharType="begin"/>
            </w:r>
            <w:r w:rsidR="00792281">
              <w:rPr>
                <w:noProof/>
                <w:webHidden/>
              </w:rPr>
              <w:instrText xml:space="preserve"> PAGEREF _Toc236861499 \h </w:instrText>
            </w:r>
            <w:r w:rsidR="00792281">
              <w:rPr>
                <w:noProof/>
                <w:webHidden/>
              </w:rPr>
            </w:r>
            <w:r w:rsidR="00792281">
              <w:rPr>
                <w:noProof/>
                <w:webHidden/>
              </w:rPr>
              <w:fldChar w:fldCharType="separate"/>
            </w:r>
            <w:r w:rsidR="00792281">
              <w:rPr>
                <w:noProof/>
                <w:webHidden/>
              </w:rPr>
              <w:t>18</w:t>
            </w:r>
            <w:r w:rsidR="00792281">
              <w:rPr>
                <w:noProof/>
                <w:webHidden/>
              </w:rPr>
              <w:fldChar w:fldCharType="end"/>
            </w:r>
          </w:hyperlink>
        </w:p>
        <w:p w14:paraId="14E2A4C6" w14:textId="3C31485D" w:rsidR="00792281" w:rsidRDefault="00443B20">
          <w:pPr>
            <w:pStyle w:val="TOC2"/>
            <w:tabs>
              <w:tab w:val="right" w:leader="dot" w:pos="9288"/>
            </w:tabs>
            <w:rPr>
              <w:rFonts w:asciiTheme="minorHAnsi" w:eastAsiaTheme="minorEastAsia" w:hAnsiTheme="minorHAnsi"/>
              <w:noProof/>
              <w:color w:val="auto"/>
            </w:rPr>
          </w:pPr>
          <w:hyperlink w:anchor="_Toc236861500" w:history="1">
            <w:r w:rsidR="00792281" w:rsidRPr="00263EE8">
              <w:rPr>
                <w:rStyle w:val="Hyperlink"/>
                <w:rFonts w:eastAsiaTheme="majorEastAsia" w:cs="Times New Roman"/>
                <w:noProof/>
              </w:rPr>
              <w:t>C5. Capital rationing</w:t>
            </w:r>
            <w:r w:rsidR="00792281">
              <w:rPr>
                <w:noProof/>
                <w:webHidden/>
              </w:rPr>
              <w:tab/>
            </w:r>
            <w:r w:rsidR="00792281">
              <w:rPr>
                <w:noProof/>
                <w:webHidden/>
              </w:rPr>
              <w:fldChar w:fldCharType="begin"/>
            </w:r>
            <w:r w:rsidR="00792281">
              <w:rPr>
                <w:noProof/>
                <w:webHidden/>
              </w:rPr>
              <w:instrText xml:space="preserve"> PAGEREF _Toc236861500 \h </w:instrText>
            </w:r>
            <w:r w:rsidR="00792281">
              <w:rPr>
                <w:noProof/>
                <w:webHidden/>
              </w:rPr>
            </w:r>
            <w:r w:rsidR="00792281">
              <w:rPr>
                <w:noProof/>
                <w:webHidden/>
              </w:rPr>
              <w:fldChar w:fldCharType="separate"/>
            </w:r>
            <w:r w:rsidR="00792281">
              <w:rPr>
                <w:noProof/>
                <w:webHidden/>
              </w:rPr>
              <w:t>18</w:t>
            </w:r>
            <w:r w:rsidR="00792281">
              <w:rPr>
                <w:noProof/>
                <w:webHidden/>
              </w:rPr>
              <w:fldChar w:fldCharType="end"/>
            </w:r>
          </w:hyperlink>
        </w:p>
        <w:p w14:paraId="3742F775" w14:textId="55D7F521" w:rsidR="003669DC" w:rsidRPr="003669DC" w:rsidRDefault="003669DC" w:rsidP="003669DC">
          <w:r>
            <w:rPr>
              <w:b/>
              <w:bCs/>
              <w:noProof/>
            </w:rPr>
            <w:fldChar w:fldCharType="end"/>
          </w:r>
        </w:p>
      </w:sdtContent>
    </w:sdt>
    <w:p w14:paraId="6D69C1F3" w14:textId="5EA6922F" w:rsidR="00E01AF9" w:rsidRPr="00AD295A" w:rsidRDefault="00504820" w:rsidP="00AD295A">
      <w:pPr>
        <w:pStyle w:val="Heading1"/>
        <w:rPr>
          <w:rFonts w:ascii="Times New Roman" w:hAnsi="Times New Roman" w:cs="Times New Roman"/>
          <w:color w:val="auto"/>
        </w:rPr>
      </w:pPr>
      <w:bookmarkStart w:id="1" w:name="_Toc236861470"/>
      <w:r w:rsidRPr="00AD295A">
        <w:rPr>
          <w:rFonts w:ascii="Times New Roman" w:hAnsi="Times New Roman" w:cs="Times New Roman"/>
          <w:color w:val="auto"/>
        </w:rPr>
        <w:lastRenderedPageBreak/>
        <w:t>1. Introduction</w:t>
      </w:r>
      <w:bookmarkEnd w:id="1"/>
      <w:r w:rsidR="00C03991" w:rsidRPr="00AD295A">
        <w:rPr>
          <w:rFonts w:ascii="Times New Roman" w:hAnsi="Times New Roman" w:cs="Times New Roman"/>
          <w:color w:val="auto"/>
        </w:rPr>
        <w:tab/>
      </w:r>
    </w:p>
    <w:p w14:paraId="1EEC63AB" w14:textId="77777777" w:rsidR="00E1058B" w:rsidRPr="00AD295A" w:rsidRDefault="00E1058B" w:rsidP="00E1058B">
      <w:pPr>
        <w:rPr>
          <w:rFonts w:cs="Times New Roman"/>
          <w:color w:val="auto"/>
        </w:rPr>
      </w:pPr>
    </w:p>
    <w:p w14:paraId="6DB85981" w14:textId="77777777" w:rsidR="00E1058B" w:rsidRPr="00AD295A" w:rsidRDefault="00E1058B" w:rsidP="00E1058B">
      <w:pPr>
        <w:rPr>
          <w:rFonts w:cs="Times New Roman"/>
          <w:color w:val="auto"/>
        </w:rPr>
      </w:pPr>
      <w:r w:rsidRPr="00AD295A">
        <w:rPr>
          <w:rFonts w:cs="Times New Roman"/>
          <w:color w:val="auto"/>
        </w:rPr>
        <w:t>Vodafone Group Plc is a provider of mobile, fixed, broadband and digital services throughout Europe and Africa. During the period looked at, it was a constituent of the FTSE 100 (FTSE Russell, 2025). The performance, resources, obligations and cash flows are reported in the financial statements, but the performance of individual numbers is not always clear as to whether the change is good or bad. With warning notes, accounting policies and business context (ACCA, n.d.; CFA Institute, 2025), ratio analysis can aid in comparisons across time. This is significant as disposals, re-presented comparatives and impairments had a significant influence on the Vodafone Group Plc's (2025a; 2025b) 2025 results.</w:t>
      </w:r>
    </w:p>
    <w:p w14:paraId="544EA784" w14:textId="7C84A8AB" w:rsidR="00E1058B" w:rsidRPr="00AD295A" w:rsidRDefault="00B93E4B" w:rsidP="00E1058B">
      <w:pPr>
        <w:rPr>
          <w:rFonts w:cs="Times New Roman"/>
          <w:color w:val="auto"/>
        </w:rPr>
      </w:pPr>
      <w:r w:rsidRPr="00AD295A">
        <w:rPr>
          <w:rFonts w:cs="Times New Roman"/>
          <w:color w:val="auto"/>
        </w:rPr>
        <w:t xml:space="preserve">Beard Plc is a hypothetical handbag producer considering three four-year expansion options: retail-outlet expansion, internet sales, and the production of purses and wallets. </w:t>
      </w:r>
      <w:r w:rsidR="00E1058B" w:rsidRPr="00AD295A">
        <w:rPr>
          <w:rFonts w:cs="Times New Roman"/>
          <w:color w:val="auto"/>
        </w:rPr>
        <w:t>Discounted methods take into account the time value of money, which is not taken into account by simple payback and accounting rate of return (Arnold and Lewis, 2019; Berk and DeMarzo, 2023). Analysis is calculated after-tax cash flows, net present value and the best allocation with a limit of £1.5m, of option C's approximate IRR. Risk, strategy, implementation and finance also are evaluated since positive NPV does not provide a good indicator of a good decision.</w:t>
      </w:r>
    </w:p>
    <w:p w14:paraId="2FE39811" w14:textId="7E59555D" w:rsidR="007963C3" w:rsidRPr="00AD295A" w:rsidRDefault="007963C3" w:rsidP="00E1058B">
      <w:pPr>
        <w:rPr>
          <w:rFonts w:cs="Times New Roman"/>
          <w:color w:val="auto"/>
        </w:rPr>
      </w:pPr>
      <w:r w:rsidRPr="007963C3">
        <w:rPr>
          <w:rFonts w:cs="Times New Roman"/>
          <w:color w:val="auto"/>
        </w:rPr>
        <w:t xml:space="preserve">Vodafone was chosen due to the similarities in the published accounts for FY2024 and FY2025 that would allow for a comparison in the areas of profitability, liquidity, gearing, efficiency and investor returns. The use of ratio analysis enables management to explain performance changes and to assist in the </w:t>
      </w:r>
      <w:proofErr w:type="gramStart"/>
      <w:r w:rsidRPr="007963C3">
        <w:rPr>
          <w:rFonts w:cs="Times New Roman"/>
          <w:color w:val="auto"/>
        </w:rPr>
        <w:t>decision making</w:t>
      </w:r>
      <w:proofErr w:type="gramEnd"/>
      <w:r w:rsidRPr="007963C3">
        <w:rPr>
          <w:rFonts w:cs="Times New Roman"/>
          <w:color w:val="auto"/>
        </w:rPr>
        <w:t xml:space="preserve"> process relating to working capital, financing and capital allocation (</w:t>
      </w:r>
      <w:proofErr w:type="spellStart"/>
      <w:r w:rsidRPr="007963C3">
        <w:rPr>
          <w:rFonts w:cs="Times New Roman"/>
          <w:color w:val="auto"/>
        </w:rPr>
        <w:t>Atrill</w:t>
      </w:r>
      <w:proofErr w:type="spellEnd"/>
      <w:r w:rsidRPr="007963C3">
        <w:rPr>
          <w:rFonts w:cs="Times New Roman"/>
          <w:color w:val="auto"/>
        </w:rPr>
        <w:t xml:space="preserve"> and McLaney, 2022). Based on this, the financial performance of Vodafone is assessed in Part 1 and the investment opportunities of Beard Plc, capital rationing and financing in part 2 using only case data and finance theory.</w:t>
      </w:r>
    </w:p>
    <w:p w14:paraId="5B85F300" w14:textId="77777777" w:rsidR="00E01AF9" w:rsidRPr="00AD295A" w:rsidRDefault="00504820" w:rsidP="00AD295A">
      <w:pPr>
        <w:pStyle w:val="Heading1"/>
        <w:rPr>
          <w:rFonts w:ascii="Times New Roman" w:hAnsi="Times New Roman" w:cs="Times New Roman"/>
          <w:color w:val="auto"/>
        </w:rPr>
      </w:pPr>
      <w:bookmarkStart w:id="2" w:name="_Toc236861471"/>
      <w:r w:rsidRPr="00AD295A">
        <w:rPr>
          <w:rFonts w:ascii="Times New Roman" w:hAnsi="Times New Roman" w:cs="Times New Roman"/>
          <w:color w:val="auto"/>
        </w:rPr>
        <w:t>2. Main Findings</w:t>
      </w:r>
      <w:bookmarkEnd w:id="2"/>
    </w:p>
    <w:p w14:paraId="3CC83FEF" w14:textId="77777777" w:rsidR="00E01AF9" w:rsidRPr="00AD295A" w:rsidRDefault="00504820">
      <w:pPr>
        <w:pStyle w:val="Heading2"/>
        <w:rPr>
          <w:rFonts w:ascii="Times New Roman" w:hAnsi="Times New Roman" w:cs="Times New Roman"/>
          <w:color w:val="auto"/>
        </w:rPr>
      </w:pPr>
      <w:bookmarkStart w:id="3" w:name="_Toc236861472"/>
      <w:r w:rsidRPr="00AD295A">
        <w:rPr>
          <w:rFonts w:ascii="Times New Roman" w:hAnsi="Times New Roman" w:cs="Times New Roman"/>
          <w:color w:val="auto"/>
        </w:rPr>
        <w:t>2.1 Part 1 — Financial analysis of Vodafone Group Plc</w:t>
      </w:r>
      <w:bookmarkEnd w:id="3"/>
    </w:p>
    <w:p w14:paraId="6949941B" w14:textId="77777777" w:rsidR="00E01AF9" w:rsidRPr="00AD295A" w:rsidRDefault="00504820">
      <w:pPr>
        <w:pStyle w:val="Heading3"/>
        <w:rPr>
          <w:rFonts w:ascii="Times New Roman" w:hAnsi="Times New Roman" w:cs="Times New Roman"/>
          <w:color w:val="auto"/>
        </w:rPr>
      </w:pPr>
      <w:bookmarkStart w:id="4" w:name="_Toc236861473"/>
      <w:r w:rsidRPr="00AD295A">
        <w:rPr>
          <w:rFonts w:ascii="Times New Roman" w:hAnsi="Times New Roman" w:cs="Times New Roman"/>
          <w:color w:val="auto"/>
        </w:rPr>
        <w:t>2.1.1 Basis, data and method</w:t>
      </w:r>
      <w:bookmarkEnd w:id="4"/>
    </w:p>
    <w:p w14:paraId="286B4A34" w14:textId="77777777" w:rsidR="00E1058B" w:rsidRPr="00AD295A" w:rsidRDefault="00E1058B" w:rsidP="00E1058B">
      <w:pPr>
        <w:rPr>
          <w:rFonts w:cs="Times New Roman"/>
          <w:color w:val="auto"/>
        </w:rPr>
      </w:pPr>
      <w:r w:rsidRPr="00AD295A">
        <w:rPr>
          <w:rFonts w:cs="Times New Roman"/>
          <w:color w:val="auto"/>
        </w:rPr>
        <w:t>This analysis is based on Vodafone's consolidated results for the 12 months to the end of March 2024 and 2025. Following the discontinuation of Spain and Italy, the 2025 report re-presented the previous figures. Where these amounts are available the comparison therefore makes use of these re-presented 2024 amounts (Vodafone Group Plc, 2025a). The main source is an annual report and the results announcement provides an explanation for the major movements. The advantage is that BT Group only offers a focused UK liquidity benchmark as their markets, regulation and pensions and accounting rules are different to those of Vodafone (BT Group Plc, 2025).</w:t>
      </w:r>
    </w:p>
    <w:p w14:paraId="370A72A6" w14:textId="77777777" w:rsidR="00E1058B" w:rsidRPr="00AD295A" w:rsidRDefault="00E1058B" w:rsidP="00E1058B">
      <w:pPr>
        <w:rPr>
          <w:rFonts w:cs="Times New Roman"/>
          <w:color w:val="auto"/>
        </w:rPr>
      </w:pPr>
      <w:r w:rsidRPr="00AD295A">
        <w:rPr>
          <w:rFonts w:cs="Times New Roman"/>
          <w:color w:val="auto"/>
        </w:rPr>
        <w:t xml:space="preserve">There are 12 ratios that are included in financial analysis which can be classified into the following groups: Profitability, liquidity, gearing, efficiency and investor returns. Normally the averages should be used for turnover and return ratios, but the closing balances are directly calculable for the </w:t>
      </w:r>
      <w:proofErr w:type="gramStart"/>
      <w:r w:rsidRPr="00AD295A">
        <w:rPr>
          <w:rFonts w:cs="Times New Roman"/>
          <w:color w:val="auto"/>
        </w:rPr>
        <w:t>two year</w:t>
      </w:r>
      <w:proofErr w:type="gramEnd"/>
      <w:r w:rsidRPr="00AD295A">
        <w:rPr>
          <w:rFonts w:cs="Times New Roman"/>
          <w:color w:val="auto"/>
        </w:rPr>
        <w:t xml:space="preserve"> statements. It is better to see trends in data than just sets of figures (</w:t>
      </w:r>
      <w:proofErr w:type="spellStart"/>
      <w:r w:rsidRPr="00AD295A">
        <w:rPr>
          <w:rFonts w:cs="Times New Roman"/>
          <w:color w:val="auto"/>
        </w:rPr>
        <w:t>Atrill</w:t>
      </w:r>
      <w:proofErr w:type="spellEnd"/>
      <w:r w:rsidRPr="00AD295A">
        <w:rPr>
          <w:rFonts w:cs="Times New Roman"/>
          <w:color w:val="auto"/>
        </w:rPr>
        <w:t xml:space="preserve"> and McLaney, 2022; ICAEW, n.d.). Research also shows that a combination of profitability, liquidity and leverage ratios are more informative than individual ratios (Beaver, 1966; Altman, 1968; Ohlson, 1980; Delen et al., 2013). All the formulae and substitutions are given in Appendix B.</w:t>
      </w:r>
    </w:p>
    <w:p w14:paraId="758E8934" w14:textId="26DD2844" w:rsidR="00E1058B" w:rsidRPr="00AD295A" w:rsidRDefault="00E1058B" w:rsidP="00E1058B">
      <w:pPr>
        <w:rPr>
          <w:rFonts w:cs="Times New Roman"/>
          <w:color w:val="auto"/>
        </w:rPr>
      </w:pPr>
      <w:r w:rsidRPr="00AD295A">
        <w:rPr>
          <w:rFonts w:cs="Times New Roman"/>
          <w:color w:val="auto"/>
        </w:rPr>
        <w:t xml:space="preserve">The evaluation of each movement is done by its cause. A high current ratio could indicate cash generation, proceeds from sale of assets, or delayed payments while a high debt/equity ratio can be a </w:t>
      </w:r>
      <w:r w:rsidRPr="00AD295A">
        <w:rPr>
          <w:rFonts w:cs="Times New Roman"/>
          <w:color w:val="auto"/>
        </w:rPr>
        <w:lastRenderedPageBreak/>
        <w:t>result of debt issuance, equity issuance, or both. All changes to the material are thus reconcilable to their numerator, denominator and explanation in the annual report before being judged.</w:t>
      </w:r>
    </w:p>
    <w:tbl>
      <w:tblPr>
        <w:tblStyle w:val="TableGrid"/>
        <w:tblW w:w="0" w:type="auto"/>
        <w:tblLayout w:type="fixed"/>
        <w:tblLook w:val="04A0" w:firstRow="1" w:lastRow="0" w:firstColumn="1" w:lastColumn="0" w:noHBand="0" w:noVBand="1"/>
      </w:tblPr>
      <w:tblGrid>
        <w:gridCol w:w="1276"/>
        <w:gridCol w:w="1814"/>
        <w:gridCol w:w="3742"/>
        <w:gridCol w:w="935"/>
        <w:gridCol w:w="935"/>
      </w:tblGrid>
      <w:tr w:rsidR="00AD295A" w:rsidRPr="00AD295A" w14:paraId="7ECA21A4" w14:textId="77777777" w:rsidTr="00AD295A">
        <w:tc>
          <w:tcPr>
            <w:tcW w:w="1276" w:type="dxa"/>
          </w:tcPr>
          <w:p w14:paraId="61A8B63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Category</w:t>
            </w:r>
          </w:p>
        </w:tc>
        <w:tc>
          <w:tcPr>
            <w:tcW w:w="1814" w:type="dxa"/>
          </w:tcPr>
          <w:p w14:paraId="20636D5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Ratio</w:t>
            </w:r>
          </w:p>
        </w:tc>
        <w:tc>
          <w:tcPr>
            <w:tcW w:w="3742" w:type="dxa"/>
          </w:tcPr>
          <w:p w14:paraId="21668B2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Formula</w:t>
            </w:r>
          </w:p>
        </w:tc>
        <w:tc>
          <w:tcPr>
            <w:tcW w:w="935" w:type="dxa"/>
          </w:tcPr>
          <w:p w14:paraId="75F459B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FY2024</w:t>
            </w:r>
          </w:p>
        </w:tc>
        <w:tc>
          <w:tcPr>
            <w:tcW w:w="935" w:type="dxa"/>
          </w:tcPr>
          <w:p w14:paraId="3A237EF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FY2025</w:t>
            </w:r>
          </w:p>
        </w:tc>
      </w:tr>
      <w:tr w:rsidR="00AD295A" w:rsidRPr="00AD295A" w14:paraId="335FC954" w14:textId="77777777" w:rsidTr="00AD295A">
        <w:tc>
          <w:tcPr>
            <w:tcW w:w="1276" w:type="dxa"/>
          </w:tcPr>
          <w:p w14:paraId="2B7989F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Profitability</w:t>
            </w:r>
          </w:p>
        </w:tc>
        <w:tc>
          <w:tcPr>
            <w:tcW w:w="1814" w:type="dxa"/>
          </w:tcPr>
          <w:p w14:paraId="70AE861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Gross profit margin</w:t>
            </w:r>
          </w:p>
        </w:tc>
        <w:tc>
          <w:tcPr>
            <w:tcW w:w="3742" w:type="dxa"/>
          </w:tcPr>
          <w:p w14:paraId="725B3DD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Gross profit ÷ revenue</w:t>
            </w:r>
          </w:p>
        </w:tc>
        <w:tc>
          <w:tcPr>
            <w:tcW w:w="935" w:type="dxa"/>
          </w:tcPr>
          <w:p w14:paraId="3160CD3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33.39%</w:t>
            </w:r>
          </w:p>
        </w:tc>
        <w:tc>
          <w:tcPr>
            <w:tcW w:w="935" w:type="dxa"/>
          </w:tcPr>
          <w:p w14:paraId="69AD2B3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33.43%</w:t>
            </w:r>
          </w:p>
        </w:tc>
      </w:tr>
      <w:tr w:rsidR="00AD295A" w:rsidRPr="00AD295A" w14:paraId="08D5E8FC" w14:textId="77777777" w:rsidTr="00AD295A">
        <w:tc>
          <w:tcPr>
            <w:tcW w:w="1276" w:type="dxa"/>
          </w:tcPr>
          <w:p w14:paraId="7CBB680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Profitability</w:t>
            </w:r>
          </w:p>
        </w:tc>
        <w:tc>
          <w:tcPr>
            <w:tcW w:w="1814" w:type="dxa"/>
          </w:tcPr>
          <w:p w14:paraId="3C924CC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Operating profit margin</w:t>
            </w:r>
          </w:p>
        </w:tc>
        <w:tc>
          <w:tcPr>
            <w:tcW w:w="3742" w:type="dxa"/>
          </w:tcPr>
          <w:p w14:paraId="53973FC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Operating profit ÷ revenue</w:t>
            </w:r>
          </w:p>
        </w:tc>
        <w:tc>
          <w:tcPr>
            <w:tcW w:w="935" w:type="dxa"/>
          </w:tcPr>
          <w:p w14:paraId="6C76DA4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9.98%</w:t>
            </w:r>
          </w:p>
        </w:tc>
        <w:tc>
          <w:tcPr>
            <w:tcW w:w="935" w:type="dxa"/>
          </w:tcPr>
          <w:p w14:paraId="26A0FB5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−1.10%</w:t>
            </w:r>
          </w:p>
        </w:tc>
      </w:tr>
      <w:tr w:rsidR="00AD295A" w:rsidRPr="00AD295A" w14:paraId="59CE43D6" w14:textId="77777777" w:rsidTr="00AD295A">
        <w:tc>
          <w:tcPr>
            <w:tcW w:w="1276" w:type="dxa"/>
          </w:tcPr>
          <w:p w14:paraId="1157B28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Profitability</w:t>
            </w:r>
          </w:p>
        </w:tc>
        <w:tc>
          <w:tcPr>
            <w:tcW w:w="1814" w:type="dxa"/>
          </w:tcPr>
          <w:p w14:paraId="6C68107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ROCE</w:t>
            </w:r>
          </w:p>
        </w:tc>
        <w:tc>
          <w:tcPr>
            <w:tcW w:w="3742" w:type="dxa"/>
          </w:tcPr>
          <w:p w14:paraId="6F4BE2D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Operating profit ÷ capital employed</w:t>
            </w:r>
          </w:p>
        </w:tc>
        <w:tc>
          <w:tcPr>
            <w:tcW w:w="935" w:type="dxa"/>
          </w:tcPr>
          <w:p w14:paraId="4D4A550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3.11%</w:t>
            </w:r>
          </w:p>
        </w:tc>
        <w:tc>
          <w:tcPr>
            <w:tcW w:w="935" w:type="dxa"/>
          </w:tcPr>
          <w:p w14:paraId="37ABEDC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−0.38%</w:t>
            </w:r>
          </w:p>
        </w:tc>
      </w:tr>
      <w:tr w:rsidR="00AD295A" w:rsidRPr="00AD295A" w14:paraId="141897A6" w14:textId="77777777" w:rsidTr="00AD295A">
        <w:tc>
          <w:tcPr>
            <w:tcW w:w="1276" w:type="dxa"/>
          </w:tcPr>
          <w:p w14:paraId="590D405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Profitability</w:t>
            </w:r>
          </w:p>
        </w:tc>
        <w:tc>
          <w:tcPr>
            <w:tcW w:w="1814" w:type="dxa"/>
          </w:tcPr>
          <w:p w14:paraId="6C69E3A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ROE</w:t>
            </w:r>
          </w:p>
        </w:tc>
        <w:tc>
          <w:tcPr>
            <w:tcW w:w="3742" w:type="dxa"/>
          </w:tcPr>
          <w:p w14:paraId="35506C2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Profit attributable to owners ÷ equity</w:t>
            </w:r>
          </w:p>
        </w:tc>
        <w:tc>
          <w:tcPr>
            <w:tcW w:w="935" w:type="dxa"/>
          </w:tcPr>
          <w:p w14:paraId="69518A8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2.47%</w:t>
            </w:r>
          </w:p>
        </w:tc>
        <w:tc>
          <w:tcPr>
            <w:tcW w:w="935" w:type="dxa"/>
          </w:tcPr>
          <w:p w14:paraId="783B402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−6.95%</w:t>
            </w:r>
          </w:p>
        </w:tc>
      </w:tr>
      <w:tr w:rsidR="00AD295A" w:rsidRPr="00AD295A" w14:paraId="2E935313" w14:textId="77777777" w:rsidTr="00AD295A">
        <w:tc>
          <w:tcPr>
            <w:tcW w:w="1276" w:type="dxa"/>
          </w:tcPr>
          <w:p w14:paraId="0E7E647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Liquidity</w:t>
            </w:r>
          </w:p>
        </w:tc>
        <w:tc>
          <w:tcPr>
            <w:tcW w:w="1814" w:type="dxa"/>
          </w:tcPr>
          <w:p w14:paraId="21E0122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Current ratio</w:t>
            </w:r>
          </w:p>
        </w:tc>
        <w:tc>
          <w:tcPr>
            <w:tcW w:w="3742" w:type="dxa"/>
          </w:tcPr>
          <w:p w14:paraId="2C261AF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Current assets ÷ current liabilities</w:t>
            </w:r>
          </w:p>
        </w:tc>
        <w:tc>
          <w:tcPr>
            <w:tcW w:w="935" w:type="dxa"/>
          </w:tcPr>
          <w:p w14:paraId="4CE6698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0.92</w:t>
            </w:r>
          </w:p>
        </w:tc>
        <w:tc>
          <w:tcPr>
            <w:tcW w:w="935" w:type="dxa"/>
          </w:tcPr>
          <w:p w14:paraId="3E6B1F0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1.26</w:t>
            </w:r>
          </w:p>
        </w:tc>
      </w:tr>
      <w:tr w:rsidR="00AD295A" w:rsidRPr="00AD295A" w14:paraId="3AACD879" w14:textId="77777777" w:rsidTr="00AD295A">
        <w:tc>
          <w:tcPr>
            <w:tcW w:w="1276" w:type="dxa"/>
          </w:tcPr>
          <w:p w14:paraId="64E6C47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Liquidity</w:t>
            </w:r>
          </w:p>
        </w:tc>
        <w:tc>
          <w:tcPr>
            <w:tcW w:w="1814" w:type="dxa"/>
          </w:tcPr>
          <w:p w14:paraId="040BC46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Quick ratio</w:t>
            </w:r>
          </w:p>
        </w:tc>
        <w:tc>
          <w:tcPr>
            <w:tcW w:w="3742" w:type="dxa"/>
          </w:tcPr>
          <w:p w14:paraId="527B501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(Current assets − inventory) ÷ current liabilities</w:t>
            </w:r>
          </w:p>
        </w:tc>
        <w:tc>
          <w:tcPr>
            <w:tcW w:w="935" w:type="dxa"/>
          </w:tcPr>
          <w:p w14:paraId="5FBCF2B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0.89</w:t>
            </w:r>
          </w:p>
        </w:tc>
        <w:tc>
          <w:tcPr>
            <w:tcW w:w="935" w:type="dxa"/>
          </w:tcPr>
          <w:p w14:paraId="6EB8980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1.23</w:t>
            </w:r>
          </w:p>
        </w:tc>
      </w:tr>
      <w:tr w:rsidR="00AD295A" w:rsidRPr="00AD295A" w14:paraId="6E80D585" w14:textId="77777777" w:rsidTr="00AD295A">
        <w:tc>
          <w:tcPr>
            <w:tcW w:w="1276" w:type="dxa"/>
          </w:tcPr>
          <w:p w14:paraId="13F9801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Gearing</w:t>
            </w:r>
          </w:p>
        </w:tc>
        <w:tc>
          <w:tcPr>
            <w:tcW w:w="1814" w:type="dxa"/>
          </w:tcPr>
          <w:p w14:paraId="65B3959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Debt to equity</w:t>
            </w:r>
          </w:p>
        </w:tc>
        <w:tc>
          <w:tcPr>
            <w:tcW w:w="3742" w:type="dxa"/>
          </w:tcPr>
          <w:p w14:paraId="357DEA1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Total debt ÷ total equity</w:t>
            </w:r>
          </w:p>
        </w:tc>
        <w:tc>
          <w:tcPr>
            <w:tcW w:w="935" w:type="dxa"/>
          </w:tcPr>
          <w:p w14:paraId="3A8B3FD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93.42%</w:t>
            </w:r>
          </w:p>
        </w:tc>
        <w:tc>
          <w:tcPr>
            <w:tcW w:w="935" w:type="dxa"/>
          </w:tcPr>
          <w:p w14:paraId="0B1CE4C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98.57%</w:t>
            </w:r>
          </w:p>
        </w:tc>
      </w:tr>
      <w:tr w:rsidR="00AD295A" w:rsidRPr="00AD295A" w14:paraId="1F4DE33D" w14:textId="77777777" w:rsidTr="00AD295A">
        <w:tc>
          <w:tcPr>
            <w:tcW w:w="1276" w:type="dxa"/>
          </w:tcPr>
          <w:p w14:paraId="5F8C307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Efficiency</w:t>
            </w:r>
          </w:p>
        </w:tc>
        <w:tc>
          <w:tcPr>
            <w:tcW w:w="1814" w:type="dxa"/>
          </w:tcPr>
          <w:p w14:paraId="202D689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Inventory turnover</w:t>
            </w:r>
          </w:p>
        </w:tc>
        <w:tc>
          <w:tcPr>
            <w:tcW w:w="3742" w:type="dxa"/>
          </w:tcPr>
          <w:p w14:paraId="0912CE7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Cost of sales ÷ closing inventory</w:t>
            </w:r>
          </w:p>
        </w:tc>
        <w:tc>
          <w:tcPr>
            <w:tcW w:w="935" w:type="dxa"/>
          </w:tcPr>
          <w:p w14:paraId="3186672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43.06x</w:t>
            </w:r>
          </w:p>
        </w:tc>
        <w:tc>
          <w:tcPr>
            <w:tcW w:w="935" w:type="dxa"/>
          </w:tcPr>
          <w:p w14:paraId="0C2FC2B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40.40x</w:t>
            </w:r>
          </w:p>
        </w:tc>
      </w:tr>
      <w:tr w:rsidR="00AD295A" w:rsidRPr="00AD295A" w14:paraId="350D383B" w14:textId="77777777" w:rsidTr="00AD295A">
        <w:tc>
          <w:tcPr>
            <w:tcW w:w="1276" w:type="dxa"/>
          </w:tcPr>
          <w:p w14:paraId="0A135F3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Efficiency</w:t>
            </w:r>
          </w:p>
        </w:tc>
        <w:tc>
          <w:tcPr>
            <w:tcW w:w="1814" w:type="dxa"/>
          </w:tcPr>
          <w:p w14:paraId="2437D84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Receivables turnover</w:t>
            </w:r>
          </w:p>
        </w:tc>
        <w:tc>
          <w:tcPr>
            <w:tcW w:w="3742" w:type="dxa"/>
          </w:tcPr>
          <w:p w14:paraId="0D720BB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Revenue ÷ closing trade receivables</w:t>
            </w:r>
          </w:p>
        </w:tc>
        <w:tc>
          <w:tcPr>
            <w:tcW w:w="935" w:type="dxa"/>
          </w:tcPr>
          <w:p w14:paraId="6B37599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4.27x</w:t>
            </w:r>
          </w:p>
        </w:tc>
        <w:tc>
          <w:tcPr>
            <w:tcW w:w="935" w:type="dxa"/>
          </w:tcPr>
          <w:p w14:paraId="4575035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3.98x</w:t>
            </w:r>
          </w:p>
        </w:tc>
      </w:tr>
      <w:tr w:rsidR="00AD295A" w:rsidRPr="00AD295A" w14:paraId="78CD8D06" w14:textId="77777777" w:rsidTr="00AD295A">
        <w:tc>
          <w:tcPr>
            <w:tcW w:w="1276" w:type="dxa"/>
          </w:tcPr>
          <w:p w14:paraId="5733084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Investor</w:t>
            </w:r>
          </w:p>
        </w:tc>
        <w:tc>
          <w:tcPr>
            <w:tcW w:w="1814" w:type="dxa"/>
          </w:tcPr>
          <w:p w14:paraId="5BD235C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Basic EPS</w:t>
            </w:r>
          </w:p>
        </w:tc>
        <w:tc>
          <w:tcPr>
            <w:tcW w:w="3742" w:type="dxa"/>
          </w:tcPr>
          <w:p w14:paraId="2A66224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Reported basic EPS</w:t>
            </w:r>
          </w:p>
        </w:tc>
        <w:tc>
          <w:tcPr>
            <w:tcW w:w="935" w:type="dxa"/>
          </w:tcPr>
          <w:p w14:paraId="2B3D075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4.45c</w:t>
            </w:r>
          </w:p>
        </w:tc>
        <w:tc>
          <w:tcPr>
            <w:tcW w:w="935" w:type="dxa"/>
          </w:tcPr>
          <w:p w14:paraId="5F4F1B0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−15.86c</w:t>
            </w:r>
          </w:p>
        </w:tc>
      </w:tr>
      <w:tr w:rsidR="00AD295A" w:rsidRPr="00AD295A" w14:paraId="3A77E49E" w14:textId="77777777" w:rsidTr="00AD295A">
        <w:tc>
          <w:tcPr>
            <w:tcW w:w="1276" w:type="dxa"/>
          </w:tcPr>
          <w:p w14:paraId="00A80E1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Investor</w:t>
            </w:r>
          </w:p>
        </w:tc>
        <w:tc>
          <w:tcPr>
            <w:tcW w:w="1814" w:type="dxa"/>
          </w:tcPr>
          <w:p w14:paraId="4A30C22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Dividend per share</w:t>
            </w:r>
          </w:p>
        </w:tc>
        <w:tc>
          <w:tcPr>
            <w:tcW w:w="3742" w:type="dxa"/>
          </w:tcPr>
          <w:p w14:paraId="4B94FE1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Total dividend per ordinary share</w:t>
            </w:r>
          </w:p>
        </w:tc>
        <w:tc>
          <w:tcPr>
            <w:tcW w:w="935" w:type="dxa"/>
          </w:tcPr>
          <w:p w14:paraId="2DE4152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9.00c</w:t>
            </w:r>
          </w:p>
        </w:tc>
        <w:tc>
          <w:tcPr>
            <w:tcW w:w="935" w:type="dxa"/>
          </w:tcPr>
          <w:p w14:paraId="220BD1A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4.50c</w:t>
            </w:r>
          </w:p>
        </w:tc>
      </w:tr>
      <w:tr w:rsidR="00AD295A" w:rsidRPr="00AD295A" w14:paraId="31E0B94B" w14:textId="77777777" w:rsidTr="00AD295A">
        <w:tc>
          <w:tcPr>
            <w:tcW w:w="1276" w:type="dxa"/>
          </w:tcPr>
          <w:p w14:paraId="248A442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Investor</w:t>
            </w:r>
          </w:p>
        </w:tc>
        <w:tc>
          <w:tcPr>
            <w:tcW w:w="1814" w:type="dxa"/>
          </w:tcPr>
          <w:p w14:paraId="6765ACA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Adjusted dividend cover</w:t>
            </w:r>
          </w:p>
        </w:tc>
        <w:tc>
          <w:tcPr>
            <w:tcW w:w="3742" w:type="dxa"/>
          </w:tcPr>
          <w:p w14:paraId="429DD27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Adjusted basic EPS ÷ DPS</w:t>
            </w:r>
          </w:p>
        </w:tc>
        <w:tc>
          <w:tcPr>
            <w:tcW w:w="935" w:type="dxa"/>
          </w:tcPr>
          <w:p w14:paraId="3B9F2D5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0.83x</w:t>
            </w:r>
          </w:p>
        </w:tc>
        <w:tc>
          <w:tcPr>
            <w:tcW w:w="935" w:type="dxa"/>
          </w:tcPr>
          <w:p w14:paraId="649B38D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1.75x</w:t>
            </w:r>
          </w:p>
        </w:tc>
      </w:tr>
    </w:tbl>
    <w:p w14:paraId="153151A2" w14:textId="77777777" w:rsidR="00E01AF9" w:rsidRPr="00AD295A" w:rsidRDefault="00504820">
      <w:pPr>
        <w:pStyle w:val="CaptionAcademic"/>
        <w:rPr>
          <w:rFonts w:ascii="Times New Roman" w:hAnsi="Times New Roman" w:cs="Times New Roman"/>
          <w:color w:val="auto"/>
        </w:rPr>
      </w:pPr>
      <w:r w:rsidRPr="00AD295A">
        <w:rPr>
          <w:rFonts w:ascii="Times New Roman" w:hAnsi="Times New Roman" w:cs="Times New Roman"/>
          <w:color w:val="auto"/>
        </w:rPr>
        <w:t>Table 1. Vodafone ratio summary. Source: calculations from Vodafone Group Plc (2025a); detailed workings in Appendix B.</w:t>
      </w:r>
    </w:p>
    <w:p w14:paraId="20157019" w14:textId="77777777" w:rsidR="00E01AF9" w:rsidRPr="00AD295A" w:rsidRDefault="00504820">
      <w:pPr>
        <w:pStyle w:val="Heading3"/>
        <w:rPr>
          <w:rFonts w:ascii="Times New Roman" w:hAnsi="Times New Roman" w:cs="Times New Roman"/>
          <w:color w:val="auto"/>
        </w:rPr>
      </w:pPr>
      <w:bookmarkStart w:id="5" w:name="_Toc236861474"/>
      <w:r w:rsidRPr="00AD295A">
        <w:rPr>
          <w:rFonts w:ascii="Times New Roman" w:hAnsi="Times New Roman" w:cs="Times New Roman"/>
          <w:color w:val="auto"/>
        </w:rPr>
        <w:t>2.1.2 Profitability</w:t>
      </w:r>
      <w:bookmarkEnd w:id="5"/>
    </w:p>
    <w:p w14:paraId="70AC2439" w14:textId="07851A27" w:rsidR="00E1058B" w:rsidRPr="00AD295A" w:rsidRDefault="00E1058B" w:rsidP="00E1058B">
      <w:pPr>
        <w:rPr>
          <w:rFonts w:cs="Times New Roman"/>
          <w:color w:val="auto"/>
        </w:rPr>
      </w:pPr>
      <w:r w:rsidRPr="00AD295A">
        <w:rPr>
          <w:rFonts w:cs="Times New Roman"/>
          <w:color w:val="auto"/>
        </w:rPr>
        <w:t xml:space="preserve">Revenue increased by 1.99%, from €36,717 million to €37,448 million, while gross profit rose from €12,258 million to €12,519 million. As a result, the gross profit margin in 2024 was nearly the same as in 2025 at 33.39% and 33.43%, respectively. This stability indicates that direct services and equipment cost rose and fell in general with the revenue. It does not, however, exhibit good improvement in operation. Pressure on gross profit (including administrative, </w:t>
      </w:r>
      <w:proofErr w:type="spellStart"/>
      <w:r w:rsidRPr="00AD295A">
        <w:rPr>
          <w:rFonts w:cs="Times New Roman"/>
          <w:color w:val="auto"/>
        </w:rPr>
        <w:t>amortisation</w:t>
      </w:r>
      <w:proofErr w:type="spellEnd"/>
      <w:r w:rsidRPr="00AD295A">
        <w:rPr>
          <w:rFonts w:cs="Times New Roman"/>
          <w:color w:val="auto"/>
        </w:rPr>
        <w:t xml:space="preserve">, restructuring and impairment costs) can be accompanied by a stable gross margin. Therefore, </w:t>
      </w:r>
      <w:proofErr w:type="spellStart"/>
      <w:r w:rsidRPr="00AD295A">
        <w:rPr>
          <w:rFonts w:cs="Times New Roman"/>
          <w:color w:val="auto"/>
        </w:rPr>
        <w:t>analy</w:t>
      </w:r>
      <w:r w:rsidR="001C409B" w:rsidRPr="00AD295A">
        <w:rPr>
          <w:rFonts w:cs="Times New Roman"/>
          <w:color w:val="auto"/>
        </w:rPr>
        <w:t>s</w:t>
      </w:r>
      <w:r w:rsidRPr="00AD295A">
        <w:rPr>
          <w:rFonts w:cs="Times New Roman"/>
          <w:color w:val="auto"/>
        </w:rPr>
        <w:t>ing</w:t>
      </w:r>
      <w:proofErr w:type="spellEnd"/>
      <w:r w:rsidRPr="00AD295A">
        <w:rPr>
          <w:rFonts w:cs="Times New Roman"/>
          <w:color w:val="auto"/>
        </w:rPr>
        <w:t xml:space="preserve"> a financial statement should not be done to merge the margin formation process with charges that occur when the margin is used to generate operating profit (Nissim and Penman, 2001; Fairfield and Yohn, 2001).</w:t>
      </w:r>
    </w:p>
    <w:p w14:paraId="16F689C8" w14:textId="77777777" w:rsidR="00E1058B" w:rsidRPr="00AD295A" w:rsidRDefault="00E1058B" w:rsidP="00E1058B">
      <w:pPr>
        <w:rPr>
          <w:rFonts w:cs="Times New Roman"/>
          <w:color w:val="auto"/>
        </w:rPr>
      </w:pPr>
      <w:r w:rsidRPr="00AD295A">
        <w:rPr>
          <w:rFonts w:cs="Times New Roman"/>
          <w:color w:val="auto"/>
        </w:rPr>
        <w:t>Operating margin fell from 9.98% to −1.10%. In the same period, ROCE fell from 3.11% to −0.38%. This non-cash impairment, primarily in Germany and Romania, amounted to €4.5 billion, which led to an operating loss of €411 million (Vodafone Group Plc, 2025b) as the main reason. IAS 36 defines impairment to be a decrease in the recoverable amount of an asset or cash-generating unit. Although non-cash in the year of recognition, it is an important economic indicator for the following reason; it indicates that cash flows in the future no longer support the carrying value (IFRS Foundation, 2024c). So, it shouldn't be taken lightly as a routine accounting line item.</w:t>
      </w:r>
    </w:p>
    <w:p w14:paraId="0B1086DD" w14:textId="77777777" w:rsidR="00E1058B" w:rsidRPr="00AD295A" w:rsidRDefault="00E1058B" w:rsidP="00E1058B">
      <w:pPr>
        <w:rPr>
          <w:rFonts w:cs="Times New Roman"/>
          <w:color w:val="auto"/>
        </w:rPr>
      </w:pPr>
      <w:r w:rsidRPr="00AD295A">
        <w:rPr>
          <w:rFonts w:cs="Times New Roman"/>
          <w:color w:val="auto"/>
        </w:rPr>
        <w:t>Also, the closing equity and profit attributable to owners were used to calculate the ROE, which also declined from 2.47% to −6.95%. This negative return is in line with the loss suffered by the €3,746 million owners of the company. Furthermore, there has been a drop in the total equity of €60,998 million to €53,916 million, leaving less to cover any additional losses. Result can be adjusted as necessary to allow the user to consider underlying trading; however, it is not intended to be used as a substitute for the statutory result. Items that are out of the ordinary in size, but of great importance for capital deployment, can be omitted from management defined performance measures. To ensure that a balanced assessment, both statutory losses and adjusted operating indicators are taken into account (CFA Institute, 2025; Financial Reporting Council, 2024b).</w:t>
      </w:r>
    </w:p>
    <w:p w14:paraId="06BDFC61" w14:textId="14129186" w:rsidR="00E1058B" w:rsidRPr="00AD295A" w:rsidRDefault="00E1058B" w:rsidP="00E1058B">
      <w:pPr>
        <w:rPr>
          <w:rFonts w:cs="Times New Roman"/>
          <w:color w:val="auto"/>
        </w:rPr>
      </w:pPr>
      <w:r w:rsidRPr="00AD295A">
        <w:rPr>
          <w:rFonts w:cs="Times New Roman"/>
          <w:color w:val="auto"/>
        </w:rPr>
        <w:t>The impairment does not result in a direct cash outflow and therefore cash-based measures may show up as a better result than the statutory result. That doesn't stop some of the charge saying that the economics of the affected assets are weaker than expected. Future performance should therefore be compared with the revised cash-flow assumptions which were made for the impairment test. If the service revenue is increased at the same time customer retention and cash conversion is increased, it would be more convincing if that were to happen in a later recovery.</w:t>
      </w:r>
    </w:p>
    <w:p w14:paraId="4B72957A" w14:textId="77777777" w:rsidR="00E01AF9" w:rsidRPr="00AD295A" w:rsidRDefault="00504820">
      <w:pPr>
        <w:pStyle w:val="Heading3"/>
        <w:rPr>
          <w:rFonts w:ascii="Times New Roman" w:hAnsi="Times New Roman" w:cs="Times New Roman"/>
          <w:color w:val="auto"/>
        </w:rPr>
      </w:pPr>
      <w:bookmarkStart w:id="6" w:name="_Toc236861475"/>
      <w:r w:rsidRPr="00AD295A">
        <w:rPr>
          <w:rFonts w:ascii="Times New Roman" w:hAnsi="Times New Roman" w:cs="Times New Roman"/>
          <w:color w:val="auto"/>
        </w:rPr>
        <w:t>2.1.3 Liquidity</w:t>
      </w:r>
      <w:bookmarkEnd w:id="6"/>
    </w:p>
    <w:p w14:paraId="22A4EF41" w14:textId="77777777" w:rsidR="00E1058B" w:rsidRPr="00AD295A" w:rsidRDefault="00E1058B" w:rsidP="00E1058B">
      <w:pPr>
        <w:rPr>
          <w:rFonts w:cs="Times New Roman"/>
          <w:color w:val="auto"/>
        </w:rPr>
      </w:pPr>
      <w:r w:rsidRPr="00AD295A">
        <w:rPr>
          <w:rFonts w:cs="Times New Roman"/>
          <w:color w:val="auto"/>
        </w:rPr>
        <w:t xml:space="preserve">The current ratio increased from 0.92 to 1.26 and the quick ratio went up from 0.89 to 1.23. Current asset increased by 39.52% and the current liabilities remained practically unchanged resulting in an improvement in the short-term cover. Another €13.3 billion of cash and debt reduction was funded in </w:t>
      </w:r>
      <w:r w:rsidRPr="00AD295A">
        <w:rPr>
          <w:rFonts w:cs="Times New Roman"/>
          <w:color w:val="auto"/>
        </w:rPr>
        <w:lastRenderedPageBreak/>
        <w:t>Spain, Italy and part of Vantage Towers, however (Vodafone Group Plc, 2025b). Therefore, transactions in portfolios and not just in the working capital, helped to provide liquidity.</w:t>
      </w:r>
    </w:p>
    <w:p w14:paraId="2DE5F16E" w14:textId="4196A06C" w:rsidR="00E1058B" w:rsidRPr="00AD295A" w:rsidRDefault="00E1058B" w:rsidP="00E1058B">
      <w:pPr>
        <w:rPr>
          <w:rFonts w:cs="Times New Roman"/>
          <w:color w:val="auto"/>
        </w:rPr>
      </w:pPr>
      <w:r w:rsidRPr="00AD295A">
        <w:rPr>
          <w:rFonts w:cs="Times New Roman"/>
          <w:color w:val="auto"/>
        </w:rPr>
        <w:t>Vodafone's current ratio is comparable to that of the BT Group</w:t>
      </w:r>
      <w:r w:rsidR="00B93E4B" w:rsidRPr="00AD295A">
        <w:rPr>
          <w:rFonts w:cs="Times New Roman"/>
          <w:color w:val="auto"/>
        </w:rPr>
        <w:t xml:space="preserve"> Plc</w:t>
      </w:r>
      <w:r w:rsidRPr="00AD295A">
        <w:rPr>
          <w:rFonts w:cs="Times New Roman"/>
          <w:color w:val="auto"/>
        </w:rPr>
        <w:t xml:space="preserve"> (2025) with current assets of £8,372 million and current liabilities of £10,285 million. However, there is an opportunity cost to having too much cash and the receivables might go bad or have a lower carrying value. The value of working capital will only be added up when the level of working capital is efficient, but when it exceeds the efficiency level, it could decrease returns (</w:t>
      </w:r>
      <w:proofErr w:type="spellStart"/>
      <w:r w:rsidRPr="00AD295A">
        <w:rPr>
          <w:rFonts w:cs="Times New Roman"/>
          <w:color w:val="auto"/>
        </w:rPr>
        <w:t>Aktas</w:t>
      </w:r>
      <w:proofErr w:type="spellEnd"/>
      <w:r w:rsidRPr="00AD295A">
        <w:rPr>
          <w:rFonts w:cs="Times New Roman"/>
          <w:color w:val="auto"/>
        </w:rPr>
        <w:t xml:space="preserve"> et al., 2015; Baños-Caballero et al., 2014). The quality and source of the ratio is therefore more important than the ratio per se.</w:t>
      </w:r>
    </w:p>
    <w:p w14:paraId="7CC603C7" w14:textId="77777777" w:rsidR="00E01AF9" w:rsidRPr="00AD295A" w:rsidRDefault="00504820">
      <w:pPr>
        <w:pStyle w:val="Heading3"/>
        <w:rPr>
          <w:rFonts w:ascii="Times New Roman" w:hAnsi="Times New Roman" w:cs="Times New Roman"/>
          <w:color w:val="auto"/>
        </w:rPr>
      </w:pPr>
      <w:bookmarkStart w:id="7" w:name="_Toc236861476"/>
      <w:r w:rsidRPr="00AD295A">
        <w:rPr>
          <w:rFonts w:ascii="Times New Roman" w:hAnsi="Times New Roman" w:cs="Times New Roman"/>
          <w:color w:val="auto"/>
        </w:rPr>
        <w:t>2.1.4 Gearing and solvency</w:t>
      </w:r>
      <w:bookmarkEnd w:id="7"/>
    </w:p>
    <w:p w14:paraId="456337D1" w14:textId="5A7F030E" w:rsidR="00E1058B" w:rsidRPr="00AD295A" w:rsidRDefault="00E1058B" w:rsidP="00E1058B">
      <w:pPr>
        <w:rPr>
          <w:rFonts w:cs="Times New Roman"/>
          <w:color w:val="auto"/>
        </w:rPr>
      </w:pPr>
      <w:r w:rsidRPr="00AD295A">
        <w:rPr>
          <w:rFonts w:cs="Times New Roman"/>
          <w:color w:val="auto"/>
        </w:rPr>
        <w:t xml:space="preserve">Total debt fell 6.75%, from €56,987 million to €53,143 million. </w:t>
      </w:r>
      <w:r w:rsidR="00B67D52">
        <w:t>In contrast, debt to equity rose</w:t>
      </w:r>
      <w:r w:rsidRPr="00AD295A">
        <w:rPr>
          <w:rFonts w:cs="Times New Roman"/>
          <w:color w:val="auto"/>
        </w:rPr>
        <w:t xml:space="preserve"> from 93.42% to 98.57% because equity fell 11.61%. Vodafone did not have to take out any additional loans, </w:t>
      </w:r>
      <w:r w:rsidR="00F916B2" w:rsidRPr="00AD295A">
        <w:rPr>
          <w:rFonts w:cs="Times New Roman"/>
          <w:color w:val="auto"/>
        </w:rPr>
        <w:t>it's because the denominator fell even faster than the numerator</w:t>
      </w:r>
      <w:r w:rsidRPr="00AD295A">
        <w:rPr>
          <w:rFonts w:cs="Times New Roman"/>
          <w:color w:val="auto"/>
        </w:rPr>
        <w:t>. It is as crucial to restore earnings as it is to avoid additional impairments or safeguard equity as you pay off your debt.</w:t>
      </w:r>
    </w:p>
    <w:p w14:paraId="0D3EB4FB" w14:textId="0A6131C8" w:rsidR="00E1058B" w:rsidRPr="00AD295A" w:rsidRDefault="00E1058B" w:rsidP="00E1058B">
      <w:pPr>
        <w:rPr>
          <w:rFonts w:cs="Times New Roman"/>
          <w:color w:val="auto"/>
        </w:rPr>
      </w:pPr>
      <w:r w:rsidRPr="00AD295A">
        <w:rPr>
          <w:rFonts w:cs="Times New Roman"/>
          <w:color w:val="auto"/>
        </w:rPr>
        <w:t>Tax advantages can be derived from debt without having to sacrifice immediate dilution, but when returns are poor, the hard fixed interest and repayments limits flexibility. Other influences on financing decisions are information gaps, agency costs and distress (Myers, 1984; Myers and Majluf, 1984; Jensen and Meckling, 1976). While lower absolute debt is a good thing, leverage needs to be examined in the context of sustainable cash flow and covenant capacity, and not just book equity.</w:t>
      </w:r>
    </w:p>
    <w:p w14:paraId="204360E0" w14:textId="77777777" w:rsidR="00E01AF9" w:rsidRPr="00AD295A" w:rsidRDefault="00504820">
      <w:pPr>
        <w:pStyle w:val="Heading3"/>
        <w:rPr>
          <w:rFonts w:ascii="Times New Roman" w:hAnsi="Times New Roman" w:cs="Times New Roman"/>
          <w:color w:val="auto"/>
        </w:rPr>
      </w:pPr>
      <w:bookmarkStart w:id="8" w:name="_Toc236861477"/>
      <w:r w:rsidRPr="00AD295A">
        <w:rPr>
          <w:rFonts w:ascii="Times New Roman" w:hAnsi="Times New Roman" w:cs="Times New Roman"/>
          <w:color w:val="auto"/>
        </w:rPr>
        <w:t>2.1.5 Efficiency and working capital</w:t>
      </w:r>
      <w:bookmarkEnd w:id="8"/>
    </w:p>
    <w:p w14:paraId="74357710" w14:textId="77777777" w:rsidR="00E1058B" w:rsidRPr="00AD295A" w:rsidRDefault="00E1058B" w:rsidP="00E1058B">
      <w:pPr>
        <w:rPr>
          <w:rFonts w:cs="Times New Roman"/>
          <w:color w:val="auto"/>
        </w:rPr>
      </w:pPr>
      <w:r w:rsidRPr="00AD295A">
        <w:rPr>
          <w:rFonts w:cs="Times New Roman"/>
          <w:color w:val="auto"/>
        </w:rPr>
        <w:t xml:space="preserve">The inventory turnover decreased from 43.06 to 40.40 times. This is not the primary concern, but may represent device mix or timing of the reporting date, as inventory is small as compared to revenue. </w:t>
      </w:r>
      <w:proofErr w:type="gramStart"/>
      <w:r w:rsidRPr="00AD295A">
        <w:rPr>
          <w:rFonts w:cs="Times New Roman"/>
          <w:color w:val="auto"/>
        </w:rPr>
        <w:t>Receivables</w:t>
      </w:r>
      <w:proofErr w:type="gramEnd"/>
      <w:r w:rsidRPr="00AD295A">
        <w:rPr>
          <w:rFonts w:cs="Times New Roman"/>
          <w:color w:val="auto"/>
        </w:rPr>
        <w:t xml:space="preserve"> turnover has decreased from 4.27 to 3.98 times with a 9.43% increase in receivables while revenue increased by 1.99%. This can imply that there are fewer collections or a shift in the kind of customers.</w:t>
      </w:r>
    </w:p>
    <w:p w14:paraId="422587D7" w14:textId="77777777" w:rsidR="00E1058B" w:rsidRPr="00AD295A" w:rsidRDefault="00E1058B" w:rsidP="00E1058B">
      <w:pPr>
        <w:rPr>
          <w:rFonts w:cs="Times New Roman"/>
          <w:color w:val="auto"/>
        </w:rPr>
      </w:pPr>
      <w:r w:rsidRPr="00AD295A">
        <w:rPr>
          <w:rFonts w:cs="Times New Roman"/>
          <w:color w:val="auto"/>
        </w:rPr>
        <w:t xml:space="preserve">Typically, weak collection discipline is associated with higher financing requirements and lower values, but the best results are achieved depending on the operating cycle and the economic conditions (García-Teruel and Martínez-Solano, 2007; Enqvist et al., 2014; Kieschnick et al., 2013). One size does not fit all with Vodafone and its targets should not be applied to consumers, businesses and public </w:t>
      </w:r>
      <w:proofErr w:type="spellStart"/>
      <w:r w:rsidRPr="00AD295A">
        <w:rPr>
          <w:rFonts w:cs="Times New Roman"/>
          <w:color w:val="auto"/>
        </w:rPr>
        <w:t>organisations</w:t>
      </w:r>
      <w:proofErr w:type="spellEnd"/>
      <w:r w:rsidRPr="00AD295A">
        <w:rPr>
          <w:rFonts w:cs="Times New Roman"/>
          <w:color w:val="auto"/>
        </w:rPr>
        <w:t>. It should track overdue amounts, dispute and expected credit loss by customer group. The ratio is an indicator of risk, and disclosure is available but is unable to pinpoint a cause.</w:t>
      </w:r>
    </w:p>
    <w:p w14:paraId="4864BB3F" w14:textId="34D913A8" w:rsidR="00E1058B" w:rsidRPr="00AD295A" w:rsidRDefault="00E1058B" w:rsidP="00E1058B">
      <w:pPr>
        <w:rPr>
          <w:rFonts w:cs="Times New Roman"/>
          <w:color w:val="auto"/>
        </w:rPr>
      </w:pPr>
      <w:r w:rsidRPr="00AD295A">
        <w:rPr>
          <w:rFonts w:cs="Times New Roman"/>
          <w:color w:val="auto"/>
        </w:rPr>
        <w:t xml:space="preserve">Other factors that impact turnover are contract billing, handset instalments, wholesale balances and exchange rates. Simpler, late payment isn't proven by the group-level fall. Before assessing collection performance, the volume, price, disposals, exchange effects, disputes and credit quality should be </w:t>
      </w:r>
      <w:proofErr w:type="spellStart"/>
      <w:r w:rsidRPr="00AD295A">
        <w:rPr>
          <w:rFonts w:cs="Times New Roman"/>
          <w:color w:val="auto"/>
        </w:rPr>
        <w:t>reconcilied</w:t>
      </w:r>
      <w:proofErr w:type="spellEnd"/>
      <w:r w:rsidRPr="00AD295A">
        <w:rPr>
          <w:rFonts w:cs="Times New Roman"/>
          <w:color w:val="auto"/>
        </w:rPr>
        <w:t xml:space="preserve"> in the internal review.</w:t>
      </w:r>
    </w:p>
    <w:p w14:paraId="2433B6EC" w14:textId="77777777" w:rsidR="00E01AF9" w:rsidRPr="00AD295A" w:rsidRDefault="00504820">
      <w:pPr>
        <w:pStyle w:val="Heading3"/>
        <w:rPr>
          <w:rFonts w:ascii="Times New Roman" w:hAnsi="Times New Roman" w:cs="Times New Roman"/>
          <w:color w:val="auto"/>
        </w:rPr>
      </w:pPr>
      <w:bookmarkStart w:id="9" w:name="_Toc236861478"/>
      <w:r w:rsidRPr="00AD295A">
        <w:rPr>
          <w:rFonts w:ascii="Times New Roman" w:hAnsi="Times New Roman" w:cs="Times New Roman"/>
          <w:color w:val="auto"/>
        </w:rPr>
        <w:t>2.1.6 Investor ratios and distributions</w:t>
      </w:r>
      <w:bookmarkEnd w:id="9"/>
    </w:p>
    <w:p w14:paraId="6AF80EBE" w14:textId="77777777" w:rsidR="00E1058B" w:rsidRPr="00AD295A" w:rsidRDefault="00E1058B" w:rsidP="00E1058B">
      <w:pPr>
        <w:rPr>
          <w:rFonts w:cs="Times New Roman"/>
          <w:color w:val="auto"/>
        </w:rPr>
      </w:pPr>
      <w:r w:rsidRPr="00AD295A">
        <w:rPr>
          <w:rFonts w:cs="Times New Roman"/>
          <w:color w:val="auto"/>
        </w:rPr>
        <w:t xml:space="preserve">Basic EPS declined by −15.86 eurocents from 4.45 eurocents, as a result of the statutory shareholder loss. Basic EPS was adjusted for a variety of reasons, such as impairment, and went from 7.47 to 7.87 eurocents. Basic EPS is based on IFRS result, adjusted EPS shows the recurring capacity. Management chooses the exclusions however, reconciliation and challenge </w:t>
      </w:r>
      <w:proofErr w:type="gramStart"/>
      <w:r w:rsidRPr="00AD295A">
        <w:rPr>
          <w:rFonts w:cs="Times New Roman"/>
          <w:color w:val="auto"/>
        </w:rPr>
        <w:t>is</w:t>
      </w:r>
      <w:proofErr w:type="gramEnd"/>
      <w:r w:rsidRPr="00AD295A">
        <w:rPr>
          <w:rFonts w:cs="Times New Roman"/>
          <w:color w:val="auto"/>
        </w:rPr>
        <w:t xml:space="preserve"> required (Vodafone Group Plc, 2025a; Financial Reporting Council, 2024b).</w:t>
      </w:r>
    </w:p>
    <w:p w14:paraId="5321F2A1" w14:textId="495A9166" w:rsidR="00E1058B" w:rsidRPr="00AD295A" w:rsidRDefault="00E1058B" w:rsidP="00E1058B">
      <w:pPr>
        <w:rPr>
          <w:rFonts w:cs="Times New Roman"/>
          <w:color w:val="auto"/>
        </w:rPr>
      </w:pPr>
      <w:r w:rsidRPr="00AD295A">
        <w:rPr>
          <w:rFonts w:cs="Times New Roman"/>
          <w:color w:val="auto"/>
        </w:rPr>
        <w:t xml:space="preserve">This resulted in dividend per share being cut in half from 9.00 eurocents to 4.50 eurocents, whilst at the same time the dividend cover increased from 0.83 times to 1.75 times (excluding adjustment items). Sustainability saw an improvement since the dividend could be covered by EPS in 2025, although there was a decrease in shareholder income. Similarly, if a negative basic EPS was calculated, this also means </w:t>
      </w:r>
      <w:r w:rsidRPr="00AD295A">
        <w:rPr>
          <w:rFonts w:cs="Times New Roman"/>
          <w:color w:val="auto"/>
        </w:rPr>
        <w:lastRenderedPageBreak/>
        <w:t>that it was not included in the statutory result. Dividends or buy-backs should then be appropriately based on the free cash flow, leverage requirements, and investment requirements rather than the payment of a dividend or buy-back during weak operating economics (Berk and DeMarzo, 2023).</w:t>
      </w:r>
    </w:p>
    <w:p w14:paraId="0A50500F" w14:textId="77777777" w:rsidR="00E01AF9" w:rsidRPr="00AD295A" w:rsidRDefault="00504820">
      <w:pPr>
        <w:pStyle w:val="Heading3"/>
        <w:rPr>
          <w:rFonts w:ascii="Times New Roman" w:hAnsi="Times New Roman" w:cs="Times New Roman"/>
          <w:color w:val="auto"/>
        </w:rPr>
      </w:pPr>
      <w:bookmarkStart w:id="10" w:name="_Toc236861479"/>
      <w:r w:rsidRPr="00AD295A">
        <w:rPr>
          <w:rFonts w:ascii="Times New Roman" w:hAnsi="Times New Roman" w:cs="Times New Roman"/>
          <w:color w:val="auto"/>
        </w:rPr>
        <w:t>2.1.7 Integrated evaluation and limitations</w:t>
      </w:r>
      <w:bookmarkEnd w:id="10"/>
    </w:p>
    <w:p w14:paraId="36BD1E9F" w14:textId="095EED14" w:rsidR="00E1058B" w:rsidRPr="00AD295A" w:rsidRDefault="00E1058B" w:rsidP="00E1058B">
      <w:pPr>
        <w:rPr>
          <w:rFonts w:cs="Times New Roman"/>
          <w:color w:val="auto"/>
        </w:rPr>
      </w:pPr>
      <w:r w:rsidRPr="00AD295A">
        <w:rPr>
          <w:rFonts w:cs="Times New Roman"/>
          <w:color w:val="auto"/>
        </w:rPr>
        <w:t xml:space="preserve">The ratios all suggest a company that has moderate growth, good gross margin, a solid position for short term liquidity, with improved debt levels, and poor operating performance and shareholder returns. </w:t>
      </w:r>
      <w:proofErr w:type="gramStart"/>
      <w:r w:rsidRPr="00AD295A">
        <w:rPr>
          <w:rFonts w:cs="Times New Roman"/>
          <w:color w:val="auto"/>
        </w:rPr>
        <w:t>So</w:t>
      </w:r>
      <w:proofErr w:type="gramEnd"/>
      <w:r w:rsidRPr="00AD295A">
        <w:rPr>
          <w:rFonts w:cs="Times New Roman"/>
          <w:color w:val="auto"/>
        </w:rPr>
        <w:t xml:space="preserve"> the pattern isn't just a gradual downfall in all aspects. This is a rude shock to profits, along with balance-sheet measures which enhanced cash and </w:t>
      </w:r>
      <w:proofErr w:type="spellStart"/>
      <w:r w:rsidRPr="00AD295A">
        <w:rPr>
          <w:rFonts w:cs="Times New Roman"/>
          <w:color w:val="auto"/>
        </w:rPr>
        <w:t>minimi</w:t>
      </w:r>
      <w:r w:rsidR="005F33E3" w:rsidRPr="00AD295A">
        <w:rPr>
          <w:rFonts w:cs="Times New Roman"/>
          <w:color w:val="auto"/>
        </w:rPr>
        <w:t>s</w:t>
      </w:r>
      <w:r w:rsidRPr="00AD295A">
        <w:rPr>
          <w:rFonts w:cs="Times New Roman"/>
          <w:color w:val="auto"/>
        </w:rPr>
        <w:t>ed</w:t>
      </w:r>
      <w:proofErr w:type="spellEnd"/>
      <w:r w:rsidRPr="00AD295A">
        <w:rPr>
          <w:rFonts w:cs="Times New Roman"/>
          <w:color w:val="auto"/>
        </w:rPr>
        <w:t xml:space="preserve"> debt. The focused BT comparison provides some support to the concept that Vodafone's current ratio isn't abnormally low. But it doesn't eliminate the need to enhance the returns on receivables and operating returns. The data should also be segmented since there are differences in conditions, for example, in Germany, the United Kingdom, Africa and other markets, and these differences are not apparent from the group data (IFRS Foundation, 2024d).</w:t>
      </w:r>
    </w:p>
    <w:p w14:paraId="104C7B1A" w14:textId="77777777" w:rsidR="00E1058B" w:rsidRPr="00AD295A" w:rsidRDefault="00E1058B" w:rsidP="00E1058B">
      <w:pPr>
        <w:rPr>
          <w:rFonts w:cs="Times New Roman"/>
          <w:color w:val="auto"/>
        </w:rPr>
      </w:pPr>
      <w:r w:rsidRPr="00AD295A">
        <w:rPr>
          <w:rFonts w:cs="Times New Roman"/>
          <w:color w:val="auto"/>
        </w:rPr>
        <w:t xml:space="preserve">There are a number of restrictions to the conclusion. First, ratios are based on past performance and do not provide any insight into network competition, regulation or foreign exchange or customer </w:t>
      </w:r>
      <w:proofErr w:type="spellStart"/>
      <w:r w:rsidRPr="00AD295A">
        <w:rPr>
          <w:rFonts w:cs="Times New Roman"/>
          <w:color w:val="auto"/>
        </w:rPr>
        <w:t>behaviour</w:t>
      </w:r>
      <w:proofErr w:type="spellEnd"/>
      <w:r w:rsidRPr="00AD295A">
        <w:rPr>
          <w:rFonts w:cs="Times New Roman"/>
          <w:color w:val="auto"/>
        </w:rPr>
        <w:t>. Secondly, closing balances can cause the results of the turnover and return measures to be skewed if the closing balances are seasonal. Thirdly, inflation and other measurement bases invalidate statements of the value of the statements in terms of their current purchasing power. Fourth, impairment is based on estimates and discount rates and if either of these changes over time, the value of assets may change as well as profit. Fifth, the 2025 comparatives were re-presented for discontinued operations due to Vodafone. This makes it easier to present results in a like-for-like fashion, but also makes it less safe to compare the results of this report with previous reports (Vodafone Group Plc, 2024; 2025a). Lastly, some of the internally generated capabilities and customer relationships are not included in the accounting statements. Judgement is required linking profit, cash flow and financial position (IAS 1 and 7) with the aim of further improving the consistency of presentation (IFRS Foundation, 2024a; 2024b).</w:t>
      </w:r>
    </w:p>
    <w:p w14:paraId="484396B2" w14:textId="611B56E8" w:rsidR="00E1058B" w:rsidRPr="00AD295A" w:rsidRDefault="00E1058B" w:rsidP="00E1058B">
      <w:pPr>
        <w:rPr>
          <w:rFonts w:cs="Times New Roman"/>
          <w:color w:val="auto"/>
        </w:rPr>
      </w:pPr>
      <w:r w:rsidRPr="00AD295A">
        <w:rPr>
          <w:rFonts w:cs="Times New Roman"/>
          <w:color w:val="auto"/>
        </w:rPr>
        <w:t>Only two reporting dates have been analyzed as well. It's not going to be able to make any long-term trend or know whether it's structural change or one off. There's more insight in the market-value gearing, interest cover and cash conversion but this is followed by the brief and data matrix. The recommendations are therefore geared towards the clear signals in the evidence. These are not intended to be a comprehensive assessment of the company or a prediction of the price of Vodafone.</w:t>
      </w:r>
    </w:p>
    <w:p w14:paraId="6EC72012" w14:textId="77777777" w:rsidR="00E01AF9" w:rsidRPr="00AD295A" w:rsidRDefault="00504820">
      <w:pPr>
        <w:pStyle w:val="Heading3"/>
        <w:rPr>
          <w:rFonts w:ascii="Times New Roman" w:hAnsi="Times New Roman" w:cs="Times New Roman"/>
          <w:color w:val="auto"/>
        </w:rPr>
      </w:pPr>
      <w:bookmarkStart w:id="11" w:name="_Toc236861480"/>
      <w:r w:rsidRPr="00AD295A">
        <w:rPr>
          <w:rFonts w:ascii="Times New Roman" w:hAnsi="Times New Roman" w:cs="Times New Roman"/>
          <w:color w:val="auto"/>
        </w:rPr>
        <w:t>2.1.8 Recommendations for Vodafone</w:t>
      </w:r>
      <w:bookmarkEnd w:id="11"/>
    </w:p>
    <w:p w14:paraId="69F4E944" w14:textId="4C811218" w:rsidR="00E1058B" w:rsidRDefault="00B67D52" w:rsidP="00E1058B">
      <w:pPr>
        <w:rPr>
          <w:rFonts w:cs="Times New Roman"/>
          <w:color w:val="auto"/>
        </w:rPr>
      </w:pPr>
      <w:r w:rsidRPr="00B67D52">
        <w:rPr>
          <w:rFonts w:cs="Times New Roman"/>
          <w:color w:val="auto"/>
        </w:rPr>
        <w:t>Management’s immediate priority should be operating recovery in Germany.</w:t>
      </w:r>
      <w:r w:rsidR="00E1058B" w:rsidRPr="00AD295A">
        <w:rPr>
          <w:rFonts w:cs="Times New Roman"/>
          <w:color w:val="auto"/>
        </w:rPr>
        <w:t xml:space="preserve"> The note on impairment indicates that expectations around cash-flows have been overly optimistic. Hence, there is a need for the board to approve service revenue, churn, price </w:t>
      </w:r>
      <w:proofErr w:type="spellStart"/>
      <w:r w:rsidR="00E1058B" w:rsidRPr="00AD295A">
        <w:rPr>
          <w:rFonts w:cs="Times New Roman"/>
          <w:color w:val="auto"/>
        </w:rPr>
        <w:t>realisation</w:t>
      </w:r>
      <w:proofErr w:type="spellEnd"/>
      <w:r w:rsidR="00E1058B" w:rsidRPr="00AD295A">
        <w:rPr>
          <w:rFonts w:cs="Times New Roman"/>
          <w:color w:val="auto"/>
        </w:rPr>
        <w:t xml:space="preserve">, cost to serve and cash conversion unit level targets. </w:t>
      </w:r>
      <w:r w:rsidR="00110D52" w:rsidRPr="00110D52">
        <w:rPr>
          <w:rFonts w:cs="Times New Roman"/>
          <w:color w:val="auto"/>
        </w:rPr>
        <w:t xml:space="preserve">Projects should be reviewed each quarter and be either cancelled or </w:t>
      </w:r>
      <w:proofErr w:type="spellStart"/>
      <w:r w:rsidR="00110D52" w:rsidRPr="00110D52">
        <w:rPr>
          <w:rFonts w:cs="Times New Roman"/>
          <w:color w:val="auto"/>
        </w:rPr>
        <w:t>reprioritised</w:t>
      </w:r>
      <w:proofErr w:type="spellEnd"/>
      <w:r w:rsidR="00110D52" w:rsidRPr="00110D52">
        <w:rPr>
          <w:rFonts w:cs="Times New Roman"/>
          <w:color w:val="auto"/>
        </w:rPr>
        <w:t xml:space="preserve"> if key milestones have not been met as agreed (Financial Reporting Council, 2024a). This should ensure that customers are not adversely affected, improve accountability and drive the recovery of cash-flow, otherwise, sub-optimal asset performance could continue and further impair the asset (Vodafone Group Plc, 2025b).</w:t>
      </w:r>
    </w:p>
    <w:p w14:paraId="0E437BF3" w14:textId="77777777" w:rsidR="00110D52" w:rsidRPr="00AD295A" w:rsidRDefault="00110D52" w:rsidP="00E1058B">
      <w:pPr>
        <w:rPr>
          <w:rFonts w:cs="Times New Roman"/>
          <w:color w:val="auto"/>
        </w:rPr>
      </w:pPr>
    </w:p>
    <w:p w14:paraId="273F4581" w14:textId="34F46567" w:rsidR="00110D52" w:rsidRDefault="00B67D52" w:rsidP="00E1058B">
      <w:pPr>
        <w:rPr>
          <w:rFonts w:cs="Times New Roman"/>
          <w:color w:val="auto"/>
        </w:rPr>
      </w:pPr>
      <w:proofErr w:type="gramStart"/>
      <w:r w:rsidRPr="00B67D52">
        <w:rPr>
          <w:rFonts w:cs="Times New Roman"/>
          <w:color w:val="auto"/>
        </w:rPr>
        <w:t>Receivables</w:t>
      </w:r>
      <w:proofErr w:type="gramEnd"/>
      <w:r w:rsidRPr="00B67D52">
        <w:rPr>
          <w:rFonts w:cs="Times New Roman"/>
          <w:color w:val="auto"/>
        </w:rPr>
        <w:t xml:space="preserve"> governance also needs to be tightened</w:t>
      </w:r>
      <w:r w:rsidR="00E1058B" w:rsidRPr="00AD295A">
        <w:rPr>
          <w:rFonts w:cs="Times New Roman"/>
          <w:color w:val="auto"/>
        </w:rPr>
        <w:t xml:space="preserve">. The ageing, disputes, days past due and expected credit losses by customer type should be reported as a segment team. Named owners used to be the usual and natural practice for large enterprise and public-sector balances. </w:t>
      </w:r>
      <w:r w:rsidR="00110D52" w:rsidRPr="00110D52">
        <w:rPr>
          <w:rFonts w:cs="Times New Roman"/>
          <w:color w:val="auto"/>
        </w:rPr>
        <w:t>Sales incentives should be based on cash collected not billed revenue. This should help reduce the growth of cash while not causing a deterioration in customer relationships; otherwise, receivables could still grow at a higher rate than cash, creating a funding pressure (García-Teruel and Martínez-Solano, 2007; Enqvist et al., 2014).</w:t>
      </w:r>
      <w:r w:rsidR="00110D52">
        <w:rPr>
          <w:rFonts w:cs="Times New Roman"/>
          <w:color w:val="auto"/>
        </w:rPr>
        <w:t xml:space="preserve"> </w:t>
      </w:r>
    </w:p>
    <w:p w14:paraId="05B8BB07" w14:textId="21AD0C42" w:rsidR="00650940" w:rsidRDefault="00B67D52" w:rsidP="00E1058B">
      <w:pPr>
        <w:rPr>
          <w:rFonts w:cs="Times New Roman"/>
          <w:color w:val="auto"/>
        </w:rPr>
      </w:pPr>
      <w:r>
        <w:lastRenderedPageBreak/>
        <w:t>Capital allocation and dividends should be tied to sustainable free cash flow.</w:t>
      </w:r>
      <w:r w:rsidR="00E1058B" w:rsidRPr="00AD295A">
        <w:rPr>
          <w:rFonts w:cs="Times New Roman"/>
          <w:color w:val="auto"/>
        </w:rPr>
        <w:t xml:space="preserve"> </w:t>
      </w:r>
      <w:r w:rsidR="00650940" w:rsidRPr="00650940">
        <w:rPr>
          <w:rFonts w:cs="Times New Roman"/>
          <w:color w:val="auto"/>
        </w:rPr>
        <w:t>Absolute debt has reduced but the conservative leverage limits are still appropriate, as operating returns and equity have weakened. The downside cash flow scenarios should be used to test debt reduction and dividends and buy-backs. This should help maintain flexibility and ensure network investment is not compromised, since network investment could be weakened if distributions are fixed, or if new borrowing is undertaken (Berk and DeMarzo, 2023).</w:t>
      </w:r>
    </w:p>
    <w:p w14:paraId="0E25AE82" w14:textId="60CA61A6" w:rsidR="00350999" w:rsidRPr="00AD295A" w:rsidRDefault="00B67D52" w:rsidP="00E1058B">
      <w:pPr>
        <w:rPr>
          <w:rFonts w:cs="Times New Roman"/>
          <w:color w:val="auto"/>
        </w:rPr>
      </w:pPr>
      <w:r>
        <w:t>For growth, enterprise 5G</w:t>
      </w:r>
      <w:r w:rsidR="00E1058B" w:rsidRPr="00AD295A">
        <w:rPr>
          <w:rFonts w:cs="Times New Roman"/>
          <w:color w:val="auto"/>
        </w:rPr>
        <w:t xml:space="preserve">, cloud connectivity, IoT and digital services with contracts with clear cash flows should be </w:t>
      </w:r>
      <w:proofErr w:type="spellStart"/>
      <w:r w:rsidR="00E1058B" w:rsidRPr="00AD295A">
        <w:rPr>
          <w:rFonts w:cs="Times New Roman"/>
          <w:color w:val="auto"/>
        </w:rPr>
        <w:t>prioriti</w:t>
      </w:r>
      <w:r w:rsidR="001C409B" w:rsidRPr="00AD295A">
        <w:rPr>
          <w:rFonts w:cs="Times New Roman"/>
          <w:color w:val="auto"/>
        </w:rPr>
        <w:t>s</w:t>
      </w:r>
      <w:r w:rsidR="00E1058B" w:rsidRPr="00AD295A">
        <w:rPr>
          <w:rFonts w:cs="Times New Roman"/>
          <w:color w:val="auto"/>
        </w:rPr>
        <w:t>ed</w:t>
      </w:r>
      <w:proofErr w:type="spellEnd"/>
      <w:r w:rsidR="00E1058B" w:rsidRPr="00AD295A">
        <w:rPr>
          <w:rFonts w:cs="Times New Roman"/>
          <w:color w:val="auto"/>
        </w:rPr>
        <w:t xml:space="preserve">. </w:t>
      </w:r>
      <w:r w:rsidR="00350999" w:rsidRPr="00350999">
        <w:rPr>
          <w:rFonts w:cs="Times New Roman"/>
          <w:color w:val="auto"/>
        </w:rPr>
        <w:t xml:space="preserve">As highlighted by </w:t>
      </w:r>
      <w:proofErr w:type="spellStart"/>
      <w:r w:rsidR="00350999" w:rsidRPr="00350999">
        <w:rPr>
          <w:rFonts w:cs="Times New Roman"/>
          <w:color w:val="auto"/>
        </w:rPr>
        <w:t>Ofcom</w:t>
      </w:r>
      <w:proofErr w:type="spellEnd"/>
      <w:r w:rsidR="00350999" w:rsidRPr="00350999">
        <w:rPr>
          <w:rFonts w:cs="Times New Roman"/>
          <w:color w:val="auto"/>
        </w:rPr>
        <w:t xml:space="preserve"> (2024); GSMA (2025); OECD (2024) and the European Commission (2025) there is potential for growth through network and digital adoption but each project must be subject to disciplined NPV and customer commitment tests. Energy-efficiency and renewable-power measures should continue where they produce benefits both in terms of lowering emissions, as well as lowering operating costs for the networks (GSMA, 2024; Vodafone Group Plc, 2025c). This could foster growth and efficiency; failing to do so could result in the investment of capital without sufficient value added.</w:t>
      </w:r>
    </w:p>
    <w:p w14:paraId="3FB80B73" w14:textId="77777777" w:rsidR="00E01AF9" w:rsidRPr="00AD295A" w:rsidRDefault="00504820">
      <w:pPr>
        <w:pStyle w:val="Heading2"/>
        <w:rPr>
          <w:rFonts w:ascii="Times New Roman" w:hAnsi="Times New Roman" w:cs="Times New Roman"/>
          <w:color w:val="auto"/>
        </w:rPr>
      </w:pPr>
      <w:bookmarkStart w:id="12" w:name="_Toc236861481"/>
      <w:r w:rsidRPr="00AD295A">
        <w:rPr>
          <w:rFonts w:ascii="Times New Roman" w:hAnsi="Times New Roman" w:cs="Times New Roman"/>
          <w:color w:val="auto"/>
        </w:rPr>
        <w:t>2.2 Part 2 — Capital investment appraisal for Beard Plc</w:t>
      </w:r>
      <w:bookmarkEnd w:id="12"/>
    </w:p>
    <w:p w14:paraId="129C1D03" w14:textId="77777777" w:rsidR="00E01AF9" w:rsidRPr="00AD295A" w:rsidRDefault="00504820">
      <w:pPr>
        <w:pStyle w:val="Heading3"/>
        <w:rPr>
          <w:rFonts w:ascii="Times New Roman" w:hAnsi="Times New Roman" w:cs="Times New Roman"/>
          <w:color w:val="auto"/>
        </w:rPr>
      </w:pPr>
      <w:bookmarkStart w:id="13" w:name="_Toc236861482"/>
      <w:r w:rsidRPr="00AD295A">
        <w:rPr>
          <w:rFonts w:ascii="Times New Roman" w:hAnsi="Times New Roman" w:cs="Times New Roman"/>
          <w:color w:val="auto"/>
        </w:rPr>
        <w:t>2.2.1 Case assumptions and after-tax cash flows</w:t>
      </w:r>
      <w:bookmarkEnd w:id="13"/>
    </w:p>
    <w:p w14:paraId="0208FD2C" w14:textId="77777777" w:rsidR="002438AE" w:rsidRPr="00AD295A" w:rsidRDefault="002438AE" w:rsidP="002438AE">
      <w:pPr>
        <w:rPr>
          <w:rFonts w:cs="Times New Roman"/>
          <w:color w:val="auto"/>
        </w:rPr>
      </w:pPr>
      <w:r w:rsidRPr="00AD295A">
        <w:rPr>
          <w:rFonts w:cs="Times New Roman"/>
          <w:color w:val="auto"/>
        </w:rPr>
        <w:t>The brief is the only document that is used in the appraisal. Options A, B and C require £600,000, £900,000 and £1,000,000 respectively and provide four years of pre-tax cash flows. The cost of capital is 5%, annual straight line capital allowance is 20% of initial cost and Corporation tax is 25%. Calculations use £000. Due to the short time frame, no delay of tax is created because cash flow and tax are in the same year.</w:t>
      </w:r>
    </w:p>
    <w:p w14:paraId="2DE53FDA" w14:textId="77777777" w:rsidR="002438AE" w:rsidRPr="00AD295A" w:rsidRDefault="002438AE" w:rsidP="002438AE">
      <w:pPr>
        <w:rPr>
          <w:rFonts w:cs="Times New Roman"/>
          <w:color w:val="auto"/>
        </w:rPr>
      </w:pPr>
      <w:proofErr w:type="spellStart"/>
      <w:r w:rsidRPr="00AD295A">
        <w:rPr>
          <w:rFonts w:cs="Times New Roman"/>
          <w:color w:val="auto"/>
        </w:rPr>
        <w:t>Pre tax</w:t>
      </w:r>
      <w:proofErr w:type="spellEnd"/>
      <w:r w:rsidRPr="00AD295A">
        <w:rPr>
          <w:rFonts w:cs="Times New Roman"/>
          <w:color w:val="auto"/>
        </w:rPr>
        <w:t xml:space="preserve"> cash flow minus 25% x taxable profit is after tax cash flow and cash flow minus the allowance is taxable profit. Equivalently, it is 0.75 × cash flow + 0.25 × allowance. If the taxable profit is negative, then Beard is assumed to use the negative taxable profit, or tax loss, to offset other taxable profit. There is no cash flow associated with a residual value, working-capital recovery or terminal value, since they are not provided.</w:t>
      </w:r>
    </w:p>
    <w:p w14:paraId="5402706A" w14:textId="25175EC9" w:rsidR="002438AE" w:rsidRPr="00AD295A" w:rsidRDefault="002438AE" w:rsidP="002438AE">
      <w:pPr>
        <w:rPr>
          <w:rFonts w:cs="Times New Roman"/>
          <w:color w:val="auto"/>
        </w:rPr>
      </w:pPr>
      <w:r w:rsidRPr="00AD295A">
        <w:rPr>
          <w:rFonts w:cs="Times New Roman"/>
          <w:color w:val="auto"/>
        </w:rPr>
        <w:t xml:space="preserve">The 25% is the UK main corporation tax rate as stated for 2025 and the straight-line allowance of 20% is stipulated as a case instruction and not as an asset claim </w:t>
      </w:r>
      <w:r w:rsidR="00B93E4B" w:rsidRPr="00AD295A">
        <w:rPr>
          <w:rFonts w:cs="Times New Roman"/>
          <w:color w:val="auto"/>
        </w:rPr>
        <w:t>(UK Government, 2025a; 2025b)</w:t>
      </w:r>
      <w:r w:rsidRPr="00AD295A">
        <w:rPr>
          <w:rFonts w:cs="Times New Roman"/>
          <w:color w:val="auto"/>
        </w:rPr>
        <w:t>. Real treatment is according to the date of the assets and expenditures. The model is based on the brief – a live proposal would require a tax review.</w:t>
      </w:r>
    </w:p>
    <w:p w14:paraId="372AEF05" w14:textId="77777777" w:rsidR="00E01AF9" w:rsidRPr="00AD295A" w:rsidRDefault="00504820">
      <w:pPr>
        <w:pStyle w:val="Heading3"/>
        <w:rPr>
          <w:rFonts w:ascii="Times New Roman" w:hAnsi="Times New Roman" w:cs="Times New Roman"/>
          <w:color w:val="auto"/>
        </w:rPr>
      </w:pPr>
      <w:bookmarkStart w:id="14" w:name="_Toc236861483"/>
      <w:r w:rsidRPr="00AD295A">
        <w:rPr>
          <w:rFonts w:ascii="Times New Roman" w:hAnsi="Times New Roman" w:cs="Times New Roman"/>
          <w:color w:val="auto"/>
        </w:rPr>
        <w:t>2.2.2 Net present value results</w:t>
      </w:r>
      <w:bookmarkEnd w:id="14"/>
    </w:p>
    <w:p w14:paraId="1F171D05" w14:textId="77777777" w:rsidR="002438AE" w:rsidRPr="00AD295A" w:rsidRDefault="002438AE" w:rsidP="002438AE">
      <w:pPr>
        <w:rPr>
          <w:rFonts w:cs="Times New Roman"/>
          <w:color w:val="auto"/>
        </w:rPr>
      </w:pPr>
      <w:r w:rsidRPr="00AD295A">
        <w:rPr>
          <w:rFonts w:cs="Times New Roman"/>
          <w:color w:val="auto"/>
        </w:rPr>
        <w:t>NPV will discount incremental after-tax cash flows at the required return and subtract initial investment. Independent projects have a positive NPV; Mutually exclusive projects with similar risk have the highest positive NPV (Brealey et al., 2023; Berk et al., 2022). The Schedule can be found in the Appendix C.</w:t>
      </w:r>
    </w:p>
    <w:p w14:paraId="54C106A2" w14:textId="77777777" w:rsidR="002438AE" w:rsidRPr="00AD295A" w:rsidRDefault="002438AE" w:rsidP="002438AE">
      <w:pPr>
        <w:rPr>
          <w:rFonts w:cs="Times New Roman"/>
          <w:color w:val="auto"/>
        </w:rPr>
      </w:pPr>
      <w:r w:rsidRPr="00AD295A">
        <w:rPr>
          <w:rFonts w:cs="Times New Roman"/>
          <w:color w:val="auto"/>
        </w:rPr>
        <w:t>The present value of the inflows of Option A is £596.737 thousand and the NPV of the inflows is −£3.263 thousand. The present value of Option B is £973.952 thousand and it has £73.952 thousand NPV. The present value of option C is £1091.226 thousand and the NPV is £91.226 thousand.</w:t>
      </w:r>
    </w:p>
    <w:p w14:paraId="0C284913" w14:textId="77777777" w:rsidR="002438AE" w:rsidRPr="00AD295A" w:rsidRDefault="002438AE" w:rsidP="002438AE">
      <w:pPr>
        <w:rPr>
          <w:rFonts w:cs="Times New Roman"/>
          <w:color w:val="auto"/>
        </w:rPr>
      </w:pPr>
      <w:r w:rsidRPr="00AD295A">
        <w:rPr>
          <w:rFonts w:cs="Times New Roman"/>
          <w:color w:val="auto"/>
        </w:rPr>
        <w:t>C costs £100,000 more than B but adds £17,274 NPV. However, its NPV is 9.12% of investment, compared to B's 8.22% and as A still reduces its value, it continues to be value reducing.</w:t>
      </w:r>
    </w:p>
    <w:p w14:paraId="42C2C6F7" w14:textId="1AD07B74" w:rsidR="002438AE" w:rsidRPr="00AD295A" w:rsidRDefault="002438AE" w:rsidP="002438AE">
      <w:pPr>
        <w:rPr>
          <w:rFonts w:cs="Times New Roman"/>
          <w:color w:val="auto"/>
        </w:rPr>
      </w:pPr>
      <w:r w:rsidRPr="00AD295A">
        <w:rPr>
          <w:rFonts w:cs="Times New Roman"/>
          <w:color w:val="auto"/>
        </w:rPr>
        <w:t xml:space="preserve">Suppose that B, </w:t>
      </w:r>
      <w:r w:rsidR="001B596C" w:rsidRPr="00AD295A">
        <w:rPr>
          <w:rFonts w:cs="Times New Roman"/>
          <w:color w:val="auto"/>
        </w:rPr>
        <w:t>a</w:t>
      </w:r>
      <w:r w:rsidRPr="00AD295A">
        <w:rPr>
          <w:rFonts w:cs="Times New Roman"/>
          <w:color w:val="auto"/>
        </w:rPr>
        <w:t xml:space="preserve">nd </w:t>
      </w:r>
      <w:r w:rsidR="001B596C" w:rsidRPr="00AD295A">
        <w:rPr>
          <w:rFonts w:cs="Times New Roman"/>
          <w:color w:val="auto"/>
        </w:rPr>
        <w:t>C</w:t>
      </w:r>
      <w:r w:rsidRPr="00AD295A">
        <w:rPr>
          <w:rFonts w:cs="Times New Roman"/>
          <w:color w:val="auto"/>
        </w:rPr>
        <w:t xml:space="preserve"> experience the same ratio of reduction in after-tax cash flows, but the initial cost is the same; then, the after-tax cash flows of B and C will reach zero at about 7.59% and 8.36% reductions, respectively. The cushion C has is greater, but it is not really well protected. This is not an alternative to scenarios as real-life changes impact on specific years or costs.</w:t>
      </w:r>
    </w:p>
    <w:tbl>
      <w:tblPr>
        <w:tblStyle w:val="TableGrid"/>
        <w:tblW w:w="0" w:type="auto"/>
        <w:tblLayout w:type="fixed"/>
        <w:tblLook w:val="04A0" w:firstRow="1" w:lastRow="0" w:firstColumn="1" w:lastColumn="0" w:noHBand="0" w:noVBand="1"/>
      </w:tblPr>
      <w:tblGrid>
        <w:gridCol w:w="1134"/>
        <w:gridCol w:w="1814"/>
        <w:gridCol w:w="1928"/>
        <w:gridCol w:w="1531"/>
        <w:gridCol w:w="1701"/>
      </w:tblGrid>
      <w:tr w:rsidR="00AD295A" w:rsidRPr="00AD295A" w14:paraId="06044534" w14:textId="77777777" w:rsidTr="00AD295A">
        <w:tc>
          <w:tcPr>
            <w:tcW w:w="1134" w:type="dxa"/>
          </w:tcPr>
          <w:p w14:paraId="2EA6827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rPr>
              <w:t>Option</w:t>
            </w:r>
          </w:p>
        </w:tc>
        <w:tc>
          <w:tcPr>
            <w:tcW w:w="1814" w:type="dxa"/>
          </w:tcPr>
          <w:p w14:paraId="44E6ED3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rPr>
              <w:t>Initial outlay (£000)</w:t>
            </w:r>
          </w:p>
        </w:tc>
        <w:tc>
          <w:tcPr>
            <w:tcW w:w="1928" w:type="dxa"/>
          </w:tcPr>
          <w:p w14:paraId="6A27FBD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rPr>
              <w:t>PV of inflows (£000)</w:t>
            </w:r>
          </w:p>
        </w:tc>
        <w:tc>
          <w:tcPr>
            <w:tcW w:w="1531" w:type="dxa"/>
          </w:tcPr>
          <w:p w14:paraId="1AF69B7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rPr>
              <w:t>NPV (£000)</w:t>
            </w:r>
          </w:p>
        </w:tc>
        <w:tc>
          <w:tcPr>
            <w:tcW w:w="1701" w:type="dxa"/>
          </w:tcPr>
          <w:p w14:paraId="01B7DF7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rPr>
              <w:t>Decision</w:t>
            </w:r>
          </w:p>
        </w:tc>
      </w:tr>
      <w:tr w:rsidR="00AD295A" w:rsidRPr="00AD295A" w14:paraId="7DA84923" w14:textId="77777777" w:rsidTr="00AD295A">
        <w:tc>
          <w:tcPr>
            <w:tcW w:w="1134" w:type="dxa"/>
          </w:tcPr>
          <w:p w14:paraId="6CDF8A1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lastRenderedPageBreak/>
              <w:t>A</w:t>
            </w:r>
          </w:p>
        </w:tc>
        <w:tc>
          <w:tcPr>
            <w:tcW w:w="1814" w:type="dxa"/>
          </w:tcPr>
          <w:p w14:paraId="56C2BAD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600.000</w:t>
            </w:r>
          </w:p>
        </w:tc>
        <w:tc>
          <w:tcPr>
            <w:tcW w:w="1928" w:type="dxa"/>
          </w:tcPr>
          <w:p w14:paraId="0787ABB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596.737</w:t>
            </w:r>
          </w:p>
        </w:tc>
        <w:tc>
          <w:tcPr>
            <w:tcW w:w="1531" w:type="dxa"/>
          </w:tcPr>
          <w:p w14:paraId="7AD2855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−3.263</w:t>
            </w:r>
          </w:p>
        </w:tc>
        <w:tc>
          <w:tcPr>
            <w:tcW w:w="1701" w:type="dxa"/>
          </w:tcPr>
          <w:p w14:paraId="7952EF0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Reject</w:t>
            </w:r>
          </w:p>
        </w:tc>
      </w:tr>
      <w:tr w:rsidR="00AD295A" w:rsidRPr="00AD295A" w14:paraId="0AE3EE04" w14:textId="77777777" w:rsidTr="00AD295A">
        <w:tc>
          <w:tcPr>
            <w:tcW w:w="1134" w:type="dxa"/>
          </w:tcPr>
          <w:p w14:paraId="3C0AB81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B</w:t>
            </w:r>
          </w:p>
        </w:tc>
        <w:tc>
          <w:tcPr>
            <w:tcW w:w="1814" w:type="dxa"/>
          </w:tcPr>
          <w:p w14:paraId="0244B48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900.000</w:t>
            </w:r>
          </w:p>
        </w:tc>
        <w:tc>
          <w:tcPr>
            <w:tcW w:w="1928" w:type="dxa"/>
          </w:tcPr>
          <w:p w14:paraId="20CF648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973.952</w:t>
            </w:r>
          </w:p>
        </w:tc>
        <w:tc>
          <w:tcPr>
            <w:tcW w:w="1531" w:type="dxa"/>
          </w:tcPr>
          <w:p w14:paraId="4F50910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73.952</w:t>
            </w:r>
          </w:p>
        </w:tc>
        <w:tc>
          <w:tcPr>
            <w:tcW w:w="1701" w:type="dxa"/>
          </w:tcPr>
          <w:p w14:paraId="60D9497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Accept</w:t>
            </w:r>
          </w:p>
        </w:tc>
      </w:tr>
      <w:tr w:rsidR="00AD295A" w:rsidRPr="00AD295A" w14:paraId="02FAED97" w14:textId="77777777" w:rsidTr="00AD295A">
        <w:tc>
          <w:tcPr>
            <w:tcW w:w="1134" w:type="dxa"/>
          </w:tcPr>
          <w:p w14:paraId="652EC12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C</w:t>
            </w:r>
          </w:p>
        </w:tc>
        <w:tc>
          <w:tcPr>
            <w:tcW w:w="1814" w:type="dxa"/>
          </w:tcPr>
          <w:p w14:paraId="4DB3F93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1,000.000</w:t>
            </w:r>
          </w:p>
        </w:tc>
        <w:tc>
          <w:tcPr>
            <w:tcW w:w="1928" w:type="dxa"/>
          </w:tcPr>
          <w:p w14:paraId="0C6D625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1,091.226</w:t>
            </w:r>
          </w:p>
        </w:tc>
        <w:tc>
          <w:tcPr>
            <w:tcW w:w="1531" w:type="dxa"/>
          </w:tcPr>
          <w:p w14:paraId="5B63756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91.226</w:t>
            </w:r>
          </w:p>
        </w:tc>
        <w:tc>
          <w:tcPr>
            <w:tcW w:w="1701" w:type="dxa"/>
          </w:tcPr>
          <w:p w14:paraId="119B042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Recommend</w:t>
            </w:r>
          </w:p>
        </w:tc>
      </w:tr>
    </w:tbl>
    <w:p w14:paraId="6F796DC7" w14:textId="77777777" w:rsidR="00E01AF9" w:rsidRPr="00AD295A" w:rsidRDefault="00504820">
      <w:pPr>
        <w:pStyle w:val="CaptionAcademic"/>
        <w:rPr>
          <w:rFonts w:ascii="Times New Roman" w:hAnsi="Times New Roman" w:cs="Times New Roman"/>
          <w:color w:val="auto"/>
        </w:rPr>
      </w:pPr>
      <w:r w:rsidRPr="00AD295A">
        <w:rPr>
          <w:rFonts w:ascii="Times New Roman" w:hAnsi="Times New Roman" w:cs="Times New Roman"/>
          <w:color w:val="auto"/>
        </w:rPr>
        <w:t>Table 2. Beard Plc NPV results at 5%. Amounts are £000; full workings are in Appendix C.</w:t>
      </w:r>
    </w:p>
    <w:p w14:paraId="207566C8" w14:textId="77777777" w:rsidR="00E01AF9" w:rsidRPr="00AD295A" w:rsidRDefault="00504820">
      <w:pPr>
        <w:pStyle w:val="Heading3"/>
        <w:rPr>
          <w:rFonts w:ascii="Times New Roman" w:hAnsi="Times New Roman" w:cs="Times New Roman"/>
          <w:color w:val="auto"/>
        </w:rPr>
      </w:pPr>
      <w:bookmarkStart w:id="15" w:name="_Toc236861484"/>
      <w:r w:rsidRPr="00AD295A">
        <w:rPr>
          <w:rFonts w:ascii="Times New Roman" w:hAnsi="Times New Roman" w:cs="Times New Roman"/>
          <w:color w:val="auto"/>
        </w:rPr>
        <w:t>2.2.3 Approximate internal rate of return for Option C</w:t>
      </w:r>
      <w:bookmarkEnd w:id="15"/>
    </w:p>
    <w:p w14:paraId="0D2E768F" w14:textId="0196E38A" w:rsidR="002438AE" w:rsidRPr="00AD295A" w:rsidRDefault="002438AE" w:rsidP="002438AE">
      <w:pPr>
        <w:rPr>
          <w:rFonts w:cs="Times New Roman"/>
          <w:color w:val="auto"/>
        </w:rPr>
      </w:pPr>
      <w:r w:rsidRPr="00AD295A">
        <w:rPr>
          <w:rFonts w:cs="Times New Roman"/>
          <w:color w:val="auto"/>
        </w:rPr>
        <w:t xml:space="preserve">The IRR is the discount rate at which NPV is = 0. The NPV of option C is £13.746 thousand at 8% and −£10.183 thousand at 9% so the IRR is approximately 8.57% (interpolated) and </w:t>
      </w:r>
      <w:r w:rsidR="00F916B2" w:rsidRPr="00AD295A">
        <w:rPr>
          <w:rFonts w:cs="Times New Roman"/>
          <w:color w:val="auto"/>
        </w:rPr>
        <w:t>directly calculated at 8.57%</w:t>
      </w:r>
      <w:r w:rsidRPr="00AD295A">
        <w:rPr>
          <w:rFonts w:cs="Times New Roman"/>
          <w:color w:val="auto"/>
        </w:rPr>
        <w:t>. This is more than Beard's 5% cost of capital, and is acceptable. But the 3.57-point gap suggests minor negative developments could cause a decline in value.</w:t>
      </w:r>
    </w:p>
    <w:p w14:paraId="032CBDFF" w14:textId="21722839" w:rsidR="002438AE" w:rsidRPr="00AD295A" w:rsidRDefault="002438AE" w:rsidP="002438AE">
      <w:pPr>
        <w:rPr>
          <w:rFonts w:cs="Times New Roman"/>
          <w:color w:val="auto"/>
        </w:rPr>
      </w:pPr>
      <w:r w:rsidRPr="00AD295A">
        <w:rPr>
          <w:rFonts w:cs="Times New Roman"/>
          <w:color w:val="auto"/>
        </w:rPr>
        <w:t xml:space="preserve">A percentage return should be communicated easily and IRR should not supplant NPV. It may rank mutually exclusive projects in wrong order, by scale and/or timing, and it may generate several rates in the case of changing cash-flow signs. The measure of direct value is a measure that happens to be the relevant cost of capital, known as NPV, </w:t>
      </w:r>
      <w:r w:rsidR="001C409B" w:rsidRPr="00AD295A">
        <w:rPr>
          <w:rFonts w:cs="Times New Roman"/>
          <w:color w:val="auto"/>
        </w:rPr>
        <w:t>(Arnold and Lewis, 2019; Berk and DeMarzo, 2023)</w:t>
      </w:r>
      <w:r w:rsidRPr="00AD295A">
        <w:rPr>
          <w:rFonts w:cs="Times New Roman"/>
          <w:color w:val="auto"/>
        </w:rPr>
        <w:t>.</w:t>
      </w:r>
    </w:p>
    <w:p w14:paraId="1F1036A2" w14:textId="77777777" w:rsidR="00E01AF9" w:rsidRPr="00AD295A" w:rsidRDefault="00504820">
      <w:pPr>
        <w:pStyle w:val="Heading3"/>
        <w:rPr>
          <w:rFonts w:ascii="Times New Roman" w:hAnsi="Times New Roman" w:cs="Times New Roman"/>
          <w:color w:val="auto"/>
        </w:rPr>
      </w:pPr>
      <w:bookmarkStart w:id="16" w:name="_Toc236861485"/>
      <w:r w:rsidRPr="00AD295A">
        <w:rPr>
          <w:rFonts w:ascii="Times New Roman" w:hAnsi="Times New Roman" w:cs="Times New Roman"/>
          <w:color w:val="auto"/>
        </w:rPr>
        <w:t>2.2.4 The theoretical case for NPV</w:t>
      </w:r>
      <w:bookmarkEnd w:id="16"/>
    </w:p>
    <w:p w14:paraId="32B29397" w14:textId="4F1DB8A9" w:rsidR="002438AE" w:rsidRPr="00AD295A" w:rsidRDefault="002438AE" w:rsidP="002438AE">
      <w:pPr>
        <w:rPr>
          <w:rFonts w:cs="Times New Roman"/>
          <w:color w:val="auto"/>
        </w:rPr>
      </w:pPr>
      <w:r w:rsidRPr="00AD295A">
        <w:rPr>
          <w:rFonts w:cs="Times New Roman"/>
          <w:color w:val="auto"/>
        </w:rPr>
        <w:t>NPV is a reflection of time value of money: the time value of money is that a pound today is worth more than a pound a year later. Discounting considers costs and benefits at a single time, includes all incremental project cash flows and applies opportunity cost of capital. Positive NPV should boost the wealth of the owners, with sound forecasts and d</w:t>
      </w:r>
      <w:r w:rsidR="001C409B" w:rsidRPr="00AD295A">
        <w:rPr>
          <w:rFonts w:cs="Times New Roman"/>
          <w:color w:val="auto"/>
        </w:rPr>
        <w:t>iscount rates (Brealey et al., 2023).</w:t>
      </w:r>
    </w:p>
    <w:p w14:paraId="07D4D76F" w14:textId="77777777" w:rsidR="002438AE" w:rsidRPr="00AD295A" w:rsidRDefault="002438AE" w:rsidP="002438AE">
      <w:pPr>
        <w:rPr>
          <w:rFonts w:cs="Times New Roman"/>
          <w:color w:val="auto"/>
        </w:rPr>
      </w:pPr>
      <w:r w:rsidRPr="00AD295A">
        <w:rPr>
          <w:rFonts w:cs="Times New Roman"/>
          <w:color w:val="auto"/>
        </w:rPr>
        <w:t xml:space="preserve">NPV value of individual projects can be combined to obtain the </w:t>
      </w:r>
      <w:proofErr w:type="spellStart"/>
      <w:r w:rsidRPr="00AD295A">
        <w:rPr>
          <w:rFonts w:cs="Times New Roman"/>
          <w:color w:val="auto"/>
        </w:rPr>
        <w:t>programme</w:t>
      </w:r>
      <w:proofErr w:type="spellEnd"/>
      <w:r w:rsidRPr="00AD295A">
        <w:rPr>
          <w:rFonts w:cs="Times New Roman"/>
          <w:color w:val="auto"/>
        </w:rPr>
        <w:t xml:space="preserve"> of investments. Beard can thus include a divisible </w:t>
      </w:r>
      <w:proofErr w:type="gramStart"/>
      <w:r w:rsidRPr="00AD295A">
        <w:rPr>
          <w:rFonts w:cs="Times New Roman"/>
          <w:color w:val="auto"/>
        </w:rPr>
        <w:t>amount</w:t>
      </w:r>
      <w:proofErr w:type="gramEnd"/>
      <w:r w:rsidRPr="00AD295A">
        <w:rPr>
          <w:rFonts w:cs="Times New Roman"/>
          <w:color w:val="auto"/>
        </w:rPr>
        <w:t xml:space="preserve"> of B's NPV with C's. Since NPV is monetary, it reflects more than just the amount of time that can be recovered, but also the amount of value added.</w:t>
      </w:r>
    </w:p>
    <w:p w14:paraId="4FF59B6F" w14:textId="2F2471C9" w:rsidR="002438AE" w:rsidRPr="00AD295A" w:rsidRDefault="002438AE" w:rsidP="002438AE">
      <w:pPr>
        <w:rPr>
          <w:rFonts w:cs="Times New Roman"/>
          <w:color w:val="auto"/>
        </w:rPr>
      </w:pPr>
      <w:r w:rsidRPr="00AD295A">
        <w:rPr>
          <w:rFonts w:cs="Times New Roman"/>
          <w:color w:val="auto"/>
        </w:rPr>
        <w:t xml:space="preserve">Judgement remains necessary. The forecasts might be overly optimistic, cost of capital may not match with the project risk, and the risk may evolve over the course of time. Items such as inflation, tax and working capital must be treated consistently as well. Sensitivity analysis, scenarios and post-completion audit enhance the inputs which are dependent on NPV </w:t>
      </w:r>
      <w:r w:rsidR="001C409B" w:rsidRPr="00AD295A">
        <w:rPr>
          <w:rFonts w:cs="Times New Roman"/>
          <w:color w:val="auto"/>
        </w:rPr>
        <w:t xml:space="preserve">(Drury and </w:t>
      </w:r>
      <w:proofErr w:type="spellStart"/>
      <w:r w:rsidR="001C409B" w:rsidRPr="00AD295A">
        <w:rPr>
          <w:rFonts w:cs="Times New Roman"/>
          <w:color w:val="auto"/>
        </w:rPr>
        <w:t>Tayles</w:t>
      </w:r>
      <w:proofErr w:type="spellEnd"/>
      <w:r w:rsidR="001C409B" w:rsidRPr="00AD295A">
        <w:rPr>
          <w:rFonts w:cs="Times New Roman"/>
          <w:color w:val="auto"/>
        </w:rPr>
        <w:t>, 2021; Pike, 1996)</w:t>
      </w:r>
      <w:r w:rsidRPr="00AD295A">
        <w:rPr>
          <w:rFonts w:cs="Times New Roman"/>
          <w:color w:val="auto"/>
        </w:rPr>
        <w:t>.</w:t>
      </w:r>
    </w:p>
    <w:p w14:paraId="7259D13D" w14:textId="77777777" w:rsidR="00E01AF9" w:rsidRPr="00AD295A" w:rsidRDefault="00504820">
      <w:pPr>
        <w:pStyle w:val="Heading3"/>
        <w:rPr>
          <w:rFonts w:ascii="Times New Roman" w:hAnsi="Times New Roman" w:cs="Times New Roman"/>
          <w:color w:val="auto"/>
        </w:rPr>
      </w:pPr>
      <w:bookmarkStart w:id="17" w:name="_Toc236861486"/>
      <w:r w:rsidRPr="00AD295A">
        <w:rPr>
          <w:rFonts w:ascii="Times New Roman" w:hAnsi="Times New Roman" w:cs="Times New Roman"/>
          <w:color w:val="auto"/>
        </w:rPr>
        <w:t>2.2.5 Why non-discounting methods remain popular</w:t>
      </w:r>
      <w:bookmarkEnd w:id="17"/>
    </w:p>
    <w:p w14:paraId="1BBAD129" w14:textId="362FA495" w:rsidR="002438AE" w:rsidRPr="00AD295A" w:rsidRDefault="002438AE" w:rsidP="002438AE">
      <w:pPr>
        <w:rPr>
          <w:rFonts w:cs="Times New Roman"/>
          <w:color w:val="auto"/>
        </w:rPr>
      </w:pPr>
      <w:r w:rsidRPr="00AD295A">
        <w:rPr>
          <w:rFonts w:cs="Times New Roman"/>
          <w:color w:val="auto"/>
        </w:rPr>
        <w:t xml:space="preserve">Payback is straightforward and illustrates the amount of time needed to see the cash dedication recouped. Useful for small businesses, markets that are not sure, a rapidly changing technology and </w:t>
      </w:r>
      <w:proofErr w:type="gramStart"/>
      <w:r w:rsidRPr="00AD295A">
        <w:rPr>
          <w:rFonts w:cs="Times New Roman"/>
          <w:color w:val="auto"/>
        </w:rPr>
        <w:t>where</w:t>
      </w:r>
      <w:proofErr w:type="gramEnd"/>
      <w:r w:rsidRPr="00AD295A">
        <w:rPr>
          <w:rFonts w:cs="Times New Roman"/>
          <w:color w:val="auto"/>
        </w:rPr>
        <w:t xml:space="preserve"> paying it off or covenants are more important than distant returns. But conventional payback does not take into account the value of the time and cash flows that occur after the payback period, and so a short payback project might have a lower value.</w:t>
      </w:r>
    </w:p>
    <w:p w14:paraId="68F6DBC6" w14:textId="77777777" w:rsidR="002438AE" w:rsidRPr="00AD295A" w:rsidRDefault="002438AE" w:rsidP="002438AE">
      <w:pPr>
        <w:rPr>
          <w:rFonts w:cs="Times New Roman"/>
          <w:color w:val="auto"/>
        </w:rPr>
      </w:pPr>
      <w:r w:rsidRPr="00AD295A">
        <w:rPr>
          <w:rFonts w:cs="Times New Roman"/>
          <w:color w:val="auto"/>
        </w:rPr>
        <w:t xml:space="preserve">Accounting profit and the assets already included in the budgets and statements allow ARR to be easily compared with internal targets. </w:t>
      </w:r>
      <w:proofErr w:type="gramStart"/>
      <w:r w:rsidRPr="00AD295A">
        <w:rPr>
          <w:rFonts w:cs="Times New Roman"/>
          <w:color w:val="auto"/>
        </w:rPr>
        <w:t>However</w:t>
      </w:r>
      <w:proofErr w:type="gramEnd"/>
      <w:r w:rsidRPr="00AD295A">
        <w:rPr>
          <w:rFonts w:cs="Times New Roman"/>
          <w:color w:val="auto"/>
        </w:rPr>
        <w:t xml:space="preserve"> it is influenced by depreciation, book value and doesn't consider cash flow and discounting. Companies thus make use of approaches. The most common methods are NPV and IRR, and the popular method is the payback method, because it is easy to calculate, liquid and fits within the </w:t>
      </w:r>
      <w:proofErr w:type="spellStart"/>
      <w:r w:rsidRPr="00AD295A">
        <w:rPr>
          <w:rFonts w:cs="Times New Roman"/>
          <w:color w:val="auto"/>
        </w:rPr>
        <w:t>organisation</w:t>
      </w:r>
      <w:proofErr w:type="spellEnd"/>
      <w:r w:rsidRPr="00AD295A">
        <w:rPr>
          <w:rFonts w:cs="Times New Roman"/>
          <w:color w:val="auto"/>
        </w:rPr>
        <w:t xml:space="preserve">, as suggested by Graham and Harvey (2001), </w:t>
      </w:r>
      <w:proofErr w:type="spellStart"/>
      <w:r w:rsidRPr="00AD295A">
        <w:rPr>
          <w:rFonts w:cs="Times New Roman"/>
          <w:color w:val="auto"/>
        </w:rPr>
        <w:t>Brounen</w:t>
      </w:r>
      <w:proofErr w:type="spellEnd"/>
      <w:r w:rsidRPr="00AD295A">
        <w:rPr>
          <w:rFonts w:cs="Times New Roman"/>
          <w:color w:val="auto"/>
        </w:rPr>
        <w:t xml:space="preserve"> et al. (2004), Hermes et al. (2007), and Truong et al. (2008).</w:t>
      </w:r>
    </w:p>
    <w:p w14:paraId="56825AFC" w14:textId="615A2404" w:rsidR="002438AE" w:rsidRPr="00AD295A" w:rsidRDefault="002438AE" w:rsidP="002438AE">
      <w:pPr>
        <w:rPr>
          <w:rFonts w:cs="Times New Roman"/>
          <w:color w:val="auto"/>
        </w:rPr>
      </w:pPr>
      <w:r w:rsidRPr="00AD295A">
        <w:rPr>
          <w:rFonts w:cs="Times New Roman"/>
          <w:color w:val="auto"/>
        </w:rPr>
        <w:t xml:space="preserve">UK and international data also reveal a lack of a single theory of practice (Arnold and Hatzopoulos, 2000; Drury and </w:t>
      </w:r>
      <w:proofErr w:type="spellStart"/>
      <w:r w:rsidRPr="00AD295A">
        <w:rPr>
          <w:rFonts w:cs="Times New Roman"/>
          <w:color w:val="auto"/>
        </w:rPr>
        <w:t>Tayles</w:t>
      </w:r>
      <w:proofErr w:type="spellEnd"/>
      <w:r w:rsidRPr="00AD295A">
        <w:rPr>
          <w:rFonts w:cs="Times New Roman"/>
          <w:color w:val="auto"/>
        </w:rPr>
        <w:t xml:space="preserve">, 1997; Sandahl and Sjögren, 2003) and </w:t>
      </w:r>
      <w:proofErr w:type="gramStart"/>
      <w:r w:rsidRPr="00AD295A">
        <w:rPr>
          <w:rFonts w:cs="Times New Roman"/>
          <w:color w:val="auto"/>
        </w:rPr>
        <w:t>that variations</w:t>
      </w:r>
      <w:proofErr w:type="gramEnd"/>
      <w:r w:rsidRPr="00AD295A">
        <w:rPr>
          <w:rFonts w:cs="Times New Roman"/>
          <w:color w:val="auto"/>
        </w:rPr>
        <w:t xml:space="preserve"> remain, albeit smaller, within firms and economies (Siziba and Hall, 2021). Payback must be considered secondarily in terms of liquidity and risk factors by Beard. ARR can help with budgeting, but shouldn't be used for investment.</w:t>
      </w:r>
    </w:p>
    <w:p w14:paraId="38470C7B" w14:textId="77777777" w:rsidR="00E01AF9" w:rsidRPr="00AD295A" w:rsidRDefault="00504820">
      <w:pPr>
        <w:pStyle w:val="Heading3"/>
        <w:rPr>
          <w:rFonts w:ascii="Times New Roman" w:hAnsi="Times New Roman" w:cs="Times New Roman"/>
          <w:color w:val="auto"/>
        </w:rPr>
      </w:pPr>
      <w:bookmarkStart w:id="18" w:name="_Toc236861487"/>
      <w:r w:rsidRPr="00AD295A">
        <w:rPr>
          <w:rFonts w:ascii="Times New Roman" w:hAnsi="Times New Roman" w:cs="Times New Roman"/>
          <w:color w:val="auto"/>
        </w:rPr>
        <w:t>2.2.6 Other factors before approval</w:t>
      </w:r>
      <w:bookmarkEnd w:id="18"/>
    </w:p>
    <w:p w14:paraId="48918EC4" w14:textId="372560A9" w:rsidR="002438AE" w:rsidRPr="00AD295A" w:rsidRDefault="00B67D52" w:rsidP="002438AE">
      <w:pPr>
        <w:rPr>
          <w:rFonts w:cs="Times New Roman"/>
          <w:color w:val="auto"/>
        </w:rPr>
      </w:pPr>
      <w:r>
        <w:t>A central concern is forecast risk.</w:t>
      </w:r>
      <w:r w:rsidR="002438AE" w:rsidRPr="00AD295A">
        <w:rPr>
          <w:rFonts w:cs="Times New Roman"/>
          <w:color w:val="auto"/>
        </w:rPr>
        <w:t xml:space="preserve"> Beard needs to review sales volume, selling price, operating cost, timing and implementation delay of taxes. The base case value of option C is better, but the value of its </w:t>
      </w:r>
      <w:r w:rsidR="002438AE" w:rsidRPr="00AD295A">
        <w:rPr>
          <w:rFonts w:cs="Times New Roman"/>
          <w:color w:val="auto"/>
        </w:rPr>
        <w:lastRenderedPageBreak/>
        <w:t xml:space="preserve">NPV is only £91.226 thousand when the investment is £1million. The decision could change if a downside case scenario arises. </w:t>
      </w:r>
      <w:r w:rsidR="00350999" w:rsidRPr="00350999">
        <w:rPr>
          <w:rFonts w:cs="Times New Roman"/>
          <w:color w:val="auto"/>
        </w:rPr>
        <w:t>The cash-flow reduction that would bring the NPV to zero should be calculated. It should also test combined shocks to the cash-flow and not just one.</w:t>
      </w:r>
    </w:p>
    <w:p w14:paraId="131EC9F3" w14:textId="77777777" w:rsidR="002438AE" w:rsidRPr="00AD295A" w:rsidRDefault="002438AE" w:rsidP="002438AE">
      <w:pPr>
        <w:rPr>
          <w:rFonts w:cs="Times New Roman"/>
          <w:color w:val="auto"/>
        </w:rPr>
      </w:pPr>
      <w:r w:rsidRPr="00AD295A">
        <w:rPr>
          <w:rFonts w:cs="Times New Roman"/>
          <w:color w:val="auto"/>
        </w:rPr>
        <w:t xml:space="preserve">Fit is also a factor to take into consideration. It could necessitate new design capability, suppliers, quality controls, channels of distribution for producing purses and wallets. Beard needs to be sure the products are aligned with his brand and customers. Also, there should be thought of </w:t>
      </w:r>
      <w:proofErr w:type="spellStart"/>
      <w:r w:rsidRPr="00AD295A">
        <w:rPr>
          <w:rFonts w:cs="Times New Roman"/>
          <w:color w:val="auto"/>
        </w:rPr>
        <w:t>cannibalisation</w:t>
      </w:r>
      <w:proofErr w:type="spellEnd"/>
      <w:r w:rsidRPr="00AD295A">
        <w:rPr>
          <w:rFonts w:cs="Times New Roman"/>
          <w:color w:val="auto"/>
        </w:rPr>
        <w:t xml:space="preserve"> of the existing sales. The appraisal should only include cash-flows that are incremental. Costs already incurred should not be included, costs that have already been sunk, while costs that have been lost due to being displaced by other products should be included, but only if there is evidence.</w:t>
      </w:r>
    </w:p>
    <w:p w14:paraId="1F363377" w14:textId="77777777" w:rsidR="002438AE" w:rsidRPr="00AD295A" w:rsidRDefault="002438AE" w:rsidP="002438AE">
      <w:pPr>
        <w:rPr>
          <w:rFonts w:cs="Times New Roman"/>
          <w:color w:val="auto"/>
        </w:rPr>
      </w:pPr>
      <w:r w:rsidRPr="00AD295A">
        <w:rPr>
          <w:rFonts w:cs="Times New Roman"/>
          <w:color w:val="auto"/>
        </w:rPr>
        <w:t xml:space="preserve">Operational capacity needs to be assessed prior to approval. The business requires good supply, workforce competency, quality standards, systems and procedures and contingency plans. There may be other risk factors associated with Internet sales, such as cyber security, fulfilment and returns. Retail expansion can lead to lease obligations and/or fixed costs. Environmental, social concerns are also important when material, </w:t>
      </w:r>
      <w:proofErr w:type="spellStart"/>
      <w:r w:rsidRPr="00AD295A">
        <w:rPr>
          <w:rFonts w:cs="Times New Roman"/>
          <w:color w:val="auto"/>
        </w:rPr>
        <w:t>labour</w:t>
      </w:r>
      <w:proofErr w:type="spellEnd"/>
      <w:r w:rsidRPr="00AD295A">
        <w:rPr>
          <w:rFonts w:cs="Times New Roman"/>
          <w:color w:val="auto"/>
        </w:rPr>
        <w:t xml:space="preserve"> and waste conditions can negatively impact the brand. Where possible these factors should be translated into cash-flow estimates and documented as decision factors if not.</w:t>
      </w:r>
    </w:p>
    <w:p w14:paraId="7D611AF1" w14:textId="22565102" w:rsidR="002438AE" w:rsidRPr="00AD295A" w:rsidRDefault="00B67D52" w:rsidP="002438AE">
      <w:pPr>
        <w:rPr>
          <w:rFonts w:cs="Times New Roman"/>
          <w:color w:val="auto"/>
        </w:rPr>
      </w:pPr>
      <w:r>
        <w:t>Governance should provide independent challenge to project sponsors.</w:t>
      </w:r>
      <w:r w:rsidR="002438AE" w:rsidRPr="00AD295A">
        <w:rPr>
          <w:rFonts w:cs="Times New Roman"/>
          <w:color w:val="auto"/>
        </w:rPr>
        <w:t xml:space="preserve"> Named owner should be responsible for benefits and costs and timelines. Clear baseline to be approved by the board and actual performance reviewed following the launch. Bennouna et al. (2010) and Pike (1996) both asserted that the process of the </w:t>
      </w:r>
      <w:proofErr w:type="spellStart"/>
      <w:r w:rsidR="002438AE" w:rsidRPr="00AD295A">
        <w:rPr>
          <w:rFonts w:cs="Times New Roman"/>
          <w:color w:val="auto"/>
        </w:rPr>
        <w:t>organisation</w:t>
      </w:r>
      <w:proofErr w:type="spellEnd"/>
      <w:r w:rsidR="002438AE" w:rsidRPr="00AD295A">
        <w:rPr>
          <w:rFonts w:cs="Times New Roman"/>
          <w:color w:val="auto"/>
        </w:rPr>
        <w:t xml:space="preserve"> has an impact on the effectiveness of the appraisal process, which justifies the use of structured procedures and post-audit.</w:t>
      </w:r>
    </w:p>
    <w:p w14:paraId="415FCD12" w14:textId="11539108" w:rsidR="002438AE" w:rsidRPr="00AD295A" w:rsidRDefault="002438AE" w:rsidP="002438AE">
      <w:pPr>
        <w:rPr>
          <w:rFonts w:cs="Times New Roman"/>
          <w:color w:val="auto"/>
        </w:rPr>
      </w:pPr>
      <w:r w:rsidRPr="00AD295A">
        <w:rPr>
          <w:rFonts w:cs="Times New Roman"/>
          <w:color w:val="auto"/>
        </w:rPr>
        <w:t xml:space="preserve">Decision gates should be also mentioned on the approval paper. The amount of funds Beard may require for release to suppliers could be contingent on the supplier validation, a minimum level of pre-orders, the capability of staff to handle it, and the route to market having to have been tested. Consider staged commitment when early evidence is poor, as this will assist in </w:t>
      </w:r>
      <w:proofErr w:type="spellStart"/>
      <w:r w:rsidRPr="00AD295A">
        <w:rPr>
          <w:rFonts w:cs="Times New Roman"/>
          <w:color w:val="auto"/>
        </w:rPr>
        <w:t>minimising</w:t>
      </w:r>
      <w:proofErr w:type="spellEnd"/>
      <w:r w:rsidRPr="00AD295A">
        <w:rPr>
          <w:rFonts w:cs="Times New Roman"/>
          <w:color w:val="auto"/>
        </w:rPr>
        <w:t xml:space="preserve"> exposure. But the cash-flow model needs to be brought up-to-date with regard to the timing and expenses of each stage. Staging does not add value unless there are realistic responses to the option to delay, expand or stop.</w:t>
      </w:r>
    </w:p>
    <w:p w14:paraId="0C574A21" w14:textId="77777777" w:rsidR="00E01AF9" w:rsidRPr="00AD295A" w:rsidRDefault="00504820">
      <w:pPr>
        <w:pStyle w:val="Heading3"/>
        <w:rPr>
          <w:rFonts w:ascii="Times New Roman" w:hAnsi="Times New Roman" w:cs="Times New Roman"/>
          <w:color w:val="auto"/>
        </w:rPr>
      </w:pPr>
      <w:bookmarkStart w:id="19" w:name="_Toc236861488"/>
      <w:r w:rsidRPr="00AD295A">
        <w:rPr>
          <w:rFonts w:ascii="Times New Roman" w:hAnsi="Times New Roman" w:cs="Times New Roman"/>
          <w:color w:val="auto"/>
        </w:rPr>
        <w:t>2.2.7 Capital rationing</w:t>
      </w:r>
      <w:bookmarkEnd w:id="19"/>
    </w:p>
    <w:p w14:paraId="49D5D526" w14:textId="77777777" w:rsidR="002438AE" w:rsidRPr="00AD295A" w:rsidRDefault="002438AE" w:rsidP="002438AE">
      <w:pPr>
        <w:rPr>
          <w:rFonts w:cs="Times New Roman"/>
          <w:color w:val="auto"/>
        </w:rPr>
      </w:pPr>
      <w:r w:rsidRPr="00AD295A">
        <w:rPr>
          <w:rFonts w:cs="Times New Roman"/>
          <w:color w:val="auto"/>
        </w:rPr>
        <w:t>If the decisions in the brief are based on the condition that the project can be divided into £1.5 million or less then profitability index ranks C (1.0912), B (1.0822) and A (0.9946). Funding all £1 million of C and £500,000, or 55.56%, of B produces £132.311 thousand total NPV, including £41.085 thousand from partial B.</w:t>
      </w:r>
    </w:p>
    <w:p w14:paraId="30731D42" w14:textId="2B5EEB4C" w:rsidR="002438AE" w:rsidRPr="00AD295A" w:rsidRDefault="002438AE" w:rsidP="002438AE">
      <w:pPr>
        <w:rPr>
          <w:rFonts w:cs="Times New Roman"/>
          <w:color w:val="auto"/>
        </w:rPr>
      </w:pPr>
      <w:r w:rsidRPr="00AD295A">
        <w:rPr>
          <w:rFonts w:cs="Times New Roman"/>
          <w:color w:val="auto"/>
        </w:rPr>
        <w:t>A has no value since its PI &lt; 1 and NPV is negative. This result is based on the assumption that B is running efficiently at 55.56%. If B is not running efficiently then integer project selection or scenario analysis will be needed for this result.</w:t>
      </w:r>
    </w:p>
    <w:p w14:paraId="73F046AC" w14:textId="77777777" w:rsidR="00E01AF9" w:rsidRPr="00AD295A" w:rsidRDefault="00504820">
      <w:pPr>
        <w:pStyle w:val="Heading3"/>
        <w:rPr>
          <w:rFonts w:ascii="Times New Roman" w:hAnsi="Times New Roman" w:cs="Times New Roman"/>
          <w:color w:val="auto"/>
        </w:rPr>
      </w:pPr>
      <w:bookmarkStart w:id="20" w:name="_Toc236861489"/>
      <w:r w:rsidRPr="00AD295A">
        <w:rPr>
          <w:rFonts w:ascii="Times New Roman" w:hAnsi="Times New Roman" w:cs="Times New Roman"/>
          <w:color w:val="auto"/>
        </w:rPr>
        <w:t>2.2.8 Recommendation</w:t>
      </w:r>
      <w:bookmarkEnd w:id="20"/>
    </w:p>
    <w:p w14:paraId="3AB3247B" w14:textId="3DA4ABBB" w:rsidR="002438AE" w:rsidRPr="00AD295A" w:rsidRDefault="002438AE">
      <w:pPr>
        <w:rPr>
          <w:rFonts w:cs="Times New Roman"/>
          <w:color w:val="auto"/>
        </w:rPr>
      </w:pPr>
      <w:r w:rsidRPr="00AD295A">
        <w:rPr>
          <w:rFonts w:cs="Times New Roman"/>
          <w:color w:val="auto"/>
        </w:rPr>
        <w:t>The single complete project is for Beard to choose Option C as it is the project with the highest NPV (£91.226 thousand) and an IRR of 8.57% is greater than the cost of capital (5%). A's negative NPV means that it is not accepted, whereas B's is OK. With the £1.5million divisible-project condition, project is funded using all of C and 55.56% of B to achieve £132.311 thousand NPV. Approval is subject to the downside testing, readiness and the confirmation of the efficiency of partial B.</w:t>
      </w:r>
    </w:p>
    <w:p w14:paraId="5F4971DB" w14:textId="77777777" w:rsidR="00E01AF9" w:rsidRPr="00AD295A" w:rsidRDefault="00504820">
      <w:pPr>
        <w:pStyle w:val="Heading3"/>
        <w:rPr>
          <w:rFonts w:ascii="Times New Roman" w:hAnsi="Times New Roman" w:cs="Times New Roman"/>
          <w:color w:val="auto"/>
        </w:rPr>
      </w:pPr>
      <w:bookmarkStart w:id="21" w:name="_Toc236861490"/>
      <w:r w:rsidRPr="00AD295A">
        <w:rPr>
          <w:rFonts w:ascii="Times New Roman" w:hAnsi="Times New Roman" w:cs="Times New Roman"/>
          <w:color w:val="auto"/>
        </w:rPr>
        <w:t>2.2.9 Financing the recommended programme</w:t>
      </w:r>
      <w:bookmarkEnd w:id="21"/>
    </w:p>
    <w:p w14:paraId="56ABE2D1" w14:textId="75A86754" w:rsidR="002438AE" w:rsidRPr="00AD295A" w:rsidRDefault="002438AE" w:rsidP="002438AE">
      <w:pPr>
        <w:rPr>
          <w:rFonts w:cs="Times New Roman"/>
          <w:color w:val="auto"/>
        </w:rPr>
      </w:pPr>
      <w:r w:rsidRPr="00AD295A">
        <w:rPr>
          <w:rFonts w:cs="Times New Roman"/>
          <w:color w:val="auto"/>
        </w:rPr>
        <w:t>There are no financial statements provided by</w:t>
      </w:r>
      <w:r w:rsidR="00F916B2" w:rsidRPr="00AD295A">
        <w:rPr>
          <w:rFonts w:cs="Times New Roman"/>
          <w:color w:val="auto"/>
        </w:rPr>
        <w:t xml:space="preserve"> </w:t>
      </w:r>
      <w:r w:rsidRPr="00AD295A">
        <w:rPr>
          <w:rFonts w:cs="Times New Roman"/>
          <w:color w:val="auto"/>
        </w:rPr>
        <w:t>Beard</w:t>
      </w:r>
      <w:r w:rsidR="00F916B2" w:rsidRPr="00AD295A">
        <w:rPr>
          <w:rFonts w:cs="Times New Roman"/>
          <w:color w:val="auto"/>
        </w:rPr>
        <w:t xml:space="preserve"> Plc</w:t>
      </w:r>
      <w:r w:rsidRPr="00AD295A">
        <w:rPr>
          <w:rFonts w:cs="Times New Roman"/>
          <w:color w:val="auto"/>
        </w:rPr>
        <w:t xml:space="preserve">. Therefore, the company cannot be said to have adequate retained </w:t>
      </w:r>
      <w:proofErr w:type="spellStart"/>
      <w:r w:rsidRPr="00AD295A">
        <w:rPr>
          <w:rFonts w:cs="Times New Roman"/>
          <w:color w:val="auto"/>
        </w:rPr>
        <w:t>earning</w:t>
      </w:r>
      <w:proofErr w:type="spellEnd"/>
      <w:r w:rsidRPr="00AD295A">
        <w:rPr>
          <w:rFonts w:cs="Times New Roman"/>
          <w:color w:val="auto"/>
        </w:rPr>
        <w:t xml:space="preserve">, low gearing ratio, good collateral, </w:t>
      </w:r>
      <w:proofErr w:type="spellStart"/>
      <w:r w:rsidRPr="00AD295A">
        <w:rPr>
          <w:rFonts w:cs="Times New Roman"/>
          <w:color w:val="auto"/>
        </w:rPr>
        <w:t>unutili</w:t>
      </w:r>
      <w:r w:rsidR="007344B4" w:rsidRPr="00AD295A">
        <w:rPr>
          <w:rFonts w:cs="Times New Roman"/>
          <w:color w:val="auto"/>
        </w:rPr>
        <w:t>s</w:t>
      </w:r>
      <w:r w:rsidRPr="00AD295A">
        <w:rPr>
          <w:rFonts w:cs="Times New Roman"/>
          <w:color w:val="auto"/>
        </w:rPr>
        <w:t>ed</w:t>
      </w:r>
      <w:proofErr w:type="spellEnd"/>
      <w:r w:rsidRPr="00AD295A">
        <w:rPr>
          <w:rFonts w:cs="Times New Roman"/>
          <w:color w:val="auto"/>
        </w:rPr>
        <w:t xml:space="preserve"> borrowings. </w:t>
      </w:r>
      <w:r w:rsidR="00B93E4B" w:rsidRPr="00AD295A">
        <w:rPr>
          <w:rFonts w:cs="Times New Roman"/>
          <w:color w:val="auto"/>
        </w:rPr>
        <w:t>Financing decisions shall therefore remain conditional.</w:t>
      </w:r>
      <w:r w:rsidRPr="00AD295A">
        <w:rPr>
          <w:rFonts w:cs="Times New Roman"/>
          <w:color w:val="auto"/>
        </w:rPr>
        <w:t xml:space="preserve"> </w:t>
      </w:r>
      <w:proofErr w:type="gramStart"/>
      <w:r w:rsidRPr="00AD295A">
        <w:rPr>
          <w:rFonts w:cs="Times New Roman"/>
          <w:color w:val="auto"/>
        </w:rPr>
        <w:t>Generally</w:t>
      </w:r>
      <w:proofErr w:type="gramEnd"/>
      <w:r w:rsidRPr="00AD295A">
        <w:rPr>
          <w:rFonts w:cs="Times New Roman"/>
          <w:color w:val="auto"/>
        </w:rPr>
        <w:t xml:space="preserve"> the first choice to consider is retained earnings as there are </w:t>
      </w:r>
      <w:r w:rsidRPr="00AD295A">
        <w:rPr>
          <w:rFonts w:cs="Times New Roman"/>
          <w:color w:val="auto"/>
        </w:rPr>
        <w:lastRenderedPageBreak/>
        <w:t xml:space="preserve">no interest, dilution, issue costs </w:t>
      </w:r>
      <w:proofErr w:type="spellStart"/>
      <w:r w:rsidRPr="00AD295A">
        <w:rPr>
          <w:rFonts w:cs="Times New Roman"/>
          <w:color w:val="auto"/>
        </w:rPr>
        <w:t>etc</w:t>
      </w:r>
      <w:proofErr w:type="spellEnd"/>
      <w:r w:rsidRPr="00AD295A">
        <w:rPr>
          <w:rFonts w:cs="Times New Roman"/>
          <w:color w:val="auto"/>
        </w:rPr>
        <w:t xml:space="preserve"> involved. </w:t>
      </w:r>
      <w:proofErr w:type="gramStart"/>
      <w:r w:rsidRPr="00AD295A">
        <w:rPr>
          <w:rFonts w:cs="Times New Roman"/>
          <w:color w:val="auto"/>
        </w:rPr>
        <w:t>But,</w:t>
      </w:r>
      <w:proofErr w:type="gramEnd"/>
      <w:r w:rsidRPr="00AD295A">
        <w:rPr>
          <w:rFonts w:cs="Times New Roman"/>
          <w:color w:val="auto"/>
        </w:rPr>
        <w:t xml:space="preserve"> the money isn't charity. They come with an opportunity cost and </w:t>
      </w:r>
      <w:proofErr w:type="spellStart"/>
      <w:r w:rsidRPr="00AD295A">
        <w:rPr>
          <w:rFonts w:cs="Times New Roman"/>
          <w:color w:val="auto"/>
        </w:rPr>
        <w:t>utili</w:t>
      </w:r>
      <w:r w:rsidR="00CB6642" w:rsidRPr="00AD295A">
        <w:rPr>
          <w:rFonts w:cs="Times New Roman"/>
          <w:color w:val="auto"/>
        </w:rPr>
        <w:t>s</w:t>
      </w:r>
      <w:r w:rsidRPr="00AD295A">
        <w:rPr>
          <w:rFonts w:cs="Times New Roman"/>
          <w:color w:val="auto"/>
        </w:rPr>
        <w:t>ation</w:t>
      </w:r>
      <w:proofErr w:type="spellEnd"/>
      <w:r w:rsidRPr="00AD295A">
        <w:rPr>
          <w:rFonts w:cs="Times New Roman"/>
          <w:color w:val="auto"/>
        </w:rPr>
        <w:t xml:space="preserve"> could diminish the liquidity cushion required for wages, suppliers and unexpected disruption (Myers and Majluf, 1984).</w:t>
      </w:r>
    </w:p>
    <w:p w14:paraId="1B295ECB" w14:textId="77777777" w:rsidR="002438AE" w:rsidRPr="00AD295A" w:rsidRDefault="002438AE" w:rsidP="002438AE">
      <w:pPr>
        <w:rPr>
          <w:rFonts w:cs="Times New Roman"/>
          <w:color w:val="auto"/>
        </w:rPr>
      </w:pPr>
      <w:r w:rsidRPr="00AD295A">
        <w:rPr>
          <w:rFonts w:cs="Times New Roman"/>
          <w:color w:val="auto"/>
        </w:rPr>
        <w:t>A four-year cash-flow horizon and the maintenance of ownership can be achieved by using a bank term loan. Interest may also be tax deductible (as per tax rules). However, cash flows in the projects are not significant at all, but repayments still remain fixed even in the case of not achieving the projects' cash flow targets. Security and covenants might be required by lenders. This means, Beard should test debt service coverage in the downside scenario, not just the base case scenario. If production equipment can be identified, it might be considered as an asset finance or leasing arrangement, which will allow spreading payments and will help to maintain initial cash. However, all the cost of financing, ownership, maintenance and the termination fees should be compared to a loan.</w:t>
      </w:r>
    </w:p>
    <w:p w14:paraId="1D2656AF" w14:textId="77777777" w:rsidR="002438AE" w:rsidRPr="00AD295A" w:rsidRDefault="002438AE" w:rsidP="002438AE">
      <w:pPr>
        <w:rPr>
          <w:rFonts w:cs="Times New Roman"/>
          <w:color w:val="auto"/>
        </w:rPr>
      </w:pPr>
      <w:r w:rsidRPr="00AD295A">
        <w:rPr>
          <w:rFonts w:cs="Times New Roman"/>
          <w:color w:val="auto"/>
        </w:rPr>
        <w:t>New equity or rights issue has the effect of decreasing the risk of fixed repayments and can help with the expansion of the growth plan. Conversely, it will dilute control and EPS and the costs of the issues can be significant. Financial intermediation also has the potential to alter incentives for the owners, managers and lenders (Jensen and Meckling, 1976), as suggested by agency theory. If the leverage, or covenant headroom, of the business is already too big for Beard to handle, or if the investor(s) can add commercial skills, then equity is appropriate.</w:t>
      </w:r>
    </w:p>
    <w:p w14:paraId="35D90DAF" w14:textId="77777777" w:rsidR="00350999" w:rsidRDefault="002438AE" w:rsidP="002438AE">
      <w:pPr>
        <w:rPr>
          <w:rFonts w:cs="Times New Roman"/>
          <w:color w:val="auto"/>
        </w:rPr>
      </w:pPr>
      <w:r w:rsidRPr="00AD295A">
        <w:rPr>
          <w:rFonts w:cs="Times New Roman"/>
          <w:color w:val="auto"/>
        </w:rPr>
        <w:t xml:space="preserve">It would be useful to regard government loans or grants as a source of support, rather than a sure source of funding. The eligibility, location, sector, purpose of the project and when it is being applied for are all to be verified via official schemes (UK Government, 2025c). There are several channels in the UK finance market that can be accessed by businesses, such as bank lending, equity and a substantial asset-finance channel, which may differ in availability and price depending on the firm risk (British Business Bank, 2025). </w:t>
      </w:r>
      <w:r w:rsidR="00350999" w:rsidRPr="00350999">
        <w:rPr>
          <w:rFonts w:cs="Times New Roman"/>
          <w:color w:val="auto"/>
        </w:rPr>
        <w:t>Beard should keep a sensible cash cushion, borrow from internal resources and then borrow from term loans or asset finance. If there is a lack of downside debt-service coverage, equity may be considered. Funding should be distributed over Option C and over the part of B that is feasible in order to keep flexibility.</w:t>
      </w:r>
    </w:p>
    <w:p w14:paraId="2835B21A" w14:textId="74F3538C" w:rsidR="002438AE" w:rsidRPr="00AD295A" w:rsidRDefault="002438AE" w:rsidP="002438AE">
      <w:pPr>
        <w:rPr>
          <w:rFonts w:cs="Times New Roman"/>
          <w:color w:val="auto"/>
        </w:rPr>
      </w:pPr>
      <w:r w:rsidRPr="00AD295A">
        <w:rPr>
          <w:rFonts w:cs="Times New Roman"/>
          <w:color w:val="auto"/>
        </w:rPr>
        <w:t xml:space="preserve">Before signing finance, Beard should check the annual percentage cost (APC), arrangement costs, security, conditions, repayment plan and early settlement costs. The list of the repayments should be side-by-side with the down side cash flow to the project. A lower interest rate might be </w:t>
      </w:r>
      <w:proofErr w:type="gramStart"/>
      <w:r w:rsidRPr="00AD295A">
        <w:rPr>
          <w:rFonts w:cs="Times New Roman"/>
          <w:color w:val="auto"/>
        </w:rPr>
        <w:t>offered,</w:t>
      </w:r>
      <w:proofErr w:type="gramEnd"/>
      <w:r w:rsidRPr="00AD295A">
        <w:rPr>
          <w:rFonts w:cs="Times New Roman"/>
          <w:color w:val="auto"/>
        </w:rPr>
        <w:t xml:space="preserve"> however it does not necessarily mean that it would be the best offer if there were to be restrictive security or repayment prior to receiving benefits. Short term overdraft funding of a four-year investment should also be avoided by the board unless it is a temporary loan until the investment is sold.</w:t>
      </w:r>
    </w:p>
    <w:p w14:paraId="0F61669E" w14:textId="77777777" w:rsidR="00E01AF9" w:rsidRPr="00AD295A" w:rsidRDefault="00504820" w:rsidP="00AD295A">
      <w:pPr>
        <w:pStyle w:val="Heading1"/>
        <w:rPr>
          <w:rFonts w:ascii="Times New Roman" w:hAnsi="Times New Roman" w:cs="Times New Roman"/>
          <w:color w:val="auto"/>
        </w:rPr>
      </w:pPr>
      <w:bookmarkStart w:id="22" w:name="_Toc236861491"/>
      <w:r w:rsidRPr="00AD295A">
        <w:rPr>
          <w:rFonts w:ascii="Times New Roman" w:hAnsi="Times New Roman" w:cs="Times New Roman"/>
          <w:color w:val="auto"/>
        </w:rPr>
        <w:t>3. Conclusion</w:t>
      </w:r>
      <w:bookmarkEnd w:id="22"/>
    </w:p>
    <w:p w14:paraId="5CC47EE5" w14:textId="0056B5BD" w:rsidR="003770EE" w:rsidRPr="00AD295A" w:rsidRDefault="00350999" w:rsidP="003770EE">
      <w:pPr>
        <w:rPr>
          <w:rFonts w:cs="Times New Roman"/>
          <w:color w:val="auto"/>
        </w:rPr>
      </w:pPr>
      <w:r>
        <w:t>Vodafone performed poorly in FY2025.</w:t>
      </w:r>
      <w:r w:rsidR="003770EE" w:rsidRPr="00AD295A">
        <w:rPr>
          <w:rFonts w:cs="Times New Roman"/>
          <w:color w:val="auto"/>
        </w:rPr>
        <w:t xml:space="preserve"> Revenue and gross margin remained steady and liquidity improved and debt decreased. But a €4.5bn impairment turned the operating loss, and resulted in losses of ROCE, ROE and basic EPS. The turnover of receivables was also declining while debt to equity increased due to reduction in equity as compared to debt. It therefore is not growth, but profitable operating recovery that is the priority. It should be backed up by receivables control, conditional distributions, conservative leverage tests and post investment review.</w:t>
      </w:r>
    </w:p>
    <w:p w14:paraId="79450D0D" w14:textId="3367E9FD" w:rsidR="003770EE" w:rsidRPr="00AD295A" w:rsidRDefault="003770EE" w:rsidP="003770EE">
      <w:pPr>
        <w:rPr>
          <w:rFonts w:cs="Times New Roman"/>
          <w:color w:val="auto"/>
        </w:rPr>
      </w:pPr>
      <w:r w:rsidRPr="00AD295A">
        <w:rPr>
          <w:rFonts w:cs="Times New Roman"/>
          <w:color w:val="auto"/>
        </w:rPr>
        <w:t xml:space="preserve">Beard's after-tax appraisal supports Option C as a more viable option with the £91.226 thousand NPV and IRR of 8.57% (against a 5% required return). B is also acceptable and A rejected. All of C and 55.56% of B have a NPV of £132.311 thousand, </w:t>
      </w:r>
      <w:r w:rsidR="001B596C" w:rsidRPr="00AD295A">
        <w:rPr>
          <w:rFonts w:cs="Times New Roman"/>
          <w:color w:val="auto"/>
        </w:rPr>
        <w:t>the total investment is £1.5 million</w:t>
      </w:r>
      <w:r w:rsidRPr="00AD295A">
        <w:rPr>
          <w:rFonts w:cs="Times New Roman"/>
          <w:color w:val="auto"/>
        </w:rPr>
        <w:t>, which is the full amount of the divisible funds. Approvals are subject to downside testing, operating capability and partial investment in B - matched term debt or asset finance should be used where possible and equity is only used when debt capacity is lacking. Unsupported financial position of Beard is not assumed.</w:t>
      </w:r>
    </w:p>
    <w:p w14:paraId="63B05DB9" w14:textId="6099FB4E" w:rsidR="002B62AB" w:rsidRDefault="00350999">
      <w:pPr>
        <w:rPr>
          <w:rFonts w:cs="Times New Roman"/>
          <w:color w:val="auto"/>
        </w:rPr>
      </w:pPr>
      <w:r w:rsidRPr="00350999">
        <w:rPr>
          <w:rFonts w:cs="Times New Roman"/>
          <w:color w:val="auto"/>
        </w:rPr>
        <w:lastRenderedPageBreak/>
        <w:t>In summary, Vodafone's ability to generate sustainable operating cash flow from its stable of revenue and at the same time strengthen its operating returns and balance-sheet flexibility will be one of the key drivers for its future performance. Beard's value-positive combination is only possible to long-term value if it invests within his £1.5 million limit, and conducts downside testing and post-investment control. The following conclusions are subject to evidence that has been verified.</w:t>
      </w:r>
    </w:p>
    <w:p w14:paraId="504A6985" w14:textId="51BEFE03" w:rsidR="002B62AB" w:rsidRDefault="002B62AB">
      <w:pPr>
        <w:rPr>
          <w:rFonts w:cs="Times New Roman"/>
          <w:color w:val="auto"/>
        </w:rPr>
      </w:pPr>
    </w:p>
    <w:p w14:paraId="2723AC1B" w14:textId="7AFC4E60" w:rsidR="002B62AB" w:rsidRDefault="002B62AB">
      <w:pPr>
        <w:rPr>
          <w:rFonts w:cs="Times New Roman"/>
          <w:color w:val="auto"/>
        </w:rPr>
      </w:pPr>
    </w:p>
    <w:p w14:paraId="3C57B0FC" w14:textId="120C0CFC" w:rsidR="002B62AB" w:rsidRDefault="002B62AB">
      <w:pPr>
        <w:rPr>
          <w:rFonts w:cs="Times New Roman"/>
          <w:color w:val="auto"/>
        </w:rPr>
      </w:pPr>
    </w:p>
    <w:p w14:paraId="735AE873" w14:textId="7103A4B5" w:rsidR="002B62AB" w:rsidRDefault="002B62AB">
      <w:pPr>
        <w:rPr>
          <w:rFonts w:cs="Times New Roman"/>
          <w:color w:val="auto"/>
        </w:rPr>
      </w:pPr>
    </w:p>
    <w:p w14:paraId="33D2A798" w14:textId="012E49B7" w:rsidR="002B62AB" w:rsidRDefault="002B62AB">
      <w:pPr>
        <w:rPr>
          <w:rFonts w:cs="Times New Roman"/>
          <w:color w:val="auto"/>
        </w:rPr>
      </w:pPr>
    </w:p>
    <w:p w14:paraId="67CE9D3D" w14:textId="6E0863C9" w:rsidR="002B62AB" w:rsidRDefault="002B62AB">
      <w:pPr>
        <w:rPr>
          <w:rFonts w:cs="Times New Roman"/>
          <w:color w:val="auto"/>
        </w:rPr>
      </w:pPr>
    </w:p>
    <w:p w14:paraId="52E90FDA" w14:textId="4F486542" w:rsidR="002B62AB" w:rsidRDefault="002B62AB">
      <w:pPr>
        <w:rPr>
          <w:rFonts w:cs="Times New Roman"/>
          <w:color w:val="auto"/>
        </w:rPr>
      </w:pPr>
    </w:p>
    <w:p w14:paraId="27618047" w14:textId="5C5FACED" w:rsidR="002B62AB" w:rsidRDefault="002B62AB">
      <w:pPr>
        <w:rPr>
          <w:rFonts w:cs="Times New Roman"/>
          <w:color w:val="auto"/>
        </w:rPr>
      </w:pPr>
    </w:p>
    <w:p w14:paraId="5D79E34D" w14:textId="58E526A2" w:rsidR="002B62AB" w:rsidRDefault="002B62AB">
      <w:pPr>
        <w:rPr>
          <w:rFonts w:cs="Times New Roman"/>
          <w:color w:val="auto"/>
        </w:rPr>
      </w:pPr>
    </w:p>
    <w:p w14:paraId="6A07F4C2" w14:textId="2DD78D7C" w:rsidR="002B62AB" w:rsidRDefault="002B62AB">
      <w:pPr>
        <w:rPr>
          <w:rFonts w:cs="Times New Roman"/>
          <w:color w:val="auto"/>
        </w:rPr>
      </w:pPr>
    </w:p>
    <w:p w14:paraId="415B8917" w14:textId="70B517D8" w:rsidR="002B62AB" w:rsidRDefault="002B62AB">
      <w:pPr>
        <w:rPr>
          <w:rFonts w:cs="Times New Roman"/>
          <w:color w:val="auto"/>
        </w:rPr>
      </w:pPr>
    </w:p>
    <w:p w14:paraId="6E60AF2E" w14:textId="4870A955" w:rsidR="002B62AB" w:rsidRDefault="002B62AB">
      <w:pPr>
        <w:rPr>
          <w:rFonts w:cs="Times New Roman"/>
          <w:color w:val="auto"/>
        </w:rPr>
      </w:pPr>
    </w:p>
    <w:p w14:paraId="251D0AB5" w14:textId="60AC8EBF" w:rsidR="002B62AB" w:rsidRDefault="002B62AB">
      <w:pPr>
        <w:rPr>
          <w:rFonts w:cs="Times New Roman"/>
          <w:color w:val="auto"/>
        </w:rPr>
      </w:pPr>
    </w:p>
    <w:p w14:paraId="56ED19B7" w14:textId="4F3DB41F" w:rsidR="002B62AB" w:rsidRDefault="002B62AB">
      <w:pPr>
        <w:rPr>
          <w:rFonts w:cs="Times New Roman"/>
          <w:color w:val="auto"/>
        </w:rPr>
      </w:pPr>
    </w:p>
    <w:p w14:paraId="0D33DAB6" w14:textId="16A7E467" w:rsidR="002B62AB" w:rsidRDefault="002B62AB">
      <w:pPr>
        <w:rPr>
          <w:rFonts w:cs="Times New Roman"/>
          <w:color w:val="auto"/>
        </w:rPr>
      </w:pPr>
    </w:p>
    <w:p w14:paraId="41F1F399" w14:textId="526B2D3A" w:rsidR="002B62AB" w:rsidRDefault="002B62AB">
      <w:pPr>
        <w:rPr>
          <w:rFonts w:cs="Times New Roman"/>
          <w:color w:val="auto"/>
        </w:rPr>
      </w:pPr>
    </w:p>
    <w:p w14:paraId="74B2DE5D" w14:textId="30B58826" w:rsidR="002B62AB" w:rsidRDefault="002B62AB">
      <w:pPr>
        <w:rPr>
          <w:rFonts w:cs="Times New Roman"/>
          <w:color w:val="auto"/>
        </w:rPr>
      </w:pPr>
    </w:p>
    <w:p w14:paraId="3F34DD9D" w14:textId="33E9CA36" w:rsidR="002B62AB" w:rsidRDefault="002B62AB">
      <w:pPr>
        <w:rPr>
          <w:rFonts w:cs="Times New Roman"/>
          <w:color w:val="auto"/>
        </w:rPr>
      </w:pPr>
    </w:p>
    <w:p w14:paraId="2AFF44EC" w14:textId="6BF77D8C" w:rsidR="002B62AB" w:rsidRDefault="002B62AB">
      <w:pPr>
        <w:rPr>
          <w:rFonts w:cs="Times New Roman"/>
          <w:color w:val="auto"/>
        </w:rPr>
      </w:pPr>
    </w:p>
    <w:p w14:paraId="10984EA3" w14:textId="2F887FD0" w:rsidR="002B62AB" w:rsidRDefault="002B62AB">
      <w:pPr>
        <w:rPr>
          <w:rFonts w:cs="Times New Roman"/>
          <w:color w:val="auto"/>
        </w:rPr>
      </w:pPr>
    </w:p>
    <w:p w14:paraId="229C246F" w14:textId="74E2E2DD" w:rsidR="002B62AB" w:rsidRDefault="002B62AB">
      <w:pPr>
        <w:rPr>
          <w:rFonts w:cs="Times New Roman"/>
          <w:color w:val="auto"/>
        </w:rPr>
      </w:pPr>
    </w:p>
    <w:p w14:paraId="3F26253B" w14:textId="66054DB6" w:rsidR="002B62AB" w:rsidRDefault="002B62AB">
      <w:pPr>
        <w:rPr>
          <w:rFonts w:cs="Times New Roman"/>
          <w:color w:val="auto"/>
        </w:rPr>
      </w:pPr>
    </w:p>
    <w:p w14:paraId="74832252" w14:textId="3271299A" w:rsidR="002B62AB" w:rsidRDefault="002B62AB">
      <w:pPr>
        <w:rPr>
          <w:rFonts w:cs="Times New Roman"/>
          <w:color w:val="auto"/>
        </w:rPr>
      </w:pPr>
    </w:p>
    <w:p w14:paraId="3A55D4BC" w14:textId="03F286CD" w:rsidR="002B62AB" w:rsidRDefault="002B62AB">
      <w:pPr>
        <w:rPr>
          <w:rFonts w:cs="Times New Roman"/>
          <w:color w:val="auto"/>
        </w:rPr>
      </w:pPr>
    </w:p>
    <w:p w14:paraId="0A2A2365" w14:textId="541E0EE5" w:rsidR="002B62AB" w:rsidRDefault="002B62AB">
      <w:pPr>
        <w:rPr>
          <w:rFonts w:cs="Times New Roman"/>
          <w:color w:val="auto"/>
        </w:rPr>
      </w:pPr>
    </w:p>
    <w:p w14:paraId="202E4395" w14:textId="039D67A8" w:rsidR="002B62AB" w:rsidRDefault="002B62AB">
      <w:pPr>
        <w:rPr>
          <w:rFonts w:cs="Times New Roman"/>
          <w:color w:val="auto"/>
        </w:rPr>
      </w:pPr>
    </w:p>
    <w:p w14:paraId="489E38C6" w14:textId="07E1F287" w:rsidR="002B62AB" w:rsidRDefault="002B62AB">
      <w:pPr>
        <w:rPr>
          <w:rFonts w:cs="Times New Roman"/>
          <w:color w:val="auto"/>
        </w:rPr>
      </w:pPr>
    </w:p>
    <w:p w14:paraId="0221CF75" w14:textId="748B8CAA" w:rsidR="002B62AB" w:rsidRDefault="002B62AB">
      <w:pPr>
        <w:rPr>
          <w:rFonts w:cs="Times New Roman"/>
          <w:color w:val="auto"/>
        </w:rPr>
      </w:pPr>
    </w:p>
    <w:p w14:paraId="07471704" w14:textId="77777777" w:rsidR="002B62AB" w:rsidRPr="00AD295A" w:rsidRDefault="002B62AB">
      <w:pPr>
        <w:rPr>
          <w:rFonts w:cs="Times New Roman"/>
          <w:color w:val="auto"/>
        </w:rPr>
      </w:pPr>
    </w:p>
    <w:p w14:paraId="313EE829" w14:textId="77777777" w:rsidR="00E01AF9" w:rsidRPr="00AD295A" w:rsidRDefault="00504820" w:rsidP="00B314D4">
      <w:pPr>
        <w:pStyle w:val="Heading1"/>
        <w:rPr>
          <w:rFonts w:ascii="Times New Roman" w:hAnsi="Times New Roman" w:cs="Times New Roman"/>
          <w:color w:val="auto"/>
        </w:rPr>
      </w:pPr>
      <w:bookmarkStart w:id="23" w:name="_Toc236861492"/>
      <w:r w:rsidRPr="00AD295A">
        <w:rPr>
          <w:rFonts w:ascii="Times New Roman" w:hAnsi="Times New Roman" w:cs="Times New Roman"/>
          <w:color w:val="auto"/>
        </w:rPr>
        <w:lastRenderedPageBreak/>
        <w:t>References</w:t>
      </w:r>
      <w:bookmarkEnd w:id="23"/>
    </w:p>
    <w:p w14:paraId="74EE3D4C" w14:textId="77777777" w:rsidR="00E01AF9" w:rsidRPr="002B62AB" w:rsidRDefault="00504820" w:rsidP="00B314D4">
      <w:pPr>
        <w:pStyle w:val="Reference"/>
        <w:jc w:val="both"/>
        <w:rPr>
          <w:rFonts w:cs="Times New Roman"/>
          <w:sz w:val="22"/>
        </w:rPr>
      </w:pPr>
      <w:r w:rsidRPr="002B62AB">
        <w:rPr>
          <w:rFonts w:cs="Times New Roman"/>
          <w:sz w:val="22"/>
        </w:rPr>
        <w:t xml:space="preserve">ACCA (n.d.) 'Ratio analysis'. Available at: </w:t>
      </w:r>
      <w:hyperlink r:id="rId10">
        <w:r w:rsidRPr="002B62AB">
          <w:rPr>
            <w:rFonts w:cs="Times New Roman"/>
            <w:sz w:val="22"/>
            <w:u w:val="single"/>
          </w:rPr>
          <w:t>https://www.accaglobal.com/gb/en/student/exam-support-resources/fundamentals-exams-study-resources/f2/technical-articles/ratio-analysis.html</w:t>
        </w:r>
      </w:hyperlink>
    </w:p>
    <w:p w14:paraId="72B27522" w14:textId="77777777" w:rsidR="00E01AF9" w:rsidRPr="002B62AB" w:rsidRDefault="00504820" w:rsidP="00B314D4">
      <w:pPr>
        <w:pStyle w:val="Reference"/>
        <w:jc w:val="both"/>
        <w:rPr>
          <w:rFonts w:cs="Times New Roman"/>
          <w:sz w:val="22"/>
        </w:rPr>
      </w:pPr>
      <w:r w:rsidRPr="002B62AB">
        <w:rPr>
          <w:rFonts w:cs="Times New Roman"/>
          <w:sz w:val="22"/>
        </w:rPr>
        <w:t xml:space="preserve">Aktas, N., Croci, E. and Petmezas, D. (2015) 'Is working capital management value-enhancing? Evidence from firm performance and investments', Journal of Corporate Finance, 30, pp. 98–113. </w:t>
      </w:r>
      <w:hyperlink r:id="rId11">
        <w:r w:rsidRPr="002B62AB">
          <w:rPr>
            <w:rFonts w:cs="Times New Roman"/>
            <w:sz w:val="22"/>
            <w:u w:val="single"/>
          </w:rPr>
          <w:t>https://doi.org/10.1016/j.jcorpfin.2014.12.008</w:t>
        </w:r>
      </w:hyperlink>
    </w:p>
    <w:p w14:paraId="4344822D" w14:textId="77777777" w:rsidR="00E01AF9" w:rsidRPr="002B62AB" w:rsidRDefault="00504820" w:rsidP="00B314D4">
      <w:pPr>
        <w:pStyle w:val="Reference"/>
        <w:jc w:val="both"/>
        <w:rPr>
          <w:rFonts w:cs="Times New Roman"/>
          <w:sz w:val="22"/>
        </w:rPr>
      </w:pPr>
      <w:r w:rsidRPr="002B62AB">
        <w:rPr>
          <w:rFonts w:cs="Times New Roman"/>
          <w:sz w:val="22"/>
        </w:rPr>
        <w:t xml:space="preserve">Altman, E.I. (1968) 'Financial ratios, discriminant analysis and the prediction of corporate bankruptcy', The Journal of Finance, 23(4), pp. 589–609. </w:t>
      </w:r>
      <w:hyperlink r:id="rId12">
        <w:r w:rsidRPr="002B62AB">
          <w:rPr>
            <w:rFonts w:cs="Times New Roman"/>
            <w:sz w:val="22"/>
            <w:u w:val="single"/>
          </w:rPr>
          <w:t>https://doi.org/10.1111/j.1540-6261.1968.tb00843.x</w:t>
        </w:r>
      </w:hyperlink>
    </w:p>
    <w:p w14:paraId="3642D6AF" w14:textId="77777777" w:rsidR="00E01AF9" w:rsidRPr="002B62AB" w:rsidRDefault="00504820" w:rsidP="00B314D4">
      <w:pPr>
        <w:pStyle w:val="Reference"/>
        <w:jc w:val="both"/>
        <w:rPr>
          <w:rFonts w:cs="Times New Roman"/>
          <w:sz w:val="22"/>
        </w:rPr>
      </w:pPr>
      <w:r w:rsidRPr="002B62AB">
        <w:rPr>
          <w:rFonts w:cs="Times New Roman"/>
          <w:sz w:val="22"/>
        </w:rPr>
        <w:t xml:space="preserve">Arnold, G. and Lewis, D. (2019) Corporate Financial Management. 6th edn. Harlow: Pearson. Available at: </w:t>
      </w:r>
      <w:hyperlink r:id="rId13">
        <w:r w:rsidRPr="002B62AB">
          <w:rPr>
            <w:rFonts w:cs="Times New Roman"/>
            <w:sz w:val="22"/>
            <w:u w:val="single"/>
          </w:rPr>
          <w:t>https://www.pearson.com/en-gb/subject-catalog/p/corporate-financial-management/P200000003595</w:t>
        </w:r>
      </w:hyperlink>
    </w:p>
    <w:p w14:paraId="3D32C55A" w14:textId="77777777" w:rsidR="00E01AF9" w:rsidRPr="002B62AB" w:rsidRDefault="00504820" w:rsidP="00B314D4">
      <w:pPr>
        <w:pStyle w:val="Reference"/>
        <w:jc w:val="both"/>
        <w:rPr>
          <w:rFonts w:cs="Times New Roman"/>
          <w:sz w:val="22"/>
        </w:rPr>
      </w:pPr>
      <w:r w:rsidRPr="002B62AB">
        <w:rPr>
          <w:rFonts w:cs="Times New Roman"/>
          <w:sz w:val="22"/>
        </w:rPr>
        <w:t xml:space="preserve">Arnold, G.C. and Hatzopoulos, P.D. (2000) 'The theory-practice gap in capital budgeting: evidence from the United Kingdom', Journal of Business Finance &amp; Accounting, 27(5–6), pp. 603–626. </w:t>
      </w:r>
      <w:hyperlink r:id="rId14">
        <w:r w:rsidRPr="002B62AB">
          <w:rPr>
            <w:rFonts w:cs="Times New Roman"/>
            <w:sz w:val="22"/>
            <w:u w:val="single"/>
          </w:rPr>
          <w:t>https://doi.org/10.1111/1468-5957.00327</w:t>
        </w:r>
      </w:hyperlink>
    </w:p>
    <w:p w14:paraId="5FC9D600" w14:textId="77777777" w:rsidR="00E01AF9" w:rsidRPr="002B62AB" w:rsidRDefault="00504820" w:rsidP="00B314D4">
      <w:pPr>
        <w:pStyle w:val="Reference"/>
        <w:jc w:val="both"/>
        <w:rPr>
          <w:rFonts w:cs="Times New Roman"/>
          <w:sz w:val="22"/>
        </w:rPr>
      </w:pPr>
      <w:r w:rsidRPr="002B62AB">
        <w:rPr>
          <w:rFonts w:cs="Times New Roman"/>
          <w:sz w:val="22"/>
        </w:rPr>
        <w:t xml:space="preserve">Atrill, P. and McLaney, E. (2022) Accounting and Finance for Non-Specialists. 12th edn. Harlow: Pearson. Available at: </w:t>
      </w:r>
      <w:hyperlink r:id="rId15">
        <w:r w:rsidRPr="002B62AB">
          <w:rPr>
            <w:rFonts w:cs="Times New Roman"/>
            <w:sz w:val="22"/>
            <w:u w:val="single"/>
          </w:rPr>
          <w:t>https://www.pearson.com/nl/en_NL/higher-education/subject-catalogue/accounting-and-taxation/Atrill-McClaney-Financial-Accounting-and-finance-for-non-specialists-12e.html</w:t>
        </w:r>
      </w:hyperlink>
    </w:p>
    <w:p w14:paraId="5D23A2B4" w14:textId="77777777" w:rsidR="00E01AF9" w:rsidRPr="002B62AB" w:rsidRDefault="00504820" w:rsidP="00B314D4">
      <w:pPr>
        <w:pStyle w:val="Reference"/>
        <w:jc w:val="both"/>
        <w:rPr>
          <w:rFonts w:cs="Times New Roman"/>
          <w:sz w:val="22"/>
        </w:rPr>
      </w:pPr>
      <w:r w:rsidRPr="002B62AB">
        <w:rPr>
          <w:rFonts w:cs="Times New Roman"/>
          <w:sz w:val="22"/>
        </w:rPr>
        <w:t xml:space="preserve">Baños-Caballero, S., García-Teruel, P.J. and Martínez-Solano, P. (2014) 'Working capital management, corporate performance, and financial constraints', Journal of Business Research, 67(3), pp. 332–338. </w:t>
      </w:r>
      <w:hyperlink r:id="rId16">
        <w:r w:rsidRPr="002B62AB">
          <w:rPr>
            <w:rFonts w:cs="Times New Roman"/>
            <w:sz w:val="22"/>
            <w:u w:val="single"/>
          </w:rPr>
          <w:t>https://doi.org/10.1016/j.jbusres.2013.01.016</w:t>
        </w:r>
      </w:hyperlink>
    </w:p>
    <w:p w14:paraId="3B25B207" w14:textId="77777777" w:rsidR="00E01AF9" w:rsidRPr="002B62AB" w:rsidRDefault="00504820" w:rsidP="00B314D4">
      <w:pPr>
        <w:pStyle w:val="Reference"/>
        <w:jc w:val="both"/>
        <w:rPr>
          <w:rFonts w:cs="Times New Roman"/>
          <w:sz w:val="22"/>
        </w:rPr>
      </w:pPr>
      <w:r w:rsidRPr="002B62AB">
        <w:rPr>
          <w:rFonts w:cs="Times New Roman"/>
          <w:sz w:val="22"/>
        </w:rPr>
        <w:t xml:space="preserve">Beaver, W.H. (1966) 'Financial ratios as predictors of failure', Journal of Accounting Research, 4, pp. 71–111. </w:t>
      </w:r>
      <w:hyperlink r:id="rId17">
        <w:r w:rsidRPr="002B62AB">
          <w:rPr>
            <w:rFonts w:cs="Times New Roman"/>
            <w:sz w:val="22"/>
            <w:u w:val="single"/>
          </w:rPr>
          <w:t>https://doi.org/10.2307/2490171</w:t>
        </w:r>
      </w:hyperlink>
    </w:p>
    <w:p w14:paraId="302B79D4" w14:textId="77777777" w:rsidR="00E01AF9" w:rsidRPr="002B62AB" w:rsidRDefault="00504820" w:rsidP="00B314D4">
      <w:pPr>
        <w:pStyle w:val="Reference"/>
        <w:jc w:val="both"/>
        <w:rPr>
          <w:rFonts w:cs="Times New Roman"/>
          <w:sz w:val="22"/>
        </w:rPr>
      </w:pPr>
      <w:r w:rsidRPr="002B62AB">
        <w:rPr>
          <w:rFonts w:cs="Times New Roman"/>
          <w:sz w:val="22"/>
        </w:rPr>
        <w:t xml:space="preserve">Bennouna, K., Meredith, G.G. and Marchant, T. (2010) 'Improved capital budgeting decision making: evidence from Canada', Management Decision, 48(2), pp. 225–247. </w:t>
      </w:r>
      <w:hyperlink r:id="rId18">
        <w:r w:rsidRPr="002B62AB">
          <w:rPr>
            <w:rFonts w:cs="Times New Roman"/>
            <w:sz w:val="22"/>
            <w:u w:val="single"/>
          </w:rPr>
          <w:t>https://doi.org/10.1108/00251741011022590</w:t>
        </w:r>
      </w:hyperlink>
    </w:p>
    <w:p w14:paraId="0EED9834" w14:textId="77777777" w:rsidR="00E01AF9" w:rsidRPr="002B62AB" w:rsidRDefault="00504820" w:rsidP="00B314D4">
      <w:pPr>
        <w:pStyle w:val="Reference"/>
        <w:jc w:val="both"/>
        <w:rPr>
          <w:rFonts w:cs="Times New Roman"/>
          <w:sz w:val="22"/>
        </w:rPr>
      </w:pPr>
      <w:r w:rsidRPr="002B62AB">
        <w:rPr>
          <w:rFonts w:cs="Times New Roman"/>
          <w:sz w:val="22"/>
        </w:rPr>
        <w:t xml:space="preserve">Berk, J. and DeMarzo, P. (2023) Corporate Finance. 6th edn. Harlow: Pearson. Available at: </w:t>
      </w:r>
      <w:hyperlink r:id="rId19">
        <w:r w:rsidRPr="002B62AB">
          <w:rPr>
            <w:rFonts w:cs="Times New Roman"/>
            <w:sz w:val="22"/>
            <w:u w:val="single"/>
          </w:rPr>
          <w:t>https://www.pearson.com/en-us/subject-catalog/p/corporate-finance/P200000009791/9780137844906</w:t>
        </w:r>
      </w:hyperlink>
    </w:p>
    <w:p w14:paraId="4BF4C2BB" w14:textId="77777777" w:rsidR="00E01AF9" w:rsidRPr="002B62AB" w:rsidRDefault="00504820" w:rsidP="00B314D4">
      <w:pPr>
        <w:pStyle w:val="Reference"/>
        <w:jc w:val="both"/>
        <w:rPr>
          <w:rFonts w:cs="Times New Roman"/>
          <w:sz w:val="22"/>
        </w:rPr>
      </w:pPr>
      <w:r w:rsidRPr="002B62AB">
        <w:rPr>
          <w:rFonts w:cs="Times New Roman"/>
          <w:sz w:val="22"/>
        </w:rPr>
        <w:t xml:space="preserve">Berk, J., DeMarzo, P. and Harford, J. (2022) Fundamentals of Corporate Finance. 5th global edn. Harlow: Pearson. Available at: </w:t>
      </w:r>
      <w:hyperlink r:id="rId20">
        <w:r w:rsidRPr="002B62AB">
          <w:rPr>
            <w:rFonts w:cs="Times New Roman"/>
            <w:sz w:val="22"/>
            <w:u w:val="single"/>
          </w:rPr>
          <w:t>https://www.pearson.com/nl/en_NL/higher-education/subject-catalogue/finance/berk-demarzo-harford-fundamentals-of-corporate-finance.html</w:t>
        </w:r>
      </w:hyperlink>
    </w:p>
    <w:p w14:paraId="07DF507C" w14:textId="77777777" w:rsidR="00E01AF9" w:rsidRPr="002B62AB" w:rsidRDefault="00504820" w:rsidP="00B314D4">
      <w:pPr>
        <w:pStyle w:val="Reference"/>
        <w:jc w:val="both"/>
        <w:rPr>
          <w:rFonts w:cs="Times New Roman"/>
          <w:sz w:val="22"/>
        </w:rPr>
      </w:pPr>
      <w:r w:rsidRPr="002B62AB">
        <w:rPr>
          <w:rFonts w:cs="Times New Roman"/>
          <w:sz w:val="22"/>
        </w:rPr>
        <w:t xml:space="preserve">Brealey, R.A., Myers, S.C., Allen, F. and Edmans, A. (2023) Principles of Corporate Finance. 14th edn. New York: McGraw Hill. Available at: </w:t>
      </w:r>
      <w:hyperlink r:id="rId21">
        <w:r w:rsidRPr="002B62AB">
          <w:rPr>
            <w:rFonts w:cs="Times New Roman"/>
            <w:sz w:val="22"/>
            <w:u w:val="single"/>
          </w:rPr>
          <w:t>https://www.mheducation.com/highered/product/principles-corporate-finance-brealey.html</w:t>
        </w:r>
      </w:hyperlink>
    </w:p>
    <w:p w14:paraId="1D1F62A4" w14:textId="77777777" w:rsidR="00E01AF9" w:rsidRPr="002B62AB" w:rsidRDefault="00504820" w:rsidP="00B314D4">
      <w:pPr>
        <w:pStyle w:val="Reference"/>
        <w:jc w:val="both"/>
        <w:rPr>
          <w:rFonts w:cs="Times New Roman"/>
          <w:sz w:val="22"/>
        </w:rPr>
      </w:pPr>
      <w:r w:rsidRPr="002B62AB">
        <w:rPr>
          <w:rFonts w:cs="Times New Roman"/>
          <w:sz w:val="22"/>
        </w:rPr>
        <w:t xml:space="preserve">British Business Bank (2025) Small Business Finance Markets Report 2025. Available at: </w:t>
      </w:r>
      <w:hyperlink r:id="rId22">
        <w:r w:rsidRPr="002B62AB">
          <w:rPr>
            <w:rFonts w:cs="Times New Roman"/>
            <w:sz w:val="22"/>
            <w:u w:val="single"/>
          </w:rPr>
          <w:t>https://www.british-business-bank.co.uk/about/research-and-publications/small-business-finance-markets-report-2025</w:t>
        </w:r>
      </w:hyperlink>
    </w:p>
    <w:p w14:paraId="5817ECE4" w14:textId="77777777" w:rsidR="00E01AF9" w:rsidRPr="002B62AB" w:rsidRDefault="00504820" w:rsidP="00B314D4">
      <w:pPr>
        <w:pStyle w:val="Reference"/>
        <w:jc w:val="both"/>
        <w:rPr>
          <w:rFonts w:cs="Times New Roman"/>
          <w:sz w:val="22"/>
        </w:rPr>
      </w:pPr>
      <w:r w:rsidRPr="002B62AB">
        <w:rPr>
          <w:rFonts w:cs="Times New Roman"/>
          <w:sz w:val="22"/>
        </w:rPr>
        <w:t xml:space="preserve">Brounen, D., de Jong, A. and Koedijk, K. (2004) 'Corporate finance in Europe: confronting theory with practice', Financial Management, 33(4), pp. 71–101. Available at: </w:t>
      </w:r>
      <w:hyperlink r:id="rId23">
        <w:r w:rsidRPr="002B62AB">
          <w:rPr>
            <w:rFonts w:cs="Times New Roman"/>
            <w:sz w:val="22"/>
            <w:u w:val="single"/>
          </w:rPr>
          <w:t>https://www.jstor.org/stable/3666349</w:t>
        </w:r>
      </w:hyperlink>
    </w:p>
    <w:p w14:paraId="28E7D353" w14:textId="77777777" w:rsidR="00E01AF9" w:rsidRPr="002B62AB" w:rsidRDefault="00504820" w:rsidP="00B314D4">
      <w:pPr>
        <w:pStyle w:val="Reference"/>
        <w:jc w:val="both"/>
        <w:rPr>
          <w:rFonts w:cs="Times New Roman"/>
          <w:sz w:val="22"/>
        </w:rPr>
      </w:pPr>
      <w:r w:rsidRPr="002B62AB">
        <w:rPr>
          <w:rFonts w:cs="Times New Roman"/>
          <w:sz w:val="22"/>
        </w:rPr>
        <w:t xml:space="preserve">BT Group Plc (2025) Annual Report 2025. Available at: </w:t>
      </w:r>
      <w:hyperlink r:id="rId24">
        <w:r w:rsidRPr="002B62AB">
          <w:rPr>
            <w:rFonts w:cs="Times New Roman"/>
            <w:sz w:val="22"/>
            <w:u w:val="single"/>
          </w:rPr>
          <w:t>https://www.bt.com/bt-plc/assets/documents/investors/financial-reporting-and-news/annual-reports/2025/2025-bt-group-plc-annual-report.pdf</w:t>
        </w:r>
      </w:hyperlink>
    </w:p>
    <w:p w14:paraId="60A2F197" w14:textId="77777777" w:rsidR="00E01AF9" w:rsidRPr="002B62AB" w:rsidRDefault="00504820" w:rsidP="00B314D4">
      <w:pPr>
        <w:pStyle w:val="Reference"/>
        <w:jc w:val="both"/>
        <w:rPr>
          <w:rFonts w:cs="Times New Roman"/>
          <w:sz w:val="22"/>
        </w:rPr>
      </w:pPr>
      <w:r w:rsidRPr="002B62AB">
        <w:rPr>
          <w:rFonts w:cs="Times New Roman"/>
          <w:sz w:val="22"/>
        </w:rPr>
        <w:t xml:space="preserve">CFA Institute (2025) Financial Statement Analysis: 2025 Level I Learning Outcomes. Available at: </w:t>
      </w:r>
      <w:hyperlink r:id="rId25">
        <w:r w:rsidRPr="002B62AB">
          <w:rPr>
            <w:rFonts w:cs="Times New Roman"/>
            <w:sz w:val="22"/>
            <w:u w:val="single"/>
          </w:rPr>
          <w:t>https://www.cfainstitute.org/sites/default/files/-/media/documents/study-session/2025-l1-los-t4.pdf</w:t>
        </w:r>
      </w:hyperlink>
    </w:p>
    <w:p w14:paraId="661B10E9" w14:textId="77777777" w:rsidR="00E01AF9" w:rsidRPr="002B62AB" w:rsidRDefault="00504820" w:rsidP="00B314D4">
      <w:pPr>
        <w:pStyle w:val="Reference"/>
        <w:jc w:val="both"/>
        <w:rPr>
          <w:rFonts w:cs="Times New Roman"/>
          <w:sz w:val="22"/>
        </w:rPr>
      </w:pPr>
      <w:r w:rsidRPr="002B62AB">
        <w:rPr>
          <w:rFonts w:cs="Times New Roman"/>
          <w:sz w:val="22"/>
        </w:rPr>
        <w:t xml:space="preserve">Delen, D., Kuzey, C. and Uyar, A. (2013) 'Measuring firm performance using financial ratios: a decision tree approach', Expert Systems with Applications, 40(10), pp. 3970–3983. </w:t>
      </w:r>
      <w:hyperlink r:id="rId26">
        <w:r w:rsidRPr="002B62AB">
          <w:rPr>
            <w:rFonts w:cs="Times New Roman"/>
            <w:sz w:val="22"/>
            <w:u w:val="single"/>
          </w:rPr>
          <w:t>https://doi.org/10.1016/j.eswa.2013.01.012</w:t>
        </w:r>
      </w:hyperlink>
    </w:p>
    <w:p w14:paraId="3764996E" w14:textId="64D8F439" w:rsidR="00E01AF9" w:rsidRPr="002B62AB" w:rsidRDefault="001C409B" w:rsidP="00B314D4">
      <w:pPr>
        <w:pStyle w:val="Reference"/>
        <w:jc w:val="both"/>
        <w:rPr>
          <w:rFonts w:cs="Times New Roman"/>
          <w:sz w:val="22"/>
        </w:rPr>
      </w:pPr>
      <w:r w:rsidRPr="002B62AB">
        <w:rPr>
          <w:rFonts w:cs="Times New Roman"/>
          <w:sz w:val="22"/>
        </w:rPr>
        <w:t xml:space="preserve">Drury, C. and </w:t>
      </w:r>
      <w:proofErr w:type="spellStart"/>
      <w:r w:rsidRPr="002B62AB">
        <w:rPr>
          <w:rFonts w:cs="Times New Roman"/>
          <w:sz w:val="22"/>
        </w:rPr>
        <w:t>Tayles</w:t>
      </w:r>
      <w:proofErr w:type="spellEnd"/>
      <w:r w:rsidRPr="002B62AB">
        <w:rPr>
          <w:rFonts w:cs="Times New Roman"/>
          <w:sz w:val="22"/>
        </w:rPr>
        <w:t>, M. (2021)</w:t>
      </w:r>
      <w:r w:rsidR="00504820" w:rsidRPr="002B62AB">
        <w:rPr>
          <w:rFonts w:cs="Times New Roman"/>
          <w:sz w:val="22"/>
        </w:rPr>
        <w:t xml:space="preserve"> Management and Cost Accounting. 11th edn. Andover: Cengage. Available at: </w:t>
      </w:r>
      <w:hyperlink r:id="rId27">
        <w:r w:rsidR="00504820" w:rsidRPr="002B62AB">
          <w:rPr>
            <w:rFonts w:cs="Times New Roman"/>
            <w:sz w:val="22"/>
            <w:u w:val="single"/>
          </w:rPr>
          <w:t>https://www.cengageasia.com/title/default/detail?isbn=9781473773615</w:t>
        </w:r>
      </w:hyperlink>
    </w:p>
    <w:p w14:paraId="295EE22F" w14:textId="77777777" w:rsidR="00E01AF9" w:rsidRPr="002B62AB" w:rsidRDefault="00504820" w:rsidP="00B314D4">
      <w:pPr>
        <w:pStyle w:val="Reference"/>
        <w:jc w:val="both"/>
        <w:rPr>
          <w:rFonts w:cs="Times New Roman"/>
          <w:sz w:val="22"/>
        </w:rPr>
      </w:pPr>
      <w:r w:rsidRPr="002B62AB">
        <w:rPr>
          <w:rFonts w:cs="Times New Roman"/>
          <w:sz w:val="22"/>
        </w:rPr>
        <w:t xml:space="preserve">Drury, C. and Tayles, M. (1997) 'The misapplication of capital investment appraisal techniques', Management Decision, 35(2), pp. 86–93. </w:t>
      </w:r>
      <w:hyperlink r:id="rId28">
        <w:r w:rsidRPr="002B62AB">
          <w:rPr>
            <w:rFonts w:cs="Times New Roman"/>
            <w:sz w:val="22"/>
            <w:u w:val="single"/>
          </w:rPr>
          <w:t>https://doi.org/10.1108/00251749710160223</w:t>
        </w:r>
      </w:hyperlink>
    </w:p>
    <w:p w14:paraId="3817FB05" w14:textId="77777777" w:rsidR="00E01AF9" w:rsidRPr="002B62AB" w:rsidRDefault="00504820" w:rsidP="00B314D4">
      <w:pPr>
        <w:pStyle w:val="Reference"/>
        <w:jc w:val="both"/>
        <w:rPr>
          <w:rFonts w:cs="Times New Roman"/>
          <w:sz w:val="22"/>
        </w:rPr>
      </w:pPr>
      <w:r w:rsidRPr="002B62AB">
        <w:rPr>
          <w:rFonts w:cs="Times New Roman"/>
          <w:sz w:val="22"/>
        </w:rPr>
        <w:lastRenderedPageBreak/>
        <w:t xml:space="preserve">Enqvist, J., Graham, M. and Nikkinen, J. (2014) 'The impact of working capital management on firm profitability in different business cycles', Research in International Business and Finance, 32, pp. 36–49. </w:t>
      </w:r>
      <w:hyperlink r:id="rId29">
        <w:r w:rsidRPr="002B62AB">
          <w:rPr>
            <w:rFonts w:cs="Times New Roman"/>
            <w:sz w:val="22"/>
            <w:u w:val="single"/>
          </w:rPr>
          <w:t>https://doi.org/10.1016/j.ribaf.2014.03.005</w:t>
        </w:r>
      </w:hyperlink>
    </w:p>
    <w:p w14:paraId="0B05AF68" w14:textId="77777777" w:rsidR="00E01AF9" w:rsidRPr="002B62AB" w:rsidRDefault="00504820" w:rsidP="00B314D4">
      <w:pPr>
        <w:pStyle w:val="Reference"/>
        <w:jc w:val="both"/>
        <w:rPr>
          <w:rFonts w:cs="Times New Roman"/>
          <w:sz w:val="22"/>
        </w:rPr>
      </w:pPr>
      <w:r w:rsidRPr="002B62AB">
        <w:rPr>
          <w:rFonts w:cs="Times New Roman"/>
          <w:sz w:val="22"/>
        </w:rPr>
        <w:t xml:space="preserve">European Commission (2025) State of the Digital Decade 2025 report. Available at: </w:t>
      </w:r>
      <w:hyperlink r:id="rId30">
        <w:r w:rsidRPr="002B62AB">
          <w:rPr>
            <w:rFonts w:cs="Times New Roman"/>
            <w:sz w:val="22"/>
            <w:u w:val="single"/>
          </w:rPr>
          <w:t>https://digital-strategy.ec.europa.eu/en/library/state-digital-decade-2025-report</w:t>
        </w:r>
      </w:hyperlink>
    </w:p>
    <w:p w14:paraId="7426F248" w14:textId="77777777" w:rsidR="00E01AF9" w:rsidRPr="002B62AB" w:rsidRDefault="00504820" w:rsidP="00B314D4">
      <w:pPr>
        <w:pStyle w:val="Reference"/>
        <w:jc w:val="both"/>
        <w:rPr>
          <w:rFonts w:cs="Times New Roman"/>
          <w:sz w:val="22"/>
        </w:rPr>
      </w:pPr>
      <w:r w:rsidRPr="002B62AB">
        <w:rPr>
          <w:rFonts w:cs="Times New Roman"/>
          <w:sz w:val="22"/>
        </w:rPr>
        <w:t xml:space="preserve">Fairfield, P.M. and Yohn, T.L. (2001) 'Using asset turnover and profit margin to forecast changes in profitability', Review of Accounting Studies, 6, pp. 371–385. </w:t>
      </w:r>
      <w:hyperlink r:id="rId31">
        <w:r w:rsidRPr="002B62AB">
          <w:rPr>
            <w:rFonts w:cs="Times New Roman"/>
            <w:sz w:val="22"/>
            <w:u w:val="single"/>
          </w:rPr>
          <w:t>https://doi.org/10.1023/A:1012430513430</w:t>
        </w:r>
      </w:hyperlink>
    </w:p>
    <w:p w14:paraId="1529BBA1" w14:textId="77777777" w:rsidR="00E01AF9" w:rsidRPr="002B62AB" w:rsidRDefault="00504820" w:rsidP="00B314D4">
      <w:pPr>
        <w:pStyle w:val="Reference"/>
        <w:jc w:val="both"/>
        <w:rPr>
          <w:rFonts w:cs="Times New Roman"/>
          <w:sz w:val="22"/>
        </w:rPr>
      </w:pPr>
      <w:r w:rsidRPr="002B62AB">
        <w:rPr>
          <w:rFonts w:cs="Times New Roman"/>
          <w:sz w:val="22"/>
        </w:rPr>
        <w:t xml:space="preserve">Financial Reporting Council (2024a) UK Corporate Governance Code 2024. Available at: </w:t>
      </w:r>
      <w:hyperlink r:id="rId32">
        <w:r w:rsidRPr="002B62AB">
          <w:rPr>
            <w:rFonts w:cs="Times New Roman"/>
            <w:sz w:val="22"/>
            <w:u w:val="single"/>
          </w:rPr>
          <w:t>https://www.frc.org.uk/library/standards-codes-policy/corporate-governance/uk-corporate-governance-code/</w:t>
        </w:r>
      </w:hyperlink>
    </w:p>
    <w:p w14:paraId="7D0FD28C" w14:textId="77777777" w:rsidR="00E01AF9" w:rsidRPr="002B62AB" w:rsidRDefault="00504820" w:rsidP="00B314D4">
      <w:pPr>
        <w:pStyle w:val="Reference"/>
        <w:jc w:val="both"/>
        <w:rPr>
          <w:rFonts w:cs="Times New Roman"/>
          <w:sz w:val="22"/>
        </w:rPr>
      </w:pPr>
      <w:r w:rsidRPr="002B62AB">
        <w:rPr>
          <w:rFonts w:cs="Times New Roman"/>
          <w:sz w:val="22"/>
        </w:rPr>
        <w:t xml:space="preserve">Financial Reporting Council (2024b) Guidance on the UK Corporate Governance Code. Available at: </w:t>
      </w:r>
      <w:hyperlink r:id="rId33">
        <w:r w:rsidRPr="002B62AB">
          <w:rPr>
            <w:rFonts w:cs="Times New Roman"/>
            <w:sz w:val="22"/>
            <w:u w:val="single"/>
          </w:rPr>
          <w:t>https://www.frc.org.uk/library/standards-codes-policy/corporate-governance/corporate-governance-code-guidance/</w:t>
        </w:r>
      </w:hyperlink>
    </w:p>
    <w:p w14:paraId="630D3480" w14:textId="77777777" w:rsidR="00E01AF9" w:rsidRPr="002B62AB" w:rsidRDefault="00504820" w:rsidP="00B314D4">
      <w:pPr>
        <w:pStyle w:val="Reference"/>
        <w:jc w:val="both"/>
        <w:rPr>
          <w:rFonts w:cs="Times New Roman"/>
          <w:sz w:val="22"/>
        </w:rPr>
      </w:pPr>
      <w:r w:rsidRPr="002B62AB">
        <w:rPr>
          <w:rFonts w:cs="Times New Roman"/>
          <w:sz w:val="22"/>
        </w:rPr>
        <w:t xml:space="preserve">FTSE Russell (2025) FTSE 100 constituent history. Available at: </w:t>
      </w:r>
      <w:hyperlink r:id="rId34">
        <w:r w:rsidRPr="002B62AB">
          <w:rPr>
            <w:rFonts w:cs="Times New Roman"/>
            <w:sz w:val="22"/>
            <w:u w:val="single"/>
          </w:rPr>
          <w:t>https://www.lseg.com/content/dam/ftse-russell/en_us/documents/policy-documents/ftse-100-constituent-history.pdf</w:t>
        </w:r>
      </w:hyperlink>
    </w:p>
    <w:p w14:paraId="0CA40538" w14:textId="77777777" w:rsidR="00E01AF9" w:rsidRPr="002B62AB" w:rsidRDefault="00504820" w:rsidP="00B314D4">
      <w:pPr>
        <w:pStyle w:val="Reference"/>
        <w:jc w:val="both"/>
        <w:rPr>
          <w:rFonts w:cs="Times New Roman"/>
          <w:sz w:val="22"/>
        </w:rPr>
      </w:pPr>
      <w:r w:rsidRPr="002B62AB">
        <w:rPr>
          <w:rFonts w:cs="Times New Roman"/>
          <w:sz w:val="22"/>
        </w:rPr>
        <w:t xml:space="preserve">García-Teruel, P.J. and Martínez-Solano, P. (2007) 'Effects of working capital management on SME profitability', International Journal of Managerial Finance, 3(2), pp. 164–177. </w:t>
      </w:r>
      <w:hyperlink r:id="rId35">
        <w:r w:rsidRPr="002B62AB">
          <w:rPr>
            <w:rFonts w:cs="Times New Roman"/>
            <w:sz w:val="22"/>
            <w:u w:val="single"/>
          </w:rPr>
          <w:t>https://doi.org/10.1108/17439130710738718</w:t>
        </w:r>
      </w:hyperlink>
    </w:p>
    <w:p w14:paraId="0B68EC58" w14:textId="77777777" w:rsidR="00E01AF9" w:rsidRPr="002B62AB" w:rsidRDefault="00504820" w:rsidP="00B314D4">
      <w:pPr>
        <w:pStyle w:val="Reference"/>
        <w:jc w:val="both"/>
        <w:rPr>
          <w:rFonts w:cs="Times New Roman"/>
          <w:sz w:val="22"/>
        </w:rPr>
      </w:pPr>
      <w:r w:rsidRPr="002B62AB">
        <w:rPr>
          <w:rFonts w:cs="Times New Roman"/>
          <w:sz w:val="22"/>
        </w:rPr>
        <w:t xml:space="preserve">Graham, J.R. and Harvey, C.R. (2001) 'The theory and practice of corporate finance: evidence from the field', Journal of Financial Economics, 60(2–3), pp. 187–243. </w:t>
      </w:r>
      <w:hyperlink r:id="rId36">
        <w:r w:rsidRPr="002B62AB">
          <w:rPr>
            <w:rFonts w:cs="Times New Roman"/>
            <w:sz w:val="22"/>
            <w:u w:val="single"/>
          </w:rPr>
          <w:t>https://doi.org/10.1016/S0304-405X(01)00044-7</w:t>
        </w:r>
      </w:hyperlink>
    </w:p>
    <w:p w14:paraId="533FABE2" w14:textId="77777777" w:rsidR="00E01AF9" w:rsidRPr="002B62AB" w:rsidRDefault="00504820" w:rsidP="00B314D4">
      <w:pPr>
        <w:pStyle w:val="Reference"/>
        <w:jc w:val="both"/>
        <w:rPr>
          <w:rFonts w:cs="Times New Roman"/>
          <w:sz w:val="22"/>
        </w:rPr>
      </w:pPr>
      <w:r w:rsidRPr="002B62AB">
        <w:rPr>
          <w:rFonts w:cs="Times New Roman"/>
          <w:sz w:val="22"/>
        </w:rPr>
        <w:t xml:space="preserve">GSMA (2024) Mobile Net Zero 2024: State of the Industry on Climate Action. Available at: </w:t>
      </w:r>
      <w:hyperlink r:id="rId37">
        <w:r w:rsidRPr="002B62AB">
          <w:rPr>
            <w:rFonts w:cs="Times New Roman"/>
            <w:sz w:val="22"/>
            <w:u w:val="single"/>
          </w:rPr>
          <w:t>https://www.gsma.com/solutions-and-impact/connectivity-for-good/external-affairs/climate-action/mobile-net-zero-2024/</w:t>
        </w:r>
      </w:hyperlink>
    </w:p>
    <w:p w14:paraId="4CB1D49E" w14:textId="77777777" w:rsidR="00E01AF9" w:rsidRPr="002B62AB" w:rsidRDefault="00504820" w:rsidP="00B314D4">
      <w:pPr>
        <w:pStyle w:val="Reference"/>
        <w:jc w:val="both"/>
        <w:rPr>
          <w:rFonts w:cs="Times New Roman"/>
          <w:sz w:val="22"/>
        </w:rPr>
      </w:pPr>
      <w:r w:rsidRPr="002B62AB">
        <w:rPr>
          <w:rFonts w:cs="Times New Roman"/>
          <w:sz w:val="22"/>
        </w:rPr>
        <w:t xml:space="preserve">GSMA (2025) The Mobile Economy 2025. Available at: </w:t>
      </w:r>
      <w:hyperlink r:id="rId38">
        <w:r w:rsidRPr="002B62AB">
          <w:rPr>
            <w:rFonts w:cs="Times New Roman"/>
            <w:sz w:val="22"/>
            <w:u w:val="single"/>
          </w:rPr>
          <w:t>https://www.gsma.com/solutions-and-impact/connectivity-for-good/mobile-economy/the-mobile-economy-2025/</w:t>
        </w:r>
      </w:hyperlink>
    </w:p>
    <w:p w14:paraId="5D36913B" w14:textId="77777777" w:rsidR="00E01AF9" w:rsidRPr="002B62AB" w:rsidRDefault="00504820" w:rsidP="00B314D4">
      <w:pPr>
        <w:pStyle w:val="Reference"/>
        <w:jc w:val="both"/>
        <w:rPr>
          <w:rFonts w:cs="Times New Roman"/>
          <w:sz w:val="22"/>
        </w:rPr>
      </w:pPr>
      <w:r w:rsidRPr="002B62AB">
        <w:rPr>
          <w:rFonts w:cs="Times New Roman"/>
          <w:sz w:val="22"/>
        </w:rPr>
        <w:t xml:space="preserve">Hermes, N., Smid, P. and Yao, L. (2007) 'Capital budgeting practices: a comparative study of the Netherlands and China', International Business Review, 16(5), pp. 630–654. </w:t>
      </w:r>
      <w:hyperlink r:id="rId39">
        <w:r w:rsidRPr="002B62AB">
          <w:rPr>
            <w:rFonts w:cs="Times New Roman"/>
            <w:sz w:val="22"/>
            <w:u w:val="single"/>
          </w:rPr>
          <w:t>https://doi.org/10.1016/j.ibusrev.2007.05.002</w:t>
        </w:r>
      </w:hyperlink>
    </w:p>
    <w:p w14:paraId="116E6A7D" w14:textId="77777777" w:rsidR="00E01AF9" w:rsidRPr="002B62AB" w:rsidRDefault="00504820" w:rsidP="00B314D4">
      <w:pPr>
        <w:pStyle w:val="Reference"/>
        <w:jc w:val="both"/>
        <w:rPr>
          <w:rFonts w:cs="Times New Roman"/>
          <w:sz w:val="22"/>
        </w:rPr>
      </w:pPr>
      <w:r w:rsidRPr="002B62AB">
        <w:rPr>
          <w:rFonts w:cs="Times New Roman"/>
          <w:sz w:val="22"/>
        </w:rPr>
        <w:t xml:space="preserve">ICAEW (n.d.) A to Z of business calculations. Available at: </w:t>
      </w:r>
      <w:hyperlink r:id="rId40">
        <w:r w:rsidRPr="002B62AB">
          <w:rPr>
            <w:rFonts w:cs="Times New Roman"/>
            <w:sz w:val="22"/>
            <w:u w:val="single"/>
          </w:rPr>
          <w:t>https://www.icaew.com/library/library-collection/ebooks/business-calculations</w:t>
        </w:r>
      </w:hyperlink>
    </w:p>
    <w:p w14:paraId="53F80005" w14:textId="77777777" w:rsidR="00E01AF9" w:rsidRPr="002B62AB" w:rsidRDefault="00504820" w:rsidP="00B314D4">
      <w:pPr>
        <w:pStyle w:val="Reference"/>
        <w:jc w:val="both"/>
        <w:rPr>
          <w:rFonts w:cs="Times New Roman"/>
          <w:sz w:val="22"/>
        </w:rPr>
      </w:pPr>
      <w:r w:rsidRPr="002B62AB">
        <w:rPr>
          <w:rFonts w:cs="Times New Roman"/>
          <w:sz w:val="22"/>
        </w:rPr>
        <w:t xml:space="preserve">IFRS Foundation (2024a) IAS 1 Presentation of Financial Statements. Available at: </w:t>
      </w:r>
      <w:hyperlink r:id="rId41">
        <w:r w:rsidRPr="002B62AB">
          <w:rPr>
            <w:rFonts w:cs="Times New Roman"/>
            <w:sz w:val="22"/>
            <w:u w:val="single"/>
          </w:rPr>
          <w:t>https://www.ifrs.org/issued-standards/list-of-standards/ias-1-presentation-of-financial-statements/</w:t>
        </w:r>
      </w:hyperlink>
    </w:p>
    <w:p w14:paraId="6C25AC03" w14:textId="77777777" w:rsidR="00E01AF9" w:rsidRPr="002B62AB" w:rsidRDefault="00504820" w:rsidP="00B314D4">
      <w:pPr>
        <w:pStyle w:val="Reference"/>
        <w:jc w:val="both"/>
        <w:rPr>
          <w:rFonts w:cs="Times New Roman"/>
          <w:sz w:val="22"/>
        </w:rPr>
      </w:pPr>
      <w:r w:rsidRPr="002B62AB">
        <w:rPr>
          <w:rFonts w:cs="Times New Roman"/>
          <w:sz w:val="22"/>
        </w:rPr>
        <w:t xml:space="preserve">IFRS Foundation (2024b) IAS 7 Statement of Cash Flows. Available at: </w:t>
      </w:r>
      <w:hyperlink r:id="rId42">
        <w:r w:rsidRPr="002B62AB">
          <w:rPr>
            <w:rFonts w:cs="Times New Roman"/>
            <w:sz w:val="22"/>
            <w:u w:val="single"/>
          </w:rPr>
          <w:t>https://www.ifrs.org/issued-standards/list-of-standards/ias-7-statement-of-cash-flows/</w:t>
        </w:r>
      </w:hyperlink>
    </w:p>
    <w:p w14:paraId="7C44D404" w14:textId="77777777" w:rsidR="00E01AF9" w:rsidRPr="002B62AB" w:rsidRDefault="00504820" w:rsidP="00B314D4">
      <w:pPr>
        <w:pStyle w:val="Reference"/>
        <w:jc w:val="both"/>
        <w:rPr>
          <w:rFonts w:cs="Times New Roman"/>
          <w:sz w:val="22"/>
        </w:rPr>
      </w:pPr>
      <w:r w:rsidRPr="002B62AB">
        <w:rPr>
          <w:rFonts w:cs="Times New Roman"/>
          <w:sz w:val="22"/>
        </w:rPr>
        <w:t xml:space="preserve">IFRS Foundation (2024c) IAS 36 Impairment of Assets. Available at: </w:t>
      </w:r>
      <w:hyperlink r:id="rId43">
        <w:r w:rsidRPr="002B62AB">
          <w:rPr>
            <w:rFonts w:cs="Times New Roman"/>
            <w:sz w:val="22"/>
            <w:u w:val="single"/>
          </w:rPr>
          <w:t>https://www.ifrs.org/issued-standards/list-of-standards/ias-36-impairment-of-assets/</w:t>
        </w:r>
      </w:hyperlink>
    </w:p>
    <w:p w14:paraId="77869110" w14:textId="77777777" w:rsidR="00E01AF9" w:rsidRPr="002B62AB" w:rsidRDefault="00504820" w:rsidP="00B314D4">
      <w:pPr>
        <w:pStyle w:val="Reference"/>
        <w:jc w:val="both"/>
        <w:rPr>
          <w:rFonts w:cs="Times New Roman"/>
          <w:sz w:val="22"/>
        </w:rPr>
      </w:pPr>
      <w:r w:rsidRPr="002B62AB">
        <w:rPr>
          <w:rFonts w:cs="Times New Roman"/>
          <w:sz w:val="22"/>
        </w:rPr>
        <w:t xml:space="preserve">IFRS Foundation (2024d) IFRS 8 Operating Segments. Available at: </w:t>
      </w:r>
      <w:hyperlink r:id="rId44">
        <w:r w:rsidRPr="002B62AB">
          <w:rPr>
            <w:rFonts w:cs="Times New Roman"/>
            <w:sz w:val="22"/>
            <w:u w:val="single"/>
          </w:rPr>
          <w:t>https://www.ifrs.org/issued-standards/list-of-standards/ifrs-8-operating-segments/</w:t>
        </w:r>
      </w:hyperlink>
    </w:p>
    <w:p w14:paraId="00781D82" w14:textId="77777777" w:rsidR="00E01AF9" w:rsidRPr="002B62AB" w:rsidRDefault="00504820" w:rsidP="00B314D4">
      <w:pPr>
        <w:pStyle w:val="Reference"/>
        <w:jc w:val="both"/>
        <w:rPr>
          <w:rFonts w:cs="Times New Roman"/>
          <w:sz w:val="22"/>
        </w:rPr>
      </w:pPr>
      <w:r w:rsidRPr="002B62AB">
        <w:rPr>
          <w:rFonts w:cs="Times New Roman"/>
          <w:sz w:val="22"/>
        </w:rPr>
        <w:t xml:space="preserve">Jensen, M.C. and Meckling, W.H. (1976) 'Theory of the firm: managerial behaviour, agency costs and ownership structure', Journal of Financial Economics, 3(4), pp. 305–360. </w:t>
      </w:r>
      <w:hyperlink r:id="rId45">
        <w:r w:rsidRPr="002B62AB">
          <w:rPr>
            <w:rFonts w:cs="Times New Roman"/>
            <w:sz w:val="22"/>
            <w:u w:val="single"/>
          </w:rPr>
          <w:t>https://doi.org/10.1016/0304-405X(76)90026-X</w:t>
        </w:r>
      </w:hyperlink>
    </w:p>
    <w:p w14:paraId="1B10C019" w14:textId="77777777" w:rsidR="00E01AF9" w:rsidRPr="002B62AB" w:rsidRDefault="00504820" w:rsidP="00B314D4">
      <w:pPr>
        <w:pStyle w:val="Reference"/>
        <w:jc w:val="both"/>
        <w:rPr>
          <w:rFonts w:cs="Times New Roman"/>
          <w:sz w:val="22"/>
        </w:rPr>
      </w:pPr>
      <w:r w:rsidRPr="002B62AB">
        <w:rPr>
          <w:rFonts w:cs="Times New Roman"/>
          <w:sz w:val="22"/>
        </w:rPr>
        <w:t xml:space="preserve">Kieschnick, R., Laplante, M. and Moussawi, R. (2013) 'Working capital management and shareholders’ wealth', Review of Finance, 17(5), pp. 1827–1852. </w:t>
      </w:r>
      <w:hyperlink r:id="rId46">
        <w:r w:rsidRPr="002B62AB">
          <w:rPr>
            <w:rFonts w:cs="Times New Roman"/>
            <w:sz w:val="22"/>
            <w:u w:val="single"/>
          </w:rPr>
          <w:t>https://doi.org/10.1093/rof/rfs043</w:t>
        </w:r>
      </w:hyperlink>
    </w:p>
    <w:p w14:paraId="6CA63794" w14:textId="77777777" w:rsidR="00E01AF9" w:rsidRPr="002B62AB" w:rsidRDefault="00504820" w:rsidP="00B314D4">
      <w:pPr>
        <w:pStyle w:val="Reference"/>
        <w:jc w:val="both"/>
        <w:rPr>
          <w:rFonts w:cs="Times New Roman"/>
          <w:sz w:val="22"/>
        </w:rPr>
      </w:pPr>
      <w:r w:rsidRPr="002B62AB">
        <w:rPr>
          <w:rFonts w:cs="Times New Roman"/>
          <w:sz w:val="22"/>
        </w:rPr>
        <w:t xml:space="preserve">Myers, S.C. (1984) 'The capital structure puzzle', The Journal of Finance, 39(3), pp. 575–592. </w:t>
      </w:r>
      <w:hyperlink r:id="rId47">
        <w:r w:rsidRPr="002B62AB">
          <w:rPr>
            <w:rFonts w:cs="Times New Roman"/>
            <w:sz w:val="22"/>
            <w:u w:val="single"/>
          </w:rPr>
          <w:t>https://doi.org/10.1111/j.1540-6261.1984.tb03646.x</w:t>
        </w:r>
      </w:hyperlink>
    </w:p>
    <w:p w14:paraId="3FAF0C75" w14:textId="77777777" w:rsidR="00E01AF9" w:rsidRPr="002B62AB" w:rsidRDefault="00504820" w:rsidP="00B314D4">
      <w:pPr>
        <w:pStyle w:val="Reference"/>
        <w:jc w:val="both"/>
        <w:rPr>
          <w:rFonts w:cs="Times New Roman"/>
          <w:sz w:val="22"/>
        </w:rPr>
      </w:pPr>
      <w:r w:rsidRPr="002B62AB">
        <w:rPr>
          <w:rFonts w:cs="Times New Roman"/>
          <w:sz w:val="22"/>
        </w:rPr>
        <w:t xml:space="preserve">Myers, S.C. and Majluf, N.S. (1984) 'Corporate financing and investment decisions when firms have information that investors do not have', Journal of Financial Economics, 13(2), pp. 187–221. </w:t>
      </w:r>
      <w:hyperlink r:id="rId48">
        <w:r w:rsidRPr="002B62AB">
          <w:rPr>
            <w:rFonts w:cs="Times New Roman"/>
            <w:sz w:val="22"/>
            <w:u w:val="single"/>
          </w:rPr>
          <w:t>https://doi.org/10.1016/0304-405X(84)90023-0</w:t>
        </w:r>
      </w:hyperlink>
    </w:p>
    <w:p w14:paraId="397DC516" w14:textId="77777777" w:rsidR="00E01AF9" w:rsidRPr="002B62AB" w:rsidRDefault="00504820" w:rsidP="00B314D4">
      <w:pPr>
        <w:pStyle w:val="Reference"/>
        <w:jc w:val="both"/>
        <w:rPr>
          <w:rFonts w:cs="Times New Roman"/>
          <w:sz w:val="22"/>
        </w:rPr>
      </w:pPr>
      <w:r w:rsidRPr="002B62AB">
        <w:rPr>
          <w:rFonts w:cs="Times New Roman"/>
          <w:sz w:val="22"/>
        </w:rPr>
        <w:t xml:space="preserve">Nissim, D. and Penman, S.H. (2001) 'Ratio analysis and equity valuation: from research to practice', Review of Accounting Studies, 6, pp. 109–154. </w:t>
      </w:r>
      <w:hyperlink r:id="rId49">
        <w:r w:rsidRPr="002B62AB">
          <w:rPr>
            <w:rFonts w:cs="Times New Roman"/>
            <w:sz w:val="22"/>
            <w:u w:val="single"/>
          </w:rPr>
          <w:t>https://doi.org/10.1023/A:1011338221623</w:t>
        </w:r>
      </w:hyperlink>
    </w:p>
    <w:p w14:paraId="28FEBC01" w14:textId="77777777" w:rsidR="00E01AF9" w:rsidRPr="002B62AB" w:rsidRDefault="00504820" w:rsidP="00B314D4">
      <w:pPr>
        <w:pStyle w:val="Reference"/>
        <w:jc w:val="both"/>
        <w:rPr>
          <w:rFonts w:cs="Times New Roman"/>
          <w:sz w:val="22"/>
        </w:rPr>
      </w:pPr>
      <w:r w:rsidRPr="002B62AB">
        <w:rPr>
          <w:rFonts w:cs="Times New Roman"/>
          <w:sz w:val="22"/>
        </w:rPr>
        <w:lastRenderedPageBreak/>
        <w:t xml:space="preserve">OECD (2024) OECD Digital Economy Outlook 2024 (Volume 1): Embracing the Technology Frontier. Paris: OECD Publishing. </w:t>
      </w:r>
      <w:hyperlink r:id="rId50">
        <w:r w:rsidRPr="002B62AB">
          <w:rPr>
            <w:rFonts w:cs="Times New Roman"/>
            <w:sz w:val="22"/>
            <w:u w:val="single"/>
          </w:rPr>
          <w:t>https://doi.org/10.1787/a1689dc5-en</w:t>
        </w:r>
      </w:hyperlink>
    </w:p>
    <w:p w14:paraId="4F7F3220" w14:textId="77777777" w:rsidR="00E01AF9" w:rsidRPr="002B62AB" w:rsidRDefault="00504820" w:rsidP="00B314D4">
      <w:pPr>
        <w:pStyle w:val="Reference"/>
        <w:jc w:val="both"/>
        <w:rPr>
          <w:rFonts w:cs="Times New Roman"/>
          <w:sz w:val="22"/>
        </w:rPr>
      </w:pPr>
      <w:r w:rsidRPr="002B62AB">
        <w:rPr>
          <w:rFonts w:cs="Times New Roman"/>
          <w:sz w:val="22"/>
        </w:rPr>
        <w:t xml:space="preserve">Ofcom (2024) Communications Market Report 2024. Available at: </w:t>
      </w:r>
      <w:hyperlink r:id="rId51">
        <w:r w:rsidRPr="002B62AB">
          <w:rPr>
            <w:rFonts w:cs="Times New Roman"/>
            <w:sz w:val="22"/>
            <w:u w:val="single"/>
          </w:rPr>
          <w:t>https://www.ofcom.org.uk/siteassets/resources/documents/research-and-data/multi-sector/cmr/cmr24/communications-market-report-2024.pdf</w:t>
        </w:r>
      </w:hyperlink>
    </w:p>
    <w:p w14:paraId="5DB2E591" w14:textId="77777777" w:rsidR="00E01AF9" w:rsidRPr="002B62AB" w:rsidRDefault="00504820" w:rsidP="00B314D4">
      <w:pPr>
        <w:pStyle w:val="Reference"/>
        <w:jc w:val="both"/>
        <w:rPr>
          <w:rFonts w:cs="Times New Roman"/>
          <w:sz w:val="22"/>
        </w:rPr>
      </w:pPr>
      <w:r w:rsidRPr="002B62AB">
        <w:rPr>
          <w:rFonts w:cs="Times New Roman"/>
          <w:sz w:val="22"/>
        </w:rPr>
        <w:t xml:space="preserve">Ofcom (2025) Connected Nations 2025: UK report. Available at: </w:t>
      </w:r>
      <w:hyperlink r:id="rId52">
        <w:r w:rsidRPr="002B62AB">
          <w:rPr>
            <w:rFonts w:cs="Times New Roman"/>
            <w:sz w:val="22"/>
            <w:u w:val="single"/>
          </w:rPr>
          <w:t>https://www.ofcom.org.uk/siteassets/resources/documents/research-and-data/multi-sector/infrastructure-research/connected-nations-2025/connected-nations-uk-report-2025.pdf</w:t>
        </w:r>
      </w:hyperlink>
    </w:p>
    <w:p w14:paraId="331DD3C1" w14:textId="77777777" w:rsidR="00E01AF9" w:rsidRPr="002B62AB" w:rsidRDefault="00504820" w:rsidP="00B314D4">
      <w:pPr>
        <w:pStyle w:val="Reference"/>
        <w:jc w:val="both"/>
        <w:rPr>
          <w:rFonts w:cs="Times New Roman"/>
          <w:sz w:val="22"/>
        </w:rPr>
      </w:pPr>
      <w:r w:rsidRPr="002B62AB">
        <w:rPr>
          <w:rFonts w:cs="Times New Roman"/>
          <w:sz w:val="22"/>
        </w:rPr>
        <w:t xml:space="preserve">Ohlson, J.A. (1980) 'Financial ratios and the probabilistic prediction of bankruptcy', Journal of Accounting Research, 18(1), pp. 109–131. </w:t>
      </w:r>
      <w:hyperlink r:id="rId53">
        <w:r w:rsidRPr="002B62AB">
          <w:rPr>
            <w:rFonts w:cs="Times New Roman"/>
            <w:sz w:val="22"/>
            <w:u w:val="single"/>
          </w:rPr>
          <w:t>https://doi.org/10.2307/2490395</w:t>
        </w:r>
      </w:hyperlink>
    </w:p>
    <w:p w14:paraId="1A51520E" w14:textId="77777777" w:rsidR="00E01AF9" w:rsidRPr="002B62AB" w:rsidRDefault="00504820" w:rsidP="00B314D4">
      <w:pPr>
        <w:pStyle w:val="Reference"/>
        <w:jc w:val="both"/>
        <w:rPr>
          <w:rFonts w:cs="Times New Roman"/>
          <w:sz w:val="22"/>
        </w:rPr>
      </w:pPr>
      <w:r w:rsidRPr="002B62AB">
        <w:rPr>
          <w:rFonts w:cs="Times New Roman"/>
          <w:sz w:val="22"/>
        </w:rPr>
        <w:t xml:space="preserve">Pike, R.H. (1996) 'A longitudinal survey on capital budgeting practices', Journal of Business Finance &amp; Accounting, 23(1), pp. 79–92. </w:t>
      </w:r>
      <w:hyperlink r:id="rId54">
        <w:r w:rsidRPr="002B62AB">
          <w:rPr>
            <w:rFonts w:cs="Times New Roman"/>
            <w:sz w:val="22"/>
            <w:u w:val="single"/>
          </w:rPr>
          <w:t>https://doi.org/10.1111/j.1468-5957.1996.tb00403.x</w:t>
        </w:r>
      </w:hyperlink>
    </w:p>
    <w:p w14:paraId="3CC5ACBE" w14:textId="77777777" w:rsidR="00E01AF9" w:rsidRPr="002B62AB" w:rsidRDefault="00504820" w:rsidP="00B314D4">
      <w:pPr>
        <w:pStyle w:val="Reference"/>
        <w:jc w:val="both"/>
        <w:rPr>
          <w:rFonts w:cs="Times New Roman"/>
          <w:sz w:val="22"/>
        </w:rPr>
      </w:pPr>
      <w:r w:rsidRPr="002B62AB">
        <w:rPr>
          <w:rFonts w:cs="Times New Roman"/>
          <w:sz w:val="22"/>
        </w:rPr>
        <w:t xml:space="preserve">Sandahl, G. and Sjögren, S. (2003) 'Capital budgeting methods among Sweden's largest groups of companies', International Journal of Production Economics, 84(1), pp. 51–69. </w:t>
      </w:r>
      <w:hyperlink r:id="rId55">
        <w:r w:rsidRPr="002B62AB">
          <w:rPr>
            <w:rFonts w:cs="Times New Roman"/>
            <w:sz w:val="22"/>
            <w:u w:val="single"/>
          </w:rPr>
          <w:t>https://doi.org/10.1016/S0925-5273(02)00379-1</w:t>
        </w:r>
      </w:hyperlink>
    </w:p>
    <w:p w14:paraId="0680BDB5" w14:textId="77777777" w:rsidR="00E01AF9" w:rsidRPr="002B62AB" w:rsidRDefault="00504820" w:rsidP="00B314D4">
      <w:pPr>
        <w:pStyle w:val="Reference"/>
        <w:jc w:val="both"/>
        <w:rPr>
          <w:rFonts w:cs="Times New Roman"/>
          <w:sz w:val="22"/>
        </w:rPr>
      </w:pPr>
      <w:r w:rsidRPr="002B62AB">
        <w:rPr>
          <w:rFonts w:cs="Times New Roman"/>
          <w:sz w:val="22"/>
        </w:rPr>
        <w:t xml:space="preserve">Siziba, S. and Hall, J.H. (2021) 'The evolution of the application of capital budgeting techniques in enterprises', Global Finance Journal, 47, 100504. </w:t>
      </w:r>
      <w:hyperlink r:id="rId56">
        <w:r w:rsidRPr="002B62AB">
          <w:rPr>
            <w:rFonts w:cs="Times New Roman"/>
            <w:sz w:val="22"/>
            <w:u w:val="single"/>
          </w:rPr>
          <w:t>https://doi.org/10.1016/j.gfj.2019.100504</w:t>
        </w:r>
      </w:hyperlink>
    </w:p>
    <w:p w14:paraId="13FA8393" w14:textId="77777777" w:rsidR="00E01AF9" w:rsidRPr="002B62AB" w:rsidRDefault="00504820" w:rsidP="00B314D4">
      <w:pPr>
        <w:pStyle w:val="Reference"/>
        <w:jc w:val="both"/>
        <w:rPr>
          <w:rFonts w:cs="Times New Roman"/>
          <w:sz w:val="22"/>
        </w:rPr>
      </w:pPr>
      <w:r w:rsidRPr="002B62AB">
        <w:rPr>
          <w:rFonts w:cs="Times New Roman"/>
          <w:sz w:val="22"/>
        </w:rPr>
        <w:t xml:space="preserve">Truong, G., Partington, G. and Peat, M. (2008) 'Cost-of-capital estimation and capital-budgeting practice in Australia', Australian Journal of Management, 33(1), pp. 95–121. </w:t>
      </w:r>
      <w:hyperlink r:id="rId57">
        <w:r w:rsidRPr="002B62AB">
          <w:rPr>
            <w:rFonts w:cs="Times New Roman"/>
            <w:sz w:val="22"/>
            <w:u w:val="single"/>
          </w:rPr>
          <w:t>https://doi.org/10.1177/031289620803300106</w:t>
        </w:r>
      </w:hyperlink>
    </w:p>
    <w:p w14:paraId="0C96686F" w14:textId="77777777" w:rsidR="00E01AF9" w:rsidRPr="002B62AB" w:rsidRDefault="00504820" w:rsidP="00B314D4">
      <w:pPr>
        <w:pStyle w:val="Reference"/>
        <w:jc w:val="both"/>
        <w:rPr>
          <w:rFonts w:cs="Times New Roman"/>
          <w:sz w:val="22"/>
        </w:rPr>
      </w:pPr>
      <w:r w:rsidRPr="002B62AB">
        <w:rPr>
          <w:rFonts w:cs="Times New Roman"/>
          <w:sz w:val="22"/>
        </w:rPr>
        <w:t xml:space="preserve">UK Government (2025a) Corporation Tax rates and allowances. Available at: </w:t>
      </w:r>
      <w:hyperlink r:id="rId58">
        <w:r w:rsidRPr="002B62AB">
          <w:rPr>
            <w:rFonts w:cs="Times New Roman"/>
            <w:sz w:val="22"/>
            <w:u w:val="single"/>
          </w:rPr>
          <w:t>https://www.gov.uk/government/publications/rates-and-allowances-corporation-tax/rates-and-allowances-corporation-tax</w:t>
        </w:r>
      </w:hyperlink>
    </w:p>
    <w:p w14:paraId="01312F7D" w14:textId="77777777" w:rsidR="00E01AF9" w:rsidRPr="002B62AB" w:rsidRDefault="00504820" w:rsidP="00B314D4">
      <w:pPr>
        <w:pStyle w:val="Reference"/>
        <w:jc w:val="both"/>
        <w:rPr>
          <w:rFonts w:cs="Times New Roman"/>
          <w:sz w:val="22"/>
        </w:rPr>
      </w:pPr>
      <w:r w:rsidRPr="002B62AB">
        <w:rPr>
          <w:rFonts w:cs="Times New Roman"/>
          <w:sz w:val="22"/>
        </w:rPr>
        <w:t xml:space="preserve">UK Government (2025b) Claim capital allowances: overview. Available at: </w:t>
      </w:r>
      <w:hyperlink r:id="rId59">
        <w:r w:rsidRPr="002B62AB">
          <w:rPr>
            <w:rFonts w:cs="Times New Roman"/>
            <w:sz w:val="22"/>
            <w:u w:val="single"/>
          </w:rPr>
          <w:t>https://www.gov.uk/capital-allowances</w:t>
        </w:r>
      </w:hyperlink>
    </w:p>
    <w:p w14:paraId="56F7749F" w14:textId="77777777" w:rsidR="00E01AF9" w:rsidRPr="002B62AB" w:rsidRDefault="00504820" w:rsidP="00B314D4">
      <w:pPr>
        <w:pStyle w:val="Reference"/>
        <w:jc w:val="both"/>
        <w:rPr>
          <w:rFonts w:cs="Times New Roman"/>
          <w:sz w:val="22"/>
        </w:rPr>
      </w:pPr>
      <w:r w:rsidRPr="002B62AB">
        <w:rPr>
          <w:rFonts w:cs="Times New Roman"/>
          <w:sz w:val="22"/>
        </w:rPr>
        <w:t xml:space="preserve">UK Government (2025c) Finance and support for your business. Available at: </w:t>
      </w:r>
      <w:hyperlink r:id="rId60">
        <w:r w:rsidRPr="002B62AB">
          <w:rPr>
            <w:rFonts w:cs="Times New Roman"/>
            <w:sz w:val="22"/>
            <w:u w:val="single"/>
          </w:rPr>
          <w:t>https://www.gov.uk/business-finance-support</w:t>
        </w:r>
      </w:hyperlink>
    </w:p>
    <w:p w14:paraId="6E41EA07" w14:textId="77777777" w:rsidR="00E01AF9" w:rsidRPr="002B62AB" w:rsidRDefault="00504820" w:rsidP="00B314D4">
      <w:pPr>
        <w:pStyle w:val="Reference"/>
        <w:jc w:val="both"/>
        <w:rPr>
          <w:rFonts w:cs="Times New Roman"/>
          <w:sz w:val="22"/>
        </w:rPr>
      </w:pPr>
      <w:r w:rsidRPr="002B62AB">
        <w:rPr>
          <w:rFonts w:cs="Times New Roman"/>
          <w:sz w:val="22"/>
        </w:rPr>
        <w:t xml:space="preserve">Vodafone Group Plc (2024) Annual Report 2024. Available at: </w:t>
      </w:r>
      <w:hyperlink r:id="rId61">
        <w:r w:rsidRPr="002B62AB">
          <w:rPr>
            <w:rFonts w:cs="Times New Roman"/>
            <w:sz w:val="22"/>
            <w:u w:val="single"/>
          </w:rPr>
          <w:t>https://reports.investors.vodafone.com/view/197179846</w:t>
        </w:r>
      </w:hyperlink>
    </w:p>
    <w:p w14:paraId="71BBF3EB" w14:textId="77777777" w:rsidR="00E01AF9" w:rsidRPr="002B62AB" w:rsidRDefault="00504820" w:rsidP="00B314D4">
      <w:pPr>
        <w:pStyle w:val="Reference"/>
        <w:jc w:val="both"/>
        <w:rPr>
          <w:rFonts w:cs="Times New Roman"/>
          <w:sz w:val="22"/>
        </w:rPr>
      </w:pPr>
      <w:r w:rsidRPr="002B62AB">
        <w:rPr>
          <w:rFonts w:cs="Times New Roman"/>
          <w:sz w:val="22"/>
        </w:rPr>
        <w:t xml:space="preserve">Vodafone Group Plc (2025a) Annual Report 2025. Available at: </w:t>
      </w:r>
      <w:hyperlink r:id="rId62">
        <w:r w:rsidRPr="002B62AB">
          <w:rPr>
            <w:rFonts w:cs="Times New Roman"/>
            <w:sz w:val="22"/>
            <w:u w:val="single"/>
          </w:rPr>
          <w:t>https://reports.investors.vodafone.com/view/897876789</w:t>
        </w:r>
      </w:hyperlink>
    </w:p>
    <w:p w14:paraId="5289756E" w14:textId="77777777" w:rsidR="00E01AF9" w:rsidRPr="002B62AB" w:rsidRDefault="00504820" w:rsidP="00B314D4">
      <w:pPr>
        <w:pStyle w:val="Reference"/>
        <w:jc w:val="both"/>
        <w:rPr>
          <w:rFonts w:cs="Times New Roman"/>
          <w:sz w:val="22"/>
        </w:rPr>
      </w:pPr>
      <w:r w:rsidRPr="002B62AB">
        <w:rPr>
          <w:rFonts w:cs="Times New Roman"/>
          <w:sz w:val="22"/>
        </w:rPr>
        <w:t xml:space="preserve">Vodafone Group Plc (2025b) FY25 Results Announcement. Available at: </w:t>
      </w:r>
      <w:hyperlink r:id="rId63">
        <w:r w:rsidRPr="002B62AB">
          <w:rPr>
            <w:rFonts w:cs="Times New Roman"/>
            <w:sz w:val="22"/>
            <w:u w:val="single"/>
          </w:rPr>
          <w:t>https://investors.vodafone.com/~/media/Files/V/Vodafone-IR/documents/performance/financial-results/2025/vodafone-fy25-results-announcement.pdf</w:t>
        </w:r>
      </w:hyperlink>
    </w:p>
    <w:p w14:paraId="7E6AEEEC" w14:textId="77777777" w:rsidR="00E01AF9" w:rsidRPr="002B62AB" w:rsidRDefault="00504820" w:rsidP="00B314D4">
      <w:pPr>
        <w:pStyle w:val="Reference"/>
        <w:jc w:val="both"/>
        <w:rPr>
          <w:rFonts w:cs="Times New Roman"/>
          <w:sz w:val="22"/>
        </w:rPr>
      </w:pPr>
      <w:r w:rsidRPr="002B62AB">
        <w:rPr>
          <w:rFonts w:cs="Times New Roman"/>
          <w:sz w:val="22"/>
        </w:rPr>
        <w:t xml:space="preserve">Vodafone Group Plc (2025c) ESG Addendum 2025. Available at: </w:t>
      </w:r>
      <w:hyperlink r:id="rId64">
        <w:r w:rsidRPr="002B62AB">
          <w:rPr>
            <w:rFonts w:cs="Times New Roman"/>
            <w:sz w:val="22"/>
            <w:u w:val="single"/>
          </w:rPr>
          <w:t>https://investors.vodafone.com/esg/esg-reporting/esg-addendum</w:t>
        </w:r>
      </w:hyperlink>
    </w:p>
    <w:p w14:paraId="675CDE80" w14:textId="77777777" w:rsidR="00E01AF9" w:rsidRPr="002B62AB" w:rsidRDefault="00504820" w:rsidP="00B314D4">
      <w:pPr>
        <w:rPr>
          <w:rFonts w:cs="Times New Roman"/>
          <w:color w:val="auto"/>
        </w:rPr>
      </w:pPr>
      <w:r w:rsidRPr="002B62AB">
        <w:rPr>
          <w:rFonts w:cs="Times New Roman"/>
          <w:color w:val="auto"/>
        </w:rPr>
        <w:br w:type="page"/>
      </w:r>
    </w:p>
    <w:p w14:paraId="70D0BD9F" w14:textId="77777777" w:rsidR="00E01AF9" w:rsidRPr="00AD295A" w:rsidRDefault="00504820" w:rsidP="00B314D4">
      <w:pPr>
        <w:pStyle w:val="Heading1"/>
        <w:rPr>
          <w:rFonts w:ascii="Times New Roman" w:hAnsi="Times New Roman" w:cs="Times New Roman"/>
          <w:color w:val="auto"/>
        </w:rPr>
      </w:pPr>
      <w:bookmarkStart w:id="24" w:name="_Toc236861493"/>
      <w:r w:rsidRPr="00AD295A">
        <w:rPr>
          <w:rFonts w:ascii="Times New Roman" w:hAnsi="Times New Roman" w:cs="Times New Roman"/>
          <w:color w:val="auto"/>
        </w:rPr>
        <w:lastRenderedPageBreak/>
        <w:t>Appendix A — Vodafone financial statement extracts</w:t>
      </w:r>
      <w:bookmarkEnd w:id="24"/>
    </w:p>
    <w:p w14:paraId="0DC33C70" w14:textId="15D68C47" w:rsidR="00AD295A" w:rsidRPr="00AD295A" w:rsidRDefault="00AD295A">
      <w:pPr>
        <w:pStyle w:val="Reference"/>
        <w:rPr>
          <w:rFonts w:cs="Times New Roman"/>
        </w:rPr>
      </w:pPr>
      <w:r w:rsidRPr="00AD295A">
        <w:rPr>
          <w:rFonts w:cs="Times New Roman"/>
          <w:noProof/>
        </w:rPr>
        <w:drawing>
          <wp:inline distT="0" distB="0" distL="0" distR="0" wp14:anchorId="46CDE087" wp14:editId="2A05EB01">
            <wp:extent cx="2850698" cy="2552369"/>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852999" cy="2554429"/>
                    </a:xfrm>
                    <a:prstGeom prst="rect">
                      <a:avLst/>
                    </a:prstGeom>
                  </pic:spPr>
                </pic:pic>
              </a:graphicData>
            </a:graphic>
          </wp:inline>
        </w:drawing>
      </w:r>
    </w:p>
    <w:p w14:paraId="62D029FA" w14:textId="5C0196E5" w:rsidR="00AD295A" w:rsidRPr="00AD295A" w:rsidRDefault="00AD295A">
      <w:pPr>
        <w:pStyle w:val="Reference"/>
        <w:rPr>
          <w:rFonts w:cs="Times New Roman"/>
        </w:rPr>
      </w:pPr>
      <w:r w:rsidRPr="00AD295A">
        <w:rPr>
          <w:rFonts w:cs="Times New Roman"/>
          <w:noProof/>
        </w:rPr>
        <w:drawing>
          <wp:inline distT="0" distB="0" distL="0" distR="0" wp14:anchorId="5DDBF6F3" wp14:editId="7E3896E4">
            <wp:extent cx="2738577" cy="2107096"/>
            <wp:effectExtent l="0" t="0" r="508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740613" cy="2108663"/>
                    </a:xfrm>
                    <a:prstGeom prst="rect">
                      <a:avLst/>
                    </a:prstGeom>
                  </pic:spPr>
                </pic:pic>
              </a:graphicData>
            </a:graphic>
          </wp:inline>
        </w:drawing>
      </w:r>
    </w:p>
    <w:p w14:paraId="4406C8F3" w14:textId="5C2CD40B" w:rsidR="00AD295A" w:rsidRPr="00AD295A" w:rsidRDefault="00AD295A">
      <w:pPr>
        <w:pStyle w:val="Reference"/>
        <w:rPr>
          <w:rFonts w:cs="Times New Roman"/>
        </w:rPr>
      </w:pPr>
      <w:r w:rsidRPr="00AD295A">
        <w:rPr>
          <w:rFonts w:cs="Times New Roman"/>
          <w:noProof/>
        </w:rPr>
        <w:drawing>
          <wp:inline distT="0" distB="0" distL="0" distR="0" wp14:anchorId="3ECF8483" wp14:editId="219AC13E">
            <wp:extent cx="2169964" cy="2735249"/>
            <wp:effectExtent l="0" t="0" r="190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172278" cy="2738166"/>
                    </a:xfrm>
                    <a:prstGeom prst="rect">
                      <a:avLst/>
                    </a:prstGeom>
                  </pic:spPr>
                </pic:pic>
              </a:graphicData>
            </a:graphic>
          </wp:inline>
        </w:drawing>
      </w:r>
    </w:p>
    <w:p w14:paraId="09405686" w14:textId="2E981354" w:rsidR="00AD295A" w:rsidRPr="00AD295A" w:rsidRDefault="00AD295A">
      <w:pPr>
        <w:pStyle w:val="Reference"/>
        <w:rPr>
          <w:rFonts w:cs="Times New Roman"/>
        </w:rPr>
      </w:pPr>
      <w:r w:rsidRPr="00AD295A">
        <w:rPr>
          <w:rFonts w:cs="Times New Roman"/>
          <w:noProof/>
        </w:rPr>
        <w:lastRenderedPageBreak/>
        <w:drawing>
          <wp:inline distT="0" distB="0" distL="0" distR="0" wp14:anchorId="1B2A375D" wp14:editId="59F421D9">
            <wp:extent cx="1569268" cy="2170706"/>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575986" cy="2179998"/>
                    </a:xfrm>
                    <a:prstGeom prst="rect">
                      <a:avLst/>
                    </a:prstGeom>
                  </pic:spPr>
                </pic:pic>
              </a:graphicData>
            </a:graphic>
          </wp:inline>
        </w:drawing>
      </w:r>
    </w:p>
    <w:p w14:paraId="47164516" w14:textId="75D52A43" w:rsidR="00E01AF9" w:rsidRPr="00AD295A" w:rsidRDefault="00504820">
      <w:pPr>
        <w:pStyle w:val="Reference"/>
        <w:rPr>
          <w:rFonts w:cs="Times New Roman"/>
        </w:rPr>
      </w:pPr>
      <w:r w:rsidRPr="00AD295A">
        <w:rPr>
          <w:rFonts w:cs="Times New Roman"/>
        </w:rPr>
        <w:t xml:space="preserve">Official 2025 Annual Report: </w:t>
      </w:r>
      <w:hyperlink r:id="rId69">
        <w:r w:rsidRPr="00AD295A">
          <w:rPr>
            <w:rFonts w:cs="Times New Roman"/>
            <w:u w:val="single"/>
          </w:rPr>
          <w:t>https://reports.investors.vodafone.com/view/897876789</w:t>
        </w:r>
      </w:hyperlink>
    </w:p>
    <w:p w14:paraId="3C653A81" w14:textId="77777777" w:rsidR="00E01AF9" w:rsidRPr="00AD295A" w:rsidRDefault="00504820">
      <w:pPr>
        <w:pStyle w:val="Reference"/>
        <w:rPr>
          <w:rFonts w:cs="Times New Roman"/>
        </w:rPr>
      </w:pPr>
      <w:r w:rsidRPr="00AD295A">
        <w:rPr>
          <w:rFonts w:cs="Times New Roman"/>
        </w:rPr>
        <w:t xml:space="preserve">Official 2024 Annual Report: </w:t>
      </w:r>
      <w:hyperlink r:id="rId70">
        <w:r w:rsidRPr="00AD295A">
          <w:rPr>
            <w:rFonts w:cs="Times New Roman"/>
            <w:u w:val="single"/>
          </w:rPr>
          <w:t>https://reports.investors.vodafone.com/view/197179846</w:t>
        </w:r>
      </w:hyperlink>
    </w:p>
    <w:p w14:paraId="128234B8" w14:textId="77777777" w:rsidR="00E01AF9" w:rsidRPr="00AD295A" w:rsidRDefault="00504820">
      <w:pPr>
        <w:rPr>
          <w:rFonts w:cs="Times New Roman"/>
          <w:color w:val="auto"/>
        </w:rPr>
      </w:pPr>
      <w:r w:rsidRPr="00AD295A">
        <w:rPr>
          <w:rFonts w:cs="Times New Roman"/>
          <w:color w:val="auto"/>
        </w:rPr>
        <w:br w:type="page"/>
      </w:r>
    </w:p>
    <w:p w14:paraId="282D1FC2" w14:textId="77777777" w:rsidR="00E01AF9" w:rsidRPr="00AD295A" w:rsidRDefault="00504820" w:rsidP="00AD295A">
      <w:pPr>
        <w:pStyle w:val="Heading1"/>
        <w:rPr>
          <w:rFonts w:ascii="Times New Roman" w:hAnsi="Times New Roman" w:cs="Times New Roman"/>
          <w:color w:val="auto"/>
        </w:rPr>
      </w:pPr>
      <w:bookmarkStart w:id="25" w:name="_Toc236861494"/>
      <w:r w:rsidRPr="00AD295A">
        <w:rPr>
          <w:rFonts w:ascii="Times New Roman" w:hAnsi="Times New Roman" w:cs="Times New Roman"/>
          <w:color w:val="auto"/>
        </w:rPr>
        <w:lastRenderedPageBreak/>
        <w:t>Appendix B — Vodafone ratio calculations</w:t>
      </w:r>
      <w:bookmarkEnd w:id="25"/>
    </w:p>
    <w:p w14:paraId="66280FB2" w14:textId="77777777" w:rsidR="00E01AF9" w:rsidRPr="00AD295A" w:rsidRDefault="00504820">
      <w:pPr>
        <w:rPr>
          <w:rFonts w:cs="Times New Roman"/>
          <w:color w:val="auto"/>
        </w:rPr>
      </w:pPr>
      <w:r w:rsidRPr="00AD295A">
        <w:rPr>
          <w:rFonts w:cs="Times New Roman"/>
          <w:color w:val="auto"/>
        </w:rPr>
        <w:t>Closing balance-sheet amounts are used for ROCE, ROE and turnover ratios because the assignment compares two reported years and the submitted source matrix contains those closing amounts. This is a disclosed limitation; average balances may produce different results.</w:t>
      </w:r>
    </w:p>
    <w:tbl>
      <w:tblPr>
        <w:tblStyle w:val="TableGrid"/>
        <w:tblW w:w="0" w:type="auto"/>
        <w:tblLayout w:type="fixed"/>
        <w:tblLook w:val="04A0" w:firstRow="1" w:lastRow="0" w:firstColumn="1" w:lastColumn="0" w:noHBand="0" w:noVBand="1"/>
      </w:tblPr>
      <w:tblGrid>
        <w:gridCol w:w="2381"/>
        <w:gridCol w:w="3345"/>
        <w:gridCol w:w="3345"/>
      </w:tblGrid>
      <w:tr w:rsidR="00AD295A" w:rsidRPr="00AD295A" w14:paraId="6FA9811C" w14:textId="77777777" w:rsidTr="00AD295A">
        <w:tc>
          <w:tcPr>
            <w:tcW w:w="2381" w:type="dxa"/>
          </w:tcPr>
          <w:p w14:paraId="29EEFEA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rPr>
              <w:t>Ratio</w:t>
            </w:r>
          </w:p>
        </w:tc>
        <w:tc>
          <w:tcPr>
            <w:tcW w:w="3345" w:type="dxa"/>
          </w:tcPr>
          <w:p w14:paraId="50ACF29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rPr>
              <w:t>FY2024 calculation</w:t>
            </w:r>
          </w:p>
        </w:tc>
        <w:tc>
          <w:tcPr>
            <w:tcW w:w="3345" w:type="dxa"/>
          </w:tcPr>
          <w:p w14:paraId="15E43A9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rPr>
              <w:t>FY2025 calculation</w:t>
            </w:r>
          </w:p>
        </w:tc>
      </w:tr>
      <w:tr w:rsidR="00AD295A" w:rsidRPr="00AD295A" w14:paraId="2E430FAF" w14:textId="77777777" w:rsidTr="00AD295A">
        <w:tc>
          <w:tcPr>
            <w:tcW w:w="2381" w:type="dxa"/>
          </w:tcPr>
          <w:p w14:paraId="54CAF47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Gross margin</w:t>
            </w:r>
          </w:p>
        </w:tc>
        <w:tc>
          <w:tcPr>
            <w:tcW w:w="3345" w:type="dxa"/>
          </w:tcPr>
          <w:p w14:paraId="0911B5F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12,258 ÷ 36,717 × 100 = 33.39%</w:t>
            </w:r>
          </w:p>
        </w:tc>
        <w:tc>
          <w:tcPr>
            <w:tcW w:w="3345" w:type="dxa"/>
          </w:tcPr>
          <w:p w14:paraId="077F008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12,519 ÷ 37,448 × 100 = 33.43%</w:t>
            </w:r>
          </w:p>
        </w:tc>
      </w:tr>
      <w:tr w:rsidR="00AD295A" w:rsidRPr="00AD295A" w14:paraId="455B90E3" w14:textId="77777777" w:rsidTr="00AD295A">
        <w:tc>
          <w:tcPr>
            <w:tcW w:w="2381" w:type="dxa"/>
          </w:tcPr>
          <w:p w14:paraId="5DBD769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Operating margin</w:t>
            </w:r>
          </w:p>
        </w:tc>
        <w:tc>
          <w:tcPr>
            <w:tcW w:w="3345" w:type="dxa"/>
          </w:tcPr>
          <w:p w14:paraId="487BDD7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3,665 ÷ 36,717 × 100 = 9.98%</w:t>
            </w:r>
          </w:p>
        </w:tc>
        <w:tc>
          <w:tcPr>
            <w:tcW w:w="3345" w:type="dxa"/>
          </w:tcPr>
          <w:p w14:paraId="52EC112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−411 ÷ 37,448 × 100 = −1.10%</w:t>
            </w:r>
          </w:p>
        </w:tc>
      </w:tr>
      <w:tr w:rsidR="00AD295A" w:rsidRPr="00AD295A" w14:paraId="580B637A" w14:textId="77777777" w:rsidTr="00AD295A">
        <w:tc>
          <w:tcPr>
            <w:tcW w:w="2381" w:type="dxa"/>
          </w:tcPr>
          <w:p w14:paraId="64D22E6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ROCE</w:t>
            </w:r>
          </w:p>
        </w:tc>
        <w:tc>
          <w:tcPr>
            <w:tcW w:w="3345" w:type="dxa"/>
          </w:tcPr>
          <w:p w14:paraId="6E4A17E0" w14:textId="410D3CD9" w:rsidR="00E01AF9" w:rsidRPr="00AD295A" w:rsidRDefault="00504820">
            <w:pPr>
              <w:pStyle w:val="TableText"/>
              <w:rPr>
                <w:rFonts w:ascii="Times New Roman" w:hAnsi="Times New Roman" w:cs="Times New Roman"/>
              </w:rPr>
            </w:pPr>
            <w:r w:rsidRPr="00AD295A">
              <w:rPr>
                <w:rFonts w:ascii="Times New Roman" w:hAnsi="Times New Roman" w:cs="Times New Roman"/>
              </w:rPr>
              <w:t xml:space="preserve">3,665 ÷ </w:t>
            </w:r>
            <w:r w:rsidR="00272570" w:rsidRPr="00AD295A">
              <w:rPr>
                <w:rFonts w:ascii="Times New Roman" w:hAnsi="Times New Roman" w:cs="Times New Roman"/>
              </w:rPr>
              <w:t xml:space="preserve">107,771 </w:t>
            </w:r>
            <w:r w:rsidRPr="00AD295A">
              <w:rPr>
                <w:rFonts w:ascii="Times New Roman" w:hAnsi="Times New Roman" w:cs="Times New Roman"/>
              </w:rPr>
              <w:t>× 100 = 3.</w:t>
            </w:r>
            <w:r w:rsidR="00272570" w:rsidRPr="00AD295A">
              <w:rPr>
                <w:rFonts w:ascii="Times New Roman" w:hAnsi="Times New Roman" w:cs="Times New Roman"/>
              </w:rPr>
              <w:t>40</w:t>
            </w:r>
            <w:r w:rsidRPr="00AD295A">
              <w:rPr>
                <w:rFonts w:ascii="Times New Roman" w:hAnsi="Times New Roman" w:cs="Times New Roman"/>
              </w:rPr>
              <w:t>%</w:t>
            </w:r>
          </w:p>
        </w:tc>
        <w:tc>
          <w:tcPr>
            <w:tcW w:w="3345" w:type="dxa"/>
          </w:tcPr>
          <w:p w14:paraId="2B82E802" w14:textId="6D1866AC" w:rsidR="00E01AF9" w:rsidRPr="00AD295A" w:rsidRDefault="00504820">
            <w:pPr>
              <w:pStyle w:val="TableText"/>
              <w:rPr>
                <w:rFonts w:ascii="Times New Roman" w:hAnsi="Times New Roman" w:cs="Times New Roman"/>
              </w:rPr>
            </w:pPr>
            <w:r w:rsidRPr="00AD295A">
              <w:rPr>
                <w:rFonts w:ascii="Times New Roman" w:hAnsi="Times New Roman" w:cs="Times New Roman"/>
              </w:rPr>
              <w:t xml:space="preserve">−411 ÷ </w:t>
            </w:r>
            <w:r w:rsidR="00272570" w:rsidRPr="00AD295A">
              <w:rPr>
                <w:rFonts w:ascii="Times New Roman" w:hAnsi="Times New Roman" w:cs="Times New Roman"/>
              </w:rPr>
              <w:t>95,898</w:t>
            </w:r>
            <w:r w:rsidRPr="00AD295A">
              <w:rPr>
                <w:rFonts w:ascii="Times New Roman" w:hAnsi="Times New Roman" w:cs="Times New Roman"/>
              </w:rPr>
              <w:t>× 100 = −0.</w:t>
            </w:r>
            <w:r w:rsidR="00272570" w:rsidRPr="00AD295A">
              <w:rPr>
                <w:rFonts w:ascii="Times New Roman" w:hAnsi="Times New Roman" w:cs="Times New Roman"/>
              </w:rPr>
              <w:t>4</w:t>
            </w:r>
            <w:r w:rsidRPr="00AD295A">
              <w:rPr>
                <w:rFonts w:ascii="Times New Roman" w:hAnsi="Times New Roman" w:cs="Times New Roman"/>
              </w:rPr>
              <w:t>%</w:t>
            </w:r>
          </w:p>
        </w:tc>
      </w:tr>
      <w:tr w:rsidR="00AD295A" w:rsidRPr="00AD295A" w14:paraId="78C96776" w14:textId="77777777" w:rsidTr="00AD295A">
        <w:tc>
          <w:tcPr>
            <w:tcW w:w="2381" w:type="dxa"/>
          </w:tcPr>
          <w:p w14:paraId="47F4157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ROE</w:t>
            </w:r>
          </w:p>
        </w:tc>
        <w:tc>
          <w:tcPr>
            <w:tcW w:w="3345" w:type="dxa"/>
          </w:tcPr>
          <w:p w14:paraId="79E931E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1,505 ÷ 60,998 × 100 = 2.47%</w:t>
            </w:r>
          </w:p>
        </w:tc>
        <w:tc>
          <w:tcPr>
            <w:tcW w:w="3345" w:type="dxa"/>
          </w:tcPr>
          <w:p w14:paraId="022C4E6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−3,746 ÷ 53,916 × 100 = −6.95%</w:t>
            </w:r>
          </w:p>
        </w:tc>
      </w:tr>
      <w:tr w:rsidR="00AD295A" w:rsidRPr="00AD295A" w14:paraId="08F131DD" w14:textId="77777777" w:rsidTr="00AD295A">
        <w:tc>
          <w:tcPr>
            <w:tcW w:w="2381" w:type="dxa"/>
          </w:tcPr>
          <w:p w14:paraId="61931F1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Current ratio</w:t>
            </w:r>
          </w:p>
        </w:tc>
        <w:tc>
          <w:tcPr>
            <w:tcW w:w="3345" w:type="dxa"/>
          </w:tcPr>
          <w:p w14:paraId="641CA49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20,513 ÷ 22,352 = 0.92</w:t>
            </w:r>
          </w:p>
        </w:tc>
        <w:tc>
          <w:tcPr>
            <w:tcW w:w="3345" w:type="dxa"/>
          </w:tcPr>
          <w:p w14:paraId="39E45DD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28,620 ÷ 22,754 = 1.26</w:t>
            </w:r>
          </w:p>
        </w:tc>
      </w:tr>
      <w:tr w:rsidR="00AD295A" w:rsidRPr="00AD295A" w14:paraId="651E504D" w14:textId="77777777" w:rsidTr="00AD295A">
        <w:tc>
          <w:tcPr>
            <w:tcW w:w="2381" w:type="dxa"/>
          </w:tcPr>
          <w:p w14:paraId="2812B19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Quick ratio</w:t>
            </w:r>
          </w:p>
        </w:tc>
        <w:tc>
          <w:tcPr>
            <w:tcW w:w="3345" w:type="dxa"/>
          </w:tcPr>
          <w:p w14:paraId="7032F00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(20,513 − 568) ÷ 22,352 = 0.89</w:t>
            </w:r>
          </w:p>
        </w:tc>
        <w:tc>
          <w:tcPr>
            <w:tcW w:w="3345" w:type="dxa"/>
          </w:tcPr>
          <w:p w14:paraId="6D2FFD8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(28,620 − 617) ÷ 22,754 = 1.23</w:t>
            </w:r>
          </w:p>
        </w:tc>
      </w:tr>
      <w:tr w:rsidR="00AD295A" w:rsidRPr="00AD295A" w14:paraId="1AA03C4E" w14:textId="77777777" w:rsidTr="00AD295A">
        <w:tc>
          <w:tcPr>
            <w:tcW w:w="2381" w:type="dxa"/>
          </w:tcPr>
          <w:p w14:paraId="56FB8A9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Debt to equity</w:t>
            </w:r>
          </w:p>
        </w:tc>
        <w:tc>
          <w:tcPr>
            <w:tcW w:w="3345" w:type="dxa"/>
          </w:tcPr>
          <w:p w14:paraId="0B009CE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56,987 ÷ 60,998 × 100 = 93.42%</w:t>
            </w:r>
          </w:p>
        </w:tc>
        <w:tc>
          <w:tcPr>
            <w:tcW w:w="3345" w:type="dxa"/>
          </w:tcPr>
          <w:p w14:paraId="3190C9F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53,143 ÷ 53,916 × 100 = 98.57%</w:t>
            </w:r>
          </w:p>
        </w:tc>
      </w:tr>
      <w:tr w:rsidR="00AD295A" w:rsidRPr="00AD295A" w14:paraId="6FEB3617" w14:textId="77777777" w:rsidTr="00AD295A">
        <w:tc>
          <w:tcPr>
            <w:tcW w:w="2381" w:type="dxa"/>
          </w:tcPr>
          <w:p w14:paraId="10364BB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Inventory turnover</w:t>
            </w:r>
          </w:p>
        </w:tc>
        <w:tc>
          <w:tcPr>
            <w:tcW w:w="3345" w:type="dxa"/>
          </w:tcPr>
          <w:p w14:paraId="0E02602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24,459 ÷ 568 = 43.06x</w:t>
            </w:r>
          </w:p>
        </w:tc>
        <w:tc>
          <w:tcPr>
            <w:tcW w:w="3345" w:type="dxa"/>
          </w:tcPr>
          <w:p w14:paraId="0C2E868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24,929 ÷ 617 = 40.40x</w:t>
            </w:r>
          </w:p>
        </w:tc>
      </w:tr>
      <w:tr w:rsidR="00AD295A" w:rsidRPr="00AD295A" w14:paraId="2030FAC1" w14:textId="77777777" w:rsidTr="00AD295A">
        <w:tc>
          <w:tcPr>
            <w:tcW w:w="2381" w:type="dxa"/>
          </w:tcPr>
          <w:p w14:paraId="2D86FCC7" w14:textId="77777777" w:rsidR="00E01AF9" w:rsidRPr="00AD295A" w:rsidRDefault="00504820">
            <w:pPr>
              <w:pStyle w:val="TableText"/>
              <w:rPr>
                <w:rFonts w:ascii="Times New Roman" w:hAnsi="Times New Roman" w:cs="Times New Roman"/>
              </w:rPr>
            </w:pPr>
            <w:proofErr w:type="gramStart"/>
            <w:r w:rsidRPr="00AD295A">
              <w:rPr>
                <w:rFonts w:ascii="Times New Roman" w:hAnsi="Times New Roman" w:cs="Times New Roman"/>
              </w:rPr>
              <w:t>Receivables</w:t>
            </w:r>
            <w:proofErr w:type="gramEnd"/>
            <w:r w:rsidRPr="00AD295A">
              <w:rPr>
                <w:rFonts w:ascii="Times New Roman" w:hAnsi="Times New Roman" w:cs="Times New Roman"/>
              </w:rPr>
              <w:t xml:space="preserve"> turnover</w:t>
            </w:r>
          </w:p>
        </w:tc>
        <w:tc>
          <w:tcPr>
            <w:tcW w:w="3345" w:type="dxa"/>
          </w:tcPr>
          <w:p w14:paraId="2E9C31D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36,717 ÷ 8,594 = 4.27x</w:t>
            </w:r>
          </w:p>
        </w:tc>
        <w:tc>
          <w:tcPr>
            <w:tcW w:w="3345" w:type="dxa"/>
          </w:tcPr>
          <w:p w14:paraId="3930CCE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37,448 ÷ 9,404 = 3.98x</w:t>
            </w:r>
          </w:p>
        </w:tc>
      </w:tr>
      <w:tr w:rsidR="00AD295A" w:rsidRPr="00AD295A" w14:paraId="058B1698" w14:textId="77777777" w:rsidTr="00AD295A">
        <w:tc>
          <w:tcPr>
            <w:tcW w:w="2381" w:type="dxa"/>
          </w:tcPr>
          <w:p w14:paraId="1210933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Basic EPS</w:t>
            </w:r>
          </w:p>
        </w:tc>
        <w:tc>
          <w:tcPr>
            <w:tcW w:w="3345" w:type="dxa"/>
          </w:tcPr>
          <w:p w14:paraId="20ED257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Annual report = 4.45c</w:t>
            </w:r>
          </w:p>
        </w:tc>
        <w:tc>
          <w:tcPr>
            <w:tcW w:w="3345" w:type="dxa"/>
          </w:tcPr>
          <w:p w14:paraId="44C2F05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Annual report = −15.86c</w:t>
            </w:r>
          </w:p>
        </w:tc>
      </w:tr>
      <w:tr w:rsidR="00AD295A" w:rsidRPr="00AD295A" w14:paraId="09556245" w14:textId="77777777" w:rsidTr="00AD295A">
        <w:tc>
          <w:tcPr>
            <w:tcW w:w="2381" w:type="dxa"/>
          </w:tcPr>
          <w:p w14:paraId="43EE88A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Dividend per share</w:t>
            </w:r>
          </w:p>
        </w:tc>
        <w:tc>
          <w:tcPr>
            <w:tcW w:w="3345" w:type="dxa"/>
          </w:tcPr>
          <w:p w14:paraId="30FD5AC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Annual report = 9.00c</w:t>
            </w:r>
          </w:p>
        </w:tc>
        <w:tc>
          <w:tcPr>
            <w:tcW w:w="3345" w:type="dxa"/>
          </w:tcPr>
          <w:p w14:paraId="0290D55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Annual report = 4.50c</w:t>
            </w:r>
          </w:p>
        </w:tc>
      </w:tr>
      <w:tr w:rsidR="00AD295A" w:rsidRPr="00AD295A" w14:paraId="03726DC7" w14:textId="77777777" w:rsidTr="00AD295A">
        <w:tc>
          <w:tcPr>
            <w:tcW w:w="2381" w:type="dxa"/>
          </w:tcPr>
          <w:p w14:paraId="2BA7A79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Adjusted dividend cover</w:t>
            </w:r>
          </w:p>
        </w:tc>
        <w:tc>
          <w:tcPr>
            <w:tcW w:w="3345" w:type="dxa"/>
          </w:tcPr>
          <w:p w14:paraId="59D62BD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7.47 ÷ 9.00 = 0.83x</w:t>
            </w:r>
          </w:p>
        </w:tc>
        <w:tc>
          <w:tcPr>
            <w:tcW w:w="3345" w:type="dxa"/>
          </w:tcPr>
          <w:p w14:paraId="085D6ED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rPr>
              <w:t>7.87 ÷ 4.50 = 1.75x</w:t>
            </w:r>
          </w:p>
        </w:tc>
      </w:tr>
    </w:tbl>
    <w:p w14:paraId="57EA10D5" w14:textId="77777777" w:rsidR="00E01AF9" w:rsidRPr="00A93E1E" w:rsidRDefault="00504820">
      <w:pPr>
        <w:pStyle w:val="CaptionAcademic"/>
        <w:rPr>
          <w:rFonts w:ascii="Times New Roman" w:hAnsi="Times New Roman" w:cs="Times New Roman"/>
          <w:i w:val="0"/>
          <w:iCs/>
          <w:color w:val="auto"/>
        </w:rPr>
      </w:pPr>
      <w:r w:rsidRPr="00A93E1E">
        <w:rPr>
          <w:rFonts w:ascii="Times New Roman" w:hAnsi="Times New Roman" w:cs="Times New Roman"/>
          <w:i w:val="0"/>
          <w:iCs/>
          <w:color w:val="auto"/>
        </w:rPr>
        <w:t>Table B1. Formula substitution and calculated ratios. Minor differences may arise from rounding.</w:t>
      </w:r>
    </w:p>
    <w:p w14:paraId="4994954B" w14:textId="77777777" w:rsidR="00E01AF9" w:rsidRPr="00AD295A" w:rsidRDefault="00504820">
      <w:pPr>
        <w:rPr>
          <w:rFonts w:cs="Times New Roman"/>
          <w:color w:val="auto"/>
        </w:rPr>
      </w:pPr>
      <w:r w:rsidRPr="00AD295A">
        <w:rPr>
          <w:rFonts w:cs="Times New Roman"/>
          <w:color w:val="auto"/>
        </w:rPr>
        <w:br w:type="page"/>
      </w:r>
    </w:p>
    <w:p w14:paraId="643036E2" w14:textId="77777777" w:rsidR="00E01AF9" w:rsidRPr="00AD295A" w:rsidRDefault="00504820" w:rsidP="00AD295A">
      <w:pPr>
        <w:pStyle w:val="Heading1"/>
        <w:rPr>
          <w:rFonts w:ascii="Times New Roman" w:hAnsi="Times New Roman" w:cs="Times New Roman"/>
          <w:color w:val="auto"/>
        </w:rPr>
      </w:pPr>
      <w:bookmarkStart w:id="26" w:name="_Toc236861495"/>
      <w:r w:rsidRPr="00AD295A">
        <w:rPr>
          <w:rFonts w:ascii="Times New Roman" w:hAnsi="Times New Roman" w:cs="Times New Roman"/>
          <w:color w:val="auto"/>
        </w:rPr>
        <w:lastRenderedPageBreak/>
        <w:t>Appendix C — Beard Plc investment appraisal workings</w:t>
      </w:r>
      <w:bookmarkEnd w:id="26"/>
    </w:p>
    <w:p w14:paraId="28B677BC" w14:textId="77777777" w:rsidR="00E01AF9" w:rsidRPr="00AD295A" w:rsidRDefault="00504820" w:rsidP="00AD295A">
      <w:pPr>
        <w:pStyle w:val="Heading1"/>
        <w:rPr>
          <w:rFonts w:ascii="Times New Roman" w:hAnsi="Times New Roman" w:cs="Times New Roman"/>
          <w:color w:val="auto"/>
        </w:rPr>
      </w:pPr>
      <w:bookmarkStart w:id="27" w:name="_Toc236861496"/>
      <w:r w:rsidRPr="00AD295A">
        <w:rPr>
          <w:rFonts w:ascii="Times New Roman" w:hAnsi="Times New Roman" w:cs="Times New Roman"/>
          <w:color w:val="auto"/>
        </w:rPr>
        <w:t>C1. Brief data and annual capital allowances</w:t>
      </w:r>
      <w:bookmarkEnd w:id="27"/>
    </w:p>
    <w:tbl>
      <w:tblPr>
        <w:tblStyle w:val="TableGrid"/>
        <w:tblW w:w="0" w:type="auto"/>
        <w:tblLayout w:type="fixed"/>
        <w:tblLook w:val="04A0" w:firstRow="1" w:lastRow="0" w:firstColumn="1" w:lastColumn="0" w:noHBand="0" w:noVBand="1"/>
      </w:tblPr>
      <w:tblGrid>
        <w:gridCol w:w="2381"/>
        <w:gridCol w:w="1191"/>
        <w:gridCol w:w="879"/>
        <w:gridCol w:w="879"/>
        <w:gridCol w:w="879"/>
        <w:gridCol w:w="879"/>
        <w:gridCol w:w="1417"/>
      </w:tblGrid>
      <w:tr w:rsidR="00AD295A" w:rsidRPr="00AD295A" w14:paraId="5CABFFCF" w14:textId="77777777" w:rsidTr="00AD295A">
        <w:tc>
          <w:tcPr>
            <w:tcW w:w="2381" w:type="dxa"/>
          </w:tcPr>
          <w:p w14:paraId="7B1C35E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Option</w:t>
            </w:r>
          </w:p>
        </w:tc>
        <w:tc>
          <w:tcPr>
            <w:tcW w:w="1191" w:type="dxa"/>
          </w:tcPr>
          <w:p w14:paraId="044C80C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Initial (£000)</w:t>
            </w:r>
          </w:p>
        </w:tc>
        <w:tc>
          <w:tcPr>
            <w:tcW w:w="879" w:type="dxa"/>
          </w:tcPr>
          <w:p w14:paraId="05F57CC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Y1</w:t>
            </w:r>
          </w:p>
        </w:tc>
        <w:tc>
          <w:tcPr>
            <w:tcW w:w="879" w:type="dxa"/>
          </w:tcPr>
          <w:p w14:paraId="35BFDAD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Y2</w:t>
            </w:r>
          </w:p>
        </w:tc>
        <w:tc>
          <w:tcPr>
            <w:tcW w:w="879" w:type="dxa"/>
          </w:tcPr>
          <w:p w14:paraId="1C3C5FE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Y3</w:t>
            </w:r>
          </w:p>
        </w:tc>
        <w:tc>
          <w:tcPr>
            <w:tcW w:w="879" w:type="dxa"/>
          </w:tcPr>
          <w:p w14:paraId="5338C27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Y4</w:t>
            </w:r>
          </w:p>
        </w:tc>
        <w:tc>
          <w:tcPr>
            <w:tcW w:w="1417" w:type="dxa"/>
          </w:tcPr>
          <w:p w14:paraId="43883D7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CA p.a. (£000)</w:t>
            </w:r>
          </w:p>
        </w:tc>
      </w:tr>
      <w:tr w:rsidR="00AD295A" w:rsidRPr="00AD295A" w14:paraId="1D819E95" w14:textId="77777777" w:rsidTr="00AD295A">
        <w:tc>
          <w:tcPr>
            <w:tcW w:w="2381" w:type="dxa"/>
          </w:tcPr>
          <w:p w14:paraId="4D819DC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A – retail outlet expansion</w:t>
            </w:r>
          </w:p>
        </w:tc>
        <w:tc>
          <w:tcPr>
            <w:tcW w:w="1191" w:type="dxa"/>
          </w:tcPr>
          <w:p w14:paraId="008E1B7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600</w:t>
            </w:r>
          </w:p>
        </w:tc>
        <w:tc>
          <w:tcPr>
            <w:tcW w:w="879" w:type="dxa"/>
          </w:tcPr>
          <w:p w14:paraId="66C0144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100</w:t>
            </w:r>
          </w:p>
        </w:tc>
        <w:tc>
          <w:tcPr>
            <w:tcW w:w="879" w:type="dxa"/>
          </w:tcPr>
          <w:p w14:paraId="71D680D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180</w:t>
            </w:r>
          </w:p>
        </w:tc>
        <w:tc>
          <w:tcPr>
            <w:tcW w:w="879" w:type="dxa"/>
          </w:tcPr>
          <w:p w14:paraId="4D18D0D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210</w:t>
            </w:r>
          </w:p>
        </w:tc>
        <w:tc>
          <w:tcPr>
            <w:tcW w:w="879" w:type="dxa"/>
          </w:tcPr>
          <w:p w14:paraId="4C11300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260</w:t>
            </w:r>
          </w:p>
        </w:tc>
        <w:tc>
          <w:tcPr>
            <w:tcW w:w="1417" w:type="dxa"/>
          </w:tcPr>
          <w:p w14:paraId="4A6B9D6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120</w:t>
            </w:r>
          </w:p>
        </w:tc>
      </w:tr>
      <w:tr w:rsidR="00AD295A" w:rsidRPr="00AD295A" w14:paraId="5329A0BD" w14:textId="77777777" w:rsidTr="00AD295A">
        <w:tc>
          <w:tcPr>
            <w:tcW w:w="2381" w:type="dxa"/>
          </w:tcPr>
          <w:p w14:paraId="10AD75C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B – internet sales</w:t>
            </w:r>
          </w:p>
        </w:tc>
        <w:tc>
          <w:tcPr>
            <w:tcW w:w="1191" w:type="dxa"/>
          </w:tcPr>
          <w:p w14:paraId="698BF6E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900</w:t>
            </w:r>
          </w:p>
        </w:tc>
        <w:tc>
          <w:tcPr>
            <w:tcW w:w="879" w:type="dxa"/>
          </w:tcPr>
          <w:p w14:paraId="398B20A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220</w:t>
            </w:r>
          </w:p>
        </w:tc>
        <w:tc>
          <w:tcPr>
            <w:tcW w:w="879" w:type="dxa"/>
          </w:tcPr>
          <w:p w14:paraId="29709DB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270</w:t>
            </w:r>
          </w:p>
        </w:tc>
        <w:tc>
          <w:tcPr>
            <w:tcW w:w="879" w:type="dxa"/>
          </w:tcPr>
          <w:p w14:paraId="605FDA7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350</w:t>
            </w:r>
          </w:p>
        </w:tc>
        <w:tc>
          <w:tcPr>
            <w:tcW w:w="879" w:type="dxa"/>
          </w:tcPr>
          <w:p w14:paraId="584CBE4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400</w:t>
            </w:r>
          </w:p>
        </w:tc>
        <w:tc>
          <w:tcPr>
            <w:tcW w:w="1417" w:type="dxa"/>
          </w:tcPr>
          <w:p w14:paraId="132D7D3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180</w:t>
            </w:r>
          </w:p>
        </w:tc>
      </w:tr>
      <w:tr w:rsidR="00AD295A" w:rsidRPr="00AD295A" w14:paraId="2D024C6E" w14:textId="77777777" w:rsidTr="00AD295A">
        <w:tc>
          <w:tcPr>
            <w:tcW w:w="2381" w:type="dxa"/>
          </w:tcPr>
          <w:p w14:paraId="7F0852D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 – purses and wallets</w:t>
            </w:r>
          </w:p>
        </w:tc>
        <w:tc>
          <w:tcPr>
            <w:tcW w:w="1191" w:type="dxa"/>
          </w:tcPr>
          <w:p w14:paraId="7D5FF12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1,000</w:t>
            </w:r>
          </w:p>
        </w:tc>
        <w:tc>
          <w:tcPr>
            <w:tcW w:w="879" w:type="dxa"/>
          </w:tcPr>
          <w:p w14:paraId="64B4462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250</w:t>
            </w:r>
          </w:p>
        </w:tc>
        <w:tc>
          <w:tcPr>
            <w:tcW w:w="879" w:type="dxa"/>
          </w:tcPr>
          <w:p w14:paraId="72F43B4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310</w:t>
            </w:r>
          </w:p>
        </w:tc>
        <w:tc>
          <w:tcPr>
            <w:tcW w:w="879" w:type="dxa"/>
          </w:tcPr>
          <w:p w14:paraId="1E930F5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400</w:t>
            </w:r>
          </w:p>
        </w:tc>
        <w:tc>
          <w:tcPr>
            <w:tcW w:w="879" w:type="dxa"/>
          </w:tcPr>
          <w:p w14:paraId="0ABFB8C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430</w:t>
            </w:r>
          </w:p>
        </w:tc>
        <w:tc>
          <w:tcPr>
            <w:tcW w:w="1417" w:type="dxa"/>
          </w:tcPr>
          <w:p w14:paraId="7821352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200</w:t>
            </w:r>
          </w:p>
        </w:tc>
      </w:tr>
    </w:tbl>
    <w:p w14:paraId="4C3AD148" w14:textId="77777777" w:rsidR="00E01AF9" w:rsidRPr="00A93E1E" w:rsidRDefault="00504820">
      <w:pPr>
        <w:pStyle w:val="CaptionAcademic"/>
        <w:rPr>
          <w:rFonts w:ascii="Times New Roman" w:hAnsi="Times New Roman" w:cs="Times New Roman"/>
          <w:i w:val="0"/>
          <w:iCs/>
          <w:color w:val="auto"/>
        </w:rPr>
      </w:pPr>
      <w:r w:rsidRPr="00A93E1E">
        <w:rPr>
          <w:rFonts w:ascii="Times New Roman" w:hAnsi="Times New Roman" w:cs="Times New Roman"/>
          <w:i w:val="0"/>
          <w:iCs/>
          <w:color w:val="auto"/>
        </w:rPr>
        <w:t>Table C1. Assignment inputs. Corporation tax is 25%; cost of capital is 5%; cash flows are pre-tax and stated in £000.</w:t>
      </w:r>
    </w:p>
    <w:p w14:paraId="077B8F47" w14:textId="77777777" w:rsidR="00E01AF9" w:rsidRPr="00AD295A" w:rsidRDefault="00504820">
      <w:pPr>
        <w:pStyle w:val="Heading2"/>
        <w:rPr>
          <w:rFonts w:ascii="Times New Roman" w:hAnsi="Times New Roman" w:cs="Times New Roman"/>
          <w:color w:val="auto"/>
        </w:rPr>
      </w:pPr>
      <w:bookmarkStart w:id="28" w:name="_Toc236861497"/>
      <w:r w:rsidRPr="00AD295A">
        <w:rPr>
          <w:rFonts w:ascii="Times New Roman" w:hAnsi="Times New Roman" w:cs="Times New Roman"/>
          <w:color w:val="auto"/>
        </w:rPr>
        <w:t>C2. After-tax cash flows</w:t>
      </w:r>
      <w:bookmarkEnd w:id="28"/>
    </w:p>
    <w:p w14:paraId="2A343B49" w14:textId="77777777" w:rsidR="00E01AF9" w:rsidRPr="00AD295A" w:rsidRDefault="00504820">
      <w:pPr>
        <w:rPr>
          <w:rFonts w:cs="Times New Roman"/>
          <w:color w:val="auto"/>
        </w:rPr>
      </w:pPr>
      <w:r w:rsidRPr="00AD295A">
        <w:rPr>
          <w:rFonts w:cs="Times New Roman"/>
          <w:color w:val="auto"/>
        </w:rPr>
        <w:t>Taxable profit = pre-tax cash flow − capital allowance. Tax = 25% × taxable profit. After-tax cash flow = pre-tax cash flow − tax. A negative tax figure represents immediate relief against other taxable profits, consistent with the stated same-year assumption.</w:t>
      </w:r>
    </w:p>
    <w:tbl>
      <w:tblPr>
        <w:tblStyle w:val="TableGrid"/>
        <w:tblW w:w="0" w:type="auto"/>
        <w:tblLayout w:type="fixed"/>
        <w:tblLook w:val="04A0" w:firstRow="1" w:lastRow="0" w:firstColumn="1" w:lastColumn="0" w:noHBand="0" w:noVBand="1"/>
      </w:tblPr>
      <w:tblGrid>
        <w:gridCol w:w="737"/>
        <w:gridCol w:w="737"/>
        <w:gridCol w:w="1361"/>
        <w:gridCol w:w="1531"/>
        <w:gridCol w:w="1417"/>
        <w:gridCol w:w="1191"/>
        <w:gridCol w:w="1417"/>
      </w:tblGrid>
      <w:tr w:rsidR="00AD295A" w:rsidRPr="00AD295A" w14:paraId="3C012A41" w14:textId="77777777" w:rsidTr="00AD295A">
        <w:tc>
          <w:tcPr>
            <w:tcW w:w="737" w:type="dxa"/>
          </w:tcPr>
          <w:p w14:paraId="30D3249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Option</w:t>
            </w:r>
          </w:p>
        </w:tc>
        <w:tc>
          <w:tcPr>
            <w:tcW w:w="737" w:type="dxa"/>
          </w:tcPr>
          <w:p w14:paraId="2F3013E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Year</w:t>
            </w:r>
          </w:p>
        </w:tc>
        <w:tc>
          <w:tcPr>
            <w:tcW w:w="1361" w:type="dxa"/>
          </w:tcPr>
          <w:p w14:paraId="6278EE6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Pre-tax CF</w:t>
            </w:r>
          </w:p>
        </w:tc>
        <w:tc>
          <w:tcPr>
            <w:tcW w:w="1531" w:type="dxa"/>
          </w:tcPr>
          <w:p w14:paraId="545E723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Capital allowance</w:t>
            </w:r>
          </w:p>
        </w:tc>
        <w:tc>
          <w:tcPr>
            <w:tcW w:w="1417" w:type="dxa"/>
          </w:tcPr>
          <w:p w14:paraId="46511D9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Taxable profit</w:t>
            </w:r>
          </w:p>
        </w:tc>
        <w:tc>
          <w:tcPr>
            <w:tcW w:w="1191" w:type="dxa"/>
          </w:tcPr>
          <w:p w14:paraId="30E93A1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Tax at 25%</w:t>
            </w:r>
          </w:p>
        </w:tc>
        <w:tc>
          <w:tcPr>
            <w:tcW w:w="1417" w:type="dxa"/>
          </w:tcPr>
          <w:p w14:paraId="7E66777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After-tax CF</w:t>
            </w:r>
          </w:p>
        </w:tc>
      </w:tr>
      <w:tr w:rsidR="00AD295A" w:rsidRPr="00AD295A" w14:paraId="0115DC3C" w14:textId="77777777" w:rsidTr="00AD295A">
        <w:tc>
          <w:tcPr>
            <w:tcW w:w="737" w:type="dxa"/>
          </w:tcPr>
          <w:p w14:paraId="13BED15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A</w:t>
            </w:r>
          </w:p>
        </w:tc>
        <w:tc>
          <w:tcPr>
            <w:tcW w:w="737" w:type="dxa"/>
          </w:tcPr>
          <w:p w14:paraId="1A7296C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w:t>
            </w:r>
          </w:p>
        </w:tc>
        <w:tc>
          <w:tcPr>
            <w:tcW w:w="1361" w:type="dxa"/>
          </w:tcPr>
          <w:p w14:paraId="390F40C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100.0</w:t>
            </w:r>
          </w:p>
        </w:tc>
        <w:tc>
          <w:tcPr>
            <w:tcW w:w="1531" w:type="dxa"/>
          </w:tcPr>
          <w:p w14:paraId="193444F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120.0</w:t>
            </w:r>
          </w:p>
        </w:tc>
        <w:tc>
          <w:tcPr>
            <w:tcW w:w="1417" w:type="dxa"/>
          </w:tcPr>
          <w:p w14:paraId="0546A68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(20.0)</w:t>
            </w:r>
          </w:p>
        </w:tc>
        <w:tc>
          <w:tcPr>
            <w:tcW w:w="1191" w:type="dxa"/>
          </w:tcPr>
          <w:p w14:paraId="02703B8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(5.0)</w:t>
            </w:r>
          </w:p>
        </w:tc>
        <w:tc>
          <w:tcPr>
            <w:tcW w:w="1417" w:type="dxa"/>
          </w:tcPr>
          <w:p w14:paraId="26A773E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105.0</w:t>
            </w:r>
          </w:p>
        </w:tc>
      </w:tr>
      <w:tr w:rsidR="00AD295A" w:rsidRPr="00AD295A" w14:paraId="5527E05D" w14:textId="77777777" w:rsidTr="00AD295A">
        <w:tc>
          <w:tcPr>
            <w:tcW w:w="737" w:type="dxa"/>
          </w:tcPr>
          <w:p w14:paraId="3EAE8B3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A</w:t>
            </w:r>
          </w:p>
        </w:tc>
        <w:tc>
          <w:tcPr>
            <w:tcW w:w="737" w:type="dxa"/>
          </w:tcPr>
          <w:p w14:paraId="491F974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w:t>
            </w:r>
          </w:p>
        </w:tc>
        <w:tc>
          <w:tcPr>
            <w:tcW w:w="1361" w:type="dxa"/>
          </w:tcPr>
          <w:p w14:paraId="5BFB12A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180.0</w:t>
            </w:r>
          </w:p>
        </w:tc>
        <w:tc>
          <w:tcPr>
            <w:tcW w:w="1531" w:type="dxa"/>
          </w:tcPr>
          <w:p w14:paraId="4A07495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120.0</w:t>
            </w:r>
          </w:p>
        </w:tc>
        <w:tc>
          <w:tcPr>
            <w:tcW w:w="1417" w:type="dxa"/>
          </w:tcPr>
          <w:p w14:paraId="1494683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60.0</w:t>
            </w:r>
          </w:p>
        </w:tc>
        <w:tc>
          <w:tcPr>
            <w:tcW w:w="1191" w:type="dxa"/>
          </w:tcPr>
          <w:p w14:paraId="1C6DE96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15.0</w:t>
            </w:r>
          </w:p>
        </w:tc>
        <w:tc>
          <w:tcPr>
            <w:tcW w:w="1417" w:type="dxa"/>
          </w:tcPr>
          <w:p w14:paraId="3F9F165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165.0</w:t>
            </w:r>
          </w:p>
        </w:tc>
      </w:tr>
      <w:tr w:rsidR="00AD295A" w:rsidRPr="00AD295A" w14:paraId="355B6E95" w14:textId="77777777" w:rsidTr="00AD295A">
        <w:tc>
          <w:tcPr>
            <w:tcW w:w="737" w:type="dxa"/>
          </w:tcPr>
          <w:p w14:paraId="75D73FC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A</w:t>
            </w:r>
          </w:p>
        </w:tc>
        <w:tc>
          <w:tcPr>
            <w:tcW w:w="737" w:type="dxa"/>
          </w:tcPr>
          <w:p w14:paraId="5DB78A8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w:t>
            </w:r>
          </w:p>
        </w:tc>
        <w:tc>
          <w:tcPr>
            <w:tcW w:w="1361" w:type="dxa"/>
          </w:tcPr>
          <w:p w14:paraId="6549CB4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210.0</w:t>
            </w:r>
          </w:p>
        </w:tc>
        <w:tc>
          <w:tcPr>
            <w:tcW w:w="1531" w:type="dxa"/>
          </w:tcPr>
          <w:p w14:paraId="5B08877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120.0</w:t>
            </w:r>
          </w:p>
        </w:tc>
        <w:tc>
          <w:tcPr>
            <w:tcW w:w="1417" w:type="dxa"/>
          </w:tcPr>
          <w:p w14:paraId="7142835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90.0</w:t>
            </w:r>
          </w:p>
        </w:tc>
        <w:tc>
          <w:tcPr>
            <w:tcW w:w="1191" w:type="dxa"/>
          </w:tcPr>
          <w:p w14:paraId="1FB4FAD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22.5</w:t>
            </w:r>
          </w:p>
        </w:tc>
        <w:tc>
          <w:tcPr>
            <w:tcW w:w="1417" w:type="dxa"/>
          </w:tcPr>
          <w:p w14:paraId="7D07F55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187.5</w:t>
            </w:r>
          </w:p>
        </w:tc>
      </w:tr>
      <w:tr w:rsidR="00AD295A" w:rsidRPr="00AD295A" w14:paraId="10CD63E0" w14:textId="77777777" w:rsidTr="00AD295A">
        <w:tc>
          <w:tcPr>
            <w:tcW w:w="737" w:type="dxa"/>
          </w:tcPr>
          <w:p w14:paraId="0FAE26A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A</w:t>
            </w:r>
          </w:p>
        </w:tc>
        <w:tc>
          <w:tcPr>
            <w:tcW w:w="737" w:type="dxa"/>
          </w:tcPr>
          <w:p w14:paraId="270E2E1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w:t>
            </w:r>
          </w:p>
        </w:tc>
        <w:tc>
          <w:tcPr>
            <w:tcW w:w="1361" w:type="dxa"/>
          </w:tcPr>
          <w:p w14:paraId="660BC6A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260.0</w:t>
            </w:r>
          </w:p>
        </w:tc>
        <w:tc>
          <w:tcPr>
            <w:tcW w:w="1531" w:type="dxa"/>
          </w:tcPr>
          <w:p w14:paraId="6CD0F6B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120.0</w:t>
            </w:r>
          </w:p>
        </w:tc>
        <w:tc>
          <w:tcPr>
            <w:tcW w:w="1417" w:type="dxa"/>
          </w:tcPr>
          <w:p w14:paraId="2796BD7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140.0</w:t>
            </w:r>
          </w:p>
        </w:tc>
        <w:tc>
          <w:tcPr>
            <w:tcW w:w="1191" w:type="dxa"/>
          </w:tcPr>
          <w:p w14:paraId="5CEECA4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35.0</w:t>
            </w:r>
          </w:p>
        </w:tc>
        <w:tc>
          <w:tcPr>
            <w:tcW w:w="1417" w:type="dxa"/>
          </w:tcPr>
          <w:p w14:paraId="4FD3F0E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225.0</w:t>
            </w:r>
          </w:p>
        </w:tc>
      </w:tr>
      <w:tr w:rsidR="00AD295A" w:rsidRPr="00AD295A" w14:paraId="1C99BC1A" w14:textId="77777777" w:rsidTr="00AD295A">
        <w:tc>
          <w:tcPr>
            <w:tcW w:w="737" w:type="dxa"/>
          </w:tcPr>
          <w:p w14:paraId="327D445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B</w:t>
            </w:r>
          </w:p>
        </w:tc>
        <w:tc>
          <w:tcPr>
            <w:tcW w:w="737" w:type="dxa"/>
          </w:tcPr>
          <w:p w14:paraId="0AB2BD4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w:t>
            </w:r>
          </w:p>
        </w:tc>
        <w:tc>
          <w:tcPr>
            <w:tcW w:w="1361" w:type="dxa"/>
          </w:tcPr>
          <w:p w14:paraId="06133AB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220.0</w:t>
            </w:r>
          </w:p>
        </w:tc>
        <w:tc>
          <w:tcPr>
            <w:tcW w:w="1531" w:type="dxa"/>
          </w:tcPr>
          <w:p w14:paraId="2ABF1DC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180.0</w:t>
            </w:r>
          </w:p>
        </w:tc>
        <w:tc>
          <w:tcPr>
            <w:tcW w:w="1417" w:type="dxa"/>
          </w:tcPr>
          <w:p w14:paraId="00E5F26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40.0</w:t>
            </w:r>
          </w:p>
        </w:tc>
        <w:tc>
          <w:tcPr>
            <w:tcW w:w="1191" w:type="dxa"/>
          </w:tcPr>
          <w:p w14:paraId="108FFE4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10.0</w:t>
            </w:r>
          </w:p>
        </w:tc>
        <w:tc>
          <w:tcPr>
            <w:tcW w:w="1417" w:type="dxa"/>
          </w:tcPr>
          <w:p w14:paraId="7F19D1F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210.0</w:t>
            </w:r>
          </w:p>
        </w:tc>
      </w:tr>
      <w:tr w:rsidR="00AD295A" w:rsidRPr="00AD295A" w14:paraId="5B08592C" w14:textId="77777777" w:rsidTr="00AD295A">
        <w:tc>
          <w:tcPr>
            <w:tcW w:w="737" w:type="dxa"/>
          </w:tcPr>
          <w:p w14:paraId="50D203F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B</w:t>
            </w:r>
          </w:p>
        </w:tc>
        <w:tc>
          <w:tcPr>
            <w:tcW w:w="737" w:type="dxa"/>
          </w:tcPr>
          <w:p w14:paraId="23EE0DD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w:t>
            </w:r>
          </w:p>
        </w:tc>
        <w:tc>
          <w:tcPr>
            <w:tcW w:w="1361" w:type="dxa"/>
          </w:tcPr>
          <w:p w14:paraId="7E96C4E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270.0</w:t>
            </w:r>
          </w:p>
        </w:tc>
        <w:tc>
          <w:tcPr>
            <w:tcW w:w="1531" w:type="dxa"/>
          </w:tcPr>
          <w:p w14:paraId="790CC82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180.0</w:t>
            </w:r>
          </w:p>
        </w:tc>
        <w:tc>
          <w:tcPr>
            <w:tcW w:w="1417" w:type="dxa"/>
          </w:tcPr>
          <w:p w14:paraId="7A67724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90.0</w:t>
            </w:r>
          </w:p>
        </w:tc>
        <w:tc>
          <w:tcPr>
            <w:tcW w:w="1191" w:type="dxa"/>
          </w:tcPr>
          <w:p w14:paraId="6D98269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22.5</w:t>
            </w:r>
          </w:p>
        </w:tc>
        <w:tc>
          <w:tcPr>
            <w:tcW w:w="1417" w:type="dxa"/>
          </w:tcPr>
          <w:p w14:paraId="010C96F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247.5</w:t>
            </w:r>
          </w:p>
        </w:tc>
      </w:tr>
      <w:tr w:rsidR="00AD295A" w:rsidRPr="00AD295A" w14:paraId="431BC059" w14:textId="77777777" w:rsidTr="00AD295A">
        <w:tc>
          <w:tcPr>
            <w:tcW w:w="737" w:type="dxa"/>
          </w:tcPr>
          <w:p w14:paraId="6A51C5D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B</w:t>
            </w:r>
          </w:p>
        </w:tc>
        <w:tc>
          <w:tcPr>
            <w:tcW w:w="737" w:type="dxa"/>
          </w:tcPr>
          <w:p w14:paraId="5E200B7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w:t>
            </w:r>
          </w:p>
        </w:tc>
        <w:tc>
          <w:tcPr>
            <w:tcW w:w="1361" w:type="dxa"/>
          </w:tcPr>
          <w:p w14:paraId="0E64DB2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350.0</w:t>
            </w:r>
          </w:p>
        </w:tc>
        <w:tc>
          <w:tcPr>
            <w:tcW w:w="1531" w:type="dxa"/>
          </w:tcPr>
          <w:p w14:paraId="4E392C5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180.0</w:t>
            </w:r>
          </w:p>
        </w:tc>
        <w:tc>
          <w:tcPr>
            <w:tcW w:w="1417" w:type="dxa"/>
          </w:tcPr>
          <w:p w14:paraId="0267853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170.0</w:t>
            </w:r>
          </w:p>
        </w:tc>
        <w:tc>
          <w:tcPr>
            <w:tcW w:w="1191" w:type="dxa"/>
          </w:tcPr>
          <w:p w14:paraId="586D4C0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42.5</w:t>
            </w:r>
          </w:p>
        </w:tc>
        <w:tc>
          <w:tcPr>
            <w:tcW w:w="1417" w:type="dxa"/>
          </w:tcPr>
          <w:p w14:paraId="740A1D8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307.5</w:t>
            </w:r>
          </w:p>
        </w:tc>
      </w:tr>
      <w:tr w:rsidR="00AD295A" w:rsidRPr="00AD295A" w14:paraId="432E577B" w14:textId="77777777" w:rsidTr="00AD295A">
        <w:tc>
          <w:tcPr>
            <w:tcW w:w="737" w:type="dxa"/>
          </w:tcPr>
          <w:p w14:paraId="1AAEFD5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B</w:t>
            </w:r>
          </w:p>
        </w:tc>
        <w:tc>
          <w:tcPr>
            <w:tcW w:w="737" w:type="dxa"/>
          </w:tcPr>
          <w:p w14:paraId="463A82E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w:t>
            </w:r>
          </w:p>
        </w:tc>
        <w:tc>
          <w:tcPr>
            <w:tcW w:w="1361" w:type="dxa"/>
          </w:tcPr>
          <w:p w14:paraId="4DBC682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400.0</w:t>
            </w:r>
          </w:p>
        </w:tc>
        <w:tc>
          <w:tcPr>
            <w:tcW w:w="1531" w:type="dxa"/>
          </w:tcPr>
          <w:p w14:paraId="4FF5702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180.0</w:t>
            </w:r>
          </w:p>
        </w:tc>
        <w:tc>
          <w:tcPr>
            <w:tcW w:w="1417" w:type="dxa"/>
          </w:tcPr>
          <w:p w14:paraId="15DC279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220.0</w:t>
            </w:r>
          </w:p>
        </w:tc>
        <w:tc>
          <w:tcPr>
            <w:tcW w:w="1191" w:type="dxa"/>
          </w:tcPr>
          <w:p w14:paraId="39E69D4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55.0</w:t>
            </w:r>
          </w:p>
        </w:tc>
        <w:tc>
          <w:tcPr>
            <w:tcW w:w="1417" w:type="dxa"/>
          </w:tcPr>
          <w:p w14:paraId="5F2C57B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345.0</w:t>
            </w:r>
          </w:p>
        </w:tc>
      </w:tr>
      <w:tr w:rsidR="00AD295A" w:rsidRPr="00AD295A" w14:paraId="4269178A" w14:textId="77777777" w:rsidTr="00AD295A">
        <w:tc>
          <w:tcPr>
            <w:tcW w:w="737" w:type="dxa"/>
          </w:tcPr>
          <w:p w14:paraId="63DEEC8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w:t>
            </w:r>
          </w:p>
        </w:tc>
        <w:tc>
          <w:tcPr>
            <w:tcW w:w="737" w:type="dxa"/>
          </w:tcPr>
          <w:p w14:paraId="7A244DD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w:t>
            </w:r>
          </w:p>
        </w:tc>
        <w:tc>
          <w:tcPr>
            <w:tcW w:w="1361" w:type="dxa"/>
          </w:tcPr>
          <w:p w14:paraId="5DCAC1F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250.0</w:t>
            </w:r>
          </w:p>
        </w:tc>
        <w:tc>
          <w:tcPr>
            <w:tcW w:w="1531" w:type="dxa"/>
          </w:tcPr>
          <w:p w14:paraId="467FF5A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200.0</w:t>
            </w:r>
          </w:p>
        </w:tc>
        <w:tc>
          <w:tcPr>
            <w:tcW w:w="1417" w:type="dxa"/>
          </w:tcPr>
          <w:p w14:paraId="35FECD3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50.0</w:t>
            </w:r>
          </w:p>
        </w:tc>
        <w:tc>
          <w:tcPr>
            <w:tcW w:w="1191" w:type="dxa"/>
          </w:tcPr>
          <w:p w14:paraId="0B14C6B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12.5</w:t>
            </w:r>
          </w:p>
        </w:tc>
        <w:tc>
          <w:tcPr>
            <w:tcW w:w="1417" w:type="dxa"/>
          </w:tcPr>
          <w:p w14:paraId="3718831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237.5</w:t>
            </w:r>
          </w:p>
        </w:tc>
      </w:tr>
      <w:tr w:rsidR="00AD295A" w:rsidRPr="00AD295A" w14:paraId="6DB35892" w14:textId="77777777" w:rsidTr="00AD295A">
        <w:tc>
          <w:tcPr>
            <w:tcW w:w="737" w:type="dxa"/>
          </w:tcPr>
          <w:p w14:paraId="54B8E65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w:t>
            </w:r>
          </w:p>
        </w:tc>
        <w:tc>
          <w:tcPr>
            <w:tcW w:w="737" w:type="dxa"/>
          </w:tcPr>
          <w:p w14:paraId="5469964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w:t>
            </w:r>
          </w:p>
        </w:tc>
        <w:tc>
          <w:tcPr>
            <w:tcW w:w="1361" w:type="dxa"/>
          </w:tcPr>
          <w:p w14:paraId="71B8347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310.0</w:t>
            </w:r>
          </w:p>
        </w:tc>
        <w:tc>
          <w:tcPr>
            <w:tcW w:w="1531" w:type="dxa"/>
          </w:tcPr>
          <w:p w14:paraId="42C14B9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200.0</w:t>
            </w:r>
          </w:p>
        </w:tc>
        <w:tc>
          <w:tcPr>
            <w:tcW w:w="1417" w:type="dxa"/>
          </w:tcPr>
          <w:p w14:paraId="0C7DA6A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110.0</w:t>
            </w:r>
          </w:p>
        </w:tc>
        <w:tc>
          <w:tcPr>
            <w:tcW w:w="1191" w:type="dxa"/>
          </w:tcPr>
          <w:p w14:paraId="4B6F942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27.5</w:t>
            </w:r>
          </w:p>
        </w:tc>
        <w:tc>
          <w:tcPr>
            <w:tcW w:w="1417" w:type="dxa"/>
          </w:tcPr>
          <w:p w14:paraId="1294B36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282.5</w:t>
            </w:r>
          </w:p>
        </w:tc>
      </w:tr>
      <w:tr w:rsidR="00AD295A" w:rsidRPr="00AD295A" w14:paraId="0463256E" w14:textId="77777777" w:rsidTr="00AD295A">
        <w:tc>
          <w:tcPr>
            <w:tcW w:w="737" w:type="dxa"/>
          </w:tcPr>
          <w:p w14:paraId="1459D74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w:t>
            </w:r>
          </w:p>
        </w:tc>
        <w:tc>
          <w:tcPr>
            <w:tcW w:w="737" w:type="dxa"/>
          </w:tcPr>
          <w:p w14:paraId="55A534A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w:t>
            </w:r>
          </w:p>
        </w:tc>
        <w:tc>
          <w:tcPr>
            <w:tcW w:w="1361" w:type="dxa"/>
          </w:tcPr>
          <w:p w14:paraId="3DE1034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400.0</w:t>
            </w:r>
          </w:p>
        </w:tc>
        <w:tc>
          <w:tcPr>
            <w:tcW w:w="1531" w:type="dxa"/>
          </w:tcPr>
          <w:p w14:paraId="7C472E6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200.0</w:t>
            </w:r>
          </w:p>
        </w:tc>
        <w:tc>
          <w:tcPr>
            <w:tcW w:w="1417" w:type="dxa"/>
          </w:tcPr>
          <w:p w14:paraId="51CD0CE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200.0</w:t>
            </w:r>
          </w:p>
        </w:tc>
        <w:tc>
          <w:tcPr>
            <w:tcW w:w="1191" w:type="dxa"/>
          </w:tcPr>
          <w:p w14:paraId="4275A75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50.0</w:t>
            </w:r>
          </w:p>
        </w:tc>
        <w:tc>
          <w:tcPr>
            <w:tcW w:w="1417" w:type="dxa"/>
          </w:tcPr>
          <w:p w14:paraId="36A21DE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350.0</w:t>
            </w:r>
          </w:p>
        </w:tc>
      </w:tr>
      <w:tr w:rsidR="00AD295A" w:rsidRPr="00AD295A" w14:paraId="5B2D24C0" w14:textId="77777777" w:rsidTr="00AD295A">
        <w:tc>
          <w:tcPr>
            <w:tcW w:w="737" w:type="dxa"/>
          </w:tcPr>
          <w:p w14:paraId="6A9FAB0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w:t>
            </w:r>
          </w:p>
        </w:tc>
        <w:tc>
          <w:tcPr>
            <w:tcW w:w="737" w:type="dxa"/>
          </w:tcPr>
          <w:p w14:paraId="0A70082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w:t>
            </w:r>
          </w:p>
        </w:tc>
        <w:tc>
          <w:tcPr>
            <w:tcW w:w="1361" w:type="dxa"/>
          </w:tcPr>
          <w:p w14:paraId="06F4876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430.0</w:t>
            </w:r>
          </w:p>
        </w:tc>
        <w:tc>
          <w:tcPr>
            <w:tcW w:w="1531" w:type="dxa"/>
          </w:tcPr>
          <w:p w14:paraId="6DFB0A6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200.0</w:t>
            </w:r>
          </w:p>
        </w:tc>
        <w:tc>
          <w:tcPr>
            <w:tcW w:w="1417" w:type="dxa"/>
          </w:tcPr>
          <w:p w14:paraId="52C9F92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230.0</w:t>
            </w:r>
          </w:p>
        </w:tc>
        <w:tc>
          <w:tcPr>
            <w:tcW w:w="1191" w:type="dxa"/>
          </w:tcPr>
          <w:p w14:paraId="2968968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57.5</w:t>
            </w:r>
          </w:p>
        </w:tc>
        <w:tc>
          <w:tcPr>
            <w:tcW w:w="1417" w:type="dxa"/>
          </w:tcPr>
          <w:p w14:paraId="2C6288F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372.5</w:t>
            </w:r>
          </w:p>
        </w:tc>
      </w:tr>
    </w:tbl>
    <w:p w14:paraId="6DE7BC5A" w14:textId="77777777" w:rsidR="00E01AF9" w:rsidRPr="00A93E1E" w:rsidRDefault="00504820">
      <w:pPr>
        <w:pStyle w:val="CaptionAcademic"/>
        <w:rPr>
          <w:rFonts w:ascii="Times New Roman" w:hAnsi="Times New Roman" w:cs="Times New Roman"/>
          <w:i w:val="0"/>
          <w:iCs/>
          <w:color w:val="auto"/>
        </w:rPr>
      </w:pPr>
      <w:r w:rsidRPr="00A93E1E">
        <w:rPr>
          <w:rFonts w:ascii="Times New Roman" w:hAnsi="Times New Roman" w:cs="Times New Roman"/>
          <w:i w:val="0"/>
          <w:iCs/>
          <w:color w:val="auto"/>
        </w:rPr>
        <w:t>Table C2. Beard Plc after-tax project cash flows (£000).</w:t>
      </w:r>
    </w:p>
    <w:p w14:paraId="6E31CA65" w14:textId="77777777" w:rsidR="00E01AF9" w:rsidRPr="00AD295A" w:rsidRDefault="00504820">
      <w:pPr>
        <w:pStyle w:val="Heading2"/>
        <w:rPr>
          <w:rFonts w:ascii="Times New Roman" w:hAnsi="Times New Roman" w:cs="Times New Roman"/>
          <w:color w:val="auto"/>
        </w:rPr>
      </w:pPr>
      <w:bookmarkStart w:id="29" w:name="_Toc236861498"/>
      <w:r w:rsidRPr="00AD295A">
        <w:rPr>
          <w:rFonts w:ascii="Times New Roman" w:hAnsi="Times New Roman" w:cs="Times New Roman"/>
          <w:color w:val="auto"/>
        </w:rPr>
        <w:t>C3. NPV at 5%</w:t>
      </w:r>
      <w:bookmarkEnd w:id="29"/>
    </w:p>
    <w:tbl>
      <w:tblPr>
        <w:tblStyle w:val="TableGrid"/>
        <w:tblW w:w="0" w:type="auto"/>
        <w:tblLayout w:type="fixed"/>
        <w:tblLook w:val="04A0" w:firstRow="1" w:lastRow="0" w:firstColumn="1" w:lastColumn="0" w:noHBand="0" w:noVBand="1"/>
      </w:tblPr>
      <w:tblGrid>
        <w:gridCol w:w="680"/>
        <w:gridCol w:w="1020"/>
        <w:gridCol w:w="1020"/>
        <w:gridCol w:w="1077"/>
        <w:gridCol w:w="1020"/>
        <w:gridCol w:w="1077"/>
        <w:gridCol w:w="1191"/>
        <w:gridCol w:w="1134"/>
      </w:tblGrid>
      <w:tr w:rsidR="00AD295A" w:rsidRPr="00AD295A" w14:paraId="47544073" w14:textId="77777777" w:rsidTr="00AD295A">
        <w:tc>
          <w:tcPr>
            <w:tcW w:w="680" w:type="dxa"/>
          </w:tcPr>
          <w:p w14:paraId="072E6EB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Year</w:t>
            </w:r>
          </w:p>
        </w:tc>
        <w:tc>
          <w:tcPr>
            <w:tcW w:w="1020" w:type="dxa"/>
          </w:tcPr>
          <w:p w14:paraId="1B5A3D3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DF 5%</w:t>
            </w:r>
          </w:p>
        </w:tc>
        <w:tc>
          <w:tcPr>
            <w:tcW w:w="1020" w:type="dxa"/>
          </w:tcPr>
          <w:p w14:paraId="6FEB65E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A CF</w:t>
            </w:r>
          </w:p>
        </w:tc>
        <w:tc>
          <w:tcPr>
            <w:tcW w:w="1077" w:type="dxa"/>
          </w:tcPr>
          <w:p w14:paraId="34B169F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A PV</w:t>
            </w:r>
          </w:p>
        </w:tc>
        <w:tc>
          <w:tcPr>
            <w:tcW w:w="1020" w:type="dxa"/>
          </w:tcPr>
          <w:p w14:paraId="153A3BB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B CF</w:t>
            </w:r>
          </w:p>
        </w:tc>
        <w:tc>
          <w:tcPr>
            <w:tcW w:w="1077" w:type="dxa"/>
          </w:tcPr>
          <w:p w14:paraId="761183F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B PV</w:t>
            </w:r>
          </w:p>
        </w:tc>
        <w:tc>
          <w:tcPr>
            <w:tcW w:w="1191" w:type="dxa"/>
          </w:tcPr>
          <w:p w14:paraId="18FF91B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C CF</w:t>
            </w:r>
          </w:p>
        </w:tc>
        <w:tc>
          <w:tcPr>
            <w:tcW w:w="1134" w:type="dxa"/>
          </w:tcPr>
          <w:p w14:paraId="1F84DE6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C PV</w:t>
            </w:r>
          </w:p>
        </w:tc>
      </w:tr>
      <w:tr w:rsidR="00AD295A" w:rsidRPr="00AD295A" w14:paraId="11E5E6C6" w14:textId="77777777" w:rsidTr="00AD295A">
        <w:tc>
          <w:tcPr>
            <w:tcW w:w="680" w:type="dxa"/>
          </w:tcPr>
          <w:p w14:paraId="0639565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0</w:t>
            </w:r>
          </w:p>
        </w:tc>
        <w:tc>
          <w:tcPr>
            <w:tcW w:w="1020" w:type="dxa"/>
          </w:tcPr>
          <w:p w14:paraId="60B31EC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1.000000</w:t>
            </w:r>
          </w:p>
        </w:tc>
        <w:tc>
          <w:tcPr>
            <w:tcW w:w="1020" w:type="dxa"/>
          </w:tcPr>
          <w:p w14:paraId="52B08ED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(600.0)</w:t>
            </w:r>
          </w:p>
        </w:tc>
        <w:tc>
          <w:tcPr>
            <w:tcW w:w="1077" w:type="dxa"/>
          </w:tcPr>
          <w:p w14:paraId="5A6479B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(600.000)</w:t>
            </w:r>
          </w:p>
        </w:tc>
        <w:tc>
          <w:tcPr>
            <w:tcW w:w="1020" w:type="dxa"/>
          </w:tcPr>
          <w:p w14:paraId="5B9E306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(900.0)</w:t>
            </w:r>
          </w:p>
        </w:tc>
        <w:tc>
          <w:tcPr>
            <w:tcW w:w="1077" w:type="dxa"/>
          </w:tcPr>
          <w:p w14:paraId="5EB2DD5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(900.000)</w:t>
            </w:r>
          </w:p>
        </w:tc>
        <w:tc>
          <w:tcPr>
            <w:tcW w:w="1191" w:type="dxa"/>
          </w:tcPr>
          <w:p w14:paraId="0EE2463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(1,000.0)</w:t>
            </w:r>
          </w:p>
        </w:tc>
        <w:tc>
          <w:tcPr>
            <w:tcW w:w="1134" w:type="dxa"/>
          </w:tcPr>
          <w:p w14:paraId="19ACB69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(1,000.000)</w:t>
            </w:r>
          </w:p>
        </w:tc>
      </w:tr>
      <w:tr w:rsidR="00AD295A" w:rsidRPr="00AD295A" w14:paraId="69AFDAF7" w14:textId="77777777" w:rsidTr="00AD295A">
        <w:tc>
          <w:tcPr>
            <w:tcW w:w="680" w:type="dxa"/>
          </w:tcPr>
          <w:p w14:paraId="3BD2EF9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w:t>
            </w:r>
          </w:p>
        </w:tc>
        <w:tc>
          <w:tcPr>
            <w:tcW w:w="1020" w:type="dxa"/>
          </w:tcPr>
          <w:p w14:paraId="263DDCB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0.952381</w:t>
            </w:r>
          </w:p>
        </w:tc>
        <w:tc>
          <w:tcPr>
            <w:tcW w:w="1020" w:type="dxa"/>
          </w:tcPr>
          <w:p w14:paraId="2E48BA5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105.0</w:t>
            </w:r>
          </w:p>
        </w:tc>
        <w:tc>
          <w:tcPr>
            <w:tcW w:w="1077" w:type="dxa"/>
          </w:tcPr>
          <w:p w14:paraId="3722348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100.000</w:t>
            </w:r>
          </w:p>
        </w:tc>
        <w:tc>
          <w:tcPr>
            <w:tcW w:w="1020" w:type="dxa"/>
          </w:tcPr>
          <w:p w14:paraId="36455E4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210.0</w:t>
            </w:r>
          </w:p>
        </w:tc>
        <w:tc>
          <w:tcPr>
            <w:tcW w:w="1077" w:type="dxa"/>
          </w:tcPr>
          <w:p w14:paraId="1E3FB29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200.000</w:t>
            </w:r>
          </w:p>
        </w:tc>
        <w:tc>
          <w:tcPr>
            <w:tcW w:w="1191" w:type="dxa"/>
          </w:tcPr>
          <w:p w14:paraId="0CB27BE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237.5</w:t>
            </w:r>
          </w:p>
        </w:tc>
        <w:tc>
          <w:tcPr>
            <w:tcW w:w="1134" w:type="dxa"/>
          </w:tcPr>
          <w:p w14:paraId="364755B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226.190</w:t>
            </w:r>
          </w:p>
        </w:tc>
      </w:tr>
      <w:tr w:rsidR="00AD295A" w:rsidRPr="00AD295A" w14:paraId="712902EC" w14:textId="77777777" w:rsidTr="00AD295A">
        <w:tc>
          <w:tcPr>
            <w:tcW w:w="680" w:type="dxa"/>
          </w:tcPr>
          <w:p w14:paraId="1A702A3F"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w:t>
            </w:r>
          </w:p>
        </w:tc>
        <w:tc>
          <w:tcPr>
            <w:tcW w:w="1020" w:type="dxa"/>
          </w:tcPr>
          <w:p w14:paraId="5C1177A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0.907029</w:t>
            </w:r>
          </w:p>
        </w:tc>
        <w:tc>
          <w:tcPr>
            <w:tcW w:w="1020" w:type="dxa"/>
          </w:tcPr>
          <w:p w14:paraId="2528D19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165.0</w:t>
            </w:r>
          </w:p>
        </w:tc>
        <w:tc>
          <w:tcPr>
            <w:tcW w:w="1077" w:type="dxa"/>
          </w:tcPr>
          <w:p w14:paraId="29FD21A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149.660</w:t>
            </w:r>
          </w:p>
        </w:tc>
        <w:tc>
          <w:tcPr>
            <w:tcW w:w="1020" w:type="dxa"/>
          </w:tcPr>
          <w:p w14:paraId="6F00424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247.5</w:t>
            </w:r>
          </w:p>
        </w:tc>
        <w:tc>
          <w:tcPr>
            <w:tcW w:w="1077" w:type="dxa"/>
          </w:tcPr>
          <w:p w14:paraId="77FAA1D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224.490</w:t>
            </w:r>
          </w:p>
        </w:tc>
        <w:tc>
          <w:tcPr>
            <w:tcW w:w="1191" w:type="dxa"/>
          </w:tcPr>
          <w:p w14:paraId="652064A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282.5</w:t>
            </w:r>
          </w:p>
        </w:tc>
        <w:tc>
          <w:tcPr>
            <w:tcW w:w="1134" w:type="dxa"/>
          </w:tcPr>
          <w:p w14:paraId="26C1BAD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256.236</w:t>
            </w:r>
          </w:p>
        </w:tc>
      </w:tr>
      <w:tr w:rsidR="00AD295A" w:rsidRPr="00AD295A" w14:paraId="52A5451B" w14:textId="77777777" w:rsidTr="00AD295A">
        <w:tc>
          <w:tcPr>
            <w:tcW w:w="680" w:type="dxa"/>
          </w:tcPr>
          <w:p w14:paraId="4D62028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3</w:t>
            </w:r>
          </w:p>
        </w:tc>
        <w:tc>
          <w:tcPr>
            <w:tcW w:w="1020" w:type="dxa"/>
          </w:tcPr>
          <w:p w14:paraId="440708E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0.863838</w:t>
            </w:r>
          </w:p>
        </w:tc>
        <w:tc>
          <w:tcPr>
            <w:tcW w:w="1020" w:type="dxa"/>
          </w:tcPr>
          <w:p w14:paraId="5CEE1B7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187.5</w:t>
            </w:r>
          </w:p>
        </w:tc>
        <w:tc>
          <w:tcPr>
            <w:tcW w:w="1077" w:type="dxa"/>
          </w:tcPr>
          <w:p w14:paraId="35A0033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161.970</w:t>
            </w:r>
          </w:p>
        </w:tc>
        <w:tc>
          <w:tcPr>
            <w:tcW w:w="1020" w:type="dxa"/>
          </w:tcPr>
          <w:p w14:paraId="56A71E4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307.5</w:t>
            </w:r>
          </w:p>
        </w:tc>
        <w:tc>
          <w:tcPr>
            <w:tcW w:w="1077" w:type="dxa"/>
          </w:tcPr>
          <w:p w14:paraId="6442765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265.630</w:t>
            </w:r>
          </w:p>
        </w:tc>
        <w:tc>
          <w:tcPr>
            <w:tcW w:w="1191" w:type="dxa"/>
          </w:tcPr>
          <w:p w14:paraId="64C1F56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350.0</w:t>
            </w:r>
          </w:p>
        </w:tc>
        <w:tc>
          <w:tcPr>
            <w:tcW w:w="1134" w:type="dxa"/>
          </w:tcPr>
          <w:p w14:paraId="7FF0C43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302.343</w:t>
            </w:r>
          </w:p>
        </w:tc>
      </w:tr>
      <w:tr w:rsidR="00AD295A" w:rsidRPr="00AD295A" w14:paraId="306E87B5" w14:textId="77777777" w:rsidTr="00AD295A">
        <w:tc>
          <w:tcPr>
            <w:tcW w:w="680" w:type="dxa"/>
          </w:tcPr>
          <w:p w14:paraId="2958FAD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4</w:t>
            </w:r>
          </w:p>
        </w:tc>
        <w:tc>
          <w:tcPr>
            <w:tcW w:w="1020" w:type="dxa"/>
          </w:tcPr>
          <w:p w14:paraId="559C08BC"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0.822702</w:t>
            </w:r>
          </w:p>
        </w:tc>
        <w:tc>
          <w:tcPr>
            <w:tcW w:w="1020" w:type="dxa"/>
          </w:tcPr>
          <w:p w14:paraId="5E07ED1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225.0</w:t>
            </w:r>
          </w:p>
        </w:tc>
        <w:tc>
          <w:tcPr>
            <w:tcW w:w="1077" w:type="dxa"/>
          </w:tcPr>
          <w:p w14:paraId="711F483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185.108</w:t>
            </w:r>
          </w:p>
        </w:tc>
        <w:tc>
          <w:tcPr>
            <w:tcW w:w="1020" w:type="dxa"/>
          </w:tcPr>
          <w:p w14:paraId="582192E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345.0</w:t>
            </w:r>
          </w:p>
        </w:tc>
        <w:tc>
          <w:tcPr>
            <w:tcW w:w="1077" w:type="dxa"/>
          </w:tcPr>
          <w:p w14:paraId="1B0CD78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283.832</w:t>
            </w:r>
          </w:p>
        </w:tc>
        <w:tc>
          <w:tcPr>
            <w:tcW w:w="1191" w:type="dxa"/>
          </w:tcPr>
          <w:p w14:paraId="56B4E6F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372.5</w:t>
            </w:r>
          </w:p>
        </w:tc>
        <w:tc>
          <w:tcPr>
            <w:tcW w:w="1134" w:type="dxa"/>
          </w:tcPr>
          <w:p w14:paraId="750DE09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4"/>
              </w:rPr>
              <w:t>306.457</w:t>
            </w:r>
          </w:p>
        </w:tc>
      </w:tr>
      <w:tr w:rsidR="00AD295A" w:rsidRPr="00AD295A" w14:paraId="083D1351" w14:textId="77777777" w:rsidTr="00AD295A">
        <w:tc>
          <w:tcPr>
            <w:tcW w:w="680" w:type="dxa"/>
          </w:tcPr>
          <w:p w14:paraId="1B58E5B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NPV</w:t>
            </w:r>
          </w:p>
        </w:tc>
        <w:tc>
          <w:tcPr>
            <w:tcW w:w="1020" w:type="dxa"/>
          </w:tcPr>
          <w:p w14:paraId="3C71C22C" w14:textId="77777777" w:rsidR="00E01AF9" w:rsidRPr="00AD295A" w:rsidRDefault="00E01AF9">
            <w:pPr>
              <w:pStyle w:val="TableText"/>
              <w:rPr>
                <w:rFonts w:ascii="Times New Roman" w:hAnsi="Times New Roman" w:cs="Times New Roman"/>
              </w:rPr>
            </w:pPr>
          </w:p>
        </w:tc>
        <w:tc>
          <w:tcPr>
            <w:tcW w:w="1020" w:type="dxa"/>
          </w:tcPr>
          <w:p w14:paraId="7332F543" w14:textId="77777777" w:rsidR="00E01AF9" w:rsidRPr="00AD295A" w:rsidRDefault="00E01AF9">
            <w:pPr>
              <w:pStyle w:val="TableText"/>
              <w:rPr>
                <w:rFonts w:ascii="Times New Roman" w:hAnsi="Times New Roman" w:cs="Times New Roman"/>
              </w:rPr>
            </w:pPr>
          </w:p>
        </w:tc>
        <w:tc>
          <w:tcPr>
            <w:tcW w:w="1077" w:type="dxa"/>
          </w:tcPr>
          <w:p w14:paraId="04F7FF0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(3.263)</w:t>
            </w:r>
          </w:p>
        </w:tc>
        <w:tc>
          <w:tcPr>
            <w:tcW w:w="1020" w:type="dxa"/>
          </w:tcPr>
          <w:p w14:paraId="38FF9AC4" w14:textId="77777777" w:rsidR="00E01AF9" w:rsidRPr="00AD295A" w:rsidRDefault="00E01AF9">
            <w:pPr>
              <w:pStyle w:val="TableText"/>
              <w:rPr>
                <w:rFonts w:ascii="Times New Roman" w:hAnsi="Times New Roman" w:cs="Times New Roman"/>
              </w:rPr>
            </w:pPr>
          </w:p>
        </w:tc>
        <w:tc>
          <w:tcPr>
            <w:tcW w:w="1077" w:type="dxa"/>
          </w:tcPr>
          <w:p w14:paraId="40E1284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73.952</w:t>
            </w:r>
          </w:p>
        </w:tc>
        <w:tc>
          <w:tcPr>
            <w:tcW w:w="1191" w:type="dxa"/>
          </w:tcPr>
          <w:p w14:paraId="18D2BB75" w14:textId="77777777" w:rsidR="00E01AF9" w:rsidRPr="00AD295A" w:rsidRDefault="00E01AF9">
            <w:pPr>
              <w:pStyle w:val="TableText"/>
              <w:rPr>
                <w:rFonts w:ascii="Times New Roman" w:hAnsi="Times New Roman" w:cs="Times New Roman"/>
              </w:rPr>
            </w:pPr>
          </w:p>
        </w:tc>
        <w:tc>
          <w:tcPr>
            <w:tcW w:w="1134" w:type="dxa"/>
          </w:tcPr>
          <w:p w14:paraId="676E298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4"/>
              </w:rPr>
              <w:t>91.226</w:t>
            </w:r>
          </w:p>
        </w:tc>
      </w:tr>
    </w:tbl>
    <w:p w14:paraId="2A1ABF07" w14:textId="77777777" w:rsidR="00E01AF9" w:rsidRPr="00A93E1E" w:rsidRDefault="00504820">
      <w:pPr>
        <w:pStyle w:val="CaptionAcademic"/>
        <w:rPr>
          <w:rFonts w:ascii="Times New Roman" w:hAnsi="Times New Roman" w:cs="Times New Roman"/>
          <w:i w:val="0"/>
          <w:iCs/>
          <w:color w:val="auto"/>
        </w:rPr>
      </w:pPr>
      <w:r w:rsidRPr="00A93E1E">
        <w:rPr>
          <w:rFonts w:ascii="Times New Roman" w:hAnsi="Times New Roman" w:cs="Times New Roman"/>
          <w:i w:val="0"/>
          <w:iCs/>
          <w:color w:val="auto"/>
        </w:rPr>
        <w:t>Table C3. NPV calculation (£000). Discount factors are shown to six decimal places; totals use full precision.</w:t>
      </w:r>
    </w:p>
    <w:p w14:paraId="5F1F36A6" w14:textId="77777777" w:rsidR="00E01AF9" w:rsidRPr="00AD295A" w:rsidRDefault="00504820">
      <w:pPr>
        <w:pStyle w:val="Heading2"/>
        <w:rPr>
          <w:rFonts w:ascii="Times New Roman" w:hAnsi="Times New Roman" w:cs="Times New Roman"/>
          <w:color w:val="auto"/>
        </w:rPr>
      </w:pPr>
      <w:bookmarkStart w:id="30" w:name="_Toc236861499"/>
      <w:r w:rsidRPr="00AD295A">
        <w:rPr>
          <w:rFonts w:ascii="Times New Roman" w:hAnsi="Times New Roman" w:cs="Times New Roman"/>
          <w:color w:val="auto"/>
        </w:rPr>
        <w:t>C4. Approximate IRR of Option C</w:t>
      </w:r>
      <w:bookmarkEnd w:id="30"/>
    </w:p>
    <w:p w14:paraId="4B80669B" w14:textId="77777777" w:rsidR="00E01AF9" w:rsidRPr="00AD295A" w:rsidRDefault="00504820">
      <w:pPr>
        <w:rPr>
          <w:rFonts w:cs="Times New Roman"/>
          <w:color w:val="auto"/>
        </w:rPr>
      </w:pPr>
      <w:r w:rsidRPr="00AD295A">
        <w:rPr>
          <w:rFonts w:cs="Times New Roman"/>
          <w:color w:val="auto"/>
        </w:rPr>
        <w:t>At 8%, Option C NPV = £13.746k. At 9%, Option C NPV = −£10.183k. Interpolated IRR = 8% + [13.746 ÷ (13.746 + 10.183)] × 1% = 8.57%. The direct numerical rate is approximately 8.5699%.</w:t>
      </w:r>
    </w:p>
    <w:p w14:paraId="17ED1C28" w14:textId="77777777" w:rsidR="00E01AF9" w:rsidRPr="00AD295A" w:rsidRDefault="00504820">
      <w:pPr>
        <w:pStyle w:val="Heading2"/>
        <w:rPr>
          <w:rFonts w:ascii="Times New Roman" w:hAnsi="Times New Roman" w:cs="Times New Roman"/>
          <w:color w:val="auto"/>
        </w:rPr>
      </w:pPr>
      <w:bookmarkStart w:id="31" w:name="_Toc236861500"/>
      <w:r w:rsidRPr="00AD295A">
        <w:rPr>
          <w:rFonts w:ascii="Times New Roman" w:hAnsi="Times New Roman" w:cs="Times New Roman"/>
          <w:color w:val="auto"/>
        </w:rPr>
        <w:t>C5. Capital rationing</w:t>
      </w:r>
      <w:bookmarkEnd w:id="31"/>
    </w:p>
    <w:p w14:paraId="7E5DE7D2" w14:textId="77777777" w:rsidR="00E01AF9" w:rsidRPr="00AD295A" w:rsidRDefault="00504820">
      <w:pPr>
        <w:rPr>
          <w:rFonts w:cs="Times New Roman"/>
          <w:color w:val="auto"/>
        </w:rPr>
      </w:pPr>
      <w:r w:rsidRPr="00AD295A">
        <w:rPr>
          <w:rFonts w:cs="Times New Roman"/>
          <w:color w:val="auto"/>
        </w:rPr>
        <w:t>Profitability index = present value of inflows ÷ initial investment. With £1.5m and divisible projects, fund the highest PI first.</w:t>
      </w:r>
    </w:p>
    <w:tbl>
      <w:tblPr>
        <w:tblStyle w:val="TableGrid"/>
        <w:tblW w:w="0" w:type="auto"/>
        <w:tblLayout w:type="fixed"/>
        <w:tblLook w:val="04A0" w:firstRow="1" w:lastRow="0" w:firstColumn="1" w:lastColumn="0" w:noHBand="0" w:noVBand="1"/>
      </w:tblPr>
      <w:tblGrid>
        <w:gridCol w:w="907"/>
        <w:gridCol w:w="1134"/>
        <w:gridCol w:w="1247"/>
        <w:gridCol w:w="964"/>
        <w:gridCol w:w="1361"/>
        <w:gridCol w:w="1191"/>
        <w:gridCol w:w="1417"/>
      </w:tblGrid>
      <w:tr w:rsidR="00AD295A" w:rsidRPr="00AD295A" w14:paraId="48BC85A1" w14:textId="77777777" w:rsidTr="00AD295A">
        <w:tc>
          <w:tcPr>
            <w:tcW w:w="907" w:type="dxa"/>
          </w:tcPr>
          <w:p w14:paraId="7393537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Option</w:t>
            </w:r>
          </w:p>
        </w:tc>
        <w:tc>
          <w:tcPr>
            <w:tcW w:w="1134" w:type="dxa"/>
          </w:tcPr>
          <w:p w14:paraId="75F5863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Initial cost</w:t>
            </w:r>
          </w:p>
        </w:tc>
        <w:tc>
          <w:tcPr>
            <w:tcW w:w="1247" w:type="dxa"/>
          </w:tcPr>
          <w:p w14:paraId="672A0C2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PV inflows</w:t>
            </w:r>
          </w:p>
        </w:tc>
        <w:tc>
          <w:tcPr>
            <w:tcW w:w="964" w:type="dxa"/>
          </w:tcPr>
          <w:p w14:paraId="5320DB8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PI</w:t>
            </w:r>
          </w:p>
        </w:tc>
        <w:tc>
          <w:tcPr>
            <w:tcW w:w="1361" w:type="dxa"/>
          </w:tcPr>
          <w:p w14:paraId="2E91CB9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Fraction funded</w:t>
            </w:r>
          </w:p>
        </w:tc>
        <w:tc>
          <w:tcPr>
            <w:tcW w:w="1191" w:type="dxa"/>
          </w:tcPr>
          <w:p w14:paraId="2A3B3C2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Funds used</w:t>
            </w:r>
          </w:p>
        </w:tc>
        <w:tc>
          <w:tcPr>
            <w:tcW w:w="1417" w:type="dxa"/>
          </w:tcPr>
          <w:p w14:paraId="3D7EE8FA"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NPV obtained</w:t>
            </w:r>
          </w:p>
        </w:tc>
      </w:tr>
      <w:tr w:rsidR="00AD295A" w:rsidRPr="00AD295A" w14:paraId="384C0CCD" w14:textId="77777777" w:rsidTr="00AD295A">
        <w:tc>
          <w:tcPr>
            <w:tcW w:w="907" w:type="dxa"/>
          </w:tcPr>
          <w:p w14:paraId="035F3DE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C</w:t>
            </w:r>
          </w:p>
        </w:tc>
        <w:tc>
          <w:tcPr>
            <w:tcW w:w="1134" w:type="dxa"/>
          </w:tcPr>
          <w:p w14:paraId="77D71E5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1,000</w:t>
            </w:r>
          </w:p>
        </w:tc>
        <w:tc>
          <w:tcPr>
            <w:tcW w:w="1247" w:type="dxa"/>
          </w:tcPr>
          <w:p w14:paraId="12B3AB6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1,091.226</w:t>
            </w:r>
          </w:p>
        </w:tc>
        <w:tc>
          <w:tcPr>
            <w:tcW w:w="964" w:type="dxa"/>
          </w:tcPr>
          <w:p w14:paraId="11C34019"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1.0912</w:t>
            </w:r>
          </w:p>
        </w:tc>
        <w:tc>
          <w:tcPr>
            <w:tcW w:w="1361" w:type="dxa"/>
          </w:tcPr>
          <w:p w14:paraId="0A7EC2F8"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100.00%</w:t>
            </w:r>
          </w:p>
        </w:tc>
        <w:tc>
          <w:tcPr>
            <w:tcW w:w="1191" w:type="dxa"/>
          </w:tcPr>
          <w:p w14:paraId="3C0A6D4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1,000</w:t>
            </w:r>
          </w:p>
        </w:tc>
        <w:tc>
          <w:tcPr>
            <w:tcW w:w="1417" w:type="dxa"/>
          </w:tcPr>
          <w:p w14:paraId="770FE83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91.226</w:t>
            </w:r>
          </w:p>
        </w:tc>
      </w:tr>
      <w:tr w:rsidR="00AD295A" w:rsidRPr="00AD295A" w14:paraId="5DEB4C7F" w14:textId="77777777" w:rsidTr="00AD295A">
        <w:tc>
          <w:tcPr>
            <w:tcW w:w="907" w:type="dxa"/>
          </w:tcPr>
          <w:p w14:paraId="5893DC5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B</w:t>
            </w:r>
          </w:p>
        </w:tc>
        <w:tc>
          <w:tcPr>
            <w:tcW w:w="1134" w:type="dxa"/>
          </w:tcPr>
          <w:p w14:paraId="3B7863C6"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900</w:t>
            </w:r>
          </w:p>
        </w:tc>
        <w:tc>
          <w:tcPr>
            <w:tcW w:w="1247" w:type="dxa"/>
          </w:tcPr>
          <w:p w14:paraId="149873E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973.952</w:t>
            </w:r>
          </w:p>
        </w:tc>
        <w:tc>
          <w:tcPr>
            <w:tcW w:w="964" w:type="dxa"/>
          </w:tcPr>
          <w:p w14:paraId="37A43280"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1.0822</w:t>
            </w:r>
          </w:p>
        </w:tc>
        <w:tc>
          <w:tcPr>
            <w:tcW w:w="1361" w:type="dxa"/>
          </w:tcPr>
          <w:p w14:paraId="3132257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55.56%</w:t>
            </w:r>
          </w:p>
        </w:tc>
        <w:tc>
          <w:tcPr>
            <w:tcW w:w="1191" w:type="dxa"/>
          </w:tcPr>
          <w:p w14:paraId="6BD39B85"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500</w:t>
            </w:r>
          </w:p>
        </w:tc>
        <w:tc>
          <w:tcPr>
            <w:tcW w:w="1417" w:type="dxa"/>
          </w:tcPr>
          <w:p w14:paraId="300228F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41.085</w:t>
            </w:r>
          </w:p>
        </w:tc>
      </w:tr>
      <w:tr w:rsidR="00AD295A" w:rsidRPr="00AD295A" w14:paraId="10506228" w14:textId="77777777" w:rsidTr="00AD295A">
        <w:tc>
          <w:tcPr>
            <w:tcW w:w="907" w:type="dxa"/>
          </w:tcPr>
          <w:p w14:paraId="26E29521"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A</w:t>
            </w:r>
          </w:p>
        </w:tc>
        <w:tc>
          <w:tcPr>
            <w:tcW w:w="1134" w:type="dxa"/>
          </w:tcPr>
          <w:p w14:paraId="5D7FE987"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600</w:t>
            </w:r>
          </w:p>
        </w:tc>
        <w:tc>
          <w:tcPr>
            <w:tcW w:w="1247" w:type="dxa"/>
          </w:tcPr>
          <w:p w14:paraId="0F2ED86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596.737</w:t>
            </w:r>
          </w:p>
        </w:tc>
        <w:tc>
          <w:tcPr>
            <w:tcW w:w="964" w:type="dxa"/>
          </w:tcPr>
          <w:p w14:paraId="132FD024"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0.9946</w:t>
            </w:r>
          </w:p>
        </w:tc>
        <w:tc>
          <w:tcPr>
            <w:tcW w:w="1361" w:type="dxa"/>
          </w:tcPr>
          <w:p w14:paraId="2C50B2D2"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0.00%</w:t>
            </w:r>
          </w:p>
        </w:tc>
        <w:tc>
          <w:tcPr>
            <w:tcW w:w="1191" w:type="dxa"/>
          </w:tcPr>
          <w:p w14:paraId="2EE8EF8B"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0</w:t>
            </w:r>
          </w:p>
        </w:tc>
        <w:tc>
          <w:tcPr>
            <w:tcW w:w="1417" w:type="dxa"/>
          </w:tcPr>
          <w:p w14:paraId="393A6563"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sz w:val="15"/>
              </w:rPr>
              <w:t>0.000</w:t>
            </w:r>
          </w:p>
        </w:tc>
      </w:tr>
      <w:tr w:rsidR="00AD295A" w:rsidRPr="00AD295A" w14:paraId="2172B89E" w14:textId="77777777" w:rsidTr="00AD295A">
        <w:tc>
          <w:tcPr>
            <w:tcW w:w="907" w:type="dxa"/>
          </w:tcPr>
          <w:p w14:paraId="76D24E2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Total</w:t>
            </w:r>
          </w:p>
        </w:tc>
        <w:tc>
          <w:tcPr>
            <w:tcW w:w="1134" w:type="dxa"/>
          </w:tcPr>
          <w:p w14:paraId="7D0E16A5" w14:textId="77777777" w:rsidR="00E01AF9" w:rsidRPr="00AD295A" w:rsidRDefault="00E01AF9">
            <w:pPr>
              <w:pStyle w:val="TableText"/>
              <w:rPr>
                <w:rFonts w:ascii="Times New Roman" w:hAnsi="Times New Roman" w:cs="Times New Roman"/>
              </w:rPr>
            </w:pPr>
          </w:p>
        </w:tc>
        <w:tc>
          <w:tcPr>
            <w:tcW w:w="1247" w:type="dxa"/>
          </w:tcPr>
          <w:p w14:paraId="2087B35A" w14:textId="77777777" w:rsidR="00E01AF9" w:rsidRPr="00AD295A" w:rsidRDefault="00E01AF9">
            <w:pPr>
              <w:pStyle w:val="TableText"/>
              <w:rPr>
                <w:rFonts w:ascii="Times New Roman" w:hAnsi="Times New Roman" w:cs="Times New Roman"/>
              </w:rPr>
            </w:pPr>
          </w:p>
        </w:tc>
        <w:tc>
          <w:tcPr>
            <w:tcW w:w="964" w:type="dxa"/>
          </w:tcPr>
          <w:p w14:paraId="10F83D78" w14:textId="77777777" w:rsidR="00E01AF9" w:rsidRPr="00AD295A" w:rsidRDefault="00E01AF9">
            <w:pPr>
              <w:pStyle w:val="TableText"/>
              <w:rPr>
                <w:rFonts w:ascii="Times New Roman" w:hAnsi="Times New Roman" w:cs="Times New Roman"/>
              </w:rPr>
            </w:pPr>
          </w:p>
        </w:tc>
        <w:tc>
          <w:tcPr>
            <w:tcW w:w="1361" w:type="dxa"/>
          </w:tcPr>
          <w:p w14:paraId="1E5AD9CC" w14:textId="77777777" w:rsidR="00E01AF9" w:rsidRPr="00AD295A" w:rsidRDefault="00E01AF9">
            <w:pPr>
              <w:pStyle w:val="TableText"/>
              <w:rPr>
                <w:rFonts w:ascii="Times New Roman" w:hAnsi="Times New Roman" w:cs="Times New Roman"/>
              </w:rPr>
            </w:pPr>
          </w:p>
        </w:tc>
        <w:tc>
          <w:tcPr>
            <w:tcW w:w="1191" w:type="dxa"/>
          </w:tcPr>
          <w:p w14:paraId="1E62193D"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1,500</w:t>
            </w:r>
          </w:p>
        </w:tc>
        <w:tc>
          <w:tcPr>
            <w:tcW w:w="1417" w:type="dxa"/>
          </w:tcPr>
          <w:p w14:paraId="346F007E" w14:textId="77777777" w:rsidR="00E01AF9" w:rsidRPr="00AD295A" w:rsidRDefault="00504820">
            <w:pPr>
              <w:pStyle w:val="TableText"/>
              <w:rPr>
                <w:rFonts w:ascii="Times New Roman" w:hAnsi="Times New Roman" w:cs="Times New Roman"/>
              </w:rPr>
            </w:pPr>
            <w:r w:rsidRPr="00AD295A">
              <w:rPr>
                <w:rFonts w:ascii="Times New Roman" w:hAnsi="Times New Roman" w:cs="Times New Roman"/>
                <w:b/>
                <w:sz w:val="15"/>
              </w:rPr>
              <w:t>132.311</w:t>
            </w:r>
          </w:p>
        </w:tc>
      </w:tr>
    </w:tbl>
    <w:p w14:paraId="49214CE1" w14:textId="77777777" w:rsidR="00E01AF9" w:rsidRPr="00A93E1E" w:rsidRDefault="00504820">
      <w:pPr>
        <w:pStyle w:val="CaptionAcademic"/>
        <w:rPr>
          <w:rFonts w:ascii="Times New Roman" w:hAnsi="Times New Roman" w:cs="Times New Roman"/>
          <w:i w:val="0"/>
          <w:iCs/>
          <w:color w:val="auto"/>
        </w:rPr>
      </w:pPr>
      <w:r w:rsidRPr="00A93E1E">
        <w:rPr>
          <w:rFonts w:ascii="Times New Roman" w:hAnsi="Times New Roman" w:cs="Times New Roman"/>
          <w:i w:val="0"/>
          <w:iCs/>
          <w:color w:val="auto"/>
        </w:rPr>
        <w:t>Table C4. Optimal divisible-project allocation (£000). B fraction = £500k ÷ £900k = 55.56%; total NPV = £91.226k + 55.56% × £73.952k = £132.311k.</w:t>
      </w:r>
    </w:p>
    <w:sectPr w:rsidR="00E01AF9" w:rsidRPr="00A93E1E" w:rsidSect="00034616">
      <w:headerReference w:type="default" r:id="rId71"/>
      <w:footerReference w:type="default" r:id="rId72"/>
      <w:pgSz w:w="11906" w:h="16838"/>
      <w:pgMar w:top="1191" w:right="1247" w:bottom="1134" w:left="1361" w:header="720" w:footer="19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4E075" w14:textId="77777777" w:rsidR="00443B20" w:rsidRDefault="00443B20">
      <w:pPr>
        <w:spacing w:after="0" w:line="240" w:lineRule="auto"/>
      </w:pPr>
      <w:r>
        <w:separator/>
      </w:r>
    </w:p>
  </w:endnote>
  <w:endnote w:type="continuationSeparator" w:id="0">
    <w:p w14:paraId="194B28A6" w14:textId="77777777" w:rsidR="00443B20" w:rsidRDefault="00443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D69B1" w14:textId="1C67E4C4" w:rsidR="00E01AF9" w:rsidRDefault="00504820">
    <w:pPr>
      <w:pStyle w:val="Footer"/>
      <w:jc w:val="right"/>
    </w:pPr>
    <w:r>
      <w:rPr>
        <w:rFonts w:ascii="Arial" w:hAnsi="Arial"/>
        <w:color w:val="3F4650"/>
        <w:sz w:val="16"/>
      </w:rPr>
      <w:t xml:space="preserve">•  </w:t>
    </w:r>
    <w:r>
      <w:rPr>
        <w:sz w:val="16"/>
      </w:rPr>
      <w:t xml:space="preserve">Page </w:t>
    </w: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DB9CA" w14:textId="77777777" w:rsidR="00443B20" w:rsidRDefault="00443B20">
      <w:pPr>
        <w:spacing w:after="0" w:line="240" w:lineRule="auto"/>
      </w:pPr>
      <w:r>
        <w:separator/>
      </w:r>
    </w:p>
  </w:footnote>
  <w:footnote w:type="continuationSeparator" w:id="0">
    <w:p w14:paraId="32493749" w14:textId="77777777" w:rsidR="00443B20" w:rsidRDefault="00443B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CD549" w14:textId="6D18E378" w:rsidR="00E01AF9" w:rsidRPr="00C03991" w:rsidRDefault="00E01AF9" w:rsidP="00C039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E65"/>
    <w:rsid w:val="00034616"/>
    <w:rsid w:val="0006063C"/>
    <w:rsid w:val="00110D52"/>
    <w:rsid w:val="0015074B"/>
    <w:rsid w:val="001B596C"/>
    <w:rsid w:val="001C409B"/>
    <w:rsid w:val="001E2E79"/>
    <w:rsid w:val="002438AE"/>
    <w:rsid w:val="00272570"/>
    <w:rsid w:val="0029639D"/>
    <w:rsid w:val="002A2F7F"/>
    <w:rsid w:val="002B62AB"/>
    <w:rsid w:val="00326F90"/>
    <w:rsid w:val="00350999"/>
    <w:rsid w:val="003669DC"/>
    <w:rsid w:val="003770EE"/>
    <w:rsid w:val="00443B20"/>
    <w:rsid w:val="00500538"/>
    <w:rsid w:val="00504820"/>
    <w:rsid w:val="005F33E3"/>
    <w:rsid w:val="00650940"/>
    <w:rsid w:val="007344B4"/>
    <w:rsid w:val="00792281"/>
    <w:rsid w:val="007963C3"/>
    <w:rsid w:val="009A0E11"/>
    <w:rsid w:val="00A93E1E"/>
    <w:rsid w:val="00AA1D8D"/>
    <w:rsid w:val="00AB012F"/>
    <w:rsid w:val="00AD295A"/>
    <w:rsid w:val="00AF0BAD"/>
    <w:rsid w:val="00B314D4"/>
    <w:rsid w:val="00B47730"/>
    <w:rsid w:val="00B67D52"/>
    <w:rsid w:val="00B93E4B"/>
    <w:rsid w:val="00C03991"/>
    <w:rsid w:val="00CB0664"/>
    <w:rsid w:val="00CB6642"/>
    <w:rsid w:val="00E01AF9"/>
    <w:rsid w:val="00E1058B"/>
    <w:rsid w:val="00F916B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D26AA1"/>
  <w14:defaultImageDpi w14:val="300"/>
  <w15:docId w15:val="{E6A7DA27-0A5C-42AE-8A80-9DF9ADA69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jc w:val="both"/>
    </w:pPr>
    <w:rPr>
      <w:rFonts w:ascii="Times New Roman" w:eastAsia="Times New Roman" w:hAnsi="Times New Roman"/>
      <w:color w:val="20262E"/>
    </w:rPr>
  </w:style>
  <w:style w:type="paragraph" w:styleId="Heading1">
    <w:name w:val="heading 1"/>
    <w:basedOn w:val="Normal"/>
    <w:next w:val="Normal"/>
    <w:link w:val="Heading1Char"/>
    <w:uiPriority w:val="9"/>
    <w:qFormat/>
    <w:rsid w:val="00FC693F"/>
    <w:pPr>
      <w:keepNext/>
      <w:keepLines/>
      <w:spacing w:before="320" w:after="160"/>
      <w:outlineLvl w:val="0"/>
    </w:pPr>
    <w:rPr>
      <w:rFonts w:asciiTheme="majorHAnsi" w:eastAsiaTheme="majorEastAsia" w:hAnsiTheme="majorHAnsi" w:cstheme="majorBidi"/>
      <w:b/>
      <w:bCs/>
      <w:color w:val="17365D"/>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2F75B5"/>
      <w:sz w:val="26"/>
      <w:szCs w:val="26"/>
    </w:rPr>
  </w:style>
  <w:style w:type="paragraph" w:styleId="Heading3">
    <w:name w:val="heading 3"/>
    <w:basedOn w:val="Normal"/>
    <w:next w:val="Normal"/>
    <w:link w:val="Heading3Char"/>
    <w:uiPriority w:val="9"/>
    <w:unhideWhenUsed/>
    <w:qFormat/>
    <w:rsid w:val="00FC693F"/>
    <w:pPr>
      <w:keepNext/>
      <w:keepLines/>
      <w:spacing w:before="200" w:after="80"/>
      <w:outlineLvl w:val="2"/>
    </w:pPr>
    <w:rPr>
      <w:rFonts w:asciiTheme="majorHAnsi" w:eastAsiaTheme="majorEastAsia" w:hAnsiTheme="majorHAnsi" w:cstheme="majorBidi"/>
      <w:b/>
      <w:bCs/>
      <w:color w:val="17365D"/>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240" w:line="240" w:lineRule="auto"/>
      <w:contextualSpacing/>
    </w:pPr>
    <w:rPr>
      <w:rFonts w:asciiTheme="majorHAnsi" w:eastAsiaTheme="majorEastAsia" w:hAnsiTheme="majorHAnsi" w:cstheme="majorBidi"/>
      <w:b/>
      <w:color w:val="17365D"/>
      <w:spacing w:val="5"/>
      <w:kern w:val="28"/>
      <w:sz w:val="4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after="160"/>
    </w:pPr>
    <w:rPr>
      <w:rFonts w:asciiTheme="majorHAnsi" w:eastAsiaTheme="majorEastAsia" w:hAnsiTheme="majorHAnsi" w:cstheme="majorBidi"/>
      <w:i/>
      <w:iCs/>
      <w:color w:val="3F4650"/>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Text">
    <w:name w:val="Table Text"/>
    <w:pPr>
      <w:spacing w:after="0" w:line="240" w:lineRule="auto"/>
    </w:pPr>
    <w:rPr>
      <w:rFonts w:ascii="Arial" w:eastAsia="Arial" w:hAnsi="Arial"/>
      <w:sz w:val="16"/>
    </w:rPr>
  </w:style>
  <w:style w:type="paragraph" w:customStyle="1" w:styleId="Reference">
    <w:name w:val="Reference"/>
    <w:pPr>
      <w:spacing w:after="40" w:line="240" w:lineRule="auto"/>
      <w:ind w:left="397" w:hanging="397"/>
    </w:pPr>
    <w:rPr>
      <w:rFonts w:ascii="Times New Roman" w:eastAsia="Times New Roman" w:hAnsi="Times New Roman"/>
      <w:sz w:val="17"/>
    </w:rPr>
  </w:style>
  <w:style w:type="paragraph" w:customStyle="1" w:styleId="CaptionAcademic">
    <w:name w:val="Caption Academic"/>
    <w:pPr>
      <w:keepNext/>
      <w:spacing w:before="60" w:after="160"/>
    </w:pPr>
    <w:rPr>
      <w:rFonts w:ascii="Arial" w:eastAsia="Arial" w:hAnsi="Arial"/>
      <w:i/>
      <w:color w:val="3F4650"/>
      <w:sz w:val="17"/>
    </w:rPr>
  </w:style>
  <w:style w:type="table" w:styleId="PlainTable4">
    <w:name w:val="Plain Table 4"/>
    <w:basedOn w:val="TableNormal"/>
    <w:uiPriority w:val="99"/>
    <w:rsid w:val="00C0399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C0399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4">
    <w:name w:val="List Table 2 Accent 4"/>
    <w:basedOn w:val="TableNormal"/>
    <w:uiPriority w:val="47"/>
    <w:rsid w:val="00AD295A"/>
    <w:pPr>
      <w:spacing w:after="0" w:line="240" w:lineRule="auto"/>
    </w:pPr>
    <w:tblPr>
      <w:tblStyleRowBandSize w:val="1"/>
      <w:tblStyleColBandSize w:val="1"/>
      <w:tblBorders>
        <w:top w:val="single" w:sz="4" w:space="0" w:color="B2A1C7" w:themeColor="accent4" w:themeTint="99"/>
        <w:bottom w:val="single" w:sz="4" w:space="0" w:color="B2A1C7" w:themeColor="accent4" w:themeTint="99"/>
        <w:insideH w:val="single" w:sz="4" w:space="0" w:color="B2A1C7"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TOC1">
    <w:name w:val="toc 1"/>
    <w:basedOn w:val="Normal"/>
    <w:next w:val="Normal"/>
    <w:autoRedefine/>
    <w:uiPriority w:val="39"/>
    <w:unhideWhenUsed/>
    <w:rsid w:val="003669DC"/>
    <w:pPr>
      <w:spacing w:after="100"/>
    </w:pPr>
  </w:style>
  <w:style w:type="paragraph" w:styleId="TOC2">
    <w:name w:val="toc 2"/>
    <w:basedOn w:val="Normal"/>
    <w:next w:val="Normal"/>
    <w:autoRedefine/>
    <w:uiPriority w:val="39"/>
    <w:unhideWhenUsed/>
    <w:rsid w:val="003669DC"/>
    <w:pPr>
      <w:spacing w:after="100"/>
      <w:ind w:left="220"/>
    </w:pPr>
  </w:style>
  <w:style w:type="paragraph" w:styleId="TOC3">
    <w:name w:val="toc 3"/>
    <w:basedOn w:val="Normal"/>
    <w:next w:val="Normal"/>
    <w:autoRedefine/>
    <w:uiPriority w:val="39"/>
    <w:unhideWhenUsed/>
    <w:rsid w:val="003669DC"/>
    <w:pPr>
      <w:spacing w:after="100"/>
      <w:ind w:left="440"/>
    </w:pPr>
  </w:style>
  <w:style w:type="character" w:styleId="Hyperlink">
    <w:name w:val="Hyperlink"/>
    <w:basedOn w:val="DefaultParagraphFont"/>
    <w:uiPriority w:val="99"/>
    <w:unhideWhenUsed/>
    <w:rsid w:val="003669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834982">
      <w:bodyDiv w:val="1"/>
      <w:marLeft w:val="0"/>
      <w:marRight w:val="0"/>
      <w:marTop w:val="0"/>
      <w:marBottom w:val="0"/>
      <w:divBdr>
        <w:top w:val="none" w:sz="0" w:space="0" w:color="auto"/>
        <w:left w:val="none" w:sz="0" w:space="0" w:color="auto"/>
        <w:bottom w:val="none" w:sz="0" w:space="0" w:color="auto"/>
        <w:right w:val="none" w:sz="0" w:space="0" w:color="auto"/>
      </w:divBdr>
    </w:div>
    <w:div w:id="144148717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eswa.2013.01.012" TargetMode="External"/><Relationship Id="rId21" Type="http://schemas.openxmlformats.org/officeDocument/2006/relationships/hyperlink" Target="https://www.mheducation.com/highered/product/principles-corporate-finance-brealey.html" TargetMode="External"/><Relationship Id="rId42" Type="http://schemas.openxmlformats.org/officeDocument/2006/relationships/hyperlink" Target="https://www.ifrs.org/issued-standards/list-of-standards/ias-7-statement-of-cash-flows/" TargetMode="External"/><Relationship Id="rId47" Type="http://schemas.openxmlformats.org/officeDocument/2006/relationships/hyperlink" Target="https://doi.org/10.1111/j.1540-6261.1984.tb03646.x" TargetMode="External"/><Relationship Id="rId63" Type="http://schemas.openxmlformats.org/officeDocument/2006/relationships/hyperlink" Target="https://investors.vodafone.com/~/media/Files/V/Vodafone-IR/documents/performance/financial-results/2025/vodafone-fy25-results-announcement.pdf" TargetMode="External"/><Relationship Id="rId68"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doi.org/10.1016/j.jbusres.2013.01.016" TargetMode="External"/><Relationship Id="rId29" Type="http://schemas.openxmlformats.org/officeDocument/2006/relationships/hyperlink" Target="https://doi.org/10.1016/j.ribaf.2014.03.005" TargetMode="External"/><Relationship Id="rId11" Type="http://schemas.openxmlformats.org/officeDocument/2006/relationships/hyperlink" Target="https://doi.org/10.1016/j.jcorpfin.2014.12.008" TargetMode="External"/><Relationship Id="rId24" Type="http://schemas.openxmlformats.org/officeDocument/2006/relationships/hyperlink" Target="https://www.bt.com/bt-plc/assets/documents/investors/financial-reporting-and-news/annual-reports/2025/2025-bt-group-plc-annual-report.pdf" TargetMode="External"/><Relationship Id="rId32" Type="http://schemas.openxmlformats.org/officeDocument/2006/relationships/hyperlink" Target="https://www.frc.org.uk/library/standards-codes-policy/corporate-governance/uk-corporate-governance-code/" TargetMode="External"/><Relationship Id="rId37" Type="http://schemas.openxmlformats.org/officeDocument/2006/relationships/hyperlink" Target="https://www.gsma.com/solutions-and-impact/connectivity-for-good/external-affairs/climate-action/mobile-net-zero-2024/" TargetMode="External"/><Relationship Id="rId40" Type="http://schemas.openxmlformats.org/officeDocument/2006/relationships/hyperlink" Target="https://www.icaew.com/library/library-collection/ebooks/business-calculations" TargetMode="External"/><Relationship Id="rId45" Type="http://schemas.openxmlformats.org/officeDocument/2006/relationships/hyperlink" Target="https://doi.org/10.1016/0304-405X(76)90026-X" TargetMode="External"/><Relationship Id="rId53" Type="http://schemas.openxmlformats.org/officeDocument/2006/relationships/hyperlink" Target="https://doi.org/10.2307/2490395" TargetMode="External"/><Relationship Id="rId58" Type="http://schemas.openxmlformats.org/officeDocument/2006/relationships/hyperlink" Target="https://www.gov.uk/government/publications/rates-and-allowances-corporation-tax/rates-and-allowances-corporation-tax" TargetMode="External"/><Relationship Id="rId66" Type="http://schemas.openxmlformats.org/officeDocument/2006/relationships/image" Target="media/image4.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reports.investors.vodafone.com/view/197179846" TargetMode="External"/><Relationship Id="rId19" Type="http://schemas.openxmlformats.org/officeDocument/2006/relationships/hyperlink" Target="https://www.pearson.com/en-us/subject-catalog/p/corporate-finance/P200000009791/9780137844906" TargetMode="External"/><Relationship Id="rId14" Type="http://schemas.openxmlformats.org/officeDocument/2006/relationships/hyperlink" Target="https://doi.org/10.1111/1468-5957.00327" TargetMode="External"/><Relationship Id="rId22" Type="http://schemas.openxmlformats.org/officeDocument/2006/relationships/hyperlink" Target="https://www.british-business-bank.co.uk/about/research-and-publications/small-business-finance-markets-report-2025" TargetMode="External"/><Relationship Id="rId27" Type="http://schemas.openxmlformats.org/officeDocument/2006/relationships/hyperlink" Target="https://www.cengageasia.com/title/default/detail?isbn=9781473773615" TargetMode="External"/><Relationship Id="rId30" Type="http://schemas.openxmlformats.org/officeDocument/2006/relationships/hyperlink" Target="https://digital-strategy.ec.europa.eu/en/library/state-digital-decade-2025-report" TargetMode="External"/><Relationship Id="rId35" Type="http://schemas.openxmlformats.org/officeDocument/2006/relationships/hyperlink" Target="https://doi.org/10.1108/17439130710738718" TargetMode="External"/><Relationship Id="rId43" Type="http://schemas.openxmlformats.org/officeDocument/2006/relationships/hyperlink" Target="https://www.ifrs.org/issued-standards/list-of-standards/ias-36-impairment-of-assets/" TargetMode="External"/><Relationship Id="rId48" Type="http://schemas.openxmlformats.org/officeDocument/2006/relationships/hyperlink" Target="https://doi.org/10.1016/0304-405X(84)90023-0" TargetMode="External"/><Relationship Id="rId56" Type="http://schemas.openxmlformats.org/officeDocument/2006/relationships/hyperlink" Target="https://doi.org/10.1016/j.gfj.2019.100504" TargetMode="External"/><Relationship Id="rId64" Type="http://schemas.openxmlformats.org/officeDocument/2006/relationships/hyperlink" Target="https://investors.vodafone.com/esg/esg-reporting/esg-addendum" TargetMode="External"/><Relationship Id="rId69" Type="http://schemas.openxmlformats.org/officeDocument/2006/relationships/hyperlink" Target="https://reports.investors.vodafone.com/view/897876789" TargetMode="External"/><Relationship Id="rId8" Type="http://schemas.openxmlformats.org/officeDocument/2006/relationships/image" Target="media/image1.png"/><Relationship Id="rId51" Type="http://schemas.openxmlformats.org/officeDocument/2006/relationships/hyperlink" Target="https://www.ofcom.org.uk/siteassets/resources/documents/research-and-data/multi-sector/cmr/cmr24/communications-market-report-2024.pdf"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doi.org/10.1111/j.1540-6261.1968.tb00843.x" TargetMode="External"/><Relationship Id="rId17" Type="http://schemas.openxmlformats.org/officeDocument/2006/relationships/hyperlink" Target="https://doi.org/10.2307/2490171" TargetMode="External"/><Relationship Id="rId25" Type="http://schemas.openxmlformats.org/officeDocument/2006/relationships/hyperlink" Target="https://www.cfainstitute.org/sites/default/files/-/media/documents/study-session/2025-l1-los-t4.pdf" TargetMode="External"/><Relationship Id="rId33" Type="http://schemas.openxmlformats.org/officeDocument/2006/relationships/hyperlink" Target="https://www.frc.org.uk/library/standards-codes-policy/corporate-governance/corporate-governance-code-guidance/" TargetMode="External"/><Relationship Id="rId38" Type="http://schemas.openxmlformats.org/officeDocument/2006/relationships/hyperlink" Target="https://www.gsma.com/solutions-and-impact/connectivity-for-good/mobile-economy/the-mobile-economy-2025/" TargetMode="External"/><Relationship Id="rId46" Type="http://schemas.openxmlformats.org/officeDocument/2006/relationships/hyperlink" Target="https://doi.org/10.1093/rof/rfs043" TargetMode="External"/><Relationship Id="rId59" Type="http://schemas.openxmlformats.org/officeDocument/2006/relationships/hyperlink" Target="https://www.gov.uk/capital-allowances" TargetMode="External"/><Relationship Id="rId67" Type="http://schemas.openxmlformats.org/officeDocument/2006/relationships/image" Target="media/image5.png"/><Relationship Id="rId20" Type="http://schemas.openxmlformats.org/officeDocument/2006/relationships/hyperlink" Target="https://www.pearson.com/nl/en_NL/higher-education/subject-catalogue/finance/berk-demarzo-harford-fundamentals-of-corporate-finance.html" TargetMode="External"/><Relationship Id="rId41" Type="http://schemas.openxmlformats.org/officeDocument/2006/relationships/hyperlink" Target="https://www.ifrs.org/issued-standards/list-of-standards/ias-1-presentation-of-financial-statements/" TargetMode="External"/><Relationship Id="rId54" Type="http://schemas.openxmlformats.org/officeDocument/2006/relationships/hyperlink" Target="https://doi.org/10.1111/j.1468-5957.1996.tb00403.x" TargetMode="External"/><Relationship Id="rId62" Type="http://schemas.openxmlformats.org/officeDocument/2006/relationships/hyperlink" Target="https://reports.investors.vodafone.com/view/897876789" TargetMode="External"/><Relationship Id="rId70" Type="http://schemas.openxmlformats.org/officeDocument/2006/relationships/hyperlink" Target="https://reports.investors.vodafone.com/view/19717984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earson.com/nl/en_NL/higher-education/subject-catalogue/accounting-and-taxation/Atrill-McClaney-Financial-Accounting-and-finance-for-non-specialists-12e.html" TargetMode="External"/><Relationship Id="rId23" Type="http://schemas.openxmlformats.org/officeDocument/2006/relationships/hyperlink" Target="https://www.jstor.org/stable/3666349" TargetMode="External"/><Relationship Id="rId28" Type="http://schemas.openxmlformats.org/officeDocument/2006/relationships/hyperlink" Target="https://doi.org/10.1108/00251749710160223" TargetMode="External"/><Relationship Id="rId36" Type="http://schemas.openxmlformats.org/officeDocument/2006/relationships/hyperlink" Target="https://doi.org/10.1016/S0304-405X(01)00044-7" TargetMode="External"/><Relationship Id="rId49" Type="http://schemas.openxmlformats.org/officeDocument/2006/relationships/hyperlink" Target="https://doi.org/10.1023/A:1011338221623" TargetMode="External"/><Relationship Id="rId57" Type="http://schemas.openxmlformats.org/officeDocument/2006/relationships/hyperlink" Target="https://doi.org/10.1177/031289620803300106" TargetMode="External"/><Relationship Id="rId10" Type="http://schemas.openxmlformats.org/officeDocument/2006/relationships/hyperlink" Target="https://www.accaglobal.com/gb/en/student/exam-support-resources/fundamentals-exams-study-resources/f2/technical-articles/ratio-analysis.html" TargetMode="External"/><Relationship Id="rId31" Type="http://schemas.openxmlformats.org/officeDocument/2006/relationships/hyperlink" Target="https://doi.org/10.1023/A:1012430513430" TargetMode="External"/><Relationship Id="rId44" Type="http://schemas.openxmlformats.org/officeDocument/2006/relationships/hyperlink" Target="https://www.ifrs.org/issued-standards/list-of-standards/ifrs-8-operating-segments/" TargetMode="External"/><Relationship Id="rId52" Type="http://schemas.openxmlformats.org/officeDocument/2006/relationships/hyperlink" Target="https://www.ofcom.org.uk/siteassets/resources/documents/research-and-data/multi-sector/infrastructure-research/connected-nations-2025/connected-nations-uk-report-2025.pdf" TargetMode="External"/><Relationship Id="rId60" Type="http://schemas.openxmlformats.org/officeDocument/2006/relationships/hyperlink" Target="https://www.gov.uk/business-finance-support" TargetMode="External"/><Relationship Id="rId65" Type="http://schemas.openxmlformats.org/officeDocument/2006/relationships/image" Target="media/image3.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pearson.com/en-gb/subject-catalog/p/corporate-financial-management/P200000003595" TargetMode="External"/><Relationship Id="rId18" Type="http://schemas.openxmlformats.org/officeDocument/2006/relationships/hyperlink" Target="https://doi.org/10.1108/00251741011022590" TargetMode="External"/><Relationship Id="rId39" Type="http://schemas.openxmlformats.org/officeDocument/2006/relationships/hyperlink" Target="https://doi.org/10.1016/j.ibusrev.2007.05.002" TargetMode="External"/><Relationship Id="rId34" Type="http://schemas.openxmlformats.org/officeDocument/2006/relationships/hyperlink" Target="https://www.lseg.com/content/dam/ftse-russell/en_us/documents/policy-documents/ftse-100-constituent-history.pdf" TargetMode="External"/><Relationship Id="rId50" Type="http://schemas.openxmlformats.org/officeDocument/2006/relationships/hyperlink" Target="https://doi.org/10.1787/a1689dc5-en" TargetMode="External"/><Relationship Id="rId55" Type="http://schemas.openxmlformats.org/officeDocument/2006/relationships/hyperlink" Target="https://doi.org/10.1016/S0925-5273(02)00379-1" TargetMode="External"/><Relationship Id="rId7" Type="http://schemas.openxmlformats.org/officeDocument/2006/relationships/endnotes" Target="endnote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19</Pages>
  <Words>8666</Words>
  <Characters>49397</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Financial Performance Analysis of Vodafone Group Plc and Capital Investment Appraisal for Beard Plc</vt:lpstr>
    </vt:vector>
  </TitlesOfParts>
  <Manager/>
  <Company/>
  <LinksUpToDate>false</LinksUpToDate>
  <CharactersWithSpaces>57948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Analysis of Vodafone Group Plc and Capital Investment Appraisal for Beard Plc</dc:title>
  <dc:subject>BMMB7005D Finance for Business Managers — Corrected Resubmission</dc:subject>
  <dc:creator>MD. HASIBUL ISLAM</dc:creator>
  <cp:keywords>Vodafone; Beard Plc; ratio analysis; NPV; IRR; capital rationing</cp:keywords>
  <dc:description>generated by python-docx</dc:description>
  <cp:lastModifiedBy>User</cp:lastModifiedBy>
  <cp:revision>32</cp:revision>
  <dcterms:created xsi:type="dcterms:W3CDTF">2013-12-23T23:15:00Z</dcterms:created>
  <dcterms:modified xsi:type="dcterms:W3CDTF">2026-08-07T09:35:00Z</dcterms:modified>
  <cp:category/>
</cp:coreProperties>
</file>