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F91A7" w14:textId="111026B2" w:rsidR="00B04E89" w:rsidRDefault="00150C06">
      <w:r>
        <w:rPr>
          <w:noProof/>
        </w:rPr>
        <w:drawing>
          <wp:inline distT="0" distB="0" distL="0" distR="0" wp14:anchorId="33A93017" wp14:editId="37FF51CB">
            <wp:extent cx="4584700" cy="2882900"/>
            <wp:effectExtent l="0" t="0" r="0" b="0"/>
            <wp:docPr id="1423163787" name="Picture 2"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163787" name="Picture 2" descr="A logo of a university of wal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84700" cy="2882900"/>
                    </a:xfrm>
                    <a:prstGeom prst="rect">
                      <a:avLst/>
                    </a:prstGeom>
                  </pic:spPr>
                </pic:pic>
              </a:graphicData>
            </a:graphic>
          </wp:inline>
        </w:drawing>
      </w:r>
    </w:p>
    <w:p w14:paraId="68F68040" w14:textId="77777777" w:rsidR="00150C06" w:rsidRDefault="00150C06"/>
    <w:p w14:paraId="316E9E55" w14:textId="77777777" w:rsidR="00150C06" w:rsidRDefault="00150C06"/>
    <w:p w14:paraId="484679BA" w14:textId="77777777" w:rsidR="00150C06" w:rsidRDefault="00150C06"/>
    <w:p w14:paraId="686A25FB" w14:textId="5F7BDD00" w:rsidR="00150C06" w:rsidRDefault="00150C06" w:rsidP="00150C06">
      <w:pPr>
        <w:jc w:val="center"/>
        <w:rPr>
          <w:b/>
          <w:bCs/>
          <w:i/>
          <w:iCs/>
          <w:sz w:val="36"/>
          <w:szCs w:val="36"/>
        </w:rPr>
      </w:pPr>
      <w:r>
        <w:rPr>
          <w:b/>
          <w:bCs/>
          <w:i/>
          <w:iCs/>
          <w:sz w:val="36"/>
          <w:szCs w:val="36"/>
        </w:rPr>
        <w:t>Apple Inc Financial Report 2023 and Calculations of PBP, ARR AND NPV</w:t>
      </w:r>
    </w:p>
    <w:p w14:paraId="07C235DF" w14:textId="39EFF174" w:rsidR="00150C06" w:rsidRDefault="00150C06" w:rsidP="00150C06">
      <w:pPr>
        <w:jc w:val="center"/>
        <w:rPr>
          <w:b/>
          <w:bCs/>
          <w:i/>
          <w:iCs/>
          <w:sz w:val="36"/>
          <w:szCs w:val="36"/>
        </w:rPr>
      </w:pPr>
      <w:r>
        <w:rPr>
          <w:b/>
          <w:bCs/>
          <w:i/>
          <w:iCs/>
          <w:sz w:val="36"/>
          <w:szCs w:val="36"/>
        </w:rPr>
        <w:t xml:space="preserve">Programme: Master Business Admiration </w:t>
      </w:r>
    </w:p>
    <w:p w14:paraId="4BDFCC03" w14:textId="77777777" w:rsidR="00150C06" w:rsidRDefault="00150C06" w:rsidP="00150C06">
      <w:pPr>
        <w:jc w:val="center"/>
        <w:rPr>
          <w:b/>
          <w:bCs/>
          <w:i/>
          <w:iCs/>
          <w:sz w:val="36"/>
          <w:szCs w:val="36"/>
        </w:rPr>
      </w:pPr>
    </w:p>
    <w:p w14:paraId="55C33DA9" w14:textId="19421602" w:rsidR="00150C06" w:rsidRDefault="00150C06" w:rsidP="00150C06">
      <w:pPr>
        <w:jc w:val="center"/>
        <w:rPr>
          <w:b/>
          <w:bCs/>
          <w:i/>
          <w:iCs/>
          <w:sz w:val="36"/>
          <w:szCs w:val="36"/>
        </w:rPr>
      </w:pPr>
      <w:r>
        <w:rPr>
          <w:b/>
          <w:bCs/>
          <w:i/>
          <w:iCs/>
          <w:sz w:val="36"/>
          <w:szCs w:val="36"/>
        </w:rPr>
        <w:t>Student name: Alina Jubea</w:t>
      </w:r>
    </w:p>
    <w:p w14:paraId="26581F53" w14:textId="721AB773" w:rsidR="00150C06" w:rsidRDefault="00150C06" w:rsidP="00150C06">
      <w:pPr>
        <w:jc w:val="center"/>
        <w:rPr>
          <w:b/>
          <w:bCs/>
          <w:i/>
          <w:iCs/>
          <w:sz w:val="36"/>
          <w:szCs w:val="36"/>
        </w:rPr>
      </w:pPr>
      <w:r>
        <w:rPr>
          <w:b/>
          <w:bCs/>
          <w:i/>
          <w:iCs/>
          <w:sz w:val="36"/>
          <w:szCs w:val="36"/>
        </w:rPr>
        <w:t>Student number: 2023149</w:t>
      </w:r>
    </w:p>
    <w:p w14:paraId="4A8BD25D" w14:textId="3394477D" w:rsidR="00150C06" w:rsidRDefault="00150C06" w:rsidP="00150C06">
      <w:pPr>
        <w:jc w:val="center"/>
        <w:rPr>
          <w:b/>
          <w:bCs/>
          <w:i/>
          <w:iCs/>
          <w:sz w:val="36"/>
          <w:szCs w:val="36"/>
        </w:rPr>
      </w:pPr>
      <w:r>
        <w:rPr>
          <w:b/>
          <w:bCs/>
          <w:i/>
          <w:iCs/>
          <w:sz w:val="36"/>
          <w:szCs w:val="36"/>
        </w:rPr>
        <w:t>Lecturer name: David Coker</w:t>
      </w:r>
    </w:p>
    <w:p w14:paraId="16C38614" w14:textId="7D173812" w:rsidR="00150C06" w:rsidRDefault="00150C06" w:rsidP="00150C06">
      <w:pPr>
        <w:jc w:val="center"/>
        <w:rPr>
          <w:b/>
          <w:bCs/>
          <w:i/>
          <w:iCs/>
          <w:sz w:val="36"/>
          <w:szCs w:val="36"/>
        </w:rPr>
      </w:pPr>
      <w:r>
        <w:rPr>
          <w:b/>
          <w:bCs/>
          <w:i/>
          <w:iCs/>
          <w:sz w:val="36"/>
          <w:szCs w:val="36"/>
        </w:rPr>
        <w:t>Module name: Financial Management</w:t>
      </w:r>
    </w:p>
    <w:p w14:paraId="2945AC6D" w14:textId="0F72CCDF" w:rsidR="00150C06" w:rsidRDefault="00150C06" w:rsidP="00150C06">
      <w:pPr>
        <w:jc w:val="center"/>
        <w:rPr>
          <w:b/>
          <w:bCs/>
          <w:i/>
          <w:iCs/>
          <w:sz w:val="36"/>
          <w:szCs w:val="36"/>
        </w:rPr>
      </w:pPr>
      <w:r>
        <w:rPr>
          <w:b/>
          <w:bCs/>
          <w:i/>
          <w:iCs/>
          <w:sz w:val="36"/>
          <w:szCs w:val="36"/>
        </w:rPr>
        <w:t xml:space="preserve">Module </w:t>
      </w:r>
      <w:proofErr w:type="gramStart"/>
      <w:r>
        <w:rPr>
          <w:b/>
          <w:bCs/>
          <w:i/>
          <w:iCs/>
          <w:sz w:val="36"/>
          <w:szCs w:val="36"/>
        </w:rPr>
        <w:t>code:LCMB</w:t>
      </w:r>
      <w:proofErr w:type="gramEnd"/>
      <w:r>
        <w:rPr>
          <w:b/>
          <w:bCs/>
          <w:i/>
          <w:iCs/>
          <w:sz w:val="36"/>
          <w:szCs w:val="36"/>
        </w:rPr>
        <w:t>7002</w:t>
      </w:r>
    </w:p>
    <w:p w14:paraId="6783110E" w14:textId="77777777" w:rsidR="00150C06" w:rsidRPr="00150C06" w:rsidRDefault="00150C06" w:rsidP="00150C06">
      <w:pPr>
        <w:jc w:val="center"/>
        <w:rPr>
          <w:b/>
          <w:bCs/>
          <w:i/>
          <w:iCs/>
          <w:sz w:val="36"/>
          <w:szCs w:val="36"/>
        </w:rPr>
      </w:pPr>
    </w:p>
    <w:p w14:paraId="1B85B889" w14:textId="77777777" w:rsidR="00150C06" w:rsidRDefault="00150C06">
      <w:pPr>
        <w:rPr>
          <w:b/>
          <w:bCs/>
          <w:i/>
          <w:iCs/>
        </w:rPr>
      </w:pPr>
    </w:p>
    <w:p w14:paraId="057A7EA0" w14:textId="77777777" w:rsidR="00150C06" w:rsidRDefault="00150C06">
      <w:pPr>
        <w:rPr>
          <w:b/>
          <w:bCs/>
          <w:i/>
          <w:iCs/>
        </w:rPr>
      </w:pPr>
    </w:p>
    <w:p w14:paraId="2934D727" w14:textId="77777777" w:rsidR="00150C06" w:rsidRDefault="00150C06">
      <w:pPr>
        <w:rPr>
          <w:b/>
          <w:bCs/>
          <w:i/>
          <w:iCs/>
        </w:rPr>
      </w:pPr>
    </w:p>
    <w:p w14:paraId="78A1CF44" w14:textId="77777777" w:rsidR="00150C06" w:rsidRDefault="00150C06">
      <w:pPr>
        <w:rPr>
          <w:b/>
          <w:bCs/>
          <w:i/>
          <w:iCs/>
        </w:rPr>
      </w:pPr>
    </w:p>
    <w:p w14:paraId="7E1F751E" w14:textId="77777777" w:rsidR="00150C06" w:rsidRDefault="00150C06">
      <w:pPr>
        <w:rPr>
          <w:b/>
          <w:bCs/>
          <w:i/>
          <w:iCs/>
        </w:rPr>
      </w:pPr>
    </w:p>
    <w:p w14:paraId="11519A1D" w14:textId="77777777" w:rsidR="00150C06" w:rsidRDefault="00150C06">
      <w:pPr>
        <w:rPr>
          <w:b/>
          <w:bCs/>
          <w:i/>
          <w:iCs/>
        </w:rPr>
      </w:pPr>
    </w:p>
    <w:p w14:paraId="36CA5F41" w14:textId="77777777" w:rsidR="00150C06" w:rsidRDefault="00150C06">
      <w:pPr>
        <w:rPr>
          <w:b/>
          <w:bCs/>
          <w:i/>
          <w:iCs/>
        </w:rPr>
      </w:pPr>
    </w:p>
    <w:p w14:paraId="177A82B6" w14:textId="77777777" w:rsidR="00150C06" w:rsidRDefault="00150C06">
      <w:pPr>
        <w:rPr>
          <w:b/>
          <w:bCs/>
          <w:i/>
          <w:iCs/>
        </w:rPr>
      </w:pPr>
    </w:p>
    <w:p w14:paraId="481690E3" w14:textId="77777777" w:rsidR="00150C06" w:rsidRDefault="00150C06">
      <w:pPr>
        <w:rPr>
          <w:b/>
          <w:bCs/>
          <w:i/>
          <w:iCs/>
        </w:rPr>
      </w:pPr>
    </w:p>
    <w:p w14:paraId="25225517" w14:textId="77777777" w:rsidR="00150C06" w:rsidRDefault="00150C06">
      <w:pPr>
        <w:rPr>
          <w:b/>
          <w:bCs/>
          <w:i/>
          <w:iCs/>
        </w:rPr>
      </w:pPr>
    </w:p>
    <w:p w14:paraId="46E6A9DF" w14:textId="77777777" w:rsidR="00150C06" w:rsidRPr="00460444" w:rsidRDefault="00150C06" w:rsidP="00460444">
      <w:pPr>
        <w:spacing w:line="360" w:lineRule="auto"/>
      </w:pPr>
    </w:p>
    <w:p w14:paraId="6513ABF4" w14:textId="77777777" w:rsidR="00150C06" w:rsidRPr="00460444" w:rsidRDefault="00150C06" w:rsidP="00460444">
      <w:pPr>
        <w:spacing w:line="360" w:lineRule="auto"/>
      </w:pPr>
    </w:p>
    <w:p w14:paraId="1397E550" w14:textId="6A452C93" w:rsidR="00460444" w:rsidRDefault="00460444" w:rsidP="00460444">
      <w:pPr>
        <w:spacing w:line="360" w:lineRule="auto"/>
        <w:rPr>
          <w:b/>
          <w:bCs/>
        </w:rPr>
      </w:pPr>
      <w:r w:rsidRPr="00460444">
        <w:rPr>
          <w:b/>
          <w:bCs/>
        </w:rPr>
        <w:lastRenderedPageBreak/>
        <w:t>Executive Summary: Financial Analysis of Apple Inc. and Comparison with Microsoft Corporation</w:t>
      </w:r>
      <w:r>
        <w:rPr>
          <w:b/>
          <w:bCs/>
        </w:rPr>
        <w:t>.</w:t>
      </w:r>
    </w:p>
    <w:p w14:paraId="7D491EC8" w14:textId="77777777" w:rsidR="00460444" w:rsidRDefault="00460444" w:rsidP="00460444">
      <w:pPr>
        <w:spacing w:line="360" w:lineRule="auto"/>
        <w:rPr>
          <w:b/>
          <w:bCs/>
        </w:rPr>
      </w:pPr>
    </w:p>
    <w:p w14:paraId="4A9B6D0B" w14:textId="312C8285" w:rsidR="00150C06" w:rsidRDefault="00460444" w:rsidP="00460444">
      <w:pPr>
        <w:spacing w:line="360" w:lineRule="auto"/>
      </w:pPr>
      <w:proofErr w:type="spellStart"/>
      <w:r w:rsidRPr="00460444">
        <w:t>Thi</w:t>
      </w:r>
      <w:proofErr w:type="spellEnd"/>
      <w:r w:rsidRPr="00460444">
        <w:t>s research provides a thorough examination of Apple Inc.'s financial performance for the fiscal year 2023, specifically analysing profitability, liquidity, and leverage ratios. When comparing Apple with Microsoft Corporation, it is evident that Apple has a better Return on Assets (ROA) but also relies more on debt. Suggested measures including improving the effectiveness of assets, controlling debt levels, and strengthening liquidity situations for both organisations. The assessment of investment viability is conducted by the analysis of Payback Period, Accounting Rate of Return (ARR), and Net Present Value (NPV). Based on these criteria, Project B is determined to be the most viable option. Emphasis is placed on non-financial aspects such as strategic alignment and environmental effect. Finally, differences in investing criteria highlight the significance of making strong and resilient decisions. This research offers vital insights for stakeholders navigating the technological industry's terrain.</w:t>
      </w:r>
    </w:p>
    <w:p w14:paraId="07BD3C0D" w14:textId="77777777" w:rsidR="00460444" w:rsidRDefault="00460444" w:rsidP="00460444">
      <w:pPr>
        <w:spacing w:line="360" w:lineRule="auto"/>
      </w:pPr>
    </w:p>
    <w:p w14:paraId="2894A415" w14:textId="77777777" w:rsidR="00460444" w:rsidRDefault="00460444" w:rsidP="00460444">
      <w:pPr>
        <w:spacing w:line="360" w:lineRule="auto"/>
      </w:pPr>
    </w:p>
    <w:p w14:paraId="4107FF84" w14:textId="77777777" w:rsidR="00460444" w:rsidRDefault="00460444" w:rsidP="00460444">
      <w:pPr>
        <w:spacing w:line="360" w:lineRule="auto"/>
      </w:pPr>
    </w:p>
    <w:p w14:paraId="06534777" w14:textId="77777777" w:rsidR="00460444" w:rsidRDefault="00460444" w:rsidP="00460444">
      <w:pPr>
        <w:spacing w:line="360" w:lineRule="auto"/>
      </w:pPr>
    </w:p>
    <w:p w14:paraId="679F2B0C" w14:textId="77777777" w:rsidR="00460444" w:rsidRDefault="00460444" w:rsidP="00460444">
      <w:pPr>
        <w:spacing w:line="360" w:lineRule="auto"/>
      </w:pPr>
    </w:p>
    <w:p w14:paraId="126328F1" w14:textId="77777777" w:rsidR="00460444" w:rsidRDefault="00460444" w:rsidP="00460444">
      <w:pPr>
        <w:spacing w:line="360" w:lineRule="auto"/>
      </w:pPr>
    </w:p>
    <w:p w14:paraId="3657BD0B" w14:textId="77777777" w:rsidR="00460444" w:rsidRDefault="00460444" w:rsidP="00460444">
      <w:pPr>
        <w:spacing w:line="360" w:lineRule="auto"/>
      </w:pPr>
    </w:p>
    <w:p w14:paraId="0B97ACCB" w14:textId="77777777" w:rsidR="00460444" w:rsidRDefault="00460444" w:rsidP="00460444">
      <w:pPr>
        <w:spacing w:line="360" w:lineRule="auto"/>
      </w:pPr>
    </w:p>
    <w:p w14:paraId="4AB8F0DE" w14:textId="77777777" w:rsidR="00460444" w:rsidRDefault="00460444" w:rsidP="00460444">
      <w:pPr>
        <w:spacing w:line="360" w:lineRule="auto"/>
      </w:pPr>
    </w:p>
    <w:p w14:paraId="17880549" w14:textId="77777777" w:rsidR="00460444" w:rsidRDefault="00460444" w:rsidP="00460444">
      <w:pPr>
        <w:spacing w:line="360" w:lineRule="auto"/>
      </w:pPr>
    </w:p>
    <w:p w14:paraId="14671899" w14:textId="77777777" w:rsidR="00460444" w:rsidRDefault="00460444" w:rsidP="00460444">
      <w:pPr>
        <w:spacing w:line="360" w:lineRule="auto"/>
      </w:pPr>
    </w:p>
    <w:p w14:paraId="4BACF951" w14:textId="77777777" w:rsidR="00460444" w:rsidRDefault="00460444" w:rsidP="00460444">
      <w:pPr>
        <w:spacing w:line="360" w:lineRule="auto"/>
      </w:pPr>
    </w:p>
    <w:p w14:paraId="1065B4F8" w14:textId="77777777" w:rsidR="00460444" w:rsidRDefault="00460444" w:rsidP="00460444">
      <w:pPr>
        <w:spacing w:line="360" w:lineRule="auto"/>
      </w:pPr>
    </w:p>
    <w:p w14:paraId="27EE4BA1" w14:textId="77777777" w:rsidR="00460444" w:rsidRDefault="00460444" w:rsidP="00460444">
      <w:pPr>
        <w:spacing w:line="360" w:lineRule="auto"/>
      </w:pPr>
    </w:p>
    <w:p w14:paraId="3135FC06" w14:textId="77777777" w:rsidR="00460444" w:rsidRDefault="00460444" w:rsidP="00460444">
      <w:pPr>
        <w:spacing w:line="360" w:lineRule="auto"/>
      </w:pPr>
    </w:p>
    <w:p w14:paraId="7C1DABEF" w14:textId="77777777" w:rsidR="00460444" w:rsidRDefault="00460444" w:rsidP="00460444">
      <w:pPr>
        <w:spacing w:line="360" w:lineRule="auto"/>
      </w:pPr>
    </w:p>
    <w:p w14:paraId="289F6235" w14:textId="77777777" w:rsidR="00460444" w:rsidRPr="00460444" w:rsidRDefault="00460444" w:rsidP="00460444">
      <w:pPr>
        <w:spacing w:line="360" w:lineRule="auto"/>
      </w:pPr>
    </w:p>
    <w:sdt>
      <w:sdtPr>
        <w:rPr>
          <w:b w:val="0"/>
          <w:bCs w:val="0"/>
        </w:rPr>
        <w:id w:val="210344090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465BD4E" w14:textId="6727E111" w:rsidR="00B209A8" w:rsidRPr="00460444" w:rsidRDefault="00B209A8" w:rsidP="00460444">
          <w:pPr>
            <w:pStyle w:val="TOCHeading"/>
            <w:spacing w:line="360" w:lineRule="auto"/>
            <w:rPr>
              <w:b w:val="0"/>
              <w:bCs w:val="0"/>
            </w:rPr>
          </w:pPr>
          <w:r w:rsidRPr="00460444">
            <w:rPr>
              <w:b w:val="0"/>
              <w:bCs w:val="0"/>
            </w:rPr>
            <w:t>Table of Contents</w:t>
          </w:r>
        </w:p>
        <w:p w14:paraId="14E89F64" w14:textId="30FE0969" w:rsidR="00460444" w:rsidRDefault="00B209A8">
          <w:pPr>
            <w:pStyle w:val="TOC1"/>
            <w:tabs>
              <w:tab w:val="right" w:leader="dot" w:pos="9016"/>
            </w:tabs>
            <w:rPr>
              <w:rFonts w:eastAsiaTheme="minorEastAsia"/>
              <w:b w:val="0"/>
              <w:bCs w:val="0"/>
              <w:i w:val="0"/>
              <w:iCs w:val="0"/>
              <w:noProof/>
              <w:lang w:eastAsia="en-GB"/>
            </w:rPr>
          </w:pPr>
          <w:r w:rsidRPr="00460444">
            <w:rPr>
              <w:b w:val="0"/>
              <w:bCs w:val="0"/>
              <w:i w:val="0"/>
              <w:iCs w:val="0"/>
            </w:rPr>
            <w:fldChar w:fldCharType="begin"/>
          </w:r>
          <w:r w:rsidRPr="00460444">
            <w:rPr>
              <w:b w:val="0"/>
              <w:bCs w:val="0"/>
              <w:i w:val="0"/>
              <w:iCs w:val="0"/>
            </w:rPr>
            <w:instrText xml:space="preserve"> TOC \o "1-3" \h \z \u </w:instrText>
          </w:r>
          <w:r w:rsidRPr="00460444">
            <w:rPr>
              <w:b w:val="0"/>
              <w:bCs w:val="0"/>
              <w:i w:val="0"/>
              <w:iCs w:val="0"/>
            </w:rPr>
            <w:fldChar w:fldCharType="separate"/>
          </w:r>
          <w:hyperlink w:anchor="_Toc164857829" w:history="1">
            <w:r w:rsidR="00460444" w:rsidRPr="00C04313">
              <w:rPr>
                <w:rStyle w:val="Hyperlink"/>
                <w:noProof/>
              </w:rPr>
              <w:t>Table of Calculations</w:t>
            </w:r>
            <w:r w:rsidR="00460444">
              <w:rPr>
                <w:noProof/>
                <w:webHidden/>
              </w:rPr>
              <w:tab/>
            </w:r>
            <w:r w:rsidR="00460444">
              <w:rPr>
                <w:noProof/>
                <w:webHidden/>
              </w:rPr>
              <w:fldChar w:fldCharType="begin"/>
            </w:r>
            <w:r w:rsidR="00460444">
              <w:rPr>
                <w:noProof/>
                <w:webHidden/>
              </w:rPr>
              <w:instrText xml:space="preserve"> PAGEREF _Toc164857829 \h </w:instrText>
            </w:r>
            <w:r w:rsidR="00460444">
              <w:rPr>
                <w:noProof/>
                <w:webHidden/>
              </w:rPr>
            </w:r>
            <w:r w:rsidR="00460444">
              <w:rPr>
                <w:noProof/>
                <w:webHidden/>
              </w:rPr>
              <w:fldChar w:fldCharType="separate"/>
            </w:r>
            <w:r w:rsidR="00460444">
              <w:rPr>
                <w:noProof/>
                <w:webHidden/>
              </w:rPr>
              <w:t>3</w:t>
            </w:r>
            <w:r w:rsidR="00460444">
              <w:rPr>
                <w:noProof/>
                <w:webHidden/>
              </w:rPr>
              <w:fldChar w:fldCharType="end"/>
            </w:r>
          </w:hyperlink>
        </w:p>
        <w:p w14:paraId="3B378E4E" w14:textId="5C871595" w:rsidR="00460444" w:rsidRDefault="00460444">
          <w:pPr>
            <w:pStyle w:val="TOC1"/>
            <w:tabs>
              <w:tab w:val="right" w:leader="dot" w:pos="9016"/>
            </w:tabs>
            <w:rPr>
              <w:rFonts w:eastAsiaTheme="minorEastAsia"/>
              <w:b w:val="0"/>
              <w:bCs w:val="0"/>
              <w:i w:val="0"/>
              <w:iCs w:val="0"/>
              <w:noProof/>
              <w:lang w:eastAsia="en-GB"/>
            </w:rPr>
          </w:pPr>
          <w:hyperlink w:anchor="_Toc164857830" w:history="1">
            <w:r w:rsidRPr="00C04313">
              <w:rPr>
                <w:rStyle w:val="Hyperlink"/>
                <w:noProof/>
              </w:rPr>
              <w:t>Introduction</w:t>
            </w:r>
            <w:r>
              <w:rPr>
                <w:noProof/>
                <w:webHidden/>
              </w:rPr>
              <w:tab/>
            </w:r>
            <w:r>
              <w:rPr>
                <w:noProof/>
                <w:webHidden/>
              </w:rPr>
              <w:fldChar w:fldCharType="begin"/>
            </w:r>
            <w:r>
              <w:rPr>
                <w:noProof/>
                <w:webHidden/>
              </w:rPr>
              <w:instrText xml:space="preserve"> PAGEREF _Toc164857830 \h </w:instrText>
            </w:r>
            <w:r>
              <w:rPr>
                <w:noProof/>
                <w:webHidden/>
              </w:rPr>
            </w:r>
            <w:r>
              <w:rPr>
                <w:noProof/>
                <w:webHidden/>
              </w:rPr>
              <w:fldChar w:fldCharType="separate"/>
            </w:r>
            <w:r>
              <w:rPr>
                <w:noProof/>
                <w:webHidden/>
              </w:rPr>
              <w:t>6</w:t>
            </w:r>
            <w:r>
              <w:rPr>
                <w:noProof/>
                <w:webHidden/>
              </w:rPr>
              <w:fldChar w:fldCharType="end"/>
            </w:r>
          </w:hyperlink>
        </w:p>
        <w:p w14:paraId="5D5B0B0B" w14:textId="23E220DC" w:rsidR="00460444" w:rsidRDefault="00460444">
          <w:pPr>
            <w:pStyle w:val="TOC1"/>
            <w:tabs>
              <w:tab w:val="right" w:leader="dot" w:pos="9016"/>
            </w:tabs>
            <w:rPr>
              <w:rFonts w:eastAsiaTheme="minorEastAsia"/>
              <w:b w:val="0"/>
              <w:bCs w:val="0"/>
              <w:i w:val="0"/>
              <w:iCs w:val="0"/>
              <w:noProof/>
              <w:lang w:eastAsia="en-GB"/>
            </w:rPr>
          </w:pPr>
          <w:hyperlink w:anchor="_Toc164857831" w:history="1">
            <w:r w:rsidRPr="00C04313">
              <w:rPr>
                <w:rStyle w:val="Hyperlink"/>
                <w:noProof/>
              </w:rPr>
              <w:t>Financial Ratios for Apple for 2023</w:t>
            </w:r>
            <w:r>
              <w:rPr>
                <w:noProof/>
                <w:webHidden/>
              </w:rPr>
              <w:tab/>
            </w:r>
            <w:r>
              <w:rPr>
                <w:noProof/>
                <w:webHidden/>
              </w:rPr>
              <w:fldChar w:fldCharType="begin"/>
            </w:r>
            <w:r>
              <w:rPr>
                <w:noProof/>
                <w:webHidden/>
              </w:rPr>
              <w:instrText xml:space="preserve"> PAGEREF _Toc164857831 \h </w:instrText>
            </w:r>
            <w:r>
              <w:rPr>
                <w:noProof/>
                <w:webHidden/>
              </w:rPr>
            </w:r>
            <w:r>
              <w:rPr>
                <w:noProof/>
                <w:webHidden/>
              </w:rPr>
              <w:fldChar w:fldCharType="separate"/>
            </w:r>
            <w:r>
              <w:rPr>
                <w:noProof/>
                <w:webHidden/>
              </w:rPr>
              <w:t>7</w:t>
            </w:r>
            <w:r>
              <w:rPr>
                <w:noProof/>
                <w:webHidden/>
              </w:rPr>
              <w:fldChar w:fldCharType="end"/>
            </w:r>
          </w:hyperlink>
        </w:p>
        <w:p w14:paraId="08C3947E" w14:textId="42B8812A" w:rsidR="00460444" w:rsidRDefault="00460444">
          <w:pPr>
            <w:pStyle w:val="TOC2"/>
            <w:tabs>
              <w:tab w:val="right" w:leader="dot" w:pos="9016"/>
            </w:tabs>
            <w:rPr>
              <w:rFonts w:eastAsiaTheme="minorEastAsia"/>
              <w:b w:val="0"/>
              <w:bCs w:val="0"/>
              <w:noProof/>
              <w:sz w:val="24"/>
              <w:szCs w:val="24"/>
              <w:lang w:eastAsia="en-GB"/>
            </w:rPr>
          </w:pPr>
          <w:hyperlink w:anchor="_Toc164857832" w:history="1">
            <w:r w:rsidRPr="00C04313">
              <w:rPr>
                <w:rStyle w:val="Hyperlink"/>
                <w:noProof/>
              </w:rPr>
              <w:t>Profitability Ratio -  Return on Assets</w:t>
            </w:r>
            <w:r>
              <w:rPr>
                <w:noProof/>
                <w:webHidden/>
              </w:rPr>
              <w:tab/>
            </w:r>
            <w:r>
              <w:rPr>
                <w:noProof/>
                <w:webHidden/>
              </w:rPr>
              <w:fldChar w:fldCharType="begin"/>
            </w:r>
            <w:r>
              <w:rPr>
                <w:noProof/>
                <w:webHidden/>
              </w:rPr>
              <w:instrText xml:space="preserve"> PAGEREF _Toc164857832 \h </w:instrText>
            </w:r>
            <w:r>
              <w:rPr>
                <w:noProof/>
                <w:webHidden/>
              </w:rPr>
            </w:r>
            <w:r>
              <w:rPr>
                <w:noProof/>
                <w:webHidden/>
              </w:rPr>
              <w:fldChar w:fldCharType="separate"/>
            </w:r>
            <w:r>
              <w:rPr>
                <w:noProof/>
                <w:webHidden/>
              </w:rPr>
              <w:t>7</w:t>
            </w:r>
            <w:r>
              <w:rPr>
                <w:noProof/>
                <w:webHidden/>
              </w:rPr>
              <w:fldChar w:fldCharType="end"/>
            </w:r>
          </w:hyperlink>
        </w:p>
        <w:p w14:paraId="5224640A" w14:textId="3486CA77" w:rsidR="00460444" w:rsidRDefault="00460444">
          <w:pPr>
            <w:pStyle w:val="TOC2"/>
            <w:tabs>
              <w:tab w:val="right" w:leader="dot" w:pos="9016"/>
            </w:tabs>
            <w:rPr>
              <w:rFonts w:eastAsiaTheme="minorEastAsia"/>
              <w:b w:val="0"/>
              <w:bCs w:val="0"/>
              <w:noProof/>
              <w:sz w:val="24"/>
              <w:szCs w:val="24"/>
              <w:lang w:eastAsia="en-GB"/>
            </w:rPr>
          </w:pPr>
          <w:hyperlink w:anchor="_Toc164857833" w:history="1">
            <w:r w:rsidRPr="00C04313">
              <w:rPr>
                <w:rStyle w:val="Hyperlink"/>
                <w:noProof/>
              </w:rPr>
              <w:t>Apple Inc ROA (Return on Assets)</w:t>
            </w:r>
            <w:r>
              <w:rPr>
                <w:noProof/>
                <w:webHidden/>
              </w:rPr>
              <w:tab/>
            </w:r>
            <w:r>
              <w:rPr>
                <w:noProof/>
                <w:webHidden/>
              </w:rPr>
              <w:fldChar w:fldCharType="begin"/>
            </w:r>
            <w:r>
              <w:rPr>
                <w:noProof/>
                <w:webHidden/>
              </w:rPr>
              <w:instrText xml:space="preserve"> PAGEREF _Toc164857833 \h </w:instrText>
            </w:r>
            <w:r>
              <w:rPr>
                <w:noProof/>
                <w:webHidden/>
              </w:rPr>
            </w:r>
            <w:r>
              <w:rPr>
                <w:noProof/>
                <w:webHidden/>
              </w:rPr>
              <w:fldChar w:fldCharType="separate"/>
            </w:r>
            <w:r>
              <w:rPr>
                <w:noProof/>
                <w:webHidden/>
              </w:rPr>
              <w:t>8</w:t>
            </w:r>
            <w:r>
              <w:rPr>
                <w:noProof/>
                <w:webHidden/>
              </w:rPr>
              <w:fldChar w:fldCharType="end"/>
            </w:r>
          </w:hyperlink>
        </w:p>
        <w:p w14:paraId="591EAB4C" w14:textId="1B435FCD" w:rsidR="00460444" w:rsidRDefault="00460444">
          <w:pPr>
            <w:pStyle w:val="TOC2"/>
            <w:tabs>
              <w:tab w:val="right" w:leader="dot" w:pos="9016"/>
            </w:tabs>
            <w:rPr>
              <w:rFonts w:eastAsiaTheme="minorEastAsia"/>
              <w:b w:val="0"/>
              <w:bCs w:val="0"/>
              <w:noProof/>
              <w:sz w:val="24"/>
              <w:szCs w:val="24"/>
              <w:lang w:eastAsia="en-GB"/>
            </w:rPr>
          </w:pPr>
          <w:hyperlink w:anchor="_Toc164857834" w:history="1">
            <w:r w:rsidRPr="00C04313">
              <w:rPr>
                <w:rStyle w:val="Hyperlink"/>
                <w:rFonts w:eastAsia="Times New Roman"/>
                <w:noProof/>
                <w:lang w:eastAsia="en-GB"/>
              </w:rPr>
              <w:t>Microsoft ROA (Return on Assets)</w:t>
            </w:r>
            <w:r>
              <w:rPr>
                <w:noProof/>
                <w:webHidden/>
              </w:rPr>
              <w:tab/>
            </w:r>
            <w:r>
              <w:rPr>
                <w:noProof/>
                <w:webHidden/>
              </w:rPr>
              <w:fldChar w:fldCharType="begin"/>
            </w:r>
            <w:r>
              <w:rPr>
                <w:noProof/>
                <w:webHidden/>
              </w:rPr>
              <w:instrText xml:space="preserve"> PAGEREF _Toc164857834 \h </w:instrText>
            </w:r>
            <w:r>
              <w:rPr>
                <w:noProof/>
                <w:webHidden/>
              </w:rPr>
            </w:r>
            <w:r>
              <w:rPr>
                <w:noProof/>
                <w:webHidden/>
              </w:rPr>
              <w:fldChar w:fldCharType="separate"/>
            </w:r>
            <w:r>
              <w:rPr>
                <w:noProof/>
                <w:webHidden/>
              </w:rPr>
              <w:t>8</w:t>
            </w:r>
            <w:r>
              <w:rPr>
                <w:noProof/>
                <w:webHidden/>
              </w:rPr>
              <w:fldChar w:fldCharType="end"/>
            </w:r>
          </w:hyperlink>
        </w:p>
        <w:p w14:paraId="089E7062" w14:textId="788DAC9A" w:rsidR="00460444" w:rsidRDefault="00460444">
          <w:pPr>
            <w:pStyle w:val="TOC2"/>
            <w:tabs>
              <w:tab w:val="right" w:leader="dot" w:pos="9016"/>
            </w:tabs>
            <w:rPr>
              <w:rFonts w:eastAsiaTheme="minorEastAsia"/>
              <w:b w:val="0"/>
              <w:bCs w:val="0"/>
              <w:noProof/>
              <w:sz w:val="24"/>
              <w:szCs w:val="24"/>
              <w:lang w:eastAsia="en-GB"/>
            </w:rPr>
          </w:pPr>
          <w:hyperlink w:anchor="_Toc164857835" w:history="1">
            <w:r w:rsidRPr="00C04313">
              <w:rPr>
                <w:rStyle w:val="Hyperlink"/>
                <w:rFonts w:eastAsia="Times New Roman"/>
                <w:noProof/>
                <w:lang w:eastAsia="en-GB"/>
              </w:rPr>
              <w:t>Liquidity : Current Ratio</w:t>
            </w:r>
            <w:r>
              <w:rPr>
                <w:noProof/>
                <w:webHidden/>
              </w:rPr>
              <w:tab/>
            </w:r>
            <w:r>
              <w:rPr>
                <w:noProof/>
                <w:webHidden/>
              </w:rPr>
              <w:fldChar w:fldCharType="begin"/>
            </w:r>
            <w:r>
              <w:rPr>
                <w:noProof/>
                <w:webHidden/>
              </w:rPr>
              <w:instrText xml:space="preserve"> PAGEREF _Toc164857835 \h </w:instrText>
            </w:r>
            <w:r>
              <w:rPr>
                <w:noProof/>
                <w:webHidden/>
              </w:rPr>
            </w:r>
            <w:r>
              <w:rPr>
                <w:noProof/>
                <w:webHidden/>
              </w:rPr>
              <w:fldChar w:fldCharType="separate"/>
            </w:r>
            <w:r>
              <w:rPr>
                <w:noProof/>
                <w:webHidden/>
              </w:rPr>
              <w:t>9</w:t>
            </w:r>
            <w:r>
              <w:rPr>
                <w:noProof/>
                <w:webHidden/>
              </w:rPr>
              <w:fldChar w:fldCharType="end"/>
            </w:r>
          </w:hyperlink>
        </w:p>
        <w:p w14:paraId="414A170C" w14:textId="4BD613B7" w:rsidR="00460444" w:rsidRDefault="00460444">
          <w:pPr>
            <w:pStyle w:val="TOC2"/>
            <w:tabs>
              <w:tab w:val="right" w:leader="dot" w:pos="9016"/>
            </w:tabs>
            <w:rPr>
              <w:rFonts w:eastAsiaTheme="minorEastAsia"/>
              <w:b w:val="0"/>
              <w:bCs w:val="0"/>
              <w:noProof/>
              <w:sz w:val="24"/>
              <w:szCs w:val="24"/>
              <w:lang w:eastAsia="en-GB"/>
            </w:rPr>
          </w:pPr>
          <w:hyperlink w:anchor="_Toc164857836" w:history="1">
            <w:r w:rsidRPr="00C04313">
              <w:rPr>
                <w:rStyle w:val="Hyperlink"/>
                <w:rFonts w:eastAsia="Times New Roman"/>
                <w:noProof/>
                <w:lang w:eastAsia="en-GB"/>
              </w:rPr>
              <w:t>Gearing Ratio: Debt-to-Equity</w:t>
            </w:r>
            <w:r>
              <w:rPr>
                <w:noProof/>
                <w:webHidden/>
              </w:rPr>
              <w:tab/>
            </w:r>
            <w:r>
              <w:rPr>
                <w:noProof/>
                <w:webHidden/>
              </w:rPr>
              <w:fldChar w:fldCharType="begin"/>
            </w:r>
            <w:r>
              <w:rPr>
                <w:noProof/>
                <w:webHidden/>
              </w:rPr>
              <w:instrText xml:space="preserve"> PAGEREF _Toc164857836 \h </w:instrText>
            </w:r>
            <w:r>
              <w:rPr>
                <w:noProof/>
                <w:webHidden/>
              </w:rPr>
            </w:r>
            <w:r>
              <w:rPr>
                <w:noProof/>
                <w:webHidden/>
              </w:rPr>
              <w:fldChar w:fldCharType="separate"/>
            </w:r>
            <w:r>
              <w:rPr>
                <w:noProof/>
                <w:webHidden/>
              </w:rPr>
              <w:t>11</w:t>
            </w:r>
            <w:r>
              <w:rPr>
                <w:noProof/>
                <w:webHidden/>
              </w:rPr>
              <w:fldChar w:fldCharType="end"/>
            </w:r>
          </w:hyperlink>
        </w:p>
        <w:p w14:paraId="52631115" w14:textId="30B62674" w:rsidR="00460444" w:rsidRDefault="00460444">
          <w:pPr>
            <w:pStyle w:val="TOC2"/>
            <w:tabs>
              <w:tab w:val="right" w:leader="dot" w:pos="9016"/>
            </w:tabs>
            <w:rPr>
              <w:rFonts w:eastAsiaTheme="minorEastAsia"/>
              <w:b w:val="0"/>
              <w:bCs w:val="0"/>
              <w:noProof/>
              <w:sz w:val="24"/>
              <w:szCs w:val="24"/>
              <w:lang w:eastAsia="en-GB"/>
            </w:rPr>
          </w:pPr>
          <w:hyperlink w:anchor="_Toc164857837" w:history="1">
            <w:r w:rsidRPr="00C04313">
              <w:rPr>
                <w:rStyle w:val="Hyperlink"/>
                <w:noProof/>
              </w:rPr>
              <w:t>Apple Debt-to-Equity</w:t>
            </w:r>
            <w:r>
              <w:rPr>
                <w:noProof/>
                <w:webHidden/>
              </w:rPr>
              <w:tab/>
            </w:r>
            <w:r>
              <w:rPr>
                <w:noProof/>
                <w:webHidden/>
              </w:rPr>
              <w:fldChar w:fldCharType="begin"/>
            </w:r>
            <w:r>
              <w:rPr>
                <w:noProof/>
                <w:webHidden/>
              </w:rPr>
              <w:instrText xml:space="preserve"> PAGEREF _Toc164857837 \h </w:instrText>
            </w:r>
            <w:r>
              <w:rPr>
                <w:noProof/>
                <w:webHidden/>
              </w:rPr>
            </w:r>
            <w:r>
              <w:rPr>
                <w:noProof/>
                <w:webHidden/>
              </w:rPr>
              <w:fldChar w:fldCharType="separate"/>
            </w:r>
            <w:r>
              <w:rPr>
                <w:noProof/>
                <w:webHidden/>
              </w:rPr>
              <w:t>11</w:t>
            </w:r>
            <w:r>
              <w:rPr>
                <w:noProof/>
                <w:webHidden/>
              </w:rPr>
              <w:fldChar w:fldCharType="end"/>
            </w:r>
          </w:hyperlink>
        </w:p>
        <w:p w14:paraId="3D9337C8" w14:textId="0A861744" w:rsidR="00460444" w:rsidRDefault="00460444">
          <w:pPr>
            <w:pStyle w:val="TOC2"/>
            <w:tabs>
              <w:tab w:val="right" w:leader="dot" w:pos="9016"/>
            </w:tabs>
            <w:rPr>
              <w:rFonts w:eastAsiaTheme="minorEastAsia"/>
              <w:b w:val="0"/>
              <w:bCs w:val="0"/>
              <w:noProof/>
              <w:sz w:val="24"/>
              <w:szCs w:val="24"/>
              <w:lang w:eastAsia="en-GB"/>
            </w:rPr>
          </w:pPr>
          <w:hyperlink w:anchor="_Toc164857838" w:history="1">
            <w:r w:rsidRPr="00C04313">
              <w:rPr>
                <w:rStyle w:val="Hyperlink"/>
                <w:noProof/>
              </w:rPr>
              <w:t>Microsoft Debt-to-Equity</w:t>
            </w:r>
            <w:r>
              <w:rPr>
                <w:noProof/>
                <w:webHidden/>
              </w:rPr>
              <w:tab/>
            </w:r>
            <w:r>
              <w:rPr>
                <w:noProof/>
                <w:webHidden/>
              </w:rPr>
              <w:fldChar w:fldCharType="begin"/>
            </w:r>
            <w:r>
              <w:rPr>
                <w:noProof/>
                <w:webHidden/>
              </w:rPr>
              <w:instrText xml:space="preserve"> PAGEREF _Toc164857838 \h </w:instrText>
            </w:r>
            <w:r>
              <w:rPr>
                <w:noProof/>
                <w:webHidden/>
              </w:rPr>
            </w:r>
            <w:r>
              <w:rPr>
                <w:noProof/>
                <w:webHidden/>
              </w:rPr>
              <w:fldChar w:fldCharType="separate"/>
            </w:r>
            <w:r>
              <w:rPr>
                <w:noProof/>
                <w:webHidden/>
              </w:rPr>
              <w:t>12</w:t>
            </w:r>
            <w:r>
              <w:rPr>
                <w:noProof/>
                <w:webHidden/>
              </w:rPr>
              <w:fldChar w:fldCharType="end"/>
            </w:r>
          </w:hyperlink>
        </w:p>
        <w:p w14:paraId="53CFD5BD" w14:textId="535C57C8" w:rsidR="00460444" w:rsidRDefault="00460444">
          <w:pPr>
            <w:pStyle w:val="TOC2"/>
            <w:tabs>
              <w:tab w:val="right" w:leader="dot" w:pos="9016"/>
            </w:tabs>
            <w:rPr>
              <w:rFonts w:eastAsiaTheme="minorEastAsia"/>
              <w:b w:val="0"/>
              <w:bCs w:val="0"/>
              <w:noProof/>
              <w:sz w:val="24"/>
              <w:szCs w:val="24"/>
              <w:lang w:eastAsia="en-GB"/>
            </w:rPr>
          </w:pPr>
          <w:hyperlink w:anchor="_Toc164857839" w:history="1">
            <w:r w:rsidRPr="00C04313">
              <w:rPr>
                <w:rStyle w:val="Hyperlink"/>
                <w:noProof/>
              </w:rPr>
              <w:t>Efficiency ratio – Assets Turnover</w:t>
            </w:r>
            <w:r>
              <w:rPr>
                <w:noProof/>
                <w:webHidden/>
              </w:rPr>
              <w:tab/>
            </w:r>
            <w:r>
              <w:rPr>
                <w:noProof/>
                <w:webHidden/>
              </w:rPr>
              <w:fldChar w:fldCharType="begin"/>
            </w:r>
            <w:r>
              <w:rPr>
                <w:noProof/>
                <w:webHidden/>
              </w:rPr>
              <w:instrText xml:space="preserve"> PAGEREF _Toc164857839 \h </w:instrText>
            </w:r>
            <w:r>
              <w:rPr>
                <w:noProof/>
                <w:webHidden/>
              </w:rPr>
            </w:r>
            <w:r>
              <w:rPr>
                <w:noProof/>
                <w:webHidden/>
              </w:rPr>
              <w:fldChar w:fldCharType="separate"/>
            </w:r>
            <w:r>
              <w:rPr>
                <w:noProof/>
                <w:webHidden/>
              </w:rPr>
              <w:t>13</w:t>
            </w:r>
            <w:r>
              <w:rPr>
                <w:noProof/>
                <w:webHidden/>
              </w:rPr>
              <w:fldChar w:fldCharType="end"/>
            </w:r>
          </w:hyperlink>
        </w:p>
        <w:p w14:paraId="67478495" w14:textId="4D4F2DD3" w:rsidR="00460444" w:rsidRDefault="00460444">
          <w:pPr>
            <w:pStyle w:val="TOC2"/>
            <w:tabs>
              <w:tab w:val="right" w:leader="dot" w:pos="9016"/>
            </w:tabs>
            <w:rPr>
              <w:rFonts w:eastAsiaTheme="minorEastAsia"/>
              <w:b w:val="0"/>
              <w:bCs w:val="0"/>
              <w:noProof/>
              <w:sz w:val="24"/>
              <w:szCs w:val="24"/>
              <w:lang w:eastAsia="en-GB"/>
            </w:rPr>
          </w:pPr>
          <w:hyperlink w:anchor="_Toc164857840" w:history="1">
            <w:r w:rsidRPr="00C04313">
              <w:rPr>
                <w:rStyle w:val="Hyperlink"/>
                <w:noProof/>
              </w:rPr>
              <w:t>Recommendations:</w:t>
            </w:r>
            <w:r>
              <w:rPr>
                <w:noProof/>
                <w:webHidden/>
              </w:rPr>
              <w:tab/>
            </w:r>
            <w:r>
              <w:rPr>
                <w:noProof/>
                <w:webHidden/>
              </w:rPr>
              <w:fldChar w:fldCharType="begin"/>
            </w:r>
            <w:r>
              <w:rPr>
                <w:noProof/>
                <w:webHidden/>
              </w:rPr>
              <w:instrText xml:space="preserve"> PAGEREF _Toc164857840 \h </w:instrText>
            </w:r>
            <w:r>
              <w:rPr>
                <w:noProof/>
                <w:webHidden/>
              </w:rPr>
            </w:r>
            <w:r>
              <w:rPr>
                <w:noProof/>
                <w:webHidden/>
              </w:rPr>
              <w:fldChar w:fldCharType="separate"/>
            </w:r>
            <w:r>
              <w:rPr>
                <w:noProof/>
                <w:webHidden/>
              </w:rPr>
              <w:t>14</w:t>
            </w:r>
            <w:r>
              <w:rPr>
                <w:noProof/>
                <w:webHidden/>
              </w:rPr>
              <w:fldChar w:fldCharType="end"/>
            </w:r>
          </w:hyperlink>
        </w:p>
        <w:p w14:paraId="3DB62890" w14:textId="20686BED" w:rsidR="00460444" w:rsidRDefault="00460444">
          <w:pPr>
            <w:pStyle w:val="TOC1"/>
            <w:tabs>
              <w:tab w:val="right" w:leader="dot" w:pos="9016"/>
            </w:tabs>
            <w:rPr>
              <w:rFonts w:eastAsiaTheme="minorEastAsia"/>
              <w:b w:val="0"/>
              <w:bCs w:val="0"/>
              <w:i w:val="0"/>
              <w:iCs w:val="0"/>
              <w:noProof/>
              <w:lang w:eastAsia="en-GB"/>
            </w:rPr>
          </w:pPr>
          <w:hyperlink w:anchor="_Toc164857841" w:history="1">
            <w:r w:rsidRPr="00C04313">
              <w:rPr>
                <w:rStyle w:val="Hyperlink"/>
                <w:noProof/>
              </w:rPr>
              <w:t>Part C, Calculations</w:t>
            </w:r>
            <w:r>
              <w:rPr>
                <w:noProof/>
                <w:webHidden/>
              </w:rPr>
              <w:tab/>
            </w:r>
            <w:r>
              <w:rPr>
                <w:noProof/>
                <w:webHidden/>
              </w:rPr>
              <w:fldChar w:fldCharType="begin"/>
            </w:r>
            <w:r>
              <w:rPr>
                <w:noProof/>
                <w:webHidden/>
              </w:rPr>
              <w:instrText xml:space="preserve"> PAGEREF _Toc164857841 \h </w:instrText>
            </w:r>
            <w:r>
              <w:rPr>
                <w:noProof/>
                <w:webHidden/>
              </w:rPr>
            </w:r>
            <w:r>
              <w:rPr>
                <w:noProof/>
                <w:webHidden/>
              </w:rPr>
              <w:fldChar w:fldCharType="separate"/>
            </w:r>
            <w:r>
              <w:rPr>
                <w:noProof/>
                <w:webHidden/>
              </w:rPr>
              <w:t>15</w:t>
            </w:r>
            <w:r>
              <w:rPr>
                <w:noProof/>
                <w:webHidden/>
              </w:rPr>
              <w:fldChar w:fldCharType="end"/>
            </w:r>
          </w:hyperlink>
        </w:p>
        <w:p w14:paraId="103EED63" w14:textId="640411E1" w:rsidR="00460444" w:rsidRDefault="00460444">
          <w:pPr>
            <w:pStyle w:val="TOC2"/>
            <w:tabs>
              <w:tab w:val="right" w:leader="dot" w:pos="9016"/>
            </w:tabs>
            <w:rPr>
              <w:rFonts w:eastAsiaTheme="minorEastAsia"/>
              <w:b w:val="0"/>
              <w:bCs w:val="0"/>
              <w:noProof/>
              <w:sz w:val="24"/>
              <w:szCs w:val="24"/>
              <w:lang w:eastAsia="en-GB"/>
            </w:rPr>
          </w:pPr>
          <w:hyperlink w:anchor="_Toc164857842" w:history="1">
            <w:r w:rsidRPr="00C04313">
              <w:rPr>
                <w:rStyle w:val="Hyperlink"/>
                <w:noProof/>
              </w:rPr>
              <w:t>Payback Period (PBP)</w:t>
            </w:r>
            <w:r>
              <w:rPr>
                <w:noProof/>
                <w:webHidden/>
              </w:rPr>
              <w:tab/>
            </w:r>
            <w:r>
              <w:rPr>
                <w:noProof/>
                <w:webHidden/>
              </w:rPr>
              <w:fldChar w:fldCharType="begin"/>
            </w:r>
            <w:r>
              <w:rPr>
                <w:noProof/>
                <w:webHidden/>
              </w:rPr>
              <w:instrText xml:space="preserve"> PAGEREF _Toc164857842 \h </w:instrText>
            </w:r>
            <w:r>
              <w:rPr>
                <w:noProof/>
                <w:webHidden/>
              </w:rPr>
            </w:r>
            <w:r>
              <w:rPr>
                <w:noProof/>
                <w:webHidden/>
              </w:rPr>
              <w:fldChar w:fldCharType="separate"/>
            </w:r>
            <w:r>
              <w:rPr>
                <w:noProof/>
                <w:webHidden/>
              </w:rPr>
              <w:t>15</w:t>
            </w:r>
            <w:r>
              <w:rPr>
                <w:noProof/>
                <w:webHidden/>
              </w:rPr>
              <w:fldChar w:fldCharType="end"/>
            </w:r>
          </w:hyperlink>
        </w:p>
        <w:p w14:paraId="5925B6F8" w14:textId="36501CEE" w:rsidR="00460444" w:rsidRDefault="00460444">
          <w:pPr>
            <w:pStyle w:val="TOC2"/>
            <w:tabs>
              <w:tab w:val="right" w:leader="dot" w:pos="9016"/>
            </w:tabs>
            <w:rPr>
              <w:rFonts w:eastAsiaTheme="minorEastAsia"/>
              <w:b w:val="0"/>
              <w:bCs w:val="0"/>
              <w:noProof/>
              <w:sz w:val="24"/>
              <w:szCs w:val="24"/>
              <w:lang w:eastAsia="en-GB"/>
            </w:rPr>
          </w:pPr>
          <w:hyperlink w:anchor="_Toc164857843" w:history="1">
            <w:r w:rsidRPr="00C04313">
              <w:rPr>
                <w:rStyle w:val="Hyperlink"/>
                <w:noProof/>
              </w:rPr>
              <w:t>Accounting Rate of Return (ARR)</w:t>
            </w:r>
            <w:r>
              <w:rPr>
                <w:noProof/>
                <w:webHidden/>
              </w:rPr>
              <w:tab/>
            </w:r>
            <w:r>
              <w:rPr>
                <w:noProof/>
                <w:webHidden/>
              </w:rPr>
              <w:fldChar w:fldCharType="begin"/>
            </w:r>
            <w:r>
              <w:rPr>
                <w:noProof/>
                <w:webHidden/>
              </w:rPr>
              <w:instrText xml:space="preserve"> PAGEREF _Toc164857843 \h </w:instrText>
            </w:r>
            <w:r>
              <w:rPr>
                <w:noProof/>
                <w:webHidden/>
              </w:rPr>
            </w:r>
            <w:r>
              <w:rPr>
                <w:noProof/>
                <w:webHidden/>
              </w:rPr>
              <w:fldChar w:fldCharType="separate"/>
            </w:r>
            <w:r>
              <w:rPr>
                <w:noProof/>
                <w:webHidden/>
              </w:rPr>
              <w:t>17</w:t>
            </w:r>
            <w:r>
              <w:rPr>
                <w:noProof/>
                <w:webHidden/>
              </w:rPr>
              <w:fldChar w:fldCharType="end"/>
            </w:r>
          </w:hyperlink>
        </w:p>
        <w:p w14:paraId="16E9374A" w14:textId="1A7E767E" w:rsidR="00460444" w:rsidRDefault="00460444">
          <w:pPr>
            <w:pStyle w:val="TOC2"/>
            <w:tabs>
              <w:tab w:val="right" w:leader="dot" w:pos="9016"/>
            </w:tabs>
            <w:rPr>
              <w:rFonts w:eastAsiaTheme="minorEastAsia"/>
              <w:b w:val="0"/>
              <w:bCs w:val="0"/>
              <w:noProof/>
              <w:sz w:val="24"/>
              <w:szCs w:val="24"/>
              <w:lang w:eastAsia="en-GB"/>
            </w:rPr>
          </w:pPr>
          <w:hyperlink w:anchor="_Toc164857844" w:history="1">
            <w:r w:rsidRPr="00C04313">
              <w:rPr>
                <w:rStyle w:val="Hyperlink"/>
                <w:noProof/>
              </w:rPr>
              <w:t>Net Present Value (NPV)</w:t>
            </w:r>
            <w:r>
              <w:rPr>
                <w:noProof/>
                <w:webHidden/>
              </w:rPr>
              <w:tab/>
            </w:r>
            <w:r>
              <w:rPr>
                <w:noProof/>
                <w:webHidden/>
              </w:rPr>
              <w:fldChar w:fldCharType="begin"/>
            </w:r>
            <w:r>
              <w:rPr>
                <w:noProof/>
                <w:webHidden/>
              </w:rPr>
              <w:instrText xml:space="preserve"> PAGEREF _Toc164857844 \h </w:instrText>
            </w:r>
            <w:r>
              <w:rPr>
                <w:noProof/>
                <w:webHidden/>
              </w:rPr>
            </w:r>
            <w:r>
              <w:rPr>
                <w:noProof/>
                <w:webHidden/>
              </w:rPr>
              <w:fldChar w:fldCharType="separate"/>
            </w:r>
            <w:r>
              <w:rPr>
                <w:noProof/>
                <w:webHidden/>
              </w:rPr>
              <w:t>18</w:t>
            </w:r>
            <w:r>
              <w:rPr>
                <w:noProof/>
                <w:webHidden/>
              </w:rPr>
              <w:fldChar w:fldCharType="end"/>
            </w:r>
          </w:hyperlink>
        </w:p>
        <w:p w14:paraId="0BFADAA4" w14:textId="60EE81F1" w:rsidR="00460444" w:rsidRDefault="00460444">
          <w:pPr>
            <w:pStyle w:val="TOC3"/>
            <w:tabs>
              <w:tab w:val="right" w:leader="dot" w:pos="9016"/>
            </w:tabs>
            <w:rPr>
              <w:rFonts w:eastAsiaTheme="minorEastAsia"/>
              <w:noProof/>
              <w:sz w:val="24"/>
              <w:szCs w:val="24"/>
              <w:lang w:eastAsia="en-GB"/>
            </w:rPr>
          </w:pPr>
          <w:hyperlink w:anchor="_Toc164857845" w:history="1">
            <w:r w:rsidRPr="00C04313">
              <w:rPr>
                <w:rStyle w:val="Hyperlink"/>
                <w:noProof/>
              </w:rPr>
              <w:t>Project A</w:t>
            </w:r>
            <w:r>
              <w:rPr>
                <w:noProof/>
                <w:webHidden/>
              </w:rPr>
              <w:tab/>
            </w:r>
            <w:r>
              <w:rPr>
                <w:noProof/>
                <w:webHidden/>
              </w:rPr>
              <w:fldChar w:fldCharType="begin"/>
            </w:r>
            <w:r>
              <w:rPr>
                <w:noProof/>
                <w:webHidden/>
              </w:rPr>
              <w:instrText xml:space="preserve"> PAGEREF _Toc164857845 \h </w:instrText>
            </w:r>
            <w:r>
              <w:rPr>
                <w:noProof/>
                <w:webHidden/>
              </w:rPr>
            </w:r>
            <w:r>
              <w:rPr>
                <w:noProof/>
                <w:webHidden/>
              </w:rPr>
              <w:fldChar w:fldCharType="separate"/>
            </w:r>
            <w:r>
              <w:rPr>
                <w:noProof/>
                <w:webHidden/>
              </w:rPr>
              <w:t>19</w:t>
            </w:r>
            <w:r>
              <w:rPr>
                <w:noProof/>
                <w:webHidden/>
              </w:rPr>
              <w:fldChar w:fldCharType="end"/>
            </w:r>
          </w:hyperlink>
        </w:p>
        <w:p w14:paraId="31A2875E" w14:textId="44219EAE" w:rsidR="00460444" w:rsidRDefault="00460444">
          <w:pPr>
            <w:pStyle w:val="TOC3"/>
            <w:tabs>
              <w:tab w:val="right" w:leader="dot" w:pos="9016"/>
            </w:tabs>
            <w:rPr>
              <w:rFonts w:eastAsiaTheme="minorEastAsia"/>
              <w:noProof/>
              <w:sz w:val="24"/>
              <w:szCs w:val="24"/>
              <w:lang w:eastAsia="en-GB"/>
            </w:rPr>
          </w:pPr>
          <w:hyperlink w:anchor="_Toc164857846" w:history="1">
            <w:r w:rsidRPr="00C04313">
              <w:rPr>
                <w:rStyle w:val="Hyperlink"/>
                <w:noProof/>
              </w:rPr>
              <w:t>Project B</w:t>
            </w:r>
            <w:r>
              <w:rPr>
                <w:noProof/>
                <w:webHidden/>
              </w:rPr>
              <w:tab/>
            </w:r>
            <w:r>
              <w:rPr>
                <w:noProof/>
                <w:webHidden/>
              </w:rPr>
              <w:fldChar w:fldCharType="begin"/>
            </w:r>
            <w:r>
              <w:rPr>
                <w:noProof/>
                <w:webHidden/>
              </w:rPr>
              <w:instrText xml:space="preserve"> PAGEREF _Toc164857846 \h </w:instrText>
            </w:r>
            <w:r>
              <w:rPr>
                <w:noProof/>
                <w:webHidden/>
              </w:rPr>
            </w:r>
            <w:r>
              <w:rPr>
                <w:noProof/>
                <w:webHidden/>
              </w:rPr>
              <w:fldChar w:fldCharType="separate"/>
            </w:r>
            <w:r>
              <w:rPr>
                <w:noProof/>
                <w:webHidden/>
              </w:rPr>
              <w:t>20</w:t>
            </w:r>
            <w:r>
              <w:rPr>
                <w:noProof/>
                <w:webHidden/>
              </w:rPr>
              <w:fldChar w:fldCharType="end"/>
            </w:r>
          </w:hyperlink>
        </w:p>
        <w:p w14:paraId="432FE70F" w14:textId="38B81670" w:rsidR="00460444" w:rsidRDefault="00460444">
          <w:pPr>
            <w:pStyle w:val="TOC2"/>
            <w:tabs>
              <w:tab w:val="right" w:leader="dot" w:pos="9016"/>
            </w:tabs>
            <w:rPr>
              <w:rFonts w:eastAsiaTheme="minorEastAsia"/>
              <w:b w:val="0"/>
              <w:bCs w:val="0"/>
              <w:noProof/>
              <w:sz w:val="24"/>
              <w:szCs w:val="24"/>
              <w:lang w:eastAsia="en-GB"/>
            </w:rPr>
          </w:pPr>
          <w:hyperlink w:anchor="_Toc164857847" w:history="1">
            <w:r w:rsidRPr="00C04313">
              <w:rPr>
                <w:rStyle w:val="Hyperlink"/>
                <w:noProof/>
              </w:rPr>
              <w:t>Conclusion:</w:t>
            </w:r>
            <w:r>
              <w:rPr>
                <w:noProof/>
                <w:webHidden/>
              </w:rPr>
              <w:tab/>
            </w:r>
            <w:r>
              <w:rPr>
                <w:noProof/>
                <w:webHidden/>
              </w:rPr>
              <w:fldChar w:fldCharType="begin"/>
            </w:r>
            <w:r>
              <w:rPr>
                <w:noProof/>
                <w:webHidden/>
              </w:rPr>
              <w:instrText xml:space="preserve"> PAGEREF _Toc164857847 \h </w:instrText>
            </w:r>
            <w:r>
              <w:rPr>
                <w:noProof/>
                <w:webHidden/>
              </w:rPr>
            </w:r>
            <w:r>
              <w:rPr>
                <w:noProof/>
                <w:webHidden/>
              </w:rPr>
              <w:fldChar w:fldCharType="separate"/>
            </w:r>
            <w:r>
              <w:rPr>
                <w:noProof/>
                <w:webHidden/>
              </w:rPr>
              <w:t>20</w:t>
            </w:r>
            <w:r>
              <w:rPr>
                <w:noProof/>
                <w:webHidden/>
              </w:rPr>
              <w:fldChar w:fldCharType="end"/>
            </w:r>
          </w:hyperlink>
        </w:p>
        <w:p w14:paraId="1FBFEFFC" w14:textId="346695A0" w:rsidR="00460444" w:rsidRDefault="00460444">
          <w:pPr>
            <w:pStyle w:val="TOC2"/>
            <w:tabs>
              <w:tab w:val="right" w:leader="dot" w:pos="9016"/>
            </w:tabs>
            <w:rPr>
              <w:rFonts w:eastAsiaTheme="minorEastAsia"/>
              <w:b w:val="0"/>
              <w:bCs w:val="0"/>
              <w:noProof/>
              <w:sz w:val="24"/>
              <w:szCs w:val="24"/>
              <w:lang w:eastAsia="en-GB"/>
            </w:rPr>
          </w:pPr>
          <w:hyperlink w:anchor="_Toc164857848" w:history="1">
            <w:r w:rsidRPr="00C04313">
              <w:rPr>
                <w:rStyle w:val="Hyperlink"/>
                <w:noProof/>
              </w:rPr>
              <w:t>Non-financial factors management needs to consider.</w:t>
            </w:r>
            <w:r>
              <w:rPr>
                <w:noProof/>
                <w:webHidden/>
              </w:rPr>
              <w:tab/>
            </w:r>
            <w:r>
              <w:rPr>
                <w:noProof/>
                <w:webHidden/>
              </w:rPr>
              <w:fldChar w:fldCharType="begin"/>
            </w:r>
            <w:r>
              <w:rPr>
                <w:noProof/>
                <w:webHidden/>
              </w:rPr>
              <w:instrText xml:space="preserve"> PAGEREF _Toc164857848 \h </w:instrText>
            </w:r>
            <w:r>
              <w:rPr>
                <w:noProof/>
                <w:webHidden/>
              </w:rPr>
            </w:r>
            <w:r>
              <w:rPr>
                <w:noProof/>
                <w:webHidden/>
              </w:rPr>
              <w:fldChar w:fldCharType="separate"/>
            </w:r>
            <w:r>
              <w:rPr>
                <w:noProof/>
                <w:webHidden/>
              </w:rPr>
              <w:t>21</w:t>
            </w:r>
            <w:r>
              <w:rPr>
                <w:noProof/>
                <w:webHidden/>
              </w:rPr>
              <w:fldChar w:fldCharType="end"/>
            </w:r>
          </w:hyperlink>
        </w:p>
        <w:p w14:paraId="21665F9B" w14:textId="307FFB82" w:rsidR="00460444" w:rsidRDefault="00460444">
          <w:pPr>
            <w:pStyle w:val="TOC2"/>
            <w:tabs>
              <w:tab w:val="right" w:leader="dot" w:pos="9016"/>
            </w:tabs>
            <w:rPr>
              <w:rFonts w:eastAsiaTheme="minorEastAsia"/>
              <w:b w:val="0"/>
              <w:bCs w:val="0"/>
              <w:noProof/>
              <w:sz w:val="24"/>
              <w:szCs w:val="24"/>
              <w:lang w:eastAsia="en-GB"/>
            </w:rPr>
          </w:pPr>
          <w:hyperlink w:anchor="_Toc164857849" w:history="1">
            <w:r w:rsidRPr="00C04313">
              <w:rPr>
                <w:rStyle w:val="Hyperlink"/>
                <w:noProof/>
              </w:rPr>
              <w:t>Part 2, Initial Investment increase by 10% and all the cashflow fall by 10%.</w:t>
            </w:r>
            <w:r>
              <w:rPr>
                <w:noProof/>
                <w:webHidden/>
              </w:rPr>
              <w:tab/>
            </w:r>
            <w:r>
              <w:rPr>
                <w:noProof/>
                <w:webHidden/>
              </w:rPr>
              <w:fldChar w:fldCharType="begin"/>
            </w:r>
            <w:r>
              <w:rPr>
                <w:noProof/>
                <w:webHidden/>
              </w:rPr>
              <w:instrText xml:space="preserve"> PAGEREF _Toc164857849 \h </w:instrText>
            </w:r>
            <w:r>
              <w:rPr>
                <w:noProof/>
                <w:webHidden/>
              </w:rPr>
            </w:r>
            <w:r>
              <w:rPr>
                <w:noProof/>
                <w:webHidden/>
              </w:rPr>
              <w:fldChar w:fldCharType="separate"/>
            </w:r>
            <w:r>
              <w:rPr>
                <w:noProof/>
                <w:webHidden/>
              </w:rPr>
              <w:t>21</w:t>
            </w:r>
            <w:r>
              <w:rPr>
                <w:noProof/>
                <w:webHidden/>
              </w:rPr>
              <w:fldChar w:fldCharType="end"/>
            </w:r>
          </w:hyperlink>
        </w:p>
        <w:p w14:paraId="6F6E749A" w14:textId="70562AAE" w:rsidR="00460444" w:rsidRDefault="00460444">
          <w:pPr>
            <w:pStyle w:val="TOC3"/>
            <w:tabs>
              <w:tab w:val="right" w:leader="dot" w:pos="9016"/>
            </w:tabs>
            <w:rPr>
              <w:rFonts w:eastAsiaTheme="minorEastAsia"/>
              <w:noProof/>
              <w:sz w:val="24"/>
              <w:szCs w:val="24"/>
              <w:lang w:eastAsia="en-GB"/>
            </w:rPr>
          </w:pPr>
          <w:hyperlink w:anchor="_Toc164857850" w:history="1">
            <w:r w:rsidRPr="00C04313">
              <w:rPr>
                <w:rStyle w:val="Hyperlink"/>
                <w:noProof/>
              </w:rPr>
              <w:t>Net Present Value for part B</w:t>
            </w:r>
            <w:r>
              <w:rPr>
                <w:noProof/>
                <w:webHidden/>
              </w:rPr>
              <w:tab/>
            </w:r>
            <w:r>
              <w:rPr>
                <w:noProof/>
                <w:webHidden/>
              </w:rPr>
              <w:fldChar w:fldCharType="begin"/>
            </w:r>
            <w:r>
              <w:rPr>
                <w:noProof/>
                <w:webHidden/>
              </w:rPr>
              <w:instrText xml:space="preserve"> PAGEREF _Toc164857850 \h </w:instrText>
            </w:r>
            <w:r>
              <w:rPr>
                <w:noProof/>
                <w:webHidden/>
              </w:rPr>
            </w:r>
            <w:r>
              <w:rPr>
                <w:noProof/>
                <w:webHidden/>
              </w:rPr>
              <w:fldChar w:fldCharType="separate"/>
            </w:r>
            <w:r>
              <w:rPr>
                <w:noProof/>
                <w:webHidden/>
              </w:rPr>
              <w:t>22</w:t>
            </w:r>
            <w:r>
              <w:rPr>
                <w:noProof/>
                <w:webHidden/>
              </w:rPr>
              <w:fldChar w:fldCharType="end"/>
            </w:r>
          </w:hyperlink>
        </w:p>
        <w:p w14:paraId="7B7C3A18" w14:textId="23A62F66" w:rsidR="00460444" w:rsidRDefault="00460444">
          <w:pPr>
            <w:pStyle w:val="TOC1"/>
            <w:tabs>
              <w:tab w:val="right" w:leader="dot" w:pos="9016"/>
            </w:tabs>
            <w:rPr>
              <w:rFonts w:eastAsiaTheme="minorEastAsia"/>
              <w:b w:val="0"/>
              <w:bCs w:val="0"/>
              <w:i w:val="0"/>
              <w:iCs w:val="0"/>
              <w:noProof/>
              <w:lang w:eastAsia="en-GB"/>
            </w:rPr>
          </w:pPr>
          <w:hyperlink w:anchor="_Toc164857851" w:history="1">
            <w:r w:rsidRPr="00C04313">
              <w:rPr>
                <w:rStyle w:val="Hyperlink"/>
                <w:noProof/>
              </w:rPr>
              <w:t>References:</w:t>
            </w:r>
            <w:r>
              <w:rPr>
                <w:noProof/>
                <w:webHidden/>
              </w:rPr>
              <w:tab/>
            </w:r>
            <w:r>
              <w:rPr>
                <w:noProof/>
                <w:webHidden/>
              </w:rPr>
              <w:fldChar w:fldCharType="begin"/>
            </w:r>
            <w:r>
              <w:rPr>
                <w:noProof/>
                <w:webHidden/>
              </w:rPr>
              <w:instrText xml:space="preserve"> PAGEREF _Toc164857851 \h </w:instrText>
            </w:r>
            <w:r>
              <w:rPr>
                <w:noProof/>
                <w:webHidden/>
              </w:rPr>
            </w:r>
            <w:r>
              <w:rPr>
                <w:noProof/>
                <w:webHidden/>
              </w:rPr>
              <w:fldChar w:fldCharType="separate"/>
            </w:r>
            <w:r>
              <w:rPr>
                <w:noProof/>
                <w:webHidden/>
              </w:rPr>
              <w:t>24</w:t>
            </w:r>
            <w:r>
              <w:rPr>
                <w:noProof/>
                <w:webHidden/>
              </w:rPr>
              <w:fldChar w:fldCharType="end"/>
            </w:r>
          </w:hyperlink>
        </w:p>
        <w:p w14:paraId="3E1C1CFF" w14:textId="67CD9830" w:rsidR="00B209A8" w:rsidRDefault="00B209A8" w:rsidP="00460444">
          <w:pPr>
            <w:spacing w:line="360" w:lineRule="auto"/>
          </w:pPr>
          <w:r w:rsidRPr="00460444">
            <w:rPr>
              <w:noProof/>
            </w:rPr>
            <w:fldChar w:fldCharType="end"/>
          </w:r>
        </w:p>
      </w:sdtContent>
    </w:sdt>
    <w:p w14:paraId="0183670B" w14:textId="77777777" w:rsidR="00150C06" w:rsidRDefault="00150C06">
      <w:pPr>
        <w:rPr>
          <w:b/>
          <w:bCs/>
          <w:i/>
          <w:iCs/>
        </w:rPr>
      </w:pPr>
    </w:p>
    <w:p w14:paraId="5679A500" w14:textId="77777777" w:rsidR="00B209A8" w:rsidRDefault="00B209A8">
      <w:pPr>
        <w:rPr>
          <w:b/>
          <w:bCs/>
          <w:i/>
          <w:iCs/>
        </w:rPr>
      </w:pPr>
    </w:p>
    <w:p w14:paraId="26CBC6FE" w14:textId="77777777" w:rsidR="00B209A8" w:rsidRDefault="00B209A8">
      <w:pPr>
        <w:rPr>
          <w:b/>
          <w:bCs/>
          <w:i/>
          <w:iCs/>
        </w:rPr>
      </w:pPr>
    </w:p>
    <w:p w14:paraId="16A6E9FB" w14:textId="77777777" w:rsidR="00460444" w:rsidRDefault="00460444" w:rsidP="00460444">
      <w:pPr>
        <w:pStyle w:val="Caption"/>
      </w:pPr>
    </w:p>
    <w:p w14:paraId="4A727E22" w14:textId="77777777" w:rsidR="00460444" w:rsidRDefault="00460444" w:rsidP="00460444">
      <w:pPr>
        <w:pStyle w:val="Caption"/>
      </w:pPr>
    </w:p>
    <w:p w14:paraId="4FB3551B" w14:textId="36564895" w:rsidR="00460444" w:rsidRDefault="00460444" w:rsidP="00460444">
      <w:pPr>
        <w:pStyle w:val="Heading1"/>
        <w:rPr>
          <w:noProof/>
        </w:rPr>
      </w:pPr>
      <w:bookmarkStart w:id="0" w:name="_Toc164857829"/>
      <w:r>
        <w:rPr>
          <w:b/>
          <w:bCs/>
        </w:rPr>
        <w:t>Table of Calculations</w:t>
      </w:r>
      <w:bookmarkEnd w:id="0"/>
      <w:r>
        <w:fldChar w:fldCharType="begin"/>
      </w:r>
      <w:r>
        <w:instrText xml:space="preserve"> TOC \h \z \c "Table" </w:instrText>
      </w:r>
      <w:r>
        <w:fldChar w:fldCharType="separate"/>
      </w:r>
    </w:p>
    <w:p w14:paraId="2DD4D6D5" w14:textId="515B7040" w:rsidR="00460444" w:rsidRDefault="00460444">
      <w:pPr>
        <w:pStyle w:val="TableofFigures"/>
        <w:tabs>
          <w:tab w:val="right" w:leader="dot" w:pos="9016"/>
        </w:tabs>
        <w:rPr>
          <w:noProof/>
        </w:rPr>
      </w:pPr>
      <w:r w:rsidRPr="00810422">
        <w:rPr>
          <w:rStyle w:val="Hyperlink"/>
          <w:noProof/>
        </w:rPr>
        <w:fldChar w:fldCharType="begin"/>
      </w:r>
      <w:r w:rsidRPr="00810422">
        <w:rPr>
          <w:rStyle w:val="Hyperlink"/>
          <w:noProof/>
        </w:rPr>
        <w:instrText xml:space="preserve"> </w:instrText>
      </w:r>
      <w:r>
        <w:rPr>
          <w:noProof/>
        </w:rPr>
        <w:instrText>HYPERLINK \l "_Toc164857415"</w:instrText>
      </w:r>
      <w:r w:rsidRPr="00810422">
        <w:rPr>
          <w:rStyle w:val="Hyperlink"/>
          <w:noProof/>
        </w:rPr>
        <w:instrText xml:space="preserve"> </w:instrText>
      </w:r>
      <w:r w:rsidRPr="00810422">
        <w:rPr>
          <w:rStyle w:val="Hyperlink"/>
          <w:noProof/>
        </w:rPr>
      </w:r>
      <w:r w:rsidRPr="00810422">
        <w:rPr>
          <w:rStyle w:val="Hyperlink"/>
          <w:noProof/>
        </w:rPr>
        <w:fldChar w:fldCharType="separate"/>
      </w:r>
      <w:r w:rsidRPr="00810422">
        <w:rPr>
          <w:rStyle w:val="Hyperlink"/>
          <w:noProof/>
        </w:rPr>
        <w:t>Table 1</w:t>
      </w:r>
      <w:r>
        <w:rPr>
          <w:noProof/>
          <w:webHidden/>
        </w:rPr>
        <w:tab/>
      </w:r>
      <w:r>
        <w:rPr>
          <w:noProof/>
          <w:webHidden/>
        </w:rPr>
        <w:fldChar w:fldCharType="begin"/>
      </w:r>
      <w:r>
        <w:rPr>
          <w:noProof/>
          <w:webHidden/>
        </w:rPr>
        <w:instrText xml:space="preserve"> PAGEREF _Toc164857415 \h </w:instrText>
      </w:r>
      <w:r>
        <w:rPr>
          <w:noProof/>
          <w:webHidden/>
        </w:rPr>
      </w:r>
      <w:r>
        <w:rPr>
          <w:noProof/>
          <w:webHidden/>
        </w:rPr>
        <w:fldChar w:fldCharType="separate"/>
      </w:r>
      <w:r>
        <w:rPr>
          <w:noProof/>
          <w:webHidden/>
        </w:rPr>
        <w:t>2</w:t>
      </w:r>
      <w:r>
        <w:rPr>
          <w:noProof/>
          <w:webHidden/>
        </w:rPr>
        <w:fldChar w:fldCharType="end"/>
      </w:r>
      <w:r w:rsidRPr="00810422">
        <w:rPr>
          <w:rStyle w:val="Hyperlink"/>
          <w:noProof/>
        </w:rPr>
        <w:fldChar w:fldCharType="end"/>
      </w:r>
    </w:p>
    <w:p w14:paraId="5942840A" w14:textId="78C89088" w:rsidR="00460444" w:rsidRDefault="00460444">
      <w:pPr>
        <w:pStyle w:val="TableofFigures"/>
        <w:tabs>
          <w:tab w:val="right" w:leader="dot" w:pos="9016"/>
        </w:tabs>
        <w:rPr>
          <w:noProof/>
        </w:rPr>
      </w:pPr>
      <w:hyperlink w:anchor="_Toc164857416" w:history="1">
        <w:r w:rsidRPr="00810422">
          <w:rPr>
            <w:rStyle w:val="Hyperlink"/>
            <w:rFonts w:ascii="Arial" w:hAnsi="Arial" w:cs="Arial"/>
            <w:noProof/>
          </w:rPr>
          <w:t xml:space="preserve">The profitability ratio for Apple in the most recent financial statement is calculated using the formula ROA (Return on assets )= Net Income/Total Assets </w:t>
        </w:r>
        <w:r w:rsidRPr="00810422">
          <w:rPr>
            <w:rStyle w:val="Hyperlink"/>
            <w:noProof/>
          </w:rPr>
          <w:t>Table 2</w:t>
        </w:r>
        <w:r w:rsidRPr="00810422">
          <w:rPr>
            <w:rStyle w:val="Hyperlink"/>
            <w:rFonts w:ascii="Arial" w:eastAsia="Times New Roman" w:hAnsi="Arial" w:cs="Arial"/>
            <w:noProof/>
            <w:kern w:val="0"/>
            <w:lang w:eastAsia="en-GB"/>
            <w14:ligatures w14:val="none"/>
          </w:rPr>
          <w:t>(Vipond, 2024)</w:t>
        </w:r>
        <w:r w:rsidRPr="00810422">
          <w:rPr>
            <w:rStyle w:val="Hyperlink"/>
            <w:rFonts w:ascii="Arial" w:hAnsi="Arial" w:cs="Arial"/>
            <w:noProof/>
          </w:rPr>
          <w:t>.</w:t>
        </w:r>
        <w:r>
          <w:rPr>
            <w:noProof/>
            <w:webHidden/>
          </w:rPr>
          <w:tab/>
        </w:r>
        <w:r>
          <w:rPr>
            <w:noProof/>
            <w:webHidden/>
          </w:rPr>
          <w:fldChar w:fldCharType="begin"/>
        </w:r>
        <w:r>
          <w:rPr>
            <w:noProof/>
            <w:webHidden/>
          </w:rPr>
          <w:instrText xml:space="preserve"> PAGEREF _Toc164857416 \h </w:instrText>
        </w:r>
        <w:r>
          <w:rPr>
            <w:noProof/>
            <w:webHidden/>
          </w:rPr>
        </w:r>
        <w:r>
          <w:rPr>
            <w:noProof/>
            <w:webHidden/>
          </w:rPr>
          <w:fldChar w:fldCharType="separate"/>
        </w:r>
        <w:r>
          <w:rPr>
            <w:noProof/>
            <w:webHidden/>
          </w:rPr>
          <w:t>4</w:t>
        </w:r>
        <w:r>
          <w:rPr>
            <w:noProof/>
            <w:webHidden/>
          </w:rPr>
          <w:fldChar w:fldCharType="end"/>
        </w:r>
      </w:hyperlink>
    </w:p>
    <w:p w14:paraId="67D06B97" w14:textId="3141BF80" w:rsidR="00460444" w:rsidRDefault="00460444">
      <w:pPr>
        <w:pStyle w:val="TableofFigures"/>
        <w:tabs>
          <w:tab w:val="right" w:leader="dot" w:pos="9016"/>
        </w:tabs>
        <w:rPr>
          <w:noProof/>
        </w:rPr>
      </w:pPr>
      <w:hyperlink w:anchor="_Toc164857417" w:history="1">
        <w:r w:rsidRPr="00810422">
          <w:rPr>
            <w:rStyle w:val="Hyperlink"/>
            <w:rFonts w:ascii="Arial" w:eastAsia="Times New Roman" w:hAnsi="Arial" w:cs="Arial"/>
            <w:noProof/>
            <w:kern w:val="0"/>
            <w:lang w:eastAsia="en-GB"/>
            <w14:ligatures w14:val="none"/>
          </w:rPr>
          <w:t>Current ratio = Current Assets / Current Liabilities (Tracy, A., 2012).</w:t>
        </w:r>
        <w:r w:rsidRPr="00810422">
          <w:rPr>
            <w:rStyle w:val="Hyperlink"/>
            <w:noProof/>
          </w:rPr>
          <w:t>Table 3</w:t>
        </w:r>
        <w:r>
          <w:rPr>
            <w:noProof/>
            <w:webHidden/>
          </w:rPr>
          <w:tab/>
        </w:r>
        <w:r>
          <w:rPr>
            <w:noProof/>
            <w:webHidden/>
          </w:rPr>
          <w:fldChar w:fldCharType="begin"/>
        </w:r>
        <w:r>
          <w:rPr>
            <w:noProof/>
            <w:webHidden/>
          </w:rPr>
          <w:instrText xml:space="preserve"> PAGEREF _Toc164857417 \h </w:instrText>
        </w:r>
        <w:r>
          <w:rPr>
            <w:noProof/>
            <w:webHidden/>
          </w:rPr>
        </w:r>
        <w:r>
          <w:rPr>
            <w:noProof/>
            <w:webHidden/>
          </w:rPr>
          <w:fldChar w:fldCharType="separate"/>
        </w:r>
        <w:r>
          <w:rPr>
            <w:noProof/>
            <w:webHidden/>
          </w:rPr>
          <w:t>6</w:t>
        </w:r>
        <w:r>
          <w:rPr>
            <w:noProof/>
            <w:webHidden/>
          </w:rPr>
          <w:fldChar w:fldCharType="end"/>
        </w:r>
      </w:hyperlink>
    </w:p>
    <w:p w14:paraId="41BC78A4" w14:textId="27F20A8E" w:rsidR="00460444" w:rsidRDefault="00460444">
      <w:pPr>
        <w:pStyle w:val="TableofFigures"/>
        <w:tabs>
          <w:tab w:val="right" w:leader="dot" w:pos="9016"/>
        </w:tabs>
        <w:rPr>
          <w:noProof/>
        </w:rPr>
      </w:pPr>
      <w:hyperlink w:anchor="_Toc164857418" w:history="1">
        <w:r w:rsidRPr="00810422">
          <w:rPr>
            <w:rStyle w:val="Hyperlink"/>
            <w:rFonts w:ascii="Arial" w:eastAsia="Times New Roman" w:hAnsi="Arial" w:cs="Arial"/>
            <w:noProof/>
            <w:kern w:val="0"/>
            <w:lang w:eastAsia="en-GB"/>
            <w14:ligatures w14:val="none"/>
          </w:rPr>
          <w:t>Debt-to-equity ratio = Total debt / Total equity (Team, 2023).</w:t>
        </w:r>
        <w:r w:rsidRPr="00810422">
          <w:rPr>
            <w:rStyle w:val="Hyperlink"/>
            <w:noProof/>
          </w:rPr>
          <w:t>Table 4</w:t>
        </w:r>
        <w:r>
          <w:rPr>
            <w:noProof/>
            <w:webHidden/>
          </w:rPr>
          <w:tab/>
        </w:r>
        <w:r>
          <w:rPr>
            <w:noProof/>
            <w:webHidden/>
          </w:rPr>
          <w:fldChar w:fldCharType="begin"/>
        </w:r>
        <w:r>
          <w:rPr>
            <w:noProof/>
            <w:webHidden/>
          </w:rPr>
          <w:instrText xml:space="preserve"> PAGEREF _Toc164857418 \h </w:instrText>
        </w:r>
        <w:r>
          <w:rPr>
            <w:noProof/>
            <w:webHidden/>
          </w:rPr>
        </w:r>
        <w:r>
          <w:rPr>
            <w:noProof/>
            <w:webHidden/>
          </w:rPr>
          <w:fldChar w:fldCharType="separate"/>
        </w:r>
        <w:r>
          <w:rPr>
            <w:noProof/>
            <w:webHidden/>
          </w:rPr>
          <w:t>8</w:t>
        </w:r>
        <w:r>
          <w:rPr>
            <w:noProof/>
            <w:webHidden/>
          </w:rPr>
          <w:fldChar w:fldCharType="end"/>
        </w:r>
      </w:hyperlink>
    </w:p>
    <w:p w14:paraId="766CFDEC" w14:textId="3C9C742B" w:rsidR="00460444" w:rsidRDefault="00460444">
      <w:pPr>
        <w:pStyle w:val="TableofFigures"/>
        <w:tabs>
          <w:tab w:val="right" w:leader="dot" w:pos="9016"/>
        </w:tabs>
        <w:rPr>
          <w:noProof/>
        </w:rPr>
      </w:pPr>
      <w:hyperlink w:anchor="_Toc164857419" w:history="1">
        <w:r w:rsidRPr="00810422">
          <w:rPr>
            <w:rStyle w:val="Hyperlink"/>
            <w:rFonts w:ascii="Arial" w:hAnsi="Arial" w:cs="Arial"/>
            <w:noProof/>
          </w:rPr>
          <w:t>Asset Turnover = Net Sales / Average Assets (Patel, n.d.)</w:t>
        </w:r>
        <w:r w:rsidRPr="00810422">
          <w:rPr>
            <w:rStyle w:val="Hyperlink"/>
            <w:noProof/>
          </w:rPr>
          <w:t>Table 5</w:t>
        </w:r>
        <w:r>
          <w:rPr>
            <w:noProof/>
            <w:webHidden/>
          </w:rPr>
          <w:tab/>
        </w:r>
        <w:r>
          <w:rPr>
            <w:noProof/>
            <w:webHidden/>
          </w:rPr>
          <w:fldChar w:fldCharType="begin"/>
        </w:r>
        <w:r>
          <w:rPr>
            <w:noProof/>
            <w:webHidden/>
          </w:rPr>
          <w:instrText xml:space="preserve"> PAGEREF _Toc164857419 \h </w:instrText>
        </w:r>
        <w:r>
          <w:rPr>
            <w:noProof/>
            <w:webHidden/>
          </w:rPr>
        </w:r>
        <w:r>
          <w:rPr>
            <w:noProof/>
            <w:webHidden/>
          </w:rPr>
          <w:fldChar w:fldCharType="separate"/>
        </w:r>
        <w:r>
          <w:rPr>
            <w:noProof/>
            <w:webHidden/>
          </w:rPr>
          <w:t>10</w:t>
        </w:r>
        <w:r>
          <w:rPr>
            <w:noProof/>
            <w:webHidden/>
          </w:rPr>
          <w:fldChar w:fldCharType="end"/>
        </w:r>
      </w:hyperlink>
    </w:p>
    <w:p w14:paraId="4E56387A" w14:textId="61A39612" w:rsidR="00460444" w:rsidRDefault="00460444">
      <w:pPr>
        <w:pStyle w:val="TableofFigures"/>
        <w:tabs>
          <w:tab w:val="right" w:leader="dot" w:pos="9016"/>
        </w:tabs>
        <w:rPr>
          <w:noProof/>
        </w:rPr>
      </w:pPr>
      <w:hyperlink w:anchor="_Toc164857420" w:history="1">
        <w:r w:rsidRPr="00810422">
          <w:rPr>
            <w:rStyle w:val="Hyperlink"/>
            <w:rFonts w:ascii="Arial" w:hAnsi="Arial" w:cs="Arial"/>
            <w:noProof/>
          </w:rPr>
          <w:t>PBP= Years + Deficit / (Deficit + Surplus)</w:t>
        </w:r>
        <w:r w:rsidRPr="00810422">
          <w:rPr>
            <w:rStyle w:val="Hyperlink"/>
            <w:noProof/>
          </w:rPr>
          <w:t>Table 6</w:t>
        </w:r>
        <w:r>
          <w:rPr>
            <w:noProof/>
            <w:webHidden/>
          </w:rPr>
          <w:tab/>
        </w:r>
        <w:r>
          <w:rPr>
            <w:noProof/>
            <w:webHidden/>
          </w:rPr>
          <w:fldChar w:fldCharType="begin"/>
        </w:r>
        <w:r>
          <w:rPr>
            <w:noProof/>
            <w:webHidden/>
          </w:rPr>
          <w:instrText xml:space="preserve"> PAGEREF _Toc164857420 \h </w:instrText>
        </w:r>
        <w:r>
          <w:rPr>
            <w:noProof/>
            <w:webHidden/>
          </w:rPr>
        </w:r>
        <w:r>
          <w:rPr>
            <w:noProof/>
            <w:webHidden/>
          </w:rPr>
          <w:fldChar w:fldCharType="separate"/>
        </w:r>
        <w:r>
          <w:rPr>
            <w:noProof/>
            <w:webHidden/>
          </w:rPr>
          <w:t>12</w:t>
        </w:r>
        <w:r>
          <w:rPr>
            <w:noProof/>
            <w:webHidden/>
          </w:rPr>
          <w:fldChar w:fldCharType="end"/>
        </w:r>
      </w:hyperlink>
    </w:p>
    <w:p w14:paraId="5CC16FD1" w14:textId="56F038BA" w:rsidR="00460444" w:rsidRDefault="00460444">
      <w:pPr>
        <w:pStyle w:val="TableofFigures"/>
        <w:tabs>
          <w:tab w:val="right" w:leader="dot" w:pos="9016"/>
        </w:tabs>
        <w:rPr>
          <w:noProof/>
        </w:rPr>
      </w:pPr>
      <w:hyperlink w:anchor="_Toc164857421" w:history="1">
        <w:r w:rsidRPr="00810422">
          <w:rPr>
            <w:rStyle w:val="Hyperlink"/>
            <w:rFonts w:ascii="Arial" w:hAnsi="Arial" w:cs="Arial"/>
            <w:noProof/>
          </w:rPr>
          <w:t xml:space="preserve">ARR=Average Annual Profit / Initial Investment </w:t>
        </w:r>
        <w:r w:rsidRPr="00810422">
          <w:rPr>
            <w:rStyle w:val="Hyperlink"/>
            <w:noProof/>
          </w:rPr>
          <w:t>Table 7</w:t>
        </w:r>
        <w:r>
          <w:rPr>
            <w:noProof/>
            <w:webHidden/>
          </w:rPr>
          <w:tab/>
        </w:r>
        <w:r>
          <w:rPr>
            <w:noProof/>
            <w:webHidden/>
          </w:rPr>
          <w:fldChar w:fldCharType="begin"/>
        </w:r>
        <w:r>
          <w:rPr>
            <w:noProof/>
            <w:webHidden/>
          </w:rPr>
          <w:instrText xml:space="preserve"> PAGEREF _Toc164857421 \h </w:instrText>
        </w:r>
        <w:r>
          <w:rPr>
            <w:noProof/>
            <w:webHidden/>
          </w:rPr>
        </w:r>
        <w:r>
          <w:rPr>
            <w:noProof/>
            <w:webHidden/>
          </w:rPr>
          <w:fldChar w:fldCharType="separate"/>
        </w:r>
        <w:r>
          <w:rPr>
            <w:noProof/>
            <w:webHidden/>
          </w:rPr>
          <w:t>14</w:t>
        </w:r>
        <w:r>
          <w:rPr>
            <w:noProof/>
            <w:webHidden/>
          </w:rPr>
          <w:fldChar w:fldCharType="end"/>
        </w:r>
      </w:hyperlink>
    </w:p>
    <w:p w14:paraId="03EB9A6B" w14:textId="598C63B5" w:rsidR="00460444" w:rsidRDefault="00460444">
      <w:pPr>
        <w:pStyle w:val="TableofFigures"/>
        <w:tabs>
          <w:tab w:val="right" w:leader="dot" w:pos="9016"/>
        </w:tabs>
        <w:rPr>
          <w:noProof/>
        </w:rPr>
      </w:pPr>
      <w:hyperlink w:anchor="_Toc164857422" w:history="1">
        <w:r w:rsidRPr="00810422">
          <w:rPr>
            <w:rStyle w:val="Hyperlink"/>
            <w:noProof/>
          </w:rPr>
          <w:t>Table 8Table 9</w:t>
        </w:r>
        <w:r>
          <w:rPr>
            <w:noProof/>
            <w:webHidden/>
          </w:rPr>
          <w:tab/>
        </w:r>
        <w:r>
          <w:rPr>
            <w:noProof/>
            <w:webHidden/>
          </w:rPr>
          <w:fldChar w:fldCharType="begin"/>
        </w:r>
        <w:r>
          <w:rPr>
            <w:noProof/>
            <w:webHidden/>
          </w:rPr>
          <w:instrText xml:space="preserve"> PAGEREF _Toc164857422 \h </w:instrText>
        </w:r>
        <w:r>
          <w:rPr>
            <w:noProof/>
            <w:webHidden/>
          </w:rPr>
        </w:r>
        <w:r>
          <w:rPr>
            <w:noProof/>
            <w:webHidden/>
          </w:rPr>
          <w:fldChar w:fldCharType="separate"/>
        </w:r>
        <w:r>
          <w:rPr>
            <w:noProof/>
            <w:webHidden/>
          </w:rPr>
          <w:t>16</w:t>
        </w:r>
        <w:r>
          <w:rPr>
            <w:noProof/>
            <w:webHidden/>
          </w:rPr>
          <w:fldChar w:fldCharType="end"/>
        </w:r>
      </w:hyperlink>
    </w:p>
    <w:p w14:paraId="15BB1522" w14:textId="03FB11B7" w:rsidR="00460444" w:rsidRDefault="00460444" w:rsidP="00460444">
      <w:pPr>
        <w:pStyle w:val="Caption"/>
      </w:pPr>
      <w:r>
        <w:fldChar w:fldCharType="end"/>
      </w:r>
    </w:p>
    <w:p w14:paraId="1770EBAA" w14:textId="77777777" w:rsidR="00460444" w:rsidRDefault="00460444" w:rsidP="00460444"/>
    <w:p w14:paraId="574202DF" w14:textId="77777777" w:rsidR="00460444" w:rsidRPr="00460444" w:rsidRDefault="00460444" w:rsidP="00460444"/>
    <w:p w14:paraId="6FFB7DBC" w14:textId="77777777" w:rsidR="00460444" w:rsidRDefault="00460444" w:rsidP="00150C06">
      <w:pPr>
        <w:pStyle w:val="Heading1"/>
      </w:pPr>
    </w:p>
    <w:p w14:paraId="6DF9BCA9" w14:textId="77777777" w:rsidR="00460444" w:rsidRDefault="00460444" w:rsidP="00150C06">
      <w:pPr>
        <w:pStyle w:val="Heading1"/>
      </w:pPr>
    </w:p>
    <w:p w14:paraId="24EF2602" w14:textId="77777777" w:rsidR="00460444" w:rsidRDefault="00460444" w:rsidP="00150C06">
      <w:pPr>
        <w:pStyle w:val="Heading1"/>
      </w:pPr>
    </w:p>
    <w:p w14:paraId="4638CBB5" w14:textId="77777777" w:rsidR="00460444" w:rsidRDefault="00460444" w:rsidP="00150C06">
      <w:pPr>
        <w:pStyle w:val="Heading1"/>
      </w:pPr>
    </w:p>
    <w:p w14:paraId="6EC77D5C" w14:textId="77777777" w:rsidR="00460444" w:rsidRDefault="00460444" w:rsidP="00150C06">
      <w:pPr>
        <w:pStyle w:val="Heading1"/>
      </w:pPr>
    </w:p>
    <w:p w14:paraId="18869EA9" w14:textId="77777777" w:rsidR="00460444" w:rsidRDefault="00460444" w:rsidP="00150C06">
      <w:pPr>
        <w:pStyle w:val="Heading1"/>
      </w:pPr>
    </w:p>
    <w:p w14:paraId="22B63EA2" w14:textId="77777777" w:rsidR="00460444" w:rsidRDefault="00460444" w:rsidP="00150C06">
      <w:pPr>
        <w:pStyle w:val="Heading1"/>
      </w:pPr>
    </w:p>
    <w:p w14:paraId="08D92AA2" w14:textId="77777777" w:rsidR="00460444" w:rsidRDefault="00460444" w:rsidP="00150C06">
      <w:pPr>
        <w:pStyle w:val="Heading1"/>
      </w:pPr>
    </w:p>
    <w:p w14:paraId="10537DC3" w14:textId="77777777" w:rsidR="00460444" w:rsidRDefault="00460444" w:rsidP="00150C06">
      <w:pPr>
        <w:pStyle w:val="Heading1"/>
      </w:pPr>
    </w:p>
    <w:p w14:paraId="69D5DA3C" w14:textId="77777777" w:rsidR="00460444" w:rsidRDefault="00460444" w:rsidP="00150C06">
      <w:pPr>
        <w:pStyle w:val="Heading1"/>
      </w:pPr>
    </w:p>
    <w:p w14:paraId="534B27B1" w14:textId="77777777" w:rsidR="00460444" w:rsidRDefault="00460444" w:rsidP="00150C06">
      <w:pPr>
        <w:pStyle w:val="Heading1"/>
      </w:pPr>
    </w:p>
    <w:p w14:paraId="4EB40FFC" w14:textId="77777777" w:rsidR="00460444" w:rsidRDefault="00460444" w:rsidP="00150C06">
      <w:pPr>
        <w:pStyle w:val="Heading1"/>
      </w:pPr>
    </w:p>
    <w:p w14:paraId="6ED18E82" w14:textId="77777777" w:rsidR="00460444" w:rsidRDefault="00460444" w:rsidP="00150C06">
      <w:pPr>
        <w:pStyle w:val="Heading1"/>
      </w:pPr>
    </w:p>
    <w:p w14:paraId="718D8616" w14:textId="77777777" w:rsidR="00460444" w:rsidRDefault="00460444" w:rsidP="00150C06">
      <w:pPr>
        <w:pStyle w:val="Heading1"/>
      </w:pPr>
    </w:p>
    <w:p w14:paraId="772C3ABD" w14:textId="77777777" w:rsidR="00460444" w:rsidRDefault="00460444" w:rsidP="00150C06">
      <w:pPr>
        <w:pStyle w:val="Heading1"/>
      </w:pPr>
    </w:p>
    <w:p w14:paraId="18BA718A" w14:textId="77777777" w:rsidR="00460444" w:rsidRDefault="00460444" w:rsidP="00150C06">
      <w:pPr>
        <w:pStyle w:val="Heading1"/>
      </w:pPr>
    </w:p>
    <w:p w14:paraId="2D410DAD" w14:textId="76D65CFE" w:rsidR="00A63013" w:rsidRDefault="00650478" w:rsidP="00150C06">
      <w:pPr>
        <w:pStyle w:val="Heading1"/>
      </w:pPr>
      <w:bookmarkStart w:id="1" w:name="_Toc164857830"/>
      <w:r w:rsidRPr="00650478">
        <w:lastRenderedPageBreak/>
        <w:t>Introduction</w:t>
      </w:r>
      <w:bookmarkEnd w:id="1"/>
    </w:p>
    <w:p w14:paraId="57A1AA79" w14:textId="77777777" w:rsidR="00650478" w:rsidRPr="00650478" w:rsidRDefault="00650478">
      <w:pPr>
        <w:rPr>
          <w:b/>
          <w:bCs/>
          <w:i/>
          <w:iCs/>
        </w:rPr>
      </w:pPr>
    </w:p>
    <w:p w14:paraId="6C270325" w14:textId="77777777" w:rsidR="00150C06" w:rsidRPr="00150C06" w:rsidRDefault="00150C06" w:rsidP="00150C06">
      <w:pPr>
        <w:spacing w:line="360" w:lineRule="auto"/>
        <w:rPr>
          <w:rFonts w:ascii="Arial" w:hAnsi="Arial" w:cs="Arial"/>
          <w:sz w:val="22"/>
          <w:szCs w:val="22"/>
        </w:rPr>
      </w:pPr>
      <w:r w:rsidRPr="00150C06">
        <w:rPr>
          <w:rFonts w:ascii="Arial" w:hAnsi="Arial" w:cs="Arial"/>
          <w:sz w:val="22"/>
          <w:szCs w:val="22"/>
        </w:rPr>
        <w:t>This report aims to provide a thorough analysis of Apple Inc., a leading and innovative company in the technology industry, by carefully evaluating many financial measures to analyse its performance and competitive position. This study aims to reveal insights into Apple's strategic posture in the worldwide market and its overall financial health by analysing the intricate financial ratios and performance indicators for the fiscal year 2023.</w:t>
      </w:r>
    </w:p>
    <w:p w14:paraId="2FB081C0" w14:textId="77777777" w:rsidR="00150C06" w:rsidRPr="00150C06" w:rsidRDefault="00150C06" w:rsidP="00150C06">
      <w:pPr>
        <w:spacing w:line="360" w:lineRule="auto"/>
        <w:rPr>
          <w:rFonts w:ascii="Arial" w:hAnsi="Arial" w:cs="Arial"/>
          <w:sz w:val="22"/>
          <w:szCs w:val="22"/>
        </w:rPr>
      </w:pPr>
    </w:p>
    <w:p w14:paraId="216E7E64" w14:textId="77777777" w:rsidR="00150C06" w:rsidRPr="00150C06" w:rsidRDefault="00150C06" w:rsidP="00150C06">
      <w:pPr>
        <w:spacing w:line="360" w:lineRule="auto"/>
        <w:rPr>
          <w:rFonts w:ascii="Arial" w:hAnsi="Arial" w:cs="Arial"/>
          <w:sz w:val="22"/>
          <w:szCs w:val="22"/>
        </w:rPr>
      </w:pPr>
      <w:r w:rsidRPr="00150C06">
        <w:rPr>
          <w:rFonts w:ascii="Arial" w:hAnsi="Arial" w:cs="Arial"/>
          <w:sz w:val="22"/>
          <w:szCs w:val="22"/>
        </w:rPr>
        <w:t>In addition, this research conducts a comprehensive analysis and comparison of Apple Inc. and its main rival, Microsoft Corporation, in Part B. This study seeks to provide a comprehensive analysis comparing Apple's performance to that of another significant participant in the technology industry. The goal is to discover the areas in which both companies excel and the areas in which changes may be needed.</w:t>
      </w:r>
    </w:p>
    <w:p w14:paraId="26F37B6D" w14:textId="77777777" w:rsidR="00150C06" w:rsidRPr="00150C06" w:rsidRDefault="00150C06" w:rsidP="00150C06">
      <w:pPr>
        <w:spacing w:line="360" w:lineRule="auto"/>
        <w:rPr>
          <w:rFonts w:ascii="Arial" w:hAnsi="Arial" w:cs="Arial"/>
          <w:sz w:val="22"/>
          <w:szCs w:val="22"/>
        </w:rPr>
      </w:pPr>
    </w:p>
    <w:p w14:paraId="65D2C7CE" w14:textId="77777777" w:rsidR="00150C06" w:rsidRPr="00150C06" w:rsidRDefault="00150C06" w:rsidP="00150C06">
      <w:pPr>
        <w:spacing w:line="360" w:lineRule="auto"/>
        <w:rPr>
          <w:rFonts w:ascii="Arial" w:hAnsi="Arial" w:cs="Arial"/>
          <w:sz w:val="22"/>
          <w:szCs w:val="22"/>
        </w:rPr>
      </w:pPr>
      <w:r w:rsidRPr="00150C06">
        <w:rPr>
          <w:rFonts w:ascii="Arial" w:hAnsi="Arial" w:cs="Arial"/>
          <w:sz w:val="22"/>
          <w:szCs w:val="22"/>
        </w:rPr>
        <w:t>During the last five years, Apple has successfully managed important achievements and difficulties, showcasing its expertise in launching innovative products and services. In 2019, Apple introduced new products like Apple Arcade and Apple TV+, as well as the iPhone 11 series and an improved Mac Pro. This demonstrated Apple's dedication to innovation and creating high-quality products. In 2020, despite the difficulties caused by the COVID-19 pandemic, Apple made important statements about its shift to Apple Silicon and released the much-awaited iPhone 12 series, which further established its dominance in the technological industry (Apple.com, 2020).</w:t>
      </w:r>
    </w:p>
    <w:p w14:paraId="6248276A" w14:textId="77777777" w:rsidR="00150C06" w:rsidRPr="00150C06" w:rsidRDefault="00150C06" w:rsidP="00150C06">
      <w:pPr>
        <w:spacing w:line="360" w:lineRule="auto"/>
        <w:rPr>
          <w:rFonts w:ascii="Arial" w:hAnsi="Arial" w:cs="Arial"/>
          <w:sz w:val="22"/>
          <w:szCs w:val="22"/>
        </w:rPr>
      </w:pPr>
    </w:p>
    <w:p w14:paraId="051CF7D6" w14:textId="77777777" w:rsidR="00150C06" w:rsidRPr="00150C06" w:rsidRDefault="00150C06" w:rsidP="00150C06">
      <w:pPr>
        <w:spacing w:line="360" w:lineRule="auto"/>
        <w:rPr>
          <w:rFonts w:ascii="Arial" w:hAnsi="Arial" w:cs="Arial"/>
          <w:sz w:val="22"/>
          <w:szCs w:val="22"/>
        </w:rPr>
      </w:pPr>
      <w:r w:rsidRPr="00150C06">
        <w:rPr>
          <w:rFonts w:ascii="Arial" w:hAnsi="Arial" w:cs="Arial"/>
          <w:sz w:val="22"/>
          <w:szCs w:val="22"/>
        </w:rPr>
        <w:t>Apple increased their range of M1-powered Macs in 2021, including the MacBook Air, MacBook Pro, Mac mini, and iMac. This highlights the significant improvements in performance and efficiency achieved through Apple's patented silicon technology (Apple.com, 2020). In 2022, Apple publicly restated its focus to environmental sustainability by declaring its ambitious objective of attaining carbon neutrality throughout its complete supply chain and product lifespan by 2030. This demonstrates Apple's strong commitment to corporate responsibility (Apple.com, 2023). Nevertheless, in 2023, Apple encountered legal obstacles due to speculation about the release of a mixed reality headset, which emphasised the company's continuous commitment to innovation in several product domains (California, 2023).</w:t>
      </w:r>
    </w:p>
    <w:p w14:paraId="435C768D" w14:textId="77777777" w:rsidR="00150C06" w:rsidRPr="00150C06" w:rsidRDefault="00150C06" w:rsidP="00150C06">
      <w:pPr>
        <w:spacing w:line="360" w:lineRule="auto"/>
        <w:rPr>
          <w:rFonts w:ascii="Arial" w:hAnsi="Arial" w:cs="Arial"/>
          <w:sz w:val="22"/>
          <w:szCs w:val="22"/>
        </w:rPr>
      </w:pPr>
    </w:p>
    <w:p w14:paraId="040F0B91" w14:textId="4D3CE6B3" w:rsidR="00007936" w:rsidRDefault="00150C06" w:rsidP="00150C06">
      <w:pPr>
        <w:spacing w:line="360" w:lineRule="auto"/>
        <w:rPr>
          <w:rFonts w:ascii="Arial" w:hAnsi="Arial" w:cs="Arial"/>
          <w:sz w:val="22"/>
          <w:szCs w:val="22"/>
        </w:rPr>
      </w:pPr>
      <w:r w:rsidRPr="00150C06">
        <w:rPr>
          <w:rFonts w:ascii="Arial" w:hAnsi="Arial" w:cs="Arial"/>
          <w:sz w:val="22"/>
          <w:szCs w:val="22"/>
        </w:rPr>
        <w:t xml:space="preserve">Part C of this research will explore the complexities of financial computations, specifically focusing on the Payback Period (PBP), Accounting Rate of Return (ARR), and Net Present </w:t>
      </w:r>
      <w:r w:rsidRPr="00150C06">
        <w:rPr>
          <w:rFonts w:ascii="Arial" w:hAnsi="Arial" w:cs="Arial"/>
          <w:sz w:val="22"/>
          <w:szCs w:val="22"/>
        </w:rPr>
        <w:lastRenderedPageBreak/>
        <w:t>Value (NPV). The study seeks to offer a thorough comprehension of the investment feasibility of projects, thereby providing significant insights for both stakeholders and decision-makers.</w:t>
      </w:r>
    </w:p>
    <w:p w14:paraId="0AB011EC" w14:textId="77777777" w:rsidR="00150C06" w:rsidRPr="00007936" w:rsidRDefault="00150C06" w:rsidP="00150C06">
      <w:pPr>
        <w:spacing w:line="360" w:lineRule="auto"/>
        <w:rPr>
          <w:b/>
          <w:bCs/>
          <w:i/>
          <w:iCs/>
        </w:rPr>
      </w:pPr>
    </w:p>
    <w:p w14:paraId="580533DD" w14:textId="0070A7BF" w:rsidR="00B04E89" w:rsidRPr="00007936" w:rsidRDefault="00B04E89" w:rsidP="00150C06">
      <w:pPr>
        <w:pStyle w:val="Heading1"/>
      </w:pPr>
      <w:bookmarkStart w:id="2" w:name="_Toc164857831"/>
      <w:r w:rsidRPr="00007936">
        <w:t>Financial Ratios for Apple for 2023</w:t>
      </w:r>
      <w:bookmarkEnd w:id="2"/>
    </w:p>
    <w:p w14:paraId="4CADC862" w14:textId="77777777" w:rsidR="00007936" w:rsidRDefault="00007936">
      <w:pPr>
        <w:rPr>
          <w:b/>
          <w:bCs/>
        </w:rPr>
      </w:pPr>
    </w:p>
    <w:p w14:paraId="69EBAA4A" w14:textId="717E1E12" w:rsidR="00007936" w:rsidRPr="00007936" w:rsidRDefault="00007936" w:rsidP="00150C06">
      <w:pPr>
        <w:pStyle w:val="Heading2"/>
      </w:pPr>
      <w:bookmarkStart w:id="3" w:name="_Toc164857832"/>
      <w:r w:rsidRPr="00007936">
        <w:t xml:space="preserve">Profitability Ratio </w:t>
      </w:r>
      <w:proofErr w:type="gramStart"/>
      <w:r w:rsidRPr="00007936">
        <w:t>-  Return</w:t>
      </w:r>
      <w:proofErr w:type="gramEnd"/>
      <w:r w:rsidRPr="00007936">
        <w:t xml:space="preserve"> on Assets</w:t>
      </w:r>
      <w:bookmarkEnd w:id="3"/>
    </w:p>
    <w:p w14:paraId="563076DA" w14:textId="77777777" w:rsidR="00B04E89" w:rsidRDefault="00B04E89"/>
    <w:p w14:paraId="56BB2671" w14:textId="71EE5A88" w:rsidR="00B04E89" w:rsidRPr="00B04E89" w:rsidRDefault="00B04E89" w:rsidP="00B209A8">
      <w:pPr>
        <w:pStyle w:val="Caption"/>
        <w:rPr>
          <w:rFonts w:ascii="Arial" w:hAnsi="Arial" w:cs="Arial"/>
          <w:sz w:val="22"/>
          <w:szCs w:val="22"/>
        </w:rPr>
      </w:pPr>
      <w:bookmarkStart w:id="4" w:name="_Toc164857416"/>
      <w:r w:rsidRPr="00B04E89">
        <w:rPr>
          <w:rFonts w:ascii="Arial" w:hAnsi="Arial" w:cs="Arial"/>
          <w:sz w:val="22"/>
          <w:szCs w:val="22"/>
        </w:rPr>
        <w:t xml:space="preserve">The profitability ratio for Apple in the most recent financial statement is calculated using the formula </w:t>
      </w:r>
      <w:r w:rsidR="0096396E">
        <w:rPr>
          <w:rFonts w:ascii="Arial" w:hAnsi="Arial" w:cs="Arial"/>
          <w:sz w:val="22"/>
          <w:szCs w:val="22"/>
        </w:rPr>
        <w:t>ROA (</w:t>
      </w:r>
      <w:r w:rsidRPr="00B04E89">
        <w:rPr>
          <w:rFonts w:ascii="Arial" w:hAnsi="Arial" w:cs="Arial"/>
          <w:sz w:val="22"/>
          <w:szCs w:val="22"/>
        </w:rPr>
        <w:t xml:space="preserve">Return on </w:t>
      </w:r>
      <w:proofErr w:type="gramStart"/>
      <w:r w:rsidRPr="00B04E89">
        <w:rPr>
          <w:rFonts w:ascii="Arial" w:hAnsi="Arial" w:cs="Arial"/>
          <w:sz w:val="22"/>
          <w:szCs w:val="22"/>
        </w:rPr>
        <w:t xml:space="preserve">assets </w:t>
      </w:r>
      <w:r w:rsidR="0096396E">
        <w:rPr>
          <w:rFonts w:ascii="Arial" w:hAnsi="Arial" w:cs="Arial"/>
          <w:sz w:val="22"/>
          <w:szCs w:val="22"/>
        </w:rPr>
        <w:t>)</w:t>
      </w:r>
      <w:proofErr w:type="gramEnd"/>
      <w:r w:rsidRPr="00B04E89">
        <w:rPr>
          <w:rFonts w:ascii="Arial" w:hAnsi="Arial" w:cs="Arial"/>
          <w:sz w:val="22"/>
          <w:szCs w:val="22"/>
        </w:rPr>
        <w:t>= Net Income/Total Assets</w:t>
      </w:r>
      <w:r w:rsidR="00C7412B">
        <w:rPr>
          <w:rFonts w:ascii="Arial" w:hAnsi="Arial" w:cs="Arial"/>
          <w:sz w:val="22"/>
          <w:szCs w:val="22"/>
        </w:rPr>
        <w:t xml:space="preserve"> </w:t>
      </w:r>
      <w:r w:rsidR="00B209A8">
        <w:t xml:space="preserve">Table </w:t>
      </w:r>
      <w:r w:rsidR="00B209A8">
        <w:fldChar w:fldCharType="begin"/>
      </w:r>
      <w:r w:rsidR="00B209A8">
        <w:instrText xml:space="preserve"> SEQ Table \* ARABIC </w:instrText>
      </w:r>
      <w:r w:rsidR="00B209A8">
        <w:fldChar w:fldCharType="separate"/>
      </w:r>
      <w:r w:rsidR="00460444">
        <w:rPr>
          <w:noProof/>
        </w:rPr>
        <w:t>2</w:t>
      </w:r>
      <w:r w:rsidR="00B209A8">
        <w:fldChar w:fldCharType="end"/>
      </w:r>
      <w:r w:rsidR="001434D7" w:rsidRPr="00AC011C">
        <w:rPr>
          <w:rFonts w:ascii="Arial" w:eastAsia="Times New Roman" w:hAnsi="Arial" w:cs="Arial"/>
          <w:kern w:val="0"/>
          <w:sz w:val="22"/>
          <w:szCs w:val="22"/>
          <w:lang w:eastAsia="en-GB"/>
          <w14:ligatures w14:val="none"/>
        </w:rPr>
        <w:t>(Vipond, 2024)</w:t>
      </w:r>
      <w:r w:rsidR="001434D7">
        <w:rPr>
          <w:rFonts w:ascii="Arial" w:hAnsi="Arial" w:cs="Arial"/>
          <w:sz w:val="22"/>
          <w:szCs w:val="22"/>
        </w:rPr>
        <w:t>.</w:t>
      </w:r>
      <w:bookmarkEnd w:id="4"/>
    </w:p>
    <w:p w14:paraId="36D3CFDC" w14:textId="77777777" w:rsidR="00C7412B" w:rsidRPr="00B04E89" w:rsidRDefault="00B04E89" w:rsidP="00C7412B">
      <w:pPr>
        <w:pStyle w:val="muitypography-root"/>
        <w:spacing w:line="360" w:lineRule="auto"/>
        <w:rPr>
          <w:rFonts w:ascii="Arial" w:hAnsi="Arial" w:cs="Arial"/>
          <w:sz w:val="22"/>
          <w:szCs w:val="22"/>
        </w:rPr>
      </w:pPr>
      <w:r w:rsidRPr="00B04E89">
        <w:rPr>
          <w:rFonts w:ascii="Arial" w:hAnsi="Arial" w:cs="Arial"/>
          <w:sz w:val="22"/>
          <w:szCs w:val="22"/>
        </w:rPr>
        <w:t xml:space="preserve">The Return on Assets (ROA) metric is commonly expressed as a percentage, calculated by dividing a company's net income by its average assets. A higher return on assets (ROA) indicates that a company is skilled at efficiently and profitably managing its balance sheet to create profits, whereas a lower ROA offers room for improvement in this area </w:t>
      </w:r>
      <w:r w:rsidR="00C7412B" w:rsidRPr="00C7412B">
        <w:rPr>
          <w:rFonts w:ascii="Arial" w:hAnsi="Arial" w:cs="Arial"/>
          <w:sz w:val="22"/>
          <w:szCs w:val="22"/>
        </w:rPr>
        <w:t>(</w:t>
      </w:r>
      <w:proofErr w:type="spellStart"/>
      <w:r w:rsidR="00C7412B" w:rsidRPr="00C7412B">
        <w:rPr>
          <w:rFonts w:ascii="Arial" w:hAnsi="Arial" w:cs="Arial"/>
          <w:sz w:val="22"/>
          <w:szCs w:val="22"/>
        </w:rPr>
        <w:t>IntroBooks</w:t>
      </w:r>
      <w:proofErr w:type="spellEnd"/>
      <w:r w:rsidR="00C7412B" w:rsidRPr="00C7412B">
        <w:rPr>
          <w:rFonts w:ascii="Arial" w:hAnsi="Arial" w:cs="Arial"/>
          <w:sz w:val="22"/>
          <w:szCs w:val="22"/>
        </w:rPr>
        <w:t>, 2019)</w:t>
      </w:r>
      <w:r w:rsidR="00C7412B">
        <w:rPr>
          <w:rFonts w:ascii="Arial" w:hAnsi="Arial" w:cs="Arial"/>
          <w:sz w:val="22"/>
          <w:szCs w:val="22"/>
        </w:rPr>
        <w:t>.</w:t>
      </w:r>
    </w:p>
    <w:p w14:paraId="62BE0229" w14:textId="77777777" w:rsidR="00C7412B" w:rsidRPr="00B04E89" w:rsidRDefault="00B04E89" w:rsidP="00C7412B">
      <w:pPr>
        <w:pStyle w:val="muitypography-root"/>
        <w:spacing w:line="360" w:lineRule="auto"/>
        <w:rPr>
          <w:rFonts w:ascii="Arial" w:hAnsi="Arial" w:cs="Arial"/>
          <w:sz w:val="22"/>
          <w:szCs w:val="22"/>
        </w:rPr>
      </w:pPr>
      <w:r w:rsidRPr="00B04E89">
        <w:rPr>
          <w:rFonts w:ascii="Arial" w:hAnsi="Arial" w:cs="Arial"/>
          <w:sz w:val="22"/>
          <w:szCs w:val="22"/>
        </w:rPr>
        <w:t xml:space="preserve">Expanding on the statement, a higher return on assets (ROA) for a corporation signifies that the company is effectively utilising its assets to produce revenues. This indicates that the company's management is efficiently leveraging its resources, including both tangible and intangible assets, to generate income. A higher return on assets (ROA) indicates more efficient and productive use of assets, which is generally seen as a positive sign by investors and stakeholders </w:t>
      </w:r>
      <w:r w:rsidR="00C7412B" w:rsidRPr="00C7412B">
        <w:rPr>
          <w:rFonts w:ascii="Arial" w:hAnsi="Arial" w:cs="Arial"/>
          <w:sz w:val="22"/>
          <w:szCs w:val="22"/>
        </w:rPr>
        <w:t>(</w:t>
      </w:r>
      <w:proofErr w:type="spellStart"/>
      <w:r w:rsidR="00C7412B" w:rsidRPr="00C7412B">
        <w:rPr>
          <w:rFonts w:ascii="Arial" w:hAnsi="Arial" w:cs="Arial"/>
          <w:sz w:val="22"/>
          <w:szCs w:val="22"/>
        </w:rPr>
        <w:t>IntroBooks</w:t>
      </w:r>
      <w:proofErr w:type="spellEnd"/>
      <w:r w:rsidR="00C7412B" w:rsidRPr="00C7412B">
        <w:rPr>
          <w:rFonts w:ascii="Arial" w:hAnsi="Arial" w:cs="Arial"/>
          <w:sz w:val="22"/>
          <w:szCs w:val="22"/>
        </w:rPr>
        <w:t>, 2019)</w:t>
      </w:r>
      <w:r w:rsidR="00C7412B">
        <w:rPr>
          <w:rFonts w:ascii="Arial" w:hAnsi="Arial" w:cs="Arial"/>
          <w:sz w:val="22"/>
          <w:szCs w:val="22"/>
        </w:rPr>
        <w:t>.</w:t>
      </w:r>
    </w:p>
    <w:p w14:paraId="7FA19B8F" w14:textId="56EC3695" w:rsidR="00AC011C" w:rsidRPr="00AC011C" w:rsidRDefault="00B04E89" w:rsidP="00285B29">
      <w:pPr>
        <w:pStyle w:val="muitypography-root"/>
        <w:spacing w:line="360" w:lineRule="auto"/>
        <w:rPr>
          <w:rFonts w:ascii="Arial" w:hAnsi="Arial" w:cs="Arial"/>
          <w:sz w:val="22"/>
          <w:szCs w:val="22"/>
        </w:rPr>
      </w:pPr>
      <w:r w:rsidRPr="00B04E89">
        <w:rPr>
          <w:rFonts w:ascii="Arial" w:hAnsi="Arial" w:cs="Arial"/>
          <w:sz w:val="22"/>
          <w:szCs w:val="22"/>
        </w:rPr>
        <w:t xml:space="preserve">Conversely, a lower return on assets (ROA) indicates that the company is not effectively utilising its assets to create profits. There are other potential causes for this situation, including as inefficiencies in operations, assets not being fully utilised, high operating expenses, or insufficient management practices. A lower return on assets (ROA) suggests that the company has room for improvement in managing its assets to enhance profitability </w:t>
      </w:r>
      <w:r w:rsidR="00AC011C" w:rsidRPr="00AC011C">
        <w:rPr>
          <w:rFonts w:ascii="Arial" w:hAnsi="Arial" w:cs="Arial"/>
          <w:sz w:val="22"/>
          <w:szCs w:val="22"/>
        </w:rPr>
        <w:t>(Vipond, 2024)</w:t>
      </w:r>
      <w:r w:rsidR="001434D7">
        <w:rPr>
          <w:rFonts w:ascii="Arial" w:hAnsi="Arial" w:cs="Arial"/>
          <w:sz w:val="22"/>
          <w:szCs w:val="22"/>
        </w:rPr>
        <w:t>.</w:t>
      </w:r>
    </w:p>
    <w:p w14:paraId="5C30B8DF" w14:textId="49D32155" w:rsidR="00B04E89" w:rsidRPr="00007936" w:rsidRDefault="00B04E89" w:rsidP="00150C06">
      <w:pPr>
        <w:pStyle w:val="Heading2"/>
      </w:pPr>
      <w:bookmarkStart w:id="5" w:name="_Toc164857833"/>
      <w:r w:rsidRPr="00007936">
        <w:lastRenderedPageBreak/>
        <w:t>Apple Inc ROA</w:t>
      </w:r>
      <w:r w:rsidR="00585F4E" w:rsidRPr="00007936">
        <w:t xml:space="preserve"> (Return on Assets)</w:t>
      </w:r>
      <w:bookmarkEnd w:id="5"/>
    </w:p>
    <w:p w14:paraId="07ADE2A2" w14:textId="213F5456" w:rsidR="00CD2B87" w:rsidRDefault="00CD2B87" w:rsidP="00B04E89">
      <w:pPr>
        <w:pStyle w:val="muitypography-root"/>
        <w:spacing w:line="360" w:lineRule="auto"/>
        <w:rPr>
          <w:rFonts w:ascii="Arial" w:hAnsi="Arial" w:cs="Arial"/>
          <w:color w:val="000000"/>
          <w:sz w:val="22"/>
          <w:szCs w:val="22"/>
        </w:rPr>
      </w:pPr>
      <w:r w:rsidRPr="00CD2B87">
        <w:rPr>
          <w:rFonts w:ascii="Arial" w:hAnsi="Arial" w:cs="Arial"/>
          <w:color w:val="000000"/>
          <w:sz w:val="22"/>
          <w:szCs w:val="22"/>
        </w:rPr>
        <w:drawing>
          <wp:inline distT="0" distB="0" distL="0" distR="0" wp14:anchorId="15932B0E" wp14:editId="05248D5D">
            <wp:extent cx="5731510" cy="956945"/>
            <wp:effectExtent l="0" t="0" r="0" b="0"/>
            <wp:docPr id="1174005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05094" name=""/>
                    <pic:cNvPicPr/>
                  </pic:nvPicPr>
                  <pic:blipFill>
                    <a:blip r:embed="rId8"/>
                    <a:stretch>
                      <a:fillRect/>
                    </a:stretch>
                  </pic:blipFill>
                  <pic:spPr>
                    <a:xfrm>
                      <a:off x="0" y="0"/>
                      <a:ext cx="5731510" cy="956945"/>
                    </a:xfrm>
                    <a:prstGeom prst="rect">
                      <a:avLst/>
                    </a:prstGeom>
                  </pic:spPr>
                </pic:pic>
              </a:graphicData>
            </a:graphic>
          </wp:inline>
        </w:drawing>
      </w:r>
    </w:p>
    <w:p w14:paraId="28C28A6D" w14:textId="3BF01AF9" w:rsidR="0086204E" w:rsidRPr="00CD2B87" w:rsidRDefault="0086204E" w:rsidP="00B04E89">
      <w:pPr>
        <w:pStyle w:val="muitypography-root"/>
        <w:spacing w:line="360" w:lineRule="auto"/>
        <w:rPr>
          <w:rFonts w:ascii="Arial" w:hAnsi="Arial" w:cs="Arial"/>
          <w:color w:val="000000"/>
          <w:sz w:val="22"/>
          <w:szCs w:val="22"/>
        </w:rPr>
      </w:pPr>
      <w:r>
        <w:rPr>
          <w:rFonts w:ascii="Arial" w:hAnsi="Arial" w:cs="Arial"/>
          <w:color w:val="000000"/>
          <w:sz w:val="22"/>
          <w:szCs w:val="22"/>
        </w:rPr>
        <w:t xml:space="preserve">Source: Author </w:t>
      </w:r>
    </w:p>
    <w:p w14:paraId="1DB5A2BC" w14:textId="2648EF83" w:rsidR="00B04E89" w:rsidRPr="00B04E89" w:rsidRDefault="00B04E89" w:rsidP="00B04E89">
      <w:pPr>
        <w:pStyle w:val="muitypography-root"/>
        <w:spacing w:line="360" w:lineRule="auto"/>
        <w:rPr>
          <w:rFonts w:ascii="Arial" w:hAnsi="Arial" w:cs="Arial"/>
          <w:color w:val="000000"/>
          <w:sz w:val="22"/>
          <w:szCs w:val="22"/>
        </w:rPr>
      </w:pPr>
      <w:r>
        <w:rPr>
          <w:rFonts w:ascii="Arial" w:hAnsi="Arial" w:cs="Arial"/>
          <w:color w:val="000000"/>
          <w:sz w:val="22"/>
          <w:szCs w:val="22"/>
        </w:rPr>
        <w:t xml:space="preserve">Net Income </w:t>
      </w:r>
      <w:r w:rsidRPr="00B04E89">
        <w:rPr>
          <w:rFonts w:ascii="Arial" w:hAnsi="Arial" w:cs="Arial"/>
          <w:color w:val="000000"/>
          <w:sz w:val="22"/>
          <w:szCs w:val="22"/>
        </w:rPr>
        <w:t>$96,995</w:t>
      </w:r>
      <w:r>
        <w:rPr>
          <w:rFonts w:ascii="Arial" w:hAnsi="Arial" w:cs="Arial"/>
          <w:color w:val="000000"/>
          <w:sz w:val="22"/>
          <w:szCs w:val="22"/>
        </w:rPr>
        <w:t xml:space="preserve"> </w:t>
      </w:r>
      <w:r w:rsidR="00EA7C8C">
        <w:rPr>
          <w:rFonts w:ascii="Arial" w:hAnsi="Arial" w:cs="Arial"/>
          <w:sz w:val="22"/>
          <w:szCs w:val="22"/>
        </w:rPr>
        <w:t>(</w:t>
      </w:r>
      <w:r w:rsidR="00EA7C8C" w:rsidRPr="009F68D4">
        <w:rPr>
          <w:rFonts w:ascii="Arial" w:hAnsi="Arial" w:cs="Arial"/>
          <w:sz w:val="22"/>
          <w:szCs w:val="22"/>
        </w:rPr>
        <w:t>Apple</w:t>
      </w:r>
      <w:r w:rsidR="00EA7C8C">
        <w:rPr>
          <w:rFonts w:ascii="Arial" w:hAnsi="Arial" w:cs="Arial"/>
          <w:sz w:val="22"/>
          <w:szCs w:val="22"/>
        </w:rPr>
        <w:t xml:space="preserve">, </w:t>
      </w:r>
      <w:r w:rsidR="00EA7C8C" w:rsidRPr="009F68D4">
        <w:rPr>
          <w:rFonts w:ascii="Arial" w:hAnsi="Arial" w:cs="Arial"/>
          <w:sz w:val="22"/>
          <w:szCs w:val="22"/>
        </w:rPr>
        <w:t>2024)</w:t>
      </w:r>
      <w:r w:rsidR="00EA7C8C">
        <w:rPr>
          <w:rFonts w:ascii="Arial" w:hAnsi="Arial" w:cs="Arial"/>
          <w:color w:val="000000"/>
          <w:sz w:val="22"/>
          <w:szCs w:val="22"/>
        </w:rPr>
        <w:t xml:space="preserve"> </w:t>
      </w:r>
      <w:r>
        <w:rPr>
          <w:rFonts w:ascii="Arial" w:hAnsi="Arial" w:cs="Arial"/>
          <w:color w:val="000000"/>
          <w:sz w:val="22"/>
          <w:szCs w:val="22"/>
        </w:rPr>
        <w:t xml:space="preserve">/ Total assets </w:t>
      </w:r>
      <w:r w:rsidRPr="00B04E89">
        <w:rPr>
          <w:rFonts w:ascii="Arial" w:hAnsi="Arial" w:cs="Arial"/>
          <w:color w:val="000000"/>
          <w:sz w:val="22"/>
          <w:szCs w:val="22"/>
        </w:rPr>
        <w:t>$352,583</w:t>
      </w:r>
      <w:r w:rsidR="00EA7C8C">
        <w:rPr>
          <w:rFonts w:ascii="Arial" w:hAnsi="Arial" w:cs="Arial"/>
          <w:color w:val="000000"/>
          <w:sz w:val="22"/>
          <w:szCs w:val="22"/>
        </w:rPr>
        <w:t xml:space="preserve"> </w:t>
      </w:r>
      <w:r w:rsidR="00EA7C8C">
        <w:rPr>
          <w:rFonts w:ascii="Arial" w:hAnsi="Arial" w:cs="Arial"/>
          <w:sz w:val="22"/>
          <w:szCs w:val="22"/>
        </w:rPr>
        <w:t>(</w:t>
      </w:r>
      <w:r w:rsidR="00EA7C8C" w:rsidRPr="009F68D4">
        <w:rPr>
          <w:rFonts w:ascii="Arial" w:hAnsi="Arial" w:cs="Arial"/>
          <w:sz w:val="22"/>
          <w:szCs w:val="22"/>
        </w:rPr>
        <w:t>Apple</w:t>
      </w:r>
      <w:r w:rsidR="00EA7C8C">
        <w:rPr>
          <w:rFonts w:ascii="Arial" w:hAnsi="Arial" w:cs="Arial"/>
          <w:sz w:val="22"/>
          <w:szCs w:val="22"/>
        </w:rPr>
        <w:t xml:space="preserve">, </w:t>
      </w:r>
      <w:r w:rsidR="00EA7C8C" w:rsidRPr="009F68D4">
        <w:rPr>
          <w:rFonts w:ascii="Arial" w:hAnsi="Arial" w:cs="Arial"/>
          <w:sz w:val="22"/>
          <w:szCs w:val="22"/>
        </w:rPr>
        <w:t>2024)</w:t>
      </w:r>
      <w:r w:rsidRPr="00B04E89">
        <w:rPr>
          <w:rFonts w:ascii="Arial" w:hAnsi="Arial" w:cs="Arial"/>
          <w:color w:val="000000"/>
          <w:sz w:val="22"/>
          <w:szCs w:val="22"/>
        </w:rPr>
        <w:t xml:space="preserve"> million</w:t>
      </w:r>
      <w:r>
        <w:rPr>
          <w:rFonts w:ascii="Arial" w:hAnsi="Arial" w:cs="Arial"/>
          <w:color w:val="000000"/>
          <w:sz w:val="22"/>
          <w:szCs w:val="22"/>
        </w:rPr>
        <w:t>=</w:t>
      </w:r>
      <w:r w:rsidRPr="00B04E89">
        <w:rPr>
          <w:rFonts w:ascii="Arial" w:hAnsi="Arial" w:cs="Arial"/>
          <w:color w:val="000000"/>
          <w:sz w:val="22"/>
          <w:szCs w:val="22"/>
        </w:rPr>
        <w:t xml:space="preserve"> </w:t>
      </w:r>
      <w:r>
        <w:rPr>
          <w:rFonts w:ascii="Arial" w:hAnsi="Arial" w:cs="Arial"/>
          <w:color w:val="000000"/>
          <w:sz w:val="22"/>
          <w:szCs w:val="22"/>
        </w:rPr>
        <w:t xml:space="preserve">ROA 0.2751 or </w:t>
      </w:r>
      <w:r w:rsidRPr="00B04E89">
        <w:rPr>
          <w:rFonts w:ascii="Arial" w:hAnsi="Arial" w:cs="Arial"/>
          <w:color w:val="000000"/>
          <w:sz w:val="22"/>
          <w:szCs w:val="22"/>
        </w:rPr>
        <w:t>27.51</w:t>
      </w:r>
      <w:r>
        <w:rPr>
          <w:rFonts w:ascii="Arial" w:hAnsi="Arial" w:cs="Arial"/>
          <w:color w:val="000000"/>
          <w:sz w:val="22"/>
          <w:szCs w:val="22"/>
        </w:rPr>
        <w:t>%</w:t>
      </w:r>
      <w:r w:rsidR="00EA7C8C">
        <w:rPr>
          <w:rFonts w:ascii="Arial" w:hAnsi="Arial" w:cs="Arial"/>
          <w:color w:val="000000"/>
          <w:sz w:val="22"/>
          <w:szCs w:val="22"/>
        </w:rPr>
        <w:t>.</w:t>
      </w:r>
    </w:p>
    <w:p w14:paraId="5C8BCEEB" w14:textId="7A786D14" w:rsidR="00B04E89" w:rsidRPr="00B04E89" w:rsidRDefault="00B04E89" w:rsidP="00B04E89">
      <w:pPr>
        <w:pStyle w:val="muitypography-root"/>
        <w:spacing w:line="360" w:lineRule="auto"/>
        <w:rPr>
          <w:rFonts w:ascii="Arial" w:hAnsi="Arial" w:cs="Arial"/>
          <w:sz w:val="22"/>
          <w:szCs w:val="22"/>
        </w:rPr>
      </w:pPr>
      <w:r w:rsidRPr="00B04E89">
        <w:rPr>
          <w:rFonts w:ascii="Arial" w:hAnsi="Arial" w:cs="Arial"/>
          <w:sz w:val="22"/>
          <w:szCs w:val="22"/>
        </w:rPr>
        <w:t>Apple's return on assets (ROA) in 2023 was 27.51%. The calculation entails dividing the whole revenue for 2023, which is $96,995 million, by the total number of assets, which amount to $352,583 million</w:t>
      </w:r>
      <w:r w:rsidR="00900DDF">
        <w:rPr>
          <w:rFonts w:ascii="Arial" w:hAnsi="Arial" w:cs="Arial"/>
          <w:sz w:val="22"/>
          <w:szCs w:val="22"/>
        </w:rPr>
        <w:t xml:space="preserve"> </w:t>
      </w:r>
      <w:r w:rsidR="00900DDF">
        <w:rPr>
          <w:rFonts w:ascii="Arial" w:hAnsi="Arial" w:cs="Arial"/>
          <w:sz w:val="22"/>
          <w:szCs w:val="22"/>
        </w:rPr>
        <w:t>(</w:t>
      </w:r>
      <w:r w:rsidR="00900DDF" w:rsidRPr="009F68D4">
        <w:rPr>
          <w:rFonts w:ascii="Arial" w:hAnsi="Arial" w:cs="Arial"/>
          <w:sz w:val="22"/>
          <w:szCs w:val="22"/>
        </w:rPr>
        <w:t>Apple</w:t>
      </w:r>
      <w:r w:rsidR="00900DDF">
        <w:rPr>
          <w:rFonts w:ascii="Arial" w:hAnsi="Arial" w:cs="Arial"/>
          <w:sz w:val="22"/>
          <w:szCs w:val="22"/>
        </w:rPr>
        <w:t xml:space="preserve">, </w:t>
      </w:r>
      <w:r w:rsidR="00900DDF" w:rsidRPr="009F68D4">
        <w:rPr>
          <w:rFonts w:ascii="Arial" w:hAnsi="Arial" w:cs="Arial"/>
          <w:sz w:val="22"/>
          <w:szCs w:val="22"/>
        </w:rPr>
        <w:t>2024)</w:t>
      </w:r>
      <w:r w:rsidRPr="00B04E89">
        <w:rPr>
          <w:rFonts w:ascii="Arial" w:hAnsi="Arial" w:cs="Arial"/>
          <w:sz w:val="22"/>
          <w:szCs w:val="22"/>
        </w:rPr>
        <w:t>. The result is 0.2751, which is equal to 27.51%. This exemplifies the effective utilisation of assets, yielding a profit of around 27.51 cents for dollar of assets.</w:t>
      </w:r>
    </w:p>
    <w:p w14:paraId="7A8E063A" w14:textId="7696ADD1" w:rsidR="00B04E89" w:rsidRPr="00B04E89" w:rsidRDefault="00B04E89" w:rsidP="00B04E89">
      <w:pPr>
        <w:pStyle w:val="muitypography-root"/>
        <w:spacing w:line="360" w:lineRule="auto"/>
        <w:rPr>
          <w:rFonts w:ascii="Arial" w:hAnsi="Arial" w:cs="Arial"/>
          <w:sz w:val="22"/>
          <w:szCs w:val="22"/>
        </w:rPr>
      </w:pPr>
      <w:r w:rsidRPr="00B04E89">
        <w:rPr>
          <w:rFonts w:ascii="Arial" w:hAnsi="Arial" w:cs="Arial"/>
          <w:sz w:val="22"/>
          <w:szCs w:val="22"/>
        </w:rPr>
        <w:t>Apple's Return on Assets (ROA) can be calculated by dividing its Net Income of $96,995 million by its Total assets of $352,583 million. This results in a ROA of 0.2751 or 27.51%</w:t>
      </w:r>
      <w:r w:rsidR="00900DDF">
        <w:rPr>
          <w:rFonts w:ascii="Arial" w:hAnsi="Arial" w:cs="Arial"/>
          <w:sz w:val="22"/>
          <w:szCs w:val="22"/>
        </w:rPr>
        <w:t xml:space="preserve"> </w:t>
      </w:r>
      <w:r w:rsidR="00900DDF">
        <w:rPr>
          <w:rFonts w:ascii="Arial" w:hAnsi="Arial" w:cs="Arial"/>
          <w:sz w:val="22"/>
          <w:szCs w:val="22"/>
        </w:rPr>
        <w:t>(</w:t>
      </w:r>
      <w:r w:rsidR="00900DDF" w:rsidRPr="009F68D4">
        <w:rPr>
          <w:rFonts w:ascii="Arial" w:hAnsi="Arial" w:cs="Arial"/>
          <w:sz w:val="22"/>
          <w:szCs w:val="22"/>
        </w:rPr>
        <w:t>Apple</w:t>
      </w:r>
      <w:r w:rsidR="00900DDF">
        <w:rPr>
          <w:rFonts w:ascii="Arial" w:hAnsi="Arial" w:cs="Arial"/>
          <w:sz w:val="22"/>
          <w:szCs w:val="22"/>
        </w:rPr>
        <w:t xml:space="preserve">, </w:t>
      </w:r>
      <w:r w:rsidR="00900DDF" w:rsidRPr="009F68D4">
        <w:rPr>
          <w:rFonts w:ascii="Arial" w:hAnsi="Arial" w:cs="Arial"/>
          <w:sz w:val="22"/>
          <w:szCs w:val="22"/>
        </w:rPr>
        <w:t>2024)</w:t>
      </w:r>
      <w:r w:rsidRPr="00B04E89">
        <w:rPr>
          <w:rFonts w:ascii="Arial" w:hAnsi="Arial" w:cs="Arial"/>
          <w:sz w:val="22"/>
          <w:szCs w:val="22"/>
        </w:rPr>
        <w:t>.</w:t>
      </w:r>
    </w:p>
    <w:p w14:paraId="3591DEC0" w14:textId="4613F784" w:rsidR="00B04E89" w:rsidRPr="00B04E89" w:rsidRDefault="00B04E89" w:rsidP="00B04E89">
      <w:pPr>
        <w:pStyle w:val="muitypography-root"/>
        <w:spacing w:line="360" w:lineRule="auto"/>
        <w:rPr>
          <w:rFonts w:ascii="Arial" w:hAnsi="Arial" w:cs="Arial"/>
          <w:sz w:val="22"/>
          <w:szCs w:val="22"/>
        </w:rPr>
      </w:pPr>
      <w:r w:rsidRPr="00B04E89">
        <w:rPr>
          <w:rFonts w:ascii="Arial" w:hAnsi="Arial" w:cs="Arial"/>
          <w:sz w:val="22"/>
          <w:szCs w:val="22"/>
        </w:rPr>
        <w:t>Apple Inc. exhibits its impressive profitability by attaining a Return on Assets (ROA) of 27.51%</w:t>
      </w:r>
      <w:r w:rsidR="00060C18">
        <w:rPr>
          <w:rFonts w:ascii="Arial" w:hAnsi="Arial" w:cs="Arial"/>
          <w:sz w:val="22"/>
          <w:szCs w:val="22"/>
        </w:rPr>
        <w:t xml:space="preserve">. </w:t>
      </w:r>
      <w:r w:rsidRPr="00B04E89">
        <w:rPr>
          <w:rFonts w:ascii="Arial" w:hAnsi="Arial" w:cs="Arial"/>
          <w:sz w:val="22"/>
          <w:szCs w:val="22"/>
        </w:rPr>
        <w:t>This suggests that Apple's management is effectively utilising its resources, including its diverse range of products, brand value, intellectual property, and financial reserves, to generate substantial profits. Apple's impressive return on assets (ROA) is often attributed to its premium pricing strategy, loyal client base, and efficient supply chain management.</w:t>
      </w:r>
    </w:p>
    <w:p w14:paraId="0277C9A0" w14:textId="1FB36A38" w:rsidR="0080353F" w:rsidRPr="00150C06" w:rsidRDefault="00B04E89" w:rsidP="00150C06">
      <w:pPr>
        <w:pStyle w:val="Heading2"/>
      </w:pPr>
      <w:bookmarkStart w:id="6" w:name="_Toc164857834"/>
      <w:r w:rsidRPr="00007936">
        <w:rPr>
          <w:rFonts w:eastAsia="Times New Roman"/>
          <w:lang w:eastAsia="en-GB"/>
        </w:rPr>
        <w:t>Microsoft ROA</w:t>
      </w:r>
      <w:r w:rsidR="00007936">
        <w:rPr>
          <w:rFonts w:eastAsia="Times New Roman"/>
          <w:lang w:eastAsia="en-GB"/>
        </w:rPr>
        <w:t xml:space="preserve"> (Return on Assets)</w:t>
      </w:r>
      <w:bookmarkEnd w:id="6"/>
    </w:p>
    <w:p w14:paraId="204CAFE2" w14:textId="32A59F70" w:rsidR="00B04E89" w:rsidRDefault="00B04E89" w:rsidP="00B04E89">
      <w:pPr>
        <w:spacing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Net Income </w:t>
      </w:r>
      <w:r w:rsidRPr="00B04E89">
        <w:rPr>
          <w:rFonts w:ascii="Arial" w:eastAsia="Times New Roman" w:hAnsi="Arial" w:cs="Arial"/>
          <w:color w:val="000000"/>
          <w:kern w:val="0"/>
          <w:sz w:val="22"/>
          <w:szCs w:val="22"/>
          <w:lang w:eastAsia="en-GB"/>
          <w14:ligatures w14:val="none"/>
        </w:rPr>
        <w:t>$72,361</w:t>
      </w:r>
      <w:r>
        <w:rPr>
          <w:rFonts w:ascii="Arial" w:eastAsia="Times New Roman" w:hAnsi="Arial" w:cs="Arial"/>
          <w:color w:val="000000"/>
          <w:kern w:val="0"/>
          <w:sz w:val="22"/>
          <w:szCs w:val="22"/>
          <w:lang w:eastAsia="en-GB"/>
          <w14:ligatures w14:val="none"/>
        </w:rPr>
        <w:t xml:space="preserve"> / </w:t>
      </w:r>
      <w:r w:rsidRPr="00B04E89">
        <w:rPr>
          <w:rFonts w:ascii="Arial" w:eastAsia="Times New Roman" w:hAnsi="Arial" w:cs="Arial"/>
          <w:color w:val="000000"/>
          <w:kern w:val="0"/>
          <w:sz w:val="22"/>
          <w:szCs w:val="22"/>
          <w:lang w:eastAsia="en-GB"/>
          <w14:ligatures w14:val="none"/>
        </w:rPr>
        <w:t>$411,976</w:t>
      </w:r>
      <w:r w:rsidR="0080353F">
        <w:rPr>
          <w:rFonts w:ascii="Arial" w:eastAsia="Times New Roman" w:hAnsi="Arial" w:cs="Arial"/>
          <w:color w:val="000000"/>
          <w:kern w:val="0"/>
          <w:sz w:val="22"/>
          <w:szCs w:val="22"/>
          <w:lang w:eastAsia="en-GB"/>
          <w14:ligatures w14:val="none"/>
        </w:rPr>
        <w:t xml:space="preserve"> </w:t>
      </w:r>
      <w:r w:rsidR="0080353F" w:rsidRPr="0080353F">
        <w:rPr>
          <w:rFonts w:ascii="Arial" w:eastAsia="Times New Roman" w:hAnsi="Arial" w:cs="Arial"/>
          <w:color w:val="000000"/>
          <w:kern w:val="0"/>
          <w:sz w:val="22"/>
          <w:szCs w:val="22"/>
          <w:lang w:eastAsia="en-GB"/>
          <w14:ligatures w14:val="none"/>
        </w:rPr>
        <w:t>(Microsoft, n.d.)</w:t>
      </w:r>
      <w:r>
        <w:rPr>
          <w:rFonts w:ascii="Arial" w:eastAsia="Times New Roman" w:hAnsi="Arial" w:cs="Arial"/>
          <w:color w:val="000000"/>
          <w:kern w:val="0"/>
          <w:sz w:val="22"/>
          <w:szCs w:val="22"/>
          <w:lang w:eastAsia="en-GB"/>
          <w14:ligatures w14:val="none"/>
        </w:rPr>
        <w:t xml:space="preserve"> = ROA 0.18 or 18%.</w:t>
      </w:r>
    </w:p>
    <w:p w14:paraId="4BB89339" w14:textId="6702E13B" w:rsidR="0080353F" w:rsidRDefault="0080353F" w:rsidP="00B04E89">
      <w:pPr>
        <w:spacing w:line="360" w:lineRule="auto"/>
        <w:rPr>
          <w:rFonts w:ascii="Arial" w:eastAsia="Times New Roman" w:hAnsi="Arial" w:cs="Arial"/>
          <w:color w:val="000000"/>
          <w:kern w:val="0"/>
          <w:sz w:val="22"/>
          <w:szCs w:val="22"/>
          <w:lang w:eastAsia="en-GB"/>
          <w14:ligatures w14:val="none"/>
        </w:rPr>
      </w:pPr>
      <w:r w:rsidRPr="0080353F">
        <w:rPr>
          <w:rFonts w:ascii="Arial" w:eastAsia="Times New Roman" w:hAnsi="Arial" w:cs="Arial"/>
          <w:color w:val="000000"/>
          <w:kern w:val="0"/>
          <w:sz w:val="22"/>
          <w:szCs w:val="22"/>
          <w:lang w:eastAsia="en-GB"/>
          <w14:ligatures w14:val="none"/>
        </w:rPr>
        <w:drawing>
          <wp:inline distT="0" distB="0" distL="0" distR="0" wp14:anchorId="7487866F" wp14:editId="458F6257">
            <wp:extent cx="5731510" cy="1114425"/>
            <wp:effectExtent l="0" t="0" r="0" b="3175"/>
            <wp:docPr id="501074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74015" name=""/>
                    <pic:cNvPicPr/>
                  </pic:nvPicPr>
                  <pic:blipFill>
                    <a:blip r:embed="rId9"/>
                    <a:stretch>
                      <a:fillRect/>
                    </a:stretch>
                  </pic:blipFill>
                  <pic:spPr>
                    <a:xfrm>
                      <a:off x="0" y="0"/>
                      <a:ext cx="5731510" cy="1114425"/>
                    </a:xfrm>
                    <a:prstGeom prst="rect">
                      <a:avLst/>
                    </a:prstGeom>
                  </pic:spPr>
                </pic:pic>
              </a:graphicData>
            </a:graphic>
          </wp:inline>
        </w:drawing>
      </w:r>
    </w:p>
    <w:p w14:paraId="44C62591" w14:textId="6B0D0978" w:rsidR="00B04E89" w:rsidRDefault="0086204E" w:rsidP="00B04E89">
      <w:pPr>
        <w:spacing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Source: Author</w:t>
      </w:r>
    </w:p>
    <w:p w14:paraId="70DD974F" w14:textId="77777777" w:rsidR="0086204E" w:rsidRPr="00B04E89" w:rsidRDefault="0086204E" w:rsidP="00B04E89">
      <w:pPr>
        <w:spacing w:line="360" w:lineRule="auto"/>
        <w:rPr>
          <w:rFonts w:ascii="Arial" w:eastAsia="Times New Roman" w:hAnsi="Arial" w:cs="Arial"/>
          <w:color w:val="000000"/>
          <w:kern w:val="0"/>
          <w:sz w:val="22"/>
          <w:szCs w:val="22"/>
          <w:lang w:eastAsia="en-GB"/>
          <w14:ligatures w14:val="none"/>
        </w:rPr>
      </w:pPr>
    </w:p>
    <w:p w14:paraId="06F0F1F5" w14:textId="36F03AD7"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lastRenderedPageBreak/>
        <w:t>Microsoft's return on assets (ROA) for the year 2023 was 18%. The calculations entail dividing the total revenue for 2023, which amounts to $72,361 million, by the aggregate number of assets, yielding $411,976 million</w:t>
      </w:r>
      <w:r w:rsidR="00850D9F">
        <w:rPr>
          <w:rFonts w:ascii="Arial" w:eastAsia="Times New Roman" w:hAnsi="Arial" w:cs="Arial"/>
          <w:color w:val="000000"/>
          <w:kern w:val="0"/>
          <w:sz w:val="22"/>
          <w:szCs w:val="22"/>
          <w:lang w:eastAsia="en-GB"/>
          <w14:ligatures w14:val="none"/>
        </w:rPr>
        <w:t xml:space="preserve"> </w:t>
      </w:r>
      <w:r w:rsidR="00850D9F" w:rsidRPr="00940D00">
        <w:rPr>
          <w:rFonts w:ascii="Arial" w:eastAsia="Times New Roman" w:hAnsi="Arial" w:cs="Arial"/>
          <w:color w:val="000000"/>
          <w:kern w:val="0"/>
          <w:sz w:val="22"/>
          <w:szCs w:val="22"/>
          <w:lang w:eastAsia="en-GB"/>
          <w14:ligatures w14:val="none"/>
        </w:rPr>
        <w:t>(Microsoft, n.d.)</w:t>
      </w:r>
      <w:r w:rsidRPr="00B04E89">
        <w:rPr>
          <w:rFonts w:ascii="Arial" w:eastAsia="Times New Roman" w:hAnsi="Arial" w:cs="Arial"/>
          <w:color w:val="000000"/>
          <w:kern w:val="0"/>
          <w:sz w:val="22"/>
          <w:szCs w:val="22"/>
          <w:lang w:eastAsia="en-GB"/>
          <w14:ligatures w14:val="none"/>
        </w:rPr>
        <w:t>. The outcome is 0.18, which is equivalent to 18%. This exemplifies the efficient utilisation of assets, leading to a profit margin of approximately 18 cents for every dollar of assets.</w:t>
      </w:r>
    </w:p>
    <w:p w14:paraId="647EF78D" w14:textId="77777777"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p>
    <w:p w14:paraId="75EBDB39" w14:textId="74D71892" w:rsid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Microsoft demonstrates a noteworthy level of asset efficiency and profitability with a return on assets (ROA) of 18%</w:t>
      </w:r>
      <w:r w:rsidR="008422FB">
        <w:rPr>
          <w:rFonts w:ascii="Arial" w:eastAsia="Times New Roman" w:hAnsi="Arial" w:cs="Arial"/>
          <w:color w:val="000000"/>
          <w:kern w:val="0"/>
          <w:sz w:val="22"/>
          <w:szCs w:val="22"/>
          <w:lang w:eastAsia="en-GB"/>
          <w14:ligatures w14:val="none"/>
        </w:rPr>
        <w:t xml:space="preserve"> </w:t>
      </w:r>
      <w:r w:rsidR="008422FB" w:rsidRPr="00940D00">
        <w:rPr>
          <w:rFonts w:ascii="Arial" w:eastAsia="Times New Roman" w:hAnsi="Arial" w:cs="Arial"/>
          <w:color w:val="000000"/>
          <w:kern w:val="0"/>
          <w:sz w:val="22"/>
          <w:szCs w:val="22"/>
          <w:lang w:eastAsia="en-GB"/>
          <w14:ligatures w14:val="none"/>
        </w:rPr>
        <w:t>(Microsoft, n.d.)</w:t>
      </w:r>
      <w:r w:rsidRPr="00B04E89">
        <w:rPr>
          <w:rFonts w:ascii="Arial" w:eastAsia="Times New Roman" w:hAnsi="Arial" w:cs="Arial"/>
          <w:color w:val="000000"/>
          <w:kern w:val="0"/>
          <w:sz w:val="22"/>
          <w:szCs w:val="22"/>
          <w:lang w:eastAsia="en-GB"/>
          <w14:ligatures w14:val="none"/>
        </w:rPr>
        <w:t>. Despite Microsoft's lower return on assets (ROA) compared to Apple, it nevertheless indicates that Microsoft is effectively earning income from its assets. Microsoft's diverse business divisions, including software licencing, cloud services, and hardware, contribute to its portfolio of assets and revenue generation. Microsoft's lower return on assets (ROA) compared to Apple might be attributed to factors such as intense competition, high operating costs, or different business strategies.</w:t>
      </w:r>
    </w:p>
    <w:p w14:paraId="5074EDF2" w14:textId="77777777"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p>
    <w:p w14:paraId="11A168F4" w14:textId="74461556" w:rsid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In summary, the examination of Return on Assets (ROA) between Apple Inc. and Microsoft reveals that Apple had a superior ROA in 2023, suggesting more efficient use of assets and more profitability in comparison to Microsoft. However, it is essential to examine additional financial indicators, industry trends, and qualitative factors when evaluating the overall financial performance and competitiveness of these businesses.</w:t>
      </w:r>
    </w:p>
    <w:p w14:paraId="19F0A673" w14:textId="77777777" w:rsidR="00B04E89" w:rsidRDefault="00B04E89" w:rsidP="00B04E89">
      <w:pPr>
        <w:spacing w:line="360" w:lineRule="auto"/>
        <w:rPr>
          <w:rFonts w:ascii="Arial" w:eastAsia="Times New Roman" w:hAnsi="Arial" w:cs="Arial"/>
          <w:color w:val="000000"/>
          <w:kern w:val="0"/>
          <w:sz w:val="22"/>
          <w:szCs w:val="22"/>
          <w:lang w:eastAsia="en-GB"/>
          <w14:ligatures w14:val="none"/>
        </w:rPr>
      </w:pPr>
    </w:p>
    <w:p w14:paraId="7ED15782" w14:textId="77777777" w:rsidR="00B04E89" w:rsidRDefault="00B04E89" w:rsidP="00B04E89">
      <w:pPr>
        <w:spacing w:line="360" w:lineRule="auto"/>
        <w:rPr>
          <w:rFonts w:ascii="Arial" w:eastAsia="Times New Roman" w:hAnsi="Arial" w:cs="Arial"/>
          <w:color w:val="000000"/>
          <w:kern w:val="0"/>
          <w:sz w:val="22"/>
          <w:szCs w:val="22"/>
          <w:lang w:eastAsia="en-GB"/>
          <w14:ligatures w14:val="none"/>
        </w:rPr>
      </w:pPr>
    </w:p>
    <w:p w14:paraId="4E6B86A9" w14:textId="048196F5" w:rsidR="00B04E89" w:rsidRDefault="00B04E89" w:rsidP="00150C06">
      <w:pPr>
        <w:pStyle w:val="Heading2"/>
        <w:rPr>
          <w:rFonts w:eastAsia="Times New Roman"/>
          <w:lang w:eastAsia="en-GB"/>
        </w:rPr>
      </w:pPr>
      <w:bookmarkStart w:id="7" w:name="_Toc164857835"/>
      <w:proofErr w:type="gramStart"/>
      <w:r>
        <w:rPr>
          <w:rFonts w:eastAsia="Times New Roman"/>
          <w:lang w:eastAsia="en-GB"/>
        </w:rPr>
        <w:t>Liquidity :</w:t>
      </w:r>
      <w:proofErr w:type="gramEnd"/>
      <w:r>
        <w:rPr>
          <w:rFonts w:eastAsia="Times New Roman"/>
          <w:lang w:eastAsia="en-GB"/>
        </w:rPr>
        <w:t xml:space="preserve"> </w:t>
      </w:r>
      <w:r w:rsidRPr="00B04E89">
        <w:rPr>
          <w:rFonts w:eastAsia="Times New Roman"/>
          <w:lang w:eastAsia="en-GB"/>
        </w:rPr>
        <w:t>Current Ratio</w:t>
      </w:r>
      <w:bookmarkEnd w:id="7"/>
    </w:p>
    <w:p w14:paraId="4BD17E28" w14:textId="77777777" w:rsidR="00AD5368" w:rsidRDefault="00AD5368" w:rsidP="00AD5368">
      <w:pPr>
        <w:spacing w:line="360" w:lineRule="auto"/>
        <w:rPr>
          <w:rFonts w:ascii="Arial" w:eastAsia="Times New Roman" w:hAnsi="Arial" w:cs="Arial"/>
          <w:color w:val="000000"/>
          <w:kern w:val="0"/>
          <w:sz w:val="22"/>
          <w:szCs w:val="22"/>
          <w:lang w:eastAsia="en-GB"/>
          <w14:ligatures w14:val="none"/>
        </w:rPr>
      </w:pPr>
    </w:p>
    <w:p w14:paraId="3EE1AEC8" w14:textId="2379A217" w:rsidR="00AD5368" w:rsidRDefault="00AD5368" w:rsidP="00B209A8">
      <w:pPr>
        <w:pStyle w:val="Caption"/>
        <w:rPr>
          <w:rFonts w:ascii="Arial" w:eastAsia="Times New Roman" w:hAnsi="Arial" w:cs="Arial"/>
          <w:color w:val="000000"/>
          <w:kern w:val="0"/>
          <w:sz w:val="22"/>
          <w:szCs w:val="22"/>
          <w:lang w:eastAsia="en-GB"/>
          <w14:ligatures w14:val="none"/>
        </w:rPr>
      </w:pPr>
      <w:bookmarkStart w:id="8" w:name="_Toc164857417"/>
      <w:r>
        <w:rPr>
          <w:rFonts w:ascii="Arial" w:eastAsia="Times New Roman" w:hAnsi="Arial" w:cs="Arial"/>
          <w:color w:val="000000"/>
          <w:kern w:val="0"/>
          <w:sz w:val="22"/>
          <w:szCs w:val="22"/>
          <w:lang w:eastAsia="en-GB"/>
          <w14:ligatures w14:val="none"/>
        </w:rPr>
        <w:t xml:space="preserve">Current ratio = </w:t>
      </w:r>
      <w:r w:rsidRPr="00B04E89">
        <w:rPr>
          <w:rFonts w:ascii="Arial" w:eastAsia="Times New Roman" w:hAnsi="Arial" w:cs="Arial"/>
          <w:color w:val="000000"/>
          <w:kern w:val="0"/>
          <w:sz w:val="22"/>
          <w:szCs w:val="22"/>
          <w:lang w:eastAsia="en-GB"/>
          <w14:ligatures w14:val="none"/>
        </w:rPr>
        <w:t>Current Assets / Current Liabilities</w:t>
      </w:r>
      <w:r>
        <w:rPr>
          <w:rFonts w:ascii="Arial" w:eastAsia="Times New Roman" w:hAnsi="Arial" w:cs="Arial"/>
          <w:color w:val="000000"/>
          <w:kern w:val="0"/>
          <w:sz w:val="22"/>
          <w:szCs w:val="22"/>
          <w:lang w:eastAsia="en-GB"/>
          <w14:ligatures w14:val="none"/>
        </w:rPr>
        <w:t xml:space="preserve"> </w:t>
      </w:r>
      <w:r w:rsidRPr="002552E1">
        <w:rPr>
          <w:rFonts w:ascii="Arial" w:eastAsia="Times New Roman" w:hAnsi="Arial" w:cs="Arial"/>
          <w:color w:val="000000"/>
          <w:kern w:val="0"/>
          <w:sz w:val="22"/>
          <w:szCs w:val="22"/>
          <w:lang w:eastAsia="en-GB"/>
          <w14:ligatures w14:val="none"/>
        </w:rPr>
        <w:t>(Tracy,</w:t>
      </w:r>
      <w:r>
        <w:rPr>
          <w:rFonts w:ascii="Arial" w:eastAsia="Times New Roman" w:hAnsi="Arial" w:cs="Arial"/>
          <w:color w:val="000000"/>
          <w:kern w:val="0"/>
          <w:sz w:val="22"/>
          <w:szCs w:val="22"/>
          <w:lang w:eastAsia="en-GB"/>
          <w14:ligatures w14:val="none"/>
        </w:rPr>
        <w:t xml:space="preserve"> A.,</w:t>
      </w:r>
      <w:r w:rsidRPr="002552E1">
        <w:rPr>
          <w:rFonts w:ascii="Arial" w:eastAsia="Times New Roman" w:hAnsi="Arial" w:cs="Arial"/>
          <w:color w:val="000000"/>
          <w:kern w:val="0"/>
          <w:sz w:val="22"/>
          <w:szCs w:val="22"/>
          <w:lang w:eastAsia="en-GB"/>
          <w14:ligatures w14:val="none"/>
        </w:rPr>
        <w:t xml:space="preserve"> 2012</w:t>
      </w:r>
      <w:proofErr w:type="gramStart"/>
      <w:r w:rsidRPr="002552E1">
        <w:rPr>
          <w:rFonts w:ascii="Arial" w:eastAsia="Times New Roman" w:hAnsi="Arial" w:cs="Arial"/>
          <w:color w:val="000000"/>
          <w:kern w:val="0"/>
          <w:sz w:val="22"/>
          <w:szCs w:val="22"/>
          <w:lang w:eastAsia="en-GB"/>
          <w14:ligatures w14:val="none"/>
        </w:rPr>
        <w:t>)</w:t>
      </w:r>
      <w:r>
        <w:rPr>
          <w:rFonts w:ascii="Arial" w:eastAsia="Times New Roman" w:hAnsi="Arial" w:cs="Arial"/>
          <w:color w:val="000000"/>
          <w:kern w:val="0"/>
          <w:sz w:val="22"/>
          <w:szCs w:val="22"/>
          <w:lang w:eastAsia="en-GB"/>
          <w14:ligatures w14:val="none"/>
        </w:rPr>
        <w:t>.</w:t>
      </w:r>
      <w:r w:rsidR="00B209A8">
        <w:t>Table</w:t>
      </w:r>
      <w:proofErr w:type="gramEnd"/>
      <w:r w:rsidR="00B209A8">
        <w:t xml:space="preserve"> </w:t>
      </w:r>
      <w:r w:rsidR="00B209A8">
        <w:fldChar w:fldCharType="begin"/>
      </w:r>
      <w:r w:rsidR="00B209A8">
        <w:instrText xml:space="preserve"> SEQ Table \* ARABIC </w:instrText>
      </w:r>
      <w:r w:rsidR="00B209A8">
        <w:fldChar w:fldCharType="separate"/>
      </w:r>
      <w:r w:rsidR="00460444">
        <w:rPr>
          <w:noProof/>
        </w:rPr>
        <w:t>3</w:t>
      </w:r>
      <w:bookmarkEnd w:id="8"/>
      <w:r w:rsidR="00B209A8">
        <w:fldChar w:fldCharType="end"/>
      </w:r>
    </w:p>
    <w:p w14:paraId="43F1DD5F" w14:textId="77777777" w:rsidR="00B04E89" w:rsidRDefault="00B04E89" w:rsidP="00B04E89">
      <w:pPr>
        <w:spacing w:line="360" w:lineRule="auto"/>
        <w:rPr>
          <w:rFonts w:ascii="Arial" w:eastAsia="Times New Roman" w:hAnsi="Arial" w:cs="Arial"/>
          <w:b/>
          <w:bCs/>
          <w:i/>
          <w:iCs/>
          <w:color w:val="000000"/>
          <w:kern w:val="0"/>
          <w:sz w:val="22"/>
          <w:szCs w:val="22"/>
          <w:lang w:eastAsia="en-GB"/>
          <w14:ligatures w14:val="none"/>
        </w:rPr>
      </w:pPr>
    </w:p>
    <w:p w14:paraId="1A931B6C" w14:textId="666B8283" w:rsidR="00A34888" w:rsidRDefault="00800E64" w:rsidP="00B04E89">
      <w:pPr>
        <w:spacing w:line="360" w:lineRule="auto"/>
        <w:rPr>
          <w:rFonts w:ascii="Arial" w:eastAsia="Times New Roman" w:hAnsi="Arial" w:cs="Arial"/>
          <w:color w:val="000000"/>
          <w:kern w:val="0"/>
          <w:sz w:val="22"/>
          <w:szCs w:val="22"/>
          <w:lang w:eastAsia="en-GB"/>
          <w14:ligatures w14:val="none"/>
        </w:rPr>
      </w:pPr>
      <w:r w:rsidRPr="00800E64">
        <w:rPr>
          <w:rFonts w:ascii="Arial" w:eastAsia="Times New Roman" w:hAnsi="Arial" w:cs="Arial"/>
          <w:color w:val="000000"/>
          <w:kern w:val="0"/>
          <w:sz w:val="22"/>
          <w:szCs w:val="22"/>
          <w:lang w:eastAsia="en-GB"/>
          <w14:ligatures w14:val="none"/>
        </w:rPr>
        <w:t>A company's short-term liquidity and ability to pay short-term creditors with short-term assets are assessed using a financial metric known as the current ratio. The computation entails the division of a company's current assets by its current liabilities. Current assets consist of cash, accounts receivable, inventories, and other assets that are expected to be turned into cash within a one-year period. In contrast, current liabilities consist of obligations that must be settled within the same period, including accounts payable, short-term loans, and accumulated expenses. The current ratio provides vital insights into a company's ability to meet its short-term financial obligations. Investors, creditors, and analysts frequently use it to evaluate a company's financial health and its ability to withstand temporary financial challenges. A higher current ratio indicates a stronger liquidity position, whereas a lower ratio may indicate potential liquidity issues. </w:t>
      </w:r>
      <w:r w:rsidRPr="00800E64">
        <w:rPr>
          <w:rFonts w:ascii="Arial" w:eastAsia="Times New Roman" w:hAnsi="Arial" w:cs="Arial"/>
          <w:color w:val="000000"/>
          <w:kern w:val="0"/>
          <w:sz w:val="22"/>
          <w:szCs w:val="22"/>
          <w:lang w:eastAsia="en-GB"/>
          <w14:ligatures w14:val="none"/>
        </w:rPr>
        <w:t xml:space="preserve"> </w:t>
      </w:r>
      <w:r w:rsidR="002552E1" w:rsidRPr="002552E1">
        <w:rPr>
          <w:rFonts w:ascii="Arial" w:eastAsia="Times New Roman" w:hAnsi="Arial" w:cs="Arial"/>
          <w:color w:val="000000"/>
          <w:kern w:val="0"/>
          <w:sz w:val="22"/>
          <w:szCs w:val="22"/>
          <w:lang w:eastAsia="en-GB"/>
          <w14:ligatures w14:val="none"/>
        </w:rPr>
        <w:t>(Tracy,</w:t>
      </w:r>
      <w:r w:rsidR="00DF7670">
        <w:rPr>
          <w:rFonts w:ascii="Arial" w:eastAsia="Times New Roman" w:hAnsi="Arial" w:cs="Arial"/>
          <w:color w:val="000000"/>
          <w:kern w:val="0"/>
          <w:sz w:val="22"/>
          <w:szCs w:val="22"/>
          <w:lang w:eastAsia="en-GB"/>
          <w14:ligatures w14:val="none"/>
        </w:rPr>
        <w:t xml:space="preserve"> A.,</w:t>
      </w:r>
      <w:r w:rsidR="002552E1" w:rsidRPr="002552E1">
        <w:rPr>
          <w:rFonts w:ascii="Arial" w:eastAsia="Times New Roman" w:hAnsi="Arial" w:cs="Arial"/>
          <w:color w:val="000000"/>
          <w:kern w:val="0"/>
          <w:sz w:val="22"/>
          <w:szCs w:val="22"/>
          <w:lang w:eastAsia="en-GB"/>
          <w14:ligatures w14:val="none"/>
        </w:rPr>
        <w:t xml:space="preserve"> 2012)</w:t>
      </w:r>
      <w:r w:rsidR="002552E1">
        <w:rPr>
          <w:rFonts w:ascii="Arial" w:eastAsia="Times New Roman" w:hAnsi="Arial" w:cs="Arial"/>
          <w:color w:val="000000"/>
          <w:kern w:val="0"/>
          <w:sz w:val="22"/>
          <w:szCs w:val="22"/>
          <w:lang w:eastAsia="en-GB"/>
          <w14:ligatures w14:val="none"/>
        </w:rPr>
        <w:t>.</w:t>
      </w:r>
    </w:p>
    <w:p w14:paraId="1A9E9F72" w14:textId="77777777" w:rsidR="00AD5368" w:rsidRDefault="00AD5368" w:rsidP="00B04E89">
      <w:pPr>
        <w:spacing w:line="360" w:lineRule="auto"/>
        <w:rPr>
          <w:rFonts w:ascii="Arial" w:eastAsia="Times New Roman" w:hAnsi="Arial" w:cs="Arial"/>
          <w:color w:val="000000"/>
          <w:kern w:val="0"/>
          <w:sz w:val="22"/>
          <w:szCs w:val="22"/>
          <w:lang w:eastAsia="en-GB"/>
          <w14:ligatures w14:val="none"/>
        </w:rPr>
      </w:pPr>
    </w:p>
    <w:p w14:paraId="71CEC0D7" w14:textId="77777777" w:rsidR="00B04E89" w:rsidRDefault="00B04E89" w:rsidP="00B04E89">
      <w:pPr>
        <w:spacing w:line="360" w:lineRule="auto"/>
        <w:rPr>
          <w:rFonts w:ascii="Arial" w:eastAsia="Times New Roman" w:hAnsi="Arial" w:cs="Arial"/>
          <w:color w:val="000000"/>
          <w:kern w:val="0"/>
          <w:sz w:val="22"/>
          <w:szCs w:val="22"/>
          <w:lang w:eastAsia="en-GB"/>
          <w14:ligatures w14:val="none"/>
        </w:rPr>
      </w:pPr>
    </w:p>
    <w:p w14:paraId="7A476700" w14:textId="68867983" w:rsid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 xml:space="preserve">This report utilises the current ratio method to assess the financial well-being of the organisation, with the goal of inspiring trust among investors and creditors. Apple's current ratio for the financial year 2023 was calculated by dividing the company's current assets, which amounted to $143,566 million, by its current liabilities, which </w:t>
      </w:r>
      <w:r w:rsidR="00940D00" w:rsidRPr="00B04E89">
        <w:rPr>
          <w:rFonts w:ascii="Arial" w:eastAsia="Times New Roman" w:hAnsi="Arial" w:cs="Arial"/>
          <w:color w:val="000000"/>
          <w:kern w:val="0"/>
          <w:sz w:val="22"/>
          <w:szCs w:val="22"/>
          <w:lang w:eastAsia="en-GB"/>
          <w14:ligatures w14:val="none"/>
        </w:rPr>
        <w:t>totalled</w:t>
      </w:r>
      <w:r w:rsidRPr="00B04E89">
        <w:rPr>
          <w:rFonts w:ascii="Arial" w:eastAsia="Times New Roman" w:hAnsi="Arial" w:cs="Arial"/>
          <w:color w:val="000000"/>
          <w:kern w:val="0"/>
          <w:sz w:val="22"/>
          <w:szCs w:val="22"/>
          <w:lang w:eastAsia="en-GB"/>
          <w14:ligatures w14:val="none"/>
        </w:rPr>
        <w:t xml:space="preserve"> $145,308 million</w:t>
      </w:r>
      <w:r w:rsidR="00900DDF">
        <w:rPr>
          <w:rFonts w:ascii="Arial" w:eastAsia="Times New Roman" w:hAnsi="Arial" w:cs="Arial"/>
          <w:color w:val="000000"/>
          <w:kern w:val="0"/>
          <w:sz w:val="22"/>
          <w:szCs w:val="22"/>
          <w:lang w:eastAsia="en-GB"/>
          <w14:ligatures w14:val="none"/>
        </w:rPr>
        <w:t xml:space="preserve"> </w:t>
      </w:r>
      <w:r w:rsidR="00900DDF">
        <w:rPr>
          <w:rFonts w:ascii="Arial" w:hAnsi="Arial" w:cs="Arial"/>
          <w:sz w:val="22"/>
          <w:szCs w:val="22"/>
        </w:rPr>
        <w:t>(</w:t>
      </w:r>
      <w:r w:rsidR="00900DDF" w:rsidRPr="009F68D4">
        <w:rPr>
          <w:rFonts w:ascii="Arial" w:hAnsi="Arial" w:cs="Arial"/>
          <w:sz w:val="22"/>
          <w:szCs w:val="22"/>
        </w:rPr>
        <w:t>Apple</w:t>
      </w:r>
      <w:r w:rsidR="00900DDF">
        <w:rPr>
          <w:rFonts w:ascii="Arial" w:hAnsi="Arial" w:cs="Arial"/>
          <w:sz w:val="22"/>
          <w:szCs w:val="22"/>
        </w:rPr>
        <w:t xml:space="preserve">, </w:t>
      </w:r>
      <w:r w:rsidR="00900DDF" w:rsidRPr="009F68D4">
        <w:rPr>
          <w:rFonts w:ascii="Arial" w:hAnsi="Arial" w:cs="Arial"/>
          <w:sz w:val="22"/>
          <w:szCs w:val="22"/>
        </w:rPr>
        <w:t>2024)</w:t>
      </w:r>
      <w:r w:rsidRPr="00B04E89">
        <w:rPr>
          <w:rFonts w:ascii="Arial" w:eastAsia="Times New Roman" w:hAnsi="Arial" w:cs="Arial"/>
          <w:color w:val="000000"/>
          <w:kern w:val="0"/>
          <w:sz w:val="22"/>
          <w:szCs w:val="22"/>
          <w:lang w:eastAsia="en-GB"/>
          <w14:ligatures w14:val="none"/>
        </w:rPr>
        <w:t>. The calculation resulted in a current ratio of 0.9</w:t>
      </w:r>
      <w:r w:rsidR="00AD5368">
        <w:rPr>
          <w:rFonts w:ascii="Arial" w:eastAsia="Times New Roman" w:hAnsi="Arial" w:cs="Arial"/>
          <w:color w:val="000000"/>
          <w:kern w:val="0"/>
          <w:sz w:val="22"/>
          <w:szCs w:val="22"/>
          <w:lang w:eastAsia="en-GB"/>
          <w14:ligatures w14:val="none"/>
        </w:rPr>
        <w:t>8</w:t>
      </w:r>
      <w:r w:rsidRPr="00B04E89">
        <w:rPr>
          <w:rFonts w:ascii="Arial" w:eastAsia="Times New Roman" w:hAnsi="Arial" w:cs="Arial"/>
          <w:color w:val="000000"/>
          <w:kern w:val="0"/>
          <w:sz w:val="22"/>
          <w:szCs w:val="22"/>
          <w:lang w:eastAsia="en-GB"/>
          <w14:ligatures w14:val="none"/>
        </w:rPr>
        <w:t>.</w:t>
      </w:r>
    </w:p>
    <w:p w14:paraId="3DF820AC" w14:textId="1184A77E" w:rsidR="00990564" w:rsidRPr="00B04E89" w:rsidRDefault="00990564" w:rsidP="00B04E89">
      <w:pPr>
        <w:spacing w:line="360" w:lineRule="auto"/>
        <w:rPr>
          <w:rFonts w:ascii="Arial" w:eastAsia="Times New Roman" w:hAnsi="Arial" w:cs="Arial"/>
          <w:color w:val="000000"/>
          <w:kern w:val="0"/>
          <w:sz w:val="22"/>
          <w:szCs w:val="22"/>
          <w:lang w:eastAsia="en-GB"/>
          <w14:ligatures w14:val="none"/>
        </w:rPr>
      </w:pPr>
      <w:r w:rsidRPr="00990564">
        <w:rPr>
          <w:rFonts w:ascii="Arial" w:eastAsia="Times New Roman" w:hAnsi="Arial" w:cs="Arial"/>
          <w:color w:val="000000"/>
          <w:kern w:val="0"/>
          <w:sz w:val="22"/>
          <w:szCs w:val="22"/>
          <w:lang w:eastAsia="en-GB"/>
          <w14:ligatures w14:val="none"/>
        </w:rPr>
        <w:drawing>
          <wp:inline distT="0" distB="0" distL="0" distR="0" wp14:anchorId="291A3A68" wp14:editId="619DC409">
            <wp:extent cx="5731510" cy="1114425"/>
            <wp:effectExtent l="0" t="0" r="0" b="3175"/>
            <wp:docPr id="1279299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99287" name=""/>
                    <pic:cNvPicPr/>
                  </pic:nvPicPr>
                  <pic:blipFill>
                    <a:blip r:embed="rId10"/>
                    <a:stretch>
                      <a:fillRect/>
                    </a:stretch>
                  </pic:blipFill>
                  <pic:spPr>
                    <a:xfrm>
                      <a:off x="0" y="0"/>
                      <a:ext cx="5731510" cy="1114425"/>
                    </a:xfrm>
                    <a:prstGeom prst="rect">
                      <a:avLst/>
                    </a:prstGeom>
                  </pic:spPr>
                </pic:pic>
              </a:graphicData>
            </a:graphic>
          </wp:inline>
        </w:drawing>
      </w:r>
    </w:p>
    <w:p w14:paraId="20475F71" w14:textId="00D6D5BA" w:rsidR="00B04E89" w:rsidRDefault="0086204E" w:rsidP="00B04E89">
      <w:pPr>
        <w:spacing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Source: Author.</w:t>
      </w:r>
    </w:p>
    <w:p w14:paraId="2EC873CF" w14:textId="77777777" w:rsidR="0086204E" w:rsidRPr="00B04E89" w:rsidRDefault="0086204E" w:rsidP="00B04E89">
      <w:pPr>
        <w:spacing w:line="360" w:lineRule="auto"/>
        <w:rPr>
          <w:rFonts w:ascii="Arial" w:eastAsia="Times New Roman" w:hAnsi="Arial" w:cs="Arial"/>
          <w:color w:val="000000"/>
          <w:kern w:val="0"/>
          <w:sz w:val="22"/>
          <w:szCs w:val="22"/>
          <w:lang w:eastAsia="en-GB"/>
          <w14:ligatures w14:val="none"/>
        </w:rPr>
      </w:pPr>
    </w:p>
    <w:p w14:paraId="6D252FDD" w14:textId="72FAF7DC" w:rsid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 xml:space="preserve">If Apple's current ratio is below 1.0, it indicates that the company may not have enough current assets to pay down its short-term debts, which could lead to liquidity problems. This situation may cause apprehension among investors and creditors over the company's capacity to fulfil its financial commitments </w:t>
      </w:r>
      <w:proofErr w:type="gramStart"/>
      <w:r w:rsidRPr="00B04E89">
        <w:rPr>
          <w:rFonts w:ascii="Arial" w:eastAsia="Times New Roman" w:hAnsi="Arial" w:cs="Arial"/>
          <w:color w:val="000000"/>
          <w:kern w:val="0"/>
          <w:sz w:val="22"/>
          <w:szCs w:val="22"/>
          <w:lang w:eastAsia="en-GB"/>
          <w14:ligatures w14:val="none"/>
        </w:rPr>
        <w:t>in the near future</w:t>
      </w:r>
      <w:proofErr w:type="gramEnd"/>
      <w:r w:rsidRPr="00B04E89">
        <w:rPr>
          <w:rFonts w:ascii="Arial" w:eastAsia="Times New Roman" w:hAnsi="Arial" w:cs="Arial"/>
          <w:color w:val="000000"/>
          <w:kern w:val="0"/>
          <w:sz w:val="22"/>
          <w:szCs w:val="22"/>
          <w:lang w:eastAsia="en-GB"/>
          <w14:ligatures w14:val="none"/>
        </w:rPr>
        <w:t>. Thus, even though Apple has a strong overall financial performance, if its current ratio falls below 1.0, stakeholders may closely examine the company's liquidity management policies and evaluate the risk involved with its short-term liabilities.</w:t>
      </w:r>
    </w:p>
    <w:p w14:paraId="557367CE" w14:textId="77777777" w:rsidR="00B04E89" w:rsidRDefault="00B04E89" w:rsidP="00B04E89">
      <w:pPr>
        <w:spacing w:line="360" w:lineRule="auto"/>
        <w:rPr>
          <w:rFonts w:ascii="Arial" w:eastAsia="Times New Roman" w:hAnsi="Arial" w:cs="Arial"/>
          <w:color w:val="000000"/>
          <w:kern w:val="0"/>
          <w:sz w:val="22"/>
          <w:szCs w:val="22"/>
          <w:lang w:eastAsia="en-GB"/>
          <w14:ligatures w14:val="none"/>
        </w:rPr>
      </w:pPr>
    </w:p>
    <w:p w14:paraId="2AB5BF4F" w14:textId="5AC55A05" w:rsidR="00940D00"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Microsoft's current ratio in 2023 was 1</w:t>
      </w:r>
      <w:r w:rsidR="00AD5368">
        <w:rPr>
          <w:rFonts w:ascii="Arial" w:eastAsia="Times New Roman" w:hAnsi="Arial" w:cs="Arial"/>
          <w:color w:val="000000"/>
          <w:kern w:val="0"/>
          <w:sz w:val="22"/>
          <w:szCs w:val="22"/>
          <w:lang w:eastAsia="en-GB"/>
          <w14:ligatures w14:val="none"/>
        </w:rPr>
        <w:t>.8</w:t>
      </w:r>
      <w:r w:rsidR="00990564">
        <w:rPr>
          <w:rFonts w:ascii="Arial" w:eastAsia="Times New Roman" w:hAnsi="Arial" w:cs="Arial"/>
          <w:color w:val="000000"/>
          <w:kern w:val="0"/>
          <w:sz w:val="22"/>
          <w:szCs w:val="22"/>
          <w:lang w:eastAsia="en-GB"/>
          <w14:ligatures w14:val="none"/>
        </w:rPr>
        <w:t>0</w:t>
      </w:r>
      <w:r w:rsidRPr="00B04E89">
        <w:rPr>
          <w:rFonts w:ascii="Arial" w:eastAsia="Times New Roman" w:hAnsi="Arial" w:cs="Arial"/>
          <w:color w:val="000000"/>
          <w:kern w:val="0"/>
          <w:sz w:val="22"/>
          <w:szCs w:val="22"/>
          <w:lang w:eastAsia="en-GB"/>
          <w14:ligatures w14:val="none"/>
        </w:rPr>
        <w:t>. This c</w:t>
      </w:r>
      <w:r>
        <w:rPr>
          <w:rFonts w:ascii="Arial" w:eastAsia="Times New Roman" w:hAnsi="Arial" w:cs="Arial"/>
          <w:color w:val="000000"/>
          <w:kern w:val="0"/>
          <w:sz w:val="22"/>
          <w:szCs w:val="22"/>
          <w:lang w:eastAsia="en-GB"/>
          <w14:ligatures w14:val="none"/>
        </w:rPr>
        <w:t xml:space="preserve">alculation </w:t>
      </w:r>
      <w:r w:rsidRPr="00B04E89">
        <w:rPr>
          <w:rFonts w:ascii="Arial" w:eastAsia="Times New Roman" w:hAnsi="Arial" w:cs="Arial"/>
          <w:color w:val="000000"/>
          <w:kern w:val="0"/>
          <w:sz w:val="22"/>
          <w:szCs w:val="22"/>
          <w:lang w:eastAsia="en-GB"/>
          <w14:ligatures w14:val="none"/>
        </w:rPr>
        <w:t>entailed the division of the company's current assets, which amounted to $184,257 million, by its overall current liabilities, which amounted to $104,149 million</w:t>
      </w:r>
      <w:r w:rsidR="00940D00">
        <w:rPr>
          <w:rFonts w:ascii="Arial" w:eastAsia="Times New Roman" w:hAnsi="Arial" w:cs="Arial"/>
          <w:color w:val="000000"/>
          <w:kern w:val="0"/>
          <w:sz w:val="22"/>
          <w:szCs w:val="22"/>
          <w:lang w:eastAsia="en-GB"/>
          <w14:ligatures w14:val="none"/>
        </w:rPr>
        <w:t xml:space="preserve"> </w:t>
      </w:r>
      <w:r w:rsidR="00940D00" w:rsidRPr="00940D00">
        <w:rPr>
          <w:rFonts w:ascii="Arial" w:eastAsia="Times New Roman" w:hAnsi="Arial" w:cs="Arial"/>
          <w:color w:val="000000"/>
          <w:kern w:val="0"/>
          <w:sz w:val="22"/>
          <w:szCs w:val="22"/>
          <w:lang w:eastAsia="en-GB"/>
          <w14:ligatures w14:val="none"/>
        </w:rPr>
        <w:t>(Microsoft, n.d.)</w:t>
      </w:r>
    </w:p>
    <w:p w14:paraId="219015B6" w14:textId="60F6A0A3"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The calculated ratio of 1.</w:t>
      </w:r>
      <w:r w:rsidR="00AD5368">
        <w:rPr>
          <w:rFonts w:ascii="Arial" w:eastAsia="Times New Roman" w:hAnsi="Arial" w:cs="Arial"/>
          <w:color w:val="000000"/>
          <w:kern w:val="0"/>
          <w:sz w:val="22"/>
          <w:szCs w:val="22"/>
          <w:lang w:eastAsia="en-GB"/>
          <w14:ligatures w14:val="none"/>
        </w:rPr>
        <w:t xml:space="preserve">80 </w:t>
      </w:r>
      <w:r w:rsidRPr="00B04E89">
        <w:rPr>
          <w:rFonts w:ascii="Arial" w:eastAsia="Times New Roman" w:hAnsi="Arial" w:cs="Arial"/>
          <w:color w:val="000000"/>
          <w:kern w:val="0"/>
          <w:sz w:val="22"/>
          <w:szCs w:val="22"/>
          <w:lang w:eastAsia="en-GB"/>
          <w14:ligatures w14:val="none"/>
        </w:rPr>
        <w:t xml:space="preserve">signifies that Microsoft possessed </w:t>
      </w:r>
      <w:proofErr w:type="gramStart"/>
      <w:r w:rsidRPr="00B04E89">
        <w:rPr>
          <w:rFonts w:ascii="Arial" w:eastAsia="Times New Roman" w:hAnsi="Arial" w:cs="Arial"/>
          <w:color w:val="000000"/>
          <w:kern w:val="0"/>
          <w:sz w:val="22"/>
          <w:szCs w:val="22"/>
          <w:lang w:eastAsia="en-GB"/>
          <w14:ligatures w14:val="none"/>
        </w:rPr>
        <w:t>a</w:t>
      </w:r>
      <w:proofErr w:type="gramEnd"/>
      <w:r w:rsidRPr="00B04E89">
        <w:rPr>
          <w:rFonts w:ascii="Arial" w:eastAsia="Times New Roman" w:hAnsi="Arial" w:cs="Arial"/>
          <w:color w:val="000000"/>
          <w:kern w:val="0"/>
          <w:sz w:val="22"/>
          <w:szCs w:val="22"/>
          <w:lang w:eastAsia="en-GB"/>
          <w14:ligatures w14:val="none"/>
        </w:rPr>
        <w:t xml:space="preserve"> enough amount of current assets to meet its immediate obligations, indicating a reasonably strong liquidity situation.</w:t>
      </w:r>
    </w:p>
    <w:p w14:paraId="46AA2BDE" w14:textId="77777777"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p>
    <w:p w14:paraId="0961C3C9" w14:textId="77969376"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t>Typically, a greater current ratio is seen more favourable since it suggests a stronger capacity to fulfil short-term obligations. For example, if Microsoft, which is a competitor of Apple, disclosed a current ratio of 1.80</w:t>
      </w:r>
      <w:r w:rsidR="00AD5368">
        <w:rPr>
          <w:rFonts w:ascii="Arial" w:eastAsia="Times New Roman" w:hAnsi="Arial" w:cs="Arial"/>
          <w:color w:val="000000"/>
          <w:kern w:val="0"/>
          <w:sz w:val="22"/>
          <w:szCs w:val="22"/>
          <w:lang w:eastAsia="en-GB"/>
          <w14:ligatures w14:val="none"/>
        </w:rPr>
        <w:t xml:space="preserve"> </w:t>
      </w:r>
      <w:r w:rsidRPr="00B04E89">
        <w:rPr>
          <w:rFonts w:ascii="Arial" w:eastAsia="Times New Roman" w:hAnsi="Arial" w:cs="Arial"/>
          <w:color w:val="000000"/>
          <w:kern w:val="0"/>
          <w:sz w:val="22"/>
          <w:szCs w:val="22"/>
          <w:lang w:eastAsia="en-GB"/>
          <w14:ligatures w14:val="none"/>
        </w:rPr>
        <w:t xml:space="preserve">it would indicate a more favourable liquidity position. Nevertheless, it is crucial to consider the customary practices in the sector, past patterns, and qualitative aspects in addition to the present ratio </w:t>
      </w:r>
      <w:proofErr w:type="gramStart"/>
      <w:r w:rsidRPr="00B04E89">
        <w:rPr>
          <w:rFonts w:ascii="Arial" w:eastAsia="Times New Roman" w:hAnsi="Arial" w:cs="Arial"/>
          <w:color w:val="000000"/>
          <w:kern w:val="0"/>
          <w:sz w:val="22"/>
          <w:szCs w:val="22"/>
          <w:lang w:eastAsia="en-GB"/>
          <w14:ligatures w14:val="none"/>
        </w:rPr>
        <w:t>in order to</w:t>
      </w:r>
      <w:proofErr w:type="gramEnd"/>
      <w:r w:rsidRPr="00B04E89">
        <w:rPr>
          <w:rFonts w:ascii="Arial" w:eastAsia="Times New Roman" w:hAnsi="Arial" w:cs="Arial"/>
          <w:color w:val="000000"/>
          <w:kern w:val="0"/>
          <w:sz w:val="22"/>
          <w:szCs w:val="22"/>
          <w:lang w:eastAsia="en-GB"/>
          <w14:ligatures w14:val="none"/>
        </w:rPr>
        <w:t xml:space="preserve"> have a thorough comprehension of a company's financial well-being and its capacity to effectively handle immediate financial difficulties.</w:t>
      </w:r>
    </w:p>
    <w:p w14:paraId="06A0AB39" w14:textId="77777777" w:rsidR="00B04E89" w:rsidRPr="00B04E89" w:rsidRDefault="00B04E89" w:rsidP="00B04E89">
      <w:pPr>
        <w:spacing w:line="360" w:lineRule="auto"/>
        <w:rPr>
          <w:rFonts w:ascii="Arial" w:eastAsia="Times New Roman" w:hAnsi="Arial" w:cs="Arial"/>
          <w:color w:val="000000"/>
          <w:kern w:val="0"/>
          <w:sz w:val="22"/>
          <w:szCs w:val="22"/>
          <w:lang w:eastAsia="en-GB"/>
          <w14:ligatures w14:val="none"/>
        </w:rPr>
      </w:pPr>
    </w:p>
    <w:p w14:paraId="7CC0813D" w14:textId="5CD55BD5" w:rsidR="00B04E89" w:rsidRDefault="00B04E89" w:rsidP="00B04E89">
      <w:pPr>
        <w:spacing w:line="360" w:lineRule="auto"/>
        <w:rPr>
          <w:rFonts w:ascii="Arial" w:eastAsia="Times New Roman" w:hAnsi="Arial" w:cs="Arial"/>
          <w:color w:val="000000"/>
          <w:kern w:val="0"/>
          <w:sz w:val="22"/>
          <w:szCs w:val="22"/>
          <w:lang w:eastAsia="en-GB"/>
          <w14:ligatures w14:val="none"/>
        </w:rPr>
      </w:pPr>
      <w:r w:rsidRPr="00B04E89">
        <w:rPr>
          <w:rFonts w:ascii="Arial" w:eastAsia="Times New Roman" w:hAnsi="Arial" w:cs="Arial"/>
          <w:color w:val="000000"/>
          <w:kern w:val="0"/>
          <w:sz w:val="22"/>
          <w:szCs w:val="22"/>
          <w:lang w:eastAsia="en-GB"/>
          <w14:ligatures w14:val="none"/>
        </w:rPr>
        <w:lastRenderedPageBreak/>
        <w:t xml:space="preserve">Although the current ratio is a useful instrument for evaluating liquidity, its meaning should be understood in the context of the overall financial situation and unique industry conditions. Investors and creditors depend on a blend of financial measures and qualitative evaluations to create a comprehensive evaluation of a company's current position and </w:t>
      </w:r>
      <w:proofErr w:type="gramStart"/>
      <w:r w:rsidRPr="00B04E89">
        <w:rPr>
          <w:rFonts w:ascii="Arial" w:eastAsia="Times New Roman" w:hAnsi="Arial" w:cs="Arial"/>
          <w:color w:val="000000"/>
          <w:kern w:val="0"/>
          <w:sz w:val="22"/>
          <w:szCs w:val="22"/>
          <w:lang w:eastAsia="en-GB"/>
          <w14:ligatures w14:val="none"/>
        </w:rPr>
        <w:t>future prospects</w:t>
      </w:r>
      <w:proofErr w:type="gramEnd"/>
      <w:r w:rsidRPr="00B04E89">
        <w:rPr>
          <w:rFonts w:ascii="Arial" w:eastAsia="Times New Roman" w:hAnsi="Arial" w:cs="Arial"/>
          <w:color w:val="000000"/>
          <w:kern w:val="0"/>
          <w:sz w:val="22"/>
          <w:szCs w:val="22"/>
          <w:lang w:eastAsia="en-GB"/>
          <w14:ligatures w14:val="none"/>
        </w:rPr>
        <w:t>.</w:t>
      </w:r>
    </w:p>
    <w:p w14:paraId="798B54E5" w14:textId="77777777" w:rsidR="00E06857" w:rsidRDefault="00E06857" w:rsidP="00B04E89">
      <w:pPr>
        <w:spacing w:line="360" w:lineRule="auto"/>
        <w:rPr>
          <w:rFonts w:ascii="Arial" w:eastAsia="Times New Roman" w:hAnsi="Arial" w:cs="Arial"/>
          <w:color w:val="000000"/>
          <w:kern w:val="0"/>
          <w:sz w:val="22"/>
          <w:szCs w:val="22"/>
          <w:lang w:eastAsia="en-GB"/>
          <w14:ligatures w14:val="none"/>
        </w:rPr>
      </w:pPr>
    </w:p>
    <w:p w14:paraId="76A4AD7D" w14:textId="73D14C5F" w:rsidR="00E06857" w:rsidRPr="004F0F64" w:rsidRDefault="005767A5" w:rsidP="00150C06">
      <w:pPr>
        <w:pStyle w:val="Heading2"/>
        <w:rPr>
          <w:rFonts w:eastAsia="Times New Roman"/>
          <w:lang w:eastAsia="en-GB"/>
        </w:rPr>
      </w:pPr>
      <w:bookmarkStart w:id="9" w:name="_Toc164857836"/>
      <w:r w:rsidRPr="004F0F64">
        <w:rPr>
          <w:rFonts w:eastAsia="Times New Roman"/>
          <w:lang w:eastAsia="en-GB"/>
        </w:rPr>
        <w:t>Gearing Ratio: Debt-to-Equity</w:t>
      </w:r>
      <w:bookmarkEnd w:id="9"/>
    </w:p>
    <w:p w14:paraId="51C7DD9A" w14:textId="77777777" w:rsidR="00F86B77" w:rsidRPr="004F0F64" w:rsidRDefault="00F86B77" w:rsidP="004F0F64">
      <w:pPr>
        <w:spacing w:line="360" w:lineRule="auto"/>
        <w:rPr>
          <w:rFonts w:ascii="Arial" w:eastAsia="Times New Roman" w:hAnsi="Arial" w:cs="Arial"/>
          <w:b/>
          <w:bCs/>
          <w:i/>
          <w:iCs/>
          <w:color w:val="000000"/>
          <w:kern w:val="0"/>
          <w:sz w:val="22"/>
          <w:szCs w:val="22"/>
          <w:lang w:eastAsia="en-GB"/>
          <w14:ligatures w14:val="none"/>
        </w:rPr>
      </w:pPr>
    </w:p>
    <w:p w14:paraId="4DF2CD90" w14:textId="01C7E9DC" w:rsidR="00990564" w:rsidRDefault="00800E64" w:rsidP="004F0F64">
      <w:pPr>
        <w:spacing w:line="360" w:lineRule="auto"/>
        <w:rPr>
          <w:rFonts w:ascii="Arial" w:eastAsia="Times New Roman" w:hAnsi="Arial" w:cs="Arial"/>
          <w:color w:val="000000"/>
          <w:kern w:val="0"/>
          <w:sz w:val="22"/>
          <w:szCs w:val="22"/>
          <w:lang w:eastAsia="en-GB"/>
          <w14:ligatures w14:val="none"/>
        </w:rPr>
      </w:pPr>
      <w:r w:rsidRPr="00800E64">
        <w:rPr>
          <w:rFonts w:ascii="Arial" w:eastAsia="Times New Roman" w:hAnsi="Arial" w:cs="Arial"/>
          <w:color w:val="000000"/>
          <w:kern w:val="0"/>
          <w:sz w:val="22"/>
          <w:szCs w:val="22"/>
          <w:lang w:eastAsia="en-GB"/>
          <w14:ligatures w14:val="none"/>
        </w:rPr>
        <w:t>The debt-to-equity ratio is a mathematical metric that compares the total amount of debt to the total amount of equity in a firm to assess its risk profile and financial makeup. This statistic, produced by dividing the total debt by the total equity, provides useful information regarding the proportion of funding gained through debt in relation to equity. A high debt-to-equity ratio indicates that a corporation relies extensively on debt financing, which increases financial leverage and risk. On the other hand, a low ratio indicates a financial structure that is more careful and relies more on equity funding. The interpretation of the ratio depends on industry standards, corporate frameworks, and growth phases. Ratios below 1 are considered conservative, while ratios above 1 indicate high financial risk. However, the optimal debt-to-equity ratio might vary based on industry standards, market circumstances, and unique company scenarios. Hence, it is imperative for investors, creditors, and analysts to meticulously evaluate the ratio within its relevant context. </w:t>
      </w:r>
      <w:r w:rsidRPr="00800E64">
        <w:rPr>
          <w:rFonts w:ascii="Arial" w:eastAsia="Times New Roman" w:hAnsi="Arial" w:cs="Arial"/>
          <w:color w:val="000000"/>
          <w:kern w:val="0"/>
          <w:sz w:val="22"/>
          <w:szCs w:val="22"/>
          <w:lang w:eastAsia="en-GB"/>
          <w14:ligatures w14:val="none"/>
        </w:rPr>
        <w:t xml:space="preserve"> </w:t>
      </w:r>
      <w:r w:rsidR="007D1F8B" w:rsidRPr="007D1F8B">
        <w:rPr>
          <w:rFonts w:ascii="Arial" w:eastAsia="Times New Roman" w:hAnsi="Arial" w:cs="Arial"/>
          <w:color w:val="000000"/>
          <w:kern w:val="0"/>
          <w:sz w:val="22"/>
          <w:szCs w:val="22"/>
          <w:lang w:eastAsia="en-GB"/>
          <w14:ligatures w14:val="none"/>
        </w:rPr>
        <w:t>(Team, 2023)</w:t>
      </w:r>
      <w:r w:rsidR="007D1F8B">
        <w:rPr>
          <w:rFonts w:ascii="Arial" w:eastAsia="Times New Roman" w:hAnsi="Arial" w:cs="Arial"/>
          <w:color w:val="000000"/>
          <w:kern w:val="0"/>
          <w:sz w:val="22"/>
          <w:szCs w:val="22"/>
          <w:lang w:eastAsia="en-GB"/>
          <w14:ligatures w14:val="none"/>
        </w:rPr>
        <w:t>.</w:t>
      </w:r>
    </w:p>
    <w:p w14:paraId="16770BAE" w14:textId="77777777" w:rsidR="00990564" w:rsidRDefault="00990564" w:rsidP="004F0F64">
      <w:pPr>
        <w:spacing w:line="360" w:lineRule="auto"/>
        <w:rPr>
          <w:rFonts w:ascii="Arial" w:eastAsia="Times New Roman" w:hAnsi="Arial" w:cs="Arial"/>
          <w:color w:val="000000"/>
          <w:kern w:val="0"/>
          <w:sz w:val="22"/>
          <w:szCs w:val="22"/>
          <w:lang w:eastAsia="en-GB"/>
          <w14:ligatures w14:val="none"/>
        </w:rPr>
      </w:pPr>
    </w:p>
    <w:p w14:paraId="28CEBF27" w14:textId="01256C97" w:rsidR="007D1F8B" w:rsidRPr="007D1F8B" w:rsidRDefault="00874613" w:rsidP="00B209A8">
      <w:pPr>
        <w:pStyle w:val="Caption"/>
        <w:rPr>
          <w:rFonts w:ascii="Arial" w:eastAsia="Times New Roman" w:hAnsi="Arial" w:cs="Arial"/>
          <w:color w:val="000000"/>
          <w:kern w:val="0"/>
          <w:sz w:val="22"/>
          <w:szCs w:val="22"/>
          <w:lang w:eastAsia="en-GB"/>
          <w14:ligatures w14:val="none"/>
        </w:rPr>
      </w:pPr>
      <w:bookmarkStart w:id="10" w:name="_Toc164857418"/>
      <w:r w:rsidRPr="004F0F64">
        <w:rPr>
          <w:rFonts w:ascii="Arial" w:eastAsia="Times New Roman" w:hAnsi="Arial" w:cs="Arial"/>
          <w:color w:val="000000"/>
          <w:kern w:val="0"/>
          <w:sz w:val="22"/>
          <w:szCs w:val="22"/>
          <w:lang w:eastAsia="en-GB"/>
          <w14:ligatures w14:val="none"/>
        </w:rPr>
        <w:t>D</w:t>
      </w:r>
      <w:r w:rsidRPr="004F0F64">
        <w:rPr>
          <w:rFonts w:ascii="Arial" w:eastAsia="Times New Roman" w:hAnsi="Arial" w:cs="Arial"/>
          <w:color w:val="000000"/>
          <w:kern w:val="0"/>
          <w:sz w:val="22"/>
          <w:szCs w:val="22"/>
          <w:lang w:eastAsia="en-GB"/>
          <w14:ligatures w14:val="none"/>
        </w:rPr>
        <w:t>ebt-to-equity ratio</w:t>
      </w:r>
      <w:r w:rsidRPr="004F0F64">
        <w:rPr>
          <w:rFonts w:ascii="Arial" w:eastAsia="Times New Roman" w:hAnsi="Arial" w:cs="Arial"/>
          <w:color w:val="000000"/>
          <w:kern w:val="0"/>
          <w:sz w:val="22"/>
          <w:szCs w:val="22"/>
          <w:lang w:eastAsia="en-GB"/>
          <w14:ligatures w14:val="none"/>
        </w:rPr>
        <w:t xml:space="preserve"> =</w:t>
      </w:r>
      <w:r w:rsidRPr="004F0F64">
        <w:rPr>
          <w:rFonts w:ascii="Arial" w:eastAsia="Times New Roman" w:hAnsi="Arial" w:cs="Arial"/>
          <w:color w:val="000000"/>
          <w:kern w:val="0"/>
          <w:sz w:val="22"/>
          <w:szCs w:val="22"/>
          <w:lang w:eastAsia="en-GB"/>
          <w14:ligatures w14:val="none"/>
        </w:rPr>
        <w:t xml:space="preserve"> </w:t>
      </w:r>
      <w:r w:rsidRPr="004F0F64">
        <w:rPr>
          <w:rFonts w:ascii="Arial" w:eastAsia="Times New Roman" w:hAnsi="Arial" w:cs="Arial"/>
          <w:color w:val="000000"/>
          <w:kern w:val="0"/>
          <w:sz w:val="22"/>
          <w:szCs w:val="22"/>
          <w:lang w:eastAsia="en-GB"/>
          <w14:ligatures w14:val="none"/>
        </w:rPr>
        <w:t>T</w:t>
      </w:r>
      <w:r w:rsidRPr="004F0F64">
        <w:rPr>
          <w:rFonts w:ascii="Arial" w:eastAsia="Times New Roman" w:hAnsi="Arial" w:cs="Arial"/>
          <w:color w:val="000000"/>
          <w:kern w:val="0"/>
          <w:sz w:val="22"/>
          <w:szCs w:val="22"/>
          <w:lang w:eastAsia="en-GB"/>
          <w14:ligatures w14:val="none"/>
        </w:rPr>
        <w:t>otal debt</w:t>
      </w:r>
      <w:r w:rsidRPr="004F0F64">
        <w:rPr>
          <w:rFonts w:ascii="Arial" w:eastAsia="Times New Roman" w:hAnsi="Arial" w:cs="Arial"/>
          <w:color w:val="000000"/>
          <w:kern w:val="0"/>
          <w:sz w:val="22"/>
          <w:szCs w:val="22"/>
          <w:lang w:eastAsia="en-GB"/>
          <w14:ligatures w14:val="none"/>
        </w:rPr>
        <w:t xml:space="preserve"> / T</w:t>
      </w:r>
      <w:r w:rsidRPr="004F0F64">
        <w:rPr>
          <w:rFonts w:ascii="Arial" w:eastAsia="Times New Roman" w:hAnsi="Arial" w:cs="Arial"/>
          <w:color w:val="000000"/>
          <w:kern w:val="0"/>
          <w:sz w:val="22"/>
          <w:szCs w:val="22"/>
          <w:lang w:eastAsia="en-GB"/>
          <w14:ligatures w14:val="none"/>
        </w:rPr>
        <w:t>otal equity</w:t>
      </w:r>
      <w:r w:rsidR="00F86B77" w:rsidRPr="004F0F64">
        <w:rPr>
          <w:rFonts w:ascii="Arial" w:eastAsia="Times New Roman" w:hAnsi="Arial" w:cs="Arial"/>
          <w:color w:val="000000"/>
          <w:kern w:val="0"/>
          <w:sz w:val="22"/>
          <w:szCs w:val="22"/>
          <w:lang w:eastAsia="en-GB"/>
          <w14:ligatures w14:val="none"/>
        </w:rPr>
        <w:t xml:space="preserve"> </w:t>
      </w:r>
      <w:r w:rsidR="007D1F8B" w:rsidRPr="007D1F8B">
        <w:rPr>
          <w:rFonts w:ascii="Arial" w:eastAsia="Times New Roman" w:hAnsi="Arial" w:cs="Arial"/>
          <w:color w:val="000000"/>
          <w:kern w:val="0"/>
          <w:sz w:val="22"/>
          <w:szCs w:val="22"/>
          <w:lang w:eastAsia="en-GB"/>
          <w14:ligatures w14:val="none"/>
        </w:rPr>
        <w:t>(Team, 2023</w:t>
      </w:r>
      <w:proofErr w:type="gramStart"/>
      <w:r w:rsidR="007D1F8B" w:rsidRPr="007D1F8B">
        <w:rPr>
          <w:rFonts w:ascii="Arial" w:eastAsia="Times New Roman" w:hAnsi="Arial" w:cs="Arial"/>
          <w:color w:val="000000"/>
          <w:kern w:val="0"/>
          <w:sz w:val="22"/>
          <w:szCs w:val="22"/>
          <w:lang w:eastAsia="en-GB"/>
          <w14:ligatures w14:val="none"/>
        </w:rPr>
        <w:t>)</w:t>
      </w:r>
      <w:r w:rsidR="007D1F8B">
        <w:rPr>
          <w:rFonts w:ascii="Arial" w:eastAsia="Times New Roman" w:hAnsi="Arial" w:cs="Arial"/>
          <w:color w:val="000000"/>
          <w:kern w:val="0"/>
          <w:sz w:val="22"/>
          <w:szCs w:val="22"/>
          <w:lang w:eastAsia="en-GB"/>
          <w14:ligatures w14:val="none"/>
        </w:rPr>
        <w:t>.</w:t>
      </w:r>
      <w:r w:rsidR="00B209A8">
        <w:t>Table</w:t>
      </w:r>
      <w:proofErr w:type="gramEnd"/>
      <w:r w:rsidR="00B209A8">
        <w:t xml:space="preserve"> </w:t>
      </w:r>
      <w:r w:rsidR="00B209A8">
        <w:fldChar w:fldCharType="begin"/>
      </w:r>
      <w:r w:rsidR="00B209A8">
        <w:instrText xml:space="preserve"> SEQ Table \* ARABIC </w:instrText>
      </w:r>
      <w:r w:rsidR="00B209A8">
        <w:fldChar w:fldCharType="separate"/>
      </w:r>
      <w:r w:rsidR="00460444">
        <w:rPr>
          <w:noProof/>
        </w:rPr>
        <w:t>4</w:t>
      </w:r>
      <w:bookmarkEnd w:id="10"/>
      <w:r w:rsidR="00B209A8">
        <w:fldChar w:fldCharType="end"/>
      </w:r>
    </w:p>
    <w:p w14:paraId="1CB90E07" w14:textId="77777777" w:rsidR="00874613" w:rsidRPr="004F0F64" w:rsidRDefault="00874613" w:rsidP="004F0F64">
      <w:pPr>
        <w:spacing w:line="360" w:lineRule="auto"/>
        <w:rPr>
          <w:rFonts w:ascii="Arial" w:eastAsia="Times New Roman" w:hAnsi="Arial" w:cs="Arial"/>
          <w:color w:val="000000"/>
          <w:kern w:val="0"/>
          <w:sz w:val="22"/>
          <w:szCs w:val="22"/>
          <w:lang w:eastAsia="en-GB"/>
          <w14:ligatures w14:val="none"/>
        </w:rPr>
      </w:pPr>
    </w:p>
    <w:p w14:paraId="2779D540" w14:textId="639622C3" w:rsidR="005767A5" w:rsidRPr="004F0F64" w:rsidRDefault="00800E64" w:rsidP="004F0F64">
      <w:pPr>
        <w:spacing w:line="360" w:lineRule="auto"/>
        <w:rPr>
          <w:rFonts w:ascii="Arial" w:eastAsia="Times New Roman" w:hAnsi="Arial" w:cs="Arial"/>
          <w:color w:val="000000"/>
          <w:kern w:val="0"/>
          <w:sz w:val="22"/>
          <w:szCs w:val="22"/>
          <w:lang w:eastAsia="en-GB"/>
          <w14:ligatures w14:val="none"/>
        </w:rPr>
      </w:pPr>
      <w:r w:rsidRPr="00800E64">
        <w:rPr>
          <w:rFonts w:ascii="Arial" w:eastAsia="Times New Roman" w:hAnsi="Arial" w:cs="Arial"/>
          <w:color w:val="000000"/>
          <w:kern w:val="0"/>
          <w:sz w:val="22"/>
          <w:szCs w:val="22"/>
          <w:lang w:eastAsia="en-GB"/>
          <w14:ligatures w14:val="none"/>
        </w:rPr>
        <w:t xml:space="preserve">When comparing a company's reliance on debt financing to equity funding, the debt-to-equity ratio provides insight into the extent of that dependence. A high debt-to-equity ratio indicates that a company is significantly dependent on borrowing money to finance its activities, which increases the financial risk due to rising interest payments and debt obligations. Conversely, a low debt-to-equity ratio suggests that a corporation has a conservative financial framework with a higher proportion of funding coming from equity. This could suggest a decrease in financial risk, but it may also result in slower growth. </w:t>
      </w:r>
      <w:r w:rsidR="00F86B77" w:rsidRPr="004F0F64">
        <w:rPr>
          <w:rFonts w:ascii="Arial" w:eastAsia="Times New Roman" w:hAnsi="Arial" w:cs="Arial"/>
          <w:color w:val="000000"/>
          <w:kern w:val="0"/>
          <w:sz w:val="22"/>
          <w:szCs w:val="22"/>
          <w:lang w:eastAsia="en-GB"/>
          <w14:ligatures w14:val="none"/>
        </w:rPr>
        <w:t>(Team, 2023)</w:t>
      </w:r>
      <w:r w:rsidR="00874613" w:rsidRPr="004F0F64">
        <w:rPr>
          <w:rFonts w:ascii="Arial" w:eastAsia="Times New Roman" w:hAnsi="Arial" w:cs="Arial"/>
          <w:color w:val="000000"/>
          <w:kern w:val="0"/>
          <w:sz w:val="22"/>
          <w:szCs w:val="22"/>
          <w:lang w:eastAsia="en-GB"/>
          <w14:ligatures w14:val="none"/>
        </w:rPr>
        <w:t>.</w:t>
      </w:r>
    </w:p>
    <w:p w14:paraId="64110BD8" w14:textId="77777777" w:rsidR="00B04E89" w:rsidRPr="00AD5368" w:rsidRDefault="00B04E89" w:rsidP="004F0F64">
      <w:pPr>
        <w:spacing w:line="360" w:lineRule="auto"/>
        <w:rPr>
          <w:rFonts w:ascii="Arial" w:hAnsi="Arial" w:cs="Arial"/>
          <w:b/>
          <w:bCs/>
          <w:sz w:val="22"/>
          <w:szCs w:val="22"/>
        </w:rPr>
      </w:pPr>
    </w:p>
    <w:p w14:paraId="76BCF6B7" w14:textId="16734C08" w:rsidR="00E33296" w:rsidRPr="00AD5368" w:rsidRDefault="00584466" w:rsidP="00150C06">
      <w:pPr>
        <w:pStyle w:val="Heading2"/>
      </w:pPr>
      <w:bookmarkStart w:id="11" w:name="_Toc164857837"/>
      <w:r w:rsidRPr="00AD5368">
        <w:t>Apple Debt-to-Equity</w:t>
      </w:r>
      <w:bookmarkEnd w:id="11"/>
    </w:p>
    <w:p w14:paraId="7416CDF3" w14:textId="77777777" w:rsidR="008E718F" w:rsidRPr="004F0F64" w:rsidRDefault="008E718F" w:rsidP="004F0F64">
      <w:pPr>
        <w:spacing w:line="360" w:lineRule="auto"/>
        <w:rPr>
          <w:rFonts w:ascii="Arial" w:hAnsi="Arial" w:cs="Arial"/>
          <w:sz w:val="22"/>
          <w:szCs w:val="22"/>
        </w:rPr>
      </w:pPr>
    </w:p>
    <w:p w14:paraId="19425D18" w14:textId="13370629" w:rsidR="00584466" w:rsidRPr="004F0F64" w:rsidRDefault="00484252" w:rsidP="004F0F64">
      <w:pPr>
        <w:spacing w:line="360" w:lineRule="auto"/>
        <w:rPr>
          <w:rFonts w:ascii="Arial" w:hAnsi="Arial" w:cs="Arial"/>
          <w:sz w:val="22"/>
          <w:szCs w:val="22"/>
        </w:rPr>
      </w:pPr>
      <w:r w:rsidRPr="004F0F64">
        <w:rPr>
          <w:rFonts w:ascii="Arial" w:hAnsi="Arial" w:cs="Arial"/>
          <w:sz w:val="22"/>
          <w:szCs w:val="22"/>
        </w:rPr>
        <w:t xml:space="preserve">Total debt $ </w:t>
      </w:r>
      <w:r w:rsidRPr="004F0F64">
        <w:rPr>
          <w:rFonts w:ascii="Arial" w:hAnsi="Arial" w:cs="Arial"/>
          <w:sz w:val="22"/>
          <w:szCs w:val="22"/>
        </w:rPr>
        <w:t>111</w:t>
      </w:r>
      <w:r w:rsidRPr="004F0F64">
        <w:rPr>
          <w:rFonts w:ascii="Arial" w:hAnsi="Arial" w:cs="Arial"/>
          <w:sz w:val="22"/>
          <w:szCs w:val="22"/>
        </w:rPr>
        <w:t>,</w:t>
      </w:r>
      <w:r w:rsidRPr="004F0F64">
        <w:rPr>
          <w:rFonts w:ascii="Arial" w:hAnsi="Arial" w:cs="Arial"/>
          <w:sz w:val="22"/>
          <w:szCs w:val="22"/>
        </w:rPr>
        <w:t>088</w:t>
      </w:r>
      <w:r w:rsidRPr="004F0F64">
        <w:rPr>
          <w:rFonts w:ascii="Arial" w:hAnsi="Arial" w:cs="Arial"/>
          <w:sz w:val="22"/>
          <w:szCs w:val="22"/>
        </w:rPr>
        <w:t xml:space="preserve"> million / </w:t>
      </w:r>
      <w:r w:rsidR="00E63699" w:rsidRPr="004F0F64">
        <w:rPr>
          <w:rFonts w:ascii="Arial" w:hAnsi="Arial" w:cs="Arial"/>
          <w:sz w:val="22"/>
          <w:szCs w:val="22"/>
        </w:rPr>
        <w:t>Total Equity</w:t>
      </w:r>
      <w:r w:rsidRPr="004F0F64">
        <w:rPr>
          <w:rFonts w:ascii="Arial" w:hAnsi="Arial" w:cs="Arial"/>
          <w:sz w:val="22"/>
          <w:szCs w:val="22"/>
        </w:rPr>
        <w:t xml:space="preserve"> </w:t>
      </w:r>
      <w:r w:rsidR="00C41AFC" w:rsidRPr="004F0F64">
        <w:rPr>
          <w:rFonts w:ascii="Arial" w:hAnsi="Arial" w:cs="Arial"/>
          <w:sz w:val="22"/>
          <w:szCs w:val="22"/>
        </w:rPr>
        <w:t xml:space="preserve">$ </w:t>
      </w:r>
      <w:r w:rsidR="00C41AFC" w:rsidRPr="004F0F64">
        <w:rPr>
          <w:rFonts w:ascii="Arial" w:hAnsi="Arial" w:cs="Arial"/>
          <w:sz w:val="22"/>
          <w:szCs w:val="22"/>
        </w:rPr>
        <w:t>62</w:t>
      </w:r>
      <w:r w:rsidR="00C41AFC" w:rsidRPr="004F0F64">
        <w:rPr>
          <w:rFonts w:ascii="Arial" w:hAnsi="Arial" w:cs="Arial"/>
          <w:sz w:val="22"/>
          <w:szCs w:val="22"/>
        </w:rPr>
        <w:t>,</w:t>
      </w:r>
      <w:r w:rsidR="00C41AFC" w:rsidRPr="004F0F64">
        <w:rPr>
          <w:rFonts w:ascii="Arial" w:hAnsi="Arial" w:cs="Arial"/>
          <w:sz w:val="22"/>
          <w:szCs w:val="22"/>
        </w:rPr>
        <w:t>146</w:t>
      </w:r>
      <w:r w:rsidR="00C41AFC" w:rsidRPr="004F0F64">
        <w:rPr>
          <w:rFonts w:ascii="Arial" w:hAnsi="Arial" w:cs="Arial"/>
          <w:sz w:val="22"/>
          <w:szCs w:val="22"/>
        </w:rPr>
        <w:t xml:space="preserve"> million =</w:t>
      </w:r>
      <w:r w:rsidR="005B344A" w:rsidRPr="004F0F64">
        <w:rPr>
          <w:rFonts w:ascii="Arial" w:hAnsi="Arial" w:cs="Arial"/>
          <w:sz w:val="22"/>
          <w:szCs w:val="22"/>
        </w:rPr>
        <w:t xml:space="preserve"> 1.79</w:t>
      </w:r>
      <w:r w:rsidR="00333FFF" w:rsidRPr="004F0F64">
        <w:rPr>
          <w:rFonts w:ascii="Arial" w:hAnsi="Arial" w:cs="Arial"/>
          <w:sz w:val="22"/>
          <w:szCs w:val="22"/>
        </w:rPr>
        <w:t xml:space="preserve"> </w:t>
      </w:r>
      <w:r w:rsidR="00555B68" w:rsidRPr="004F0F64">
        <w:rPr>
          <w:rFonts w:ascii="Arial" w:hAnsi="Arial" w:cs="Arial"/>
          <w:sz w:val="22"/>
          <w:szCs w:val="22"/>
        </w:rPr>
        <w:t>(</w:t>
      </w:r>
      <w:r w:rsidR="00333FFF" w:rsidRPr="001142A0">
        <w:rPr>
          <w:rFonts w:ascii="Arial" w:hAnsi="Arial" w:cs="Arial"/>
          <w:sz w:val="22"/>
          <w:szCs w:val="22"/>
        </w:rPr>
        <w:t>Yahoo.com</w:t>
      </w:r>
      <w:r w:rsidR="00555B68" w:rsidRPr="004F0F64">
        <w:rPr>
          <w:rFonts w:ascii="Arial" w:hAnsi="Arial" w:cs="Arial"/>
          <w:sz w:val="22"/>
          <w:szCs w:val="22"/>
        </w:rPr>
        <w:t xml:space="preserve">, </w:t>
      </w:r>
      <w:r w:rsidR="00333FFF" w:rsidRPr="001142A0">
        <w:rPr>
          <w:rFonts w:ascii="Arial" w:hAnsi="Arial" w:cs="Arial"/>
          <w:sz w:val="22"/>
          <w:szCs w:val="22"/>
        </w:rPr>
        <w:t>no date a)</w:t>
      </w:r>
      <w:r w:rsidR="00E63699" w:rsidRPr="004F0F64">
        <w:rPr>
          <w:rFonts w:ascii="Arial" w:hAnsi="Arial" w:cs="Arial"/>
          <w:sz w:val="22"/>
          <w:szCs w:val="22"/>
        </w:rPr>
        <w:t>.</w:t>
      </w:r>
    </w:p>
    <w:p w14:paraId="25E00F1B" w14:textId="26C0B7AA" w:rsidR="00E63699" w:rsidRDefault="00E63699" w:rsidP="004F0F64">
      <w:pPr>
        <w:spacing w:line="360" w:lineRule="auto"/>
        <w:rPr>
          <w:rFonts w:ascii="Arial" w:hAnsi="Arial" w:cs="Arial"/>
          <w:sz w:val="22"/>
          <w:szCs w:val="22"/>
        </w:rPr>
      </w:pPr>
      <w:r w:rsidRPr="004F0F64">
        <w:rPr>
          <w:rFonts w:ascii="Arial" w:hAnsi="Arial" w:cs="Arial"/>
          <w:sz w:val="22"/>
          <w:szCs w:val="22"/>
        </w:rPr>
        <w:lastRenderedPageBreak/>
        <w:t>Apple has a debt-to-equity ratio of 1.79</w:t>
      </w:r>
      <w:r w:rsidR="00555B68" w:rsidRPr="004F0F64">
        <w:rPr>
          <w:rFonts w:ascii="Arial" w:hAnsi="Arial" w:cs="Arial"/>
          <w:sz w:val="22"/>
          <w:szCs w:val="22"/>
        </w:rPr>
        <w:t xml:space="preserve"> </w:t>
      </w:r>
      <w:r w:rsidR="00555B68" w:rsidRPr="004F0F64">
        <w:rPr>
          <w:rFonts w:ascii="Arial" w:hAnsi="Arial" w:cs="Arial"/>
          <w:sz w:val="22"/>
          <w:szCs w:val="22"/>
        </w:rPr>
        <w:t>(</w:t>
      </w:r>
      <w:r w:rsidR="00555B68" w:rsidRPr="001142A0">
        <w:rPr>
          <w:rFonts w:ascii="Arial" w:hAnsi="Arial" w:cs="Arial"/>
          <w:sz w:val="22"/>
          <w:szCs w:val="22"/>
        </w:rPr>
        <w:t>Yahoo.com</w:t>
      </w:r>
      <w:r w:rsidR="00555B68" w:rsidRPr="004F0F64">
        <w:rPr>
          <w:rFonts w:ascii="Arial" w:hAnsi="Arial" w:cs="Arial"/>
          <w:sz w:val="22"/>
          <w:szCs w:val="22"/>
        </w:rPr>
        <w:t xml:space="preserve">, </w:t>
      </w:r>
      <w:r w:rsidR="00555B68" w:rsidRPr="001142A0">
        <w:rPr>
          <w:rFonts w:ascii="Arial" w:hAnsi="Arial" w:cs="Arial"/>
          <w:sz w:val="22"/>
          <w:szCs w:val="22"/>
        </w:rPr>
        <w:t>no date a)</w:t>
      </w:r>
      <w:r w:rsidRPr="004F0F64">
        <w:rPr>
          <w:rFonts w:ascii="Arial" w:hAnsi="Arial" w:cs="Arial"/>
          <w:sz w:val="22"/>
          <w:szCs w:val="22"/>
        </w:rPr>
        <w:t>, suggesting a substantial dependence on debt financing and a relatively high level of debt in comparison to its equity. Although debt can be a useful means of financing expansion and investment, a ratio above 1 indicates that Apple's creditors have a higher priority in claiming the company's assets compared to its shareholders</w:t>
      </w:r>
      <w:r w:rsidR="005C5C4B" w:rsidRPr="004F0F64">
        <w:rPr>
          <w:rFonts w:ascii="Arial" w:eastAsia="Times New Roman" w:hAnsi="Arial" w:cs="Arial"/>
          <w:color w:val="000000"/>
          <w:kern w:val="0"/>
          <w:sz w:val="22"/>
          <w:szCs w:val="22"/>
          <w:lang w:eastAsia="en-GB"/>
          <w14:ligatures w14:val="none"/>
        </w:rPr>
        <w:t>.</w:t>
      </w:r>
      <w:r w:rsidRPr="004F0F64">
        <w:rPr>
          <w:rFonts w:ascii="Arial" w:hAnsi="Arial" w:cs="Arial"/>
          <w:sz w:val="22"/>
          <w:szCs w:val="22"/>
        </w:rPr>
        <w:t xml:space="preserve"> The increased leverage may give rise to apprehensions over Apple's financial risk and its capacity to meet its debt commitments, especially in the event of a decline in economic conditions or if Apple's cash flow proves inadequate to cover interest payments. Nevertheless, it is crucial to </w:t>
      </w:r>
      <w:r w:rsidR="002A22AD" w:rsidRPr="004F0F64">
        <w:rPr>
          <w:rFonts w:ascii="Arial" w:hAnsi="Arial" w:cs="Arial"/>
          <w:sz w:val="22"/>
          <w:szCs w:val="22"/>
        </w:rPr>
        <w:t>consider</w:t>
      </w:r>
      <w:r w:rsidRPr="004F0F64">
        <w:rPr>
          <w:rFonts w:ascii="Arial" w:hAnsi="Arial" w:cs="Arial"/>
          <w:sz w:val="22"/>
          <w:szCs w:val="22"/>
        </w:rPr>
        <w:t xml:space="preserve"> Apple's robust cash position and unwavering profitability, since these factors may help alleviate some of the dangers connected with its debt burden</w:t>
      </w:r>
      <w:r w:rsidR="005C5C4B" w:rsidRPr="004F0F64">
        <w:rPr>
          <w:rFonts w:ascii="Arial" w:hAnsi="Arial" w:cs="Arial"/>
          <w:sz w:val="22"/>
          <w:szCs w:val="22"/>
        </w:rPr>
        <w:t xml:space="preserve"> </w:t>
      </w:r>
      <w:r w:rsidR="005C5C4B" w:rsidRPr="004F0F64">
        <w:rPr>
          <w:rFonts w:ascii="Arial" w:eastAsia="Times New Roman" w:hAnsi="Arial" w:cs="Arial"/>
          <w:color w:val="000000"/>
          <w:kern w:val="0"/>
          <w:sz w:val="22"/>
          <w:szCs w:val="22"/>
          <w:lang w:eastAsia="en-GB"/>
          <w14:ligatures w14:val="none"/>
        </w:rPr>
        <w:t>(Team, 2023)</w:t>
      </w:r>
      <w:r w:rsidRPr="004F0F64">
        <w:rPr>
          <w:rFonts w:ascii="Arial" w:hAnsi="Arial" w:cs="Arial"/>
          <w:sz w:val="22"/>
          <w:szCs w:val="22"/>
        </w:rPr>
        <w:t>.</w:t>
      </w:r>
    </w:p>
    <w:p w14:paraId="739C1053" w14:textId="14877C20" w:rsidR="0086204E" w:rsidRPr="004F0F64" w:rsidRDefault="0086204E" w:rsidP="004F0F64">
      <w:pPr>
        <w:spacing w:line="360" w:lineRule="auto"/>
        <w:rPr>
          <w:rFonts w:ascii="Arial" w:hAnsi="Arial" w:cs="Arial"/>
          <w:sz w:val="22"/>
          <w:szCs w:val="22"/>
        </w:rPr>
      </w:pPr>
      <w:r w:rsidRPr="0086204E">
        <w:rPr>
          <w:rFonts w:ascii="Arial" w:hAnsi="Arial" w:cs="Arial"/>
          <w:sz w:val="22"/>
          <w:szCs w:val="22"/>
        </w:rPr>
        <w:drawing>
          <wp:inline distT="0" distB="0" distL="0" distR="0" wp14:anchorId="2CB18961" wp14:editId="540AFB70">
            <wp:extent cx="5731510" cy="1124585"/>
            <wp:effectExtent l="0" t="0" r="0" b="5715"/>
            <wp:docPr id="334542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42286" name=""/>
                    <pic:cNvPicPr/>
                  </pic:nvPicPr>
                  <pic:blipFill>
                    <a:blip r:embed="rId11"/>
                    <a:stretch>
                      <a:fillRect/>
                    </a:stretch>
                  </pic:blipFill>
                  <pic:spPr>
                    <a:xfrm>
                      <a:off x="0" y="0"/>
                      <a:ext cx="5731510" cy="1124585"/>
                    </a:xfrm>
                    <a:prstGeom prst="rect">
                      <a:avLst/>
                    </a:prstGeom>
                  </pic:spPr>
                </pic:pic>
              </a:graphicData>
            </a:graphic>
          </wp:inline>
        </w:drawing>
      </w:r>
    </w:p>
    <w:p w14:paraId="1A9C0231" w14:textId="77FB41B5" w:rsidR="009B54FA" w:rsidRPr="004F0F64" w:rsidRDefault="0086204E" w:rsidP="004F0F64">
      <w:pPr>
        <w:spacing w:line="360" w:lineRule="auto"/>
        <w:rPr>
          <w:rFonts w:ascii="Arial" w:hAnsi="Arial" w:cs="Arial"/>
          <w:sz w:val="22"/>
          <w:szCs w:val="22"/>
        </w:rPr>
      </w:pPr>
      <w:r>
        <w:rPr>
          <w:rFonts w:ascii="Arial" w:hAnsi="Arial" w:cs="Arial"/>
          <w:sz w:val="22"/>
          <w:szCs w:val="22"/>
        </w:rPr>
        <w:t>Source: Author.</w:t>
      </w:r>
    </w:p>
    <w:p w14:paraId="7A5A0D06" w14:textId="6B15222D" w:rsidR="009942EB" w:rsidRPr="00AD5368" w:rsidRDefault="009942EB" w:rsidP="00150C06">
      <w:pPr>
        <w:pStyle w:val="Heading2"/>
      </w:pPr>
      <w:bookmarkStart w:id="12" w:name="_Toc164857838"/>
      <w:r w:rsidRPr="00AD5368">
        <w:t>Microsoft Debt-to-Equity</w:t>
      </w:r>
      <w:bookmarkEnd w:id="12"/>
    </w:p>
    <w:p w14:paraId="42A4A914" w14:textId="77777777" w:rsidR="00AD5368" w:rsidRPr="004F0F64" w:rsidRDefault="00AD5368" w:rsidP="004F0F64">
      <w:pPr>
        <w:spacing w:line="360" w:lineRule="auto"/>
        <w:rPr>
          <w:rFonts w:ascii="Arial" w:hAnsi="Arial" w:cs="Arial"/>
          <w:sz w:val="22"/>
          <w:szCs w:val="22"/>
        </w:rPr>
      </w:pPr>
    </w:p>
    <w:p w14:paraId="333CEC52" w14:textId="69C6BBE4" w:rsidR="00394D2C" w:rsidRDefault="00292655" w:rsidP="004F0F64">
      <w:pPr>
        <w:spacing w:line="360" w:lineRule="auto"/>
        <w:rPr>
          <w:rFonts w:ascii="Arial" w:hAnsi="Arial" w:cs="Arial"/>
          <w:sz w:val="22"/>
          <w:szCs w:val="22"/>
        </w:rPr>
      </w:pPr>
      <w:r w:rsidRPr="004F0F64">
        <w:rPr>
          <w:rFonts w:ascii="Arial" w:hAnsi="Arial" w:cs="Arial"/>
          <w:sz w:val="22"/>
          <w:szCs w:val="22"/>
        </w:rPr>
        <w:t xml:space="preserve">Total Debt </w:t>
      </w:r>
      <w:r w:rsidR="00ED1C78" w:rsidRPr="004F0F64">
        <w:rPr>
          <w:rFonts w:ascii="Arial" w:hAnsi="Arial" w:cs="Arial"/>
          <w:sz w:val="22"/>
          <w:szCs w:val="22"/>
        </w:rPr>
        <w:t>$59,965 million</w:t>
      </w:r>
      <w:r w:rsidR="0086204E">
        <w:rPr>
          <w:rFonts w:ascii="Arial" w:hAnsi="Arial" w:cs="Arial"/>
          <w:sz w:val="22"/>
          <w:szCs w:val="22"/>
        </w:rPr>
        <w:t xml:space="preserve"> </w:t>
      </w:r>
      <w:r w:rsidR="0086204E" w:rsidRPr="004F0F64">
        <w:rPr>
          <w:rFonts w:ascii="Arial" w:hAnsi="Arial" w:cs="Arial"/>
          <w:sz w:val="22"/>
          <w:szCs w:val="22"/>
        </w:rPr>
        <w:t>(</w:t>
      </w:r>
      <w:r w:rsidR="0086204E" w:rsidRPr="000479F6">
        <w:rPr>
          <w:rFonts w:ascii="Arial" w:hAnsi="Arial" w:cs="Arial"/>
          <w:sz w:val="22"/>
          <w:szCs w:val="22"/>
        </w:rPr>
        <w:t>Yahoo.com</w:t>
      </w:r>
      <w:r w:rsidR="0086204E" w:rsidRPr="004F0F64">
        <w:rPr>
          <w:rFonts w:ascii="Arial" w:hAnsi="Arial" w:cs="Arial"/>
          <w:sz w:val="22"/>
          <w:szCs w:val="22"/>
        </w:rPr>
        <w:t xml:space="preserve">, </w:t>
      </w:r>
      <w:r w:rsidR="0086204E" w:rsidRPr="000479F6">
        <w:rPr>
          <w:rFonts w:ascii="Arial" w:hAnsi="Arial" w:cs="Arial"/>
          <w:sz w:val="22"/>
          <w:szCs w:val="22"/>
        </w:rPr>
        <w:t>no date)</w:t>
      </w:r>
      <w:r w:rsidR="0086204E" w:rsidRPr="004F0F64">
        <w:rPr>
          <w:rFonts w:ascii="Arial" w:hAnsi="Arial" w:cs="Arial"/>
          <w:sz w:val="22"/>
          <w:szCs w:val="22"/>
        </w:rPr>
        <w:t>.</w:t>
      </w:r>
      <w:r w:rsidR="00ED1C78" w:rsidRPr="004F0F64">
        <w:rPr>
          <w:rFonts w:ascii="Arial" w:hAnsi="Arial" w:cs="Arial"/>
          <w:sz w:val="22"/>
          <w:szCs w:val="22"/>
        </w:rPr>
        <w:t xml:space="preserve"> / Total Equity </w:t>
      </w:r>
      <w:r w:rsidR="009A06A6" w:rsidRPr="004F0F64">
        <w:rPr>
          <w:rFonts w:ascii="Arial" w:hAnsi="Arial" w:cs="Arial"/>
          <w:sz w:val="22"/>
          <w:szCs w:val="22"/>
        </w:rPr>
        <w:t xml:space="preserve">$206,233 </w:t>
      </w:r>
      <w:r w:rsidR="0086204E" w:rsidRPr="004F0F64">
        <w:rPr>
          <w:rFonts w:ascii="Arial" w:hAnsi="Arial" w:cs="Arial"/>
          <w:sz w:val="22"/>
          <w:szCs w:val="22"/>
        </w:rPr>
        <w:t>(</w:t>
      </w:r>
      <w:r w:rsidR="0086204E" w:rsidRPr="000479F6">
        <w:rPr>
          <w:rFonts w:ascii="Arial" w:hAnsi="Arial" w:cs="Arial"/>
          <w:sz w:val="22"/>
          <w:szCs w:val="22"/>
        </w:rPr>
        <w:t>Yahoo.com</w:t>
      </w:r>
      <w:r w:rsidR="0086204E" w:rsidRPr="004F0F64">
        <w:rPr>
          <w:rFonts w:ascii="Arial" w:hAnsi="Arial" w:cs="Arial"/>
          <w:sz w:val="22"/>
          <w:szCs w:val="22"/>
        </w:rPr>
        <w:t xml:space="preserve">, </w:t>
      </w:r>
      <w:r w:rsidR="0086204E" w:rsidRPr="000479F6">
        <w:rPr>
          <w:rFonts w:ascii="Arial" w:hAnsi="Arial" w:cs="Arial"/>
          <w:sz w:val="22"/>
          <w:szCs w:val="22"/>
        </w:rPr>
        <w:t>no date</w:t>
      </w:r>
      <w:proofErr w:type="gramStart"/>
      <w:r w:rsidR="0086204E" w:rsidRPr="000479F6">
        <w:rPr>
          <w:rFonts w:ascii="Arial" w:hAnsi="Arial" w:cs="Arial"/>
          <w:sz w:val="22"/>
          <w:szCs w:val="22"/>
        </w:rPr>
        <w:t>)</w:t>
      </w:r>
      <w:r w:rsidR="0086204E" w:rsidRPr="004F0F64">
        <w:rPr>
          <w:rFonts w:ascii="Arial" w:hAnsi="Arial" w:cs="Arial"/>
          <w:sz w:val="22"/>
          <w:szCs w:val="22"/>
        </w:rPr>
        <w:t>.</w:t>
      </w:r>
      <w:r w:rsidR="009A06A6" w:rsidRPr="004F0F64">
        <w:rPr>
          <w:rFonts w:ascii="Arial" w:hAnsi="Arial" w:cs="Arial"/>
          <w:sz w:val="22"/>
          <w:szCs w:val="22"/>
        </w:rPr>
        <w:t>=</w:t>
      </w:r>
      <w:proofErr w:type="gramEnd"/>
      <w:r w:rsidR="009A06A6" w:rsidRPr="004F0F64">
        <w:rPr>
          <w:rFonts w:ascii="Arial" w:hAnsi="Arial" w:cs="Arial"/>
          <w:sz w:val="22"/>
          <w:szCs w:val="22"/>
        </w:rPr>
        <w:t xml:space="preserve"> 0.29</w:t>
      </w:r>
      <w:r w:rsidR="0086204E">
        <w:rPr>
          <w:rFonts w:ascii="Arial" w:hAnsi="Arial" w:cs="Arial"/>
          <w:sz w:val="22"/>
          <w:szCs w:val="22"/>
        </w:rPr>
        <w:t>.</w:t>
      </w:r>
    </w:p>
    <w:p w14:paraId="3F36B353" w14:textId="77777777" w:rsidR="00007936" w:rsidRPr="004F0F64" w:rsidRDefault="00007936" w:rsidP="004F0F64">
      <w:pPr>
        <w:spacing w:line="360" w:lineRule="auto"/>
        <w:rPr>
          <w:rFonts w:ascii="Arial" w:hAnsi="Arial" w:cs="Arial"/>
          <w:sz w:val="22"/>
          <w:szCs w:val="22"/>
        </w:rPr>
      </w:pPr>
    </w:p>
    <w:p w14:paraId="77585535" w14:textId="4F383A18" w:rsidR="000A3F89" w:rsidRPr="004F0F64" w:rsidRDefault="000A3F89" w:rsidP="004F0F64">
      <w:pPr>
        <w:spacing w:line="360" w:lineRule="auto"/>
        <w:rPr>
          <w:rFonts w:ascii="Arial" w:hAnsi="Arial" w:cs="Arial"/>
          <w:sz w:val="22"/>
          <w:szCs w:val="22"/>
        </w:rPr>
      </w:pPr>
      <w:r w:rsidRPr="004F0F64">
        <w:rPr>
          <w:rFonts w:ascii="Arial" w:hAnsi="Arial" w:cs="Arial"/>
          <w:sz w:val="22"/>
          <w:szCs w:val="22"/>
        </w:rPr>
        <w:t>Microsoft has a debt-to-equity ratio of 0.29</w:t>
      </w:r>
      <w:r w:rsidR="0086204E">
        <w:rPr>
          <w:rFonts w:ascii="Arial" w:hAnsi="Arial" w:cs="Arial"/>
          <w:sz w:val="22"/>
          <w:szCs w:val="22"/>
        </w:rPr>
        <w:t xml:space="preserve">, </w:t>
      </w:r>
      <w:r w:rsidRPr="004F0F64">
        <w:rPr>
          <w:rFonts w:ascii="Arial" w:hAnsi="Arial" w:cs="Arial"/>
          <w:sz w:val="22"/>
          <w:szCs w:val="22"/>
        </w:rPr>
        <w:t>which means they rely less on debt compared to Apple Inc. This suggests that Microsoft takes a more cautious approach to financing. The comparatively low ratio indicates that Microsoft depends more on equity funding, which offers increased stability and flexibility during periods of economic uncertainty. Microsoft's robust financial position, combined with its significant stock capital, indicates that the corporation has abundant resources to support its operations, pursue growth prospects, and endure potential financial disruptions. Microsoft's conservative debt-to-equity ratio demonstrates a cautious financial approach aimed at preserving financial stability and reducing risk exposure, even if debt can be beneficial for leveraging investments and optimising capital structure. Apple's larger debt-to-equity ratio suggests a more assertive strategy of utilising its capital structure to stimulate development and innovation, however this approach may come with increased financial risk</w:t>
      </w:r>
      <w:r w:rsidR="0086204E">
        <w:rPr>
          <w:rFonts w:ascii="Arial" w:hAnsi="Arial" w:cs="Arial"/>
          <w:sz w:val="22"/>
          <w:szCs w:val="22"/>
        </w:rPr>
        <w:t>.</w:t>
      </w:r>
    </w:p>
    <w:p w14:paraId="519E2EE3" w14:textId="77777777" w:rsidR="00A72304" w:rsidRPr="004F0F64" w:rsidRDefault="00A72304" w:rsidP="004F0F64">
      <w:pPr>
        <w:spacing w:line="360" w:lineRule="auto"/>
        <w:rPr>
          <w:rFonts w:ascii="Arial" w:hAnsi="Arial" w:cs="Arial"/>
          <w:sz w:val="22"/>
          <w:szCs w:val="22"/>
        </w:rPr>
      </w:pPr>
    </w:p>
    <w:p w14:paraId="22F2BB34" w14:textId="5D7F0978" w:rsidR="00A72304" w:rsidRDefault="000F348B" w:rsidP="00150C06">
      <w:pPr>
        <w:pStyle w:val="Heading2"/>
      </w:pPr>
      <w:bookmarkStart w:id="13" w:name="_Toc164857839"/>
      <w:r w:rsidRPr="004F0F64">
        <w:lastRenderedPageBreak/>
        <w:t>Efficiency ratio – Assets Turnover</w:t>
      </w:r>
      <w:bookmarkEnd w:id="13"/>
      <w:r w:rsidRPr="004F0F64">
        <w:t xml:space="preserve"> </w:t>
      </w:r>
    </w:p>
    <w:p w14:paraId="1B07F4C4" w14:textId="77777777" w:rsidR="00007936" w:rsidRPr="004F0F64" w:rsidRDefault="00007936" w:rsidP="004F0F64">
      <w:pPr>
        <w:spacing w:line="360" w:lineRule="auto"/>
        <w:rPr>
          <w:rFonts w:ascii="Arial" w:hAnsi="Arial" w:cs="Arial"/>
          <w:b/>
          <w:bCs/>
          <w:i/>
          <w:iCs/>
          <w:sz w:val="22"/>
          <w:szCs w:val="22"/>
        </w:rPr>
      </w:pPr>
    </w:p>
    <w:p w14:paraId="6224F4A4" w14:textId="6AB32E93" w:rsidR="0086204E" w:rsidRPr="0086204E" w:rsidRDefault="00800E64" w:rsidP="0086204E">
      <w:pPr>
        <w:spacing w:line="360" w:lineRule="auto"/>
        <w:rPr>
          <w:rFonts w:ascii="Arial" w:hAnsi="Arial" w:cs="Arial"/>
          <w:b/>
          <w:bCs/>
          <w:i/>
          <w:iCs/>
          <w:sz w:val="22"/>
          <w:szCs w:val="22"/>
        </w:rPr>
      </w:pPr>
      <w:r w:rsidRPr="00800E64">
        <w:rPr>
          <w:rFonts w:ascii="Arial" w:hAnsi="Arial" w:cs="Arial"/>
          <w:sz w:val="22"/>
          <w:szCs w:val="22"/>
        </w:rPr>
        <w:t xml:space="preserve">As an indicator of a company's ability to convert its assets into revenue, asset turnover quantifies that performance. The return on assets (ROA) is calculated by dividing the net sales by the average total assets. This statistic provides vital insights into the effectiveness of a company's utilisation of its assets to produce revenue. A higher asset turnover ratio indicates more efficiency, as the company generates more revenue per unit of assets. Conversely, a lower ratio suggests the presence of inefficiencies or underutilization of assets. Asset turnover percentages vary between </w:t>
      </w:r>
      <w:proofErr w:type="gramStart"/>
      <w:r w:rsidRPr="00800E64">
        <w:rPr>
          <w:rFonts w:ascii="Arial" w:hAnsi="Arial" w:cs="Arial"/>
          <w:sz w:val="22"/>
          <w:szCs w:val="22"/>
        </w:rPr>
        <w:t>industries, and</w:t>
      </w:r>
      <w:proofErr w:type="gramEnd"/>
      <w:r w:rsidRPr="00800E64">
        <w:rPr>
          <w:rFonts w:ascii="Arial" w:hAnsi="Arial" w:cs="Arial"/>
          <w:sz w:val="22"/>
          <w:szCs w:val="22"/>
        </w:rPr>
        <w:t xml:space="preserve"> comparing them to industry benchmarks helps evaluate a company's operational efficiency and competitiveness. Asset turnover is a widely utilised metric employed by investors, creditors, and analysts to assess a company's operational efficiency and performance. It is considered a crucial indicator of managerial effectiveness and financial performance. </w:t>
      </w:r>
      <w:r w:rsidR="0086204E" w:rsidRPr="0086204E">
        <w:rPr>
          <w:rFonts w:ascii="Arial" w:hAnsi="Arial" w:cs="Arial"/>
          <w:sz w:val="22"/>
          <w:szCs w:val="22"/>
        </w:rPr>
        <w:t>(Patel, n.d.)</w:t>
      </w:r>
    </w:p>
    <w:p w14:paraId="74C1B565" w14:textId="3ECA1AC9" w:rsidR="000F348B" w:rsidRPr="004F0F64" w:rsidRDefault="000F348B" w:rsidP="004F0F64">
      <w:pPr>
        <w:spacing w:line="360" w:lineRule="auto"/>
        <w:rPr>
          <w:rFonts w:ascii="Arial" w:hAnsi="Arial" w:cs="Arial"/>
          <w:sz w:val="22"/>
          <w:szCs w:val="22"/>
        </w:rPr>
      </w:pPr>
    </w:p>
    <w:p w14:paraId="488A36B4" w14:textId="77777777" w:rsidR="006533B9" w:rsidRPr="004F0F64" w:rsidRDefault="006533B9" w:rsidP="004F0F64">
      <w:pPr>
        <w:spacing w:line="360" w:lineRule="auto"/>
        <w:rPr>
          <w:rFonts w:ascii="Arial" w:hAnsi="Arial" w:cs="Arial"/>
          <w:sz w:val="22"/>
          <w:szCs w:val="22"/>
        </w:rPr>
      </w:pPr>
    </w:p>
    <w:p w14:paraId="59080424" w14:textId="40C4AE34" w:rsidR="0031351D" w:rsidRPr="004F0F64" w:rsidRDefault="0031351D" w:rsidP="00B209A8">
      <w:pPr>
        <w:pStyle w:val="Caption"/>
        <w:rPr>
          <w:rFonts w:ascii="Arial" w:hAnsi="Arial" w:cs="Arial"/>
          <w:sz w:val="22"/>
          <w:szCs w:val="22"/>
        </w:rPr>
      </w:pPr>
      <w:bookmarkStart w:id="14" w:name="_Toc164857419"/>
      <w:r w:rsidRPr="004F0F64">
        <w:rPr>
          <w:rFonts w:ascii="Arial" w:hAnsi="Arial" w:cs="Arial"/>
          <w:sz w:val="22"/>
          <w:szCs w:val="22"/>
        </w:rPr>
        <w:t xml:space="preserve">Asset Turnover = </w:t>
      </w:r>
      <w:r w:rsidR="00E1392E" w:rsidRPr="004F0F64">
        <w:rPr>
          <w:rFonts w:ascii="Arial" w:hAnsi="Arial" w:cs="Arial"/>
          <w:sz w:val="22"/>
          <w:szCs w:val="22"/>
        </w:rPr>
        <w:t xml:space="preserve">Net Sales / </w:t>
      </w:r>
      <w:r w:rsidR="00144CDC" w:rsidRPr="004F0F64">
        <w:rPr>
          <w:rFonts w:ascii="Arial" w:hAnsi="Arial" w:cs="Arial"/>
          <w:sz w:val="22"/>
          <w:szCs w:val="22"/>
        </w:rPr>
        <w:t>Average Assets</w:t>
      </w:r>
      <w:r w:rsidR="00007936">
        <w:rPr>
          <w:rFonts w:ascii="Arial" w:hAnsi="Arial" w:cs="Arial"/>
          <w:sz w:val="22"/>
          <w:szCs w:val="22"/>
        </w:rPr>
        <w:t xml:space="preserve"> </w:t>
      </w:r>
      <w:r w:rsidR="00007936" w:rsidRPr="0086204E">
        <w:rPr>
          <w:rFonts w:ascii="Arial" w:hAnsi="Arial" w:cs="Arial"/>
          <w:sz w:val="22"/>
          <w:szCs w:val="22"/>
        </w:rPr>
        <w:t xml:space="preserve">(Patel, </w:t>
      </w:r>
      <w:proofErr w:type="gramStart"/>
      <w:r w:rsidR="00007936" w:rsidRPr="0086204E">
        <w:rPr>
          <w:rFonts w:ascii="Arial" w:hAnsi="Arial" w:cs="Arial"/>
          <w:sz w:val="22"/>
          <w:szCs w:val="22"/>
        </w:rPr>
        <w:t>n.d.)</w:t>
      </w:r>
      <w:r w:rsidR="00B209A8">
        <w:t>Table</w:t>
      </w:r>
      <w:proofErr w:type="gramEnd"/>
      <w:r w:rsidR="00B209A8">
        <w:t xml:space="preserve"> </w:t>
      </w:r>
      <w:r w:rsidR="00B209A8">
        <w:fldChar w:fldCharType="begin"/>
      </w:r>
      <w:r w:rsidR="00B209A8">
        <w:instrText xml:space="preserve"> SEQ Table \* ARABIC </w:instrText>
      </w:r>
      <w:r w:rsidR="00B209A8">
        <w:fldChar w:fldCharType="separate"/>
      </w:r>
      <w:r w:rsidR="00460444">
        <w:rPr>
          <w:noProof/>
        </w:rPr>
        <w:t>5</w:t>
      </w:r>
      <w:bookmarkEnd w:id="14"/>
      <w:r w:rsidR="00B209A8">
        <w:fldChar w:fldCharType="end"/>
      </w:r>
    </w:p>
    <w:p w14:paraId="41E23861" w14:textId="77777777" w:rsidR="00144CDC" w:rsidRPr="004F0F64" w:rsidRDefault="00144CDC" w:rsidP="004F0F64">
      <w:pPr>
        <w:spacing w:line="360" w:lineRule="auto"/>
        <w:rPr>
          <w:rFonts w:ascii="Arial" w:hAnsi="Arial" w:cs="Arial"/>
          <w:sz w:val="22"/>
          <w:szCs w:val="22"/>
        </w:rPr>
      </w:pPr>
    </w:p>
    <w:p w14:paraId="14FA8032" w14:textId="57245240" w:rsidR="00905F4C" w:rsidRDefault="00144CDC" w:rsidP="004F0F64">
      <w:pPr>
        <w:spacing w:line="360" w:lineRule="auto"/>
        <w:rPr>
          <w:rFonts w:ascii="Arial" w:hAnsi="Arial" w:cs="Arial"/>
          <w:sz w:val="22"/>
          <w:szCs w:val="22"/>
        </w:rPr>
      </w:pPr>
      <w:r w:rsidRPr="004F0F64">
        <w:rPr>
          <w:rFonts w:ascii="Arial" w:hAnsi="Arial" w:cs="Arial"/>
          <w:sz w:val="22"/>
          <w:szCs w:val="22"/>
        </w:rPr>
        <w:t xml:space="preserve">For Apple the </w:t>
      </w:r>
      <w:r w:rsidR="007E06DD" w:rsidRPr="004F0F64">
        <w:rPr>
          <w:rFonts w:ascii="Arial" w:hAnsi="Arial" w:cs="Arial"/>
          <w:sz w:val="22"/>
          <w:szCs w:val="22"/>
        </w:rPr>
        <w:t>Efficiency</w:t>
      </w:r>
      <w:r w:rsidRPr="004F0F64">
        <w:rPr>
          <w:rFonts w:ascii="Arial" w:hAnsi="Arial" w:cs="Arial"/>
          <w:sz w:val="22"/>
          <w:szCs w:val="22"/>
        </w:rPr>
        <w:t xml:space="preserve"> Ratio has been calculated by </w:t>
      </w:r>
      <w:r w:rsidR="007E06DD" w:rsidRPr="004F0F64">
        <w:rPr>
          <w:rFonts w:ascii="Arial" w:hAnsi="Arial" w:cs="Arial"/>
          <w:sz w:val="22"/>
          <w:szCs w:val="22"/>
        </w:rPr>
        <w:t>dividing</w:t>
      </w:r>
      <w:r w:rsidRPr="004F0F64">
        <w:rPr>
          <w:rFonts w:ascii="Arial" w:hAnsi="Arial" w:cs="Arial"/>
          <w:sz w:val="22"/>
          <w:szCs w:val="22"/>
        </w:rPr>
        <w:t xml:space="preserve"> total sales for 2023 </w:t>
      </w:r>
      <w:r w:rsidR="0093201D" w:rsidRPr="004F0F64">
        <w:rPr>
          <w:rFonts w:ascii="Arial" w:hAnsi="Arial" w:cs="Arial"/>
          <w:sz w:val="22"/>
          <w:szCs w:val="22"/>
        </w:rPr>
        <w:t>which is $383,285 million</w:t>
      </w:r>
      <w:r w:rsidR="00007936">
        <w:rPr>
          <w:rFonts w:ascii="Arial" w:hAnsi="Arial" w:cs="Arial"/>
          <w:sz w:val="22"/>
          <w:szCs w:val="22"/>
        </w:rPr>
        <w:t xml:space="preserve"> </w:t>
      </w:r>
      <w:r w:rsidR="00007936" w:rsidRPr="004F0F64">
        <w:rPr>
          <w:rFonts w:ascii="Arial" w:hAnsi="Arial" w:cs="Arial"/>
          <w:sz w:val="22"/>
          <w:szCs w:val="22"/>
        </w:rPr>
        <w:t>(Apple, 2024)</w:t>
      </w:r>
      <w:r w:rsidR="0093201D" w:rsidRPr="004F0F64">
        <w:rPr>
          <w:rFonts w:ascii="Arial" w:hAnsi="Arial" w:cs="Arial"/>
          <w:sz w:val="22"/>
          <w:szCs w:val="22"/>
        </w:rPr>
        <w:t xml:space="preserve"> by </w:t>
      </w:r>
      <w:r w:rsidR="007E06DD" w:rsidRPr="004F0F64">
        <w:rPr>
          <w:rFonts w:ascii="Arial" w:hAnsi="Arial" w:cs="Arial"/>
          <w:sz w:val="22"/>
          <w:szCs w:val="22"/>
        </w:rPr>
        <w:t>average assets which is $352,</w:t>
      </w:r>
      <w:r w:rsidR="00F54FAC" w:rsidRPr="004F0F64">
        <w:rPr>
          <w:rFonts w:ascii="Arial" w:hAnsi="Arial" w:cs="Arial"/>
          <w:sz w:val="22"/>
          <w:szCs w:val="22"/>
        </w:rPr>
        <w:t xml:space="preserve">583 </w:t>
      </w:r>
      <w:r w:rsidR="00007936" w:rsidRPr="004F0F64">
        <w:rPr>
          <w:rFonts w:ascii="Arial" w:hAnsi="Arial" w:cs="Arial"/>
          <w:sz w:val="22"/>
          <w:szCs w:val="22"/>
        </w:rPr>
        <w:t>(Apple, 2024)</w:t>
      </w:r>
      <w:r w:rsidR="00007936">
        <w:rPr>
          <w:rFonts w:ascii="Arial" w:hAnsi="Arial" w:cs="Arial"/>
          <w:sz w:val="22"/>
          <w:szCs w:val="22"/>
        </w:rPr>
        <w:t xml:space="preserve"> </w:t>
      </w:r>
      <w:r w:rsidR="00F54FAC" w:rsidRPr="004F0F64">
        <w:rPr>
          <w:rFonts w:ascii="Arial" w:hAnsi="Arial" w:cs="Arial"/>
          <w:sz w:val="22"/>
          <w:szCs w:val="22"/>
        </w:rPr>
        <w:t xml:space="preserve">and the results for this is </w:t>
      </w:r>
      <w:r w:rsidR="00054B81" w:rsidRPr="004F0F64">
        <w:rPr>
          <w:rFonts w:ascii="Arial" w:hAnsi="Arial" w:cs="Arial"/>
          <w:sz w:val="22"/>
          <w:szCs w:val="22"/>
        </w:rPr>
        <w:t>0.91</w:t>
      </w:r>
      <w:r w:rsidR="005A0BEB" w:rsidRPr="004F0F64">
        <w:rPr>
          <w:rFonts w:ascii="Arial" w:hAnsi="Arial" w:cs="Arial"/>
          <w:sz w:val="22"/>
          <w:szCs w:val="22"/>
        </w:rPr>
        <w:t>.</w:t>
      </w:r>
    </w:p>
    <w:p w14:paraId="44E1D6FD" w14:textId="1B5DC128" w:rsidR="00007936" w:rsidRDefault="00007936" w:rsidP="004F0F64">
      <w:pPr>
        <w:spacing w:line="360" w:lineRule="auto"/>
        <w:rPr>
          <w:rFonts w:ascii="Arial" w:hAnsi="Arial" w:cs="Arial"/>
          <w:sz w:val="22"/>
          <w:szCs w:val="22"/>
        </w:rPr>
      </w:pPr>
      <w:r w:rsidRPr="00007936">
        <w:rPr>
          <w:rFonts w:ascii="Arial" w:hAnsi="Arial" w:cs="Arial"/>
          <w:sz w:val="22"/>
          <w:szCs w:val="22"/>
        </w:rPr>
        <w:drawing>
          <wp:inline distT="0" distB="0" distL="0" distR="0" wp14:anchorId="76C7DCCA" wp14:editId="529BC918">
            <wp:extent cx="5731510" cy="956945"/>
            <wp:effectExtent l="0" t="0" r="0" b="0"/>
            <wp:docPr id="2015147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147861" name=""/>
                    <pic:cNvPicPr/>
                  </pic:nvPicPr>
                  <pic:blipFill>
                    <a:blip r:embed="rId12"/>
                    <a:stretch>
                      <a:fillRect/>
                    </a:stretch>
                  </pic:blipFill>
                  <pic:spPr>
                    <a:xfrm>
                      <a:off x="0" y="0"/>
                      <a:ext cx="5731510" cy="956945"/>
                    </a:xfrm>
                    <a:prstGeom prst="rect">
                      <a:avLst/>
                    </a:prstGeom>
                  </pic:spPr>
                </pic:pic>
              </a:graphicData>
            </a:graphic>
          </wp:inline>
        </w:drawing>
      </w:r>
    </w:p>
    <w:p w14:paraId="393B1264" w14:textId="794A42F3" w:rsidR="00007936" w:rsidRPr="004F0F64" w:rsidRDefault="00007936" w:rsidP="004F0F64">
      <w:pPr>
        <w:spacing w:line="360" w:lineRule="auto"/>
        <w:rPr>
          <w:rFonts w:ascii="Arial" w:hAnsi="Arial" w:cs="Arial"/>
          <w:sz w:val="22"/>
          <w:szCs w:val="22"/>
        </w:rPr>
      </w:pPr>
      <w:r>
        <w:rPr>
          <w:rFonts w:ascii="Arial" w:hAnsi="Arial" w:cs="Arial"/>
          <w:sz w:val="22"/>
          <w:szCs w:val="22"/>
        </w:rPr>
        <w:t>Source: Author.</w:t>
      </w:r>
    </w:p>
    <w:p w14:paraId="61EAA955" w14:textId="77777777" w:rsidR="00EC7265" w:rsidRPr="004F0F64" w:rsidRDefault="00EC7265" w:rsidP="004F0F64">
      <w:pPr>
        <w:spacing w:line="360" w:lineRule="auto"/>
        <w:rPr>
          <w:rFonts w:ascii="Arial" w:hAnsi="Arial" w:cs="Arial"/>
          <w:sz w:val="22"/>
          <w:szCs w:val="22"/>
        </w:rPr>
      </w:pPr>
    </w:p>
    <w:p w14:paraId="77065026" w14:textId="22A6EC41" w:rsidR="00EC7265" w:rsidRPr="004F0F64" w:rsidRDefault="00EC7265" w:rsidP="004F0F64">
      <w:pPr>
        <w:spacing w:line="360" w:lineRule="auto"/>
        <w:rPr>
          <w:rFonts w:ascii="Arial" w:hAnsi="Arial" w:cs="Arial"/>
          <w:sz w:val="22"/>
          <w:szCs w:val="22"/>
        </w:rPr>
      </w:pPr>
      <w:r w:rsidRPr="004F0F64">
        <w:rPr>
          <w:rFonts w:ascii="Arial" w:hAnsi="Arial" w:cs="Arial"/>
          <w:sz w:val="22"/>
          <w:szCs w:val="22"/>
        </w:rPr>
        <w:t>Apple's efficiency ratio in 2023 is 0.91, which demonstrates the company's adeptness in effectively utilising its assets to create income. Apple's overall sales amount to $383,285 million, while its average assets stood at $352,583 million, indicating a strong ability to generate sales in relation to its asset holdings</w:t>
      </w:r>
      <w:r w:rsidRPr="004F0F64">
        <w:rPr>
          <w:rFonts w:ascii="Arial" w:hAnsi="Arial" w:cs="Arial"/>
          <w:sz w:val="22"/>
          <w:szCs w:val="22"/>
        </w:rPr>
        <w:t xml:space="preserve"> </w:t>
      </w:r>
      <w:r w:rsidRPr="004F0F64">
        <w:rPr>
          <w:rFonts w:ascii="Arial" w:hAnsi="Arial" w:cs="Arial"/>
          <w:sz w:val="22"/>
          <w:szCs w:val="22"/>
        </w:rPr>
        <w:t>(Apple, 2024). This ratio emphasises Apple's efficient resource allocation and showcases its skill in utilising assets to drive company success.</w:t>
      </w:r>
    </w:p>
    <w:p w14:paraId="0ECC270D" w14:textId="7066CF7A" w:rsidR="00B04E89" w:rsidRPr="004F0F64" w:rsidRDefault="00B04E89" w:rsidP="004F0F64">
      <w:pPr>
        <w:spacing w:line="360" w:lineRule="auto"/>
        <w:rPr>
          <w:rFonts w:ascii="Arial" w:hAnsi="Arial" w:cs="Arial"/>
          <w:sz w:val="22"/>
          <w:szCs w:val="22"/>
        </w:rPr>
      </w:pPr>
    </w:p>
    <w:p w14:paraId="3CBB6FE3" w14:textId="1BBEA597" w:rsidR="00036F27" w:rsidRDefault="00265D80" w:rsidP="004F0F64">
      <w:pPr>
        <w:spacing w:line="360" w:lineRule="auto"/>
        <w:rPr>
          <w:rFonts w:ascii="Arial" w:hAnsi="Arial" w:cs="Arial"/>
          <w:sz w:val="22"/>
          <w:szCs w:val="22"/>
        </w:rPr>
      </w:pPr>
      <w:r w:rsidRPr="004F0F64">
        <w:rPr>
          <w:rFonts w:ascii="Arial" w:hAnsi="Arial" w:cs="Arial"/>
          <w:sz w:val="22"/>
          <w:szCs w:val="22"/>
        </w:rPr>
        <w:t>Microsoft's efficiency ratio for the financial year 2023 is 0.51, calculated by dividing the net sales of $211,915 by the average assets of $411,966</w:t>
      </w:r>
      <w:r w:rsidR="00A97F5F" w:rsidRPr="004F0F64">
        <w:rPr>
          <w:rFonts w:ascii="Arial" w:hAnsi="Arial" w:cs="Arial"/>
          <w:sz w:val="22"/>
          <w:szCs w:val="22"/>
        </w:rPr>
        <w:t xml:space="preserve"> </w:t>
      </w:r>
      <w:r w:rsidR="00040FD8" w:rsidRPr="004F0F64">
        <w:rPr>
          <w:rFonts w:ascii="Arial" w:hAnsi="Arial" w:cs="Arial"/>
          <w:sz w:val="22"/>
          <w:szCs w:val="22"/>
        </w:rPr>
        <w:t>(</w:t>
      </w:r>
      <w:r w:rsidR="00A97F5F" w:rsidRPr="00A64D9D">
        <w:rPr>
          <w:rFonts w:ascii="Arial" w:hAnsi="Arial" w:cs="Arial"/>
          <w:sz w:val="22"/>
          <w:szCs w:val="22"/>
        </w:rPr>
        <w:t>Microsoft</w:t>
      </w:r>
      <w:r w:rsidR="00040FD8" w:rsidRPr="004F0F64">
        <w:rPr>
          <w:rFonts w:ascii="Arial" w:hAnsi="Arial" w:cs="Arial"/>
          <w:sz w:val="22"/>
          <w:szCs w:val="22"/>
        </w:rPr>
        <w:t>,</w:t>
      </w:r>
      <w:r w:rsidR="00ED64AE" w:rsidRPr="004F0F64">
        <w:rPr>
          <w:rFonts w:ascii="Arial" w:hAnsi="Arial" w:cs="Arial"/>
          <w:sz w:val="22"/>
          <w:szCs w:val="22"/>
        </w:rPr>
        <w:t xml:space="preserve"> </w:t>
      </w:r>
      <w:r w:rsidR="00A97F5F" w:rsidRPr="00A64D9D">
        <w:rPr>
          <w:rFonts w:ascii="Arial" w:hAnsi="Arial" w:cs="Arial"/>
          <w:sz w:val="22"/>
          <w:szCs w:val="22"/>
        </w:rPr>
        <w:t>n.d.)</w:t>
      </w:r>
      <w:r w:rsidRPr="004F0F64">
        <w:rPr>
          <w:rFonts w:ascii="Arial" w:hAnsi="Arial" w:cs="Arial"/>
          <w:sz w:val="22"/>
          <w:szCs w:val="22"/>
        </w:rPr>
        <w:t xml:space="preserve">. Microsoft's net sales to assets ratio is roughly $0.51, indicating its capacity to produce revenue from its </w:t>
      </w:r>
      <w:r w:rsidRPr="004F0F64">
        <w:rPr>
          <w:rFonts w:ascii="Arial" w:hAnsi="Arial" w:cs="Arial"/>
          <w:sz w:val="22"/>
          <w:szCs w:val="22"/>
        </w:rPr>
        <w:lastRenderedPageBreak/>
        <w:t>investments. Although Microsoft's ratio is smaller than Apple's</w:t>
      </w:r>
      <w:r w:rsidR="00D3641A" w:rsidRPr="004F0F64">
        <w:rPr>
          <w:rFonts w:ascii="Arial" w:hAnsi="Arial" w:cs="Arial"/>
          <w:sz w:val="22"/>
          <w:szCs w:val="22"/>
        </w:rPr>
        <w:t xml:space="preserve"> </w:t>
      </w:r>
      <w:r w:rsidRPr="004F0F64">
        <w:rPr>
          <w:rFonts w:ascii="Arial" w:hAnsi="Arial" w:cs="Arial"/>
          <w:sz w:val="22"/>
          <w:szCs w:val="22"/>
        </w:rPr>
        <w:t>it nevertheless demonstrates Microsoft's effective use of resources to generate income. Although Microsoft's efficiency percentage may be lower, the company demonstrates skill in utilising its asset base to create sales</w:t>
      </w:r>
      <w:r w:rsidR="00007936">
        <w:rPr>
          <w:rFonts w:ascii="Arial" w:hAnsi="Arial" w:cs="Arial"/>
          <w:sz w:val="22"/>
          <w:szCs w:val="22"/>
        </w:rPr>
        <w:t xml:space="preserve">. </w:t>
      </w:r>
      <w:r w:rsidRPr="004F0F64">
        <w:rPr>
          <w:rFonts w:ascii="Arial" w:hAnsi="Arial" w:cs="Arial"/>
          <w:sz w:val="22"/>
          <w:szCs w:val="22"/>
        </w:rPr>
        <w:t>This highlights a strategic approach to resource management that establishes a strong foundation for its corporate performance. The efficiency ratio highlights Microsoft's dedication to optimising returns on its asset investments, guaranteeing long-term growth and profitability in the competitive technology market.</w:t>
      </w:r>
    </w:p>
    <w:p w14:paraId="57AB12D1" w14:textId="77777777" w:rsidR="003F15B1" w:rsidRDefault="003F15B1" w:rsidP="004F0F64">
      <w:pPr>
        <w:spacing w:line="360" w:lineRule="auto"/>
        <w:rPr>
          <w:rFonts w:ascii="Arial" w:hAnsi="Arial" w:cs="Arial"/>
          <w:sz w:val="22"/>
          <w:szCs w:val="22"/>
        </w:rPr>
      </w:pPr>
    </w:p>
    <w:p w14:paraId="2EAB1408" w14:textId="7CAA0892" w:rsidR="001E294F" w:rsidRDefault="001E294F" w:rsidP="00150C06">
      <w:pPr>
        <w:pStyle w:val="Heading2"/>
      </w:pPr>
      <w:bookmarkStart w:id="15" w:name="_Toc164857840"/>
      <w:r>
        <w:t>Recommendations:</w:t>
      </w:r>
      <w:bookmarkEnd w:id="15"/>
    </w:p>
    <w:p w14:paraId="641B997D" w14:textId="77777777" w:rsidR="001E294F" w:rsidRPr="001E294F" w:rsidRDefault="001E294F" w:rsidP="001E294F">
      <w:pPr>
        <w:spacing w:line="360" w:lineRule="auto"/>
        <w:rPr>
          <w:rFonts w:ascii="Arial" w:eastAsia="Times New Roman" w:hAnsi="Arial" w:cs="Arial"/>
          <w:kern w:val="0"/>
          <w:sz w:val="22"/>
          <w:szCs w:val="22"/>
          <w:lang w:eastAsia="en-GB"/>
          <w14:ligatures w14:val="none"/>
        </w:rPr>
      </w:pPr>
      <w:r w:rsidRPr="001E294F">
        <w:rPr>
          <w:rFonts w:ascii="Arial" w:eastAsia="Times New Roman" w:hAnsi="Arial" w:cs="Arial"/>
          <w:color w:val="000000"/>
          <w:kern w:val="0"/>
          <w:sz w:val="22"/>
          <w:szCs w:val="22"/>
          <w:lang w:eastAsia="en-GB"/>
          <w14:ligatures w14:val="none"/>
        </w:rPr>
        <w:t>In order to improve financial management, specifically in relation to profitability ratios like Return on Assets (ROA), liquidity ratios such as the Current Ratio, and gearing ratios like Debt-to-Equity, it is advisable to examine the following recommendations based on the presented analysis:</w:t>
      </w:r>
      <w:r w:rsidRPr="001E294F">
        <w:rPr>
          <w:rFonts w:ascii="Arial" w:eastAsia="Times New Roman" w:hAnsi="Arial" w:cs="Arial"/>
          <w:color w:val="000000"/>
          <w:kern w:val="0"/>
          <w:sz w:val="22"/>
          <w:szCs w:val="22"/>
          <w:lang w:eastAsia="en-GB"/>
          <w14:ligatures w14:val="none"/>
        </w:rPr>
        <w:br/>
      </w:r>
      <w:r w:rsidRPr="001E294F">
        <w:rPr>
          <w:rFonts w:ascii="Arial" w:eastAsia="Times New Roman" w:hAnsi="Arial" w:cs="Arial"/>
          <w:color w:val="000000"/>
          <w:kern w:val="0"/>
          <w:sz w:val="22"/>
          <w:szCs w:val="22"/>
          <w:lang w:eastAsia="en-GB"/>
          <w14:ligatures w14:val="none"/>
        </w:rPr>
        <w:br/>
        <w:t>To improve the efficiency of their assets, Apple and Microsoft should prioritise enhancing their asset utilisation in order to create higher income, considering the significance of Return on Assets (ROA) as a measure of profitability. This may entail assessing asset allocation methods, enhancing operational efficiency, and finding underutilised assets to optimise returns (Patel, n.d.).</w:t>
      </w:r>
      <w:r w:rsidRPr="001E294F">
        <w:rPr>
          <w:rFonts w:ascii="Arial" w:eastAsia="Times New Roman" w:hAnsi="Arial" w:cs="Arial"/>
          <w:color w:val="000000"/>
          <w:kern w:val="0"/>
          <w:sz w:val="22"/>
          <w:szCs w:val="22"/>
          <w:lang w:eastAsia="en-GB"/>
          <w14:ligatures w14:val="none"/>
        </w:rPr>
        <w:br/>
        <w:t xml:space="preserve">Debt Level Management: It is crucial for both organisations to prudently manage their debt levels </w:t>
      </w:r>
      <w:proofErr w:type="gramStart"/>
      <w:r w:rsidRPr="001E294F">
        <w:rPr>
          <w:rFonts w:ascii="Arial" w:eastAsia="Times New Roman" w:hAnsi="Arial" w:cs="Arial"/>
          <w:color w:val="000000"/>
          <w:kern w:val="0"/>
          <w:sz w:val="22"/>
          <w:szCs w:val="22"/>
          <w:lang w:eastAsia="en-GB"/>
          <w14:ligatures w14:val="none"/>
        </w:rPr>
        <w:t>in order to</w:t>
      </w:r>
      <w:proofErr w:type="gramEnd"/>
      <w:r w:rsidRPr="001E294F">
        <w:rPr>
          <w:rFonts w:ascii="Arial" w:eastAsia="Times New Roman" w:hAnsi="Arial" w:cs="Arial"/>
          <w:color w:val="000000"/>
          <w:kern w:val="0"/>
          <w:sz w:val="22"/>
          <w:szCs w:val="22"/>
          <w:lang w:eastAsia="en-GB"/>
          <w14:ligatures w14:val="none"/>
        </w:rPr>
        <w:t xml:space="preserve"> preserve a sound equilibrium between debt and equity. Although debt can be advantageous for funding expansion, an excessive amount of debt can elevate financial vulnerability, as seen by Apple's elevated debt-to-equity ratio. To limit this risk, it is advisable to implement debt reduction methods, negotiate terms with creditors, or explore alternate funding sources (Team, 2023).</w:t>
      </w:r>
      <w:r w:rsidRPr="001E294F">
        <w:rPr>
          <w:rFonts w:ascii="Arial" w:eastAsia="Times New Roman" w:hAnsi="Arial" w:cs="Arial"/>
          <w:color w:val="000000"/>
          <w:kern w:val="0"/>
          <w:sz w:val="22"/>
          <w:szCs w:val="22"/>
          <w:lang w:eastAsia="en-GB"/>
          <w14:ligatures w14:val="none"/>
        </w:rPr>
        <w:br/>
        <w:t xml:space="preserve">Enhancing the liquidity position is crucial for ensuring short-term financial stability via improving liquidity ratios, such as the Current Ratio. Apple, whose current ratio is less than 1.0, should prioritise raising its current assets or decreasing its short-term liabilities </w:t>
      </w:r>
      <w:proofErr w:type="gramStart"/>
      <w:r w:rsidRPr="001E294F">
        <w:rPr>
          <w:rFonts w:ascii="Arial" w:eastAsia="Times New Roman" w:hAnsi="Arial" w:cs="Arial"/>
          <w:color w:val="000000"/>
          <w:kern w:val="0"/>
          <w:sz w:val="22"/>
          <w:szCs w:val="22"/>
          <w:lang w:eastAsia="en-GB"/>
          <w14:ligatures w14:val="none"/>
        </w:rPr>
        <w:t>in order to</w:t>
      </w:r>
      <w:proofErr w:type="gramEnd"/>
      <w:r w:rsidRPr="001E294F">
        <w:rPr>
          <w:rFonts w:ascii="Arial" w:eastAsia="Times New Roman" w:hAnsi="Arial" w:cs="Arial"/>
          <w:color w:val="000000"/>
          <w:kern w:val="0"/>
          <w:sz w:val="22"/>
          <w:szCs w:val="22"/>
          <w:lang w:eastAsia="en-GB"/>
          <w14:ligatures w14:val="none"/>
        </w:rPr>
        <w:t xml:space="preserve"> strengthen its liquidity position and prevent potential cash flow limitations (Tracy, A., 2012).</w:t>
      </w:r>
      <w:r w:rsidRPr="001E294F">
        <w:rPr>
          <w:rFonts w:ascii="Arial" w:eastAsia="Times New Roman" w:hAnsi="Arial" w:cs="Arial"/>
          <w:color w:val="000000"/>
          <w:kern w:val="0"/>
          <w:sz w:val="22"/>
          <w:szCs w:val="22"/>
          <w:lang w:eastAsia="en-GB"/>
          <w14:ligatures w14:val="none"/>
        </w:rPr>
        <w:br/>
        <w:t>To optimise asset turnover, both organisations should strive to enhance their asset turnover ratios by augmenting sales in proportion to their asset base. This may entail the consolidation of operations, the optimisation of inventory control, and the allocation of resources towards technologies or procedures that improve productivity and efficiency (Patel, n.d.).</w:t>
      </w:r>
      <w:r w:rsidRPr="001E294F">
        <w:rPr>
          <w:rFonts w:ascii="Arial" w:eastAsia="Times New Roman" w:hAnsi="Arial" w:cs="Arial"/>
          <w:color w:val="000000"/>
          <w:kern w:val="0"/>
          <w:sz w:val="22"/>
          <w:szCs w:val="22"/>
          <w:lang w:eastAsia="en-GB"/>
          <w14:ligatures w14:val="none"/>
        </w:rPr>
        <w:br/>
        <w:t xml:space="preserve">Strategic Financial Planning: It is crucial to have strong financial planning procedures that </w:t>
      </w:r>
      <w:r w:rsidRPr="001E294F">
        <w:rPr>
          <w:rFonts w:ascii="Arial" w:eastAsia="Times New Roman" w:hAnsi="Arial" w:cs="Arial"/>
          <w:color w:val="000000"/>
          <w:kern w:val="0"/>
          <w:sz w:val="22"/>
          <w:szCs w:val="22"/>
          <w:lang w:eastAsia="en-GB"/>
          <w14:ligatures w14:val="none"/>
        </w:rPr>
        <w:lastRenderedPageBreak/>
        <w:t>are customised to the specific requirements and objectives of each organisation. This entails establishing attainable financial objectives, consistently tracking crucial financial indicators, and adjusting strategies as market circumstances change (</w:t>
      </w:r>
      <w:proofErr w:type="spellStart"/>
      <w:r w:rsidRPr="001E294F">
        <w:rPr>
          <w:rFonts w:ascii="Arial" w:eastAsia="Times New Roman" w:hAnsi="Arial" w:cs="Arial"/>
          <w:color w:val="000000"/>
          <w:kern w:val="0"/>
          <w:sz w:val="22"/>
          <w:szCs w:val="22"/>
          <w:lang w:eastAsia="en-GB"/>
          <w14:ligatures w14:val="none"/>
        </w:rPr>
        <w:t>IntroBooks</w:t>
      </w:r>
      <w:proofErr w:type="spellEnd"/>
      <w:r w:rsidRPr="001E294F">
        <w:rPr>
          <w:rFonts w:ascii="Arial" w:eastAsia="Times New Roman" w:hAnsi="Arial" w:cs="Arial"/>
          <w:color w:val="000000"/>
          <w:kern w:val="0"/>
          <w:sz w:val="22"/>
          <w:szCs w:val="22"/>
          <w:lang w:eastAsia="en-GB"/>
          <w14:ligatures w14:val="none"/>
        </w:rPr>
        <w:t>, 2019). Expanding revenue streams: Examining possibilities to broaden revenue streams beyond primary products or services can decrease reliance on specific markets or customer segments. This may entail entering new markets, introducing cutting-edge products or services, or utilising current resources in novel ways (</w:t>
      </w:r>
      <w:proofErr w:type="spellStart"/>
      <w:r w:rsidRPr="001E294F">
        <w:rPr>
          <w:rFonts w:ascii="Arial" w:eastAsia="Times New Roman" w:hAnsi="Arial" w:cs="Arial"/>
          <w:color w:val="000000"/>
          <w:kern w:val="0"/>
          <w:sz w:val="22"/>
          <w:szCs w:val="22"/>
          <w:lang w:eastAsia="en-GB"/>
          <w14:ligatures w14:val="none"/>
        </w:rPr>
        <w:t>IntroBooks</w:t>
      </w:r>
      <w:proofErr w:type="spellEnd"/>
      <w:r w:rsidRPr="001E294F">
        <w:rPr>
          <w:rFonts w:ascii="Arial" w:eastAsia="Times New Roman" w:hAnsi="Arial" w:cs="Arial"/>
          <w:color w:val="000000"/>
          <w:kern w:val="0"/>
          <w:sz w:val="22"/>
          <w:szCs w:val="22"/>
          <w:lang w:eastAsia="en-GB"/>
          <w14:ligatures w14:val="none"/>
        </w:rPr>
        <w:t>, 2019).</w:t>
      </w:r>
      <w:r w:rsidRPr="001E294F">
        <w:rPr>
          <w:rFonts w:ascii="Arial" w:eastAsia="Times New Roman" w:hAnsi="Arial" w:cs="Arial"/>
          <w:color w:val="000000"/>
          <w:kern w:val="0"/>
          <w:sz w:val="22"/>
          <w:szCs w:val="22"/>
          <w:lang w:eastAsia="en-GB"/>
          <w14:ligatures w14:val="none"/>
        </w:rPr>
        <w:br/>
        <w:t>Allocate resources to Research and Development: Allocating resources to research and development (R&amp;D) efforts can stimulate innovation, improve product distinctiveness, and sustain competitiveness in fast-changing industries. Investing money in research and development (R&amp;D) endeavours that are in line with long-term strategic goals can result in substantial benefits in the future (</w:t>
      </w:r>
      <w:proofErr w:type="spellStart"/>
      <w:r w:rsidRPr="001E294F">
        <w:rPr>
          <w:rFonts w:ascii="Arial" w:eastAsia="Times New Roman" w:hAnsi="Arial" w:cs="Arial"/>
          <w:color w:val="000000"/>
          <w:kern w:val="0"/>
          <w:sz w:val="22"/>
          <w:szCs w:val="22"/>
          <w:lang w:eastAsia="en-GB"/>
          <w14:ligatures w14:val="none"/>
        </w:rPr>
        <w:t>IntroBooks</w:t>
      </w:r>
      <w:proofErr w:type="spellEnd"/>
      <w:r w:rsidRPr="001E294F">
        <w:rPr>
          <w:rFonts w:ascii="Arial" w:eastAsia="Times New Roman" w:hAnsi="Arial" w:cs="Arial"/>
          <w:color w:val="000000"/>
          <w:kern w:val="0"/>
          <w:sz w:val="22"/>
          <w:szCs w:val="22"/>
          <w:lang w:eastAsia="en-GB"/>
          <w14:ligatures w14:val="none"/>
        </w:rPr>
        <w:t>, 2019).</w:t>
      </w:r>
      <w:r w:rsidRPr="001E294F">
        <w:rPr>
          <w:rFonts w:ascii="Arial" w:eastAsia="Times New Roman" w:hAnsi="Arial" w:cs="Arial"/>
          <w:color w:val="000000"/>
          <w:kern w:val="0"/>
          <w:sz w:val="22"/>
          <w:szCs w:val="22"/>
          <w:lang w:eastAsia="en-GB"/>
          <w14:ligatures w14:val="none"/>
        </w:rPr>
        <w:br/>
        <w:t>By adopting these suggestions, Apple and Microsoft may fortify their financial management strategies, improve overall profitability, and provide a strong foundation for enduring long-term growth and success in the ever-changing global market.</w:t>
      </w:r>
    </w:p>
    <w:p w14:paraId="02C46167" w14:textId="77777777" w:rsidR="001E294F" w:rsidRPr="001E294F" w:rsidRDefault="001E294F" w:rsidP="004F0F64">
      <w:pPr>
        <w:spacing w:line="360" w:lineRule="auto"/>
        <w:rPr>
          <w:rFonts w:ascii="Arial" w:hAnsi="Arial" w:cs="Arial"/>
          <w:b/>
          <w:bCs/>
          <w:sz w:val="22"/>
          <w:szCs w:val="22"/>
        </w:rPr>
      </w:pPr>
    </w:p>
    <w:p w14:paraId="196963E9" w14:textId="77777777" w:rsidR="003F15B1" w:rsidRDefault="003F15B1" w:rsidP="004F0F64">
      <w:pPr>
        <w:spacing w:line="360" w:lineRule="auto"/>
        <w:rPr>
          <w:rFonts w:ascii="Arial" w:hAnsi="Arial" w:cs="Arial"/>
          <w:sz w:val="22"/>
          <w:szCs w:val="22"/>
        </w:rPr>
      </w:pPr>
    </w:p>
    <w:p w14:paraId="03C20B74" w14:textId="77777777" w:rsidR="00A36CD8" w:rsidRDefault="00A36CD8" w:rsidP="004F0F64">
      <w:pPr>
        <w:spacing w:line="360" w:lineRule="auto"/>
        <w:rPr>
          <w:rFonts w:ascii="Arial" w:hAnsi="Arial" w:cs="Arial"/>
          <w:sz w:val="22"/>
          <w:szCs w:val="22"/>
        </w:rPr>
      </w:pPr>
    </w:p>
    <w:p w14:paraId="6875DD33" w14:textId="77777777" w:rsidR="003F15B1" w:rsidRDefault="003F15B1" w:rsidP="004F0F64">
      <w:pPr>
        <w:spacing w:line="360" w:lineRule="auto"/>
        <w:rPr>
          <w:rFonts w:ascii="Arial" w:hAnsi="Arial" w:cs="Arial"/>
          <w:sz w:val="22"/>
          <w:szCs w:val="22"/>
        </w:rPr>
      </w:pPr>
    </w:p>
    <w:p w14:paraId="10419F03" w14:textId="77A914FA" w:rsidR="004C76EB" w:rsidRPr="00007936" w:rsidRDefault="004C76EB" w:rsidP="00150C06">
      <w:pPr>
        <w:pStyle w:val="Heading1"/>
      </w:pPr>
      <w:bookmarkStart w:id="16" w:name="_Toc164857841"/>
      <w:r w:rsidRPr="00007936">
        <w:t xml:space="preserve">Part C, </w:t>
      </w:r>
      <w:r w:rsidR="00887324" w:rsidRPr="00007936">
        <w:t>Calculations</w:t>
      </w:r>
      <w:bookmarkEnd w:id="16"/>
      <w:r w:rsidR="00887324" w:rsidRPr="00007936">
        <w:t xml:space="preserve"> </w:t>
      </w:r>
    </w:p>
    <w:p w14:paraId="0818E86C" w14:textId="77777777" w:rsidR="008E1404" w:rsidRDefault="008E1404" w:rsidP="004F0F64">
      <w:pPr>
        <w:spacing w:line="360" w:lineRule="auto"/>
        <w:rPr>
          <w:rFonts w:ascii="Arial" w:hAnsi="Arial" w:cs="Arial"/>
          <w:b/>
          <w:bCs/>
          <w:i/>
          <w:iCs/>
          <w:sz w:val="22"/>
          <w:szCs w:val="22"/>
        </w:rPr>
      </w:pPr>
    </w:p>
    <w:p w14:paraId="649EA65A" w14:textId="1E6C82B7" w:rsidR="00D24F79" w:rsidRDefault="00D81938" w:rsidP="00150C06">
      <w:pPr>
        <w:pStyle w:val="Heading2"/>
      </w:pPr>
      <w:bookmarkStart w:id="17" w:name="_Toc164857842"/>
      <w:r>
        <w:t>Payback Period (PBP)</w:t>
      </w:r>
      <w:bookmarkEnd w:id="17"/>
    </w:p>
    <w:p w14:paraId="202015E8" w14:textId="1A778939" w:rsidR="00A5318F" w:rsidRDefault="00A51346" w:rsidP="004F0F64">
      <w:pPr>
        <w:spacing w:line="360" w:lineRule="auto"/>
        <w:rPr>
          <w:rFonts w:ascii="Arial" w:hAnsi="Arial" w:cs="Arial"/>
          <w:sz w:val="22"/>
          <w:szCs w:val="22"/>
        </w:rPr>
      </w:pPr>
      <w:r w:rsidRPr="00A51346">
        <w:rPr>
          <w:rFonts w:ascii="Arial" w:hAnsi="Arial" w:cs="Arial"/>
          <w:sz w:val="22"/>
          <w:szCs w:val="22"/>
        </w:rPr>
        <w:t>The payback period, in the context of finance and investment research, is the duration required for an investment to recoup its initial cost by means of the cash flows it produces. It is a straightforward metric employed to assess the risk and reward of an investment</w:t>
      </w:r>
      <w:r w:rsidR="00B06349">
        <w:rPr>
          <w:rFonts w:ascii="Arial" w:hAnsi="Arial" w:cs="Arial"/>
          <w:sz w:val="22"/>
          <w:szCs w:val="22"/>
        </w:rPr>
        <w:t xml:space="preserve"> </w:t>
      </w:r>
      <w:r w:rsidR="00B06349" w:rsidRPr="00B06349">
        <w:rPr>
          <w:rFonts w:ascii="Arial" w:hAnsi="Arial" w:cs="Arial"/>
          <w:sz w:val="22"/>
          <w:szCs w:val="22"/>
        </w:rPr>
        <w:t>(Shim and Siegel, 2008)</w:t>
      </w:r>
      <w:r w:rsidR="00E045FF">
        <w:rPr>
          <w:rFonts w:ascii="Arial" w:hAnsi="Arial" w:cs="Arial"/>
          <w:sz w:val="22"/>
          <w:szCs w:val="22"/>
        </w:rPr>
        <w:t>.</w:t>
      </w:r>
    </w:p>
    <w:p w14:paraId="2ECF8127" w14:textId="55ABFA6E" w:rsidR="00B209A8" w:rsidRDefault="00B209A8" w:rsidP="00B209A8">
      <w:pPr>
        <w:pStyle w:val="Caption"/>
        <w:rPr>
          <w:rFonts w:ascii="Arial" w:hAnsi="Arial" w:cs="Arial"/>
          <w:sz w:val="22"/>
          <w:szCs w:val="22"/>
        </w:rPr>
      </w:pPr>
      <w:bookmarkStart w:id="18" w:name="_Toc164857420"/>
      <w:r>
        <w:rPr>
          <w:rFonts w:ascii="Arial" w:hAnsi="Arial" w:cs="Arial"/>
          <w:sz w:val="22"/>
          <w:szCs w:val="22"/>
        </w:rPr>
        <w:t xml:space="preserve">PBP= Years + Deficit / (Deficit + </w:t>
      </w:r>
      <w:proofErr w:type="gramStart"/>
      <w:r>
        <w:rPr>
          <w:rFonts w:ascii="Arial" w:hAnsi="Arial" w:cs="Arial"/>
          <w:sz w:val="22"/>
          <w:szCs w:val="22"/>
        </w:rPr>
        <w:t>Surplus)</w:t>
      </w:r>
      <w:r>
        <w:t>Table</w:t>
      </w:r>
      <w:proofErr w:type="gramEnd"/>
      <w:r>
        <w:t xml:space="preserve"> </w:t>
      </w:r>
      <w:r>
        <w:fldChar w:fldCharType="begin"/>
      </w:r>
      <w:r>
        <w:instrText xml:space="preserve"> SEQ Table \* ARABIC </w:instrText>
      </w:r>
      <w:r>
        <w:fldChar w:fldCharType="separate"/>
      </w:r>
      <w:r w:rsidR="00460444">
        <w:rPr>
          <w:noProof/>
        </w:rPr>
        <w:t>6</w:t>
      </w:r>
      <w:bookmarkEnd w:id="18"/>
      <w:r>
        <w:fldChar w:fldCharType="end"/>
      </w:r>
    </w:p>
    <w:p w14:paraId="5A6BD7CF" w14:textId="77777777" w:rsidR="00E045FF" w:rsidRPr="00A51346" w:rsidRDefault="00E045FF" w:rsidP="004F0F64">
      <w:pPr>
        <w:spacing w:line="360" w:lineRule="auto"/>
        <w:rPr>
          <w:rFonts w:ascii="Arial" w:hAnsi="Arial" w:cs="Arial"/>
          <w:sz w:val="22"/>
          <w:szCs w:val="22"/>
        </w:rPr>
      </w:pPr>
    </w:p>
    <w:p w14:paraId="7203BC26" w14:textId="1A1F62A9" w:rsidR="0071550E" w:rsidRPr="00FE77F1" w:rsidRDefault="00FE77F1" w:rsidP="004F0F64">
      <w:pPr>
        <w:spacing w:line="360" w:lineRule="auto"/>
        <w:rPr>
          <w:rFonts w:ascii="Arial" w:hAnsi="Arial" w:cs="Arial"/>
          <w:i/>
          <w:iCs/>
          <w:sz w:val="22"/>
          <w:szCs w:val="22"/>
        </w:rPr>
      </w:pPr>
      <w:r w:rsidRPr="00FE77F1">
        <w:rPr>
          <w:rFonts w:ascii="Arial" w:hAnsi="Arial" w:cs="Arial"/>
          <w:i/>
          <w:iCs/>
          <w:sz w:val="22"/>
          <w:szCs w:val="22"/>
        </w:rPr>
        <w:t>Project A</w:t>
      </w:r>
    </w:p>
    <w:p w14:paraId="6E3113A4" w14:textId="3AFD06D2" w:rsidR="00D81938" w:rsidRPr="00D81938" w:rsidRDefault="0071550E" w:rsidP="004F0F64">
      <w:pPr>
        <w:spacing w:line="360" w:lineRule="auto"/>
        <w:rPr>
          <w:rFonts w:ascii="Arial" w:hAnsi="Arial" w:cs="Arial"/>
          <w:b/>
          <w:bCs/>
          <w:sz w:val="22"/>
          <w:szCs w:val="22"/>
        </w:rPr>
      </w:pPr>
      <w:r w:rsidRPr="0071550E">
        <w:rPr>
          <w:rFonts w:ascii="Arial" w:hAnsi="Arial" w:cs="Arial"/>
          <w:b/>
          <w:bCs/>
          <w:sz w:val="22"/>
          <w:szCs w:val="22"/>
        </w:rPr>
        <w:drawing>
          <wp:inline distT="0" distB="0" distL="0" distR="0" wp14:anchorId="17FB830E" wp14:editId="26DF5E9E">
            <wp:extent cx="4381500" cy="1231900"/>
            <wp:effectExtent l="0" t="0" r="0" b="0"/>
            <wp:docPr id="1774188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88011" name=""/>
                    <pic:cNvPicPr/>
                  </pic:nvPicPr>
                  <pic:blipFill>
                    <a:blip r:embed="rId13"/>
                    <a:stretch>
                      <a:fillRect/>
                    </a:stretch>
                  </pic:blipFill>
                  <pic:spPr>
                    <a:xfrm>
                      <a:off x="0" y="0"/>
                      <a:ext cx="4381500" cy="1231900"/>
                    </a:xfrm>
                    <a:prstGeom prst="rect">
                      <a:avLst/>
                    </a:prstGeom>
                  </pic:spPr>
                </pic:pic>
              </a:graphicData>
            </a:graphic>
          </wp:inline>
        </w:drawing>
      </w:r>
    </w:p>
    <w:p w14:paraId="1C9F9265" w14:textId="52BEC309" w:rsidR="0049551B" w:rsidRDefault="00FE77F1" w:rsidP="004F0F64">
      <w:pPr>
        <w:spacing w:line="360" w:lineRule="auto"/>
        <w:rPr>
          <w:rFonts w:ascii="Arial" w:hAnsi="Arial" w:cs="Arial"/>
          <w:sz w:val="22"/>
          <w:szCs w:val="22"/>
        </w:rPr>
      </w:pPr>
      <w:r>
        <w:rPr>
          <w:rFonts w:ascii="Arial" w:hAnsi="Arial" w:cs="Arial"/>
          <w:sz w:val="22"/>
          <w:szCs w:val="22"/>
        </w:rPr>
        <w:lastRenderedPageBreak/>
        <w:t>Source: Author</w:t>
      </w:r>
    </w:p>
    <w:p w14:paraId="6070EA35" w14:textId="77777777" w:rsidR="00422077" w:rsidRDefault="00422077" w:rsidP="004F0F64">
      <w:pPr>
        <w:spacing w:line="360" w:lineRule="auto"/>
        <w:rPr>
          <w:rFonts w:ascii="Arial" w:hAnsi="Arial" w:cs="Arial"/>
          <w:sz w:val="22"/>
          <w:szCs w:val="22"/>
        </w:rPr>
      </w:pPr>
    </w:p>
    <w:p w14:paraId="32FEBEA4" w14:textId="5F4DAF2E" w:rsidR="00422077" w:rsidRDefault="00422077" w:rsidP="00422077">
      <w:pPr>
        <w:spacing w:line="360" w:lineRule="auto"/>
        <w:rPr>
          <w:rFonts w:ascii="Arial" w:hAnsi="Arial" w:cs="Arial"/>
          <w:sz w:val="22"/>
          <w:szCs w:val="22"/>
        </w:rPr>
      </w:pPr>
      <w:r>
        <w:rPr>
          <w:rFonts w:ascii="Arial" w:hAnsi="Arial" w:cs="Arial"/>
          <w:sz w:val="22"/>
          <w:szCs w:val="22"/>
        </w:rPr>
        <w:t>The Payback period is between year 2 and 3</w:t>
      </w:r>
      <w:r>
        <w:rPr>
          <w:rFonts w:ascii="Arial" w:hAnsi="Arial" w:cs="Arial"/>
          <w:sz w:val="22"/>
          <w:szCs w:val="22"/>
        </w:rPr>
        <w:t xml:space="preserve">, where the cumulative </w:t>
      </w:r>
      <w:r w:rsidR="002F406D">
        <w:rPr>
          <w:rFonts w:ascii="Arial" w:hAnsi="Arial" w:cs="Arial"/>
          <w:sz w:val="22"/>
          <w:szCs w:val="22"/>
        </w:rPr>
        <w:t>net cash flow changes from a deficit to a surplus</w:t>
      </w:r>
      <w:r w:rsidR="008343A9">
        <w:rPr>
          <w:rFonts w:ascii="Arial" w:hAnsi="Arial" w:cs="Arial"/>
          <w:sz w:val="22"/>
          <w:szCs w:val="22"/>
        </w:rPr>
        <w:t>.</w:t>
      </w:r>
    </w:p>
    <w:p w14:paraId="2381A88C" w14:textId="0A05142C" w:rsidR="008343A9" w:rsidRDefault="008343A9" w:rsidP="00422077">
      <w:pPr>
        <w:spacing w:line="360" w:lineRule="auto"/>
        <w:rPr>
          <w:rFonts w:ascii="Arial" w:eastAsiaTheme="minorEastAsia" w:hAnsi="Arial" w:cs="Arial"/>
          <w:sz w:val="22"/>
          <w:szCs w:val="22"/>
        </w:rPr>
      </w:pPr>
      <w:r>
        <w:rPr>
          <w:rFonts w:ascii="Arial" w:hAnsi="Arial" w:cs="Arial"/>
          <w:sz w:val="22"/>
          <w:szCs w:val="22"/>
        </w:rPr>
        <w:t xml:space="preserve">2 </w:t>
      </w:r>
      <w:r w:rsidR="003C513E">
        <w:rPr>
          <w:rFonts w:ascii="Arial" w:hAnsi="Arial" w:cs="Arial"/>
          <w:sz w:val="22"/>
          <w:szCs w:val="22"/>
        </w:rPr>
        <w:t>years</w:t>
      </w:r>
      <w:r w:rsidR="00053D33">
        <w:rPr>
          <w:rFonts w:ascii="Arial" w:hAnsi="Arial" w:cs="Arial"/>
          <w:sz w:val="22"/>
          <w:szCs w:val="22"/>
        </w:rPr>
        <w:t>+</w:t>
      </w:r>
      <m:oMath>
        <m:f>
          <m:fPr>
            <m:ctrlPr>
              <w:rPr>
                <w:rFonts w:ascii="Cambria Math" w:hAnsi="Cambria Math" w:cs="Arial"/>
                <w:i/>
                <w:sz w:val="22"/>
                <w:szCs w:val="22"/>
              </w:rPr>
            </m:ctrlPr>
          </m:fPr>
          <m:num>
            <m:r>
              <w:rPr>
                <w:rFonts w:ascii="Cambria Math" w:hAnsi="Cambria Math" w:cs="Arial"/>
                <w:sz w:val="22"/>
                <w:szCs w:val="22"/>
              </w:rPr>
              <m:t xml:space="preserve">Deficit </m:t>
            </m:r>
            <m:r>
              <w:rPr>
                <w:rFonts w:ascii="Cambria Math" w:hAnsi="Cambria Math" w:cs="Arial"/>
                <w:sz w:val="22"/>
                <w:szCs w:val="22"/>
              </w:rPr>
              <m:t>500</m:t>
            </m:r>
          </m:num>
          <m:den>
            <m:r>
              <w:rPr>
                <w:rFonts w:ascii="Cambria Math" w:hAnsi="Cambria Math" w:cs="Arial"/>
                <w:sz w:val="22"/>
                <w:szCs w:val="22"/>
              </w:rPr>
              <m:t>Deficit 500+Surplus</m:t>
            </m:r>
            <m:r>
              <w:rPr>
                <w:rFonts w:ascii="Cambria Math" w:hAnsi="Cambria Math" w:cs="Arial"/>
                <w:sz w:val="22"/>
                <w:szCs w:val="22"/>
              </w:rPr>
              <m:t xml:space="preserve"> 500</m:t>
            </m:r>
          </m:den>
        </m:f>
      </m:oMath>
      <w:r w:rsidR="002D3323">
        <w:rPr>
          <w:rFonts w:ascii="Arial" w:eastAsiaTheme="minorEastAsia" w:hAnsi="Arial" w:cs="Arial"/>
          <w:sz w:val="22"/>
          <w:szCs w:val="22"/>
        </w:rPr>
        <w:t>=</w:t>
      </w:r>
      <m:oMath>
        <m:f>
          <m:fPr>
            <m:ctrlPr>
              <w:rPr>
                <w:rFonts w:ascii="Cambria Math" w:eastAsiaTheme="minorEastAsia" w:hAnsi="Cambria Math" w:cs="Arial"/>
                <w:i/>
                <w:sz w:val="22"/>
                <w:szCs w:val="22"/>
              </w:rPr>
            </m:ctrlPr>
          </m:fPr>
          <m:num>
            <m:r>
              <w:rPr>
                <w:rFonts w:ascii="Cambria Math" w:hAnsi="Cambria Math" w:cs="Arial"/>
                <w:sz w:val="22"/>
                <w:szCs w:val="22"/>
              </w:rPr>
              <m:t>500</m:t>
            </m:r>
          </m:num>
          <m:den>
            <m:r>
              <w:rPr>
                <w:rFonts w:ascii="Cambria Math" w:hAnsi="Cambria Math" w:cs="Arial"/>
                <w:sz w:val="22"/>
                <w:szCs w:val="22"/>
              </w:rPr>
              <m:t>1000</m:t>
            </m:r>
          </m:den>
        </m:f>
      </m:oMath>
      <w:r w:rsidR="000136F8">
        <w:rPr>
          <w:rFonts w:ascii="Arial" w:eastAsiaTheme="minorEastAsia" w:hAnsi="Arial" w:cs="Arial"/>
          <w:sz w:val="22"/>
          <w:szCs w:val="22"/>
        </w:rPr>
        <w:t>=</w:t>
      </w:r>
      <w:r w:rsidR="00F70075">
        <w:rPr>
          <w:rFonts w:ascii="Arial" w:eastAsiaTheme="minorEastAsia" w:hAnsi="Arial" w:cs="Arial"/>
          <w:sz w:val="22"/>
          <w:szCs w:val="22"/>
        </w:rPr>
        <w:t>0.5</w:t>
      </w:r>
    </w:p>
    <w:p w14:paraId="43A4D0F6" w14:textId="1AE8B1EF" w:rsidR="005327D3" w:rsidRDefault="005327D3" w:rsidP="00422077">
      <w:pPr>
        <w:spacing w:line="360" w:lineRule="auto"/>
        <w:rPr>
          <w:rFonts w:ascii="Arial" w:eastAsiaTheme="minorEastAsia" w:hAnsi="Arial" w:cs="Arial"/>
          <w:sz w:val="22"/>
          <w:szCs w:val="22"/>
        </w:rPr>
      </w:pPr>
      <w:r>
        <w:rPr>
          <w:rFonts w:ascii="Arial" w:eastAsiaTheme="minorEastAsia" w:hAnsi="Arial" w:cs="Arial"/>
          <w:sz w:val="22"/>
          <w:szCs w:val="22"/>
        </w:rPr>
        <w:t xml:space="preserve">2 years + </w:t>
      </w:r>
      <w:r w:rsidR="00550F18">
        <w:rPr>
          <w:rFonts w:ascii="Arial" w:eastAsiaTheme="minorEastAsia" w:hAnsi="Arial" w:cs="Arial"/>
          <w:sz w:val="22"/>
          <w:szCs w:val="22"/>
        </w:rPr>
        <w:t>0.5 years</w:t>
      </w:r>
      <w:r w:rsidR="0044638D">
        <w:rPr>
          <w:rFonts w:ascii="Arial" w:eastAsiaTheme="minorEastAsia" w:hAnsi="Arial" w:cs="Arial"/>
          <w:sz w:val="22"/>
          <w:szCs w:val="22"/>
        </w:rPr>
        <w:t xml:space="preserve"> = 2.5 years</w:t>
      </w:r>
    </w:p>
    <w:p w14:paraId="564E8732" w14:textId="06F0796D" w:rsidR="00F70075" w:rsidRDefault="00975241" w:rsidP="00422077">
      <w:pPr>
        <w:spacing w:line="360" w:lineRule="auto"/>
        <w:rPr>
          <w:rFonts w:ascii="Arial" w:hAnsi="Arial" w:cs="Arial"/>
          <w:sz w:val="22"/>
          <w:szCs w:val="22"/>
        </w:rPr>
      </w:pPr>
      <w:proofErr w:type="gramStart"/>
      <w:r>
        <w:rPr>
          <w:rFonts w:ascii="Arial" w:eastAsiaTheme="minorEastAsia" w:hAnsi="Arial" w:cs="Arial"/>
          <w:sz w:val="22"/>
          <w:szCs w:val="22"/>
        </w:rPr>
        <w:t>So</w:t>
      </w:r>
      <w:proofErr w:type="gramEnd"/>
      <w:r w:rsidR="0057339B">
        <w:rPr>
          <w:rFonts w:ascii="Arial" w:eastAsiaTheme="minorEastAsia" w:hAnsi="Arial" w:cs="Arial"/>
          <w:sz w:val="22"/>
          <w:szCs w:val="22"/>
        </w:rPr>
        <w:t xml:space="preserve"> the payback period is 2 years 6 months.</w:t>
      </w:r>
    </w:p>
    <w:p w14:paraId="384E6829" w14:textId="77777777" w:rsidR="00422077" w:rsidRDefault="00422077" w:rsidP="004F0F64">
      <w:pPr>
        <w:spacing w:line="360" w:lineRule="auto"/>
        <w:rPr>
          <w:rFonts w:ascii="Arial" w:hAnsi="Arial" w:cs="Arial"/>
          <w:sz w:val="22"/>
          <w:szCs w:val="22"/>
        </w:rPr>
      </w:pPr>
    </w:p>
    <w:p w14:paraId="549830B5" w14:textId="6E487C9A" w:rsidR="00FE77F1" w:rsidRPr="00FE77F1" w:rsidRDefault="00FE77F1" w:rsidP="004F0F64">
      <w:pPr>
        <w:spacing w:line="360" w:lineRule="auto"/>
        <w:rPr>
          <w:rFonts w:ascii="Arial" w:hAnsi="Arial" w:cs="Arial"/>
          <w:i/>
          <w:iCs/>
          <w:sz w:val="22"/>
          <w:szCs w:val="22"/>
        </w:rPr>
      </w:pPr>
      <w:r>
        <w:rPr>
          <w:rFonts w:ascii="Arial" w:hAnsi="Arial" w:cs="Arial"/>
          <w:i/>
          <w:iCs/>
          <w:sz w:val="22"/>
          <w:szCs w:val="22"/>
        </w:rPr>
        <w:t>Project B</w:t>
      </w:r>
    </w:p>
    <w:p w14:paraId="6B9831C3" w14:textId="77777777" w:rsidR="0049551B" w:rsidRDefault="0049551B" w:rsidP="004F0F64">
      <w:pPr>
        <w:spacing w:line="360" w:lineRule="auto"/>
        <w:rPr>
          <w:rFonts w:ascii="Arial" w:hAnsi="Arial" w:cs="Arial"/>
          <w:sz w:val="22"/>
          <w:szCs w:val="22"/>
        </w:rPr>
      </w:pPr>
    </w:p>
    <w:p w14:paraId="1E92FEB4" w14:textId="348FE4F2" w:rsidR="0049551B" w:rsidRDefault="008E1404" w:rsidP="004F0F64">
      <w:pPr>
        <w:spacing w:line="360" w:lineRule="auto"/>
        <w:rPr>
          <w:rFonts w:ascii="Arial" w:hAnsi="Arial" w:cs="Arial"/>
          <w:sz w:val="22"/>
          <w:szCs w:val="22"/>
        </w:rPr>
      </w:pPr>
      <w:r w:rsidRPr="008E1404">
        <w:rPr>
          <w:rFonts w:ascii="Arial" w:hAnsi="Arial" w:cs="Arial"/>
          <w:sz w:val="22"/>
          <w:szCs w:val="22"/>
        </w:rPr>
        <w:drawing>
          <wp:inline distT="0" distB="0" distL="0" distR="0" wp14:anchorId="0F4EE9AA" wp14:editId="6166D8C0">
            <wp:extent cx="4381500" cy="1231900"/>
            <wp:effectExtent l="0" t="0" r="0" b="0"/>
            <wp:docPr id="1958453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53742" name=""/>
                    <pic:cNvPicPr/>
                  </pic:nvPicPr>
                  <pic:blipFill>
                    <a:blip r:embed="rId14"/>
                    <a:stretch>
                      <a:fillRect/>
                    </a:stretch>
                  </pic:blipFill>
                  <pic:spPr>
                    <a:xfrm>
                      <a:off x="0" y="0"/>
                      <a:ext cx="4381500" cy="1231900"/>
                    </a:xfrm>
                    <a:prstGeom prst="rect">
                      <a:avLst/>
                    </a:prstGeom>
                  </pic:spPr>
                </pic:pic>
              </a:graphicData>
            </a:graphic>
          </wp:inline>
        </w:drawing>
      </w:r>
    </w:p>
    <w:p w14:paraId="042829BC" w14:textId="77777777" w:rsidR="00EF4FB1" w:rsidRPr="00EF4FB1" w:rsidRDefault="00EF4FB1" w:rsidP="00EF4FB1">
      <w:pPr>
        <w:spacing w:line="360" w:lineRule="auto"/>
        <w:rPr>
          <w:rFonts w:ascii="Arial" w:hAnsi="Arial" w:cs="Arial"/>
          <w:sz w:val="22"/>
          <w:szCs w:val="22"/>
        </w:rPr>
      </w:pPr>
      <w:r w:rsidRPr="00EF4FB1">
        <w:rPr>
          <w:rFonts w:ascii="Arial" w:hAnsi="Arial" w:cs="Arial"/>
          <w:sz w:val="22"/>
          <w:szCs w:val="22"/>
        </w:rPr>
        <w:t>Source: Author</w:t>
      </w:r>
    </w:p>
    <w:p w14:paraId="42AE2EC1" w14:textId="77777777" w:rsidR="00557988" w:rsidRDefault="00557988" w:rsidP="004F0F64">
      <w:pPr>
        <w:spacing w:line="360" w:lineRule="auto"/>
        <w:rPr>
          <w:rFonts w:ascii="Arial" w:hAnsi="Arial" w:cs="Arial"/>
          <w:sz w:val="22"/>
          <w:szCs w:val="22"/>
        </w:rPr>
      </w:pPr>
    </w:p>
    <w:p w14:paraId="082EB1E0" w14:textId="6430C765" w:rsidR="00F51E55" w:rsidRDefault="00F51E55" w:rsidP="004F0F64">
      <w:pPr>
        <w:spacing w:line="360" w:lineRule="auto"/>
        <w:rPr>
          <w:rFonts w:ascii="Arial" w:hAnsi="Arial" w:cs="Arial"/>
          <w:sz w:val="22"/>
          <w:szCs w:val="22"/>
        </w:rPr>
      </w:pPr>
      <w:r>
        <w:rPr>
          <w:rFonts w:ascii="Arial" w:hAnsi="Arial" w:cs="Arial"/>
          <w:sz w:val="22"/>
          <w:szCs w:val="22"/>
        </w:rPr>
        <w:t xml:space="preserve">The payback period is between 0 and 1, where the </w:t>
      </w:r>
      <w:r w:rsidR="004C55E1">
        <w:rPr>
          <w:rFonts w:ascii="Arial" w:hAnsi="Arial" w:cs="Arial"/>
          <w:sz w:val="22"/>
          <w:szCs w:val="22"/>
        </w:rPr>
        <w:t>cumulative net cash flow changes from a deficit to a surplus.</w:t>
      </w:r>
    </w:p>
    <w:p w14:paraId="434C8E2C" w14:textId="7E31E3B9" w:rsidR="004C55E1" w:rsidRDefault="00746DB5" w:rsidP="004F0F64">
      <w:pPr>
        <w:spacing w:line="360" w:lineRule="auto"/>
        <w:rPr>
          <w:rFonts w:ascii="Arial" w:eastAsiaTheme="minorEastAsia" w:hAnsi="Arial" w:cs="Arial"/>
          <w:sz w:val="22"/>
          <w:szCs w:val="22"/>
        </w:rPr>
      </w:pPr>
      <w:r>
        <w:rPr>
          <w:rFonts w:ascii="Arial" w:hAnsi="Arial" w:cs="Arial"/>
          <w:sz w:val="22"/>
          <w:szCs w:val="22"/>
        </w:rPr>
        <w:t>0 years+</w:t>
      </w:r>
      <m:oMath>
        <m:f>
          <m:fPr>
            <m:ctrlPr>
              <w:rPr>
                <w:rFonts w:ascii="Cambria Math" w:hAnsi="Cambria Math" w:cs="Arial"/>
                <w:i/>
                <w:sz w:val="22"/>
                <w:szCs w:val="22"/>
              </w:rPr>
            </m:ctrlPr>
          </m:fPr>
          <m:num>
            <m:r>
              <w:rPr>
                <w:rFonts w:ascii="Cambria Math" w:hAnsi="Cambria Math" w:cs="Arial"/>
                <w:sz w:val="22"/>
                <w:szCs w:val="22"/>
              </w:rPr>
              <m:t>Deficit 1000</m:t>
            </m:r>
          </m:num>
          <m:den>
            <m:r>
              <w:rPr>
                <w:rFonts w:ascii="Cambria Math" w:hAnsi="Cambria Math" w:cs="Arial"/>
                <w:sz w:val="22"/>
                <w:szCs w:val="22"/>
              </w:rPr>
              <m:t>Deficit 1000</m:t>
            </m:r>
            <m:r>
              <w:rPr>
                <w:rFonts w:ascii="Cambria Math" w:hAnsi="Cambria Math" w:cs="Arial"/>
                <w:sz w:val="22"/>
                <w:szCs w:val="22"/>
              </w:rPr>
              <m:t>+Surplus 500</m:t>
            </m:r>
          </m:den>
        </m:f>
      </m:oMath>
      <w:r w:rsidR="00AB2DF9">
        <w:rPr>
          <w:rFonts w:ascii="Arial" w:eastAsiaTheme="minorEastAsia" w:hAnsi="Arial" w:cs="Arial"/>
          <w:sz w:val="22"/>
          <w:szCs w:val="22"/>
        </w:rPr>
        <w:t>=</w:t>
      </w:r>
      <m:oMath>
        <m:f>
          <m:fPr>
            <m:ctrlPr>
              <w:rPr>
                <w:rFonts w:ascii="Cambria Math" w:eastAsiaTheme="minorEastAsia" w:hAnsi="Cambria Math" w:cs="Arial"/>
                <w:i/>
                <w:sz w:val="22"/>
                <w:szCs w:val="22"/>
              </w:rPr>
            </m:ctrlPr>
          </m:fPr>
          <m:num>
            <m:r>
              <w:rPr>
                <w:rFonts w:ascii="Cambria Math" w:hAnsi="Cambria Math" w:cs="Arial"/>
                <w:sz w:val="22"/>
                <w:szCs w:val="22"/>
              </w:rPr>
              <m:t>1000</m:t>
            </m:r>
          </m:num>
          <m:den>
            <m:r>
              <w:rPr>
                <w:rFonts w:ascii="Cambria Math" w:hAnsi="Cambria Math" w:cs="Arial"/>
                <w:sz w:val="22"/>
                <w:szCs w:val="22"/>
              </w:rPr>
              <m:t>1500</m:t>
            </m:r>
          </m:den>
        </m:f>
      </m:oMath>
      <w:r w:rsidR="00704124">
        <w:rPr>
          <w:rFonts w:ascii="Arial" w:eastAsiaTheme="minorEastAsia" w:hAnsi="Arial" w:cs="Arial"/>
          <w:sz w:val="22"/>
          <w:szCs w:val="22"/>
        </w:rPr>
        <w:t>=</w:t>
      </w:r>
      <w:r w:rsidR="008B1D4B">
        <w:rPr>
          <w:rFonts w:ascii="Arial" w:eastAsiaTheme="minorEastAsia" w:hAnsi="Arial" w:cs="Arial"/>
          <w:sz w:val="22"/>
          <w:szCs w:val="22"/>
        </w:rPr>
        <w:t>0.66</w:t>
      </w:r>
    </w:p>
    <w:p w14:paraId="5C8B7097" w14:textId="77777777" w:rsidR="00375D39" w:rsidRDefault="00375D39" w:rsidP="004F0F64">
      <w:pPr>
        <w:spacing w:line="360" w:lineRule="auto"/>
        <w:rPr>
          <w:rFonts w:ascii="Arial" w:eastAsiaTheme="minorEastAsia" w:hAnsi="Arial" w:cs="Arial"/>
          <w:sz w:val="22"/>
          <w:szCs w:val="22"/>
        </w:rPr>
      </w:pPr>
    </w:p>
    <w:p w14:paraId="4C1732C5" w14:textId="7DDE913A" w:rsidR="008B1D4B" w:rsidRDefault="00C44CC9" w:rsidP="004F0F64">
      <w:pPr>
        <w:spacing w:line="360" w:lineRule="auto"/>
        <w:rPr>
          <w:rFonts w:ascii="Arial" w:eastAsiaTheme="minorEastAsia" w:hAnsi="Arial" w:cs="Arial"/>
          <w:sz w:val="22"/>
          <w:szCs w:val="22"/>
        </w:rPr>
      </w:pPr>
      <w:r>
        <w:rPr>
          <w:rFonts w:ascii="Arial" w:eastAsiaTheme="minorEastAsia" w:hAnsi="Arial" w:cs="Arial"/>
          <w:sz w:val="22"/>
          <w:szCs w:val="22"/>
        </w:rPr>
        <w:t>0 years + 0.66</w:t>
      </w:r>
      <w:r w:rsidR="008F0DD6">
        <w:rPr>
          <w:rFonts w:ascii="Arial" w:eastAsiaTheme="minorEastAsia" w:hAnsi="Arial" w:cs="Arial"/>
          <w:sz w:val="22"/>
          <w:szCs w:val="22"/>
        </w:rPr>
        <w:t xml:space="preserve"> ye</w:t>
      </w:r>
      <w:r w:rsidR="005132CA">
        <w:rPr>
          <w:rFonts w:ascii="Arial" w:eastAsiaTheme="minorEastAsia" w:hAnsi="Arial" w:cs="Arial"/>
          <w:sz w:val="22"/>
          <w:szCs w:val="22"/>
        </w:rPr>
        <w:t xml:space="preserve">ars </w:t>
      </w:r>
      <w:r w:rsidR="00A26678">
        <w:rPr>
          <w:rFonts w:ascii="Arial" w:eastAsiaTheme="minorEastAsia" w:hAnsi="Arial" w:cs="Arial"/>
          <w:sz w:val="22"/>
          <w:szCs w:val="22"/>
        </w:rPr>
        <w:t xml:space="preserve">X 12 months = </w:t>
      </w:r>
      <w:r w:rsidR="00411122">
        <w:rPr>
          <w:rFonts w:ascii="Arial" w:eastAsiaTheme="minorEastAsia" w:hAnsi="Arial" w:cs="Arial"/>
          <w:sz w:val="22"/>
          <w:szCs w:val="22"/>
        </w:rPr>
        <w:t>7.92</w:t>
      </w:r>
      <w:r w:rsidR="00A26678">
        <w:rPr>
          <w:rFonts w:ascii="Arial" w:eastAsiaTheme="minorEastAsia" w:hAnsi="Arial" w:cs="Arial"/>
          <w:sz w:val="22"/>
          <w:szCs w:val="22"/>
        </w:rPr>
        <w:t xml:space="preserve"> </w:t>
      </w:r>
    </w:p>
    <w:p w14:paraId="6DC240DA" w14:textId="26FC1626" w:rsidR="00A26678" w:rsidRDefault="00A26678" w:rsidP="004F0F64">
      <w:pPr>
        <w:spacing w:line="360" w:lineRule="auto"/>
        <w:rPr>
          <w:rFonts w:ascii="Arial" w:eastAsiaTheme="minorEastAsia" w:hAnsi="Arial" w:cs="Arial"/>
          <w:sz w:val="22"/>
          <w:szCs w:val="22"/>
        </w:rPr>
      </w:pPr>
      <w:r>
        <w:rPr>
          <w:rFonts w:ascii="Arial" w:eastAsiaTheme="minorEastAsia" w:hAnsi="Arial" w:cs="Arial"/>
          <w:sz w:val="22"/>
          <w:szCs w:val="22"/>
        </w:rPr>
        <w:t>The payback period for Project B is approximately 8 months.</w:t>
      </w:r>
    </w:p>
    <w:p w14:paraId="4A270D55" w14:textId="77777777" w:rsidR="00303955" w:rsidRDefault="00303955" w:rsidP="004F0F64">
      <w:pPr>
        <w:spacing w:line="360" w:lineRule="auto"/>
        <w:rPr>
          <w:rFonts w:ascii="Arial" w:eastAsiaTheme="minorEastAsia" w:hAnsi="Arial" w:cs="Arial"/>
          <w:sz w:val="22"/>
          <w:szCs w:val="22"/>
        </w:rPr>
      </w:pPr>
    </w:p>
    <w:p w14:paraId="7E3F6B6E" w14:textId="38253031" w:rsidR="00303955" w:rsidRDefault="00303955" w:rsidP="004F0F64">
      <w:pPr>
        <w:spacing w:line="360" w:lineRule="auto"/>
        <w:rPr>
          <w:rFonts w:ascii="Arial" w:eastAsiaTheme="minorEastAsia" w:hAnsi="Arial" w:cs="Arial"/>
          <w:sz w:val="22"/>
          <w:szCs w:val="22"/>
        </w:rPr>
      </w:pPr>
      <w:r w:rsidRPr="00303955">
        <w:rPr>
          <w:rFonts w:ascii="Arial" w:eastAsiaTheme="minorEastAsia" w:hAnsi="Arial" w:cs="Arial"/>
          <w:sz w:val="22"/>
          <w:szCs w:val="22"/>
        </w:rPr>
        <w:t xml:space="preserve">There are several noticeable disparities between Project A and Project B when compared based on their payback times. Project A has a payback period of 2 years and 6 months, suggesting that the return on investment will be spread out over a longer </w:t>
      </w:r>
      <w:proofErr w:type="gramStart"/>
      <w:r w:rsidRPr="00303955">
        <w:rPr>
          <w:rFonts w:ascii="Arial" w:eastAsiaTheme="minorEastAsia" w:hAnsi="Arial" w:cs="Arial"/>
          <w:sz w:val="22"/>
          <w:szCs w:val="22"/>
        </w:rPr>
        <w:t>period of time</w:t>
      </w:r>
      <w:proofErr w:type="gramEnd"/>
      <w:r w:rsidRPr="00303955">
        <w:rPr>
          <w:rFonts w:ascii="Arial" w:eastAsiaTheme="minorEastAsia" w:hAnsi="Arial" w:cs="Arial"/>
          <w:sz w:val="22"/>
          <w:szCs w:val="22"/>
        </w:rPr>
        <w:t xml:space="preserve">. The payback period for Project A falls within the timeframe of Year 2 and Year 3, coinciding with the shift from a negative to positive cumulative net cash flow. In contrast, Project B has a notably lower payback period of around 8 months, indicating a rapid initial return on investment. Project B's payback period aligns with the move from deficit to surplus, taking place within the first year. Although Project A may yield greater long-term returns, Project B offers speedier liquidity and quicker access to profits. </w:t>
      </w:r>
    </w:p>
    <w:p w14:paraId="42463BE2" w14:textId="77777777" w:rsidR="00E8081A" w:rsidRDefault="00E8081A" w:rsidP="004F0F64">
      <w:pPr>
        <w:spacing w:line="360" w:lineRule="auto"/>
        <w:rPr>
          <w:rFonts w:ascii="Arial" w:hAnsi="Arial" w:cs="Arial"/>
          <w:sz w:val="22"/>
          <w:szCs w:val="22"/>
        </w:rPr>
      </w:pPr>
    </w:p>
    <w:p w14:paraId="47505020" w14:textId="77777777" w:rsidR="008E1404" w:rsidRDefault="008E1404" w:rsidP="004F0F64">
      <w:pPr>
        <w:spacing w:line="360" w:lineRule="auto"/>
        <w:rPr>
          <w:rFonts w:ascii="Arial" w:hAnsi="Arial" w:cs="Arial"/>
          <w:sz w:val="22"/>
          <w:szCs w:val="22"/>
        </w:rPr>
      </w:pPr>
    </w:p>
    <w:p w14:paraId="7CB5647D" w14:textId="292FE38E" w:rsidR="00411122" w:rsidRDefault="00A0516A" w:rsidP="00150C06">
      <w:pPr>
        <w:pStyle w:val="Heading2"/>
      </w:pPr>
      <w:bookmarkStart w:id="19" w:name="_Toc164857843"/>
      <w:r>
        <w:lastRenderedPageBreak/>
        <w:t>Accounting Rate of Return</w:t>
      </w:r>
      <w:r w:rsidR="004776A4">
        <w:t xml:space="preserve"> (ARR)</w:t>
      </w:r>
      <w:bookmarkEnd w:id="19"/>
    </w:p>
    <w:p w14:paraId="793C88E1" w14:textId="77777777" w:rsidR="0032772B" w:rsidRDefault="0032772B" w:rsidP="004F0F64">
      <w:pPr>
        <w:spacing w:line="360" w:lineRule="auto"/>
        <w:rPr>
          <w:rFonts w:ascii="Arial" w:hAnsi="Arial" w:cs="Arial"/>
          <w:b/>
          <w:bCs/>
          <w:sz w:val="22"/>
          <w:szCs w:val="22"/>
        </w:rPr>
      </w:pPr>
    </w:p>
    <w:p w14:paraId="0FACE7F0" w14:textId="641FF910" w:rsidR="00487B55" w:rsidRPr="00487B55" w:rsidRDefault="00487B55" w:rsidP="004F0F64">
      <w:pPr>
        <w:spacing w:line="360" w:lineRule="auto"/>
        <w:rPr>
          <w:rFonts w:ascii="Arial" w:hAnsi="Arial" w:cs="Arial"/>
          <w:sz w:val="22"/>
          <w:szCs w:val="22"/>
        </w:rPr>
      </w:pPr>
      <w:r w:rsidRPr="00487B55">
        <w:rPr>
          <w:rFonts w:ascii="Arial" w:hAnsi="Arial" w:cs="Arial"/>
          <w:sz w:val="22"/>
          <w:szCs w:val="22"/>
        </w:rPr>
        <w:t>The Accounting Rate of Return (ARR) is a financial measure employed to assess the profitability of an investment project or asset. The ARR formula is commonly determined by dividing the mean yearly profit by the initial or average investment and representing the outcome as a percentage. The ARR, or Accounting Rate of Return, is a concise and direct metric that offers insight into the profitability of an investment during its entire duration.</w:t>
      </w:r>
    </w:p>
    <w:p w14:paraId="047B2A97" w14:textId="34D8A84E" w:rsidR="00DC4AC9" w:rsidRDefault="00F30593" w:rsidP="004F0F64">
      <w:pPr>
        <w:spacing w:line="360" w:lineRule="auto"/>
        <w:rPr>
          <w:rFonts w:ascii="Arial" w:hAnsi="Arial" w:cs="Arial"/>
          <w:sz w:val="22"/>
          <w:szCs w:val="22"/>
        </w:rPr>
      </w:pPr>
      <w:r>
        <w:rPr>
          <w:rFonts w:ascii="Arial" w:hAnsi="Arial" w:cs="Arial"/>
          <w:sz w:val="22"/>
          <w:szCs w:val="22"/>
        </w:rPr>
        <w:t>(</w:t>
      </w:r>
      <w:r w:rsidRPr="00F30593">
        <w:rPr>
          <w:rFonts w:ascii="Arial" w:hAnsi="Arial" w:cs="Arial"/>
          <w:sz w:val="22"/>
          <w:szCs w:val="22"/>
        </w:rPr>
        <w:t>Erickson, K. H.</w:t>
      </w:r>
      <w:r>
        <w:rPr>
          <w:rFonts w:ascii="Arial" w:hAnsi="Arial" w:cs="Arial"/>
          <w:sz w:val="22"/>
          <w:szCs w:val="22"/>
        </w:rPr>
        <w:t xml:space="preserve">, </w:t>
      </w:r>
      <w:r w:rsidRPr="00F30593">
        <w:rPr>
          <w:rFonts w:ascii="Arial" w:hAnsi="Arial" w:cs="Arial"/>
          <w:sz w:val="22"/>
          <w:szCs w:val="22"/>
        </w:rPr>
        <w:t>2013)</w:t>
      </w:r>
      <w:r>
        <w:rPr>
          <w:rFonts w:ascii="Arial" w:hAnsi="Arial" w:cs="Arial"/>
          <w:sz w:val="22"/>
          <w:szCs w:val="22"/>
        </w:rPr>
        <w:t>.</w:t>
      </w:r>
    </w:p>
    <w:p w14:paraId="1B4BC5CA" w14:textId="77777777" w:rsidR="00B209A8" w:rsidRDefault="00B209A8" w:rsidP="004F0F64">
      <w:pPr>
        <w:spacing w:line="360" w:lineRule="auto"/>
        <w:rPr>
          <w:rFonts w:ascii="Arial" w:hAnsi="Arial" w:cs="Arial"/>
          <w:sz w:val="22"/>
          <w:szCs w:val="22"/>
        </w:rPr>
      </w:pPr>
    </w:p>
    <w:p w14:paraId="14698EF5" w14:textId="5D2A276F" w:rsidR="00B209A8" w:rsidRDefault="00B209A8" w:rsidP="00B209A8">
      <w:pPr>
        <w:pStyle w:val="Caption"/>
        <w:rPr>
          <w:rFonts w:ascii="Arial" w:hAnsi="Arial" w:cs="Arial"/>
          <w:sz w:val="22"/>
          <w:szCs w:val="22"/>
        </w:rPr>
      </w:pPr>
      <w:bookmarkStart w:id="20" w:name="_Toc164857421"/>
      <w:r>
        <w:rPr>
          <w:rFonts w:ascii="Arial" w:hAnsi="Arial" w:cs="Arial"/>
          <w:sz w:val="22"/>
          <w:szCs w:val="22"/>
        </w:rPr>
        <w:t xml:space="preserve">ARR=Average Annual Profit / Initial Investment </w:t>
      </w:r>
      <w:r>
        <w:t xml:space="preserve">Table </w:t>
      </w:r>
      <w:r>
        <w:fldChar w:fldCharType="begin"/>
      </w:r>
      <w:r>
        <w:instrText xml:space="preserve"> SEQ Table \* ARABIC </w:instrText>
      </w:r>
      <w:r>
        <w:fldChar w:fldCharType="separate"/>
      </w:r>
      <w:r w:rsidR="00460444">
        <w:rPr>
          <w:noProof/>
        </w:rPr>
        <w:t>7</w:t>
      </w:r>
      <w:bookmarkEnd w:id="20"/>
      <w:r>
        <w:fldChar w:fldCharType="end"/>
      </w:r>
    </w:p>
    <w:p w14:paraId="75017C75" w14:textId="77777777" w:rsidR="0032772B" w:rsidRPr="00F30593" w:rsidRDefault="0032772B" w:rsidP="004F0F64">
      <w:pPr>
        <w:spacing w:line="360" w:lineRule="auto"/>
        <w:rPr>
          <w:rFonts w:ascii="Arial" w:hAnsi="Arial" w:cs="Arial"/>
          <w:sz w:val="22"/>
          <w:szCs w:val="22"/>
        </w:rPr>
      </w:pPr>
    </w:p>
    <w:p w14:paraId="271E5324" w14:textId="3F22FE27" w:rsidR="00F7739B" w:rsidRPr="00F7739B" w:rsidRDefault="00F7739B" w:rsidP="004F0F64">
      <w:pPr>
        <w:spacing w:line="360" w:lineRule="auto"/>
        <w:rPr>
          <w:rFonts w:ascii="Arial" w:hAnsi="Arial" w:cs="Arial"/>
          <w:i/>
          <w:iCs/>
          <w:sz w:val="22"/>
          <w:szCs w:val="22"/>
        </w:rPr>
      </w:pPr>
      <w:r>
        <w:rPr>
          <w:rFonts w:ascii="Arial" w:hAnsi="Arial" w:cs="Arial"/>
          <w:i/>
          <w:iCs/>
          <w:sz w:val="22"/>
          <w:szCs w:val="22"/>
        </w:rPr>
        <w:t>Project A</w:t>
      </w:r>
    </w:p>
    <w:p w14:paraId="14FB4663" w14:textId="5CD3871A" w:rsidR="004776A4" w:rsidRDefault="00FA7087" w:rsidP="004F0F64">
      <w:pPr>
        <w:spacing w:line="360" w:lineRule="auto"/>
        <w:rPr>
          <w:rFonts w:ascii="Arial" w:hAnsi="Arial" w:cs="Arial"/>
          <w:b/>
          <w:bCs/>
          <w:sz w:val="22"/>
          <w:szCs w:val="22"/>
        </w:rPr>
      </w:pPr>
      <w:r w:rsidRPr="00FA7087">
        <w:rPr>
          <w:rFonts w:ascii="Arial" w:hAnsi="Arial" w:cs="Arial"/>
          <w:b/>
          <w:bCs/>
          <w:sz w:val="22"/>
          <w:szCs w:val="22"/>
        </w:rPr>
        <w:drawing>
          <wp:inline distT="0" distB="0" distL="0" distR="0" wp14:anchorId="39F2D526" wp14:editId="33E7F171">
            <wp:extent cx="4203700" cy="2044700"/>
            <wp:effectExtent l="0" t="0" r="0" b="0"/>
            <wp:docPr id="1018025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025409" name=""/>
                    <pic:cNvPicPr/>
                  </pic:nvPicPr>
                  <pic:blipFill>
                    <a:blip r:embed="rId15"/>
                    <a:stretch>
                      <a:fillRect/>
                    </a:stretch>
                  </pic:blipFill>
                  <pic:spPr>
                    <a:xfrm>
                      <a:off x="0" y="0"/>
                      <a:ext cx="4203700" cy="2044700"/>
                    </a:xfrm>
                    <a:prstGeom prst="rect">
                      <a:avLst/>
                    </a:prstGeom>
                  </pic:spPr>
                </pic:pic>
              </a:graphicData>
            </a:graphic>
          </wp:inline>
        </w:drawing>
      </w:r>
    </w:p>
    <w:p w14:paraId="5E685806" w14:textId="5DA64301" w:rsidR="004C1944" w:rsidRDefault="00CD3AD6" w:rsidP="004F0F64">
      <w:pPr>
        <w:spacing w:line="360" w:lineRule="auto"/>
        <w:rPr>
          <w:rFonts w:ascii="Arial" w:hAnsi="Arial" w:cs="Arial"/>
          <w:sz w:val="22"/>
          <w:szCs w:val="22"/>
        </w:rPr>
      </w:pPr>
      <w:r>
        <w:rPr>
          <w:rFonts w:ascii="Arial" w:hAnsi="Arial" w:cs="Arial"/>
          <w:sz w:val="22"/>
          <w:szCs w:val="22"/>
        </w:rPr>
        <w:t xml:space="preserve">Source: Author </w:t>
      </w:r>
    </w:p>
    <w:p w14:paraId="66ACD3BD" w14:textId="77777777" w:rsidR="00CD3AD6" w:rsidRPr="00CD3AD6" w:rsidRDefault="00CD3AD6" w:rsidP="004F0F64">
      <w:pPr>
        <w:spacing w:line="360" w:lineRule="auto"/>
        <w:rPr>
          <w:rFonts w:ascii="Arial" w:hAnsi="Arial" w:cs="Arial"/>
          <w:sz w:val="22"/>
          <w:szCs w:val="22"/>
        </w:rPr>
      </w:pPr>
    </w:p>
    <w:p w14:paraId="4231E3C3" w14:textId="77777777" w:rsidR="0048795A" w:rsidRPr="0048795A" w:rsidRDefault="0048795A" w:rsidP="0048795A">
      <w:pPr>
        <w:spacing w:line="360" w:lineRule="auto"/>
        <w:rPr>
          <w:rFonts w:ascii="Arial" w:hAnsi="Arial" w:cs="Arial"/>
          <w:sz w:val="22"/>
          <w:szCs w:val="22"/>
        </w:rPr>
      </w:pPr>
      <w:r w:rsidRPr="0048795A">
        <w:rPr>
          <w:rFonts w:ascii="Arial" w:hAnsi="Arial" w:cs="Arial"/>
          <w:sz w:val="22"/>
          <w:szCs w:val="22"/>
        </w:rPr>
        <w:t>The total profit is equal to the sum of the cash flows from year 1 to year 4.</w:t>
      </w:r>
    </w:p>
    <w:p w14:paraId="0EFB9200" w14:textId="77777777" w:rsidR="0048795A" w:rsidRPr="0048795A" w:rsidRDefault="0048795A" w:rsidP="0048795A">
      <w:pPr>
        <w:spacing w:line="360" w:lineRule="auto"/>
        <w:rPr>
          <w:rFonts w:ascii="Arial" w:hAnsi="Arial" w:cs="Arial"/>
          <w:sz w:val="22"/>
          <w:szCs w:val="22"/>
        </w:rPr>
      </w:pPr>
      <w:r w:rsidRPr="0048795A">
        <w:rPr>
          <w:rFonts w:ascii="Arial" w:hAnsi="Arial" w:cs="Arial"/>
          <w:sz w:val="22"/>
          <w:szCs w:val="22"/>
        </w:rPr>
        <w:t>The total profit is calculated by adding 2500, 2000, 1000, and subtracting 442, resulting in a total profit of 5058.</w:t>
      </w:r>
    </w:p>
    <w:p w14:paraId="641CBB87" w14:textId="77777777" w:rsidR="0048795A" w:rsidRPr="0048795A" w:rsidRDefault="0048795A" w:rsidP="0048795A">
      <w:pPr>
        <w:spacing w:line="360" w:lineRule="auto"/>
        <w:rPr>
          <w:rFonts w:ascii="Arial" w:hAnsi="Arial" w:cs="Arial"/>
          <w:sz w:val="22"/>
          <w:szCs w:val="22"/>
        </w:rPr>
      </w:pPr>
      <w:r w:rsidRPr="0048795A">
        <w:rPr>
          <w:rFonts w:ascii="Arial" w:hAnsi="Arial" w:cs="Arial"/>
          <w:sz w:val="22"/>
          <w:szCs w:val="22"/>
        </w:rPr>
        <w:t xml:space="preserve">The average annual profit is calculated by dividing the total profit by the number of years. </w:t>
      </w:r>
    </w:p>
    <w:p w14:paraId="4A593DF0" w14:textId="3D53065B" w:rsidR="00AA261C" w:rsidRDefault="0048795A" w:rsidP="0048795A">
      <w:pPr>
        <w:spacing w:line="360" w:lineRule="auto"/>
        <w:rPr>
          <w:rFonts w:ascii="Arial" w:hAnsi="Arial" w:cs="Arial"/>
          <w:sz w:val="22"/>
          <w:szCs w:val="22"/>
        </w:rPr>
      </w:pPr>
      <w:r w:rsidRPr="0048795A">
        <w:rPr>
          <w:rFonts w:ascii="Arial" w:hAnsi="Arial" w:cs="Arial"/>
          <w:sz w:val="22"/>
          <w:szCs w:val="22"/>
        </w:rPr>
        <w:t>The average yearly profit is calculated by dividing 5058 by 4, resulting in 1264.5. The ARR, or Accounting Rate of Return, is then determined by dividing 1264.5 by 5000, resulting in 0.2529.</w:t>
      </w:r>
    </w:p>
    <w:p w14:paraId="4C9219B6" w14:textId="6AA549D5" w:rsidR="0048795A" w:rsidRDefault="001D7778" w:rsidP="0048795A">
      <w:pPr>
        <w:spacing w:line="360" w:lineRule="auto"/>
        <w:rPr>
          <w:rFonts w:ascii="Arial" w:hAnsi="Arial" w:cs="Arial"/>
          <w:sz w:val="22"/>
          <w:szCs w:val="22"/>
        </w:rPr>
      </w:pPr>
      <w:r w:rsidRPr="001D7778">
        <w:rPr>
          <w:rFonts w:ascii="Arial" w:hAnsi="Arial" w:cs="Arial"/>
          <w:sz w:val="22"/>
          <w:szCs w:val="22"/>
        </w:rPr>
        <w:t>Consequently, Project A's average accounting rate of return (ARR) is around 25%.</w:t>
      </w:r>
    </w:p>
    <w:p w14:paraId="639A1086" w14:textId="77777777" w:rsidR="00450567" w:rsidRPr="001D7778" w:rsidRDefault="00450567" w:rsidP="0048795A">
      <w:pPr>
        <w:spacing w:line="360" w:lineRule="auto"/>
        <w:rPr>
          <w:rFonts w:ascii="Arial" w:hAnsi="Arial" w:cs="Arial"/>
          <w:sz w:val="22"/>
          <w:szCs w:val="22"/>
        </w:rPr>
      </w:pPr>
    </w:p>
    <w:p w14:paraId="7C545F72" w14:textId="4A6029CA" w:rsidR="0049551B" w:rsidRDefault="00135CD7" w:rsidP="004F0F64">
      <w:pPr>
        <w:spacing w:line="360" w:lineRule="auto"/>
        <w:rPr>
          <w:rFonts w:ascii="Arial" w:hAnsi="Arial" w:cs="Arial"/>
          <w:i/>
          <w:iCs/>
          <w:sz w:val="22"/>
          <w:szCs w:val="22"/>
        </w:rPr>
      </w:pPr>
      <w:r>
        <w:rPr>
          <w:rFonts w:ascii="Arial" w:hAnsi="Arial" w:cs="Arial"/>
          <w:i/>
          <w:iCs/>
          <w:sz w:val="22"/>
          <w:szCs w:val="22"/>
        </w:rPr>
        <w:t>Project B</w:t>
      </w:r>
    </w:p>
    <w:p w14:paraId="59C02028" w14:textId="142F69CA" w:rsidR="00135CD7" w:rsidRDefault="00135CD7" w:rsidP="004F0F64">
      <w:pPr>
        <w:spacing w:line="360" w:lineRule="auto"/>
        <w:rPr>
          <w:rFonts w:ascii="Arial" w:hAnsi="Arial" w:cs="Arial"/>
          <w:sz w:val="22"/>
          <w:szCs w:val="22"/>
        </w:rPr>
      </w:pPr>
      <w:r w:rsidRPr="00135CD7">
        <w:rPr>
          <w:rFonts w:ascii="Arial" w:hAnsi="Arial" w:cs="Arial"/>
          <w:sz w:val="22"/>
          <w:szCs w:val="22"/>
        </w:rPr>
        <w:lastRenderedPageBreak/>
        <w:drawing>
          <wp:inline distT="0" distB="0" distL="0" distR="0" wp14:anchorId="79FA1F5B" wp14:editId="0B91D003">
            <wp:extent cx="4203700" cy="2044700"/>
            <wp:effectExtent l="0" t="0" r="0" b="0"/>
            <wp:docPr id="435304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04766" name=""/>
                    <pic:cNvPicPr/>
                  </pic:nvPicPr>
                  <pic:blipFill>
                    <a:blip r:embed="rId16"/>
                    <a:stretch>
                      <a:fillRect/>
                    </a:stretch>
                  </pic:blipFill>
                  <pic:spPr>
                    <a:xfrm>
                      <a:off x="0" y="0"/>
                      <a:ext cx="4203700" cy="2044700"/>
                    </a:xfrm>
                    <a:prstGeom prst="rect">
                      <a:avLst/>
                    </a:prstGeom>
                  </pic:spPr>
                </pic:pic>
              </a:graphicData>
            </a:graphic>
          </wp:inline>
        </w:drawing>
      </w:r>
    </w:p>
    <w:p w14:paraId="20539D20" w14:textId="040370BD" w:rsidR="00CD3AD6" w:rsidRDefault="00CD3AD6" w:rsidP="004F0F64">
      <w:pPr>
        <w:spacing w:line="360" w:lineRule="auto"/>
        <w:rPr>
          <w:rFonts w:ascii="Arial" w:hAnsi="Arial" w:cs="Arial"/>
          <w:sz w:val="22"/>
          <w:szCs w:val="22"/>
        </w:rPr>
      </w:pPr>
      <w:r>
        <w:rPr>
          <w:rFonts w:ascii="Arial" w:hAnsi="Arial" w:cs="Arial"/>
          <w:sz w:val="22"/>
          <w:szCs w:val="22"/>
        </w:rPr>
        <w:t>Source: Author</w:t>
      </w:r>
    </w:p>
    <w:p w14:paraId="521A790C" w14:textId="77777777" w:rsidR="00CD3AD6" w:rsidRDefault="00CD3AD6" w:rsidP="004F0F64">
      <w:pPr>
        <w:spacing w:line="360" w:lineRule="auto"/>
        <w:rPr>
          <w:rFonts w:ascii="Arial" w:hAnsi="Arial" w:cs="Arial"/>
          <w:sz w:val="22"/>
          <w:szCs w:val="22"/>
        </w:rPr>
      </w:pPr>
    </w:p>
    <w:p w14:paraId="1B45D822" w14:textId="77777777" w:rsidR="001D7778" w:rsidRPr="0048795A" w:rsidRDefault="001D7778" w:rsidP="001D7778">
      <w:pPr>
        <w:spacing w:line="360" w:lineRule="auto"/>
        <w:rPr>
          <w:rFonts w:ascii="Arial" w:hAnsi="Arial" w:cs="Arial"/>
          <w:sz w:val="22"/>
          <w:szCs w:val="22"/>
        </w:rPr>
      </w:pPr>
      <w:r w:rsidRPr="0048795A">
        <w:rPr>
          <w:rFonts w:ascii="Arial" w:hAnsi="Arial" w:cs="Arial"/>
          <w:sz w:val="22"/>
          <w:szCs w:val="22"/>
        </w:rPr>
        <w:t>The total profit is equal to the sum of the cash flows from year 1 to year 4.</w:t>
      </w:r>
    </w:p>
    <w:p w14:paraId="618161F2" w14:textId="27C2A2A4" w:rsidR="001D7778" w:rsidRPr="0048795A" w:rsidRDefault="001D7778" w:rsidP="001D7778">
      <w:pPr>
        <w:spacing w:line="360" w:lineRule="auto"/>
        <w:rPr>
          <w:rFonts w:ascii="Arial" w:hAnsi="Arial" w:cs="Arial"/>
          <w:sz w:val="22"/>
          <w:szCs w:val="22"/>
        </w:rPr>
      </w:pPr>
      <w:r w:rsidRPr="0048795A">
        <w:rPr>
          <w:rFonts w:ascii="Arial" w:hAnsi="Arial" w:cs="Arial"/>
          <w:sz w:val="22"/>
          <w:szCs w:val="22"/>
        </w:rPr>
        <w:t xml:space="preserve">The total profit is calculated by adding </w:t>
      </w:r>
      <w:r>
        <w:rPr>
          <w:rFonts w:ascii="Arial" w:hAnsi="Arial" w:cs="Arial"/>
          <w:sz w:val="22"/>
          <w:szCs w:val="22"/>
        </w:rPr>
        <w:t>1</w:t>
      </w:r>
      <w:r w:rsidRPr="0048795A">
        <w:rPr>
          <w:rFonts w:ascii="Arial" w:hAnsi="Arial" w:cs="Arial"/>
          <w:sz w:val="22"/>
          <w:szCs w:val="22"/>
        </w:rPr>
        <w:t xml:space="preserve">500, </w:t>
      </w:r>
      <w:r>
        <w:rPr>
          <w:rFonts w:ascii="Arial" w:hAnsi="Arial" w:cs="Arial"/>
          <w:sz w:val="22"/>
          <w:szCs w:val="22"/>
        </w:rPr>
        <w:t>1</w:t>
      </w:r>
      <w:r w:rsidRPr="0048795A">
        <w:rPr>
          <w:rFonts w:ascii="Arial" w:hAnsi="Arial" w:cs="Arial"/>
          <w:sz w:val="22"/>
          <w:szCs w:val="22"/>
        </w:rPr>
        <w:t xml:space="preserve">000, </w:t>
      </w:r>
      <w:r>
        <w:rPr>
          <w:rFonts w:ascii="Arial" w:hAnsi="Arial" w:cs="Arial"/>
          <w:sz w:val="22"/>
          <w:szCs w:val="22"/>
        </w:rPr>
        <w:t>1</w:t>
      </w:r>
      <w:r w:rsidRPr="0048795A">
        <w:rPr>
          <w:rFonts w:ascii="Arial" w:hAnsi="Arial" w:cs="Arial"/>
          <w:sz w:val="22"/>
          <w:szCs w:val="22"/>
        </w:rPr>
        <w:t>000, and subtracting 4</w:t>
      </w:r>
      <w:r>
        <w:rPr>
          <w:rFonts w:ascii="Arial" w:hAnsi="Arial" w:cs="Arial"/>
          <w:sz w:val="22"/>
          <w:szCs w:val="22"/>
        </w:rPr>
        <w:t>70</w:t>
      </w:r>
      <w:r w:rsidRPr="0048795A">
        <w:rPr>
          <w:rFonts w:ascii="Arial" w:hAnsi="Arial" w:cs="Arial"/>
          <w:sz w:val="22"/>
          <w:szCs w:val="22"/>
        </w:rPr>
        <w:t xml:space="preserve">, resulting in a total profit of </w:t>
      </w:r>
      <w:r w:rsidR="00BE1E45">
        <w:rPr>
          <w:rFonts w:ascii="Arial" w:hAnsi="Arial" w:cs="Arial"/>
          <w:sz w:val="22"/>
          <w:szCs w:val="22"/>
        </w:rPr>
        <w:t>3030</w:t>
      </w:r>
      <w:r w:rsidRPr="0048795A">
        <w:rPr>
          <w:rFonts w:ascii="Arial" w:hAnsi="Arial" w:cs="Arial"/>
          <w:sz w:val="22"/>
          <w:szCs w:val="22"/>
        </w:rPr>
        <w:t>.</w:t>
      </w:r>
    </w:p>
    <w:p w14:paraId="3B9779B3" w14:textId="77777777" w:rsidR="001D7778" w:rsidRPr="0048795A" w:rsidRDefault="001D7778" w:rsidP="001D7778">
      <w:pPr>
        <w:spacing w:line="360" w:lineRule="auto"/>
        <w:rPr>
          <w:rFonts w:ascii="Arial" w:hAnsi="Arial" w:cs="Arial"/>
          <w:sz w:val="22"/>
          <w:szCs w:val="22"/>
        </w:rPr>
      </w:pPr>
      <w:r w:rsidRPr="0048795A">
        <w:rPr>
          <w:rFonts w:ascii="Arial" w:hAnsi="Arial" w:cs="Arial"/>
          <w:sz w:val="22"/>
          <w:szCs w:val="22"/>
        </w:rPr>
        <w:t xml:space="preserve">The average annual profit is calculated by dividing the total profit by the number of years. </w:t>
      </w:r>
    </w:p>
    <w:p w14:paraId="3D249A60" w14:textId="499C11CF" w:rsidR="001D7778" w:rsidRDefault="001D7778" w:rsidP="001D7778">
      <w:pPr>
        <w:spacing w:line="360" w:lineRule="auto"/>
        <w:rPr>
          <w:rFonts w:ascii="Arial" w:hAnsi="Arial" w:cs="Arial"/>
          <w:sz w:val="22"/>
          <w:szCs w:val="22"/>
        </w:rPr>
      </w:pPr>
      <w:r w:rsidRPr="0048795A">
        <w:rPr>
          <w:rFonts w:ascii="Arial" w:hAnsi="Arial" w:cs="Arial"/>
          <w:sz w:val="22"/>
          <w:szCs w:val="22"/>
        </w:rPr>
        <w:t xml:space="preserve">The average yearly profit is calculated by dividing </w:t>
      </w:r>
      <w:r w:rsidR="00BE1E45">
        <w:rPr>
          <w:rFonts w:ascii="Arial" w:hAnsi="Arial" w:cs="Arial"/>
          <w:sz w:val="22"/>
          <w:szCs w:val="22"/>
        </w:rPr>
        <w:t>303</w:t>
      </w:r>
      <w:r w:rsidRPr="0048795A">
        <w:rPr>
          <w:rFonts w:ascii="Arial" w:hAnsi="Arial" w:cs="Arial"/>
          <w:sz w:val="22"/>
          <w:szCs w:val="22"/>
        </w:rPr>
        <w:t xml:space="preserve"> by 4, resulting in </w:t>
      </w:r>
      <w:r w:rsidR="00BE1E45">
        <w:rPr>
          <w:rFonts w:ascii="Arial" w:hAnsi="Arial" w:cs="Arial"/>
          <w:sz w:val="22"/>
          <w:szCs w:val="22"/>
        </w:rPr>
        <w:t>757.5</w:t>
      </w:r>
      <w:r w:rsidRPr="0048795A">
        <w:rPr>
          <w:rFonts w:ascii="Arial" w:hAnsi="Arial" w:cs="Arial"/>
          <w:sz w:val="22"/>
          <w:szCs w:val="22"/>
        </w:rPr>
        <w:t xml:space="preserve">. The ARR, or Accounting Rate of Return, is then determined by dividing </w:t>
      </w:r>
      <w:r w:rsidR="00BE1E45">
        <w:rPr>
          <w:rFonts w:ascii="Arial" w:hAnsi="Arial" w:cs="Arial"/>
          <w:sz w:val="22"/>
          <w:szCs w:val="22"/>
        </w:rPr>
        <w:t>757.5</w:t>
      </w:r>
      <w:r w:rsidRPr="0048795A">
        <w:rPr>
          <w:rFonts w:ascii="Arial" w:hAnsi="Arial" w:cs="Arial"/>
          <w:sz w:val="22"/>
          <w:szCs w:val="22"/>
        </w:rPr>
        <w:t xml:space="preserve"> by </w:t>
      </w:r>
      <w:r w:rsidR="00BE1E45">
        <w:rPr>
          <w:rFonts w:ascii="Arial" w:hAnsi="Arial" w:cs="Arial"/>
          <w:sz w:val="22"/>
          <w:szCs w:val="22"/>
        </w:rPr>
        <w:t>1000</w:t>
      </w:r>
      <w:r w:rsidRPr="0048795A">
        <w:rPr>
          <w:rFonts w:ascii="Arial" w:hAnsi="Arial" w:cs="Arial"/>
          <w:sz w:val="22"/>
          <w:szCs w:val="22"/>
        </w:rPr>
        <w:t>, resulting in 0.</w:t>
      </w:r>
      <w:r w:rsidR="00B207EB">
        <w:rPr>
          <w:rFonts w:ascii="Arial" w:hAnsi="Arial" w:cs="Arial"/>
          <w:sz w:val="22"/>
          <w:szCs w:val="22"/>
        </w:rPr>
        <w:t>7575</w:t>
      </w:r>
      <w:r w:rsidRPr="0048795A">
        <w:rPr>
          <w:rFonts w:ascii="Arial" w:hAnsi="Arial" w:cs="Arial"/>
          <w:sz w:val="22"/>
          <w:szCs w:val="22"/>
        </w:rPr>
        <w:t>.</w:t>
      </w:r>
    </w:p>
    <w:p w14:paraId="40432041" w14:textId="6BADC7C2" w:rsidR="001D7778" w:rsidRDefault="001D7778" w:rsidP="001D7778">
      <w:pPr>
        <w:spacing w:line="360" w:lineRule="auto"/>
        <w:rPr>
          <w:rFonts w:ascii="Arial" w:hAnsi="Arial" w:cs="Arial"/>
          <w:sz w:val="22"/>
          <w:szCs w:val="22"/>
        </w:rPr>
      </w:pPr>
      <w:r w:rsidRPr="001D7778">
        <w:rPr>
          <w:rFonts w:ascii="Arial" w:hAnsi="Arial" w:cs="Arial"/>
          <w:sz w:val="22"/>
          <w:szCs w:val="22"/>
        </w:rPr>
        <w:t>Consequently, Project A's average accounting rate of return (ARR) is around </w:t>
      </w:r>
      <w:r w:rsidR="00B207EB">
        <w:rPr>
          <w:rFonts w:ascii="Arial" w:hAnsi="Arial" w:cs="Arial"/>
          <w:sz w:val="22"/>
          <w:szCs w:val="22"/>
        </w:rPr>
        <w:t>76</w:t>
      </w:r>
      <w:r w:rsidRPr="001D7778">
        <w:rPr>
          <w:rFonts w:ascii="Arial" w:hAnsi="Arial" w:cs="Arial"/>
          <w:sz w:val="22"/>
          <w:szCs w:val="22"/>
        </w:rPr>
        <w:t>%.</w:t>
      </w:r>
    </w:p>
    <w:p w14:paraId="1DA17ADE" w14:textId="77777777" w:rsidR="00A45863" w:rsidRDefault="00A45863" w:rsidP="001D7778">
      <w:pPr>
        <w:spacing w:line="360" w:lineRule="auto"/>
        <w:rPr>
          <w:rFonts w:ascii="Arial" w:hAnsi="Arial" w:cs="Arial"/>
          <w:sz w:val="22"/>
          <w:szCs w:val="22"/>
        </w:rPr>
      </w:pPr>
    </w:p>
    <w:p w14:paraId="32A9923C" w14:textId="77777777" w:rsidR="00ED6F9B" w:rsidRPr="00ED6F9B" w:rsidRDefault="00ED6F9B" w:rsidP="00ED6F9B">
      <w:pPr>
        <w:spacing w:line="360" w:lineRule="auto"/>
        <w:rPr>
          <w:rFonts w:ascii="Arial" w:hAnsi="Arial" w:cs="Arial"/>
          <w:sz w:val="22"/>
          <w:szCs w:val="22"/>
        </w:rPr>
      </w:pPr>
      <w:r w:rsidRPr="00ED6F9B">
        <w:rPr>
          <w:rFonts w:ascii="Arial" w:hAnsi="Arial" w:cs="Arial"/>
          <w:sz w:val="22"/>
          <w:szCs w:val="22"/>
        </w:rPr>
        <w:t>Overall, Project A's average accounting rate of return (ARR) is around 25</w:t>
      </w:r>
      <w:proofErr w:type="gramStart"/>
      <w:r w:rsidRPr="00ED6F9B">
        <w:rPr>
          <w:rFonts w:ascii="Arial" w:hAnsi="Arial" w:cs="Arial"/>
          <w:sz w:val="22"/>
          <w:szCs w:val="22"/>
        </w:rPr>
        <w:t>%.Total</w:t>
      </w:r>
      <w:proofErr w:type="gramEnd"/>
      <w:r w:rsidRPr="00ED6F9B">
        <w:rPr>
          <w:rFonts w:ascii="Arial" w:hAnsi="Arial" w:cs="Arial"/>
          <w:sz w:val="22"/>
          <w:szCs w:val="22"/>
        </w:rPr>
        <w:t xml:space="preserve"> Profit: At $5058, Project A yields a larger total profit than Project B, which comes in at $3030. This suggests that Project A has a superior overall financial yield.</w:t>
      </w:r>
      <w:r w:rsidRPr="00ED6F9B">
        <w:rPr>
          <w:rFonts w:ascii="Arial" w:hAnsi="Arial" w:cs="Arial"/>
          <w:sz w:val="22"/>
          <w:szCs w:val="22"/>
        </w:rPr>
        <w:br/>
        <w:t>Project A has a greater average yearly profit of $1264.5, compared to Project B's average annual profit of $757.5. This indicates that Project A offers a more reliable and significant source of income over the duration of the investment.</w:t>
      </w:r>
      <w:r w:rsidRPr="00ED6F9B">
        <w:rPr>
          <w:rFonts w:ascii="Arial" w:hAnsi="Arial" w:cs="Arial"/>
          <w:sz w:val="22"/>
          <w:szCs w:val="22"/>
        </w:rPr>
        <w:br/>
        <w:t>beginning expenditure: Project A necessitates a more substantial beginning expenditure of $5000, while Project B necessitates a lesser initial investment of $1000.</w:t>
      </w:r>
      <w:r w:rsidRPr="00ED6F9B">
        <w:rPr>
          <w:rFonts w:ascii="Arial" w:hAnsi="Arial" w:cs="Arial"/>
          <w:sz w:val="22"/>
          <w:szCs w:val="22"/>
        </w:rPr>
        <w:br/>
        <w:t>Project B exhibits a substantially higher Accounting Rate of Return (ARR) of 75.75% in contrast to Project A's ARR of 25.29%. This suggests that Project B provides a greater return on investment in comparison to its initial cost.</w:t>
      </w:r>
    </w:p>
    <w:p w14:paraId="74A93AE8" w14:textId="77777777" w:rsidR="001D7778" w:rsidRPr="00135CD7" w:rsidRDefault="001D7778" w:rsidP="004F0F64">
      <w:pPr>
        <w:spacing w:line="360" w:lineRule="auto"/>
        <w:rPr>
          <w:rFonts w:ascii="Arial" w:hAnsi="Arial" w:cs="Arial"/>
          <w:sz w:val="22"/>
          <w:szCs w:val="22"/>
        </w:rPr>
      </w:pPr>
    </w:p>
    <w:p w14:paraId="338F2E38" w14:textId="77777777" w:rsidR="0049551B" w:rsidRPr="0049551B" w:rsidRDefault="0049551B" w:rsidP="004F0F64">
      <w:pPr>
        <w:spacing w:line="360" w:lineRule="auto"/>
        <w:rPr>
          <w:rFonts w:ascii="Arial" w:hAnsi="Arial" w:cs="Arial"/>
          <w:sz w:val="22"/>
          <w:szCs w:val="22"/>
        </w:rPr>
      </w:pPr>
    </w:p>
    <w:p w14:paraId="4A63D194" w14:textId="77777777" w:rsidR="0049551B" w:rsidRPr="00D81938" w:rsidRDefault="0049551B" w:rsidP="004F0F64">
      <w:pPr>
        <w:spacing w:line="360" w:lineRule="auto"/>
        <w:rPr>
          <w:rFonts w:ascii="Arial" w:hAnsi="Arial" w:cs="Arial"/>
          <w:b/>
          <w:bCs/>
          <w:sz w:val="22"/>
          <w:szCs w:val="22"/>
        </w:rPr>
      </w:pPr>
    </w:p>
    <w:p w14:paraId="31DE9821" w14:textId="06D4C054" w:rsidR="0049551B" w:rsidRDefault="00EF1A4B" w:rsidP="00150C06">
      <w:pPr>
        <w:pStyle w:val="Heading2"/>
      </w:pPr>
      <w:bookmarkStart w:id="21" w:name="_Toc164857844"/>
      <w:r w:rsidRPr="00D81938">
        <w:t>Net Present Value (NPV)</w:t>
      </w:r>
      <w:bookmarkEnd w:id="21"/>
    </w:p>
    <w:p w14:paraId="5104E8EC" w14:textId="77777777" w:rsidR="005D4B61" w:rsidRDefault="005D4B61" w:rsidP="004F0F64">
      <w:pPr>
        <w:spacing w:line="360" w:lineRule="auto"/>
        <w:rPr>
          <w:rFonts w:ascii="Arial" w:hAnsi="Arial" w:cs="Arial"/>
          <w:b/>
          <w:bCs/>
          <w:sz w:val="22"/>
          <w:szCs w:val="22"/>
        </w:rPr>
      </w:pPr>
    </w:p>
    <w:p w14:paraId="31B27F9C" w14:textId="0DCA5C4D" w:rsidR="005D4B61" w:rsidRPr="005D4B61" w:rsidRDefault="00800E64" w:rsidP="004F0F64">
      <w:pPr>
        <w:spacing w:line="360" w:lineRule="auto"/>
        <w:rPr>
          <w:rFonts w:ascii="Arial" w:hAnsi="Arial" w:cs="Arial"/>
          <w:sz w:val="22"/>
          <w:szCs w:val="22"/>
        </w:rPr>
      </w:pPr>
      <w:r w:rsidRPr="00800E64">
        <w:rPr>
          <w:rFonts w:ascii="Arial" w:hAnsi="Arial" w:cs="Arial"/>
          <w:sz w:val="22"/>
          <w:szCs w:val="22"/>
        </w:rPr>
        <w:lastRenderedPageBreak/>
        <w:t xml:space="preserve">To determine the profitability of an initiative or investment, Net Present Value (NPV) is a financial metric. It accomplishes this by comparing the present value of the projected cash inflows against the present value of the initial investment (or outflows). NPV incorporates the notion of the time value of money by utilising a pre-established discount rate to convert future cash flows into their current worth. A positive net present value (NPV) indicates that the project is expected to generate more cash inflows than outflows, resulting in value creation for the investor. Conversely, a negative Net Present Value (NPV) suggests that the project may not be economically viable as the anticipated cash inflows are insufficient to offset the initial investment. </w:t>
      </w:r>
      <w:r w:rsidR="00BF7439" w:rsidRPr="00BF7439">
        <w:rPr>
          <w:rFonts w:ascii="Arial" w:hAnsi="Arial" w:cs="Arial"/>
          <w:sz w:val="22"/>
          <w:szCs w:val="22"/>
        </w:rPr>
        <w:t>(Hopkinson,</w:t>
      </w:r>
      <w:r w:rsidR="00BF7439">
        <w:rPr>
          <w:rFonts w:ascii="Arial" w:hAnsi="Arial" w:cs="Arial"/>
          <w:sz w:val="22"/>
          <w:szCs w:val="22"/>
        </w:rPr>
        <w:t xml:space="preserve"> M., </w:t>
      </w:r>
      <w:r w:rsidR="00BF7439" w:rsidRPr="00BF7439">
        <w:rPr>
          <w:rFonts w:ascii="Arial" w:hAnsi="Arial" w:cs="Arial"/>
          <w:sz w:val="22"/>
          <w:szCs w:val="22"/>
        </w:rPr>
        <w:t>2017)</w:t>
      </w:r>
      <w:r w:rsidR="00BF7439">
        <w:rPr>
          <w:rFonts w:ascii="Arial" w:hAnsi="Arial" w:cs="Arial"/>
          <w:sz w:val="22"/>
          <w:szCs w:val="22"/>
        </w:rPr>
        <w:t>.</w:t>
      </w:r>
    </w:p>
    <w:p w14:paraId="53E54ABA" w14:textId="66F61159" w:rsidR="00B209A8" w:rsidRDefault="00B209A8" w:rsidP="004F0F64">
      <w:pPr>
        <w:spacing w:line="360" w:lineRule="auto"/>
        <w:rPr>
          <w:rFonts w:ascii="Arial" w:hAnsi="Arial" w:cs="Arial"/>
          <w:sz w:val="22"/>
          <w:szCs w:val="22"/>
        </w:rPr>
      </w:pPr>
    </w:p>
    <w:p w14:paraId="2B216D13" w14:textId="46074629" w:rsidR="00460444" w:rsidRDefault="00460444" w:rsidP="00460444">
      <w:pPr>
        <w:pStyle w:val="Caption"/>
      </w:pPr>
      <w:bookmarkStart w:id="22" w:name="_Toc164857422"/>
      <w:r>
        <w:t xml:space="preserve">Table </w:t>
      </w:r>
      <w:r>
        <w:fldChar w:fldCharType="begin"/>
      </w:r>
      <w:r>
        <w:instrText xml:space="preserve"> SEQ Table \* ARABIC </w:instrText>
      </w:r>
      <w:r>
        <w:fldChar w:fldCharType="separate"/>
      </w:r>
      <w:r>
        <w:rPr>
          <w:noProof/>
        </w:rPr>
        <w:t>8</w:t>
      </w:r>
      <w:r>
        <w:fldChar w:fldCharType="end"/>
      </w:r>
      <w:r>
        <w:t xml:space="preserve">Table </w:t>
      </w:r>
      <w:r>
        <w:fldChar w:fldCharType="begin"/>
      </w:r>
      <w:r>
        <w:instrText xml:space="preserve"> SEQ Table \* ARABIC </w:instrText>
      </w:r>
      <w:r>
        <w:fldChar w:fldCharType="separate"/>
      </w:r>
      <w:r>
        <w:rPr>
          <w:noProof/>
        </w:rPr>
        <w:t>9</w:t>
      </w:r>
      <w:bookmarkEnd w:id="22"/>
      <w:r>
        <w:fldChar w:fldCharType="end"/>
      </w:r>
    </w:p>
    <w:p w14:paraId="0A8C3F33" w14:textId="61E6CF94" w:rsidR="00B209A8" w:rsidRDefault="00460444" w:rsidP="004F0F64">
      <w:pPr>
        <w:spacing w:line="360" w:lineRule="auto"/>
        <w:rPr>
          <w:rFonts w:ascii="Arial" w:hAnsi="Arial" w:cs="Arial"/>
          <w:sz w:val="22"/>
          <w:szCs w:val="22"/>
        </w:rPr>
      </w:pPr>
      <w:r>
        <w:rPr>
          <w:rFonts w:ascii="Arial" w:hAnsi="Arial" w:cs="Arial"/>
          <w:noProof/>
          <w:sz w:val="22"/>
          <w:szCs w:val="22"/>
        </w:rPr>
        <w:drawing>
          <wp:inline distT="0" distB="0" distL="0" distR="0" wp14:anchorId="6EB64BC3" wp14:editId="1D79B5B8">
            <wp:extent cx="5731510" cy="832485"/>
            <wp:effectExtent l="0" t="0" r="0" b="5715"/>
            <wp:docPr id="1406884268" name="Picture 4" descr="A math equation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84268" name="Picture 4" descr="A math equations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32485"/>
                    </a:xfrm>
                    <a:prstGeom prst="rect">
                      <a:avLst/>
                    </a:prstGeom>
                  </pic:spPr>
                </pic:pic>
              </a:graphicData>
            </a:graphic>
          </wp:inline>
        </w:drawing>
      </w:r>
    </w:p>
    <w:p w14:paraId="38E4C36B" w14:textId="7329F976" w:rsidR="00460444" w:rsidRDefault="00460444" w:rsidP="004F0F64">
      <w:pPr>
        <w:spacing w:line="360" w:lineRule="auto"/>
        <w:rPr>
          <w:rFonts w:ascii="Arial" w:hAnsi="Arial" w:cs="Arial"/>
          <w:sz w:val="22"/>
          <w:szCs w:val="22"/>
        </w:rPr>
      </w:pPr>
      <w:r>
        <w:rPr>
          <w:rFonts w:ascii="Arial" w:hAnsi="Arial" w:cs="Arial"/>
          <w:sz w:val="22"/>
          <w:szCs w:val="22"/>
        </w:rPr>
        <w:t xml:space="preserve">Source: UWTSD </w:t>
      </w:r>
      <w:proofErr w:type="gramStart"/>
      <w:r>
        <w:rPr>
          <w:rFonts w:ascii="Arial" w:hAnsi="Arial" w:cs="Arial"/>
          <w:sz w:val="22"/>
          <w:szCs w:val="22"/>
        </w:rPr>
        <w:t>Slides,  2024</w:t>
      </w:r>
      <w:proofErr w:type="gramEnd"/>
      <w:r>
        <w:rPr>
          <w:rFonts w:ascii="Arial" w:hAnsi="Arial" w:cs="Arial"/>
          <w:sz w:val="22"/>
          <w:szCs w:val="22"/>
        </w:rPr>
        <w:t>.</w:t>
      </w:r>
    </w:p>
    <w:p w14:paraId="32DEB960" w14:textId="77777777" w:rsidR="00460444" w:rsidRPr="00B209A8" w:rsidRDefault="00460444" w:rsidP="004F0F64">
      <w:pPr>
        <w:spacing w:line="360" w:lineRule="auto"/>
        <w:rPr>
          <w:rFonts w:ascii="Arial" w:hAnsi="Arial" w:cs="Arial"/>
          <w:sz w:val="22"/>
          <w:szCs w:val="22"/>
        </w:rPr>
      </w:pPr>
    </w:p>
    <w:p w14:paraId="2CE70B70" w14:textId="1B2145D5" w:rsidR="00DE4DFE" w:rsidRDefault="00B331DD" w:rsidP="00150C06">
      <w:pPr>
        <w:pStyle w:val="Heading3"/>
      </w:pPr>
      <w:bookmarkStart w:id="23" w:name="_Toc164857845"/>
      <w:r>
        <w:t>P</w:t>
      </w:r>
      <w:r w:rsidR="00DE4DFE">
        <w:t>roject A</w:t>
      </w:r>
      <w:bookmarkEnd w:id="23"/>
    </w:p>
    <w:p w14:paraId="795E3DB8" w14:textId="6ED48B3A" w:rsidR="0049551B" w:rsidRDefault="007C21A2" w:rsidP="004F0F64">
      <w:pPr>
        <w:spacing w:line="360" w:lineRule="auto"/>
        <w:rPr>
          <w:rFonts w:ascii="Arial" w:hAnsi="Arial" w:cs="Arial"/>
          <w:b/>
          <w:bCs/>
          <w:sz w:val="22"/>
          <w:szCs w:val="22"/>
        </w:rPr>
      </w:pPr>
      <w:r w:rsidRPr="007C21A2">
        <w:rPr>
          <w:rFonts w:ascii="Arial" w:hAnsi="Arial" w:cs="Arial"/>
          <w:b/>
          <w:bCs/>
          <w:sz w:val="22"/>
          <w:szCs w:val="22"/>
        </w:rPr>
        <w:drawing>
          <wp:inline distT="0" distB="0" distL="0" distR="0" wp14:anchorId="6AEE2DCC" wp14:editId="11808890">
            <wp:extent cx="5731510" cy="1337945"/>
            <wp:effectExtent l="0" t="0" r="0" b="0"/>
            <wp:docPr id="44663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3195" name=""/>
                    <pic:cNvPicPr/>
                  </pic:nvPicPr>
                  <pic:blipFill>
                    <a:blip r:embed="rId18"/>
                    <a:stretch>
                      <a:fillRect/>
                    </a:stretch>
                  </pic:blipFill>
                  <pic:spPr>
                    <a:xfrm>
                      <a:off x="0" y="0"/>
                      <a:ext cx="5731510" cy="1337945"/>
                    </a:xfrm>
                    <a:prstGeom prst="rect">
                      <a:avLst/>
                    </a:prstGeom>
                  </pic:spPr>
                </pic:pic>
              </a:graphicData>
            </a:graphic>
          </wp:inline>
        </w:drawing>
      </w:r>
    </w:p>
    <w:p w14:paraId="74AA566A" w14:textId="3D31EB84" w:rsidR="00B331DD" w:rsidRDefault="00CD21E0" w:rsidP="004F0F64">
      <w:pPr>
        <w:spacing w:line="360" w:lineRule="auto"/>
        <w:rPr>
          <w:rFonts w:ascii="Arial" w:hAnsi="Arial" w:cs="Arial"/>
          <w:sz w:val="22"/>
          <w:szCs w:val="22"/>
        </w:rPr>
      </w:pPr>
      <w:r>
        <w:rPr>
          <w:rFonts w:ascii="Arial" w:hAnsi="Arial" w:cs="Arial"/>
          <w:sz w:val="22"/>
          <w:szCs w:val="22"/>
        </w:rPr>
        <w:t>Source: Author</w:t>
      </w:r>
    </w:p>
    <w:p w14:paraId="76E7A819" w14:textId="77777777" w:rsidR="005D4B61" w:rsidRDefault="005D4B61" w:rsidP="004F0F64">
      <w:pPr>
        <w:spacing w:line="360" w:lineRule="auto"/>
        <w:rPr>
          <w:rFonts w:ascii="Arial" w:hAnsi="Arial" w:cs="Arial"/>
          <w:sz w:val="22"/>
          <w:szCs w:val="22"/>
        </w:rPr>
      </w:pPr>
    </w:p>
    <w:p w14:paraId="72586FDF" w14:textId="35487566" w:rsidR="00CF4CDF" w:rsidRPr="00CF4CDF" w:rsidRDefault="00CF4CDF" w:rsidP="00CF4CDF">
      <w:pPr>
        <w:spacing w:line="360" w:lineRule="auto"/>
        <w:rPr>
          <w:rFonts w:ascii="Arial" w:hAnsi="Arial" w:cs="Arial"/>
          <w:sz w:val="22"/>
          <w:szCs w:val="22"/>
        </w:rPr>
      </w:pPr>
      <w:r w:rsidRPr="00CF4CDF">
        <w:rPr>
          <w:rFonts w:ascii="Arial" w:hAnsi="Arial" w:cs="Arial"/>
          <w:sz w:val="22"/>
          <w:szCs w:val="22"/>
        </w:rPr>
        <w:t>With a Net Present Value (NPV) of 3.07, the investment's original $5,000 investment is less than the present value of the future cash flows it would produce, discounted at a rate of 0.75.</w:t>
      </w:r>
    </w:p>
    <w:p w14:paraId="45C8C21C" w14:textId="77777777" w:rsidR="00CF4CDF" w:rsidRPr="00CF4CDF" w:rsidRDefault="00CF4CDF" w:rsidP="00CF4CDF">
      <w:pPr>
        <w:spacing w:line="360" w:lineRule="auto"/>
        <w:rPr>
          <w:rFonts w:ascii="Arial" w:hAnsi="Arial" w:cs="Arial"/>
          <w:sz w:val="22"/>
          <w:szCs w:val="22"/>
        </w:rPr>
      </w:pPr>
    </w:p>
    <w:p w14:paraId="41CB8F01" w14:textId="77777777" w:rsidR="00CF4CDF" w:rsidRPr="00CF4CDF" w:rsidRDefault="00CF4CDF" w:rsidP="00CF4CDF">
      <w:pPr>
        <w:spacing w:line="360" w:lineRule="auto"/>
        <w:rPr>
          <w:rFonts w:ascii="Arial" w:hAnsi="Arial" w:cs="Arial"/>
          <w:sz w:val="22"/>
          <w:szCs w:val="22"/>
        </w:rPr>
      </w:pPr>
      <w:r w:rsidRPr="00CF4CDF">
        <w:rPr>
          <w:rFonts w:ascii="Arial" w:hAnsi="Arial" w:cs="Arial"/>
          <w:sz w:val="22"/>
          <w:szCs w:val="22"/>
        </w:rPr>
        <w:t>Put simply, the NPV of 3.07 indicates that the investment is projected to yield favourable returns. This means that the present value of the investment's future cash flows is $3.07 greater than the initial investment of $5000, when discounted at a rate of 0.75. The positive net present value (NPV) suggests that the investment has the capacity to generate value and profits in the long run, making it an appealing investment prospect.</w:t>
      </w:r>
    </w:p>
    <w:p w14:paraId="3939E33E" w14:textId="77777777" w:rsidR="00CF4CDF" w:rsidRPr="00CF4CDF" w:rsidRDefault="00CF4CDF" w:rsidP="00CF4CDF">
      <w:pPr>
        <w:spacing w:line="360" w:lineRule="auto"/>
        <w:rPr>
          <w:rFonts w:ascii="Arial" w:hAnsi="Arial" w:cs="Arial"/>
          <w:sz w:val="22"/>
          <w:szCs w:val="22"/>
        </w:rPr>
      </w:pPr>
    </w:p>
    <w:p w14:paraId="399B6D24" w14:textId="7CCF9F1B" w:rsidR="00CF4CDF" w:rsidRDefault="00CF4CDF" w:rsidP="00CF4CDF">
      <w:pPr>
        <w:spacing w:line="360" w:lineRule="auto"/>
        <w:rPr>
          <w:rFonts w:ascii="Arial" w:hAnsi="Arial" w:cs="Arial"/>
          <w:sz w:val="22"/>
          <w:szCs w:val="22"/>
        </w:rPr>
      </w:pPr>
      <w:r w:rsidRPr="00CF4CDF">
        <w:rPr>
          <w:rFonts w:ascii="Arial" w:hAnsi="Arial" w:cs="Arial"/>
          <w:sz w:val="22"/>
          <w:szCs w:val="22"/>
        </w:rPr>
        <w:lastRenderedPageBreak/>
        <w:t>In summary, a net present value (NPV) of 3.07 indicates that the investment is likely to be profitable. This means that the profits from the investment are projected to exceed its costs when discounted at a rate of 0.75.</w:t>
      </w:r>
    </w:p>
    <w:p w14:paraId="064B0EA4" w14:textId="77777777" w:rsidR="00A30429" w:rsidRPr="00CD21E0" w:rsidRDefault="00A30429" w:rsidP="004F0F64">
      <w:pPr>
        <w:spacing w:line="360" w:lineRule="auto"/>
        <w:rPr>
          <w:rFonts w:ascii="Arial" w:hAnsi="Arial" w:cs="Arial"/>
          <w:sz w:val="22"/>
          <w:szCs w:val="22"/>
        </w:rPr>
      </w:pPr>
    </w:p>
    <w:p w14:paraId="40E9D4D5" w14:textId="1B4D62AA" w:rsidR="00B331DD" w:rsidRDefault="00B331DD" w:rsidP="00150C06">
      <w:pPr>
        <w:pStyle w:val="Heading3"/>
      </w:pPr>
      <w:bookmarkStart w:id="24" w:name="_Toc164857846"/>
      <w:r>
        <w:t>Project B</w:t>
      </w:r>
      <w:bookmarkEnd w:id="24"/>
    </w:p>
    <w:p w14:paraId="2B40DB29" w14:textId="20FE920D" w:rsidR="00A862E2" w:rsidRDefault="007F1269" w:rsidP="004F0F64">
      <w:pPr>
        <w:spacing w:line="360" w:lineRule="auto"/>
        <w:rPr>
          <w:rFonts w:ascii="Arial" w:hAnsi="Arial" w:cs="Arial"/>
          <w:b/>
          <w:bCs/>
          <w:sz w:val="22"/>
          <w:szCs w:val="22"/>
        </w:rPr>
      </w:pPr>
      <w:r w:rsidRPr="007F1269">
        <w:rPr>
          <w:rFonts w:ascii="Arial" w:hAnsi="Arial" w:cs="Arial"/>
          <w:b/>
          <w:bCs/>
          <w:sz w:val="22"/>
          <w:szCs w:val="22"/>
        </w:rPr>
        <w:drawing>
          <wp:inline distT="0" distB="0" distL="0" distR="0" wp14:anchorId="6135D3A3" wp14:editId="3E1B9ADF">
            <wp:extent cx="5731510" cy="1527810"/>
            <wp:effectExtent l="0" t="0" r="0" b="0"/>
            <wp:docPr id="432272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72678" name=""/>
                    <pic:cNvPicPr/>
                  </pic:nvPicPr>
                  <pic:blipFill>
                    <a:blip r:embed="rId19"/>
                    <a:stretch>
                      <a:fillRect/>
                    </a:stretch>
                  </pic:blipFill>
                  <pic:spPr>
                    <a:xfrm>
                      <a:off x="0" y="0"/>
                      <a:ext cx="5731510" cy="1527810"/>
                    </a:xfrm>
                    <a:prstGeom prst="rect">
                      <a:avLst/>
                    </a:prstGeom>
                  </pic:spPr>
                </pic:pic>
              </a:graphicData>
            </a:graphic>
          </wp:inline>
        </w:drawing>
      </w:r>
    </w:p>
    <w:p w14:paraId="3E586A01" w14:textId="77777777" w:rsidR="005776FB" w:rsidRPr="00887324" w:rsidRDefault="005776FB" w:rsidP="005776FB">
      <w:pPr>
        <w:spacing w:line="360" w:lineRule="auto"/>
        <w:rPr>
          <w:rFonts w:ascii="Arial" w:hAnsi="Arial" w:cs="Arial"/>
          <w:sz w:val="22"/>
          <w:szCs w:val="22"/>
        </w:rPr>
      </w:pPr>
      <w:r>
        <w:rPr>
          <w:rFonts w:ascii="Arial" w:hAnsi="Arial" w:cs="Arial"/>
          <w:sz w:val="22"/>
          <w:szCs w:val="22"/>
        </w:rPr>
        <w:t xml:space="preserve">Source: Author </w:t>
      </w:r>
    </w:p>
    <w:p w14:paraId="50E0C46D" w14:textId="77777777" w:rsidR="00B331DD" w:rsidRPr="00B331DD" w:rsidRDefault="00B331DD" w:rsidP="004F0F64">
      <w:pPr>
        <w:spacing w:line="360" w:lineRule="auto"/>
        <w:rPr>
          <w:rFonts w:ascii="Arial" w:hAnsi="Arial" w:cs="Arial"/>
          <w:b/>
          <w:bCs/>
          <w:sz w:val="22"/>
          <w:szCs w:val="22"/>
        </w:rPr>
      </w:pPr>
    </w:p>
    <w:p w14:paraId="0EEA7F1F" w14:textId="77777777" w:rsidR="005776FB" w:rsidRPr="005776FB" w:rsidRDefault="005776FB" w:rsidP="005776FB">
      <w:pPr>
        <w:spacing w:line="360" w:lineRule="auto"/>
        <w:rPr>
          <w:rFonts w:ascii="Arial" w:hAnsi="Arial" w:cs="Arial"/>
          <w:sz w:val="22"/>
          <w:szCs w:val="22"/>
        </w:rPr>
      </w:pPr>
      <w:r w:rsidRPr="005776FB">
        <w:rPr>
          <w:rFonts w:ascii="Arial" w:hAnsi="Arial" w:cs="Arial"/>
          <w:sz w:val="22"/>
          <w:szCs w:val="22"/>
        </w:rPr>
        <w:t>The Net Present Value (NPV) of $1997.17 indicates that the current value of the future cash flows produced by Project B, after being discounted at a rate of 0.75, is considerably higher than the initial investment of $1000.</w:t>
      </w:r>
    </w:p>
    <w:p w14:paraId="551B8182" w14:textId="77777777" w:rsidR="005776FB" w:rsidRPr="005776FB" w:rsidRDefault="005776FB" w:rsidP="005776FB">
      <w:pPr>
        <w:spacing w:line="360" w:lineRule="auto"/>
        <w:rPr>
          <w:rFonts w:ascii="Arial" w:hAnsi="Arial" w:cs="Arial"/>
          <w:sz w:val="22"/>
          <w:szCs w:val="22"/>
        </w:rPr>
      </w:pPr>
    </w:p>
    <w:p w14:paraId="1B442960" w14:textId="77777777" w:rsidR="005776FB" w:rsidRPr="005776FB" w:rsidRDefault="005776FB" w:rsidP="005776FB">
      <w:pPr>
        <w:spacing w:line="360" w:lineRule="auto"/>
        <w:rPr>
          <w:rFonts w:ascii="Arial" w:hAnsi="Arial" w:cs="Arial"/>
          <w:sz w:val="22"/>
          <w:szCs w:val="22"/>
        </w:rPr>
      </w:pPr>
      <w:r w:rsidRPr="005776FB">
        <w:rPr>
          <w:rFonts w:ascii="Arial" w:hAnsi="Arial" w:cs="Arial"/>
          <w:sz w:val="22"/>
          <w:szCs w:val="22"/>
        </w:rPr>
        <w:t>The positive net present value (NPV) suggests that Project B is projected to provide significant value and profitability in the long run. The net present value (NPV) of $1997.17 indicates that the anticipated profits from Project B are projected to significantly exceed its initial investment cost when discounted at a rate of 0.75.</w:t>
      </w:r>
    </w:p>
    <w:p w14:paraId="20F416DA" w14:textId="77777777" w:rsidR="005776FB" w:rsidRPr="005776FB" w:rsidRDefault="005776FB" w:rsidP="005776FB">
      <w:pPr>
        <w:spacing w:line="360" w:lineRule="auto"/>
        <w:rPr>
          <w:rFonts w:ascii="Arial" w:hAnsi="Arial" w:cs="Arial"/>
          <w:sz w:val="22"/>
          <w:szCs w:val="22"/>
        </w:rPr>
      </w:pPr>
    </w:p>
    <w:p w14:paraId="616B15AC" w14:textId="4F1D6DE7" w:rsidR="0049551B" w:rsidRDefault="005776FB" w:rsidP="005776FB">
      <w:pPr>
        <w:spacing w:line="360" w:lineRule="auto"/>
        <w:rPr>
          <w:rFonts w:ascii="Arial" w:hAnsi="Arial" w:cs="Arial"/>
          <w:sz w:val="22"/>
          <w:szCs w:val="22"/>
        </w:rPr>
      </w:pPr>
      <w:r w:rsidRPr="005776FB">
        <w:rPr>
          <w:rFonts w:ascii="Arial" w:hAnsi="Arial" w:cs="Arial"/>
          <w:sz w:val="22"/>
          <w:szCs w:val="22"/>
        </w:rPr>
        <w:t>Project B is an attractive investment opportunity, as indicated by its positive net present value (NPV) of $1997.17. This suggests that the project has the capacity to generate significant financial gains and add value for the investor, making it an advantageous investment option.</w:t>
      </w:r>
    </w:p>
    <w:p w14:paraId="2148DA0F" w14:textId="77777777" w:rsidR="00265D80" w:rsidRDefault="00265D80" w:rsidP="00207DA5">
      <w:pPr>
        <w:spacing w:line="360" w:lineRule="auto"/>
        <w:rPr>
          <w:rFonts w:ascii="Arial" w:hAnsi="Arial" w:cs="Arial"/>
          <w:sz w:val="22"/>
          <w:szCs w:val="22"/>
        </w:rPr>
      </w:pPr>
    </w:p>
    <w:p w14:paraId="2BABE7CD" w14:textId="3EEC8FAD" w:rsidR="00524703" w:rsidRPr="00524703" w:rsidRDefault="00524703" w:rsidP="00150C06">
      <w:pPr>
        <w:pStyle w:val="Heading2"/>
      </w:pPr>
      <w:bookmarkStart w:id="25" w:name="_Toc164857847"/>
      <w:r>
        <w:t>Con</w:t>
      </w:r>
      <w:r w:rsidR="00A80B3C">
        <w:t>clusion:</w:t>
      </w:r>
      <w:bookmarkEnd w:id="25"/>
    </w:p>
    <w:p w14:paraId="1581879F" w14:textId="155F3B76" w:rsidR="00207DA5" w:rsidRDefault="00207DA5" w:rsidP="00207DA5">
      <w:pPr>
        <w:spacing w:line="360" w:lineRule="auto"/>
        <w:rPr>
          <w:rFonts w:ascii="Arial" w:hAnsi="Arial" w:cs="Arial"/>
          <w:sz w:val="22"/>
          <w:szCs w:val="22"/>
        </w:rPr>
      </w:pPr>
      <w:r w:rsidRPr="00207DA5">
        <w:rPr>
          <w:rFonts w:ascii="Arial" w:hAnsi="Arial" w:cs="Arial"/>
          <w:sz w:val="22"/>
          <w:szCs w:val="22"/>
        </w:rPr>
        <w:t xml:space="preserve">When assessing the viability of Project A and Project B, </w:t>
      </w:r>
      <w:r w:rsidR="00095865" w:rsidRPr="00207DA5">
        <w:rPr>
          <w:rFonts w:ascii="Arial" w:hAnsi="Arial" w:cs="Arial"/>
          <w:sz w:val="22"/>
          <w:szCs w:val="22"/>
        </w:rPr>
        <w:t>several</w:t>
      </w:r>
      <w:r w:rsidRPr="00207DA5">
        <w:rPr>
          <w:rFonts w:ascii="Arial" w:hAnsi="Arial" w:cs="Arial"/>
          <w:sz w:val="22"/>
          <w:szCs w:val="22"/>
        </w:rPr>
        <w:t xml:space="preserve"> crucial criteria become apparent. Project B has a considerably shorter payback period of around 8 months, in contrast to Project A's duration of 2 years and 6 months. This suggests that Project B has a faster return on investment, as it starts generating surplus cash flows within the first year. Furthermore, Project B has a significantly higher Annualised Rate of Return (ARR) of 75.75% compared to Project A's 25.29%. This indicates that Project B offers a bigger return on investment in relation to its initial cost. Furthermore, both projects exhibit favourable Net </w:t>
      </w:r>
      <w:r w:rsidRPr="00207DA5">
        <w:rPr>
          <w:rFonts w:ascii="Arial" w:hAnsi="Arial" w:cs="Arial"/>
          <w:sz w:val="22"/>
          <w:szCs w:val="22"/>
        </w:rPr>
        <w:lastRenderedPageBreak/>
        <w:t>Present Values (NPVs), however, Project B's NPV of $1997.17 far surpasses Project A's $3.07, suggesting superior long-term profitability. These data indicate that Project B is more viable, as it provides a faster return on investment, higher return compared to the initial cost, and more predicted profitability. This makes it an attractive investment option for people looking for immediate and substantial financial advantages.</w:t>
      </w:r>
    </w:p>
    <w:p w14:paraId="0ED238C1" w14:textId="77777777" w:rsidR="001E294F" w:rsidRDefault="001E294F" w:rsidP="00207DA5">
      <w:pPr>
        <w:spacing w:line="360" w:lineRule="auto"/>
        <w:rPr>
          <w:rFonts w:ascii="Arial" w:hAnsi="Arial" w:cs="Arial"/>
          <w:sz w:val="22"/>
          <w:szCs w:val="22"/>
        </w:rPr>
      </w:pPr>
    </w:p>
    <w:p w14:paraId="47CF9A21" w14:textId="77777777" w:rsidR="001E294F" w:rsidRPr="001E294F" w:rsidRDefault="001E294F" w:rsidP="00150C06">
      <w:pPr>
        <w:pStyle w:val="Heading2"/>
      </w:pPr>
      <w:bookmarkStart w:id="26" w:name="_Toc164857848"/>
      <w:r w:rsidRPr="001E294F">
        <w:t>Non-financial factors management needs to consider.</w:t>
      </w:r>
      <w:bookmarkEnd w:id="26"/>
      <w:r w:rsidRPr="001E294F">
        <w:t xml:space="preserve"> </w:t>
      </w:r>
    </w:p>
    <w:p w14:paraId="0258BA76" w14:textId="77777777" w:rsidR="001E294F" w:rsidRPr="001E294F" w:rsidRDefault="001E294F" w:rsidP="001E294F">
      <w:pPr>
        <w:spacing w:line="360" w:lineRule="auto"/>
        <w:rPr>
          <w:rFonts w:ascii="Arial" w:hAnsi="Arial" w:cs="Arial"/>
          <w:sz w:val="22"/>
          <w:szCs w:val="22"/>
        </w:rPr>
      </w:pPr>
    </w:p>
    <w:p w14:paraId="20F5E582" w14:textId="77777777" w:rsidR="001E294F" w:rsidRPr="001E294F" w:rsidRDefault="001E294F" w:rsidP="001E294F">
      <w:pPr>
        <w:spacing w:line="360" w:lineRule="auto"/>
        <w:rPr>
          <w:rFonts w:ascii="Arial" w:hAnsi="Arial" w:cs="Arial"/>
          <w:sz w:val="22"/>
          <w:szCs w:val="22"/>
        </w:rPr>
      </w:pPr>
      <w:r w:rsidRPr="001E294F">
        <w:rPr>
          <w:rFonts w:ascii="Arial" w:hAnsi="Arial" w:cs="Arial"/>
          <w:sz w:val="22"/>
          <w:szCs w:val="22"/>
        </w:rPr>
        <w:t xml:space="preserve">Aside from financial measures, managers must </w:t>
      </w:r>
      <w:proofErr w:type="gramStart"/>
      <w:r w:rsidRPr="001E294F">
        <w:rPr>
          <w:rFonts w:ascii="Arial" w:hAnsi="Arial" w:cs="Arial"/>
          <w:sz w:val="22"/>
          <w:szCs w:val="22"/>
        </w:rPr>
        <w:t>take into account</w:t>
      </w:r>
      <w:proofErr w:type="gramEnd"/>
      <w:r w:rsidRPr="001E294F">
        <w:rPr>
          <w:rFonts w:ascii="Arial" w:hAnsi="Arial" w:cs="Arial"/>
          <w:sz w:val="22"/>
          <w:szCs w:val="22"/>
        </w:rPr>
        <w:t xml:space="preserve"> several non-financial variables while assessing capital projects. The considerations include the alignment of strategies with long-term objectives and market demand, the readiness of technology, compliance with regulations, the capacity of the organisation, the influence on stakeholders, and the environmental and social repercussions. Evaluating these factors guarantees that projects align with the organisation's strategic goals, satisfy market needs, exploit suitable technology, comply with regulatory obligations, optimise resource utilisation, involve stakeholders, and uphold environmental and social accountability. By including these non-financial factors into project assessment, managers may make more holistic decisions that promote sustainable expansion, reduce risks, and align with the organization's overall goals and principles (Rana et al., 2019).</w:t>
      </w:r>
    </w:p>
    <w:p w14:paraId="469B1E02" w14:textId="77777777" w:rsidR="001E294F" w:rsidRDefault="001E294F" w:rsidP="00207DA5">
      <w:pPr>
        <w:spacing w:line="360" w:lineRule="auto"/>
        <w:rPr>
          <w:rFonts w:ascii="Arial" w:hAnsi="Arial" w:cs="Arial"/>
          <w:sz w:val="22"/>
          <w:szCs w:val="22"/>
        </w:rPr>
      </w:pPr>
    </w:p>
    <w:p w14:paraId="6CB6A18A" w14:textId="77777777" w:rsidR="00541DC7" w:rsidRDefault="00541DC7">
      <w:pPr>
        <w:rPr>
          <w:rFonts w:ascii="Arial" w:hAnsi="Arial" w:cs="Arial"/>
          <w:sz w:val="22"/>
          <w:szCs w:val="22"/>
        </w:rPr>
      </w:pPr>
    </w:p>
    <w:p w14:paraId="43C7A6DF" w14:textId="77777777" w:rsidR="00541DC7" w:rsidRDefault="00541DC7">
      <w:pPr>
        <w:rPr>
          <w:rFonts w:ascii="Arial" w:hAnsi="Arial" w:cs="Arial"/>
          <w:sz w:val="22"/>
          <w:szCs w:val="22"/>
        </w:rPr>
      </w:pPr>
    </w:p>
    <w:p w14:paraId="74AD5EEC" w14:textId="77777777" w:rsidR="00541DC7" w:rsidRPr="00207DA5" w:rsidRDefault="00541DC7">
      <w:pPr>
        <w:rPr>
          <w:rFonts w:ascii="Arial" w:hAnsi="Arial" w:cs="Arial"/>
          <w:i/>
          <w:iCs/>
          <w:sz w:val="22"/>
          <w:szCs w:val="22"/>
        </w:rPr>
      </w:pPr>
    </w:p>
    <w:p w14:paraId="6585A666" w14:textId="04D3FF64" w:rsidR="00541DC7" w:rsidRPr="001E294F" w:rsidRDefault="00F31FC7" w:rsidP="00150C06">
      <w:pPr>
        <w:pStyle w:val="Heading2"/>
      </w:pPr>
      <w:bookmarkStart w:id="27" w:name="_Toc164857849"/>
      <w:r w:rsidRPr="001E294F">
        <w:t>Part 2</w:t>
      </w:r>
      <w:r w:rsidR="004E54CE" w:rsidRPr="001E294F">
        <w:t xml:space="preserve">, Initial Investment increase by 10% and </w:t>
      </w:r>
      <w:r w:rsidR="00C02E09" w:rsidRPr="001E294F">
        <w:t>all the cashflow fall by 10%.</w:t>
      </w:r>
      <w:bookmarkEnd w:id="27"/>
    </w:p>
    <w:p w14:paraId="600D0F0A" w14:textId="77777777" w:rsidR="00541DC7" w:rsidRDefault="00541DC7">
      <w:pPr>
        <w:rPr>
          <w:rFonts w:ascii="Arial" w:hAnsi="Arial" w:cs="Arial"/>
          <w:sz w:val="22"/>
          <w:szCs w:val="22"/>
        </w:rPr>
      </w:pPr>
    </w:p>
    <w:p w14:paraId="5135203D" w14:textId="65A7A929" w:rsidR="00541DC7" w:rsidRDefault="00094FD9">
      <w:pPr>
        <w:rPr>
          <w:rFonts w:ascii="Arial" w:hAnsi="Arial" w:cs="Arial"/>
          <w:sz w:val="22"/>
          <w:szCs w:val="22"/>
        </w:rPr>
      </w:pPr>
      <w:r w:rsidRPr="00094FD9">
        <w:rPr>
          <w:rFonts w:ascii="Arial" w:hAnsi="Arial" w:cs="Arial"/>
          <w:sz w:val="22"/>
          <w:szCs w:val="22"/>
        </w:rPr>
        <w:drawing>
          <wp:inline distT="0" distB="0" distL="0" distR="0" wp14:anchorId="6C117078" wp14:editId="74149EFB">
            <wp:extent cx="2679700" cy="1638300"/>
            <wp:effectExtent l="0" t="0" r="0" b="0"/>
            <wp:docPr id="63695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51834" name=""/>
                    <pic:cNvPicPr/>
                  </pic:nvPicPr>
                  <pic:blipFill>
                    <a:blip r:embed="rId20"/>
                    <a:stretch>
                      <a:fillRect/>
                    </a:stretch>
                  </pic:blipFill>
                  <pic:spPr>
                    <a:xfrm>
                      <a:off x="0" y="0"/>
                      <a:ext cx="2679700" cy="1638300"/>
                    </a:xfrm>
                    <a:prstGeom prst="rect">
                      <a:avLst/>
                    </a:prstGeom>
                  </pic:spPr>
                </pic:pic>
              </a:graphicData>
            </a:graphic>
          </wp:inline>
        </w:drawing>
      </w:r>
    </w:p>
    <w:p w14:paraId="6E9FC178" w14:textId="77777777" w:rsidR="00A66B1D" w:rsidRDefault="00A66B1D">
      <w:pPr>
        <w:rPr>
          <w:rFonts w:ascii="Arial" w:hAnsi="Arial" w:cs="Arial"/>
          <w:sz w:val="22"/>
          <w:szCs w:val="22"/>
        </w:rPr>
      </w:pPr>
    </w:p>
    <w:p w14:paraId="59B14641" w14:textId="6C01F0C8" w:rsidR="00A66B1D" w:rsidRDefault="00094FD9">
      <w:pPr>
        <w:rPr>
          <w:rFonts w:ascii="Arial" w:hAnsi="Arial" w:cs="Arial"/>
          <w:sz w:val="22"/>
          <w:szCs w:val="22"/>
        </w:rPr>
      </w:pPr>
      <w:r>
        <w:rPr>
          <w:rFonts w:ascii="Arial" w:hAnsi="Arial" w:cs="Arial"/>
          <w:sz w:val="22"/>
          <w:szCs w:val="22"/>
        </w:rPr>
        <w:t>Source: Author</w:t>
      </w:r>
    </w:p>
    <w:p w14:paraId="11D552F2" w14:textId="77777777" w:rsidR="003F15B1" w:rsidRDefault="003F15B1">
      <w:pPr>
        <w:rPr>
          <w:rFonts w:ascii="Arial" w:hAnsi="Arial" w:cs="Arial"/>
          <w:sz w:val="22"/>
          <w:szCs w:val="22"/>
        </w:rPr>
      </w:pPr>
    </w:p>
    <w:p w14:paraId="6EC1B20A" w14:textId="77777777" w:rsidR="003F15B1" w:rsidRDefault="003F15B1">
      <w:pPr>
        <w:rPr>
          <w:rFonts w:ascii="Arial" w:hAnsi="Arial" w:cs="Arial"/>
          <w:sz w:val="22"/>
          <w:szCs w:val="22"/>
        </w:rPr>
      </w:pPr>
    </w:p>
    <w:p w14:paraId="13F73D9E" w14:textId="77777777" w:rsidR="003F15B1" w:rsidRDefault="003F15B1">
      <w:pPr>
        <w:rPr>
          <w:rFonts w:ascii="Arial" w:hAnsi="Arial" w:cs="Arial"/>
          <w:sz w:val="22"/>
          <w:szCs w:val="22"/>
        </w:rPr>
      </w:pPr>
    </w:p>
    <w:p w14:paraId="5791CE2A" w14:textId="77777777" w:rsidR="00A66B1D" w:rsidRDefault="00A66B1D">
      <w:pPr>
        <w:rPr>
          <w:rFonts w:ascii="Arial" w:hAnsi="Arial" w:cs="Arial"/>
          <w:sz w:val="22"/>
          <w:szCs w:val="22"/>
        </w:rPr>
      </w:pPr>
    </w:p>
    <w:p w14:paraId="601C9657" w14:textId="118C5295" w:rsidR="00A66B1D" w:rsidRDefault="00B42A7F" w:rsidP="00150C06">
      <w:pPr>
        <w:pStyle w:val="Heading3"/>
      </w:pPr>
      <w:bookmarkStart w:id="28" w:name="_Toc164857850"/>
      <w:r>
        <w:t>Net Present Value for part B</w:t>
      </w:r>
      <w:bookmarkEnd w:id="28"/>
    </w:p>
    <w:p w14:paraId="3F4AC1F9" w14:textId="77777777" w:rsidR="00C74FBF" w:rsidRDefault="00C74FBF">
      <w:pPr>
        <w:rPr>
          <w:rFonts w:ascii="Arial" w:hAnsi="Arial" w:cs="Arial"/>
          <w:b/>
          <w:bCs/>
          <w:sz w:val="22"/>
          <w:szCs w:val="22"/>
        </w:rPr>
      </w:pPr>
    </w:p>
    <w:p w14:paraId="11231C3E" w14:textId="77777777" w:rsidR="003E0A12" w:rsidRPr="008C3027" w:rsidRDefault="003E0A12">
      <w:pPr>
        <w:rPr>
          <w:rFonts w:ascii="Arial" w:hAnsi="Arial" w:cs="Arial"/>
          <w:i/>
          <w:iCs/>
          <w:sz w:val="22"/>
          <w:szCs w:val="22"/>
        </w:rPr>
      </w:pPr>
      <w:r w:rsidRPr="008C3027">
        <w:rPr>
          <w:rFonts w:ascii="Arial" w:hAnsi="Arial" w:cs="Arial"/>
          <w:i/>
          <w:iCs/>
          <w:sz w:val="22"/>
          <w:szCs w:val="22"/>
        </w:rPr>
        <w:t>Project A</w:t>
      </w:r>
    </w:p>
    <w:p w14:paraId="0E8D877F" w14:textId="77777777" w:rsidR="003E0A12" w:rsidRDefault="003E0A12">
      <w:pPr>
        <w:rPr>
          <w:rFonts w:ascii="Arial" w:hAnsi="Arial" w:cs="Arial"/>
          <w:sz w:val="22"/>
          <w:szCs w:val="22"/>
        </w:rPr>
      </w:pPr>
      <w:r w:rsidRPr="003E0A12">
        <w:rPr>
          <w:rFonts w:ascii="Arial" w:hAnsi="Arial" w:cs="Arial"/>
          <w:b/>
          <w:bCs/>
          <w:sz w:val="22"/>
          <w:szCs w:val="22"/>
        </w:rPr>
        <w:drawing>
          <wp:inline distT="0" distB="0" distL="0" distR="0" wp14:anchorId="32F3E8DB" wp14:editId="1810D1CB">
            <wp:extent cx="5731510" cy="1337945"/>
            <wp:effectExtent l="0" t="0" r="0" b="0"/>
            <wp:docPr id="1254376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76052" name=""/>
                    <pic:cNvPicPr/>
                  </pic:nvPicPr>
                  <pic:blipFill>
                    <a:blip r:embed="rId21"/>
                    <a:stretch>
                      <a:fillRect/>
                    </a:stretch>
                  </pic:blipFill>
                  <pic:spPr>
                    <a:xfrm>
                      <a:off x="0" y="0"/>
                      <a:ext cx="5731510" cy="1337945"/>
                    </a:xfrm>
                    <a:prstGeom prst="rect">
                      <a:avLst/>
                    </a:prstGeom>
                  </pic:spPr>
                </pic:pic>
              </a:graphicData>
            </a:graphic>
          </wp:inline>
        </w:drawing>
      </w:r>
    </w:p>
    <w:p w14:paraId="50E647CC" w14:textId="38C5CFB5" w:rsidR="003E0A12" w:rsidRDefault="003E0A12">
      <w:pPr>
        <w:rPr>
          <w:rFonts w:ascii="Arial" w:hAnsi="Arial" w:cs="Arial"/>
          <w:sz w:val="22"/>
          <w:szCs w:val="22"/>
        </w:rPr>
      </w:pPr>
      <w:r>
        <w:rPr>
          <w:rFonts w:ascii="Arial" w:hAnsi="Arial" w:cs="Arial"/>
          <w:sz w:val="22"/>
          <w:szCs w:val="22"/>
        </w:rPr>
        <w:t>Source: Author</w:t>
      </w:r>
    </w:p>
    <w:p w14:paraId="7764E122" w14:textId="77777777" w:rsidR="00223F50" w:rsidRDefault="00223F50">
      <w:pPr>
        <w:rPr>
          <w:rFonts w:ascii="Arial" w:hAnsi="Arial" w:cs="Arial"/>
          <w:sz w:val="22"/>
          <w:szCs w:val="22"/>
        </w:rPr>
      </w:pPr>
    </w:p>
    <w:p w14:paraId="35E18DFE" w14:textId="07885F43" w:rsidR="00223F50" w:rsidRDefault="00223F50" w:rsidP="00223F50">
      <w:pPr>
        <w:spacing w:line="360" w:lineRule="auto"/>
        <w:rPr>
          <w:rFonts w:ascii="Arial" w:hAnsi="Arial" w:cs="Arial"/>
          <w:sz w:val="22"/>
          <w:szCs w:val="22"/>
        </w:rPr>
      </w:pPr>
      <w:r w:rsidRPr="00223F50">
        <w:rPr>
          <w:rFonts w:ascii="Arial" w:hAnsi="Arial" w:cs="Arial"/>
          <w:sz w:val="22"/>
          <w:szCs w:val="22"/>
        </w:rPr>
        <w:t>Project A's net present value (NPV) of -$997.24 shows that the initial investment is not fully covered by the present value of its future cash flows, discounted at a rate of 0.75%. The negative net present value (NPV) indicates that Project A may not be financially feasible, as the anticipated returns are inadequate to recoup the initial investment and create value for the investor.</w:t>
      </w:r>
    </w:p>
    <w:p w14:paraId="6DE0A520" w14:textId="77777777" w:rsidR="003E0A12" w:rsidRDefault="003E0A12">
      <w:pPr>
        <w:rPr>
          <w:rFonts w:ascii="Arial" w:hAnsi="Arial" w:cs="Arial"/>
          <w:sz w:val="22"/>
          <w:szCs w:val="22"/>
        </w:rPr>
      </w:pPr>
    </w:p>
    <w:p w14:paraId="4D3496FE" w14:textId="77777777" w:rsidR="003E0A12" w:rsidRDefault="003E0A12">
      <w:pPr>
        <w:rPr>
          <w:rFonts w:ascii="Arial" w:hAnsi="Arial" w:cs="Arial"/>
          <w:sz w:val="22"/>
          <w:szCs w:val="22"/>
        </w:rPr>
      </w:pPr>
    </w:p>
    <w:p w14:paraId="657C5BE8" w14:textId="77777777" w:rsidR="003E0A12" w:rsidRDefault="003E0A12">
      <w:pPr>
        <w:rPr>
          <w:rFonts w:ascii="Arial" w:hAnsi="Arial" w:cs="Arial"/>
          <w:sz w:val="22"/>
          <w:szCs w:val="22"/>
        </w:rPr>
      </w:pPr>
    </w:p>
    <w:p w14:paraId="38AF0CB2" w14:textId="7591627D" w:rsidR="00B42A7F" w:rsidRPr="008C3027" w:rsidRDefault="003E0A12">
      <w:pPr>
        <w:rPr>
          <w:rFonts w:ascii="Arial" w:hAnsi="Arial" w:cs="Arial"/>
          <w:i/>
          <w:iCs/>
          <w:sz w:val="22"/>
          <w:szCs w:val="22"/>
        </w:rPr>
      </w:pPr>
      <w:r w:rsidRPr="008C3027">
        <w:rPr>
          <w:rFonts w:ascii="Arial" w:hAnsi="Arial" w:cs="Arial"/>
          <w:i/>
          <w:iCs/>
          <w:sz w:val="22"/>
          <w:szCs w:val="22"/>
        </w:rPr>
        <w:t>Project B</w:t>
      </w:r>
    </w:p>
    <w:p w14:paraId="25BBD4A7" w14:textId="77777777" w:rsidR="003E0A12" w:rsidRPr="003E0A12" w:rsidRDefault="003E0A12">
      <w:pPr>
        <w:rPr>
          <w:rFonts w:ascii="Arial" w:hAnsi="Arial" w:cs="Arial"/>
          <w:sz w:val="22"/>
          <w:szCs w:val="22"/>
        </w:rPr>
      </w:pPr>
    </w:p>
    <w:p w14:paraId="2E51F342" w14:textId="54945095" w:rsidR="00BC75D3" w:rsidRDefault="004658B1">
      <w:pPr>
        <w:rPr>
          <w:rFonts w:ascii="Arial" w:hAnsi="Arial" w:cs="Arial"/>
          <w:b/>
          <w:bCs/>
          <w:sz w:val="22"/>
          <w:szCs w:val="22"/>
        </w:rPr>
      </w:pPr>
      <w:r w:rsidRPr="004658B1">
        <w:rPr>
          <w:rFonts w:ascii="Arial" w:hAnsi="Arial" w:cs="Arial"/>
          <w:b/>
          <w:bCs/>
          <w:sz w:val="22"/>
          <w:szCs w:val="22"/>
        </w:rPr>
        <w:drawing>
          <wp:inline distT="0" distB="0" distL="0" distR="0" wp14:anchorId="58E43D38" wp14:editId="4051447A">
            <wp:extent cx="5731510" cy="1527810"/>
            <wp:effectExtent l="0" t="0" r="0" b="0"/>
            <wp:docPr id="209312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2610" name=""/>
                    <pic:cNvPicPr/>
                  </pic:nvPicPr>
                  <pic:blipFill>
                    <a:blip r:embed="rId22"/>
                    <a:stretch>
                      <a:fillRect/>
                    </a:stretch>
                  </pic:blipFill>
                  <pic:spPr>
                    <a:xfrm>
                      <a:off x="0" y="0"/>
                      <a:ext cx="5731510" cy="1527810"/>
                    </a:xfrm>
                    <a:prstGeom prst="rect">
                      <a:avLst/>
                    </a:prstGeom>
                  </pic:spPr>
                </pic:pic>
              </a:graphicData>
            </a:graphic>
          </wp:inline>
        </w:drawing>
      </w:r>
    </w:p>
    <w:p w14:paraId="37BF1B6E" w14:textId="77777777" w:rsidR="00CB7EB5" w:rsidRDefault="00CB7EB5" w:rsidP="00CB7EB5">
      <w:pPr>
        <w:rPr>
          <w:rFonts w:ascii="Arial" w:hAnsi="Arial" w:cs="Arial"/>
          <w:sz w:val="22"/>
          <w:szCs w:val="22"/>
        </w:rPr>
      </w:pPr>
      <w:r>
        <w:rPr>
          <w:rFonts w:ascii="Arial" w:hAnsi="Arial" w:cs="Arial"/>
          <w:sz w:val="22"/>
          <w:szCs w:val="22"/>
        </w:rPr>
        <w:t>Source: Author</w:t>
      </w:r>
    </w:p>
    <w:p w14:paraId="5693B91A" w14:textId="398C1D75" w:rsidR="003E0A12" w:rsidRDefault="00CB7EB5">
      <w:pPr>
        <w:rPr>
          <w:rFonts w:ascii="Arial" w:hAnsi="Arial" w:cs="Arial"/>
          <w:sz w:val="22"/>
          <w:szCs w:val="22"/>
        </w:rPr>
      </w:pPr>
      <w:r>
        <w:rPr>
          <w:rFonts w:ascii="Arial" w:hAnsi="Arial" w:cs="Arial"/>
          <w:sz w:val="22"/>
          <w:szCs w:val="22"/>
        </w:rPr>
        <w:t xml:space="preserve"> </w:t>
      </w:r>
    </w:p>
    <w:p w14:paraId="3B07418C" w14:textId="77777777" w:rsidR="00CB7EB5" w:rsidRDefault="00CB7EB5">
      <w:pPr>
        <w:rPr>
          <w:rFonts w:ascii="Arial" w:hAnsi="Arial" w:cs="Arial"/>
          <w:sz w:val="22"/>
          <w:szCs w:val="22"/>
        </w:rPr>
      </w:pPr>
    </w:p>
    <w:p w14:paraId="055866D7" w14:textId="3B545E49" w:rsidR="00C70ACA" w:rsidRDefault="00CB7EB5" w:rsidP="00CB7EB5">
      <w:pPr>
        <w:spacing w:line="360" w:lineRule="auto"/>
        <w:rPr>
          <w:rFonts w:ascii="Arial" w:hAnsi="Arial" w:cs="Arial"/>
          <w:sz w:val="22"/>
          <w:szCs w:val="22"/>
        </w:rPr>
      </w:pPr>
      <w:r w:rsidRPr="00CB7EB5">
        <w:rPr>
          <w:rFonts w:ascii="Arial" w:hAnsi="Arial" w:cs="Arial"/>
          <w:sz w:val="22"/>
          <w:szCs w:val="22"/>
        </w:rPr>
        <w:t>Project B's net present value (NPV) of $1597.46 indicates that the current worth of its future cash flows, after accounting for the time value of money, is higher than the initial investment. The positive net present value (NPV) indicates that Project B is projected to provide substantial value and profitability, therefore making it a highly promising investment option.</w:t>
      </w:r>
    </w:p>
    <w:p w14:paraId="7DD61DA7" w14:textId="77777777" w:rsidR="003E0A12" w:rsidRDefault="003E0A12">
      <w:pPr>
        <w:rPr>
          <w:rFonts w:ascii="Arial" w:hAnsi="Arial" w:cs="Arial"/>
          <w:sz w:val="22"/>
          <w:szCs w:val="22"/>
        </w:rPr>
      </w:pPr>
    </w:p>
    <w:p w14:paraId="6E94EF27" w14:textId="13D04556" w:rsidR="000E0BCA" w:rsidRDefault="000E0BCA" w:rsidP="000E0BCA">
      <w:pPr>
        <w:spacing w:line="360" w:lineRule="auto"/>
        <w:rPr>
          <w:rFonts w:ascii="Arial" w:hAnsi="Arial" w:cs="Arial"/>
          <w:sz w:val="22"/>
          <w:szCs w:val="22"/>
        </w:rPr>
      </w:pPr>
      <w:r w:rsidRPr="000E0BCA">
        <w:rPr>
          <w:rFonts w:ascii="Arial" w:hAnsi="Arial" w:cs="Arial"/>
          <w:sz w:val="22"/>
          <w:szCs w:val="22"/>
        </w:rPr>
        <w:t xml:space="preserve">Project B is considered more viable than Project A based on the Net Present Value (NPV) analysis and a discount rate of 0.75%. The positive net present value (NPV) of $1597.46 for Project B signifies that its future cash flows, when discounted at the specified rate, exceed the initial investment, indicating profitability and the creation of value. On the other hand, Project A has a negative Net Present Value (NPV) of -$997.24, suggesting that its future </w:t>
      </w:r>
      <w:r w:rsidRPr="000E0BCA">
        <w:rPr>
          <w:rFonts w:ascii="Arial" w:hAnsi="Arial" w:cs="Arial"/>
          <w:sz w:val="22"/>
          <w:szCs w:val="22"/>
        </w:rPr>
        <w:lastRenderedPageBreak/>
        <w:t>cash flows are insufficient to recover the initial investment, making it financially unfeasible. Hence, Project B is deemed more viable due to its forecasted ability to generate significant returns that surpass the initial expenditure. This presents a strong investment prospect with the potential for profitability and value generation.</w:t>
      </w:r>
    </w:p>
    <w:p w14:paraId="59DDC9AD" w14:textId="77777777" w:rsidR="00650478" w:rsidRDefault="00650478" w:rsidP="000E0BCA">
      <w:pPr>
        <w:spacing w:line="360" w:lineRule="auto"/>
        <w:rPr>
          <w:rFonts w:ascii="Arial" w:hAnsi="Arial" w:cs="Arial"/>
          <w:sz w:val="22"/>
          <w:szCs w:val="22"/>
        </w:rPr>
      </w:pPr>
    </w:p>
    <w:p w14:paraId="005C2BC1" w14:textId="77777777" w:rsidR="00650478" w:rsidRDefault="00650478" w:rsidP="000E0BCA">
      <w:pPr>
        <w:spacing w:line="360" w:lineRule="auto"/>
        <w:rPr>
          <w:rFonts w:ascii="Arial" w:hAnsi="Arial" w:cs="Arial"/>
          <w:sz w:val="22"/>
          <w:szCs w:val="22"/>
        </w:rPr>
      </w:pPr>
    </w:p>
    <w:p w14:paraId="121DFFD5" w14:textId="77777777" w:rsidR="00650478" w:rsidRDefault="00650478" w:rsidP="000E0BCA">
      <w:pPr>
        <w:spacing w:line="360" w:lineRule="auto"/>
        <w:rPr>
          <w:rFonts w:ascii="Arial" w:hAnsi="Arial" w:cs="Arial"/>
          <w:sz w:val="22"/>
          <w:szCs w:val="22"/>
        </w:rPr>
      </w:pPr>
    </w:p>
    <w:p w14:paraId="38C14A94" w14:textId="77777777" w:rsidR="00650478" w:rsidRDefault="00650478" w:rsidP="000E0BCA">
      <w:pPr>
        <w:spacing w:line="360" w:lineRule="auto"/>
        <w:rPr>
          <w:rFonts w:ascii="Arial" w:hAnsi="Arial" w:cs="Arial"/>
          <w:sz w:val="22"/>
          <w:szCs w:val="22"/>
        </w:rPr>
      </w:pPr>
    </w:p>
    <w:p w14:paraId="20E58CA9" w14:textId="77777777" w:rsidR="00650478" w:rsidRDefault="00650478" w:rsidP="000E0BCA">
      <w:pPr>
        <w:spacing w:line="360" w:lineRule="auto"/>
        <w:rPr>
          <w:rFonts w:ascii="Arial" w:hAnsi="Arial" w:cs="Arial"/>
          <w:sz w:val="22"/>
          <w:szCs w:val="22"/>
        </w:rPr>
      </w:pPr>
    </w:p>
    <w:p w14:paraId="5D56D83C" w14:textId="77777777" w:rsidR="00650478" w:rsidRDefault="00650478" w:rsidP="000E0BCA">
      <w:pPr>
        <w:spacing w:line="360" w:lineRule="auto"/>
        <w:rPr>
          <w:rFonts w:ascii="Arial" w:hAnsi="Arial" w:cs="Arial"/>
          <w:sz w:val="22"/>
          <w:szCs w:val="22"/>
        </w:rPr>
      </w:pPr>
    </w:p>
    <w:p w14:paraId="403E1F86" w14:textId="77777777" w:rsidR="00650478" w:rsidRDefault="00650478" w:rsidP="000E0BCA">
      <w:pPr>
        <w:spacing w:line="360" w:lineRule="auto"/>
        <w:rPr>
          <w:rFonts w:ascii="Arial" w:hAnsi="Arial" w:cs="Arial"/>
          <w:sz w:val="22"/>
          <w:szCs w:val="22"/>
        </w:rPr>
      </w:pPr>
    </w:p>
    <w:p w14:paraId="468D9E94" w14:textId="77777777" w:rsidR="00650478" w:rsidRDefault="00650478" w:rsidP="000E0BCA">
      <w:pPr>
        <w:spacing w:line="360" w:lineRule="auto"/>
        <w:rPr>
          <w:rFonts w:ascii="Arial" w:hAnsi="Arial" w:cs="Arial"/>
          <w:sz w:val="22"/>
          <w:szCs w:val="22"/>
        </w:rPr>
      </w:pPr>
    </w:p>
    <w:p w14:paraId="7C6E7F9E" w14:textId="77777777" w:rsidR="00650478" w:rsidRDefault="00650478" w:rsidP="000E0BCA">
      <w:pPr>
        <w:spacing w:line="360" w:lineRule="auto"/>
        <w:rPr>
          <w:rFonts w:ascii="Arial" w:hAnsi="Arial" w:cs="Arial"/>
          <w:sz w:val="22"/>
          <w:szCs w:val="22"/>
        </w:rPr>
      </w:pPr>
    </w:p>
    <w:p w14:paraId="7155EDEE" w14:textId="77777777" w:rsidR="00650478" w:rsidRDefault="00650478" w:rsidP="000E0BCA">
      <w:pPr>
        <w:spacing w:line="360" w:lineRule="auto"/>
        <w:rPr>
          <w:rFonts w:ascii="Arial" w:hAnsi="Arial" w:cs="Arial"/>
          <w:sz w:val="22"/>
          <w:szCs w:val="22"/>
        </w:rPr>
      </w:pPr>
    </w:p>
    <w:p w14:paraId="5B17AF07" w14:textId="77777777" w:rsidR="00546EB3" w:rsidRPr="000E0BCA" w:rsidRDefault="00546EB3">
      <w:pPr>
        <w:rPr>
          <w:rFonts w:ascii="Arial" w:hAnsi="Arial" w:cs="Arial"/>
          <w:b/>
          <w:bCs/>
          <w:sz w:val="22"/>
          <w:szCs w:val="22"/>
        </w:rPr>
      </w:pPr>
    </w:p>
    <w:p w14:paraId="0F54033B" w14:textId="77777777" w:rsidR="00150C06" w:rsidRDefault="00150C06" w:rsidP="004F0F64">
      <w:pPr>
        <w:spacing w:line="360" w:lineRule="auto"/>
        <w:rPr>
          <w:rFonts w:ascii="Arial" w:hAnsi="Arial" w:cs="Arial"/>
          <w:b/>
          <w:bCs/>
          <w:sz w:val="22"/>
          <w:szCs w:val="22"/>
        </w:rPr>
      </w:pPr>
    </w:p>
    <w:p w14:paraId="72B761C7" w14:textId="77777777" w:rsidR="00150C06" w:rsidRDefault="00150C06" w:rsidP="004F0F64">
      <w:pPr>
        <w:spacing w:line="360" w:lineRule="auto"/>
        <w:rPr>
          <w:rFonts w:ascii="Arial" w:hAnsi="Arial" w:cs="Arial"/>
          <w:b/>
          <w:bCs/>
          <w:sz w:val="22"/>
          <w:szCs w:val="22"/>
        </w:rPr>
      </w:pPr>
    </w:p>
    <w:p w14:paraId="25367222" w14:textId="77777777" w:rsidR="00150C06" w:rsidRDefault="00150C06" w:rsidP="004F0F64">
      <w:pPr>
        <w:spacing w:line="360" w:lineRule="auto"/>
        <w:rPr>
          <w:rFonts w:ascii="Arial" w:hAnsi="Arial" w:cs="Arial"/>
          <w:b/>
          <w:bCs/>
          <w:sz w:val="22"/>
          <w:szCs w:val="22"/>
        </w:rPr>
      </w:pPr>
    </w:p>
    <w:p w14:paraId="0D4CFEF7" w14:textId="77777777" w:rsidR="00150C06" w:rsidRDefault="00150C06" w:rsidP="004F0F64">
      <w:pPr>
        <w:spacing w:line="360" w:lineRule="auto"/>
        <w:rPr>
          <w:rFonts w:ascii="Arial" w:hAnsi="Arial" w:cs="Arial"/>
          <w:b/>
          <w:bCs/>
          <w:sz w:val="22"/>
          <w:szCs w:val="22"/>
        </w:rPr>
      </w:pPr>
    </w:p>
    <w:p w14:paraId="28058EE7" w14:textId="77777777" w:rsidR="00150C06" w:rsidRDefault="00150C06" w:rsidP="004F0F64">
      <w:pPr>
        <w:spacing w:line="360" w:lineRule="auto"/>
        <w:rPr>
          <w:rFonts w:ascii="Arial" w:hAnsi="Arial" w:cs="Arial"/>
          <w:b/>
          <w:bCs/>
          <w:sz w:val="22"/>
          <w:szCs w:val="22"/>
        </w:rPr>
      </w:pPr>
    </w:p>
    <w:p w14:paraId="7C2860F8" w14:textId="77777777" w:rsidR="00150C06" w:rsidRDefault="00150C06" w:rsidP="004F0F64">
      <w:pPr>
        <w:spacing w:line="360" w:lineRule="auto"/>
        <w:rPr>
          <w:rFonts w:ascii="Arial" w:hAnsi="Arial" w:cs="Arial"/>
          <w:b/>
          <w:bCs/>
          <w:sz w:val="22"/>
          <w:szCs w:val="22"/>
        </w:rPr>
      </w:pPr>
    </w:p>
    <w:p w14:paraId="57AB282B" w14:textId="77777777" w:rsidR="00150C06" w:rsidRDefault="00150C06" w:rsidP="004F0F64">
      <w:pPr>
        <w:spacing w:line="360" w:lineRule="auto"/>
        <w:rPr>
          <w:rFonts w:ascii="Arial" w:hAnsi="Arial" w:cs="Arial"/>
          <w:b/>
          <w:bCs/>
          <w:sz w:val="22"/>
          <w:szCs w:val="22"/>
        </w:rPr>
      </w:pPr>
    </w:p>
    <w:p w14:paraId="58F37E9D" w14:textId="77777777" w:rsidR="00150C06" w:rsidRDefault="00150C06" w:rsidP="004F0F64">
      <w:pPr>
        <w:spacing w:line="360" w:lineRule="auto"/>
        <w:rPr>
          <w:rFonts w:ascii="Arial" w:hAnsi="Arial" w:cs="Arial"/>
          <w:b/>
          <w:bCs/>
          <w:sz w:val="22"/>
          <w:szCs w:val="22"/>
        </w:rPr>
      </w:pPr>
    </w:p>
    <w:p w14:paraId="7E292AE4" w14:textId="77777777" w:rsidR="00150C06" w:rsidRDefault="00150C06" w:rsidP="004F0F64">
      <w:pPr>
        <w:spacing w:line="360" w:lineRule="auto"/>
        <w:rPr>
          <w:rFonts w:ascii="Arial" w:hAnsi="Arial" w:cs="Arial"/>
          <w:b/>
          <w:bCs/>
          <w:sz w:val="22"/>
          <w:szCs w:val="22"/>
        </w:rPr>
      </w:pPr>
    </w:p>
    <w:p w14:paraId="459E69CB" w14:textId="77777777" w:rsidR="00150C06" w:rsidRDefault="00150C06" w:rsidP="004F0F64">
      <w:pPr>
        <w:spacing w:line="360" w:lineRule="auto"/>
        <w:rPr>
          <w:rFonts w:ascii="Arial" w:hAnsi="Arial" w:cs="Arial"/>
          <w:b/>
          <w:bCs/>
          <w:sz w:val="22"/>
          <w:szCs w:val="22"/>
        </w:rPr>
      </w:pPr>
    </w:p>
    <w:p w14:paraId="576C8BC7" w14:textId="77777777" w:rsidR="00150C06" w:rsidRDefault="00150C06" w:rsidP="004F0F64">
      <w:pPr>
        <w:spacing w:line="360" w:lineRule="auto"/>
        <w:rPr>
          <w:rFonts w:ascii="Arial" w:hAnsi="Arial" w:cs="Arial"/>
          <w:b/>
          <w:bCs/>
          <w:sz w:val="22"/>
          <w:szCs w:val="22"/>
        </w:rPr>
      </w:pPr>
    </w:p>
    <w:p w14:paraId="4E53C219" w14:textId="77777777" w:rsidR="00150C06" w:rsidRDefault="00150C06" w:rsidP="004F0F64">
      <w:pPr>
        <w:spacing w:line="360" w:lineRule="auto"/>
        <w:rPr>
          <w:rFonts w:ascii="Arial" w:hAnsi="Arial" w:cs="Arial"/>
          <w:b/>
          <w:bCs/>
          <w:sz w:val="22"/>
          <w:szCs w:val="22"/>
        </w:rPr>
      </w:pPr>
    </w:p>
    <w:p w14:paraId="78CAD02A" w14:textId="77777777" w:rsidR="00150C06" w:rsidRDefault="00150C06" w:rsidP="004F0F64">
      <w:pPr>
        <w:spacing w:line="360" w:lineRule="auto"/>
        <w:rPr>
          <w:rFonts w:ascii="Arial" w:hAnsi="Arial" w:cs="Arial"/>
          <w:b/>
          <w:bCs/>
          <w:sz w:val="22"/>
          <w:szCs w:val="22"/>
        </w:rPr>
      </w:pPr>
    </w:p>
    <w:p w14:paraId="1074D69A" w14:textId="77777777" w:rsidR="00150C06" w:rsidRDefault="00150C06" w:rsidP="004F0F64">
      <w:pPr>
        <w:spacing w:line="360" w:lineRule="auto"/>
        <w:rPr>
          <w:rFonts w:ascii="Arial" w:hAnsi="Arial" w:cs="Arial"/>
          <w:b/>
          <w:bCs/>
          <w:sz w:val="22"/>
          <w:szCs w:val="22"/>
        </w:rPr>
      </w:pPr>
    </w:p>
    <w:p w14:paraId="1E3533D9" w14:textId="77777777" w:rsidR="00150C06" w:rsidRDefault="00150C06" w:rsidP="004F0F64">
      <w:pPr>
        <w:spacing w:line="360" w:lineRule="auto"/>
        <w:rPr>
          <w:rFonts w:ascii="Arial" w:hAnsi="Arial" w:cs="Arial"/>
          <w:b/>
          <w:bCs/>
          <w:sz w:val="22"/>
          <w:szCs w:val="22"/>
        </w:rPr>
      </w:pPr>
    </w:p>
    <w:p w14:paraId="3FB7638A" w14:textId="77777777" w:rsidR="00150C06" w:rsidRDefault="00150C06" w:rsidP="004F0F64">
      <w:pPr>
        <w:spacing w:line="360" w:lineRule="auto"/>
        <w:rPr>
          <w:rFonts w:ascii="Arial" w:hAnsi="Arial" w:cs="Arial"/>
          <w:b/>
          <w:bCs/>
          <w:sz w:val="22"/>
          <w:szCs w:val="22"/>
        </w:rPr>
      </w:pPr>
    </w:p>
    <w:p w14:paraId="37EE2E99" w14:textId="77777777" w:rsidR="00150C06" w:rsidRDefault="00150C06" w:rsidP="004F0F64">
      <w:pPr>
        <w:spacing w:line="360" w:lineRule="auto"/>
        <w:rPr>
          <w:rFonts w:ascii="Arial" w:hAnsi="Arial" w:cs="Arial"/>
          <w:b/>
          <w:bCs/>
          <w:sz w:val="22"/>
          <w:szCs w:val="22"/>
        </w:rPr>
      </w:pPr>
    </w:p>
    <w:p w14:paraId="56EF9453" w14:textId="77777777" w:rsidR="00150C06" w:rsidRDefault="00150C06" w:rsidP="004F0F64">
      <w:pPr>
        <w:spacing w:line="360" w:lineRule="auto"/>
        <w:rPr>
          <w:rFonts w:ascii="Arial" w:hAnsi="Arial" w:cs="Arial"/>
          <w:b/>
          <w:bCs/>
          <w:sz w:val="22"/>
          <w:szCs w:val="22"/>
        </w:rPr>
      </w:pPr>
    </w:p>
    <w:p w14:paraId="43DF4C34" w14:textId="77777777" w:rsidR="00150C06" w:rsidRDefault="00150C06" w:rsidP="004F0F64">
      <w:pPr>
        <w:spacing w:line="360" w:lineRule="auto"/>
        <w:rPr>
          <w:rFonts w:ascii="Arial" w:hAnsi="Arial" w:cs="Arial"/>
          <w:b/>
          <w:bCs/>
          <w:sz w:val="22"/>
          <w:szCs w:val="22"/>
        </w:rPr>
      </w:pPr>
    </w:p>
    <w:p w14:paraId="59F3A8AD" w14:textId="77777777" w:rsidR="00150C06" w:rsidRDefault="00150C06" w:rsidP="004F0F64">
      <w:pPr>
        <w:spacing w:line="360" w:lineRule="auto"/>
        <w:rPr>
          <w:rFonts w:ascii="Arial" w:hAnsi="Arial" w:cs="Arial"/>
          <w:b/>
          <w:bCs/>
          <w:sz w:val="22"/>
          <w:szCs w:val="22"/>
        </w:rPr>
      </w:pPr>
    </w:p>
    <w:p w14:paraId="15EF3C7D" w14:textId="77777777" w:rsidR="00150C06" w:rsidRDefault="00150C06" w:rsidP="004F0F64">
      <w:pPr>
        <w:spacing w:line="360" w:lineRule="auto"/>
        <w:rPr>
          <w:rFonts w:ascii="Arial" w:hAnsi="Arial" w:cs="Arial"/>
          <w:b/>
          <w:bCs/>
          <w:sz w:val="22"/>
          <w:szCs w:val="22"/>
        </w:rPr>
      </w:pPr>
    </w:p>
    <w:p w14:paraId="5AAF893B" w14:textId="77777777" w:rsidR="00150C06" w:rsidRDefault="00150C06" w:rsidP="004F0F64">
      <w:pPr>
        <w:spacing w:line="360" w:lineRule="auto"/>
        <w:rPr>
          <w:rFonts w:ascii="Arial" w:hAnsi="Arial" w:cs="Arial"/>
          <w:b/>
          <w:bCs/>
          <w:sz w:val="22"/>
          <w:szCs w:val="22"/>
        </w:rPr>
      </w:pPr>
    </w:p>
    <w:p w14:paraId="5121FB1E" w14:textId="1B3073BA" w:rsidR="00036F27" w:rsidRPr="000E0BCA" w:rsidRDefault="00036F27" w:rsidP="00150C06">
      <w:pPr>
        <w:pStyle w:val="Heading1"/>
      </w:pPr>
      <w:bookmarkStart w:id="29" w:name="_Toc164857851"/>
      <w:r w:rsidRPr="000E0BCA">
        <w:lastRenderedPageBreak/>
        <w:t>References:</w:t>
      </w:r>
      <w:bookmarkEnd w:id="29"/>
    </w:p>
    <w:p w14:paraId="7444E7DF" w14:textId="77777777" w:rsidR="00E16ADA" w:rsidRPr="004F0F64" w:rsidRDefault="00E16ADA" w:rsidP="004F0F64">
      <w:pPr>
        <w:spacing w:line="360" w:lineRule="auto"/>
        <w:rPr>
          <w:rFonts w:ascii="Arial" w:hAnsi="Arial" w:cs="Arial"/>
          <w:sz w:val="22"/>
          <w:szCs w:val="22"/>
        </w:rPr>
      </w:pPr>
    </w:p>
    <w:p w14:paraId="36AC7A6C" w14:textId="2FFD4FDE" w:rsidR="00E16ADA" w:rsidRDefault="00E16ADA" w:rsidP="004F0F64">
      <w:pPr>
        <w:spacing w:line="360" w:lineRule="auto"/>
        <w:rPr>
          <w:rFonts w:ascii="Arial" w:hAnsi="Arial" w:cs="Arial"/>
          <w:sz w:val="22"/>
          <w:szCs w:val="22"/>
        </w:rPr>
      </w:pPr>
      <w:r w:rsidRPr="004F0F64">
        <w:rPr>
          <w:rFonts w:ascii="Arial" w:hAnsi="Arial" w:cs="Arial"/>
          <w:sz w:val="22"/>
          <w:szCs w:val="22"/>
        </w:rPr>
        <w:t xml:space="preserve">Apple </w:t>
      </w:r>
      <w:r w:rsidRPr="004F0F64">
        <w:rPr>
          <w:rFonts w:ascii="Arial" w:hAnsi="Arial" w:cs="Arial"/>
          <w:sz w:val="22"/>
          <w:szCs w:val="22"/>
        </w:rPr>
        <w:t xml:space="preserve">(2024) </w:t>
      </w:r>
      <w:r w:rsidRPr="0086204E">
        <w:rPr>
          <w:rFonts w:ascii="Arial" w:hAnsi="Arial" w:cs="Arial"/>
          <w:i/>
          <w:iCs/>
          <w:sz w:val="22"/>
          <w:szCs w:val="22"/>
        </w:rPr>
        <w:t>Apple reports fourth quarter results</w:t>
      </w:r>
      <w:r w:rsidRPr="004F0F64">
        <w:rPr>
          <w:rFonts w:ascii="Arial" w:hAnsi="Arial" w:cs="Arial"/>
          <w:sz w:val="22"/>
          <w:szCs w:val="22"/>
        </w:rPr>
        <w:t xml:space="preserve"> [online]. Available from: </w:t>
      </w:r>
      <w:hyperlink r:id="rId23" w:history="1">
        <w:r w:rsidR="00583AB1" w:rsidRPr="005A0901">
          <w:rPr>
            <w:rStyle w:val="Hyperlink"/>
            <w:rFonts w:ascii="Arial" w:hAnsi="Arial" w:cs="Arial"/>
            <w:sz w:val="22"/>
            <w:szCs w:val="22"/>
          </w:rPr>
          <w:t>https://www.apple.com/uk/newsroom/2023/11/apple-reports-fourth-quarter-results/#:~:text=CUPERTINO%2C%20CALIFORNIA%20Apple%20today%20announced,13%20percent%20year%20over%20year</w:t>
        </w:r>
      </w:hyperlink>
      <w:r w:rsidR="0086204E">
        <w:rPr>
          <w:rFonts w:ascii="Arial" w:hAnsi="Arial" w:cs="Arial"/>
          <w:sz w:val="22"/>
          <w:szCs w:val="22"/>
        </w:rPr>
        <w:t xml:space="preserve"> (Accessed 20 April 2024)</w:t>
      </w:r>
    </w:p>
    <w:p w14:paraId="1A222086" w14:textId="77777777" w:rsidR="003D061F" w:rsidRDefault="003D061F" w:rsidP="004F0F64">
      <w:pPr>
        <w:spacing w:line="360" w:lineRule="auto"/>
        <w:rPr>
          <w:rFonts w:ascii="Times New Roman" w:eastAsia="Times New Roman" w:hAnsi="Times New Roman" w:cs="Times New Roman"/>
          <w:color w:val="000000"/>
          <w:kern w:val="0"/>
          <w:lang w:eastAsia="en-GB"/>
          <w14:ligatures w14:val="none"/>
        </w:rPr>
      </w:pPr>
    </w:p>
    <w:p w14:paraId="6D72AF27" w14:textId="0C403286" w:rsidR="003D061F" w:rsidRDefault="00650478" w:rsidP="004F0F64">
      <w:pPr>
        <w:spacing w:line="360" w:lineRule="auto"/>
        <w:rPr>
          <w:rFonts w:ascii="Arial" w:hAnsi="Arial" w:cs="Arial"/>
          <w:sz w:val="22"/>
          <w:szCs w:val="22"/>
        </w:rPr>
      </w:pPr>
      <w:r w:rsidRPr="00650478">
        <w:rPr>
          <w:rFonts w:ascii="Arial" w:hAnsi="Arial" w:cs="Arial"/>
          <w:sz w:val="22"/>
          <w:szCs w:val="22"/>
        </w:rPr>
        <w:t>Apple.com (2019) </w:t>
      </w:r>
      <w:r w:rsidRPr="00650478">
        <w:rPr>
          <w:rFonts w:ascii="Arial" w:hAnsi="Arial" w:cs="Arial"/>
          <w:i/>
          <w:iCs/>
          <w:sz w:val="22"/>
          <w:szCs w:val="22"/>
        </w:rPr>
        <w:t>Apple introduces Apple Arcade — the world’s first game subscription service for mobile, desktop and the living room</w:t>
      </w:r>
      <w:r w:rsidRPr="00650478">
        <w:rPr>
          <w:rFonts w:ascii="Arial" w:hAnsi="Arial" w:cs="Arial"/>
          <w:sz w:val="22"/>
          <w:szCs w:val="22"/>
        </w:rPr>
        <w:t> [online]. Available from: https://www.apple.com/pl/newsroom/2019/03/apple-introduces-apple-arcade-the-worlds-first-game-subscription-service-for-mobile-desktop-and-the-living-room/ (Accessed 2</w:t>
      </w:r>
      <w:r>
        <w:rPr>
          <w:rFonts w:ascii="Arial" w:hAnsi="Arial" w:cs="Arial"/>
          <w:sz w:val="22"/>
          <w:szCs w:val="22"/>
        </w:rPr>
        <w:t>0</w:t>
      </w:r>
      <w:r w:rsidRPr="00650478">
        <w:rPr>
          <w:rFonts w:ascii="Arial" w:hAnsi="Arial" w:cs="Arial"/>
          <w:sz w:val="22"/>
          <w:szCs w:val="22"/>
        </w:rPr>
        <w:t xml:space="preserve"> April 2024).</w:t>
      </w:r>
    </w:p>
    <w:p w14:paraId="72060F13" w14:textId="6EC54246" w:rsidR="003D061F" w:rsidRDefault="003D061F" w:rsidP="003D061F">
      <w:pPr>
        <w:spacing w:line="360" w:lineRule="auto"/>
        <w:rPr>
          <w:rFonts w:ascii="Arial" w:hAnsi="Arial" w:cs="Arial"/>
          <w:sz w:val="22"/>
          <w:szCs w:val="22"/>
        </w:rPr>
      </w:pPr>
      <w:r w:rsidRPr="003D061F">
        <w:rPr>
          <w:rFonts w:ascii="Arial" w:hAnsi="Arial" w:cs="Arial"/>
          <w:sz w:val="22"/>
          <w:szCs w:val="22"/>
        </w:rPr>
        <w:t>Apple.com (2020) </w:t>
      </w:r>
      <w:r w:rsidRPr="003D061F">
        <w:rPr>
          <w:rFonts w:ascii="Arial" w:hAnsi="Arial" w:cs="Arial"/>
          <w:i/>
          <w:iCs/>
          <w:sz w:val="22"/>
          <w:szCs w:val="22"/>
        </w:rPr>
        <w:t>Apple unleashes M1</w:t>
      </w:r>
      <w:r w:rsidRPr="003D061F">
        <w:rPr>
          <w:rFonts w:ascii="Arial" w:hAnsi="Arial" w:cs="Arial"/>
          <w:sz w:val="22"/>
          <w:szCs w:val="22"/>
        </w:rPr>
        <w:t> [online]. Available from: https://www.apple.com/uk/newsroom/2020/11/apple-unleashes-m1/ (Accessed 2</w:t>
      </w:r>
      <w:r>
        <w:rPr>
          <w:rFonts w:ascii="Arial" w:hAnsi="Arial" w:cs="Arial"/>
          <w:sz w:val="22"/>
          <w:szCs w:val="22"/>
        </w:rPr>
        <w:t>2</w:t>
      </w:r>
      <w:r w:rsidRPr="003D061F">
        <w:rPr>
          <w:rFonts w:ascii="Arial" w:hAnsi="Arial" w:cs="Arial"/>
          <w:sz w:val="22"/>
          <w:szCs w:val="22"/>
        </w:rPr>
        <w:t xml:space="preserve"> April 2024).</w:t>
      </w:r>
    </w:p>
    <w:p w14:paraId="26055DE3" w14:textId="77777777" w:rsidR="003D061F" w:rsidRDefault="003D061F" w:rsidP="003D061F">
      <w:pPr>
        <w:spacing w:line="360" w:lineRule="auto"/>
        <w:rPr>
          <w:rFonts w:ascii="Arial" w:hAnsi="Arial" w:cs="Arial"/>
          <w:sz w:val="22"/>
          <w:szCs w:val="22"/>
        </w:rPr>
      </w:pPr>
    </w:p>
    <w:p w14:paraId="5B59E03E" w14:textId="503B11C9" w:rsidR="003D061F" w:rsidRPr="003D061F" w:rsidRDefault="003D061F" w:rsidP="003D061F">
      <w:pPr>
        <w:spacing w:line="360" w:lineRule="auto"/>
        <w:rPr>
          <w:rFonts w:ascii="Arial" w:hAnsi="Arial" w:cs="Arial"/>
          <w:sz w:val="22"/>
          <w:szCs w:val="22"/>
        </w:rPr>
      </w:pPr>
      <w:r w:rsidRPr="003D061F">
        <w:rPr>
          <w:rFonts w:ascii="Arial" w:hAnsi="Arial" w:cs="Arial"/>
          <w:sz w:val="22"/>
          <w:szCs w:val="22"/>
        </w:rPr>
        <w:t>Apple.com (2020) </w:t>
      </w:r>
      <w:r w:rsidRPr="003D061F">
        <w:rPr>
          <w:rFonts w:ascii="Arial" w:hAnsi="Arial" w:cs="Arial"/>
          <w:i/>
          <w:iCs/>
          <w:sz w:val="22"/>
          <w:szCs w:val="22"/>
        </w:rPr>
        <w:t>Apple announces Mac transition to Apple silicon</w:t>
      </w:r>
      <w:r w:rsidRPr="003D061F">
        <w:rPr>
          <w:rFonts w:ascii="Arial" w:hAnsi="Arial" w:cs="Arial"/>
          <w:sz w:val="22"/>
          <w:szCs w:val="22"/>
        </w:rPr>
        <w:t> [online]. Available from: https://www.apple.com/newsroom/2020/06/apple-announces-mac-transition-to-apple-silicon/ (Accessed 2</w:t>
      </w:r>
      <w:r>
        <w:rPr>
          <w:rFonts w:ascii="Arial" w:hAnsi="Arial" w:cs="Arial"/>
          <w:sz w:val="22"/>
          <w:szCs w:val="22"/>
        </w:rPr>
        <w:t xml:space="preserve">1 </w:t>
      </w:r>
      <w:r w:rsidRPr="003D061F">
        <w:rPr>
          <w:rFonts w:ascii="Arial" w:hAnsi="Arial" w:cs="Arial"/>
          <w:sz w:val="22"/>
          <w:szCs w:val="22"/>
        </w:rPr>
        <w:t>April 2024).</w:t>
      </w:r>
    </w:p>
    <w:p w14:paraId="16CABE06" w14:textId="77777777" w:rsidR="003D061F" w:rsidRPr="003D061F" w:rsidRDefault="003D061F" w:rsidP="003D061F">
      <w:pPr>
        <w:spacing w:line="360" w:lineRule="auto"/>
        <w:rPr>
          <w:rFonts w:ascii="Arial" w:hAnsi="Arial" w:cs="Arial"/>
          <w:sz w:val="22"/>
          <w:szCs w:val="22"/>
        </w:rPr>
      </w:pPr>
    </w:p>
    <w:p w14:paraId="365C5312" w14:textId="77777777" w:rsidR="003D061F" w:rsidRDefault="003D061F" w:rsidP="004F0F64">
      <w:pPr>
        <w:spacing w:line="360" w:lineRule="auto"/>
        <w:rPr>
          <w:rFonts w:ascii="Arial" w:hAnsi="Arial" w:cs="Arial"/>
          <w:sz w:val="22"/>
          <w:szCs w:val="22"/>
        </w:rPr>
      </w:pPr>
    </w:p>
    <w:p w14:paraId="2F9E8EA5" w14:textId="433328EF" w:rsidR="003D061F" w:rsidRDefault="003D061F" w:rsidP="003D061F">
      <w:pPr>
        <w:spacing w:line="360" w:lineRule="auto"/>
        <w:rPr>
          <w:rFonts w:ascii="Arial" w:hAnsi="Arial" w:cs="Arial"/>
          <w:sz w:val="22"/>
          <w:szCs w:val="22"/>
        </w:rPr>
      </w:pPr>
      <w:r w:rsidRPr="003D061F">
        <w:rPr>
          <w:rFonts w:ascii="Arial" w:hAnsi="Arial" w:cs="Arial"/>
          <w:sz w:val="22"/>
          <w:szCs w:val="22"/>
        </w:rPr>
        <w:t>Apple.com (2023) </w:t>
      </w:r>
      <w:r w:rsidRPr="003D061F">
        <w:rPr>
          <w:rFonts w:ascii="Arial" w:hAnsi="Arial" w:cs="Arial"/>
          <w:i/>
          <w:iCs/>
          <w:sz w:val="22"/>
          <w:szCs w:val="22"/>
        </w:rPr>
        <w:t>Apple unveils its first carbon neutral products</w:t>
      </w:r>
      <w:r w:rsidRPr="003D061F">
        <w:rPr>
          <w:rFonts w:ascii="Arial" w:hAnsi="Arial" w:cs="Arial"/>
          <w:sz w:val="22"/>
          <w:szCs w:val="22"/>
        </w:rPr>
        <w:t> [online]. Available from: https://www.apple.com/uk/newsroom/2023/09/apple-unveils-its-first-carbon-neutral-products/ (Accessed 2</w:t>
      </w:r>
      <w:r>
        <w:rPr>
          <w:rFonts w:ascii="Arial" w:hAnsi="Arial" w:cs="Arial"/>
          <w:sz w:val="22"/>
          <w:szCs w:val="22"/>
        </w:rPr>
        <w:t>2</w:t>
      </w:r>
      <w:r w:rsidRPr="003D061F">
        <w:rPr>
          <w:rFonts w:ascii="Arial" w:hAnsi="Arial" w:cs="Arial"/>
          <w:sz w:val="22"/>
          <w:szCs w:val="22"/>
        </w:rPr>
        <w:t xml:space="preserve"> April 2024).</w:t>
      </w:r>
    </w:p>
    <w:p w14:paraId="5F57DC1C" w14:textId="77777777" w:rsidR="00650478" w:rsidRDefault="00650478" w:rsidP="003D061F">
      <w:pPr>
        <w:spacing w:line="360" w:lineRule="auto"/>
        <w:rPr>
          <w:rFonts w:ascii="Arial" w:hAnsi="Arial" w:cs="Arial"/>
          <w:sz w:val="22"/>
          <w:szCs w:val="22"/>
        </w:rPr>
      </w:pPr>
    </w:p>
    <w:p w14:paraId="7EEBBE72" w14:textId="77777777" w:rsidR="00650478" w:rsidRDefault="00650478" w:rsidP="00650478">
      <w:pPr>
        <w:spacing w:line="360" w:lineRule="auto"/>
        <w:rPr>
          <w:rFonts w:ascii="Arial" w:hAnsi="Arial" w:cs="Arial"/>
          <w:sz w:val="22"/>
          <w:szCs w:val="22"/>
        </w:rPr>
      </w:pPr>
      <w:r w:rsidRPr="004F0F64">
        <w:rPr>
          <w:rFonts w:ascii="Arial" w:hAnsi="Arial" w:cs="Arial"/>
          <w:sz w:val="22"/>
          <w:szCs w:val="22"/>
        </w:rPr>
        <w:t xml:space="preserve">Apple (2024) </w:t>
      </w:r>
      <w:r w:rsidRPr="0086204E">
        <w:rPr>
          <w:rFonts w:ascii="Arial" w:hAnsi="Arial" w:cs="Arial"/>
          <w:i/>
          <w:iCs/>
          <w:sz w:val="22"/>
          <w:szCs w:val="22"/>
        </w:rPr>
        <w:t>Apple reports fourth quarter results</w:t>
      </w:r>
      <w:r w:rsidRPr="004F0F64">
        <w:rPr>
          <w:rFonts w:ascii="Arial" w:hAnsi="Arial" w:cs="Arial"/>
          <w:sz w:val="22"/>
          <w:szCs w:val="22"/>
        </w:rPr>
        <w:t xml:space="preserve"> [online]. Available from: </w:t>
      </w:r>
      <w:hyperlink r:id="rId24" w:history="1">
        <w:r w:rsidRPr="005A0901">
          <w:rPr>
            <w:rStyle w:val="Hyperlink"/>
            <w:rFonts w:ascii="Arial" w:hAnsi="Arial" w:cs="Arial"/>
            <w:sz w:val="22"/>
            <w:szCs w:val="22"/>
          </w:rPr>
          <w:t>https://www.apple.com/uk/newsroom/2023/11/apple-reports-fourth-quarter-results/#:~:text=CUPERTINO%2C%20CALIFORNIA%20Apple%20today%20announced,13%20percent%20year%20over%20year</w:t>
        </w:r>
      </w:hyperlink>
      <w:r>
        <w:rPr>
          <w:rFonts w:ascii="Arial" w:hAnsi="Arial" w:cs="Arial"/>
          <w:sz w:val="22"/>
          <w:szCs w:val="22"/>
        </w:rPr>
        <w:t xml:space="preserve"> (Accessed 20 April 2024)</w:t>
      </w:r>
    </w:p>
    <w:p w14:paraId="23F1663C" w14:textId="77777777" w:rsidR="00650478" w:rsidRPr="003D061F" w:rsidRDefault="00650478" w:rsidP="003D061F">
      <w:pPr>
        <w:spacing w:line="360" w:lineRule="auto"/>
        <w:rPr>
          <w:rFonts w:ascii="Arial" w:hAnsi="Arial" w:cs="Arial"/>
          <w:sz w:val="22"/>
          <w:szCs w:val="22"/>
        </w:rPr>
      </w:pPr>
    </w:p>
    <w:p w14:paraId="1D075C3F" w14:textId="77777777" w:rsidR="00583AB1" w:rsidRDefault="00583AB1" w:rsidP="004F0F64">
      <w:pPr>
        <w:spacing w:line="360" w:lineRule="auto"/>
        <w:rPr>
          <w:rFonts w:ascii="Arial" w:hAnsi="Arial" w:cs="Arial"/>
          <w:sz w:val="22"/>
          <w:szCs w:val="22"/>
        </w:rPr>
      </w:pPr>
    </w:p>
    <w:p w14:paraId="78CCE2AA" w14:textId="33DED5D9" w:rsidR="00036F27" w:rsidRDefault="00584B40" w:rsidP="004F0F64">
      <w:pPr>
        <w:spacing w:line="360" w:lineRule="auto"/>
        <w:rPr>
          <w:rFonts w:ascii="Arial" w:hAnsi="Arial" w:cs="Arial"/>
          <w:sz w:val="22"/>
          <w:szCs w:val="22"/>
        </w:rPr>
      </w:pPr>
      <w:r w:rsidRPr="00584B40">
        <w:rPr>
          <w:rFonts w:ascii="Arial" w:hAnsi="Arial" w:cs="Arial"/>
          <w:sz w:val="22"/>
          <w:szCs w:val="22"/>
        </w:rPr>
        <w:t xml:space="preserve">Erickson, K. H. (2013) </w:t>
      </w:r>
      <w:r w:rsidRPr="00584B40">
        <w:rPr>
          <w:rFonts w:ascii="Arial" w:hAnsi="Arial" w:cs="Arial"/>
          <w:i/>
          <w:iCs/>
          <w:sz w:val="22"/>
          <w:szCs w:val="22"/>
        </w:rPr>
        <w:t>Investment Appraisal: A Simple Introduction</w:t>
      </w:r>
      <w:r w:rsidRPr="00584B40">
        <w:rPr>
          <w:rFonts w:ascii="Arial" w:hAnsi="Arial" w:cs="Arial"/>
          <w:sz w:val="22"/>
          <w:szCs w:val="22"/>
        </w:rPr>
        <w:t xml:space="preserve"> [online]. Available from: https://www.google.co.uk/books/edition/Investment_Appraisal_A_Simple_Introducti/f88YAgAAQBAJ?hl=en&amp;gbpv=0&amp;kptab=overview (Accessed 2</w:t>
      </w:r>
      <w:r w:rsidR="003C6C4F">
        <w:rPr>
          <w:rFonts w:ascii="Arial" w:hAnsi="Arial" w:cs="Arial"/>
          <w:sz w:val="22"/>
          <w:szCs w:val="22"/>
        </w:rPr>
        <w:t xml:space="preserve">3 </w:t>
      </w:r>
      <w:r w:rsidRPr="00584B40">
        <w:rPr>
          <w:rFonts w:ascii="Arial" w:hAnsi="Arial" w:cs="Arial"/>
          <w:sz w:val="22"/>
          <w:szCs w:val="22"/>
        </w:rPr>
        <w:t>April 2024).</w:t>
      </w:r>
    </w:p>
    <w:p w14:paraId="0FB8B540" w14:textId="77777777" w:rsidR="003C6C4F" w:rsidRDefault="003C6C4F" w:rsidP="004F0F64">
      <w:pPr>
        <w:spacing w:line="360" w:lineRule="auto"/>
        <w:rPr>
          <w:rFonts w:ascii="Arial" w:hAnsi="Arial" w:cs="Arial"/>
          <w:sz w:val="22"/>
          <w:szCs w:val="22"/>
        </w:rPr>
      </w:pPr>
    </w:p>
    <w:p w14:paraId="04A210B1" w14:textId="42DEB500" w:rsidR="003C6C4F" w:rsidRDefault="003C6C4F" w:rsidP="004F0F64">
      <w:pPr>
        <w:spacing w:line="360" w:lineRule="auto"/>
        <w:rPr>
          <w:rFonts w:ascii="Arial" w:hAnsi="Arial" w:cs="Arial"/>
          <w:sz w:val="22"/>
          <w:szCs w:val="22"/>
        </w:rPr>
      </w:pPr>
      <w:r w:rsidRPr="003C6C4F">
        <w:rPr>
          <w:rFonts w:ascii="Arial" w:hAnsi="Arial" w:cs="Arial"/>
          <w:sz w:val="22"/>
          <w:szCs w:val="22"/>
        </w:rPr>
        <w:lastRenderedPageBreak/>
        <w:t xml:space="preserve">Hopkinson, M. (2017) Net Present Value and Risk Modelling for Projects. Routledge. [online]. Available from: </w:t>
      </w:r>
      <w:hyperlink r:id="rId25" w:history="1">
        <w:r w:rsidRPr="005A0901">
          <w:rPr>
            <w:rStyle w:val="Hyperlink"/>
            <w:rFonts w:ascii="Arial" w:hAnsi="Arial" w:cs="Arial"/>
            <w:sz w:val="22"/>
            <w:szCs w:val="22"/>
          </w:rPr>
          <w:t>http://books.google.ie/books?id=HltBDgAAQBAJ&amp;pg=PT25&amp;dq=9781351915250,+1351915258&amp;hl=&amp;cd=1&amp;source=gbs_api</w:t>
        </w:r>
      </w:hyperlink>
      <w:r>
        <w:rPr>
          <w:rFonts w:ascii="Arial" w:hAnsi="Arial" w:cs="Arial"/>
          <w:sz w:val="22"/>
          <w:szCs w:val="22"/>
        </w:rPr>
        <w:t xml:space="preserve"> (Accessed 23 April</w:t>
      </w:r>
      <w:r w:rsidR="009F6F41">
        <w:rPr>
          <w:rFonts w:ascii="Arial" w:hAnsi="Arial" w:cs="Arial"/>
          <w:sz w:val="22"/>
          <w:szCs w:val="22"/>
        </w:rPr>
        <w:t xml:space="preserve"> 2024).</w:t>
      </w:r>
    </w:p>
    <w:p w14:paraId="3F4BC053" w14:textId="77777777" w:rsidR="004B6A0E" w:rsidRDefault="004B6A0E" w:rsidP="004F0F64">
      <w:pPr>
        <w:spacing w:line="360" w:lineRule="auto"/>
        <w:rPr>
          <w:rFonts w:ascii="Arial" w:hAnsi="Arial" w:cs="Arial"/>
          <w:sz w:val="22"/>
          <w:szCs w:val="22"/>
        </w:rPr>
      </w:pPr>
    </w:p>
    <w:p w14:paraId="52160EF1" w14:textId="59133F10" w:rsidR="00C7412B" w:rsidRDefault="00C7412B" w:rsidP="004F0F64">
      <w:pPr>
        <w:spacing w:line="360" w:lineRule="auto"/>
        <w:rPr>
          <w:rFonts w:ascii="Arial" w:hAnsi="Arial" w:cs="Arial"/>
          <w:sz w:val="22"/>
          <w:szCs w:val="22"/>
        </w:rPr>
      </w:pPr>
      <w:proofErr w:type="spellStart"/>
      <w:r w:rsidRPr="00C7412B">
        <w:rPr>
          <w:rFonts w:ascii="Arial" w:hAnsi="Arial" w:cs="Arial"/>
          <w:sz w:val="22"/>
          <w:szCs w:val="22"/>
        </w:rPr>
        <w:t>IntroBooks</w:t>
      </w:r>
      <w:proofErr w:type="spellEnd"/>
      <w:r w:rsidRPr="00C7412B">
        <w:rPr>
          <w:rFonts w:ascii="Arial" w:hAnsi="Arial" w:cs="Arial"/>
          <w:sz w:val="22"/>
          <w:szCs w:val="22"/>
        </w:rPr>
        <w:t xml:space="preserve"> (2019) </w:t>
      </w:r>
      <w:r w:rsidRPr="00C7412B">
        <w:rPr>
          <w:rFonts w:ascii="Arial" w:hAnsi="Arial" w:cs="Arial"/>
          <w:i/>
          <w:iCs/>
          <w:sz w:val="22"/>
          <w:szCs w:val="22"/>
        </w:rPr>
        <w:t>Crash Course Return on Assets</w:t>
      </w:r>
      <w:r w:rsidRPr="00C7412B">
        <w:rPr>
          <w:rFonts w:ascii="Arial" w:hAnsi="Arial" w:cs="Arial"/>
          <w:sz w:val="22"/>
          <w:szCs w:val="22"/>
        </w:rPr>
        <w:t xml:space="preserve"> [online]. Available from: https://www.google.co.uk/books/edition/Crash_Course_Return_on_Assets/TQODDwAAQBAJ?hl=en&amp;gbpv=0 (Accessed 2</w:t>
      </w:r>
      <w:r>
        <w:rPr>
          <w:rFonts w:ascii="Arial" w:hAnsi="Arial" w:cs="Arial"/>
          <w:sz w:val="22"/>
          <w:szCs w:val="22"/>
        </w:rPr>
        <w:t xml:space="preserve">3 </w:t>
      </w:r>
      <w:r w:rsidRPr="00C7412B">
        <w:rPr>
          <w:rFonts w:ascii="Arial" w:hAnsi="Arial" w:cs="Arial"/>
          <w:sz w:val="22"/>
          <w:szCs w:val="22"/>
        </w:rPr>
        <w:t>April 2024).</w:t>
      </w:r>
    </w:p>
    <w:p w14:paraId="06322B93" w14:textId="77777777" w:rsidR="00C7412B" w:rsidRPr="004F0F64" w:rsidRDefault="00C7412B" w:rsidP="004F0F64">
      <w:pPr>
        <w:spacing w:line="360" w:lineRule="auto"/>
        <w:rPr>
          <w:rFonts w:ascii="Arial" w:hAnsi="Arial" w:cs="Arial"/>
          <w:sz w:val="22"/>
          <w:szCs w:val="22"/>
        </w:rPr>
      </w:pPr>
    </w:p>
    <w:p w14:paraId="4CE883FC" w14:textId="77777777" w:rsidR="00A64D9D" w:rsidRDefault="00A64D9D" w:rsidP="004F0F64">
      <w:pPr>
        <w:spacing w:line="360" w:lineRule="auto"/>
        <w:rPr>
          <w:rFonts w:ascii="Arial" w:hAnsi="Arial" w:cs="Arial"/>
          <w:sz w:val="22"/>
          <w:szCs w:val="22"/>
        </w:rPr>
      </w:pPr>
      <w:r w:rsidRPr="00A64D9D">
        <w:rPr>
          <w:rFonts w:ascii="Arial" w:hAnsi="Arial" w:cs="Arial"/>
          <w:sz w:val="22"/>
          <w:szCs w:val="22"/>
        </w:rPr>
        <w:t>Microsoft (n.d.) </w:t>
      </w:r>
      <w:r w:rsidRPr="00A64D9D">
        <w:rPr>
          <w:rFonts w:ascii="Arial" w:hAnsi="Arial" w:cs="Arial"/>
          <w:i/>
          <w:iCs/>
          <w:sz w:val="22"/>
          <w:szCs w:val="22"/>
        </w:rPr>
        <w:t>Microsoft 2023 Annual Report</w:t>
      </w:r>
      <w:r w:rsidRPr="00A64D9D">
        <w:rPr>
          <w:rFonts w:ascii="Arial" w:hAnsi="Arial" w:cs="Arial"/>
          <w:sz w:val="22"/>
          <w:szCs w:val="22"/>
        </w:rPr>
        <w:t> [online]. Available from: https://www.microsoft.com/investor/reports/ar23/index.html (Accessed 22 April 2024).</w:t>
      </w:r>
    </w:p>
    <w:p w14:paraId="32AF88A9" w14:textId="77777777" w:rsidR="0066238B" w:rsidRPr="004F0F64" w:rsidRDefault="0066238B" w:rsidP="004F0F64">
      <w:pPr>
        <w:spacing w:line="360" w:lineRule="auto"/>
        <w:rPr>
          <w:rFonts w:ascii="Arial" w:hAnsi="Arial" w:cs="Arial"/>
          <w:sz w:val="22"/>
          <w:szCs w:val="22"/>
        </w:rPr>
      </w:pPr>
    </w:p>
    <w:p w14:paraId="4ABC5C95" w14:textId="050B07CD" w:rsidR="008A5397" w:rsidRDefault="00A36CD8" w:rsidP="004F0F64">
      <w:pPr>
        <w:spacing w:line="360" w:lineRule="auto"/>
        <w:rPr>
          <w:rFonts w:ascii="Arial" w:hAnsi="Arial" w:cs="Arial"/>
          <w:sz w:val="22"/>
          <w:szCs w:val="22"/>
        </w:rPr>
      </w:pPr>
      <w:r w:rsidRPr="00A36CD8">
        <w:rPr>
          <w:rFonts w:ascii="Arial" w:hAnsi="Arial" w:cs="Arial"/>
          <w:sz w:val="22"/>
          <w:szCs w:val="22"/>
        </w:rPr>
        <w:t xml:space="preserve">Rana, N. P. et al. (2019) </w:t>
      </w:r>
      <w:r w:rsidRPr="00A36CD8">
        <w:rPr>
          <w:rFonts w:ascii="Arial" w:hAnsi="Arial" w:cs="Arial"/>
          <w:i/>
          <w:iCs/>
          <w:sz w:val="22"/>
          <w:szCs w:val="22"/>
        </w:rPr>
        <w:t>Digital and Social Media Marketing</w:t>
      </w:r>
      <w:r w:rsidRPr="00A36CD8">
        <w:rPr>
          <w:rFonts w:ascii="Arial" w:hAnsi="Arial" w:cs="Arial"/>
          <w:sz w:val="22"/>
          <w:szCs w:val="22"/>
        </w:rPr>
        <w:t xml:space="preserve">. Springer Nature. [online]. Available from: </w:t>
      </w:r>
      <w:hyperlink r:id="rId26" w:history="1">
        <w:r w:rsidRPr="005A0901">
          <w:rPr>
            <w:rStyle w:val="Hyperlink"/>
            <w:rFonts w:ascii="Arial" w:hAnsi="Arial" w:cs="Arial"/>
            <w:sz w:val="22"/>
            <w:szCs w:val="22"/>
          </w:rPr>
          <w:t>http://books.google.ie/books?id=HLm9DwAAQBAJ&amp;pg=PA262&amp;dq=9783030243746,+3030243745&amp;hl=&amp;cd=1&amp;source=gbs_api</w:t>
        </w:r>
      </w:hyperlink>
      <w:r>
        <w:rPr>
          <w:rFonts w:ascii="Arial" w:hAnsi="Arial" w:cs="Arial"/>
          <w:sz w:val="22"/>
          <w:szCs w:val="22"/>
        </w:rPr>
        <w:t xml:space="preserve"> (Accessed 22 April 2024).</w:t>
      </w:r>
    </w:p>
    <w:p w14:paraId="50ABB96D" w14:textId="77777777" w:rsidR="00A36CD8" w:rsidRPr="004F0F64" w:rsidRDefault="00A36CD8" w:rsidP="004F0F64">
      <w:pPr>
        <w:spacing w:line="360" w:lineRule="auto"/>
        <w:rPr>
          <w:rFonts w:ascii="Arial" w:hAnsi="Arial" w:cs="Arial"/>
          <w:sz w:val="22"/>
          <w:szCs w:val="22"/>
        </w:rPr>
      </w:pPr>
    </w:p>
    <w:p w14:paraId="10F91676" w14:textId="3A4EC0DF" w:rsidR="008A5397" w:rsidRDefault="005F5DC8" w:rsidP="004F0F64">
      <w:pPr>
        <w:spacing w:line="360" w:lineRule="auto"/>
        <w:rPr>
          <w:rFonts w:ascii="Arial" w:hAnsi="Arial" w:cs="Arial"/>
          <w:sz w:val="22"/>
          <w:szCs w:val="22"/>
        </w:rPr>
      </w:pPr>
      <w:r w:rsidRPr="005F5DC8">
        <w:rPr>
          <w:rFonts w:ascii="Arial" w:hAnsi="Arial" w:cs="Arial"/>
          <w:sz w:val="22"/>
          <w:szCs w:val="22"/>
        </w:rPr>
        <w:t xml:space="preserve">Shim, J. K. &amp; Siegel, J. G. (2008) Budgeting Basics and Beyond. John Wiley &amp; Sons. [online]. Available from: </w:t>
      </w:r>
      <w:hyperlink r:id="rId27" w:history="1">
        <w:r w:rsidRPr="005A0901">
          <w:rPr>
            <w:rStyle w:val="Hyperlink"/>
            <w:rFonts w:ascii="Arial" w:hAnsi="Arial" w:cs="Arial"/>
            <w:sz w:val="22"/>
            <w:szCs w:val="22"/>
          </w:rPr>
          <w:t>http://books.google.ie/books?id=FR6WAAAAQBAJ&amp;pg=PT444&amp;dq=9780470454350,+0470454350&amp;hl=&amp;cd=1&amp;source=gbs_api</w:t>
        </w:r>
      </w:hyperlink>
      <w:r w:rsidRPr="005F5DC8">
        <w:rPr>
          <w:rFonts w:ascii="Arial" w:hAnsi="Arial" w:cs="Arial"/>
          <w:sz w:val="22"/>
          <w:szCs w:val="22"/>
        </w:rPr>
        <w:t>.</w:t>
      </w:r>
      <w:r>
        <w:rPr>
          <w:rFonts w:ascii="Arial" w:hAnsi="Arial" w:cs="Arial"/>
          <w:sz w:val="22"/>
          <w:szCs w:val="22"/>
        </w:rPr>
        <w:t xml:space="preserve"> </w:t>
      </w:r>
      <w:r w:rsidR="000D0505">
        <w:rPr>
          <w:rFonts w:ascii="Arial" w:hAnsi="Arial" w:cs="Arial"/>
          <w:sz w:val="22"/>
          <w:szCs w:val="22"/>
        </w:rPr>
        <w:t>(</w:t>
      </w:r>
      <w:r>
        <w:rPr>
          <w:rFonts w:ascii="Arial" w:hAnsi="Arial" w:cs="Arial"/>
          <w:sz w:val="22"/>
          <w:szCs w:val="22"/>
        </w:rPr>
        <w:t>Accessed: 22/04/2024</w:t>
      </w:r>
      <w:r w:rsidR="000D0505">
        <w:rPr>
          <w:rFonts w:ascii="Arial" w:hAnsi="Arial" w:cs="Arial"/>
          <w:sz w:val="22"/>
          <w:szCs w:val="22"/>
        </w:rPr>
        <w:t>)</w:t>
      </w:r>
      <w:r>
        <w:rPr>
          <w:rFonts w:ascii="Arial" w:hAnsi="Arial" w:cs="Arial"/>
          <w:sz w:val="22"/>
          <w:szCs w:val="22"/>
        </w:rPr>
        <w:t>.</w:t>
      </w:r>
    </w:p>
    <w:p w14:paraId="7D0CCF46" w14:textId="77777777" w:rsidR="007D1F8B" w:rsidRDefault="007D1F8B" w:rsidP="004F0F64">
      <w:pPr>
        <w:spacing w:line="360" w:lineRule="auto"/>
        <w:rPr>
          <w:rFonts w:ascii="Arial" w:hAnsi="Arial" w:cs="Arial"/>
          <w:sz w:val="22"/>
          <w:szCs w:val="22"/>
        </w:rPr>
      </w:pPr>
    </w:p>
    <w:p w14:paraId="6C7850C4" w14:textId="69D877AE" w:rsidR="007D1F8B" w:rsidRDefault="007D1F8B" w:rsidP="004F0F64">
      <w:pPr>
        <w:spacing w:line="360" w:lineRule="auto"/>
        <w:rPr>
          <w:rFonts w:ascii="Arial" w:hAnsi="Arial" w:cs="Arial"/>
          <w:sz w:val="22"/>
          <w:szCs w:val="22"/>
        </w:rPr>
      </w:pPr>
      <w:r w:rsidRPr="007D1F8B">
        <w:rPr>
          <w:rFonts w:ascii="Arial" w:hAnsi="Arial" w:cs="Arial"/>
          <w:sz w:val="22"/>
          <w:szCs w:val="22"/>
        </w:rPr>
        <w:t xml:space="preserve">Team, C. (2023) </w:t>
      </w:r>
      <w:r w:rsidRPr="007D1F8B">
        <w:rPr>
          <w:rFonts w:ascii="Arial" w:hAnsi="Arial" w:cs="Arial"/>
          <w:i/>
          <w:iCs/>
          <w:sz w:val="22"/>
          <w:szCs w:val="22"/>
        </w:rPr>
        <w:t>Debt to Equity Ratio</w:t>
      </w:r>
      <w:r w:rsidRPr="007D1F8B">
        <w:rPr>
          <w:rFonts w:ascii="Arial" w:hAnsi="Arial" w:cs="Arial"/>
          <w:sz w:val="22"/>
          <w:szCs w:val="22"/>
        </w:rPr>
        <w:t xml:space="preserve"> [online]. Available from: </w:t>
      </w:r>
      <w:hyperlink r:id="rId28" w:history="1">
        <w:r w:rsidRPr="005A0901">
          <w:rPr>
            <w:rStyle w:val="Hyperlink"/>
            <w:rFonts w:ascii="Arial" w:hAnsi="Arial" w:cs="Arial"/>
            <w:sz w:val="22"/>
            <w:szCs w:val="22"/>
          </w:rPr>
          <w:t>https://corporatefinanceinstitute.com/resources/commercial-lending/debt-to-equity-ratio-formula/?utm_source=google&amp;utm_medium=cpc&amp;utm_term=&amp;utm_content=&amp;utm_campaign=&amp;utm_adgroup=&amp;utm_funnel=&amp;gad_source=1&amp;gclid=CjwKCAjw26KxBhBDEiwAu6KXt7I7aoCBfoVUaobGhtDIHfkDV85LlHtfelGoPEHwRjnYT159q2s7yRoCneQQAvD_BwE</w:t>
        </w:r>
      </w:hyperlink>
      <w:r>
        <w:rPr>
          <w:rFonts w:ascii="Arial" w:hAnsi="Arial" w:cs="Arial"/>
          <w:sz w:val="22"/>
          <w:szCs w:val="22"/>
        </w:rPr>
        <w:t xml:space="preserve"> (Accessed 22 April 2024).</w:t>
      </w:r>
    </w:p>
    <w:p w14:paraId="7A24E727" w14:textId="77777777" w:rsidR="000D0505" w:rsidRDefault="000D0505" w:rsidP="004F0F64">
      <w:pPr>
        <w:spacing w:line="360" w:lineRule="auto"/>
        <w:rPr>
          <w:rFonts w:ascii="Arial" w:hAnsi="Arial" w:cs="Arial"/>
          <w:sz w:val="22"/>
          <w:szCs w:val="22"/>
        </w:rPr>
      </w:pPr>
    </w:p>
    <w:p w14:paraId="0424B6D2" w14:textId="4E5E3E2F" w:rsidR="000D0505" w:rsidRPr="00A64D9D" w:rsidRDefault="000D0505" w:rsidP="004F0F64">
      <w:pPr>
        <w:spacing w:line="360" w:lineRule="auto"/>
        <w:rPr>
          <w:rFonts w:ascii="Arial" w:hAnsi="Arial" w:cs="Arial"/>
          <w:sz w:val="22"/>
          <w:szCs w:val="22"/>
        </w:rPr>
      </w:pPr>
      <w:r w:rsidRPr="000D0505">
        <w:rPr>
          <w:rFonts w:ascii="Arial" w:hAnsi="Arial" w:cs="Arial"/>
          <w:sz w:val="22"/>
          <w:szCs w:val="22"/>
        </w:rPr>
        <w:t xml:space="preserve">Tracy, A. (2012) Ratio Analysis Fundamentals. RatioAnalysis.net. [online]. Available from: </w:t>
      </w:r>
      <w:hyperlink r:id="rId29" w:history="1">
        <w:r w:rsidRPr="005A0901">
          <w:rPr>
            <w:rStyle w:val="Hyperlink"/>
            <w:rFonts w:ascii="Arial" w:hAnsi="Arial" w:cs="Arial"/>
            <w:sz w:val="22"/>
            <w:szCs w:val="22"/>
          </w:rPr>
          <w:t>http://books.google.ie/books?id=GadRYnALi-oC&amp;printsec=frontcover&amp;dq=9781494922634,+1494922630&amp;hl=&amp;cd=1&amp;source=gbs_api</w:t>
        </w:r>
      </w:hyperlink>
      <w:r>
        <w:rPr>
          <w:rFonts w:ascii="Arial" w:hAnsi="Arial" w:cs="Arial"/>
          <w:sz w:val="22"/>
          <w:szCs w:val="22"/>
        </w:rPr>
        <w:t xml:space="preserve"> (Accessed 23</w:t>
      </w:r>
      <w:r w:rsidR="00AD5368">
        <w:rPr>
          <w:rFonts w:ascii="Arial" w:hAnsi="Arial" w:cs="Arial"/>
          <w:sz w:val="22"/>
          <w:szCs w:val="22"/>
        </w:rPr>
        <w:t xml:space="preserve"> April 2024).</w:t>
      </w:r>
    </w:p>
    <w:p w14:paraId="65A88F41" w14:textId="77777777" w:rsidR="00036F27" w:rsidRPr="004F0F64" w:rsidRDefault="00036F27" w:rsidP="004F0F64">
      <w:pPr>
        <w:spacing w:line="360" w:lineRule="auto"/>
        <w:rPr>
          <w:rFonts w:ascii="Arial" w:hAnsi="Arial" w:cs="Arial"/>
          <w:sz w:val="22"/>
          <w:szCs w:val="22"/>
        </w:rPr>
      </w:pPr>
    </w:p>
    <w:p w14:paraId="0D87FC88" w14:textId="259ACE00" w:rsidR="007717A4" w:rsidRDefault="007717A4" w:rsidP="004F0F64">
      <w:pPr>
        <w:spacing w:line="360" w:lineRule="auto"/>
        <w:rPr>
          <w:rFonts w:ascii="Arial" w:hAnsi="Arial" w:cs="Arial"/>
          <w:sz w:val="22"/>
          <w:szCs w:val="22"/>
        </w:rPr>
      </w:pPr>
      <w:r w:rsidRPr="007717A4">
        <w:rPr>
          <w:rFonts w:ascii="Arial" w:hAnsi="Arial" w:cs="Arial"/>
          <w:sz w:val="22"/>
          <w:szCs w:val="22"/>
        </w:rPr>
        <w:t>Vipond, T. (2024) </w:t>
      </w:r>
      <w:r w:rsidRPr="007717A4">
        <w:rPr>
          <w:rFonts w:ascii="Arial" w:hAnsi="Arial" w:cs="Arial"/>
          <w:i/>
          <w:iCs/>
          <w:sz w:val="22"/>
          <w:szCs w:val="22"/>
        </w:rPr>
        <w:t>Current Ratio Formula</w:t>
      </w:r>
      <w:r w:rsidRPr="007717A4">
        <w:rPr>
          <w:rFonts w:ascii="Arial" w:hAnsi="Arial" w:cs="Arial"/>
          <w:sz w:val="22"/>
          <w:szCs w:val="22"/>
        </w:rPr>
        <w:t xml:space="preserve"> [online]. Available from: </w:t>
      </w:r>
      <w:hyperlink r:id="rId30" w:history="1">
        <w:r w:rsidR="000479F6" w:rsidRPr="007717A4">
          <w:rPr>
            <w:rStyle w:val="Hyperlink"/>
            <w:rFonts w:ascii="Arial" w:hAnsi="Arial" w:cs="Arial"/>
            <w:sz w:val="22"/>
            <w:szCs w:val="22"/>
          </w:rPr>
          <w:t>https://corporatefinanceinstitute.com/resources/accounting/current-ratio-formula/</w:t>
        </w:r>
      </w:hyperlink>
      <w:r w:rsidRPr="007717A4">
        <w:rPr>
          <w:rFonts w:ascii="Arial" w:hAnsi="Arial" w:cs="Arial"/>
          <w:sz w:val="22"/>
          <w:szCs w:val="22"/>
        </w:rPr>
        <w:t>.</w:t>
      </w:r>
    </w:p>
    <w:p w14:paraId="77337E39" w14:textId="5B2F1B37" w:rsidR="007D1F8B" w:rsidRPr="004F0F64" w:rsidRDefault="0086204E" w:rsidP="004F0F64">
      <w:pPr>
        <w:spacing w:line="360" w:lineRule="auto"/>
        <w:rPr>
          <w:rFonts w:ascii="Arial" w:hAnsi="Arial" w:cs="Arial"/>
          <w:sz w:val="22"/>
          <w:szCs w:val="22"/>
        </w:rPr>
      </w:pPr>
      <w:r>
        <w:rPr>
          <w:rFonts w:ascii="Arial" w:hAnsi="Arial" w:cs="Arial"/>
          <w:sz w:val="22"/>
          <w:szCs w:val="22"/>
        </w:rPr>
        <w:t>(Accessed 21 April 2024).</w:t>
      </w:r>
    </w:p>
    <w:p w14:paraId="2F34D9C1" w14:textId="77777777" w:rsidR="000479F6" w:rsidRPr="004F0F64" w:rsidRDefault="000479F6" w:rsidP="004F0F64">
      <w:pPr>
        <w:spacing w:line="360" w:lineRule="auto"/>
        <w:rPr>
          <w:rFonts w:ascii="Arial" w:hAnsi="Arial" w:cs="Arial"/>
          <w:sz w:val="22"/>
          <w:szCs w:val="22"/>
        </w:rPr>
      </w:pPr>
    </w:p>
    <w:p w14:paraId="3EC53579" w14:textId="77777777" w:rsidR="001142A0" w:rsidRPr="001142A0" w:rsidRDefault="001142A0" w:rsidP="004F0F64">
      <w:pPr>
        <w:spacing w:line="360" w:lineRule="auto"/>
        <w:rPr>
          <w:rFonts w:ascii="Arial" w:hAnsi="Arial" w:cs="Arial"/>
          <w:sz w:val="22"/>
          <w:szCs w:val="22"/>
        </w:rPr>
      </w:pPr>
      <w:r w:rsidRPr="001142A0">
        <w:rPr>
          <w:rFonts w:ascii="Arial" w:hAnsi="Arial" w:cs="Arial"/>
          <w:sz w:val="22"/>
          <w:szCs w:val="22"/>
        </w:rPr>
        <w:t>Yahoo.com (no date a) </w:t>
      </w:r>
      <w:r w:rsidRPr="001142A0">
        <w:rPr>
          <w:rFonts w:ascii="Arial" w:hAnsi="Arial" w:cs="Arial"/>
          <w:i/>
          <w:iCs/>
          <w:sz w:val="22"/>
          <w:szCs w:val="22"/>
        </w:rPr>
        <w:t>Apple Inc. (AAPL) balance sheet - yahoo finance</w:t>
      </w:r>
      <w:r w:rsidRPr="001142A0">
        <w:rPr>
          <w:rFonts w:ascii="Arial" w:hAnsi="Arial" w:cs="Arial"/>
          <w:sz w:val="22"/>
          <w:szCs w:val="22"/>
        </w:rPr>
        <w:t>, </w:t>
      </w:r>
      <w:r w:rsidRPr="001142A0">
        <w:rPr>
          <w:rFonts w:ascii="Arial" w:hAnsi="Arial" w:cs="Arial"/>
          <w:i/>
          <w:iCs/>
          <w:sz w:val="22"/>
          <w:szCs w:val="22"/>
        </w:rPr>
        <w:t>Yahoo.com</w:t>
      </w:r>
      <w:r w:rsidRPr="001142A0">
        <w:rPr>
          <w:rFonts w:ascii="Arial" w:hAnsi="Arial" w:cs="Arial"/>
          <w:sz w:val="22"/>
          <w:szCs w:val="22"/>
        </w:rPr>
        <w:t>. Available at: https://finance.yahoo.com/quote/AAPL/balance-sheet/ (Accessed: 22 April 2024). </w:t>
      </w:r>
    </w:p>
    <w:p w14:paraId="0DE4519D" w14:textId="77777777" w:rsidR="001142A0" w:rsidRPr="004F0F64" w:rsidRDefault="001142A0" w:rsidP="004F0F64">
      <w:pPr>
        <w:spacing w:line="360" w:lineRule="auto"/>
        <w:rPr>
          <w:rFonts w:ascii="Arial" w:hAnsi="Arial" w:cs="Arial"/>
          <w:sz w:val="22"/>
          <w:szCs w:val="22"/>
        </w:rPr>
      </w:pPr>
    </w:p>
    <w:p w14:paraId="1CAA4D1D" w14:textId="77777777" w:rsidR="000479F6" w:rsidRPr="000479F6" w:rsidRDefault="000479F6" w:rsidP="004F0F64">
      <w:pPr>
        <w:spacing w:line="360" w:lineRule="auto"/>
        <w:rPr>
          <w:rFonts w:ascii="Arial" w:hAnsi="Arial" w:cs="Arial"/>
          <w:sz w:val="22"/>
          <w:szCs w:val="22"/>
        </w:rPr>
      </w:pPr>
      <w:r w:rsidRPr="000479F6">
        <w:rPr>
          <w:rFonts w:ascii="Arial" w:hAnsi="Arial" w:cs="Arial"/>
          <w:sz w:val="22"/>
          <w:szCs w:val="22"/>
        </w:rPr>
        <w:t>Yahoo.com (no date) </w:t>
      </w:r>
      <w:r w:rsidRPr="000479F6">
        <w:rPr>
          <w:rFonts w:ascii="Arial" w:hAnsi="Arial" w:cs="Arial"/>
          <w:i/>
          <w:iCs/>
          <w:sz w:val="22"/>
          <w:szCs w:val="22"/>
        </w:rPr>
        <w:t>Microsoft Corporation (MSFT) balance sheet - yahoo finance</w:t>
      </w:r>
      <w:r w:rsidRPr="000479F6">
        <w:rPr>
          <w:rFonts w:ascii="Arial" w:hAnsi="Arial" w:cs="Arial"/>
          <w:sz w:val="22"/>
          <w:szCs w:val="22"/>
        </w:rPr>
        <w:t>, </w:t>
      </w:r>
      <w:r w:rsidRPr="000479F6">
        <w:rPr>
          <w:rFonts w:ascii="Arial" w:hAnsi="Arial" w:cs="Arial"/>
          <w:i/>
          <w:iCs/>
          <w:sz w:val="22"/>
          <w:szCs w:val="22"/>
        </w:rPr>
        <w:t>Yahoo.com</w:t>
      </w:r>
      <w:r w:rsidRPr="000479F6">
        <w:rPr>
          <w:rFonts w:ascii="Arial" w:hAnsi="Arial" w:cs="Arial"/>
          <w:sz w:val="22"/>
          <w:szCs w:val="22"/>
        </w:rPr>
        <w:t>. Available at: https://finance.yahoo.com/quote/MSFT/balance-sheet/ (Accessed: 22 April 2024). </w:t>
      </w:r>
    </w:p>
    <w:p w14:paraId="7317F2BE" w14:textId="77777777" w:rsidR="000479F6" w:rsidRPr="007717A4" w:rsidRDefault="000479F6" w:rsidP="007717A4">
      <w:pPr>
        <w:rPr>
          <w:rFonts w:ascii="Arial" w:hAnsi="Arial" w:cs="Arial"/>
          <w:sz w:val="22"/>
          <w:szCs w:val="22"/>
        </w:rPr>
      </w:pPr>
    </w:p>
    <w:p w14:paraId="3C387A52" w14:textId="14AB58BD" w:rsidR="007717A4" w:rsidRDefault="003C3B72">
      <w:r>
        <w:rPr>
          <w:rFonts w:ascii="Arial" w:eastAsia="Times New Roman" w:hAnsi="Arial" w:cs="Arial"/>
          <w:noProof/>
          <w:color w:val="000000"/>
          <w:kern w:val="0"/>
          <w:sz w:val="22"/>
          <w:szCs w:val="22"/>
          <w:lang w:eastAsia="en-GB"/>
        </w:rPr>
        <w:drawing>
          <wp:inline distT="0" distB="0" distL="0" distR="0" wp14:anchorId="0C77FF0A" wp14:editId="02F7D693">
            <wp:extent cx="5731510" cy="4726940"/>
            <wp:effectExtent l="0" t="0" r="0" b="0"/>
            <wp:docPr id="932844495"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44495" name="Picture 1" descr="A screenshot of a spreadshee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726940"/>
                    </a:xfrm>
                    <a:prstGeom prst="rect">
                      <a:avLst/>
                    </a:prstGeom>
                  </pic:spPr>
                </pic:pic>
              </a:graphicData>
            </a:graphic>
          </wp:inline>
        </w:drawing>
      </w:r>
    </w:p>
    <w:sectPr w:rsidR="007717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826CE" w14:textId="77777777" w:rsidR="0031089C" w:rsidRDefault="0031089C" w:rsidP="00DE4DFE">
      <w:r>
        <w:separator/>
      </w:r>
    </w:p>
  </w:endnote>
  <w:endnote w:type="continuationSeparator" w:id="0">
    <w:p w14:paraId="741CA895" w14:textId="77777777" w:rsidR="0031089C" w:rsidRDefault="0031089C" w:rsidP="00DE4D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3C228" w14:textId="77777777" w:rsidR="0031089C" w:rsidRDefault="0031089C" w:rsidP="00DE4DFE">
      <w:r>
        <w:separator/>
      </w:r>
    </w:p>
  </w:footnote>
  <w:footnote w:type="continuationSeparator" w:id="0">
    <w:p w14:paraId="1F1AE6DC" w14:textId="77777777" w:rsidR="0031089C" w:rsidRDefault="0031089C" w:rsidP="00DE4DF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E89"/>
    <w:rsid w:val="00007936"/>
    <w:rsid w:val="000136F8"/>
    <w:rsid w:val="00036F27"/>
    <w:rsid w:val="00040FD8"/>
    <w:rsid w:val="000479F6"/>
    <w:rsid w:val="00053D33"/>
    <w:rsid w:val="00054B81"/>
    <w:rsid w:val="0005527D"/>
    <w:rsid w:val="00060C18"/>
    <w:rsid w:val="00094FD9"/>
    <w:rsid w:val="00095865"/>
    <w:rsid w:val="000A3F89"/>
    <w:rsid w:val="000D0505"/>
    <w:rsid w:val="000D4DCA"/>
    <w:rsid w:val="000E0BCA"/>
    <w:rsid w:val="000F1513"/>
    <w:rsid w:val="000F348B"/>
    <w:rsid w:val="00106554"/>
    <w:rsid w:val="001142A0"/>
    <w:rsid w:val="00125462"/>
    <w:rsid w:val="0013558F"/>
    <w:rsid w:val="00135CD7"/>
    <w:rsid w:val="001434D7"/>
    <w:rsid w:val="00144CDC"/>
    <w:rsid w:val="00150C06"/>
    <w:rsid w:val="001D7778"/>
    <w:rsid w:val="001D7810"/>
    <w:rsid w:val="001E294F"/>
    <w:rsid w:val="002050BE"/>
    <w:rsid w:val="00207DA5"/>
    <w:rsid w:val="00223343"/>
    <w:rsid w:val="00223F50"/>
    <w:rsid w:val="00231650"/>
    <w:rsid w:val="002552E1"/>
    <w:rsid w:val="00265D80"/>
    <w:rsid w:val="00285B29"/>
    <w:rsid w:val="00292655"/>
    <w:rsid w:val="002A22AD"/>
    <w:rsid w:val="002C069B"/>
    <w:rsid w:val="002D3323"/>
    <w:rsid w:val="002D558A"/>
    <w:rsid w:val="002D5D07"/>
    <w:rsid w:val="002F406D"/>
    <w:rsid w:val="00303955"/>
    <w:rsid w:val="003063C4"/>
    <w:rsid w:val="0031089C"/>
    <w:rsid w:val="0031351D"/>
    <w:rsid w:val="0032772B"/>
    <w:rsid w:val="0032773A"/>
    <w:rsid w:val="00333FFF"/>
    <w:rsid w:val="00375D39"/>
    <w:rsid w:val="00386B06"/>
    <w:rsid w:val="00394D2C"/>
    <w:rsid w:val="003C3B72"/>
    <w:rsid w:val="003C513E"/>
    <w:rsid w:val="003C6C4F"/>
    <w:rsid w:val="003D061F"/>
    <w:rsid w:val="003E0A12"/>
    <w:rsid w:val="003F15B1"/>
    <w:rsid w:val="00401F0F"/>
    <w:rsid w:val="00403CE0"/>
    <w:rsid w:val="00411122"/>
    <w:rsid w:val="00422077"/>
    <w:rsid w:val="0044638D"/>
    <w:rsid w:val="00450567"/>
    <w:rsid w:val="00460444"/>
    <w:rsid w:val="004620AD"/>
    <w:rsid w:val="004658B1"/>
    <w:rsid w:val="00465BD5"/>
    <w:rsid w:val="004776A4"/>
    <w:rsid w:val="00484252"/>
    <w:rsid w:val="0048795A"/>
    <w:rsid w:val="00487B55"/>
    <w:rsid w:val="0049551B"/>
    <w:rsid w:val="004B6A0E"/>
    <w:rsid w:val="004C1944"/>
    <w:rsid w:val="004C55E1"/>
    <w:rsid w:val="004C76EB"/>
    <w:rsid w:val="004E1E4C"/>
    <w:rsid w:val="004E54CE"/>
    <w:rsid w:val="004F0F64"/>
    <w:rsid w:val="005132CA"/>
    <w:rsid w:val="00524703"/>
    <w:rsid w:val="005327D3"/>
    <w:rsid w:val="00541DC7"/>
    <w:rsid w:val="00543873"/>
    <w:rsid w:val="00546EB3"/>
    <w:rsid w:val="00547ADC"/>
    <w:rsid w:val="00550F18"/>
    <w:rsid w:val="005527C3"/>
    <w:rsid w:val="00555B68"/>
    <w:rsid w:val="005571E4"/>
    <w:rsid w:val="00557988"/>
    <w:rsid w:val="00560DB4"/>
    <w:rsid w:val="0057339B"/>
    <w:rsid w:val="005767A5"/>
    <w:rsid w:val="005776FB"/>
    <w:rsid w:val="00583AB1"/>
    <w:rsid w:val="00584466"/>
    <w:rsid w:val="00584B40"/>
    <w:rsid w:val="00585F4E"/>
    <w:rsid w:val="005A0BEB"/>
    <w:rsid w:val="005B344A"/>
    <w:rsid w:val="005C5C4B"/>
    <w:rsid w:val="005D4B61"/>
    <w:rsid w:val="005E3132"/>
    <w:rsid w:val="005F5DC8"/>
    <w:rsid w:val="006055DE"/>
    <w:rsid w:val="00616E7F"/>
    <w:rsid w:val="00625F9C"/>
    <w:rsid w:val="00650478"/>
    <w:rsid w:val="006533B9"/>
    <w:rsid w:val="0066238B"/>
    <w:rsid w:val="006D1046"/>
    <w:rsid w:val="00704124"/>
    <w:rsid w:val="007143D3"/>
    <w:rsid w:val="0071550E"/>
    <w:rsid w:val="00746DB5"/>
    <w:rsid w:val="007717A4"/>
    <w:rsid w:val="007B0D1B"/>
    <w:rsid w:val="007C21A2"/>
    <w:rsid w:val="007C796F"/>
    <w:rsid w:val="007D1F8B"/>
    <w:rsid w:val="007E06DD"/>
    <w:rsid w:val="007F1269"/>
    <w:rsid w:val="007F25C9"/>
    <w:rsid w:val="00800E64"/>
    <w:rsid w:val="0080353F"/>
    <w:rsid w:val="008343A9"/>
    <w:rsid w:val="008422FB"/>
    <w:rsid w:val="00850D9F"/>
    <w:rsid w:val="0086204E"/>
    <w:rsid w:val="00866896"/>
    <w:rsid w:val="00874613"/>
    <w:rsid w:val="00887324"/>
    <w:rsid w:val="008A5397"/>
    <w:rsid w:val="008B1D4B"/>
    <w:rsid w:val="008C3027"/>
    <w:rsid w:val="008E1404"/>
    <w:rsid w:val="008E718F"/>
    <w:rsid w:val="008F0DD6"/>
    <w:rsid w:val="00900DDF"/>
    <w:rsid w:val="00905F4C"/>
    <w:rsid w:val="00913B3B"/>
    <w:rsid w:val="0093201D"/>
    <w:rsid w:val="00940D00"/>
    <w:rsid w:val="0096396E"/>
    <w:rsid w:val="00975241"/>
    <w:rsid w:val="00990564"/>
    <w:rsid w:val="009942EB"/>
    <w:rsid w:val="009A06A6"/>
    <w:rsid w:val="009B54FA"/>
    <w:rsid w:val="009C342B"/>
    <w:rsid w:val="009F1E06"/>
    <w:rsid w:val="009F68D4"/>
    <w:rsid w:val="009F6F41"/>
    <w:rsid w:val="00A0516A"/>
    <w:rsid w:val="00A228A4"/>
    <w:rsid w:val="00A26678"/>
    <w:rsid w:val="00A30429"/>
    <w:rsid w:val="00A34888"/>
    <w:rsid w:val="00A36CD8"/>
    <w:rsid w:val="00A45863"/>
    <w:rsid w:val="00A51346"/>
    <w:rsid w:val="00A5318F"/>
    <w:rsid w:val="00A63013"/>
    <w:rsid w:val="00A64D9D"/>
    <w:rsid w:val="00A66B1D"/>
    <w:rsid w:val="00A72304"/>
    <w:rsid w:val="00A80B3C"/>
    <w:rsid w:val="00A862E2"/>
    <w:rsid w:val="00A97F5F"/>
    <w:rsid w:val="00AA261C"/>
    <w:rsid w:val="00AB2DF9"/>
    <w:rsid w:val="00AC011C"/>
    <w:rsid w:val="00AD5368"/>
    <w:rsid w:val="00B04E89"/>
    <w:rsid w:val="00B06349"/>
    <w:rsid w:val="00B207EB"/>
    <w:rsid w:val="00B209A8"/>
    <w:rsid w:val="00B27F17"/>
    <w:rsid w:val="00B331DD"/>
    <w:rsid w:val="00B42A7F"/>
    <w:rsid w:val="00BC75D3"/>
    <w:rsid w:val="00BD64EC"/>
    <w:rsid w:val="00BE1E45"/>
    <w:rsid w:val="00BE3951"/>
    <w:rsid w:val="00BF7439"/>
    <w:rsid w:val="00C02E09"/>
    <w:rsid w:val="00C41AA7"/>
    <w:rsid w:val="00C41AFC"/>
    <w:rsid w:val="00C44CC9"/>
    <w:rsid w:val="00C70ACA"/>
    <w:rsid w:val="00C7412B"/>
    <w:rsid w:val="00C74FBF"/>
    <w:rsid w:val="00C85FED"/>
    <w:rsid w:val="00C93A2D"/>
    <w:rsid w:val="00CB689B"/>
    <w:rsid w:val="00CB7EB5"/>
    <w:rsid w:val="00CD21E0"/>
    <w:rsid w:val="00CD2B87"/>
    <w:rsid w:val="00CD3AD6"/>
    <w:rsid w:val="00CE47FA"/>
    <w:rsid w:val="00CE4E17"/>
    <w:rsid w:val="00CF4CDF"/>
    <w:rsid w:val="00D24F79"/>
    <w:rsid w:val="00D353FD"/>
    <w:rsid w:val="00D3641A"/>
    <w:rsid w:val="00D42892"/>
    <w:rsid w:val="00D46E37"/>
    <w:rsid w:val="00D4741B"/>
    <w:rsid w:val="00D81938"/>
    <w:rsid w:val="00DC4AC9"/>
    <w:rsid w:val="00DE4DFE"/>
    <w:rsid w:val="00DF7670"/>
    <w:rsid w:val="00E024B0"/>
    <w:rsid w:val="00E045FF"/>
    <w:rsid w:val="00E06857"/>
    <w:rsid w:val="00E1392E"/>
    <w:rsid w:val="00E16ADA"/>
    <w:rsid w:val="00E33296"/>
    <w:rsid w:val="00E40F2E"/>
    <w:rsid w:val="00E4321E"/>
    <w:rsid w:val="00E62E1B"/>
    <w:rsid w:val="00E63699"/>
    <w:rsid w:val="00E8081A"/>
    <w:rsid w:val="00E86A0C"/>
    <w:rsid w:val="00EA7C8C"/>
    <w:rsid w:val="00EC7265"/>
    <w:rsid w:val="00ED1C78"/>
    <w:rsid w:val="00ED64AE"/>
    <w:rsid w:val="00ED6F9B"/>
    <w:rsid w:val="00EF1A4B"/>
    <w:rsid w:val="00EF4FB1"/>
    <w:rsid w:val="00F30593"/>
    <w:rsid w:val="00F31FC7"/>
    <w:rsid w:val="00F35728"/>
    <w:rsid w:val="00F37C2F"/>
    <w:rsid w:val="00F51E55"/>
    <w:rsid w:val="00F54FAC"/>
    <w:rsid w:val="00F70075"/>
    <w:rsid w:val="00F7739B"/>
    <w:rsid w:val="00F86B77"/>
    <w:rsid w:val="00FA7087"/>
    <w:rsid w:val="00FE7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AD67C"/>
  <w15:chartTrackingRefBased/>
  <w15:docId w15:val="{7A75E143-BCB6-6B44-94A9-A10FC4E27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E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4E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04E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04E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E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E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E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E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E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E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4E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04E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04E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E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E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E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E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E89"/>
    <w:rPr>
      <w:rFonts w:eastAsiaTheme="majorEastAsia" w:cstheme="majorBidi"/>
      <w:color w:val="272727" w:themeColor="text1" w:themeTint="D8"/>
    </w:rPr>
  </w:style>
  <w:style w:type="paragraph" w:styleId="Title">
    <w:name w:val="Title"/>
    <w:basedOn w:val="Normal"/>
    <w:next w:val="Normal"/>
    <w:link w:val="TitleChar"/>
    <w:uiPriority w:val="10"/>
    <w:qFormat/>
    <w:rsid w:val="00B04E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E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E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E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E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4E89"/>
    <w:rPr>
      <w:i/>
      <w:iCs/>
      <w:color w:val="404040" w:themeColor="text1" w:themeTint="BF"/>
    </w:rPr>
  </w:style>
  <w:style w:type="paragraph" w:styleId="ListParagraph">
    <w:name w:val="List Paragraph"/>
    <w:basedOn w:val="Normal"/>
    <w:uiPriority w:val="34"/>
    <w:qFormat/>
    <w:rsid w:val="00B04E89"/>
    <w:pPr>
      <w:ind w:left="720"/>
      <w:contextualSpacing/>
    </w:pPr>
  </w:style>
  <w:style w:type="character" w:styleId="IntenseEmphasis">
    <w:name w:val="Intense Emphasis"/>
    <w:basedOn w:val="DefaultParagraphFont"/>
    <w:uiPriority w:val="21"/>
    <w:qFormat/>
    <w:rsid w:val="00B04E89"/>
    <w:rPr>
      <w:i/>
      <w:iCs/>
      <w:color w:val="0F4761" w:themeColor="accent1" w:themeShade="BF"/>
    </w:rPr>
  </w:style>
  <w:style w:type="paragraph" w:styleId="IntenseQuote">
    <w:name w:val="Intense Quote"/>
    <w:basedOn w:val="Normal"/>
    <w:next w:val="Normal"/>
    <w:link w:val="IntenseQuoteChar"/>
    <w:uiPriority w:val="30"/>
    <w:qFormat/>
    <w:rsid w:val="00B04E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E89"/>
    <w:rPr>
      <w:i/>
      <w:iCs/>
      <w:color w:val="0F4761" w:themeColor="accent1" w:themeShade="BF"/>
    </w:rPr>
  </w:style>
  <w:style w:type="character" w:styleId="IntenseReference">
    <w:name w:val="Intense Reference"/>
    <w:basedOn w:val="DefaultParagraphFont"/>
    <w:uiPriority w:val="32"/>
    <w:qFormat/>
    <w:rsid w:val="00B04E89"/>
    <w:rPr>
      <w:b/>
      <w:bCs/>
      <w:smallCaps/>
      <w:color w:val="0F4761" w:themeColor="accent1" w:themeShade="BF"/>
      <w:spacing w:val="5"/>
    </w:rPr>
  </w:style>
  <w:style w:type="character" w:styleId="Strong">
    <w:name w:val="Strong"/>
    <w:basedOn w:val="DefaultParagraphFont"/>
    <w:uiPriority w:val="22"/>
    <w:qFormat/>
    <w:rsid w:val="00B04E89"/>
    <w:rPr>
      <w:b/>
      <w:bCs/>
    </w:rPr>
  </w:style>
  <w:style w:type="paragraph" w:customStyle="1" w:styleId="muitypography-root">
    <w:name w:val="muitypography-root"/>
    <w:basedOn w:val="Normal"/>
    <w:rsid w:val="00B04E8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ord">
    <w:name w:val="mord"/>
    <w:basedOn w:val="DefaultParagraphFont"/>
    <w:rsid w:val="00B04E89"/>
  </w:style>
  <w:style w:type="character" w:customStyle="1" w:styleId="mrel">
    <w:name w:val="mrel"/>
    <w:basedOn w:val="DefaultParagraphFont"/>
    <w:rsid w:val="00B04E89"/>
  </w:style>
  <w:style w:type="character" w:customStyle="1" w:styleId="mpunct">
    <w:name w:val="mpunct"/>
    <w:basedOn w:val="DefaultParagraphFont"/>
    <w:rsid w:val="00B04E89"/>
  </w:style>
  <w:style w:type="character" w:customStyle="1" w:styleId="vlist-s">
    <w:name w:val="vlist-s"/>
    <w:basedOn w:val="DefaultParagraphFont"/>
    <w:rsid w:val="00B04E89"/>
  </w:style>
  <w:style w:type="character" w:styleId="Hyperlink">
    <w:name w:val="Hyperlink"/>
    <w:basedOn w:val="DefaultParagraphFont"/>
    <w:uiPriority w:val="99"/>
    <w:unhideWhenUsed/>
    <w:rsid w:val="00E024B0"/>
    <w:rPr>
      <w:color w:val="467886" w:themeColor="hyperlink"/>
      <w:u w:val="single"/>
    </w:rPr>
  </w:style>
  <w:style w:type="character" w:styleId="UnresolvedMention">
    <w:name w:val="Unresolved Mention"/>
    <w:basedOn w:val="DefaultParagraphFont"/>
    <w:uiPriority w:val="99"/>
    <w:semiHidden/>
    <w:unhideWhenUsed/>
    <w:rsid w:val="00E024B0"/>
    <w:rPr>
      <w:color w:val="605E5C"/>
      <w:shd w:val="clear" w:color="auto" w:fill="E1DFDD"/>
    </w:rPr>
  </w:style>
  <w:style w:type="table" w:styleId="TableGridLight">
    <w:name w:val="Grid Table Light"/>
    <w:basedOn w:val="TableNormal"/>
    <w:uiPriority w:val="40"/>
    <w:rsid w:val="000D4DC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DE4DFE"/>
    <w:pPr>
      <w:tabs>
        <w:tab w:val="center" w:pos="4513"/>
        <w:tab w:val="right" w:pos="9026"/>
      </w:tabs>
    </w:pPr>
  </w:style>
  <w:style w:type="character" w:customStyle="1" w:styleId="HeaderChar">
    <w:name w:val="Header Char"/>
    <w:basedOn w:val="DefaultParagraphFont"/>
    <w:link w:val="Header"/>
    <w:uiPriority w:val="99"/>
    <w:rsid w:val="00DE4DFE"/>
  </w:style>
  <w:style w:type="paragraph" w:styleId="Footer">
    <w:name w:val="footer"/>
    <w:basedOn w:val="Normal"/>
    <w:link w:val="FooterChar"/>
    <w:uiPriority w:val="99"/>
    <w:unhideWhenUsed/>
    <w:rsid w:val="00DE4DFE"/>
    <w:pPr>
      <w:tabs>
        <w:tab w:val="center" w:pos="4513"/>
        <w:tab w:val="right" w:pos="9026"/>
      </w:tabs>
    </w:pPr>
  </w:style>
  <w:style w:type="character" w:customStyle="1" w:styleId="FooterChar">
    <w:name w:val="Footer Char"/>
    <w:basedOn w:val="DefaultParagraphFont"/>
    <w:link w:val="Footer"/>
    <w:uiPriority w:val="99"/>
    <w:rsid w:val="00DE4DFE"/>
  </w:style>
  <w:style w:type="character" w:styleId="PlaceholderText">
    <w:name w:val="Placeholder Text"/>
    <w:basedOn w:val="DefaultParagraphFont"/>
    <w:uiPriority w:val="99"/>
    <w:semiHidden/>
    <w:rsid w:val="00053D33"/>
    <w:rPr>
      <w:color w:val="666666"/>
    </w:rPr>
  </w:style>
  <w:style w:type="character" w:customStyle="1" w:styleId="apple-converted-space">
    <w:name w:val="apple-converted-space"/>
    <w:basedOn w:val="DefaultParagraphFont"/>
    <w:rsid w:val="003D061F"/>
  </w:style>
  <w:style w:type="paragraph" w:styleId="TOCHeading">
    <w:name w:val="TOC Heading"/>
    <w:basedOn w:val="Heading1"/>
    <w:next w:val="Normal"/>
    <w:uiPriority w:val="39"/>
    <w:unhideWhenUsed/>
    <w:qFormat/>
    <w:rsid w:val="00B209A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209A8"/>
    <w:pPr>
      <w:spacing w:before="120"/>
    </w:pPr>
    <w:rPr>
      <w:b/>
      <w:bCs/>
      <w:i/>
      <w:iCs/>
    </w:rPr>
  </w:style>
  <w:style w:type="paragraph" w:styleId="TOC2">
    <w:name w:val="toc 2"/>
    <w:basedOn w:val="Normal"/>
    <w:next w:val="Normal"/>
    <w:autoRedefine/>
    <w:uiPriority w:val="39"/>
    <w:unhideWhenUsed/>
    <w:rsid w:val="00B209A8"/>
    <w:pPr>
      <w:spacing w:before="120"/>
      <w:ind w:left="240"/>
    </w:pPr>
    <w:rPr>
      <w:b/>
      <w:bCs/>
      <w:sz w:val="22"/>
      <w:szCs w:val="22"/>
    </w:rPr>
  </w:style>
  <w:style w:type="paragraph" w:styleId="TOC3">
    <w:name w:val="toc 3"/>
    <w:basedOn w:val="Normal"/>
    <w:next w:val="Normal"/>
    <w:autoRedefine/>
    <w:uiPriority w:val="39"/>
    <w:unhideWhenUsed/>
    <w:rsid w:val="00B209A8"/>
    <w:pPr>
      <w:ind w:left="480"/>
    </w:pPr>
    <w:rPr>
      <w:sz w:val="20"/>
      <w:szCs w:val="20"/>
    </w:rPr>
  </w:style>
  <w:style w:type="paragraph" w:styleId="TOC4">
    <w:name w:val="toc 4"/>
    <w:basedOn w:val="Normal"/>
    <w:next w:val="Normal"/>
    <w:autoRedefine/>
    <w:uiPriority w:val="39"/>
    <w:semiHidden/>
    <w:unhideWhenUsed/>
    <w:rsid w:val="00B209A8"/>
    <w:pPr>
      <w:ind w:left="720"/>
    </w:pPr>
    <w:rPr>
      <w:sz w:val="20"/>
      <w:szCs w:val="20"/>
    </w:rPr>
  </w:style>
  <w:style w:type="paragraph" w:styleId="TOC5">
    <w:name w:val="toc 5"/>
    <w:basedOn w:val="Normal"/>
    <w:next w:val="Normal"/>
    <w:autoRedefine/>
    <w:uiPriority w:val="39"/>
    <w:semiHidden/>
    <w:unhideWhenUsed/>
    <w:rsid w:val="00B209A8"/>
    <w:pPr>
      <w:ind w:left="960"/>
    </w:pPr>
    <w:rPr>
      <w:sz w:val="20"/>
      <w:szCs w:val="20"/>
    </w:rPr>
  </w:style>
  <w:style w:type="paragraph" w:styleId="TOC6">
    <w:name w:val="toc 6"/>
    <w:basedOn w:val="Normal"/>
    <w:next w:val="Normal"/>
    <w:autoRedefine/>
    <w:uiPriority w:val="39"/>
    <w:semiHidden/>
    <w:unhideWhenUsed/>
    <w:rsid w:val="00B209A8"/>
    <w:pPr>
      <w:ind w:left="1200"/>
    </w:pPr>
    <w:rPr>
      <w:sz w:val="20"/>
      <w:szCs w:val="20"/>
    </w:rPr>
  </w:style>
  <w:style w:type="paragraph" w:styleId="TOC7">
    <w:name w:val="toc 7"/>
    <w:basedOn w:val="Normal"/>
    <w:next w:val="Normal"/>
    <w:autoRedefine/>
    <w:uiPriority w:val="39"/>
    <w:semiHidden/>
    <w:unhideWhenUsed/>
    <w:rsid w:val="00B209A8"/>
    <w:pPr>
      <w:ind w:left="1440"/>
    </w:pPr>
    <w:rPr>
      <w:sz w:val="20"/>
      <w:szCs w:val="20"/>
    </w:rPr>
  </w:style>
  <w:style w:type="paragraph" w:styleId="TOC8">
    <w:name w:val="toc 8"/>
    <w:basedOn w:val="Normal"/>
    <w:next w:val="Normal"/>
    <w:autoRedefine/>
    <w:uiPriority w:val="39"/>
    <w:semiHidden/>
    <w:unhideWhenUsed/>
    <w:rsid w:val="00B209A8"/>
    <w:pPr>
      <w:ind w:left="1680"/>
    </w:pPr>
    <w:rPr>
      <w:sz w:val="20"/>
      <w:szCs w:val="20"/>
    </w:rPr>
  </w:style>
  <w:style w:type="paragraph" w:styleId="TOC9">
    <w:name w:val="toc 9"/>
    <w:basedOn w:val="Normal"/>
    <w:next w:val="Normal"/>
    <w:autoRedefine/>
    <w:uiPriority w:val="39"/>
    <w:semiHidden/>
    <w:unhideWhenUsed/>
    <w:rsid w:val="00B209A8"/>
    <w:pPr>
      <w:ind w:left="1920"/>
    </w:pPr>
    <w:rPr>
      <w:sz w:val="20"/>
      <w:szCs w:val="20"/>
    </w:rPr>
  </w:style>
  <w:style w:type="paragraph" w:styleId="Caption">
    <w:name w:val="caption"/>
    <w:basedOn w:val="Normal"/>
    <w:next w:val="Normal"/>
    <w:uiPriority w:val="35"/>
    <w:unhideWhenUsed/>
    <w:qFormat/>
    <w:rsid w:val="00B209A8"/>
    <w:pPr>
      <w:spacing w:after="200"/>
    </w:pPr>
    <w:rPr>
      <w:i/>
      <w:iCs/>
      <w:color w:val="0E2841" w:themeColor="text2"/>
      <w:sz w:val="18"/>
      <w:szCs w:val="18"/>
    </w:rPr>
  </w:style>
  <w:style w:type="paragraph" w:styleId="TableofFigures">
    <w:name w:val="table of figures"/>
    <w:basedOn w:val="Normal"/>
    <w:next w:val="Normal"/>
    <w:uiPriority w:val="99"/>
    <w:unhideWhenUsed/>
    <w:rsid w:val="00460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4434">
      <w:bodyDiv w:val="1"/>
      <w:marLeft w:val="0"/>
      <w:marRight w:val="0"/>
      <w:marTop w:val="0"/>
      <w:marBottom w:val="0"/>
      <w:divBdr>
        <w:top w:val="none" w:sz="0" w:space="0" w:color="auto"/>
        <w:left w:val="none" w:sz="0" w:space="0" w:color="auto"/>
        <w:bottom w:val="none" w:sz="0" w:space="0" w:color="auto"/>
        <w:right w:val="none" w:sz="0" w:space="0" w:color="auto"/>
      </w:divBdr>
    </w:div>
    <w:div w:id="59521927">
      <w:bodyDiv w:val="1"/>
      <w:marLeft w:val="0"/>
      <w:marRight w:val="0"/>
      <w:marTop w:val="0"/>
      <w:marBottom w:val="0"/>
      <w:divBdr>
        <w:top w:val="none" w:sz="0" w:space="0" w:color="auto"/>
        <w:left w:val="none" w:sz="0" w:space="0" w:color="auto"/>
        <w:bottom w:val="none" w:sz="0" w:space="0" w:color="auto"/>
        <w:right w:val="none" w:sz="0" w:space="0" w:color="auto"/>
      </w:divBdr>
    </w:div>
    <w:div w:id="69087073">
      <w:bodyDiv w:val="1"/>
      <w:marLeft w:val="0"/>
      <w:marRight w:val="0"/>
      <w:marTop w:val="0"/>
      <w:marBottom w:val="0"/>
      <w:divBdr>
        <w:top w:val="none" w:sz="0" w:space="0" w:color="auto"/>
        <w:left w:val="none" w:sz="0" w:space="0" w:color="auto"/>
        <w:bottom w:val="none" w:sz="0" w:space="0" w:color="auto"/>
        <w:right w:val="none" w:sz="0" w:space="0" w:color="auto"/>
      </w:divBdr>
    </w:div>
    <w:div w:id="71851406">
      <w:bodyDiv w:val="1"/>
      <w:marLeft w:val="0"/>
      <w:marRight w:val="0"/>
      <w:marTop w:val="0"/>
      <w:marBottom w:val="0"/>
      <w:divBdr>
        <w:top w:val="none" w:sz="0" w:space="0" w:color="auto"/>
        <w:left w:val="none" w:sz="0" w:space="0" w:color="auto"/>
        <w:bottom w:val="none" w:sz="0" w:space="0" w:color="auto"/>
        <w:right w:val="none" w:sz="0" w:space="0" w:color="auto"/>
      </w:divBdr>
    </w:div>
    <w:div w:id="79956850">
      <w:bodyDiv w:val="1"/>
      <w:marLeft w:val="0"/>
      <w:marRight w:val="0"/>
      <w:marTop w:val="0"/>
      <w:marBottom w:val="0"/>
      <w:divBdr>
        <w:top w:val="none" w:sz="0" w:space="0" w:color="auto"/>
        <w:left w:val="none" w:sz="0" w:space="0" w:color="auto"/>
        <w:bottom w:val="none" w:sz="0" w:space="0" w:color="auto"/>
        <w:right w:val="none" w:sz="0" w:space="0" w:color="auto"/>
      </w:divBdr>
    </w:div>
    <w:div w:id="109474580">
      <w:bodyDiv w:val="1"/>
      <w:marLeft w:val="0"/>
      <w:marRight w:val="0"/>
      <w:marTop w:val="0"/>
      <w:marBottom w:val="0"/>
      <w:divBdr>
        <w:top w:val="none" w:sz="0" w:space="0" w:color="auto"/>
        <w:left w:val="none" w:sz="0" w:space="0" w:color="auto"/>
        <w:bottom w:val="none" w:sz="0" w:space="0" w:color="auto"/>
        <w:right w:val="none" w:sz="0" w:space="0" w:color="auto"/>
      </w:divBdr>
    </w:div>
    <w:div w:id="202448872">
      <w:bodyDiv w:val="1"/>
      <w:marLeft w:val="0"/>
      <w:marRight w:val="0"/>
      <w:marTop w:val="0"/>
      <w:marBottom w:val="0"/>
      <w:divBdr>
        <w:top w:val="none" w:sz="0" w:space="0" w:color="auto"/>
        <w:left w:val="none" w:sz="0" w:space="0" w:color="auto"/>
        <w:bottom w:val="none" w:sz="0" w:space="0" w:color="auto"/>
        <w:right w:val="none" w:sz="0" w:space="0" w:color="auto"/>
      </w:divBdr>
    </w:div>
    <w:div w:id="216014653">
      <w:bodyDiv w:val="1"/>
      <w:marLeft w:val="0"/>
      <w:marRight w:val="0"/>
      <w:marTop w:val="0"/>
      <w:marBottom w:val="0"/>
      <w:divBdr>
        <w:top w:val="none" w:sz="0" w:space="0" w:color="auto"/>
        <w:left w:val="none" w:sz="0" w:space="0" w:color="auto"/>
        <w:bottom w:val="none" w:sz="0" w:space="0" w:color="auto"/>
        <w:right w:val="none" w:sz="0" w:space="0" w:color="auto"/>
      </w:divBdr>
    </w:div>
    <w:div w:id="235015028">
      <w:bodyDiv w:val="1"/>
      <w:marLeft w:val="0"/>
      <w:marRight w:val="0"/>
      <w:marTop w:val="0"/>
      <w:marBottom w:val="0"/>
      <w:divBdr>
        <w:top w:val="none" w:sz="0" w:space="0" w:color="auto"/>
        <w:left w:val="none" w:sz="0" w:space="0" w:color="auto"/>
        <w:bottom w:val="none" w:sz="0" w:space="0" w:color="auto"/>
        <w:right w:val="none" w:sz="0" w:space="0" w:color="auto"/>
      </w:divBdr>
    </w:div>
    <w:div w:id="235869441">
      <w:bodyDiv w:val="1"/>
      <w:marLeft w:val="0"/>
      <w:marRight w:val="0"/>
      <w:marTop w:val="0"/>
      <w:marBottom w:val="0"/>
      <w:divBdr>
        <w:top w:val="none" w:sz="0" w:space="0" w:color="auto"/>
        <w:left w:val="none" w:sz="0" w:space="0" w:color="auto"/>
        <w:bottom w:val="none" w:sz="0" w:space="0" w:color="auto"/>
        <w:right w:val="none" w:sz="0" w:space="0" w:color="auto"/>
      </w:divBdr>
    </w:div>
    <w:div w:id="239557909">
      <w:bodyDiv w:val="1"/>
      <w:marLeft w:val="0"/>
      <w:marRight w:val="0"/>
      <w:marTop w:val="0"/>
      <w:marBottom w:val="0"/>
      <w:divBdr>
        <w:top w:val="none" w:sz="0" w:space="0" w:color="auto"/>
        <w:left w:val="none" w:sz="0" w:space="0" w:color="auto"/>
        <w:bottom w:val="none" w:sz="0" w:space="0" w:color="auto"/>
        <w:right w:val="none" w:sz="0" w:space="0" w:color="auto"/>
      </w:divBdr>
      <w:divsChild>
        <w:div w:id="497232879">
          <w:marLeft w:val="0"/>
          <w:marRight w:val="0"/>
          <w:marTop w:val="0"/>
          <w:marBottom w:val="0"/>
          <w:divBdr>
            <w:top w:val="none" w:sz="0" w:space="0" w:color="auto"/>
            <w:left w:val="none" w:sz="0" w:space="0" w:color="auto"/>
            <w:bottom w:val="none" w:sz="0" w:space="0" w:color="auto"/>
            <w:right w:val="none" w:sz="0" w:space="0" w:color="auto"/>
          </w:divBdr>
          <w:divsChild>
            <w:div w:id="296229250">
              <w:marLeft w:val="0"/>
              <w:marRight w:val="0"/>
              <w:marTop w:val="0"/>
              <w:marBottom w:val="0"/>
              <w:divBdr>
                <w:top w:val="none" w:sz="0" w:space="0" w:color="auto"/>
                <w:left w:val="none" w:sz="0" w:space="0" w:color="auto"/>
                <w:bottom w:val="none" w:sz="0" w:space="0" w:color="auto"/>
                <w:right w:val="none" w:sz="0" w:space="0" w:color="auto"/>
              </w:divBdr>
              <w:divsChild>
                <w:div w:id="54087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399504">
      <w:bodyDiv w:val="1"/>
      <w:marLeft w:val="0"/>
      <w:marRight w:val="0"/>
      <w:marTop w:val="0"/>
      <w:marBottom w:val="0"/>
      <w:divBdr>
        <w:top w:val="none" w:sz="0" w:space="0" w:color="auto"/>
        <w:left w:val="none" w:sz="0" w:space="0" w:color="auto"/>
        <w:bottom w:val="none" w:sz="0" w:space="0" w:color="auto"/>
        <w:right w:val="none" w:sz="0" w:space="0" w:color="auto"/>
      </w:divBdr>
    </w:div>
    <w:div w:id="325205997">
      <w:bodyDiv w:val="1"/>
      <w:marLeft w:val="0"/>
      <w:marRight w:val="0"/>
      <w:marTop w:val="0"/>
      <w:marBottom w:val="0"/>
      <w:divBdr>
        <w:top w:val="none" w:sz="0" w:space="0" w:color="auto"/>
        <w:left w:val="none" w:sz="0" w:space="0" w:color="auto"/>
        <w:bottom w:val="none" w:sz="0" w:space="0" w:color="auto"/>
        <w:right w:val="none" w:sz="0" w:space="0" w:color="auto"/>
      </w:divBdr>
    </w:div>
    <w:div w:id="339508350">
      <w:bodyDiv w:val="1"/>
      <w:marLeft w:val="0"/>
      <w:marRight w:val="0"/>
      <w:marTop w:val="0"/>
      <w:marBottom w:val="0"/>
      <w:divBdr>
        <w:top w:val="none" w:sz="0" w:space="0" w:color="auto"/>
        <w:left w:val="none" w:sz="0" w:space="0" w:color="auto"/>
        <w:bottom w:val="none" w:sz="0" w:space="0" w:color="auto"/>
        <w:right w:val="none" w:sz="0" w:space="0" w:color="auto"/>
      </w:divBdr>
    </w:div>
    <w:div w:id="349644707">
      <w:bodyDiv w:val="1"/>
      <w:marLeft w:val="0"/>
      <w:marRight w:val="0"/>
      <w:marTop w:val="0"/>
      <w:marBottom w:val="0"/>
      <w:divBdr>
        <w:top w:val="none" w:sz="0" w:space="0" w:color="auto"/>
        <w:left w:val="none" w:sz="0" w:space="0" w:color="auto"/>
        <w:bottom w:val="none" w:sz="0" w:space="0" w:color="auto"/>
        <w:right w:val="none" w:sz="0" w:space="0" w:color="auto"/>
      </w:divBdr>
    </w:div>
    <w:div w:id="375668704">
      <w:bodyDiv w:val="1"/>
      <w:marLeft w:val="0"/>
      <w:marRight w:val="0"/>
      <w:marTop w:val="0"/>
      <w:marBottom w:val="0"/>
      <w:divBdr>
        <w:top w:val="none" w:sz="0" w:space="0" w:color="auto"/>
        <w:left w:val="none" w:sz="0" w:space="0" w:color="auto"/>
        <w:bottom w:val="none" w:sz="0" w:space="0" w:color="auto"/>
        <w:right w:val="none" w:sz="0" w:space="0" w:color="auto"/>
      </w:divBdr>
    </w:div>
    <w:div w:id="414208569">
      <w:bodyDiv w:val="1"/>
      <w:marLeft w:val="0"/>
      <w:marRight w:val="0"/>
      <w:marTop w:val="0"/>
      <w:marBottom w:val="0"/>
      <w:divBdr>
        <w:top w:val="none" w:sz="0" w:space="0" w:color="auto"/>
        <w:left w:val="none" w:sz="0" w:space="0" w:color="auto"/>
        <w:bottom w:val="none" w:sz="0" w:space="0" w:color="auto"/>
        <w:right w:val="none" w:sz="0" w:space="0" w:color="auto"/>
      </w:divBdr>
    </w:div>
    <w:div w:id="445268809">
      <w:bodyDiv w:val="1"/>
      <w:marLeft w:val="0"/>
      <w:marRight w:val="0"/>
      <w:marTop w:val="0"/>
      <w:marBottom w:val="0"/>
      <w:divBdr>
        <w:top w:val="none" w:sz="0" w:space="0" w:color="auto"/>
        <w:left w:val="none" w:sz="0" w:space="0" w:color="auto"/>
        <w:bottom w:val="none" w:sz="0" w:space="0" w:color="auto"/>
        <w:right w:val="none" w:sz="0" w:space="0" w:color="auto"/>
      </w:divBdr>
    </w:div>
    <w:div w:id="461769890">
      <w:bodyDiv w:val="1"/>
      <w:marLeft w:val="0"/>
      <w:marRight w:val="0"/>
      <w:marTop w:val="0"/>
      <w:marBottom w:val="0"/>
      <w:divBdr>
        <w:top w:val="none" w:sz="0" w:space="0" w:color="auto"/>
        <w:left w:val="none" w:sz="0" w:space="0" w:color="auto"/>
        <w:bottom w:val="none" w:sz="0" w:space="0" w:color="auto"/>
        <w:right w:val="none" w:sz="0" w:space="0" w:color="auto"/>
      </w:divBdr>
    </w:div>
    <w:div w:id="501313689">
      <w:bodyDiv w:val="1"/>
      <w:marLeft w:val="0"/>
      <w:marRight w:val="0"/>
      <w:marTop w:val="0"/>
      <w:marBottom w:val="0"/>
      <w:divBdr>
        <w:top w:val="none" w:sz="0" w:space="0" w:color="auto"/>
        <w:left w:val="none" w:sz="0" w:space="0" w:color="auto"/>
        <w:bottom w:val="none" w:sz="0" w:space="0" w:color="auto"/>
        <w:right w:val="none" w:sz="0" w:space="0" w:color="auto"/>
      </w:divBdr>
      <w:divsChild>
        <w:div w:id="727537577">
          <w:marLeft w:val="0"/>
          <w:marRight w:val="0"/>
          <w:marTop w:val="0"/>
          <w:marBottom w:val="0"/>
          <w:divBdr>
            <w:top w:val="none" w:sz="0" w:space="0" w:color="auto"/>
            <w:left w:val="none" w:sz="0" w:space="0" w:color="auto"/>
            <w:bottom w:val="none" w:sz="0" w:space="0" w:color="auto"/>
            <w:right w:val="none" w:sz="0" w:space="0" w:color="auto"/>
          </w:divBdr>
          <w:divsChild>
            <w:div w:id="1183590050">
              <w:marLeft w:val="0"/>
              <w:marRight w:val="0"/>
              <w:marTop w:val="0"/>
              <w:marBottom w:val="0"/>
              <w:divBdr>
                <w:top w:val="none" w:sz="0" w:space="0" w:color="auto"/>
                <w:left w:val="none" w:sz="0" w:space="0" w:color="auto"/>
                <w:bottom w:val="none" w:sz="0" w:space="0" w:color="auto"/>
                <w:right w:val="none" w:sz="0" w:space="0" w:color="auto"/>
              </w:divBdr>
              <w:divsChild>
                <w:div w:id="75498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923942">
      <w:bodyDiv w:val="1"/>
      <w:marLeft w:val="0"/>
      <w:marRight w:val="0"/>
      <w:marTop w:val="0"/>
      <w:marBottom w:val="0"/>
      <w:divBdr>
        <w:top w:val="none" w:sz="0" w:space="0" w:color="auto"/>
        <w:left w:val="none" w:sz="0" w:space="0" w:color="auto"/>
        <w:bottom w:val="none" w:sz="0" w:space="0" w:color="auto"/>
        <w:right w:val="none" w:sz="0" w:space="0" w:color="auto"/>
      </w:divBdr>
    </w:div>
    <w:div w:id="542060633">
      <w:bodyDiv w:val="1"/>
      <w:marLeft w:val="0"/>
      <w:marRight w:val="0"/>
      <w:marTop w:val="0"/>
      <w:marBottom w:val="0"/>
      <w:divBdr>
        <w:top w:val="none" w:sz="0" w:space="0" w:color="auto"/>
        <w:left w:val="none" w:sz="0" w:space="0" w:color="auto"/>
        <w:bottom w:val="none" w:sz="0" w:space="0" w:color="auto"/>
        <w:right w:val="none" w:sz="0" w:space="0" w:color="auto"/>
      </w:divBdr>
    </w:div>
    <w:div w:id="566887598">
      <w:bodyDiv w:val="1"/>
      <w:marLeft w:val="0"/>
      <w:marRight w:val="0"/>
      <w:marTop w:val="0"/>
      <w:marBottom w:val="0"/>
      <w:divBdr>
        <w:top w:val="none" w:sz="0" w:space="0" w:color="auto"/>
        <w:left w:val="none" w:sz="0" w:space="0" w:color="auto"/>
        <w:bottom w:val="none" w:sz="0" w:space="0" w:color="auto"/>
        <w:right w:val="none" w:sz="0" w:space="0" w:color="auto"/>
      </w:divBdr>
    </w:div>
    <w:div w:id="569534960">
      <w:bodyDiv w:val="1"/>
      <w:marLeft w:val="0"/>
      <w:marRight w:val="0"/>
      <w:marTop w:val="0"/>
      <w:marBottom w:val="0"/>
      <w:divBdr>
        <w:top w:val="none" w:sz="0" w:space="0" w:color="auto"/>
        <w:left w:val="none" w:sz="0" w:space="0" w:color="auto"/>
        <w:bottom w:val="none" w:sz="0" w:space="0" w:color="auto"/>
        <w:right w:val="none" w:sz="0" w:space="0" w:color="auto"/>
      </w:divBdr>
    </w:div>
    <w:div w:id="594751966">
      <w:bodyDiv w:val="1"/>
      <w:marLeft w:val="0"/>
      <w:marRight w:val="0"/>
      <w:marTop w:val="0"/>
      <w:marBottom w:val="0"/>
      <w:divBdr>
        <w:top w:val="none" w:sz="0" w:space="0" w:color="auto"/>
        <w:left w:val="none" w:sz="0" w:space="0" w:color="auto"/>
        <w:bottom w:val="none" w:sz="0" w:space="0" w:color="auto"/>
        <w:right w:val="none" w:sz="0" w:space="0" w:color="auto"/>
      </w:divBdr>
    </w:div>
    <w:div w:id="615988070">
      <w:bodyDiv w:val="1"/>
      <w:marLeft w:val="0"/>
      <w:marRight w:val="0"/>
      <w:marTop w:val="0"/>
      <w:marBottom w:val="0"/>
      <w:divBdr>
        <w:top w:val="none" w:sz="0" w:space="0" w:color="auto"/>
        <w:left w:val="none" w:sz="0" w:space="0" w:color="auto"/>
        <w:bottom w:val="none" w:sz="0" w:space="0" w:color="auto"/>
        <w:right w:val="none" w:sz="0" w:space="0" w:color="auto"/>
      </w:divBdr>
    </w:div>
    <w:div w:id="663825202">
      <w:bodyDiv w:val="1"/>
      <w:marLeft w:val="0"/>
      <w:marRight w:val="0"/>
      <w:marTop w:val="0"/>
      <w:marBottom w:val="0"/>
      <w:divBdr>
        <w:top w:val="none" w:sz="0" w:space="0" w:color="auto"/>
        <w:left w:val="none" w:sz="0" w:space="0" w:color="auto"/>
        <w:bottom w:val="none" w:sz="0" w:space="0" w:color="auto"/>
        <w:right w:val="none" w:sz="0" w:space="0" w:color="auto"/>
      </w:divBdr>
    </w:div>
    <w:div w:id="668598653">
      <w:bodyDiv w:val="1"/>
      <w:marLeft w:val="0"/>
      <w:marRight w:val="0"/>
      <w:marTop w:val="0"/>
      <w:marBottom w:val="0"/>
      <w:divBdr>
        <w:top w:val="none" w:sz="0" w:space="0" w:color="auto"/>
        <w:left w:val="none" w:sz="0" w:space="0" w:color="auto"/>
        <w:bottom w:val="none" w:sz="0" w:space="0" w:color="auto"/>
        <w:right w:val="none" w:sz="0" w:space="0" w:color="auto"/>
      </w:divBdr>
    </w:div>
    <w:div w:id="668754685">
      <w:bodyDiv w:val="1"/>
      <w:marLeft w:val="0"/>
      <w:marRight w:val="0"/>
      <w:marTop w:val="0"/>
      <w:marBottom w:val="0"/>
      <w:divBdr>
        <w:top w:val="none" w:sz="0" w:space="0" w:color="auto"/>
        <w:left w:val="none" w:sz="0" w:space="0" w:color="auto"/>
        <w:bottom w:val="none" w:sz="0" w:space="0" w:color="auto"/>
        <w:right w:val="none" w:sz="0" w:space="0" w:color="auto"/>
      </w:divBdr>
    </w:div>
    <w:div w:id="679240506">
      <w:bodyDiv w:val="1"/>
      <w:marLeft w:val="0"/>
      <w:marRight w:val="0"/>
      <w:marTop w:val="0"/>
      <w:marBottom w:val="0"/>
      <w:divBdr>
        <w:top w:val="none" w:sz="0" w:space="0" w:color="auto"/>
        <w:left w:val="none" w:sz="0" w:space="0" w:color="auto"/>
        <w:bottom w:val="none" w:sz="0" w:space="0" w:color="auto"/>
        <w:right w:val="none" w:sz="0" w:space="0" w:color="auto"/>
      </w:divBdr>
    </w:div>
    <w:div w:id="686249648">
      <w:bodyDiv w:val="1"/>
      <w:marLeft w:val="0"/>
      <w:marRight w:val="0"/>
      <w:marTop w:val="0"/>
      <w:marBottom w:val="0"/>
      <w:divBdr>
        <w:top w:val="none" w:sz="0" w:space="0" w:color="auto"/>
        <w:left w:val="none" w:sz="0" w:space="0" w:color="auto"/>
        <w:bottom w:val="none" w:sz="0" w:space="0" w:color="auto"/>
        <w:right w:val="none" w:sz="0" w:space="0" w:color="auto"/>
      </w:divBdr>
    </w:div>
    <w:div w:id="695077146">
      <w:bodyDiv w:val="1"/>
      <w:marLeft w:val="0"/>
      <w:marRight w:val="0"/>
      <w:marTop w:val="0"/>
      <w:marBottom w:val="0"/>
      <w:divBdr>
        <w:top w:val="none" w:sz="0" w:space="0" w:color="auto"/>
        <w:left w:val="none" w:sz="0" w:space="0" w:color="auto"/>
        <w:bottom w:val="none" w:sz="0" w:space="0" w:color="auto"/>
        <w:right w:val="none" w:sz="0" w:space="0" w:color="auto"/>
      </w:divBdr>
    </w:div>
    <w:div w:id="701827117">
      <w:bodyDiv w:val="1"/>
      <w:marLeft w:val="0"/>
      <w:marRight w:val="0"/>
      <w:marTop w:val="0"/>
      <w:marBottom w:val="0"/>
      <w:divBdr>
        <w:top w:val="none" w:sz="0" w:space="0" w:color="auto"/>
        <w:left w:val="none" w:sz="0" w:space="0" w:color="auto"/>
        <w:bottom w:val="none" w:sz="0" w:space="0" w:color="auto"/>
        <w:right w:val="none" w:sz="0" w:space="0" w:color="auto"/>
      </w:divBdr>
    </w:div>
    <w:div w:id="738526027">
      <w:bodyDiv w:val="1"/>
      <w:marLeft w:val="0"/>
      <w:marRight w:val="0"/>
      <w:marTop w:val="0"/>
      <w:marBottom w:val="0"/>
      <w:divBdr>
        <w:top w:val="none" w:sz="0" w:space="0" w:color="auto"/>
        <w:left w:val="none" w:sz="0" w:space="0" w:color="auto"/>
        <w:bottom w:val="none" w:sz="0" w:space="0" w:color="auto"/>
        <w:right w:val="none" w:sz="0" w:space="0" w:color="auto"/>
      </w:divBdr>
    </w:div>
    <w:div w:id="745612770">
      <w:bodyDiv w:val="1"/>
      <w:marLeft w:val="0"/>
      <w:marRight w:val="0"/>
      <w:marTop w:val="0"/>
      <w:marBottom w:val="0"/>
      <w:divBdr>
        <w:top w:val="none" w:sz="0" w:space="0" w:color="auto"/>
        <w:left w:val="none" w:sz="0" w:space="0" w:color="auto"/>
        <w:bottom w:val="none" w:sz="0" w:space="0" w:color="auto"/>
        <w:right w:val="none" w:sz="0" w:space="0" w:color="auto"/>
      </w:divBdr>
    </w:div>
    <w:div w:id="778531042">
      <w:bodyDiv w:val="1"/>
      <w:marLeft w:val="0"/>
      <w:marRight w:val="0"/>
      <w:marTop w:val="0"/>
      <w:marBottom w:val="0"/>
      <w:divBdr>
        <w:top w:val="none" w:sz="0" w:space="0" w:color="auto"/>
        <w:left w:val="none" w:sz="0" w:space="0" w:color="auto"/>
        <w:bottom w:val="none" w:sz="0" w:space="0" w:color="auto"/>
        <w:right w:val="none" w:sz="0" w:space="0" w:color="auto"/>
      </w:divBdr>
    </w:div>
    <w:div w:id="800924852">
      <w:bodyDiv w:val="1"/>
      <w:marLeft w:val="0"/>
      <w:marRight w:val="0"/>
      <w:marTop w:val="0"/>
      <w:marBottom w:val="0"/>
      <w:divBdr>
        <w:top w:val="none" w:sz="0" w:space="0" w:color="auto"/>
        <w:left w:val="none" w:sz="0" w:space="0" w:color="auto"/>
        <w:bottom w:val="none" w:sz="0" w:space="0" w:color="auto"/>
        <w:right w:val="none" w:sz="0" w:space="0" w:color="auto"/>
      </w:divBdr>
    </w:div>
    <w:div w:id="843938340">
      <w:bodyDiv w:val="1"/>
      <w:marLeft w:val="0"/>
      <w:marRight w:val="0"/>
      <w:marTop w:val="0"/>
      <w:marBottom w:val="0"/>
      <w:divBdr>
        <w:top w:val="none" w:sz="0" w:space="0" w:color="auto"/>
        <w:left w:val="none" w:sz="0" w:space="0" w:color="auto"/>
        <w:bottom w:val="none" w:sz="0" w:space="0" w:color="auto"/>
        <w:right w:val="none" w:sz="0" w:space="0" w:color="auto"/>
      </w:divBdr>
    </w:div>
    <w:div w:id="851988433">
      <w:bodyDiv w:val="1"/>
      <w:marLeft w:val="0"/>
      <w:marRight w:val="0"/>
      <w:marTop w:val="0"/>
      <w:marBottom w:val="0"/>
      <w:divBdr>
        <w:top w:val="none" w:sz="0" w:space="0" w:color="auto"/>
        <w:left w:val="none" w:sz="0" w:space="0" w:color="auto"/>
        <w:bottom w:val="none" w:sz="0" w:space="0" w:color="auto"/>
        <w:right w:val="none" w:sz="0" w:space="0" w:color="auto"/>
      </w:divBdr>
    </w:div>
    <w:div w:id="854537027">
      <w:bodyDiv w:val="1"/>
      <w:marLeft w:val="0"/>
      <w:marRight w:val="0"/>
      <w:marTop w:val="0"/>
      <w:marBottom w:val="0"/>
      <w:divBdr>
        <w:top w:val="none" w:sz="0" w:space="0" w:color="auto"/>
        <w:left w:val="none" w:sz="0" w:space="0" w:color="auto"/>
        <w:bottom w:val="none" w:sz="0" w:space="0" w:color="auto"/>
        <w:right w:val="none" w:sz="0" w:space="0" w:color="auto"/>
      </w:divBdr>
    </w:div>
    <w:div w:id="873007361">
      <w:bodyDiv w:val="1"/>
      <w:marLeft w:val="0"/>
      <w:marRight w:val="0"/>
      <w:marTop w:val="0"/>
      <w:marBottom w:val="0"/>
      <w:divBdr>
        <w:top w:val="none" w:sz="0" w:space="0" w:color="auto"/>
        <w:left w:val="none" w:sz="0" w:space="0" w:color="auto"/>
        <w:bottom w:val="none" w:sz="0" w:space="0" w:color="auto"/>
        <w:right w:val="none" w:sz="0" w:space="0" w:color="auto"/>
      </w:divBdr>
      <w:divsChild>
        <w:div w:id="1519468562">
          <w:marLeft w:val="0"/>
          <w:marRight w:val="0"/>
          <w:marTop w:val="0"/>
          <w:marBottom w:val="0"/>
          <w:divBdr>
            <w:top w:val="single" w:sz="2" w:space="0" w:color="E3E3E3"/>
            <w:left w:val="single" w:sz="2" w:space="0" w:color="E3E3E3"/>
            <w:bottom w:val="single" w:sz="2" w:space="0" w:color="E3E3E3"/>
            <w:right w:val="single" w:sz="2" w:space="0" w:color="E3E3E3"/>
          </w:divBdr>
          <w:divsChild>
            <w:div w:id="1629433074">
              <w:marLeft w:val="0"/>
              <w:marRight w:val="0"/>
              <w:marTop w:val="0"/>
              <w:marBottom w:val="0"/>
              <w:divBdr>
                <w:top w:val="single" w:sz="2" w:space="0" w:color="E3E3E3"/>
                <w:left w:val="single" w:sz="2" w:space="0" w:color="E3E3E3"/>
                <w:bottom w:val="single" w:sz="2" w:space="0" w:color="E3E3E3"/>
                <w:right w:val="single" w:sz="2" w:space="0" w:color="E3E3E3"/>
              </w:divBdr>
              <w:divsChild>
                <w:div w:id="359210212">
                  <w:marLeft w:val="0"/>
                  <w:marRight w:val="0"/>
                  <w:marTop w:val="0"/>
                  <w:marBottom w:val="0"/>
                  <w:divBdr>
                    <w:top w:val="single" w:sz="2" w:space="0" w:color="E3E3E3"/>
                    <w:left w:val="single" w:sz="2" w:space="0" w:color="E3E3E3"/>
                    <w:bottom w:val="single" w:sz="2" w:space="0" w:color="E3E3E3"/>
                    <w:right w:val="single" w:sz="2" w:space="0" w:color="E3E3E3"/>
                  </w:divBdr>
                  <w:divsChild>
                    <w:div w:id="580800388">
                      <w:marLeft w:val="0"/>
                      <w:marRight w:val="0"/>
                      <w:marTop w:val="0"/>
                      <w:marBottom w:val="0"/>
                      <w:divBdr>
                        <w:top w:val="single" w:sz="2" w:space="0" w:color="E3E3E3"/>
                        <w:left w:val="single" w:sz="2" w:space="0" w:color="E3E3E3"/>
                        <w:bottom w:val="single" w:sz="2" w:space="0" w:color="E3E3E3"/>
                        <w:right w:val="single" w:sz="2" w:space="0" w:color="E3E3E3"/>
                      </w:divBdr>
                      <w:divsChild>
                        <w:div w:id="1682047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4940715">
          <w:marLeft w:val="0"/>
          <w:marRight w:val="0"/>
          <w:marTop w:val="0"/>
          <w:marBottom w:val="0"/>
          <w:divBdr>
            <w:top w:val="single" w:sz="2" w:space="0" w:color="E3E3E3"/>
            <w:left w:val="single" w:sz="2" w:space="0" w:color="E3E3E3"/>
            <w:bottom w:val="single" w:sz="2" w:space="0" w:color="E3E3E3"/>
            <w:right w:val="single" w:sz="2" w:space="0" w:color="E3E3E3"/>
          </w:divBdr>
          <w:divsChild>
            <w:div w:id="150411172">
              <w:marLeft w:val="0"/>
              <w:marRight w:val="0"/>
              <w:marTop w:val="0"/>
              <w:marBottom w:val="0"/>
              <w:divBdr>
                <w:top w:val="single" w:sz="2" w:space="0" w:color="E3E3E3"/>
                <w:left w:val="single" w:sz="2" w:space="0" w:color="E3E3E3"/>
                <w:bottom w:val="single" w:sz="2" w:space="0" w:color="E3E3E3"/>
                <w:right w:val="single" w:sz="2" w:space="0" w:color="E3E3E3"/>
              </w:divBdr>
            </w:div>
            <w:div w:id="340208868">
              <w:marLeft w:val="0"/>
              <w:marRight w:val="0"/>
              <w:marTop w:val="0"/>
              <w:marBottom w:val="0"/>
              <w:divBdr>
                <w:top w:val="single" w:sz="2" w:space="0" w:color="E3E3E3"/>
                <w:left w:val="single" w:sz="2" w:space="0" w:color="E3E3E3"/>
                <w:bottom w:val="single" w:sz="2" w:space="0" w:color="E3E3E3"/>
                <w:right w:val="single" w:sz="2" w:space="0" w:color="E3E3E3"/>
              </w:divBdr>
              <w:divsChild>
                <w:div w:id="2010522040">
                  <w:marLeft w:val="0"/>
                  <w:marRight w:val="0"/>
                  <w:marTop w:val="0"/>
                  <w:marBottom w:val="0"/>
                  <w:divBdr>
                    <w:top w:val="single" w:sz="2" w:space="0" w:color="E3E3E3"/>
                    <w:left w:val="single" w:sz="2" w:space="0" w:color="E3E3E3"/>
                    <w:bottom w:val="single" w:sz="2" w:space="0" w:color="E3E3E3"/>
                    <w:right w:val="single" w:sz="2" w:space="0" w:color="E3E3E3"/>
                  </w:divBdr>
                  <w:divsChild>
                    <w:div w:id="365985100">
                      <w:marLeft w:val="0"/>
                      <w:marRight w:val="0"/>
                      <w:marTop w:val="0"/>
                      <w:marBottom w:val="0"/>
                      <w:divBdr>
                        <w:top w:val="single" w:sz="2" w:space="0" w:color="E3E3E3"/>
                        <w:left w:val="single" w:sz="2" w:space="0" w:color="E3E3E3"/>
                        <w:bottom w:val="single" w:sz="2" w:space="0" w:color="E3E3E3"/>
                        <w:right w:val="single" w:sz="2" w:space="0" w:color="E3E3E3"/>
                      </w:divBdr>
                      <w:divsChild>
                        <w:div w:id="1183033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76891204">
      <w:bodyDiv w:val="1"/>
      <w:marLeft w:val="0"/>
      <w:marRight w:val="0"/>
      <w:marTop w:val="0"/>
      <w:marBottom w:val="0"/>
      <w:divBdr>
        <w:top w:val="none" w:sz="0" w:space="0" w:color="auto"/>
        <w:left w:val="none" w:sz="0" w:space="0" w:color="auto"/>
        <w:bottom w:val="none" w:sz="0" w:space="0" w:color="auto"/>
        <w:right w:val="none" w:sz="0" w:space="0" w:color="auto"/>
      </w:divBdr>
    </w:div>
    <w:div w:id="912082532">
      <w:bodyDiv w:val="1"/>
      <w:marLeft w:val="0"/>
      <w:marRight w:val="0"/>
      <w:marTop w:val="0"/>
      <w:marBottom w:val="0"/>
      <w:divBdr>
        <w:top w:val="none" w:sz="0" w:space="0" w:color="auto"/>
        <w:left w:val="none" w:sz="0" w:space="0" w:color="auto"/>
        <w:bottom w:val="none" w:sz="0" w:space="0" w:color="auto"/>
        <w:right w:val="none" w:sz="0" w:space="0" w:color="auto"/>
      </w:divBdr>
    </w:div>
    <w:div w:id="917439921">
      <w:bodyDiv w:val="1"/>
      <w:marLeft w:val="0"/>
      <w:marRight w:val="0"/>
      <w:marTop w:val="0"/>
      <w:marBottom w:val="0"/>
      <w:divBdr>
        <w:top w:val="none" w:sz="0" w:space="0" w:color="auto"/>
        <w:left w:val="none" w:sz="0" w:space="0" w:color="auto"/>
        <w:bottom w:val="none" w:sz="0" w:space="0" w:color="auto"/>
        <w:right w:val="none" w:sz="0" w:space="0" w:color="auto"/>
      </w:divBdr>
    </w:div>
    <w:div w:id="922833499">
      <w:bodyDiv w:val="1"/>
      <w:marLeft w:val="0"/>
      <w:marRight w:val="0"/>
      <w:marTop w:val="0"/>
      <w:marBottom w:val="0"/>
      <w:divBdr>
        <w:top w:val="none" w:sz="0" w:space="0" w:color="auto"/>
        <w:left w:val="none" w:sz="0" w:space="0" w:color="auto"/>
        <w:bottom w:val="none" w:sz="0" w:space="0" w:color="auto"/>
        <w:right w:val="none" w:sz="0" w:space="0" w:color="auto"/>
      </w:divBdr>
    </w:div>
    <w:div w:id="937058965">
      <w:bodyDiv w:val="1"/>
      <w:marLeft w:val="0"/>
      <w:marRight w:val="0"/>
      <w:marTop w:val="0"/>
      <w:marBottom w:val="0"/>
      <w:divBdr>
        <w:top w:val="none" w:sz="0" w:space="0" w:color="auto"/>
        <w:left w:val="none" w:sz="0" w:space="0" w:color="auto"/>
        <w:bottom w:val="none" w:sz="0" w:space="0" w:color="auto"/>
        <w:right w:val="none" w:sz="0" w:space="0" w:color="auto"/>
      </w:divBdr>
      <w:divsChild>
        <w:div w:id="1076051697">
          <w:marLeft w:val="0"/>
          <w:marRight w:val="0"/>
          <w:marTop w:val="0"/>
          <w:marBottom w:val="0"/>
          <w:divBdr>
            <w:top w:val="none" w:sz="0" w:space="0" w:color="auto"/>
            <w:left w:val="none" w:sz="0" w:space="0" w:color="auto"/>
            <w:bottom w:val="none" w:sz="0" w:space="0" w:color="auto"/>
            <w:right w:val="none" w:sz="0" w:space="0" w:color="auto"/>
          </w:divBdr>
          <w:divsChild>
            <w:div w:id="624192685">
              <w:marLeft w:val="0"/>
              <w:marRight w:val="0"/>
              <w:marTop w:val="0"/>
              <w:marBottom w:val="0"/>
              <w:divBdr>
                <w:top w:val="none" w:sz="0" w:space="0" w:color="auto"/>
                <w:left w:val="none" w:sz="0" w:space="0" w:color="auto"/>
                <w:bottom w:val="none" w:sz="0" w:space="0" w:color="auto"/>
                <w:right w:val="none" w:sz="0" w:space="0" w:color="auto"/>
              </w:divBdr>
              <w:divsChild>
                <w:div w:id="112480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046046">
      <w:bodyDiv w:val="1"/>
      <w:marLeft w:val="0"/>
      <w:marRight w:val="0"/>
      <w:marTop w:val="0"/>
      <w:marBottom w:val="0"/>
      <w:divBdr>
        <w:top w:val="none" w:sz="0" w:space="0" w:color="auto"/>
        <w:left w:val="none" w:sz="0" w:space="0" w:color="auto"/>
        <w:bottom w:val="none" w:sz="0" w:space="0" w:color="auto"/>
        <w:right w:val="none" w:sz="0" w:space="0" w:color="auto"/>
      </w:divBdr>
    </w:div>
    <w:div w:id="1020742070">
      <w:bodyDiv w:val="1"/>
      <w:marLeft w:val="0"/>
      <w:marRight w:val="0"/>
      <w:marTop w:val="0"/>
      <w:marBottom w:val="0"/>
      <w:divBdr>
        <w:top w:val="none" w:sz="0" w:space="0" w:color="auto"/>
        <w:left w:val="none" w:sz="0" w:space="0" w:color="auto"/>
        <w:bottom w:val="none" w:sz="0" w:space="0" w:color="auto"/>
        <w:right w:val="none" w:sz="0" w:space="0" w:color="auto"/>
      </w:divBdr>
    </w:div>
    <w:div w:id="1073046810">
      <w:bodyDiv w:val="1"/>
      <w:marLeft w:val="0"/>
      <w:marRight w:val="0"/>
      <w:marTop w:val="0"/>
      <w:marBottom w:val="0"/>
      <w:divBdr>
        <w:top w:val="none" w:sz="0" w:space="0" w:color="auto"/>
        <w:left w:val="none" w:sz="0" w:space="0" w:color="auto"/>
        <w:bottom w:val="none" w:sz="0" w:space="0" w:color="auto"/>
        <w:right w:val="none" w:sz="0" w:space="0" w:color="auto"/>
      </w:divBdr>
    </w:div>
    <w:div w:id="1079865236">
      <w:bodyDiv w:val="1"/>
      <w:marLeft w:val="0"/>
      <w:marRight w:val="0"/>
      <w:marTop w:val="0"/>
      <w:marBottom w:val="0"/>
      <w:divBdr>
        <w:top w:val="none" w:sz="0" w:space="0" w:color="auto"/>
        <w:left w:val="none" w:sz="0" w:space="0" w:color="auto"/>
        <w:bottom w:val="none" w:sz="0" w:space="0" w:color="auto"/>
        <w:right w:val="none" w:sz="0" w:space="0" w:color="auto"/>
      </w:divBdr>
    </w:div>
    <w:div w:id="1100881392">
      <w:bodyDiv w:val="1"/>
      <w:marLeft w:val="0"/>
      <w:marRight w:val="0"/>
      <w:marTop w:val="0"/>
      <w:marBottom w:val="0"/>
      <w:divBdr>
        <w:top w:val="none" w:sz="0" w:space="0" w:color="auto"/>
        <w:left w:val="none" w:sz="0" w:space="0" w:color="auto"/>
        <w:bottom w:val="none" w:sz="0" w:space="0" w:color="auto"/>
        <w:right w:val="none" w:sz="0" w:space="0" w:color="auto"/>
      </w:divBdr>
    </w:div>
    <w:div w:id="1147740783">
      <w:bodyDiv w:val="1"/>
      <w:marLeft w:val="0"/>
      <w:marRight w:val="0"/>
      <w:marTop w:val="0"/>
      <w:marBottom w:val="0"/>
      <w:divBdr>
        <w:top w:val="none" w:sz="0" w:space="0" w:color="auto"/>
        <w:left w:val="none" w:sz="0" w:space="0" w:color="auto"/>
        <w:bottom w:val="none" w:sz="0" w:space="0" w:color="auto"/>
        <w:right w:val="none" w:sz="0" w:space="0" w:color="auto"/>
      </w:divBdr>
    </w:div>
    <w:div w:id="1151403260">
      <w:bodyDiv w:val="1"/>
      <w:marLeft w:val="0"/>
      <w:marRight w:val="0"/>
      <w:marTop w:val="0"/>
      <w:marBottom w:val="0"/>
      <w:divBdr>
        <w:top w:val="none" w:sz="0" w:space="0" w:color="auto"/>
        <w:left w:val="none" w:sz="0" w:space="0" w:color="auto"/>
        <w:bottom w:val="none" w:sz="0" w:space="0" w:color="auto"/>
        <w:right w:val="none" w:sz="0" w:space="0" w:color="auto"/>
      </w:divBdr>
    </w:div>
    <w:div w:id="1167131562">
      <w:bodyDiv w:val="1"/>
      <w:marLeft w:val="0"/>
      <w:marRight w:val="0"/>
      <w:marTop w:val="0"/>
      <w:marBottom w:val="0"/>
      <w:divBdr>
        <w:top w:val="none" w:sz="0" w:space="0" w:color="auto"/>
        <w:left w:val="none" w:sz="0" w:space="0" w:color="auto"/>
        <w:bottom w:val="none" w:sz="0" w:space="0" w:color="auto"/>
        <w:right w:val="none" w:sz="0" w:space="0" w:color="auto"/>
      </w:divBdr>
      <w:divsChild>
        <w:div w:id="726539097">
          <w:marLeft w:val="0"/>
          <w:marRight w:val="0"/>
          <w:marTop w:val="0"/>
          <w:marBottom w:val="0"/>
          <w:divBdr>
            <w:top w:val="none" w:sz="0" w:space="0" w:color="auto"/>
            <w:left w:val="none" w:sz="0" w:space="0" w:color="auto"/>
            <w:bottom w:val="none" w:sz="0" w:space="0" w:color="auto"/>
            <w:right w:val="none" w:sz="0" w:space="0" w:color="auto"/>
          </w:divBdr>
          <w:divsChild>
            <w:div w:id="199123572">
              <w:marLeft w:val="0"/>
              <w:marRight w:val="0"/>
              <w:marTop w:val="0"/>
              <w:marBottom w:val="0"/>
              <w:divBdr>
                <w:top w:val="none" w:sz="0" w:space="0" w:color="auto"/>
                <w:left w:val="none" w:sz="0" w:space="0" w:color="auto"/>
                <w:bottom w:val="none" w:sz="0" w:space="0" w:color="auto"/>
                <w:right w:val="none" w:sz="0" w:space="0" w:color="auto"/>
              </w:divBdr>
              <w:divsChild>
                <w:div w:id="56953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871586">
      <w:bodyDiv w:val="1"/>
      <w:marLeft w:val="0"/>
      <w:marRight w:val="0"/>
      <w:marTop w:val="0"/>
      <w:marBottom w:val="0"/>
      <w:divBdr>
        <w:top w:val="none" w:sz="0" w:space="0" w:color="auto"/>
        <w:left w:val="none" w:sz="0" w:space="0" w:color="auto"/>
        <w:bottom w:val="none" w:sz="0" w:space="0" w:color="auto"/>
        <w:right w:val="none" w:sz="0" w:space="0" w:color="auto"/>
      </w:divBdr>
    </w:div>
    <w:div w:id="1177769721">
      <w:bodyDiv w:val="1"/>
      <w:marLeft w:val="0"/>
      <w:marRight w:val="0"/>
      <w:marTop w:val="0"/>
      <w:marBottom w:val="0"/>
      <w:divBdr>
        <w:top w:val="none" w:sz="0" w:space="0" w:color="auto"/>
        <w:left w:val="none" w:sz="0" w:space="0" w:color="auto"/>
        <w:bottom w:val="none" w:sz="0" w:space="0" w:color="auto"/>
        <w:right w:val="none" w:sz="0" w:space="0" w:color="auto"/>
      </w:divBdr>
    </w:div>
    <w:div w:id="1208955704">
      <w:bodyDiv w:val="1"/>
      <w:marLeft w:val="0"/>
      <w:marRight w:val="0"/>
      <w:marTop w:val="0"/>
      <w:marBottom w:val="0"/>
      <w:divBdr>
        <w:top w:val="none" w:sz="0" w:space="0" w:color="auto"/>
        <w:left w:val="none" w:sz="0" w:space="0" w:color="auto"/>
        <w:bottom w:val="none" w:sz="0" w:space="0" w:color="auto"/>
        <w:right w:val="none" w:sz="0" w:space="0" w:color="auto"/>
      </w:divBdr>
    </w:div>
    <w:div w:id="1246233464">
      <w:bodyDiv w:val="1"/>
      <w:marLeft w:val="0"/>
      <w:marRight w:val="0"/>
      <w:marTop w:val="0"/>
      <w:marBottom w:val="0"/>
      <w:divBdr>
        <w:top w:val="none" w:sz="0" w:space="0" w:color="auto"/>
        <w:left w:val="none" w:sz="0" w:space="0" w:color="auto"/>
        <w:bottom w:val="none" w:sz="0" w:space="0" w:color="auto"/>
        <w:right w:val="none" w:sz="0" w:space="0" w:color="auto"/>
      </w:divBdr>
    </w:div>
    <w:div w:id="1253704821">
      <w:bodyDiv w:val="1"/>
      <w:marLeft w:val="0"/>
      <w:marRight w:val="0"/>
      <w:marTop w:val="0"/>
      <w:marBottom w:val="0"/>
      <w:divBdr>
        <w:top w:val="none" w:sz="0" w:space="0" w:color="auto"/>
        <w:left w:val="none" w:sz="0" w:space="0" w:color="auto"/>
        <w:bottom w:val="none" w:sz="0" w:space="0" w:color="auto"/>
        <w:right w:val="none" w:sz="0" w:space="0" w:color="auto"/>
      </w:divBdr>
    </w:div>
    <w:div w:id="1284309882">
      <w:bodyDiv w:val="1"/>
      <w:marLeft w:val="0"/>
      <w:marRight w:val="0"/>
      <w:marTop w:val="0"/>
      <w:marBottom w:val="0"/>
      <w:divBdr>
        <w:top w:val="none" w:sz="0" w:space="0" w:color="auto"/>
        <w:left w:val="none" w:sz="0" w:space="0" w:color="auto"/>
        <w:bottom w:val="none" w:sz="0" w:space="0" w:color="auto"/>
        <w:right w:val="none" w:sz="0" w:space="0" w:color="auto"/>
      </w:divBdr>
    </w:div>
    <w:div w:id="1295864705">
      <w:bodyDiv w:val="1"/>
      <w:marLeft w:val="0"/>
      <w:marRight w:val="0"/>
      <w:marTop w:val="0"/>
      <w:marBottom w:val="0"/>
      <w:divBdr>
        <w:top w:val="none" w:sz="0" w:space="0" w:color="auto"/>
        <w:left w:val="none" w:sz="0" w:space="0" w:color="auto"/>
        <w:bottom w:val="none" w:sz="0" w:space="0" w:color="auto"/>
        <w:right w:val="none" w:sz="0" w:space="0" w:color="auto"/>
      </w:divBdr>
    </w:div>
    <w:div w:id="1301378166">
      <w:bodyDiv w:val="1"/>
      <w:marLeft w:val="0"/>
      <w:marRight w:val="0"/>
      <w:marTop w:val="0"/>
      <w:marBottom w:val="0"/>
      <w:divBdr>
        <w:top w:val="none" w:sz="0" w:space="0" w:color="auto"/>
        <w:left w:val="none" w:sz="0" w:space="0" w:color="auto"/>
        <w:bottom w:val="none" w:sz="0" w:space="0" w:color="auto"/>
        <w:right w:val="none" w:sz="0" w:space="0" w:color="auto"/>
      </w:divBdr>
    </w:div>
    <w:div w:id="1306622195">
      <w:bodyDiv w:val="1"/>
      <w:marLeft w:val="0"/>
      <w:marRight w:val="0"/>
      <w:marTop w:val="0"/>
      <w:marBottom w:val="0"/>
      <w:divBdr>
        <w:top w:val="none" w:sz="0" w:space="0" w:color="auto"/>
        <w:left w:val="none" w:sz="0" w:space="0" w:color="auto"/>
        <w:bottom w:val="none" w:sz="0" w:space="0" w:color="auto"/>
        <w:right w:val="none" w:sz="0" w:space="0" w:color="auto"/>
      </w:divBdr>
    </w:div>
    <w:div w:id="1323894060">
      <w:bodyDiv w:val="1"/>
      <w:marLeft w:val="0"/>
      <w:marRight w:val="0"/>
      <w:marTop w:val="0"/>
      <w:marBottom w:val="0"/>
      <w:divBdr>
        <w:top w:val="none" w:sz="0" w:space="0" w:color="auto"/>
        <w:left w:val="none" w:sz="0" w:space="0" w:color="auto"/>
        <w:bottom w:val="none" w:sz="0" w:space="0" w:color="auto"/>
        <w:right w:val="none" w:sz="0" w:space="0" w:color="auto"/>
      </w:divBdr>
    </w:div>
    <w:div w:id="1327201180">
      <w:bodyDiv w:val="1"/>
      <w:marLeft w:val="0"/>
      <w:marRight w:val="0"/>
      <w:marTop w:val="0"/>
      <w:marBottom w:val="0"/>
      <w:divBdr>
        <w:top w:val="none" w:sz="0" w:space="0" w:color="auto"/>
        <w:left w:val="none" w:sz="0" w:space="0" w:color="auto"/>
        <w:bottom w:val="none" w:sz="0" w:space="0" w:color="auto"/>
        <w:right w:val="none" w:sz="0" w:space="0" w:color="auto"/>
      </w:divBdr>
    </w:div>
    <w:div w:id="1348019187">
      <w:bodyDiv w:val="1"/>
      <w:marLeft w:val="0"/>
      <w:marRight w:val="0"/>
      <w:marTop w:val="0"/>
      <w:marBottom w:val="0"/>
      <w:divBdr>
        <w:top w:val="none" w:sz="0" w:space="0" w:color="auto"/>
        <w:left w:val="none" w:sz="0" w:space="0" w:color="auto"/>
        <w:bottom w:val="none" w:sz="0" w:space="0" w:color="auto"/>
        <w:right w:val="none" w:sz="0" w:space="0" w:color="auto"/>
      </w:divBdr>
    </w:div>
    <w:div w:id="1354762652">
      <w:bodyDiv w:val="1"/>
      <w:marLeft w:val="0"/>
      <w:marRight w:val="0"/>
      <w:marTop w:val="0"/>
      <w:marBottom w:val="0"/>
      <w:divBdr>
        <w:top w:val="none" w:sz="0" w:space="0" w:color="auto"/>
        <w:left w:val="none" w:sz="0" w:space="0" w:color="auto"/>
        <w:bottom w:val="none" w:sz="0" w:space="0" w:color="auto"/>
        <w:right w:val="none" w:sz="0" w:space="0" w:color="auto"/>
      </w:divBdr>
    </w:div>
    <w:div w:id="1366324351">
      <w:bodyDiv w:val="1"/>
      <w:marLeft w:val="0"/>
      <w:marRight w:val="0"/>
      <w:marTop w:val="0"/>
      <w:marBottom w:val="0"/>
      <w:divBdr>
        <w:top w:val="none" w:sz="0" w:space="0" w:color="auto"/>
        <w:left w:val="none" w:sz="0" w:space="0" w:color="auto"/>
        <w:bottom w:val="none" w:sz="0" w:space="0" w:color="auto"/>
        <w:right w:val="none" w:sz="0" w:space="0" w:color="auto"/>
      </w:divBdr>
    </w:div>
    <w:div w:id="1366633291">
      <w:bodyDiv w:val="1"/>
      <w:marLeft w:val="0"/>
      <w:marRight w:val="0"/>
      <w:marTop w:val="0"/>
      <w:marBottom w:val="0"/>
      <w:divBdr>
        <w:top w:val="none" w:sz="0" w:space="0" w:color="auto"/>
        <w:left w:val="none" w:sz="0" w:space="0" w:color="auto"/>
        <w:bottom w:val="none" w:sz="0" w:space="0" w:color="auto"/>
        <w:right w:val="none" w:sz="0" w:space="0" w:color="auto"/>
      </w:divBdr>
    </w:div>
    <w:div w:id="1373965629">
      <w:bodyDiv w:val="1"/>
      <w:marLeft w:val="0"/>
      <w:marRight w:val="0"/>
      <w:marTop w:val="0"/>
      <w:marBottom w:val="0"/>
      <w:divBdr>
        <w:top w:val="none" w:sz="0" w:space="0" w:color="auto"/>
        <w:left w:val="none" w:sz="0" w:space="0" w:color="auto"/>
        <w:bottom w:val="none" w:sz="0" w:space="0" w:color="auto"/>
        <w:right w:val="none" w:sz="0" w:space="0" w:color="auto"/>
      </w:divBdr>
    </w:div>
    <w:div w:id="1377848996">
      <w:bodyDiv w:val="1"/>
      <w:marLeft w:val="0"/>
      <w:marRight w:val="0"/>
      <w:marTop w:val="0"/>
      <w:marBottom w:val="0"/>
      <w:divBdr>
        <w:top w:val="none" w:sz="0" w:space="0" w:color="auto"/>
        <w:left w:val="none" w:sz="0" w:space="0" w:color="auto"/>
        <w:bottom w:val="none" w:sz="0" w:space="0" w:color="auto"/>
        <w:right w:val="none" w:sz="0" w:space="0" w:color="auto"/>
      </w:divBdr>
    </w:div>
    <w:div w:id="1389837009">
      <w:bodyDiv w:val="1"/>
      <w:marLeft w:val="0"/>
      <w:marRight w:val="0"/>
      <w:marTop w:val="0"/>
      <w:marBottom w:val="0"/>
      <w:divBdr>
        <w:top w:val="none" w:sz="0" w:space="0" w:color="auto"/>
        <w:left w:val="none" w:sz="0" w:space="0" w:color="auto"/>
        <w:bottom w:val="none" w:sz="0" w:space="0" w:color="auto"/>
        <w:right w:val="none" w:sz="0" w:space="0" w:color="auto"/>
      </w:divBdr>
    </w:div>
    <w:div w:id="1407341403">
      <w:bodyDiv w:val="1"/>
      <w:marLeft w:val="0"/>
      <w:marRight w:val="0"/>
      <w:marTop w:val="0"/>
      <w:marBottom w:val="0"/>
      <w:divBdr>
        <w:top w:val="none" w:sz="0" w:space="0" w:color="auto"/>
        <w:left w:val="none" w:sz="0" w:space="0" w:color="auto"/>
        <w:bottom w:val="none" w:sz="0" w:space="0" w:color="auto"/>
        <w:right w:val="none" w:sz="0" w:space="0" w:color="auto"/>
      </w:divBdr>
    </w:div>
    <w:div w:id="1451557874">
      <w:bodyDiv w:val="1"/>
      <w:marLeft w:val="0"/>
      <w:marRight w:val="0"/>
      <w:marTop w:val="0"/>
      <w:marBottom w:val="0"/>
      <w:divBdr>
        <w:top w:val="none" w:sz="0" w:space="0" w:color="auto"/>
        <w:left w:val="none" w:sz="0" w:space="0" w:color="auto"/>
        <w:bottom w:val="none" w:sz="0" w:space="0" w:color="auto"/>
        <w:right w:val="none" w:sz="0" w:space="0" w:color="auto"/>
      </w:divBdr>
    </w:div>
    <w:div w:id="1459640487">
      <w:bodyDiv w:val="1"/>
      <w:marLeft w:val="0"/>
      <w:marRight w:val="0"/>
      <w:marTop w:val="0"/>
      <w:marBottom w:val="0"/>
      <w:divBdr>
        <w:top w:val="none" w:sz="0" w:space="0" w:color="auto"/>
        <w:left w:val="none" w:sz="0" w:space="0" w:color="auto"/>
        <w:bottom w:val="none" w:sz="0" w:space="0" w:color="auto"/>
        <w:right w:val="none" w:sz="0" w:space="0" w:color="auto"/>
      </w:divBdr>
    </w:div>
    <w:div w:id="1463844133">
      <w:bodyDiv w:val="1"/>
      <w:marLeft w:val="0"/>
      <w:marRight w:val="0"/>
      <w:marTop w:val="0"/>
      <w:marBottom w:val="0"/>
      <w:divBdr>
        <w:top w:val="none" w:sz="0" w:space="0" w:color="auto"/>
        <w:left w:val="none" w:sz="0" w:space="0" w:color="auto"/>
        <w:bottom w:val="none" w:sz="0" w:space="0" w:color="auto"/>
        <w:right w:val="none" w:sz="0" w:space="0" w:color="auto"/>
      </w:divBdr>
    </w:div>
    <w:div w:id="1482499918">
      <w:bodyDiv w:val="1"/>
      <w:marLeft w:val="0"/>
      <w:marRight w:val="0"/>
      <w:marTop w:val="0"/>
      <w:marBottom w:val="0"/>
      <w:divBdr>
        <w:top w:val="none" w:sz="0" w:space="0" w:color="auto"/>
        <w:left w:val="none" w:sz="0" w:space="0" w:color="auto"/>
        <w:bottom w:val="none" w:sz="0" w:space="0" w:color="auto"/>
        <w:right w:val="none" w:sz="0" w:space="0" w:color="auto"/>
      </w:divBdr>
    </w:div>
    <w:div w:id="1513648449">
      <w:bodyDiv w:val="1"/>
      <w:marLeft w:val="0"/>
      <w:marRight w:val="0"/>
      <w:marTop w:val="0"/>
      <w:marBottom w:val="0"/>
      <w:divBdr>
        <w:top w:val="none" w:sz="0" w:space="0" w:color="auto"/>
        <w:left w:val="none" w:sz="0" w:space="0" w:color="auto"/>
        <w:bottom w:val="none" w:sz="0" w:space="0" w:color="auto"/>
        <w:right w:val="none" w:sz="0" w:space="0" w:color="auto"/>
      </w:divBdr>
    </w:div>
    <w:div w:id="1514611357">
      <w:bodyDiv w:val="1"/>
      <w:marLeft w:val="0"/>
      <w:marRight w:val="0"/>
      <w:marTop w:val="0"/>
      <w:marBottom w:val="0"/>
      <w:divBdr>
        <w:top w:val="none" w:sz="0" w:space="0" w:color="auto"/>
        <w:left w:val="none" w:sz="0" w:space="0" w:color="auto"/>
        <w:bottom w:val="none" w:sz="0" w:space="0" w:color="auto"/>
        <w:right w:val="none" w:sz="0" w:space="0" w:color="auto"/>
      </w:divBdr>
    </w:div>
    <w:div w:id="1522084166">
      <w:bodyDiv w:val="1"/>
      <w:marLeft w:val="0"/>
      <w:marRight w:val="0"/>
      <w:marTop w:val="0"/>
      <w:marBottom w:val="0"/>
      <w:divBdr>
        <w:top w:val="none" w:sz="0" w:space="0" w:color="auto"/>
        <w:left w:val="none" w:sz="0" w:space="0" w:color="auto"/>
        <w:bottom w:val="none" w:sz="0" w:space="0" w:color="auto"/>
        <w:right w:val="none" w:sz="0" w:space="0" w:color="auto"/>
      </w:divBdr>
    </w:div>
    <w:div w:id="1528249887">
      <w:bodyDiv w:val="1"/>
      <w:marLeft w:val="0"/>
      <w:marRight w:val="0"/>
      <w:marTop w:val="0"/>
      <w:marBottom w:val="0"/>
      <w:divBdr>
        <w:top w:val="none" w:sz="0" w:space="0" w:color="auto"/>
        <w:left w:val="none" w:sz="0" w:space="0" w:color="auto"/>
        <w:bottom w:val="none" w:sz="0" w:space="0" w:color="auto"/>
        <w:right w:val="none" w:sz="0" w:space="0" w:color="auto"/>
      </w:divBdr>
    </w:div>
    <w:div w:id="1564220394">
      <w:bodyDiv w:val="1"/>
      <w:marLeft w:val="0"/>
      <w:marRight w:val="0"/>
      <w:marTop w:val="0"/>
      <w:marBottom w:val="0"/>
      <w:divBdr>
        <w:top w:val="none" w:sz="0" w:space="0" w:color="auto"/>
        <w:left w:val="none" w:sz="0" w:space="0" w:color="auto"/>
        <w:bottom w:val="none" w:sz="0" w:space="0" w:color="auto"/>
        <w:right w:val="none" w:sz="0" w:space="0" w:color="auto"/>
      </w:divBdr>
    </w:div>
    <w:div w:id="1640838490">
      <w:bodyDiv w:val="1"/>
      <w:marLeft w:val="0"/>
      <w:marRight w:val="0"/>
      <w:marTop w:val="0"/>
      <w:marBottom w:val="0"/>
      <w:divBdr>
        <w:top w:val="none" w:sz="0" w:space="0" w:color="auto"/>
        <w:left w:val="none" w:sz="0" w:space="0" w:color="auto"/>
        <w:bottom w:val="none" w:sz="0" w:space="0" w:color="auto"/>
        <w:right w:val="none" w:sz="0" w:space="0" w:color="auto"/>
      </w:divBdr>
    </w:div>
    <w:div w:id="1656176475">
      <w:bodyDiv w:val="1"/>
      <w:marLeft w:val="0"/>
      <w:marRight w:val="0"/>
      <w:marTop w:val="0"/>
      <w:marBottom w:val="0"/>
      <w:divBdr>
        <w:top w:val="none" w:sz="0" w:space="0" w:color="auto"/>
        <w:left w:val="none" w:sz="0" w:space="0" w:color="auto"/>
        <w:bottom w:val="none" w:sz="0" w:space="0" w:color="auto"/>
        <w:right w:val="none" w:sz="0" w:space="0" w:color="auto"/>
      </w:divBdr>
    </w:div>
    <w:div w:id="1661078687">
      <w:bodyDiv w:val="1"/>
      <w:marLeft w:val="0"/>
      <w:marRight w:val="0"/>
      <w:marTop w:val="0"/>
      <w:marBottom w:val="0"/>
      <w:divBdr>
        <w:top w:val="none" w:sz="0" w:space="0" w:color="auto"/>
        <w:left w:val="none" w:sz="0" w:space="0" w:color="auto"/>
        <w:bottom w:val="none" w:sz="0" w:space="0" w:color="auto"/>
        <w:right w:val="none" w:sz="0" w:space="0" w:color="auto"/>
      </w:divBdr>
    </w:div>
    <w:div w:id="1675766997">
      <w:bodyDiv w:val="1"/>
      <w:marLeft w:val="0"/>
      <w:marRight w:val="0"/>
      <w:marTop w:val="0"/>
      <w:marBottom w:val="0"/>
      <w:divBdr>
        <w:top w:val="none" w:sz="0" w:space="0" w:color="auto"/>
        <w:left w:val="none" w:sz="0" w:space="0" w:color="auto"/>
        <w:bottom w:val="none" w:sz="0" w:space="0" w:color="auto"/>
        <w:right w:val="none" w:sz="0" w:space="0" w:color="auto"/>
      </w:divBdr>
    </w:div>
    <w:div w:id="1676224252">
      <w:bodyDiv w:val="1"/>
      <w:marLeft w:val="0"/>
      <w:marRight w:val="0"/>
      <w:marTop w:val="0"/>
      <w:marBottom w:val="0"/>
      <w:divBdr>
        <w:top w:val="none" w:sz="0" w:space="0" w:color="auto"/>
        <w:left w:val="none" w:sz="0" w:space="0" w:color="auto"/>
        <w:bottom w:val="none" w:sz="0" w:space="0" w:color="auto"/>
        <w:right w:val="none" w:sz="0" w:space="0" w:color="auto"/>
      </w:divBdr>
    </w:div>
    <w:div w:id="1711417078">
      <w:bodyDiv w:val="1"/>
      <w:marLeft w:val="0"/>
      <w:marRight w:val="0"/>
      <w:marTop w:val="0"/>
      <w:marBottom w:val="0"/>
      <w:divBdr>
        <w:top w:val="none" w:sz="0" w:space="0" w:color="auto"/>
        <w:left w:val="none" w:sz="0" w:space="0" w:color="auto"/>
        <w:bottom w:val="none" w:sz="0" w:space="0" w:color="auto"/>
        <w:right w:val="none" w:sz="0" w:space="0" w:color="auto"/>
      </w:divBdr>
      <w:divsChild>
        <w:div w:id="1016927848">
          <w:marLeft w:val="0"/>
          <w:marRight w:val="0"/>
          <w:marTop w:val="0"/>
          <w:marBottom w:val="0"/>
          <w:divBdr>
            <w:top w:val="single" w:sz="2" w:space="0" w:color="E3E3E3"/>
            <w:left w:val="single" w:sz="2" w:space="0" w:color="E3E3E3"/>
            <w:bottom w:val="single" w:sz="2" w:space="0" w:color="E3E3E3"/>
            <w:right w:val="single" w:sz="2" w:space="0" w:color="E3E3E3"/>
          </w:divBdr>
          <w:divsChild>
            <w:div w:id="1070543447">
              <w:marLeft w:val="0"/>
              <w:marRight w:val="0"/>
              <w:marTop w:val="0"/>
              <w:marBottom w:val="0"/>
              <w:divBdr>
                <w:top w:val="single" w:sz="2" w:space="0" w:color="E3E3E3"/>
                <w:left w:val="single" w:sz="2" w:space="0" w:color="E3E3E3"/>
                <w:bottom w:val="single" w:sz="2" w:space="0" w:color="E3E3E3"/>
                <w:right w:val="single" w:sz="2" w:space="0" w:color="E3E3E3"/>
              </w:divBdr>
              <w:divsChild>
                <w:div w:id="1656496008">
                  <w:marLeft w:val="0"/>
                  <w:marRight w:val="0"/>
                  <w:marTop w:val="0"/>
                  <w:marBottom w:val="0"/>
                  <w:divBdr>
                    <w:top w:val="single" w:sz="2" w:space="0" w:color="E3E3E3"/>
                    <w:left w:val="single" w:sz="2" w:space="0" w:color="E3E3E3"/>
                    <w:bottom w:val="single" w:sz="2" w:space="0" w:color="E3E3E3"/>
                    <w:right w:val="single" w:sz="2" w:space="0" w:color="E3E3E3"/>
                  </w:divBdr>
                  <w:divsChild>
                    <w:div w:id="270553036">
                      <w:marLeft w:val="0"/>
                      <w:marRight w:val="0"/>
                      <w:marTop w:val="0"/>
                      <w:marBottom w:val="0"/>
                      <w:divBdr>
                        <w:top w:val="single" w:sz="2" w:space="0" w:color="E3E3E3"/>
                        <w:left w:val="single" w:sz="2" w:space="0" w:color="E3E3E3"/>
                        <w:bottom w:val="single" w:sz="2" w:space="0" w:color="E3E3E3"/>
                        <w:right w:val="single" w:sz="2" w:space="0" w:color="E3E3E3"/>
                      </w:divBdr>
                      <w:divsChild>
                        <w:div w:id="17698831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8660664">
          <w:marLeft w:val="0"/>
          <w:marRight w:val="0"/>
          <w:marTop w:val="0"/>
          <w:marBottom w:val="0"/>
          <w:divBdr>
            <w:top w:val="single" w:sz="2" w:space="0" w:color="E3E3E3"/>
            <w:left w:val="single" w:sz="2" w:space="0" w:color="E3E3E3"/>
            <w:bottom w:val="single" w:sz="2" w:space="0" w:color="E3E3E3"/>
            <w:right w:val="single" w:sz="2" w:space="0" w:color="E3E3E3"/>
          </w:divBdr>
          <w:divsChild>
            <w:div w:id="332800349">
              <w:marLeft w:val="0"/>
              <w:marRight w:val="0"/>
              <w:marTop w:val="0"/>
              <w:marBottom w:val="0"/>
              <w:divBdr>
                <w:top w:val="single" w:sz="2" w:space="0" w:color="E3E3E3"/>
                <w:left w:val="single" w:sz="2" w:space="0" w:color="E3E3E3"/>
                <w:bottom w:val="single" w:sz="2" w:space="0" w:color="E3E3E3"/>
                <w:right w:val="single" w:sz="2" w:space="0" w:color="E3E3E3"/>
              </w:divBdr>
            </w:div>
            <w:div w:id="873080303">
              <w:marLeft w:val="0"/>
              <w:marRight w:val="0"/>
              <w:marTop w:val="0"/>
              <w:marBottom w:val="0"/>
              <w:divBdr>
                <w:top w:val="single" w:sz="2" w:space="0" w:color="E3E3E3"/>
                <w:left w:val="single" w:sz="2" w:space="0" w:color="E3E3E3"/>
                <w:bottom w:val="single" w:sz="2" w:space="0" w:color="E3E3E3"/>
                <w:right w:val="single" w:sz="2" w:space="0" w:color="E3E3E3"/>
              </w:divBdr>
              <w:divsChild>
                <w:div w:id="897545596">
                  <w:marLeft w:val="0"/>
                  <w:marRight w:val="0"/>
                  <w:marTop w:val="0"/>
                  <w:marBottom w:val="0"/>
                  <w:divBdr>
                    <w:top w:val="single" w:sz="2" w:space="0" w:color="E3E3E3"/>
                    <w:left w:val="single" w:sz="2" w:space="0" w:color="E3E3E3"/>
                    <w:bottom w:val="single" w:sz="2" w:space="0" w:color="E3E3E3"/>
                    <w:right w:val="single" w:sz="2" w:space="0" w:color="E3E3E3"/>
                  </w:divBdr>
                  <w:divsChild>
                    <w:div w:id="898787290">
                      <w:marLeft w:val="0"/>
                      <w:marRight w:val="0"/>
                      <w:marTop w:val="0"/>
                      <w:marBottom w:val="0"/>
                      <w:divBdr>
                        <w:top w:val="single" w:sz="2" w:space="0" w:color="E3E3E3"/>
                        <w:left w:val="single" w:sz="2" w:space="0" w:color="E3E3E3"/>
                        <w:bottom w:val="single" w:sz="2" w:space="0" w:color="E3E3E3"/>
                        <w:right w:val="single" w:sz="2" w:space="0" w:color="E3E3E3"/>
                      </w:divBdr>
                      <w:divsChild>
                        <w:div w:id="280042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57899414">
      <w:bodyDiv w:val="1"/>
      <w:marLeft w:val="0"/>
      <w:marRight w:val="0"/>
      <w:marTop w:val="0"/>
      <w:marBottom w:val="0"/>
      <w:divBdr>
        <w:top w:val="none" w:sz="0" w:space="0" w:color="auto"/>
        <w:left w:val="none" w:sz="0" w:space="0" w:color="auto"/>
        <w:bottom w:val="none" w:sz="0" w:space="0" w:color="auto"/>
        <w:right w:val="none" w:sz="0" w:space="0" w:color="auto"/>
      </w:divBdr>
    </w:div>
    <w:div w:id="1759595977">
      <w:bodyDiv w:val="1"/>
      <w:marLeft w:val="0"/>
      <w:marRight w:val="0"/>
      <w:marTop w:val="0"/>
      <w:marBottom w:val="0"/>
      <w:divBdr>
        <w:top w:val="none" w:sz="0" w:space="0" w:color="auto"/>
        <w:left w:val="none" w:sz="0" w:space="0" w:color="auto"/>
        <w:bottom w:val="none" w:sz="0" w:space="0" w:color="auto"/>
        <w:right w:val="none" w:sz="0" w:space="0" w:color="auto"/>
      </w:divBdr>
    </w:div>
    <w:div w:id="1762411376">
      <w:bodyDiv w:val="1"/>
      <w:marLeft w:val="0"/>
      <w:marRight w:val="0"/>
      <w:marTop w:val="0"/>
      <w:marBottom w:val="0"/>
      <w:divBdr>
        <w:top w:val="none" w:sz="0" w:space="0" w:color="auto"/>
        <w:left w:val="none" w:sz="0" w:space="0" w:color="auto"/>
        <w:bottom w:val="none" w:sz="0" w:space="0" w:color="auto"/>
        <w:right w:val="none" w:sz="0" w:space="0" w:color="auto"/>
      </w:divBdr>
    </w:div>
    <w:div w:id="1789928573">
      <w:bodyDiv w:val="1"/>
      <w:marLeft w:val="0"/>
      <w:marRight w:val="0"/>
      <w:marTop w:val="0"/>
      <w:marBottom w:val="0"/>
      <w:divBdr>
        <w:top w:val="none" w:sz="0" w:space="0" w:color="auto"/>
        <w:left w:val="none" w:sz="0" w:space="0" w:color="auto"/>
        <w:bottom w:val="none" w:sz="0" w:space="0" w:color="auto"/>
        <w:right w:val="none" w:sz="0" w:space="0" w:color="auto"/>
      </w:divBdr>
    </w:div>
    <w:div w:id="1807309044">
      <w:bodyDiv w:val="1"/>
      <w:marLeft w:val="0"/>
      <w:marRight w:val="0"/>
      <w:marTop w:val="0"/>
      <w:marBottom w:val="0"/>
      <w:divBdr>
        <w:top w:val="none" w:sz="0" w:space="0" w:color="auto"/>
        <w:left w:val="none" w:sz="0" w:space="0" w:color="auto"/>
        <w:bottom w:val="none" w:sz="0" w:space="0" w:color="auto"/>
        <w:right w:val="none" w:sz="0" w:space="0" w:color="auto"/>
      </w:divBdr>
    </w:div>
    <w:div w:id="1816070397">
      <w:bodyDiv w:val="1"/>
      <w:marLeft w:val="0"/>
      <w:marRight w:val="0"/>
      <w:marTop w:val="0"/>
      <w:marBottom w:val="0"/>
      <w:divBdr>
        <w:top w:val="none" w:sz="0" w:space="0" w:color="auto"/>
        <w:left w:val="none" w:sz="0" w:space="0" w:color="auto"/>
        <w:bottom w:val="none" w:sz="0" w:space="0" w:color="auto"/>
        <w:right w:val="none" w:sz="0" w:space="0" w:color="auto"/>
      </w:divBdr>
    </w:div>
    <w:div w:id="1872181323">
      <w:bodyDiv w:val="1"/>
      <w:marLeft w:val="0"/>
      <w:marRight w:val="0"/>
      <w:marTop w:val="0"/>
      <w:marBottom w:val="0"/>
      <w:divBdr>
        <w:top w:val="none" w:sz="0" w:space="0" w:color="auto"/>
        <w:left w:val="none" w:sz="0" w:space="0" w:color="auto"/>
        <w:bottom w:val="none" w:sz="0" w:space="0" w:color="auto"/>
        <w:right w:val="none" w:sz="0" w:space="0" w:color="auto"/>
      </w:divBdr>
    </w:div>
    <w:div w:id="1872573150">
      <w:bodyDiv w:val="1"/>
      <w:marLeft w:val="0"/>
      <w:marRight w:val="0"/>
      <w:marTop w:val="0"/>
      <w:marBottom w:val="0"/>
      <w:divBdr>
        <w:top w:val="none" w:sz="0" w:space="0" w:color="auto"/>
        <w:left w:val="none" w:sz="0" w:space="0" w:color="auto"/>
        <w:bottom w:val="none" w:sz="0" w:space="0" w:color="auto"/>
        <w:right w:val="none" w:sz="0" w:space="0" w:color="auto"/>
      </w:divBdr>
    </w:div>
    <w:div w:id="1877039063">
      <w:bodyDiv w:val="1"/>
      <w:marLeft w:val="0"/>
      <w:marRight w:val="0"/>
      <w:marTop w:val="0"/>
      <w:marBottom w:val="0"/>
      <w:divBdr>
        <w:top w:val="none" w:sz="0" w:space="0" w:color="auto"/>
        <w:left w:val="none" w:sz="0" w:space="0" w:color="auto"/>
        <w:bottom w:val="none" w:sz="0" w:space="0" w:color="auto"/>
        <w:right w:val="none" w:sz="0" w:space="0" w:color="auto"/>
      </w:divBdr>
    </w:div>
    <w:div w:id="1884169654">
      <w:bodyDiv w:val="1"/>
      <w:marLeft w:val="0"/>
      <w:marRight w:val="0"/>
      <w:marTop w:val="0"/>
      <w:marBottom w:val="0"/>
      <w:divBdr>
        <w:top w:val="none" w:sz="0" w:space="0" w:color="auto"/>
        <w:left w:val="none" w:sz="0" w:space="0" w:color="auto"/>
        <w:bottom w:val="none" w:sz="0" w:space="0" w:color="auto"/>
        <w:right w:val="none" w:sz="0" w:space="0" w:color="auto"/>
      </w:divBdr>
    </w:div>
    <w:div w:id="1905526651">
      <w:bodyDiv w:val="1"/>
      <w:marLeft w:val="0"/>
      <w:marRight w:val="0"/>
      <w:marTop w:val="0"/>
      <w:marBottom w:val="0"/>
      <w:divBdr>
        <w:top w:val="none" w:sz="0" w:space="0" w:color="auto"/>
        <w:left w:val="none" w:sz="0" w:space="0" w:color="auto"/>
        <w:bottom w:val="none" w:sz="0" w:space="0" w:color="auto"/>
        <w:right w:val="none" w:sz="0" w:space="0" w:color="auto"/>
      </w:divBdr>
    </w:div>
    <w:div w:id="1913808090">
      <w:bodyDiv w:val="1"/>
      <w:marLeft w:val="0"/>
      <w:marRight w:val="0"/>
      <w:marTop w:val="0"/>
      <w:marBottom w:val="0"/>
      <w:divBdr>
        <w:top w:val="none" w:sz="0" w:space="0" w:color="auto"/>
        <w:left w:val="none" w:sz="0" w:space="0" w:color="auto"/>
        <w:bottom w:val="none" w:sz="0" w:space="0" w:color="auto"/>
        <w:right w:val="none" w:sz="0" w:space="0" w:color="auto"/>
      </w:divBdr>
    </w:div>
    <w:div w:id="1941405446">
      <w:bodyDiv w:val="1"/>
      <w:marLeft w:val="0"/>
      <w:marRight w:val="0"/>
      <w:marTop w:val="0"/>
      <w:marBottom w:val="0"/>
      <w:divBdr>
        <w:top w:val="none" w:sz="0" w:space="0" w:color="auto"/>
        <w:left w:val="none" w:sz="0" w:space="0" w:color="auto"/>
        <w:bottom w:val="none" w:sz="0" w:space="0" w:color="auto"/>
        <w:right w:val="none" w:sz="0" w:space="0" w:color="auto"/>
      </w:divBdr>
    </w:div>
    <w:div w:id="1997608995">
      <w:bodyDiv w:val="1"/>
      <w:marLeft w:val="0"/>
      <w:marRight w:val="0"/>
      <w:marTop w:val="0"/>
      <w:marBottom w:val="0"/>
      <w:divBdr>
        <w:top w:val="none" w:sz="0" w:space="0" w:color="auto"/>
        <w:left w:val="none" w:sz="0" w:space="0" w:color="auto"/>
        <w:bottom w:val="none" w:sz="0" w:space="0" w:color="auto"/>
        <w:right w:val="none" w:sz="0" w:space="0" w:color="auto"/>
      </w:divBdr>
    </w:div>
    <w:div w:id="2050566186">
      <w:bodyDiv w:val="1"/>
      <w:marLeft w:val="0"/>
      <w:marRight w:val="0"/>
      <w:marTop w:val="0"/>
      <w:marBottom w:val="0"/>
      <w:divBdr>
        <w:top w:val="none" w:sz="0" w:space="0" w:color="auto"/>
        <w:left w:val="none" w:sz="0" w:space="0" w:color="auto"/>
        <w:bottom w:val="none" w:sz="0" w:space="0" w:color="auto"/>
        <w:right w:val="none" w:sz="0" w:space="0" w:color="auto"/>
      </w:divBdr>
    </w:div>
    <w:div w:id="2088257657">
      <w:bodyDiv w:val="1"/>
      <w:marLeft w:val="0"/>
      <w:marRight w:val="0"/>
      <w:marTop w:val="0"/>
      <w:marBottom w:val="0"/>
      <w:divBdr>
        <w:top w:val="none" w:sz="0" w:space="0" w:color="auto"/>
        <w:left w:val="none" w:sz="0" w:space="0" w:color="auto"/>
        <w:bottom w:val="none" w:sz="0" w:space="0" w:color="auto"/>
        <w:right w:val="none" w:sz="0" w:space="0" w:color="auto"/>
      </w:divBdr>
    </w:div>
    <w:div w:id="2120290804">
      <w:bodyDiv w:val="1"/>
      <w:marLeft w:val="0"/>
      <w:marRight w:val="0"/>
      <w:marTop w:val="0"/>
      <w:marBottom w:val="0"/>
      <w:divBdr>
        <w:top w:val="none" w:sz="0" w:space="0" w:color="auto"/>
        <w:left w:val="none" w:sz="0" w:space="0" w:color="auto"/>
        <w:bottom w:val="none" w:sz="0" w:space="0" w:color="auto"/>
        <w:right w:val="none" w:sz="0" w:space="0" w:color="auto"/>
      </w:divBdr>
    </w:div>
    <w:div w:id="2133941418">
      <w:bodyDiv w:val="1"/>
      <w:marLeft w:val="0"/>
      <w:marRight w:val="0"/>
      <w:marTop w:val="0"/>
      <w:marBottom w:val="0"/>
      <w:divBdr>
        <w:top w:val="none" w:sz="0" w:space="0" w:color="auto"/>
        <w:left w:val="none" w:sz="0" w:space="0" w:color="auto"/>
        <w:bottom w:val="none" w:sz="0" w:space="0" w:color="auto"/>
        <w:right w:val="none" w:sz="0" w:space="0" w:color="auto"/>
      </w:divBdr>
    </w:div>
    <w:div w:id="2140418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hyperlink" Target="http://books.google.ie/books?id=HLm9DwAAQBAJ&amp;pg=PA262&amp;dq=9783030243746,+3030243745&amp;hl=&amp;cd=1&amp;source=gbs_api" TargetMode="Externa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jpg"/><Relationship Id="rId12" Type="http://schemas.openxmlformats.org/officeDocument/2006/relationships/image" Target="media/image6.emf"/><Relationship Id="rId17" Type="http://schemas.openxmlformats.org/officeDocument/2006/relationships/image" Target="media/image11.jpeg"/><Relationship Id="rId25" Type="http://schemas.openxmlformats.org/officeDocument/2006/relationships/hyperlink" Target="http://books.google.ie/books?id=HltBDgAAQBAJ&amp;pg=PT25&amp;dq=9781351915250,+1351915258&amp;hl=&amp;cd=1&amp;source=gbs_api"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29" Type="http://schemas.openxmlformats.org/officeDocument/2006/relationships/hyperlink" Target="http://books.google.ie/books?id=GadRYnALi-oC&amp;printsec=frontcover&amp;dq=9781494922634,+1494922630&amp;hl=&amp;cd=1&amp;source=gbs_api"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apple.com/uk/newsroom/2023/11/apple-reports-fourth-quarter-results/#:~:text=CUPERTINO%2C%20CALIFORNIA%20Apple%20today%20announced,13%20percent%20year%20over%20year"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www.apple.com/uk/newsroom/2023/11/apple-reports-fourth-quarter-results/#:~:text=CUPERTINO%2C%20CALIFORNIA%20Apple%20today%20announced,13%20percent%20year%20over%20year" TargetMode="External"/><Relationship Id="rId28" Type="http://schemas.openxmlformats.org/officeDocument/2006/relationships/hyperlink" Target="https://corporatefinanceinstitute.com/resources/commercial-lending/debt-to-equity-ratio-formula/?utm_source=google&amp;utm_medium=cpc&amp;utm_term=&amp;utm_content=&amp;utm_campaign=&amp;utm_adgroup=&amp;utm_funnel=&amp;gad_source=1&amp;gclid=CjwKCAjw26KxBhBDEiwAu6KXt7I7aoCBfoVUaobGhtDIHfkDV85LlHtfelGoPEHwRjnYT159q2s7yRoCneQQAvD_BwE" TargetMode="External"/><Relationship Id="rId10" Type="http://schemas.openxmlformats.org/officeDocument/2006/relationships/image" Target="media/image4.emf"/><Relationship Id="rId19" Type="http://schemas.openxmlformats.org/officeDocument/2006/relationships/image" Target="media/image13.emf"/><Relationship Id="rId31" Type="http://schemas.openxmlformats.org/officeDocument/2006/relationships/image" Target="media/image17.jpe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hyperlink" Target="http://books.google.ie/books?id=FR6WAAAAQBAJ&amp;pg=PT444&amp;dq=9780470454350,+0470454350&amp;hl=&amp;cd=1&amp;source=gbs_api" TargetMode="External"/><Relationship Id="rId30" Type="http://schemas.openxmlformats.org/officeDocument/2006/relationships/hyperlink" Target="https://corporatefinanceinstitute.com/resources/accounting/current-ratio-formula/" TargetMode="External"/><Relationship Id="rId8"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78D8C-97E9-1346-A593-00E21C19A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6205</Words>
  <Characters>35369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 (2023149)</dc:creator>
  <cp:keywords/>
  <dc:description/>
  <cp:lastModifiedBy>Alina Jubea</cp:lastModifiedBy>
  <cp:revision>2</cp:revision>
  <dcterms:created xsi:type="dcterms:W3CDTF">2024-04-24T12:45:00Z</dcterms:created>
  <dcterms:modified xsi:type="dcterms:W3CDTF">2024-04-24T12:45:00Z</dcterms:modified>
</cp:coreProperties>
</file>