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228A6" w14:textId="77777777" w:rsidR="005D4FA4" w:rsidRDefault="005D4FA4" w:rsidP="005D4FA4">
      <w:pPr>
        <w:pStyle w:val="NoSpacing"/>
        <w:spacing w:before="1540" w:after="240" w:line="360" w:lineRule="auto"/>
        <w:jc w:val="center"/>
        <w:rPr>
          <w:color w:val="156082" w:themeColor="accent1"/>
        </w:rPr>
      </w:pPr>
      <w:r>
        <w:rPr>
          <w:noProof/>
        </w:rPr>
        <w:drawing>
          <wp:inline distT="0" distB="0" distL="0" distR="0" wp14:anchorId="26B738D4" wp14:editId="5E0BEACA">
            <wp:extent cx="5465618" cy="1382321"/>
            <wp:effectExtent l="0" t="0" r="1905" b="8890"/>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8"/>
                    <a:stretch>
                      <a:fillRect/>
                    </a:stretch>
                  </pic:blipFill>
                  <pic:spPr>
                    <a:xfrm>
                      <a:off x="0" y="0"/>
                      <a:ext cx="5714885" cy="1445364"/>
                    </a:xfrm>
                    <a:prstGeom prst="rect">
                      <a:avLst/>
                    </a:prstGeom>
                  </pic:spPr>
                </pic:pic>
              </a:graphicData>
            </a:graphic>
          </wp:inline>
        </w:drawing>
      </w:r>
    </w:p>
    <w:p w14:paraId="6AFE485C" w14:textId="77777777" w:rsidR="005D4FA4" w:rsidRDefault="005D4FA4" w:rsidP="005D4FA4">
      <w:pPr>
        <w:spacing w:after="218"/>
        <w:ind w:left="34"/>
        <w:jc w:val="center"/>
      </w:pPr>
    </w:p>
    <w:p w14:paraId="382AEC61" w14:textId="77777777" w:rsidR="005D4FA4" w:rsidRPr="004B19C1" w:rsidRDefault="005D4FA4" w:rsidP="005D4FA4">
      <w:pPr>
        <w:spacing w:after="218"/>
        <w:ind w:left="34"/>
        <w:jc w:val="center"/>
        <w:rPr>
          <w:rFonts w:ascii="Times New Roman" w:eastAsia="Times New Roman" w:hAnsi="Times New Roman" w:cs="Times New Roman"/>
          <w:b/>
          <w:bCs/>
          <w:sz w:val="44"/>
          <w:szCs w:val="44"/>
        </w:rPr>
      </w:pPr>
      <w:r>
        <w:t xml:space="preserve"> </w:t>
      </w:r>
      <w:r w:rsidRPr="00170E17">
        <w:rPr>
          <w:rFonts w:ascii="Times New Roman" w:eastAsia="Times New Roman" w:hAnsi="Times New Roman" w:cs="Times New Roman"/>
          <w:b/>
          <w:bCs/>
          <w:sz w:val="44"/>
          <w:szCs w:val="44"/>
        </w:rPr>
        <w:t>Master of Business Administration</w:t>
      </w:r>
    </w:p>
    <w:p w14:paraId="61BB21EC" w14:textId="77777777" w:rsidR="005D4FA4" w:rsidRDefault="005D4FA4" w:rsidP="005D4FA4"/>
    <w:p w14:paraId="63114F05" w14:textId="64D5DA17" w:rsidR="005D4FA4" w:rsidRPr="00635C53" w:rsidRDefault="005D4FA4" w:rsidP="005D4FA4">
      <w:pPr>
        <w:rPr>
          <w:rFonts w:ascii="Arial" w:hAnsi="Arial" w:cs="Arial"/>
          <w:b/>
          <w:bCs/>
        </w:rPr>
      </w:pPr>
      <w:r w:rsidRPr="0093688D">
        <w:rPr>
          <w:rFonts w:ascii="Arial" w:hAnsi="Arial" w:cs="Arial"/>
        </w:rPr>
        <w:t xml:space="preserve">Module name       : </w:t>
      </w:r>
      <w:r w:rsidR="0085717C">
        <w:rPr>
          <w:rFonts w:ascii="Arial" w:hAnsi="Arial" w:cs="Arial"/>
        </w:rPr>
        <w:t>Dissertation</w:t>
      </w:r>
    </w:p>
    <w:p w14:paraId="2A116F6C" w14:textId="696FEF16" w:rsidR="005D4FA4" w:rsidRPr="0093688D" w:rsidRDefault="005D4FA4" w:rsidP="005D4FA4">
      <w:pPr>
        <w:rPr>
          <w:rFonts w:ascii="Arial" w:hAnsi="Arial" w:cs="Arial"/>
        </w:rPr>
      </w:pPr>
      <w:r w:rsidRPr="0093688D">
        <w:rPr>
          <w:rFonts w:ascii="Arial" w:hAnsi="Arial" w:cs="Arial"/>
        </w:rPr>
        <w:t xml:space="preserve">Module code       </w:t>
      </w:r>
      <w:r>
        <w:rPr>
          <w:rFonts w:ascii="Arial" w:hAnsi="Arial" w:cs="Arial"/>
        </w:rPr>
        <w:t xml:space="preserve"> </w:t>
      </w:r>
      <w:r w:rsidRPr="0093688D">
        <w:rPr>
          <w:rFonts w:ascii="Arial" w:hAnsi="Arial" w:cs="Arial"/>
        </w:rPr>
        <w:t xml:space="preserve">: </w:t>
      </w:r>
      <w:r w:rsidR="0085717C" w:rsidRPr="00A40CC8">
        <w:rPr>
          <w:rFonts w:ascii="Arial" w:hAnsi="Arial" w:cs="Arial"/>
        </w:rPr>
        <w:t>LCMB703</w:t>
      </w:r>
      <w:r w:rsidR="0085717C">
        <w:rPr>
          <w:rFonts w:ascii="Arial" w:hAnsi="Arial" w:cs="Arial"/>
        </w:rPr>
        <w:t>5</w:t>
      </w:r>
    </w:p>
    <w:p w14:paraId="79EC5EB1" w14:textId="20611738" w:rsidR="005D4FA4" w:rsidRPr="0093688D" w:rsidRDefault="005D4FA4" w:rsidP="005D4FA4">
      <w:pPr>
        <w:rPr>
          <w:rFonts w:ascii="Arial" w:hAnsi="Arial" w:cs="Arial"/>
        </w:rPr>
      </w:pPr>
      <w:r w:rsidRPr="0093688D">
        <w:rPr>
          <w:rFonts w:ascii="Arial" w:hAnsi="Arial" w:cs="Arial"/>
        </w:rPr>
        <w:t xml:space="preserve">Lecture name       : </w:t>
      </w:r>
      <w:r w:rsidR="00E11265">
        <w:rPr>
          <w:rFonts w:ascii="Arial" w:hAnsi="Arial" w:cs="Arial"/>
        </w:rPr>
        <w:t>Dr. Isaiah Oino</w:t>
      </w:r>
    </w:p>
    <w:p w14:paraId="7BF9B20B" w14:textId="77777777" w:rsidR="005D4FA4" w:rsidRPr="0093688D" w:rsidRDefault="005D4FA4" w:rsidP="005D4FA4">
      <w:pPr>
        <w:rPr>
          <w:rFonts w:ascii="Arial" w:hAnsi="Arial" w:cs="Arial"/>
        </w:rPr>
      </w:pPr>
      <w:r w:rsidRPr="0093688D">
        <w:rPr>
          <w:rFonts w:ascii="Arial" w:hAnsi="Arial" w:cs="Arial"/>
        </w:rPr>
        <w:t xml:space="preserve">Student name       : Neel </w:t>
      </w:r>
      <w:proofErr w:type="spellStart"/>
      <w:r w:rsidRPr="0093688D">
        <w:rPr>
          <w:rFonts w:ascii="Arial" w:hAnsi="Arial" w:cs="Arial"/>
        </w:rPr>
        <w:t>Mevalkumar</w:t>
      </w:r>
      <w:proofErr w:type="spellEnd"/>
      <w:r w:rsidRPr="0093688D">
        <w:rPr>
          <w:rFonts w:ascii="Arial" w:hAnsi="Arial" w:cs="Arial"/>
        </w:rPr>
        <w:t xml:space="preserve"> Patel</w:t>
      </w:r>
    </w:p>
    <w:p w14:paraId="3530590A" w14:textId="77777777" w:rsidR="005D4FA4" w:rsidRDefault="005D4FA4" w:rsidP="005D4FA4">
      <w:pPr>
        <w:rPr>
          <w:rFonts w:ascii="Arial" w:hAnsi="Arial" w:cs="Arial"/>
        </w:rPr>
      </w:pPr>
      <w:r w:rsidRPr="0093688D">
        <w:rPr>
          <w:rFonts w:ascii="Arial" w:hAnsi="Arial" w:cs="Arial"/>
        </w:rPr>
        <w:t xml:space="preserve">Student ID          </w:t>
      </w:r>
      <w:r>
        <w:rPr>
          <w:rFonts w:ascii="Arial" w:hAnsi="Arial" w:cs="Arial"/>
        </w:rPr>
        <w:t xml:space="preserve"> </w:t>
      </w:r>
      <w:r w:rsidRPr="0093688D">
        <w:rPr>
          <w:rFonts w:ascii="Arial" w:hAnsi="Arial" w:cs="Arial"/>
        </w:rPr>
        <w:t xml:space="preserve"> : 2428324</w:t>
      </w:r>
    </w:p>
    <w:p w14:paraId="1AD4B704" w14:textId="380DB608" w:rsidR="005D4FA4" w:rsidRPr="00DB0B8B" w:rsidRDefault="005D4FA4" w:rsidP="005D4FA4">
      <w:pPr>
        <w:rPr>
          <w:rFonts w:ascii="Arial" w:hAnsi="Arial" w:cs="Arial"/>
          <w:lang w:val="en-IN"/>
        </w:rPr>
      </w:pPr>
      <w:r>
        <w:rPr>
          <w:rFonts w:ascii="Arial" w:hAnsi="Arial" w:cs="Arial"/>
        </w:rPr>
        <w:t xml:space="preserve">Word Count          : </w:t>
      </w:r>
      <w:r w:rsidR="001477B2">
        <w:rPr>
          <w:rFonts w:ascii="Arial" w:hAnsi="Arial" w:cs="Arial"/>
        </w:rPr>
        <w:t>14</w:t>
      </w:r>
      <w:r w:rsidR="008A0685">
        <w:rPr>
          <w:rFonts w:ascii="Arial" w:hAnsi="Arial" w:cs="Arial"/>
        </w:rPr>
        <w:t>,</w:t>
      </w:r>
      <w:r w:rsidR="006D7F4B">
        <w:rPr>
          <w:rFonts w:ascii="Arial" w:hAnsi="Arial" w:cs="Arial"/>
        </w:rPr>
        <w:t>20</w:t>
      </w:r>
      <w:r w:rsidR="00550A64">
        <w:rPr>
          <w:rFonts w:ascii="Arial" w:hAnsi="Arial" w:cs="Arial"/>
        </w:rPr>
        <w:t>1</w:t>
      </w:r>
    </w:p>
    <w:p w14:paraId="6D7DDAE2" w14:textId="0651D896" w:rsidR="005D4FA4" w:rsidRDefault="005D4FA4" w:rsidP="005D4FA4">
      <w:pPr>
        <w:rPr>
          <w:rFonts w:ascii="Arial" w:hAnsi="Arial" w:cs="Arial"/>
        </w:rPr>
      </w:pPr>
      <w:r w:rsidRPr="0093688D">
        <w:rPr>
          <w:rFonts w:ascii="Arial" w:hAnsi="Arial" w:cs="Arial"/>
        </w:rPr>
        <w:t>Submission Date</w:t>
      </w:r>
      <w:r>
        <w:rPr>
          <w:rFonts w:ascii="Arial" w:hAnsi="Arial" w:cs="Arial"/>
        </w:rPr>
        <w:t xml:space="preserve">  :</w:t>
      </w:r>
      <w:r w:rsidRPr="0093688D">
        <w:rPr>
          <w:rFonts w:ascii="Arial" w:hAnsi="Arial" w:cs="Arial"/>
        </w:rPr>
        <w:t xml:space="preserve"> </w:t>
      </w:r>
      <w:r>
        <w:rPr>
          <w:rFonts w:ascii="Arial" w:hAnsi="Arial" w:cs="Arial"/>
        </w:rPr>
        <w:t xml:space="preserve"> </w:t>
      </w:r>
      <w:r w:rsidRPr="00A568F1">
        <w:rPr>
          <w:rFonts w:ascii="Arial" w:hAnsi="Arial" w:cs="Arial"/>
        </w:rPr>
        <w:t xml:space="preserve">3rd </w:t>
      </w:r>
      <w:r w:rsidR="00244957">
        <w:rPr>
          <w:rFonts w:ascii="Arial" w:hAnsi="Arial" w:cs="Arial"/>
        </w:rPr>
        <w:t xml:space="preserve">February </w:t>
      </w:r>
      <w:r>
        <w:rPr>
          <w:rFonts w:ascii="Arial" w:hAnsi="Arial" w:cs="Arial"/>
        </w:rPr>
        <w:t>202</w:t>
      </w:r>
      <w:r w:rsidR="00244957">
        <w:rPr>
          <w:rFonts w:ascii="Arial" w:hAnsi="Arial" w:cs="Arial"/>
        </w:rPr>
        <w:t>6</w:t>
      </w:r>
    </w:p>
    <w:p w14:paraId="716C366B" w14:textId="77777777" w:rsidR="005D4FA4" w:rsidRDefault="005D4FA4" w:rsidP="005D4FA4">
      <w:pPr>
        <w:rPr>
          <w:rFonts w:ascii="Arial" w:hAnsi="Arial" w:cs="Arial"/>
        </w:rPr>
      </w:pPr>
    </w:p>
    <w:p w14:paraId="18AE5539" w14:textId="331011F0" w:rsidR="003D5F71" w:rsidRDefault="003D5F71" w:rsidP="003D5F71">
      <w:pPr>
        <w:jc w:val="center"/>
        <w:rPr>
          <w:rFonts w:ascii="Arial" w:hAnsi="Arial" w:cs="Arial"/>
          <w:b/>
          <w:bCs/>
          <w:sz w:val="28"/>
          <w:szCs w:val="28"/>
        </w:rPr>
      </w:pPr>
      <w:r>
        <w:rPr>
          <w:rFonts w:ascii="Arial" w:hAnsi="Arial" w:cs="Arial"/>
          <w:b/>
          <w:bCs/>
          <w:sz w:val="28"/>
          <w:szCs w:val="28"/>
        </w:rPr>
        <w:t>Project Name</w:t>
      </w:r>
    </w:p>
    <w:p w14:paraId="778DDD27" w14:textId="73082ADE" w:rsidR="003D5F71" w:rsidRPr="003D5F71" w:rsidRDefault="003D5F71" w:rsidP="003D5F71">
      <w:pPr>
        <w:jc w:val="center"/>
        <w:rPr>
          <w:rFonts w:ascii="Arial" w:hAnsi="Arial" w:cs="Arial"/>
          <w:b/>
          <w:bCs/>
          <w:sz w:val="28"/>
          <w:szCs w:val="28"/>
        </w:rPr>
      </w:pPr>
      <w:r w:rsidRPr="003D5F71">
        <w:rPr>
          <w:rFonts w:ascii="Arial" w:hAnsi="Arial" w:cs="Arial"/>
          <w:b/>
          <w:bCs/>
          <w:sz w:val="28"/>
          <w:szCs w:val="28"/>
        </w:rPr>
        <w:t>The Impact of US Interest rates on the correlation between gold returns and US equity returns (S&amp;P 500 and Nasdaq)</w:t>
      </w:r>
    </w:p>
    <w:p w14:paraId="5F708C66" w14:textId="186A25DE" w:rsidR="005D4FA4" w:rsidRPr="003D5F71" w:rsidRDefault="005D4FA4" w:rsidP="003D5F71">
      <w:pPr>
        <w:jc w:val="center"/>
        <w:rPr>
          <w:rFonts w:ascii="Arial" w:hAnsi="Arial" w:cs="Arial"/>
          <w:b/>
          <w:bCs/>
          <w:sz w:val="28"/>
          <w:szCs w:val="28"/>
        </w:rPr>
      </w:pPr>
    </w:p>
    <w:p w14:paraId="506872F6" w14:textId="77777777" w:rsidR="005F1EE9" w:rsidRDefault="005F1EE9" w:rsidP="00C3599B">
      <w:pPr>
        <w:spacing w:after="120"/>
        <w:rPr>
          <w:rFonts w:ascii="Arial" w:hAnsi="Arial" w:cs="Arial"/>
          <w:b/>
        </w:rPr>
      </w:pPr>
    </w:p>
    <w:p w14:paraId="2C53DF14" w14:textId="77777777" w:rsidR="005F1EE9" w:rsidRPr="009356C2" w:rsidRDefault="005F1EE9" w:rsidP="00C3599B">
      <w:pPr>
        <w:spacing w:after="120"/>
        <w:rPr>
          <w:rFonts w:ascii="Arial" w:hAnsi="Arial" w:cs="Arial"/>
          <w:b/>
        </w:rPr>
      </w:pPr>
    </w:p>
    <w:p w14:paraId="3A4DBB44" w14:textId="65CDB2B4" w:rsidR="00C3599B" w:rsidRPr="009356C2" w:rsidRDefault="00C3599B" w:rsidP="00C3599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6C903211" wp14:editId="577605E9">
            <wp:extent cx="2847340" cy="1163955"/>
            <wp:effectExtent l="0" t="0" r="0" b="0"/>
            <wp:docPr id="16879888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340" cy="1163955"/>
                    </a:xfrm>
                    <a:prstGeom prst="rect">
                      <a:avLst/>
                    </a:prstGeom>
                    <a:noFill/>
                    <a:ln>
                      <a:noFill/>
                    </a:ln>
                  </pic:spPr>
                </pic:pic>
              </a:graphicData>
            </a:graphic>
          </wp:inline>
        </w:drawing>
      </w:r>
    </w:p>
    <w:p w14:paraId="5315F964" w14:textId="77777777" w:rsidR="00C3599B" w:rsidRDefault="00C3599B" w:rsidP="00C3599B">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0D0D5B6E" w14:textId="77777777" w:rsidR="00C3599B" w:rsidRPr="004A32A7" w:rsidRDefault="00C3599B" w:rsidP="00C3599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5479463A" w14:textId="77777777" w:rsidR="00C3599B" w:rsidRPr="004A32A7" w:rsidRDefault="00C3599B" w:rsidP="00C3599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4B8812E9" w14:textId="77777777" w:rsidR="00C3599B" w:rsidRDefault="00C3599B" w:rsidP="00C359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3E4A4771" w14:textId="77777777" w:rsidR="00C3599B" w:rsidRPr="004A32A7" w:rsidRDefault="00C3599B" w:rsidP="00C359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Pr>
          <w:rFonts w:ascii="Arial" w:hAnsi="Arial" w:cs="Arial"/>
        </w:rPr>
        <w:t xml:space="preserve">, Neel </w:t>
      </w:r>
      <w:proofErr w:type="spellStart"/>
      <w:r>
        <w:rPr>
          <w:rFonts w:ascii="Arial" w:hAnsi="Arial" w:cs="Arial"/>
        </w:rPr>
        <w:t>Mevalkumar</w:t>
      </w:r>
      <w:proofErr w:type="spellEnd"/>
      <w:r>
        <w:rPr>
          <w:rFonts w:ascii="Arial" w:hAnsi="Arial" w:cs="Arial"/>
        </w:rPr>
        <w:t xml:space="preserve"> Patel,</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2A388E0" w14:textId="77777777" w:rsidR="00C3599B" w:rsidRPr="004A32A7" w:rsidRDefault="00C3599B" w:rsidP="00C359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6C6D684" w14:textId="77777777" w:rsidR="00C3599B" w:rsidRDefault="00C3599B" w:rsidP="00C359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r w:rsidRPr="00A20620">
        <w:rPr>
          <w:rFonts w:ascii="Arial" w:hAnsi="Arial" w:cs="Arial"/>
          <w:b/>
          <w:bCs/>
        </w:rPr>
        <w:t xml:space="preserve">Neel </w:t>
      </w:r>
      <w:proofErr w:type="spellStart"/>
      <w:r w:rsidRPr="00A20620">
        <w:rPr>
          <w:rFonts w:ascii="Arial" w:hAnsi="Arial" w:cs="Arial"/>
          <w:b/>
          <w:bCs/>
        </w:rPr>
        <w:t>Mevalkumar</w:t>
      </w:r>
      <w:proofErr w:type="spellEnd"/>
      <w:r w:rsidRPr="00A20620">
        <w:rPr>
          <w:rFonts w:ascii="Arial" w:hAnsi="Arial" w:cs="Arial"/>
          <w:b/>
          <w:bCs/>
        </w:rPr>
        <w:t xml:space="preserve"> Patel</w:t>
      </w:r>
      <w:r>
        <w:rPr>
          <w:rFonts w:ascii="Arial" w:hAnsi="Arial" w:cs="Arial"/>
        </w:rPr>
        <w:t xml:space="preserve"> </w:t>
      </w:r>
      <w:r w:rsidRPr="004A32A7">
        <w:rPr>
          <w:rFonts w:ascii="Arial" w:hAnsi="Arial" w:cs="Arial"/>
        </w:rPr>
        <w:t>……………</w:t>
      </w:r>
      <w:r>
        <w:rPr>
          <w:rFonts w:ascii="Arial" w:hAnsi="Arial" w:cs="Arial"/>
        </w:rPr>
        <w:t>.</w:t>
      </w:r>
    </w:p>
    <w:p w14:paraId="652030F6" w14:textId="77777777" w:rsidR="00C3599B" w:rsidRPr="004A32A7" w:rsidRDefault="00C3599B" w:rsidP="00C359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F033140" w14:textId="53909684" w:rsidR="00C3599B" w:rsidRDefault="00C3599B" w:rsidP="00C359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r w:rsidR="00064EDE">
        <w:rPr>
          <w:rFonts w:ascii="Arial" w:hAnsi="Arial" w:cs="Arial"/>
          <w:b/>
          <w:bCs/>
        </w:rPr>
        <w:t>3</w:t>
      </w:r>
      <w:r w:rsidR="00064EDE" w:rsidRPr="00064EDE">
        <w:rPr>
          <w:rFonts w:ascii="Arial" w:hAnsi="Arial" w:cs="Arial"/>
          <w:b/>
          <w:bCs/>
          <w:vertAlign w:val="superscript"/>
        </w:rPr>
        <w:t>rd</w:t>
      </w:r>
      <w:r w:rsidR="00064EDE">
        <w:rPr>
          <w:rFonts w:ascii="Arial" w:hAnsi="Arial" w:cs="Arial"/>
          <w:b/>
          <w:bCs/>
        </w:rPr>
        <w:t xml:space="preserve"> February</w:t>
      </w:r>
      <w:r w:rsidRPr="00A20620">
        <w:rPr>
          <w:rFonts w:ascii="Arial" w:hAnsi="Arial" w:cs="Arial"/>
          <w:b/>
          <w:bCs/>
        </w:rPr>
        <w:t xml:space="preserve"> 2026</w:t>
      </w:r>
      <w:r w:rsidRPr="004A32A7">
        <w:rPr>
          <w:rFonts w:ascii="Arial" w:hAnsi="Arial" w:cs="Arial"/>
        </w:rPr>
        <w:t>……</w:t>
      </w:r>
      <w:r>
        <w:rPr>
          <w:rFonts w:ascii="Arial" w:hAnsi="Arial" w:cs="Arial"/>
        </w:rPr>
        <w:t>………….</w:t>
      </w:r>
      <w:r w:rsidRPr="004A32A7">
        <w:rPr>
          <w:rFonts w:ascii="Arial" w:hAnsi="Arial" w:cs="Arial"/>
        </w:rPr>
        <w:t>…...</w:t>
      </w:r>
    </w:p>
    <w:p w14:paraId="58851C98" w14:textId="77777777" w:rsidR="00C3599B" w:rsidRPr="009356C2" w:rsidRDefault="00C3599B" w:rsidP="00C3599B">
      <w:pPr>
        <w:pBdr>
          <w:top w:val="single" w:sz="4" w:space="1" w:color="auto"/>
          <w:left w:val="single" w:sz="4" w:space="4" w:color="auto"/>
          <w:bottom w:val="single" w:sz="4" w:space="1" w:color="auto"/>
          <w:right w:val="single" w:sz="4" w:space="4" w:color="auto"/>
        </w:pBdr>
        <w:spacing w:after="120"/>
        <w:rPr>
          <w:rFonts w:ascii="Arial" w:hAnsi="Arial" w:cs="Arial"/>
        </w:rPr>
      </w:pPr>
    </w:p>
    <w:p w14:paraId="1CE56097" w14:textId="77777777" w:rsidR="005D4FA4" w:rsidRDefault="005D4FA4" w:rsidP="005D4FA4">
      <w:pPr>
        <w:rPr>
          <w:rFonts w:ascii="Arial" w:hAnsi="Arial" w:cs="Arial"/>
        </w:rPr>
      </w:pPr>
    </w:p>
    <w:p w14:paraId="4E8AFED2" w14:textId="77777777" w:rsidR="005D4FA4" w:rsidRDefault="005D4FA4" w:rsidP="00877543">
      <w:pPr>
        <w:ind w:left="400"/>
        <w:jc w:val="center"/>
        <w:rPr>
          <w:rFonts w:ascii="Arial" w:hAnsi="Arial" w:cs="Arial"/>
          <w:b/>
          <w:bCs/>
          <w:sz w:val="28"/>
          <w:szCs w:val="28"/>
        </w:rPr>
      </w:pPr>
    </w:p>
    <w:p w14:paraId="5B54E0C2" w14:textId="77777777" w:rsidR="005D4FA4" w:rsidRDefault="005D4FA4" w:rsidP="00877543">
      <w:pPr>
        <w:ind w:left="400"/>
        <w:jc w:val="center"/>
        <w:rPr>
          <w:rFonts w:ascii="Arial" w:hAnsi="Arial" w:cs="Arial"/>
          <w:b/>
          <w:bCs/>
          <w:sz w:val="28"/>
          <w:szCs w:val="28"/>
        </w:rPr>
      </w:pPr>
    </w:p>
    <w:p w14:paraId="3514266C" w14:textId="77777777" w:rsidR="005D4FA4" w:rsidRDefault="005D4FA4" w:rsidP="00877543">
      <w:pPr>
        <w:ind w:left="400"/>
        <w:jc w:val="center"/>
        <w:rPr>
          <w:rFonts w:ascii="Arial" w:hAnsi="Arial" w:cs="Arial"/>
          <w:b/>
          <w:bCs/>
          <w:sz w:val="28"/>
          <w:szCs w:val="28"/>
        </w:rPr>
      </w:pPr>
    </w:p>
    <w:p w14:paraId="282B6419" w14:textId="77777777" w:rsidR="005D4FA4" w:rsidRDefault="005D4FA4" w:rsidP="00877543">
      <w:pPr>
        <w:ind w:left="400"/>
        <w:jc w:val="center"/>
        <w:rPr>
          <w:rFonts w:ascii="Arial" w:hAnsi="Arial" w:cs="Arial"/>
          <w:b/>
          <w:bCs/>
          <w:sz w:val="28"/>
          <w:szCs w:val="28"/>
        </w:rPr>
      </w:pPr>
    </w:p>
    <w:p w14:paraId="11E1571F" w14:textId="2EC3772D" w:rsidR="005D4FA4" w:rsidRDefault="004C5033" w:rsidP="004C5033">
      <w:pPr>
        <w:ind w:left="400"/>
        <w:jc w:val="center"/>
        <w:rPr>
          <w:rFonts w:ascii="Arial" w:hAnsi="Arial" w:cs="Arial"/>
          <w:b/>
          <w:bCs/>
          <w:sz w:val="28"/>
          <w:szCs w:val="28"/>
        </w:rPr>
      </w:pPr>
      <w:r>
        <w:rPr>
          <w:rFonts w:ascii="Arial" w:hAnsi="Arial" w:cs="Arial"/>
          <w:b/>
          <w:bCs/>
          <w:sz w:val="28"/>
          <w:szCs w:val="28"/>
        </w:rPr>
        <w:lastRenderedPageBreak/>
        <w:t>Acknowledgments</w:t>
      </w:r>
    </w:p>
    <w:p w14:paraId="7DB50E66" w14:textId="77777777" w:rsidR="004C5033" w:rsidRDefault="004C5033" w:rsidP="004C5033">
      <w:pPr>
        <w:ind w:left="400"/>
        <w:jc w:val="center"/>
        <w:rPr>
          <w:rFonts w:ascii="Arial" w:hAnsi="Arial" w:cs="Arial"/>
          <w:b/>
          <w:bCs/>
          <w:sz w:val="28"/>
          <w:szCs w:val="28"/>
        </w:rPr>
      </w:pPr>
    </w:p>
    <w:p w14:paraId="28312464" w14:textId="0EDA7279" w:rsidR="004C5033" w:rsidRDefault="004C5033" w:rsidP="00E04963">
      <w:pPr>
        <w:rPr>
          <w:rFonts w:ascii="Arial" w:hAnsi="Arial" w:cs="Arial"/>
        </w:rPr>
      </w:pPr>
      <w:r w:rsidRPr="004C5033">
        <w:rPr>
          <w:rFonts w:ascii="Arial" w:hAnsi="Arial" w:cs="Arial"/>
        </w:rPr>
        <w:t>I would like to express my sincere gratitude to everyone who helped me throughout the completion of this research.</w:t>
      </w:r>
      <w:r w:rsidR="00E04963">
        <w:rPr>
          <w:rFonts w:ascii="Arial" w:hAnsi="Arial" w:cs="Arial"/>
        </w:rPr>
        <w:t xml:space="preserve"> </w:t>
      </w:r>
    </w:p>
    <w:p w14:paraId="05464664" w14:textId="56D040B1" w:rsidR="00E04963" w:rsidRDefault="00E04963" w:rsidP="00E04963">
      <w:pPr>
        <w:rPr>
          <w:rFonts w:ascii="Arial" w:hAnsi="Arial" w:cs="Arial"/>
        </w:rPr>
      </w:pPr>
      <w:r w:rsidRPr="00E04963">
        <w:rPr>
          <w:rFonts w:ascii="Arial" w:hAnsi="Arial" w:cs="Arial"/>
        </w:rPr>
        <w:t>I would like to thank my supervisor, Dr Isaiah Oino, for his expertise and constant encouragement. His academic guidance supported the development of this dissertation and in helping me navigate with analysis of the financial markets.</w:t>
      </w:r>
    </w:p>
    <w:p w14:paraId="3E2A1150" w14:textId="3618C06E" w:rsidR="00E04963" w:rsidRDefault="0043322E" w:rsidP="00E04963">
      <w:pPr>
        <w:rPr>
          <w:rFonts w:ascii="Arial" w:hAnsi="Arial" w:cs="Arial"/>
        </w:rPr>
      </w:pPr>
      <w:r w:rsidRPr="0043322E">
        <w:rPr>
          <w:rFonts w:ascii="Arial" w:hAnsi="Arial" w:cs="Arial"/>
        </w:rPr>
        <w:t>I would like to express my gratitude to my mother, Dipika Patel, for her support and for being my constant motivation. Her enduring encouragement has been my greatest source of inspiration, guiding me through every challenge of this journey.</w:t>
      </w:r>
    </w:p>
    <w:p w14:paraId="2971959A" w14:textId="0003EA43" w:rsidR="0043322E" w:rsidRDefault="009044CE" w:rsidP="00E04963">
      <w:pPr>
        <w:rPr>
          <w:rFonts w:ascii="Arial" w:hAnsi="Arial" w:cs="Arial"/>
        </w:rPr>
      </w:pPr>
      <w:r w:rsidRPr="009044CE">
        <w:rPr>
          <w:rFonts w:ascii="Arial" w:hAnsi="Arial" w:cs="Arial"/>
        </w:rPr>
        <w:t>To my friend, Ravi Valand: thank you for standing by me throughout this challenging journey. Your reliability and encouragement were vital to my success during this academic journey.</w:t>
      </w:r>
    </w:p>
    <w:p w14:paraId="4FE14022" w14:textId="1B8BEA00" w:rsidR="009044CE" w:rsidRDefault="00FD2260" w:rsidP="00E04963">
      <w:pPr>
        <w:rPr>
          <w:rFonts w:ascii="Arial" w:hAnsi="Arial" w:cs="Arial"/>
        </w:rPr>
      </w:pPr>
      <w:r w:rsidRPr="00FD2260">
        <w:rPr>
          <w:rFonts w:ascii="Arial" w:hAnsi="Arial" w:cs="Arial"/>
        </w:rPr>
        <w:t>Finally, I would like to thank to the university academic staff and everyone who contributed to the successful completion of this research.</w:t>
      </w:r>
    </w:p>
    <w:p w14:paraId="053DC1E7" w14:textId="77777777" w:rsidR="00FD2260" w:rsidRPr="004C5033" w:rsidRDefault="00FD2260" w:rsidP="00E04963">
      <w:pPr>
        <w:rPr>
          <w:rFonts w:ascii="Arial" w:hAnsi="Arial" w:cs="Arial"/>
        </w:rPr>
      </w:pPr>
    </w:p>
    <w:p w14:paraId="556357AC" w14:textId="77777777" w:rsidR="005D4FA4" w:rsidRDefault="005D4FA4" w:rsidP="00877543">
      <w:pPr>
        <w:ind w:left="400"/>
        <w:jc w:val="center"/>
        <w:rPr>
          <w:rFonts w:ascii="Arial" w:hAnsi="Arial" w:cs="Arial"/>
          <w:b/>
          <w:bCs/>
          <w:sz w:val="28"/>
          <w:szCs w:val="28"/>
        </w:rPr>
      </w:pPr>
    </w:p>
    <w:p w14:paraId="02E7451E" w14:textId="77777777" w:rsidR="005D4FA4" w:rsidRDefault="005D4FA4" w:rsidP="00877543">
      <w:pPr>
        <w:ind w:left="400"/>
        <w:jc w:val="center"/>
        <w:rPr>
          <w:rFonts w:ascii="Arial" w:hAnsi="Arial" w:cs="Arial"/>
          <w:b/>
          <w:bCs/>
          <w:sz w:val="28"/>
          <w:szCs w:val="28"/>
        </w:rPr>
      </w:pPr>
    </w:p>
    <w:p w14:paraId="7C7520C1" w14:textId="77777777" w:rsidR="005D4FA4" w:rsidRDefault="005D4FA4" w:rsidP="00877543">
      <w:pPr>
        <w:ind w:left="400"/>
        <w:jc w:val="center"/>
        <w:rPr>
          <w:rFonts w:ascii="Arial" w:hAnsi="Arial" w:cs="Arial"/>
          <w:b/>
          <w:bCs/>
          <w:sz w:val="28"/>
          <w:szCs w:val="28"/>
        </w:rPr>
      </w:pPr>
    </w:p>
    <w:p w14:paraId="44228377" w14:textId="77777777" w:rsidR="005D4FA4" w:rsidRDefault="005D4FA4" w:rsidP="00877543">
      <w:pPr>
        <w:ind w:left="400"/>
        <w:jc w:val="center"/>
        <w:rPr>
          <w:rFonts w:ascii="Arial" w:hAnsi="Arial" w:cs="Arial"/>
          <w:b/>
          <w:bCs/>
          <w:sz w:val="28"/>
          <w:szCs w:val="28"/>
        </w:rPr>
      </w:pPr>
    </w:p>
    <w:p w14:paraId="38BFE091" w14:textId="77777777" w:rsidR="005D4FA4" w:rsidRDefault="005D4FA4" w:rsidP="00877543">
      <w:pPr>
        <w:ind w:left="400"/>
        <w:jc w:val="center"/>
        <w:rPr>
          <w:rFonts w:ascii="Arial" w:hAnsi="Arial" w:cs="Arial"/>
          <w:b/>
          <w:bCs/>
          <w:sz w:val="28"/>
          <w:szCs w:val="28"/>
        </w:rPr>
      </w:pPr>
    </w:p>
    <w:p w14:paraId="6F30C350" w14:textId="77777777" w:rsidR="005D4FA4" w:rsidRDefault="005D4FA4" w:rsidP="00877543">
      <w:pPr>
        <w:ind w:left="400"/>
        <w:jc w:val="center"/>
        <w:rPr>
          <w:rFonts w:ascii="Arial" w:hAnsi="Arial" w:cs="Arial"/>
          <w:b/>
          <w:bCs/>
          <w:sz w:val="28"/>
          <w:szCs w:val="28"/>
        </w:rPr>
      </w:pPr>
    </w:p>
    <w:p w14:paraId="71555954" w14:textId="77777777" w:rsidR="005D4FA4" w:rsidRDefault="005D4FA4" w:rsidP="00877543">
      <w:pPr>
        <w:ind w:left="400"/>
        <w:jc w:val="center"/>
        <w:rPr>
          <w:rFonts w:ascii="Arial" w:hAnsi="Arial" w:cs="Arial"/>
          <w:b/>
          <w:bCs/>
          <w:sz w:val="28"/>
          <w:szCs w:val="28"/>
        </w:rPr>
      </w:pPr>
    </w:p>
    <w:p w14:paraId="24982D38" w14:textId="77777777" w:rsidR="005D4FA4" w:rsidRDefault="005D4FA4" w:rsidP="00877543">
      <w:pPr>
        <w:ind w:left="400"/>
        <w:jc w:val="center"/>
        <w:rPr>
          <w:rFonts w:ascii="Arial" w:hAnsi="Arial" w:cs="Arial"/>
          <w:b/>
          <w:bCs/>
          <w:sz w:val="28"/>
          <w:szCs w:val="28"/>
        </w:rPr>
      </w:pPr>
    </w:p>
    <w:p w14:paraId="2CFE2414" w14:textId="77777777" w:rsidR="00E04963" w:rsidRDefault="00E04963" w:rsidP="00D561D9">
      <w:pPr>
        <w:rPr>
          <w:rFonts w:ascii="Arial" w:hAnsi="Arial" w:cs="Arial"/>
          <w:b/>
          <w:bCs/>
          <w:sz w:val="28"/>
          <w:szCs w:val="28"/>
        </w:rPr>
      </w:pPr>
    </w:p>
    <w:p w14:paraId="5E7F44EC" w14:textId="480F4478" w:rsidR="009044CE" w:rsidRDefault="00CD2BA2" w:rsidP="00CD2BA2">
      <w:pPr>
        <w:jc w:val="center"/>
        <w:rPr>
          <w:rFonts w:ascii="Arial" w:hAnsi="Arial" w:cs="Arial"/>
          <w:b/>
          <w:bCs/>
          <w:sz w:val="28"/>
          <w:szCs w:val="28"/>
        </w:rPr>
      </w:pPr>
      <w:r>
        <w:rPr>
          <w:rFonts w:ascii="Arial" w:hAnsi="Arial" w:cs="Arial"/>
          <w:b/>
          <w:bCs/>
          <w:sz w:val="28"/>
          <w:szCs w:val="28"/>
        </w:rPr>
        <w:lastRenderedPageBreak/>
        <w:t>Abstract</w:t>
      </w:r>
    </w:p>
    <w:p w14:paraId="1C1F9005" w14:textId="77777777" w:rsidR="00CD2BA2" w:rsidRDefault="00CD2BA2" w:rsidP="00CD2BA2">
      <w:pPr>
        <w:rPr>
          <w:rFonts w:ascii="Arial" w:hAnsi="Arial" w:cs="Arial"/>
          <w:b/>
          <w:bCs/>
          <w:sz w:val="28"/>
          <w:szCs w:val="28"/>
        </w:rPr>
      </w:pPr>
    </w:p>
    <w:p w14:paraId="4F259A5D" w14:textId="673952DE" w:rsidR="00A20620" w:rsidRDefault="00050A0F" w:rsidP="00C7148E">
      <w:pPr>
        <w:rPr>
          <w:rFonts w:ascii="Arial" w:hAnsi="Arial" w:cs="Arial"/>
        </w:rPr>
      </w:pPr>
      <w:r w:rsidRPr="00050A0F">
        <w:rPr>
          <w:rFonts w:ascii="Arial" w:hAnsi="Arial" w:cs="Arial"/>
        </w:rPr>
        <w:t>This research examines how interest rate changes in the US have affected the relationship between gold returns and stock market performance (S&amp;P 500 and Nasdaq) over the twenty-year period from 2005-2025. Although gold has always been considered a safe-haven investment, many studies show that the relationship between gold and stock prices significantly across different macroeconomic cycles. This research uses quantitative methods, including regression analysis of 249 monthly data points to explore how the effectiveness of gold as a hedge changes during various monetary cycles.</w:t>
      </w:r>
      <w:r w:rsidR="00A20620">
        <w:rPr>
          <w:rFonts w:ascii="Arial" w:hAnsi="Arial" w:cs="Arial"/>
        </w:rPr>
        <w:t xml:space="preserve"> </w:t>
      </w:r>
      <w:r w:rsidR="00A20620" w:rsidRPr="00A20620">
        <w:rPr>
          <w:rFonts w:ascii="Arial" w:hAnsi="Arial" w:cs="Arial"/>
        </w:rPr>
        <w:t>The results indicate that gold has a conditional performance and acts as a superior defensive asset when interest rates are decreasing. During these periods of decreasing interest rates, gold yields higher average returns than during periods of rising interest rates and maintains a near zero correlation with the S&amp;P 500, showing that it is statistically independent from the volatility of equities. On the other hand, as interest rates increase, the opportunity cost of holding non-yielding assets rises, weakening gold's protective role. These results show that gold's diversification benefits are not constant but heavily depend on the Federal Reserve policy, providing insights for risk management in shifting economic environments.</w:t>
      </w:r>
    </w:p>
    <w:p w14:paraId="09A59E4F" w14:textId="77777777" w:rsidR="00A20620" w:rsidRPr="00CD2BA2" w:rsidRDefault="00A20620" w:rsidP="00CD2BA2">
      <w:pPr>
        <w:rPr>
          <w:rFonts w:ascii="Arial" w:hAnsi="Arial" w:cs="Arial"/>
        </w:rPr>
      </w:pPr>
    </w:p>
    <w:p w14:paraId="5030B080" w14:textId="77777777" w:rsidR="009044CE" w:rsidRDefault="009044CE" w:rsidP="00D561D9">
      <w:pPr>
        <w:rPr>
          <w:rFonts w:ascii="Arial" w:hAnsi="Arial" w:cs="Arial"/>
          <w:b/>
          <w:bCs/>
          <w:sz w:val="28"/>
          <w:szCs w:val="28"/>
        </w:rPr>
      </w:pPr>
    </w:p>
    <w:p w14:paraId="5C8DC40D" w14:textId="77777777" w:rsidR="00D330B1" w:rsidRDefault="00D330B1" w:rsidP="00D561D9">
      <w:pPr>
        <w:rPr>
          <w:rFonts w:ascii="Arial" w:hAnsi="Arial" w:cs="Arial"/>
          <w:b/>
          <w:bCs/>
          <w:sz w:val="28"/>
          <w:szCs w:val="28"/>
        </w:rPr>
      </w:pPr>
    </w:p>
    <w:p w14:paraId="36CCB7F2" w14:textId="77777777" w:rsidR="00D330B1" w:rsidRDefault="00D330B1" w:rsidP="00D561D9">
      <w:pPr>
        <w:rPr>
          <w:rFonts w:ascii="Arial" w:hAnsi="Arial" w:cs="Arial"/>
          <w:b/>
          <w:bCs/>
          <w:sz w:val="28"/>
          <w:szCs w:val="28"/>
        </w:rPr>
      </w:pPr>
    </w:p>
    <w:p w14:paraId="77B04698" w14:textId="77777777" w:rsidR="00D330B1" w:rsidRDefault="00D330B1" w:rsidP="00D561D9">
      <w:pPr>
        <w:rPr>
          <w:rFonts w:ascii="Arial" w:hAnsi="Arial" w:cs="Arial"/>
          <w:b/>
          <w:bCs/>
          <w:sz w:val="28"/>
          <w:szCs w:val="28"/>
        </w:rPr>
      </w:pPr>
    </w:p>
    <w:p w14:paraId="1D764516" w14:textId="77777777" w:rsidR="00D330B1" w:rsidRDefault="00D330B1" w:rsidP="00D561D9">
      <w:pPr>
        <w:rPr>
          <w:rFonts w:ascii="Arial" w:hAnsi="Arial" w:cs="Arial"/>
          <w:b/>
          <w:bCs/>
          <w:sz w:val="28"/>
          <w:szCs w:val="28"/>
        </w:rPr>
      </w:pPr>
    </w:p>
    <w:p w14:paraId="41E28BBC" w14:textId="77777777" w:rsidR="00D330B1" w:rsidRDefault="00D330B1" w:rsidP="00D561D9">
      <w:pPr>
        <w:rPr>
          <w:rFonts w:ascii="Arial" w:hAnsi="Arial" w:cs="Arial"/>
          <w:b/>
          <w:bCs/>
          <w:sz w:val="28"/>
          <w:szCs w:val="28"/>
        </w:rPr>
      </w:pPr>
    </w:p>
    <w:p w14:paraId="3F784B9B" w14:textId="77777777" w:rsidR="00D330B1" w:rsidRDefault="00D330B1" w:rsidP="00D561D9">
      <w:pPr>
        <w:rPr>
          <w:rFonts w:ascii="Arial" w:hAnsi="Arial" w:cs="Arial"/>
          <w:b/>
          <w:bCs/>
          <w:sz w:val="28"/>
          <w:szCs w:val="28"/>
        </w:rPr>
      </w:pPr>
    </w:p>
    <w:p w14:paraId="68F26D43" w14:textId="77777777" w:rsidR="00D330B1" w:rsidRDefault="00D330B1" w:rsidP="00D561D9">
      <w:pPr>
        <w:rPr>
          <w:rFonts w:ascii="Arial" w:hAnsi="Arial" w:cs="Arial"/>
          <w:b/>
          <w:bCs/>
          <w:sz w:val="28"/>
          <w:szCs w:val="28"/>
        </w:rPr>
      </w:pPr>
    </w:p>
    <w:sdt>
      <w:sdtPr>
        <w:rPr>
          <w:rFonts w:asciiTheme="minorHAnsi" w:eastAsiaTheme="minorHAnsi" w:hAnsiTheme="minorHAnsi" w:cstheme="minorBidi"/>
          <w:color w:val="auto"/>
          <w:kern w:val="2"/>
          <w:sz w:val="24"/>
          <w:szCs w:val="24"/>
          <w:lang w:val="en-GB"/>
          <w14:ligatures w14:val="standardContextual"/>
        </w:rPr>
        <w:id w:val="1389460631"/>
        <w:docPartObj>
          <w:docPartGallery w:val="Table of Contents"/>
          <w:docPartUnique/>
        </w:docPartObj>
      </w:sdtPr>
      <w:sdtContent>
        <w:p w14:paraId="668F7D7E" w14:textId="77777777" w:rsidR="0091278B" w:rsidRDefault="0091278B" w:rsidP="0091278B">
          <w:pPr>
            <w:pStyle w:val="TOCHeading"/>
            <w:rPr>
              <w:rFonts w:ascii="Arial" w:hAnsi="Arial" w:cs="Arial"/>
              <w:b/>
              <w:bCs/>
              <w:color w:val="000000" w:themeColor="text1"/>
              <w:sz w:val="28"/>
              <w:szCs w:val="28"/>
            </w:rPr>
          </w:pPr>
          <w:r w:rsidRPr="000B26CA">
            <w:rPr>
              <w:rFonts w:ascii="Arial" w:hAnsi="Arial" w:cs="Arial"/>
              <w:b/>
              <w:bCs/>
              <w:color w:val="000000" w:themeColor="text1"/>
              <w:sz w:val="28"/>
              <w:szCs w:val="28"/>
            </w:rPr>
            <w:t>Table of Contents</w:t>
          </w:r>
        </w:p>
        <w:p w14:paraId="29CE4907" w14:textId="77777777" w:rsidR="0091278B" w:rsidRPr="000B26CA" w:rsidRDefault="0091278B" w:rsidP="0091278B">
          <w:pPr>
            <w:rPr>
              <w:lang w:val="en-US"/>
            </w:rPr>
          </w:pPr>
        </w:p>
        <w:p w14:paraId="69D46DDA" w14:textId="70CB8402" w:rsidR="0091278B" w:rsidRPr="000B26CA" w:rsidRDefault="0091278B" w:rsidP="0091278B">
          <w:pPr>
            <w:rPr>
              <w:rFonts w:ascii="Arial" w:hAnsi="Arial" w:cs="Arial"/>
              <w:b/>
              <w:bCs/>
            </w:rPr>
          </w:pPr>
          <w:r w:rsidRPr="000B26CA">
            <w:rPr>
              <w:rFonts w:ascii="Arial" w:hAnsi="Arial" w:cs="Arial"/>
              <w:b/>
              <w:bCs/>
            </w:rPr>
            <w:t>Acknowledgments</w:t>
          </w:r>
          <w:r>
            <w:ptab w:relativeTo="margin" w:alignment="right" w:leader="dot"/>
          </w:r>
          <w:r w:rsidR="0087680E">
            <w:rPr>
              <w:b/>
              <w:bCs/>
            </w:rPr>
            <w:t>2</w:t>
          </w:r>
        </w:p>
        <w:p w14:paraId="15873C02" w14:textId="303BEDDF" w:rsidR="0091278B" w:rsidRPr="000B26CA" w:rsidRDefault="0091278B" w:rsidP="0091278B">
          <w:pPr>
            <w:jc w:val="center"/>
            <w:rPr>
              <w:rFonts w:ascii="Arial" w:hAnsi="Arial" w:cs="Arial"/>
              <w:b/>
              <w:bCs/>
              <w:sz w:val="28"/>
              <w:szCs w:val="28"/>
            </w:rPr>
          </w:pPr>
          <w:r w:rsidRPr="000B26CA">
            <w:rPr>
              <w:rFonts w:ascii="Arial" w:hAnsi="Arial" w:cs="Arial"/>
              <w:b/>
              <w:bCs/>
            </w:rPr>
            <w:t>Abstract</w:t>
          </w:r>
          <w:r>
            <w:ptab w:relativeTo="margin" w:alignment="right" w:leader="dot"/>
          </w:r>
          <w:r w:rsidR="0087680E">
            <w:rPr>
              <w:b/>
              <w:bCs/>
            </w:rPr>
            <w:t>3</w:t>
          </w:r>
        </w:p>
        <w:p w14:paraId="0015DD37" w14:textId="45C48C47" w:rsidR="0091278B" w:rsidRDefault="0091278B" w:rsidP="0091278B">
          <w:pPr>
            <w:jc w:val="center"/>
            <w:rPr>
              <w:b/>
              <w:bCs/>
            </w:rPr>
          </w:pPr>
          <w:r w:rsidRPr="000B26CA">
            <w:rPr>
              <w:rFonts w:ascii="Arial" w:hAnsi="Arial" w:cs="Arial"/>
              <w:b/>
              <w:bCs/>
            </w:rPr>
            <w:t xml:space="preserve">List of Figures and </w:t>
          </w:r>
          <w:r w:rsidRPr="00DB0B8B">
            <w:rPr>
              <w:rFonts w:ascii="Arial" w:hAnsi="Arial" w:cs="Arial"/>
              <w:b/>
              <w:bCs/>
            </w:rPr>
            <w:t>Tables</w:t>
          </w:r>
          <w:r w:rsidRPr="00DB0B8B">
            <w:rPr>
              <w:b/>
              <w:bCs/>
            </w:rPr>
            <w:ptab w:relativeTo="margin" w:alignment="right" w:leader="dot"/>
          </w:r>
          <w:r w:rsidR="0087680E" w:rsidRPr="00DB0B8B">
            <w:rPr>
              <w:b/>
              <w:bCs/>
            </w:rPr>
            <w:t>9</w:t>
          </w:r>
        </w:p>
        <w:p w14:paraId="294A486C" w14:textId="0A55439D" w:rsidR="006F7632" w:rsidRPr="000B26CA" w:rsidRDefault="006F7632" w:rsidP="006F7632">
          <w:pPr>
            <w:pStyle w:val="ListParagraph"/>
            <w:ind w:left="0"/>
            <w:rPr>
              <w:rFonts w:ascii="Arial" w:hAnsi="Arial" w:cs="Arial"/>
              <w:b/>
              <w:bCs/>
            </w:rPr>
          </w:pPr>
          <w:r w:rsidRPr="006F7632">
            <w:rPr>
              <w:rFonts w:ascii="Arial" w:hAnsi="Arial" w:cs="Arial"/>
              <w:b/>
              <w:bCs/>
            </w:rPr>
            <w:t>List of Abbreviations</w:t>
          </w:r>
          <w:r>
            <w:rPr>
              <w:rFonts w:ascii="Arial" w:hAnsi="Arial" w:cs="Arial"/>
              <w:b/>
              <w:bCs/>
            </w:rPr>
            <w:t>………………………………………………………………………9</w:t>
          </w:r>
        </w:p>
        <w:p w14:paraId="61D43B34" w14:textId="3AE62D2E" w:rsidR="0091278B" w:rsidRPr="000B26CA" w:rsidRDefault="0091278B" w:rsidP="0091278B">
          <w:pPr>
            <w:rPr>
              <w:rFonts w:ascii="Arial" w:hAnsi="Arial" w:cs="Arial"/>
              <w:b/>
              <w:bCs/>
            </w:rPr>
          </w:pPr>
          <w:r w:rsidRPr="000B26CA">
            <w:rPr>
              <w:rFonts w:ascii="Arial" w:hAnsi="Arial" w:cs="Arial"/>
              <w:b/>
              <w:bCs/>
            </w:rPr>
            <w:t xml:space="preserve">CHAPTER ONE: </w:t>
          </w:r>
          <w:r w:rsidRPr="00DB0B8B">
            <w:rPr>
              <w:rFonts w:ascii="Arial" w:hAnsi="Arial" w:cs="Arial"/>
              <w:b/>
              <w:bCs/>
            </w:rPr>
            <w:t>INTRODUCTION</w:t>
          </w:r>
          <w:r w:rsidRPr="00DB0B8B">
            <w:rPr>
              <w:b/>
              <w:bCs/>
            </w:rPr>
            <w:ptab w:relativeTo="margin" w:alignment="right" w:leader="dot"/>
          </w:r>
          <w:r w:rsidR="005A7D57" w:rsidRPr="00DB0B8B">
            <w:rPr>
              <w:b/>
              <w:bCs/>
            </w:rPr>
            <w:t>10</w:t>
          </w:r>
        </w:p>
        <w:p w14:paraId="3EA24312" w14:textId="5DADCCDA" w:rsidR="005A7D57" w:rsidRPr="005A7D57" w:rsidRDefault="0091278B" w:rsidP="005A7D57">
          <w:pPr>
            <w:pStyle w:val="ListParagraph"/>
            <w:numPr>
              <w:ilvl w:val="1"/>
              <w:numId w:val="1"/>
            </w:numPr>
            <w:rPr>
              <w:rFonts w:ascii="Arial" w:hAnsi="Arial" w:cs="Arial"/>
              <w:sz w:val="28"/>
              <w:szCs w:val="28"/>
            </w:rPr>
          </w:pPr>
          <w:r w:rsidRPr="000B26CA">
            <w:rPr>
              <w:rFonts w:ascii="Arial" w:hAnsi="Arial" w:cs="Arial"/>
            </w:rPr>
            <w:t>Background and Context</w:t>
          </w:r>
          <w:r w:rsidRPr="000B26CA">
            <w:rPr>
              <w:rFonts w:ascii="Arial" w:hAnsi="Arial" w:cs="Arial"/>
              <w:sz w:val="28"/>
              <w:szCs w:val="28"/>
            </w:rPr>
            <w:t xml:space="preserve"> </w:t>
          </w:r>
          <w:r w:rsidRPr="000B26CA">
            <w:ptab w:relativeTo="margin" w:alignment="right" w:leader="dot"/>
          </w:r>
          <w:r w:rsidR="005A7D57">
            <w:t>10</w:t>
          </w:r>
        </w:p>
        <w:p w14:paraId="09AA0449" w14:textId="5A4EE8F2" w:rsidR="0091278B" w:rsidRPr="000B26CA" w:rsidRDefault="0091278B" w:rsidP="0091278B">
          <w:pPr>
            <w:pStyle w:val="ListParagraph"/>
            <w:numPr>
              <w:ilvl w:val="1"/>
              <w:numId w:val="1"/>
            </w:numPr>
            <w:rPr>
              <w:rFonts w:ascii="Arial" w:hAnsi="Arial" w:cs="Arial"/>
            </w:rPr>
          </w:pPr>
          <w:r w:rsidRPr="000B26CA">
            <w:rPr>
              <w:rFonts w:ascii="Arial" w:hAnsi="Arial" w:cs="Arial"/>
            </w:rPr>
            <w:t>Research Problem Statement</w:t>
          </w:r>
          <w:r w:rsidRPr="000B26CA">
            <w:ptab w:relativeTo="margin" w:alignment="right" w:leader="dot"/>
          </w:r>
          <w:r w:rsidR="005A7D57">
            <w:t>11</w:t>
          </w:r>
        </w:p>
        <w:p w14:paraId="5A731260" w14:textId="36F8F3D4" w:rsidR="0091278B" w:rsidRPr="000B26CA" w:rsidRDefault="0091278B" w:rsidP="0091278B">
          <w:pPr>
            <w:pStyle w:val="ListParagraph"/>
            <w:numPr>
              <w:ilvl w:val="1"/>
              <w:numId w:val="1"/>
            </w:numPr>
            <w:rPr>
              <w:rFonts w:ascii="Arial" w:hAnsi="Arial" w:cs="Arial"/>
              <w:b/>
              <w:bCs/>
            </w:rPr>
          </w:pPr>
          <w:r w:rsidRPr="000B26CA">
            <w:rPr>
              <w:rFonts w:ascii="Arial" w:hAnsi="Arial" w:cs="Arial"/>
            </w:rPr>
            <w:t>Research Aim……………</w:t>
          </w:r>
          <w:r>
            <w:rPr>
              <w:rFonts w:ascii="Arial" w:hAnsi="Arial" w:cs="Arial"/>
            </w:rPr>
            <w:t>..</w:t>
          </w:r>
          <w:r w:rsidRPr="000B26CA">
            <w:rPr>
              <w:rFonts w:ascii="Arial" w:hAnsi="Arial" w:cs="Arial"/>
            </w:rPr>
            <w:t>……………………………………………………………</w:t>
          </w:r>
          <w:r w:rsidR="005A7D57">
            <w:rPr>
              <w:rFonts w:ascii="Arial" w:hAnsi="Arial" w:cs="Arial"/>
            </w:rPr>
            <w:t>12</w:t>
          </w:r>
        </w:p>
        <w:p w14:paraId="0B94CD03" w14:textId="579E834E" w:rsidR="0091278B" w:rsidRDefault="0091278B" w:rsidP="0091278B">
          <w:pPr>
            <w:pStyle w:val="ListParagraph"/>
            <w:numPr>
              <w:ilvl w:val="1"/>
              <w:numId w:val="1"/>
            </w:numPr>
            <w:rPr>
              <w:rFonts w:ascii="Arial" w:hAnsi="Arial" w:cs="Arial"/>
            </w:rPr>
          </w:pPr>
          <w:r w:rsidRPr="000B26CA">
            <w:rPr>
              <w:rFonts w:ascii="Arial" w:hAnsi="Arial" w:cs="Arial"/>
            </w:rPr>
            <w:t>Research Objectives</w:t>
          </w:r>
          <w:r>
            <w:rPr>
              <w:rFonts w:ascii="Arial" w:hAnsi="Arial" w:cs="Arial"/>
            </w:rPr>
            <w:t>…………………………………………………………………..1</w:t>
          </w:r>
          <w:r w:rsidR="005A7D57">
            <w:rPr>
              <w:rFonts w:ascii="Arial" w:hAnsi="Arial" w:cs="Arial"/>
            </w:rPr>
            <w:t>2</w:t>
          </w:r>
        </w:p>
        <w:p w14:paraId="6689A149" w14:textId="2729C713" w:rsidR="0091278B" w:rsidRDefault="0091278B" w:rsidP="0091278B">
          <w:pPr>
            <w:pStyle w:val="ListParagraph"/>
            <w:numPr>
              <w:ilvl w:val="1"/>
              <w:numId w:val="1"/>
            </w:numPr>
            <w:rPr>
              <w:rFonts w:ascii="Arial" w:hAnsi="Arial" w:cs="Arial"/>
            </w:rPr>
          </w:pPr>
          <w:r w:rsidRPr="000B26CA">
            <w:rPr>
              <w:rFonts w:ascii="Arial" w:hAnsi="Arial" w:cs="Arial"/>
            </w:rPr>
            <w:t>Research Questions</w:t>
          </w:r>
          <w:r>
            <w:rPr>
              <w:rFonts w:ascii="Arial" w:hAnsi="Arial" w:cs="Arial"/>
            </w:rPr>
            <w:t>…………………………………………………………………...1</w:t>
          </w:r>
          <w:r w:rsidR="005A7D57">
            <w:rPr>
              <w:rFonts w:ascii="Arial" w:hAnsi="Arial" w:cs="Arial"/>
            </w:rPr>
            <w:t>3</w:t>
          </w:r>
        </w:p>
        <w:p w14:paraId="48FD6C5F" w14:textId="4F8672CE" w:rsidR="0091278B" w:rsidRDefault="0091278B" w:rsidP="0091278B">
          <w:pPr>
            <w:pStyle w:val="ListParagraph"/>
            <w:numPr>
              <w:ilvl w:val="1"/>
              <w:numId w:val="1"/>
            </w:numPr>
            <w:rPr>
              <w:rFonts w:ascii="Arial" w:hAnsi="Arial" w:cs="Arial"/>
            </w:rPr>
          </w:pPr>
          <w:r w:rsidRPr="000B26CA">
            <w:rPr>
              <w:rFonts w:ascii="Arial" w:hAnsi="Arial" w:cs="Arial"/>
            </w:rPr>
            <w:t>Significance of Study</w:t>
          </w:r>
          <w:r>
            <w:rPr>
              <w:rFonts w:ascii="Arial" w:hAnsi="Arial" w:cs="Arial"/>
            </w:rPr>
            <w:t>…………………………………………………………………..1</w:t>
          </w:r>
          <w:r w:rsidR="005A7D57">
            <w:rPr>
              <w:rFonts w:ascii="Arial" w:hAnsi="Arial" w:cs="Arial"/>
            </w:rPr>
            <w:t>3</w:t>
          </w:r>
        </w:p>
        <w:p w14:paraId="3D336635" w14:textId="3A6DBD5D" w:rsidR="0091278B" w:rsidRDefault="0091278B" w:rsidP="0091278B">
          <w:pPr>
            <w:pStyle w:val="ListParagraph"/>
            <w:numPr>
              <w:ilvl w:val="1"/>
              <w:numId w:val="1"/>
            </w:numPr>
            <w:rPr>
              <w:rFonts w:ascii="Arial" w:hAnsi="Arial" w:cs="Arial"/>
            </w:rPr>
          </w:pPr>
          <w:r w:rsidRPr="000B26CA">
            <w:rPr>
              <w:rFonts w:ascii="Arial" w:hAnsi="Arial" w:cs="Arial"/>
            </w:rPr>
            <w:t>Dissertation Structure Overview</w:t>
          </w:r>
          <w:r>
            <w:rPr>
              <w:rFonts w:ascii="Arial" w:hAnsi="Arial" w:cs="Arial"/>
            </w:rPr>
            <w:t>……………………………………………………...1</w:t>
          </w:r>
          <w:r w:rsidR="005A7D57">
            <w:rPr>
              <w:rFonts w:ascii="Arial" w:hAnsi="Arial" w:cs="Arial"/>
            </w:rPr>
            <w:t>3</w:t>
          </w:r>
        </w:p>
        <w:p w14:paraId="77E4D618" w14:textId="5220DB8F" w:rsidR="0091278B" w:rsidRDefault="0091278B" w:rsidP="0091278B">
          <w:pPr>
            <w:rPr>
              <w:rFonts w:ascii="Arial" w:hAnsi="Arial" w:cs="Arial"/>
              <w:b/>
              <w:bCs/>
            </w:rPr>
          </w:pPr>
          <w:r w:rsidRPr="000B26CA">
            <w:rPr>
              <w:rFonts w:ascii="Arial" w:hAnsi="Arial" w:cs="Arial"/>
              <w:b/>
              <w:bCs/>
            </w:rPr>
            <w:t>Chapter Two: Literature Review……………………………………</w:t>
          </w:r>
          <w:r>
            <w:rPr>
              <w:rFonts w:ascii="Arial" w:hAnsi="Arial" w:cs="Arial"/>
              <w:b/>
              <w:bCs/>
            </w:rPr>
            <w:t>……………..</w:t>
          </w:r>
          <w:r w:rsidRPr="000B26CA">
            <w:rPr>
              <w:rFonts w:ascii="Arial" w:hAnsi="Arial" w:cs="Arial"/>
              <w:b/>
              <w:bCs/>
            </w:rPr>
            <w:t>……1</w:t>
          </w:r>
          <w:r w:rsidR="005A7D57">
            <w:rPr>
              <w:rFonts w:ascii="Arial" w:hAnsi="Arial" w:cs="Arial"/>
              <w:b/>
              <w:bCs/>
            </w:rPr>
            <w:t>5</w:t>
          </w:r>
        </w:p>
        <w:p w14:paraId="20F64491" w14:textId="31AEFD85" w:rsidR="0091278B" w:rsidRDefault="0091278B" w:rsidP="0091278B">
          <w:pPr>
            <w:rPr>
              <w:rFonts w:ascii="Arial" w:hAnsi="Arial" w:cs="Arial"/>
            </w:rPr>
          </w:pPr>
          <w:r w:rsidRPr="000B26CA">
            <w:rPr>
              <w:rFonts w:ascii="Arial" w:hAnsi="Arial" w:cs="Arial"/>
            </w:rPr>
            <w:t>2.1 Introduction to the Literature Review</w:t>
          </w:r>
          <w:r>
            <w:rPr>
              <w:rFonts w:ascii="Arial" w:hAnsi="Arial" w:cs="Arial"/>
            </w:rPr>
            <w:t>………………………………………………..1</w:t>
          </w:r>
          <w:r w:rsidR="005A7D57">
            <w:rPr>
              <w:rFonts w:ascii="Arial" w:hAnsi="Arial" w:cs="Arial"/>
            </w:rPr>
            <w:t>5</w:t>
          </w:r>
        </w:p>
        <w:p w14:paraId="22B12D3E" w14:textId="154783D6" w:rsidR="0091278B" w:rsidRDefault="0091278B" w:rsidP="0091278B">
          <w:pPr>
            <w:rPr>
              <w:rFonts w:ascii="Arial" w:hAnsi="Arial" w:cs="Arial"/>
            </w:rPr>
          </w:pPr>
          <w:r w:rsidRPr="000B26CA">
            <w:rPr>
              <w:rFonts w:ascii="Arial" w:hAnsi="Arial" w:cs="Arial"/>
            </w:rPr>
            <w:t>2.2 Theoretical Foundations</w:t>
          </w:r>
          <w:r>
            <w:rPr>
              <w:rFonts w:ascii="Arial" w:hAnsi="Arial" w:cs="Arial"/>
            </w:rPr>
            <w:t>………………………………………………………………1</w:t>
          </w:r>
          <w:r w:rsidR="005A7D57">
            <w:rPr>
              <w:rFonts w:ascii="Arial" w:hAnsi="Arial" w:cs="Arial"/>
            </w:rPr>
            <w:t>6</w:t>
          </w:r>
        </w:p>
        <w:p w14:paraId="022170B4" w14:textId="5F568C4A" w:rsidR="0091278B" w:rsidRDefault="0091278B" w:rsidP="0091278B">
          <w:pPr>
            <w:ind w:left="720"/>
            <w:rPr>
              <w:rFonts w:ascii="Arial" w:hAnsi="Arial" w:cs="Arial"/>
            </w:rPr>
          </w:pPr>
          <w:r w:rsidRPr="000B26CA">
            <w:rPr>
              <w:rFonts w:ascii="Arial" w:hAnsi="Arial" w:cs="Arial"/>
            </w:rPr>
            <w:t xml:space="preserve">2.2.1 Modern Portfolio Theory </w:t>
          </w:r>
          <w:r>
            <w:rPr>
              <w:rFonts w:ascii="Arial" w:hAnsi="Arial" w:cs="Arial"/>
            </w:rPr>
            <w:t>……………………………………………………1</w:t>
          </w:r>
          <w:r w:rsidR="005A7D57">
            <w:rPr>
              <w:rFonts w:ascii="Arial" w:hAnsi="Arial" w:cs="Arial"/>
            </w:rPr>
            <w:t>6</w:t>
          </w:r>
        </w:p>
        <w:p w14:paraId="57ED6050" w14:textId="347A2A80" w:rsidR="0091278B" w:rsidRDefault="0091278B" w:rsidP="0091278B">
          <w:pPr>
            <w:ind w:left="720"/>
            <w:rPr>
              <w:rFonts w:ascii="Arial" w:hAnsi="Arial" w:cs="Arial"/>
            </w:rPr>
          </w:pPr>
          <w:r w:rsidRPr="000B26CA">
            <w:rPr>
              <w:rFonts w:ascii="Arial" w:hAnsi="Arial" w:cs="Arial"/>
            </w:rPr>
            <w:t>2.2.2. Safe Haven Theory vs. Hedge Theory</w:t>
          </w:r>
          <w:r>
            <w:rPr>
              <w:rFonts w:ascii="Arial" w:hAnsi="Arial" w:cs="Arial"/>
            </w:rPr>
            <w:t>…………………………………...1</w:t>
          </w:r>
          <w:r w:rsidR="005A7D57">
            <w:rPr>
              <w:rFonts w:ascii="Arial" w:hAnsi="Arial" w:cs="Arial"/>
            </w:rPr>
            <w:t>6</w:t>
          </w:r>
        </w:p>
        <w:p w14:paraId="4894BC60" w14:textId="71D3FD89" w:rsidR="0091278B" w:rsidRDefault="0091278B" w:rsidP="0091278B">
          <w:pPr>
            <w:ind w:left="720"/>
            <w:rPr>
              <w:rFonts w:ascii="Arial" w:hAnsi="Arial" w:cs="Arial"/>
              <w:color w:val="1F1F1F"/>
              <w:shd w:val="clear" w:color="auto" w:fill="FFFFFF"/>
            </w:rPr>
          </w:pPr>
          <w:r w:rsidRPr="000B26CA">
            <w:rPr>
              <w:rFonts w:ascii="Arial" w:hAnsi="Arial" w:cs="Arial"/>
            </w:rPr>
            <w:t>2.2.3. Interest Rate Theory</w:t>
          </w:r>
          <w:r>
            <w:rPr>
              <w:rFonts w:ascii="Arial" w:hAnsi="Arial" w:cs="Arial"/>
              <w:color w:val="1F1F1F"/>
              <w:shd w:val="clear" w:color="auto" w:fill="FFFFFF"/>
            </w:rPr>
            <w:t>………………………………………………………..1</w:t>
          </w:r>
          <w:r w:rsidR="005A7D57">
            <w:rPr>
              <w:rFonts w:ascii="Arial" w:hAnsi="Arial" w:cs="Arial"/>
              <w:color w:val="1F1F1F"/>
              <w:shd w:val="clear" w:color="auto" w:fill="FFFFFF"/>
            </w:rPr>
            <w:t>7</w:t>
          </w:r>
        </w:p>
        <w:p w14:paraId="0D0B7B28" w14:textId="101006F9" w:rsidR="0091278B" w:rsidRDefault="0091278B" w:rsidP="0091278B">
          <w:pPr>
            <w:rPr>
              <w:rFonts w:ascii="Arial" w:hAnsi="Arial" w:cs="Arial"/>
            </w:rPr>
          </w:pPr>
          <w:r w:rsidRPr="000B26CA">
            <w:rPr>
              <w:rFonts w:ascii="Arial" w:hAnsi="Arial" w:cs="Arial"/>
            </w:rPr>
            <w:t>2.3 Gold as a Hedge and Safe Haven</w:t>
          </w:r>
          <w:r>
            <w:rPr>
              <w:rFonts w:ascii="Arial" w:hAnsi="Arial" w:cs="Arial"/>
            </w:rPr>
            <w:t>…………………………………………………...1</w:t>
          </w:r>
          <w:r w:rsidR="005A7D57">
            <w:rPr>
              <w:rFonts w:ascii="Arial" w:hAnsi="Arial" w:cs="Arial"/>
            </w:rPr>
            <w:t>8</w:t>
          </w:r>
        </w:p>
        <w:p w14:paraId="0C805D90" w14:textId="53D06F7F" w:rsidR="0091278B" w:rsidRDefault="0091278B" w:rsidP="0091278B">
          <w:pPr>
            <w:ind w:left="720"/>
            <w:rPr>
              <w:rFonts w:ascii="Arial" w:hAnsi="Arial" w:cs="Arial"/>
            </w:rPr>
          </w:pPr>
          <w:r w:rsidRPr="000B26CA">
            <w:rPr>
              <w:rFonts w:ascii="Arial" w:hAnsi="Arial" w:cs="Arial"/>
            </w:rPr>
            <w:t>2.3.1. Gold as a Hedge</w:t>
          </w:r>
          <w:r>
            <w:rPr>
              <w:rFonts w:ascii="Arial" w:hAnsi="Arial" w:cs="Arial"/>
            </w:rPr>
            <w:t>……………………………………………………………1</w:t>
          </w:r>
          <w:r w:rsidR="005A7D57">
            <w:rPr>
              <w:rFonts w:ascii="Arial" w:hAnsi="Arial" w:cs="Arial"/>
            </w:rPr>
            <w:t>8</w:t>
          </w:r>
        </w:p>
        <w:p w14:paraId="33922159" w14:textId="32B5ED45" w:rsidR="0091278B" w:rsidRDefault="0091278B" w:rsidP="0091278B">
          <w:pPr>
            <w:ind w:left="720"/>
            <w:rPr>
              <w:rFonts w:ascii="Arial" w:hAnsi="Arial" w:cs="Arial"/>
            </w:rPr>
          </w:pPr>
          <w:r w:rsidRPr="000B26CA">
            <w:rPr>
              <w:rFonts w:ascii="Arial" w:hAnsi="Arial" w:cs="Arial"/>
            </w:rPr>
            <w:t>2.3.2. Gold as a Safe haven in Crises</w:t>
          </w:r>
          <w:r>
            <w:rPr>
              <w:rFonts w:ascii="Arial" w:hAnsi="Arial" w:cs="Arial"/>
            </w:rPr>
            <w:t>…………………………………………...1</w:t>
          </w:r>
          <w:r w:rsidR="005A7D57">
            <w:rPr>
              <w:rFonts w:ascii="Arial" w:hAnsi="Arial" w:cs="Arial"/>
            </w:rPr>
            <w:t>9</w:t>
          </w:r>
        </w:p>
        <w:p w14:paraId="08162A7A" w14:textId="556FB344" w:rsidR="0091278B" w:rsidRDefault="0091278B" w:rsidP="0091278B">
          <w:pPr>
            <w:ind w:left="720"/>
            <w:rPr>
              <w:rFonts w:ascii="Arial" w:hAnsi="Arial" w:cs="Arial"/>
            </w:rPr>
          </w:pPr>
          <w:r w:rsidRPr="000B26CA">
            <w:rPr>
              <w:rFonts w:ascii="Arial" w:hAnsi="Arial" w:cs="Arial"/>
            </w:rPr>
            <w:t>2.3.3. Conditional and Time-Varying Nature of Gold</w:t>
          </w:r>
          <w:r>
            <w:rPr>
              <w:rFonts w:ascii="Arial" w:hAnsi="Arial" w:cs="Arial"/>
            </w:rPr>
            <w:t>…………………………...1</w:t>
          </w:r>
          <w:r w:rsidR="005A7D57">
            <w:rPr>
              <w:rFonts w:ascii="Arial" w:hAnsi="Arial" w:cs="Arial"/>
            </w:rPr>
            <w:t>9</w:t>
          </w:r>
        </w:p>
        <w:p w14:paraId="55684750" w14:textId="59A99E73" w:rsidR="0091278B" w:rsidRDefault="0091278B" w:rsidP="0091278B">
          <w:pPr>
            <w:rPr>
              <w:rFonts w:ascii="Arial" w:hAnsi="Arial" w:cs="Arial"/>
            </w:rPr>
          </w:pPr>
          <w:r w:rsidRPr="000B26CA">
            <w:rPr>
              <w:rFonts w:ascii="Arial" w:hAnsi="Arial" w:cs="Arial"/>
            </w:rPr>
            <w:t>2.4. Relationship Between Gold and Equity Returns</w:t>
          </w:r>
          <w:r>
            <w:rPr>
              <w:rFonts w:ascii="Arial" w:hAnsi="Arial" w:cs="Arial"/>
            </w:rPr>
            <w:t>…………………………………..</w:t>
          </w:r>
          <w:r w:rsidR="005A7D57">
            <w:rPr>
              <w:rFonts w:ascii="Arial" w:hAnsi="Arial" w:cs="Arial"/>
            </w:rPr>
            <w:t>20</w:t>
          </w:r>
        </w:p>
        <w:p w14:paraId="1C849C5C" w14:textId="033ED8F4" w:rsidR="0091278B" w:rsidRDefault="0091278B" w:rsidP="0091278B">
          <w:pPr>
            <w:ind w:left="720"/>
            <w:rPr>
              <w:rFonts w:ascii="Arial" w:hAnsi="Arial" w:cs="Arial"/>
            </w:rPr>
          </w:pPr>
          <w:r w:rsidRPr="000B26CA">
            <w:rPr>
              <w:rFonts w:ascii="Arial" w:hAnsi="Arial" w:cs="Arial"/>
            </w:rPr>
            <w:t>2.4.1. Historical Correlation Patterns</w:t>
          </w:r>
          <w:r>
            <w:rPr>
              <w:rFonts w:ascii="Arial" w:hAnsi="Arial" w:cs="Arial"/>
            </w:rPr>
            <w:t>…………………………………………….</w:t>
          </w:r>
          <w:r w:rsidR="005A7D57">
            <w:rPr>
              <w:rFonts w:ascii="Arial" w:hAnsi="Arial" w:cs="Arial"/>
            </w:rPr>
            <w:t>20</w:t>
          </w:r>
        </w:p>
        <w:p w14:paraId="266F3629" w14:textId="49A00790" w:rsidR="0091278B" w:rsidRDefault="0091278B" w:rsidP="0091278B">
          <w:pPr>
            <w:ind w:left="720"/>
            <w:rPr>
              <w:rFonts w:ascii="Arial" w:hAnsi="Arial" w:cs="Arial"/>
            </w:rPr>
          </w:pPr>
          <w:r w:rsidRPr="000B26CA">
            <w:rPr>
              <w:rFonts w:ascii="Arial" w:hAnsi="Arial" w:cs="Arial"/>
            </w:rPr>
            <w:lastRenderedPageBreak/>
            <w:t>2.4.2. During Market Stress</w:t>
          </w:r>
          <w:r>
            <w:rPr>
              <w:rFonts w:ascii="Arial" w:hAnsi="Arial" w:cs="Arial"/>
            </w:rPr>
            <w:t>……………………………………………………….</w:t>
          </w:r>
          <w:r w:rsidR="005A7D57">
            <w:rPr>
              <w:rFonts w:ascii="Arial" w:hAnsi="Arial" w:cs="Arial"/>
            </w:rPr>
            <w:t>20</w:t>
          </w:r>
        </w:p>
        <w:p w14:paraId="137D9A57" w14:textId="3AB66187" w:rsidR="0091278B" w:rsidRDefault="0091278B" w:rsidP="0091278B">
          <w:pPr>
            <w:ind w:left="720"/>
            <w:rPr>
              <w:rFonts w:ascii="Arial" w:hAnsi="Arial" w:cs="Arial"/>
            </w:rPr>
          </w:pPr>
          <w:r w:rsidRPr="000B26CA">
            <w:rPr>
              <w:rFonts w:ascii="Arial" w:hAnsi="Arial" w:cs="Arial"/>
            </w:rPr>
            <w:t>2.4.3. During Stable Market</w:t>
          </w:r>
          <w:r>
            <w:rPr>
              <w:rFonts w:ascii="Arial" w:hAnsi="Arial" w:cs="Arial"/>
            </w:rPr>
            <w:t>……………………………………………………….</w:t>
          </w:r>
          <w:r w:rsidR="005A7D57">
            <w:rPr>
              <w:rFonts w:ascii="Arial" w:hAnsi="Arial" w:cs="Arial"/>
            </w:rPr>
            <w:t>21</w:t>
          </w:r>
        </w:p>
        <w:p w14:paraId="33A22BFC" w14:textId="26F9C7DD" w:rsidR="0091278B" w:rsidRDefault="0091278B" w:rsidP="005A7D57">
          <w:pPr>
            <w:ind w:left="720"/>
            <w:rPr>
              <w:rFonts w:ascii="Arial" w:hAnsi="Arial" w:cs="Arial"/>
            </w:rPr>
          </w:pPr>
          <w:r w:rsidRPr="000B26CA">
            <w:rPr>
              <w:rFonts w:ascii="Arial" w:hAnsi="Arial" w:cs="Arial"/>
            </w:rPr>
            <w:t>2.4.4. Evolution of analytical approaches</w:t>
          </w:r>
          <w:r>
            <w:rPr>
              <w:rFonts w:ascii="Arial" w:hAnsi="Arial" w:cs="Arial"/>
            </w:rPr>
            <w:t>……………………………………….</w:t>
          </w:r>
          <w:r w:rsidR="005A7D57">
            <w:rPr>
              <w:rFonts w:ascii="Arial" w:hAnsi="Arial" w:cs="Arial"/>
            </w:rPr>
            <w:t>21</w:t>
          </w:r>
        </w:p>
        <w:p w14:paraId="6F7E24C8" w14:textId="33101818" w:rsidR="0091278B" w:rsidRDefault="0091278B" w:rsidP="0091278B">
          <w:pPr>
            <w:rPr>
              <w:rFonts w:ascii="Arial" w:hAnsi="Arial" w:cs="Arial"/>
            </w:rPr>
          </w:pPr>
          <w:r w:rsidRPr="006F2B3E">
            <w:rPr>
              <w:rFonts w:ascii="Arial" w:hAnsi="Arial" w:cs="Arial"/>
            </w:rPr>
            <w:t>2.5 Role of US Interest Rates and Monetary Policy</w:t>
          </w:r>
          <w:r>
            <w:rPr>
              <w:rFonts w:ascii="Arial" w:hAnsi="Arial" w:cs="Arial"/>
            </w:rPr>
            <w:t>……………………………………</w:t>
          </w:r>
          <w:r w:rsidR="005A7D57">
            <w:rPr>
              <w:rFonts w:ascii="Arial" w:hAnsi="Arial" w:cs="Arial"/>
            </w:rPr>
            <w:t>21</w:t>
          </w:r>
        </w:p>
        <w:p w14:paraId="5555FC60" w14:textId="2F2A9C8F" w:rsidR="0091278B" w:rsidRDefault="0091278B" w:rsidP="0091278B">
          <w:pPr>
            <w:ind w:left="720"/>
            <w:rPr>
              <w:rFonts w:ascii="Arial" w:hAnsi="Arial" w:cs="Arial"/>
            </w:rPr>
          </w:pPr>
          <w:r w:rsidRPr="006F2B3E">
            <w:rPr>
              <w:rFonts w:ascii="Arial" w:hAnsi="Arial" w:cs="Arial"/>
            </w:rPr>
            <w:t>2.5.1. Impact of US Interest Rates on Gold</w:t>
          </w:r>
          <w:r>
            <w:rPr>
              <w:rFonts w:ascii="Arial" w:hAnsi="Arial" w:cs="Arial"/>
            </w:rPr>
            <w:t>……………………………………..</w:t>
          </w:r>
          <w:r w:rsidR="005A7D57">
            <w:rPr>
              <w:rFonts w:ascii="Arial" w:hAnsi="Arial" w:cs="Arial"/>
            </w:rPr>
            <w:t>22</w:t>
          </w:r>
        </w:p>
        <w:p w14:paraId="5EBFC21E" w14:textId="349C2AF9" w:rsidR="0091278B" w:rsidRDefault="0091278B" w:rsidP="0091278B">
          <w:pPr>
            <w:ind w:left="720"/>
            <w:rPr>
              <w:rFonts w:ascii="Arial" w:hAnsi="Arial" w:cs="Arial"/>
            </w:rPr>
          </w:pPr>
          <w:r w:rsidRPr="006F2B3E">
            <w:rPr>
              <w:rFonts w:ascii="Arial" w:hAnsi="Arial" w:cs="Arial"/>
            </w:rPr>
            <w:t>2.5.2. Impact of US Interest Rates on US Equity</w:t>
          </w:r>
          <w:r>
            <w:rPr>
              <w:rFonts w:ascii="Arial" w:hAnsi="Arial" w:cs="Arial"/>
            </w:rPr>
            <w:t>……………………………….</w:t>
          </w:r>
          <w:r w:rsidR="005A7D57">
            <w:rPr>
              <w:rFonts w:ascii="Arial" w:hAnsi="Arial" w:cs="Arial"/>
            </w:rPr>
            <w:t>23</w:t>
          </w:r>
        </w:p>
        <w:p w14:paraId="7D86F188" w14:textId="032681F0" w:rsidR="0091278B" w:rsidRDefault="0091278B" w:rsidP="0091278B">
          <w:pPr>
            <w:ind w:left="720"/>
            <w:rPr>
              <w:rFonts w:ascii="Arial" w:hAnsi="Arial" w:cs="Arial"/>
            </w:rPr>
          </w:pPr>
          <w:r w:rsidRPr="006F2B3E">
            <w:rPr>
              <w:rFonts w:ascii="Arial" w:hAnsi="Arial" w:cs="Arial"/>
            </w:rPr>
            <w:t>2.5.3. Dynamic Relationship: Gold-Equity-Interest Rates</w:t>
          </w:r>
          <w:r>
            <w:rPr>
              <w:rFonts w:ascii="Arial" w:hAnsi="Arial" w:cs="Arial"/>
            </w:rPr>
            <w:t>……………………..</w:t>
          </w:r>
          <w:r w:rsidR="005A7D57">
            <w:rPr>
              <w:rFonts w:ascii="Arial" w:hAnsi="Arial" w:cs="Arial"/>
            </w:rPr>
            <w:t>23</w:t>
          </w:r>
        </w:p>
        <w:p w14:paraId="3CECD92E" w14:textId="533092ED" w:rsidR="0091278B" w:rsidRDefault="0091278B" w:rsidP="0091278B">
          <w:pPr>
            <w:ind w:left="720"/>
            <w:rPr>
              <w:rFonts w:ascii="Arial" w:hAnsi="Arial" w:cs="Arial"/>
            </w:rPr>
          </w:pPr>
          <w:r w:rsidRPr="006F2B3E">
            <w:rPr>
              <w:rFonts w:ascii="Arial" w:hAnsi="Arial" w:cs="Arial"/>
            </w:rPr>
            <w:t>2.5.4. Interest rate driven shifts in gold-equity correlation</w:t>
          </w:r>
          <w:r>
            <w:rPr>
              <w:rFonts w:ascii="Arial" w:hAnsi="Arial" w:cs="Arial"/>
            </w:rPr>
            <w:t>……………………..</w:t>
          </w:r>
          <w:r w:rsidR="005A7D57">
            <w:rPr>
              <w:rFonts w:ascii="Arial" w:hAnsi="Arial" w:cs="Arial"/>
            </w:rPr>
            <w:t>24</w:t>
          </w:r>
        </w:p>
        <w:p w14:paraId="65548D67" w14:textId="33F79E04" w:rsidR="0091278B" w:rsidRDefault="0091278B" w:rsidP="0091278B">
          <w:pPr>
            <w:rPr>
              <w:rFonts w:ascii="Arial" w:hAnsi="Arial" w:cs="Arial"/>
            </w:rPr>
          </w:pPr>
          <w:r w:rsidRPr="006F2B3E">
            <w:rPr>
              <w:rFonts w:ascii="Arial" w:hAnsi="Arial" w:cs="Arial"/>
            </w:rPr>
            <w:t>2.6 Existing Literature and Identification of Research Gaps</w:t>
          </w:r>
          <w:r>
            <w:rPr>
              <w:rFonts w:ascii="Arial" w:hAnsi="Arial" w:cs="Arial"/>
            </w:rPr>
            <w:t>…………………………..</w:t>
          </w:r>
          <w:r w:rsidR="005A7D57">
            <w:rPr>
              <w:rFonts w:ascii="Arial" w:hAnsi="Arial" w:cs="Arial"/>
            </w:rPr>
            <w:t>25</w:t>
          </w:r>
        </w:p>
        <w:p w14:paraId="77C1A47F" w14:textId="5909342B" w:rsidR="0091278B" w:rsidRDefault="0091278B" w:rsidP="0091278B">
          <w:pPr>
            <w:ind w:left="720"/>
            <w:rPr>
              <w:rFonts w:ascii="Arial" w:hAnsi="Arial" w:cs="Arial"/>
            </w:rPr>
          </w:pPr>
          <w:r w:rsidRPr="006F2B3E">
            <w:rPr>
              <w:rFonts w:ascii="Arial" w:hAnsi="Arial" w:cs="Arial"/>
            </w:rPr>
            <w:t>2.6.1. Review of existing research</w:t>
          </w:r>
          <w:r>
            <w:rPr>
              <w:rFonts w:ascii="Arial" w:hAnsi="Arial" w:cs="Arial"/>
            </w:rPr>
            <w:t>……………………………………………….</w:t>
          </w:r>
          <w:r w:rsidR="005A7D57">
            <w:rPr>
              <w:rFonts w:ascii="Arial" w:hAnsi="Arial" w:cs="Arial"/>
            </w:rPr>
            <w:t>25</w:t>
          </w:r>
        </w:p>
        <w:p w14:paraId="5AD0948C" w14:textId="63B30E5C" w:rsidR="0091278B" w:rsidRDefault="0091278B" w:rsidP="0091278B">
          <w:pPr>
            <w:ind w:left="720"/>
            <w:rPr>
              <w:rFonts w:ascii="Arial" w:hAnsi="Arial" w:cs="Arial"/>
            </w:rPr>
          </w:pPr>
          <w:r w:rsidRPr="006F2B3E">
            <w:rPr>
              <w:rFonts w:ascii="Arial" w:hAnsi="Arial" w:cs="Arial"/>
            </w:rPr>
            <w:t>2.6.2. Researchers have not studied</w:t>
          </w:r>
          <w:r>
            <w:rPr>
              <w:rFonts w:ascii="Arial" w:hAnsi="Arial" w:cs="Arial"/>
            </w:rPr>
            <w:t>…………………………………………….</w:t>
          </w:r>
          <w:r w:rsidR="005A7D57">
            <w:rPr>
              <w:rFonts w:ascii="Arial" w:hAnsi="Arial" w:cs="Arial"/>
            </w:rPr>
            <w:t>26</w:t>
          </w:r>
        </w:p>
        <w:p w14:paraId="0EDF94CE" w14:textId="3F495C16" w:rsidR="0091278B" w:rsidRDefault="0091278B" w:rsidP="0091278B">
          <w:pPr>
            <w:ind w:left="720"/>
            <w:rPr>
              <w:rFonts w:ascii="Arial" w:hAnsi="Arial" w:cs="Arial"/>
            </w:rPr>
          </w:pPr>
          <w:r w:rsidRPr="006F2B3E">
            <w:rPr>
              <w:rFonts w:ascii="Arial" w:hAnsi="Arial" w:cs="Arial"/>
            </w:rPr>
            <w:t>2.6.3. Addressing the Research Gaps</w:t>
          </w:r>
          <w:r>
            <w:rPr>
              <w:rFonts w:ascii="Arial" w:hAnsi="Arial" w:cs="Arial"/>
            </w:rPr>
            <w:t>…………………………………………...</w:t>
          </w:r>
          <w:r w:rsidR="005A7D57">
            <w:rPr>
              <w:rFonts w:ascii="Arial" w:hAnsi="Arial" w:cs="Arial"/>
            </w:rPr>
            <w:t>26</w:t>
          </w:r>
        </w:p>
        <w:p w14:paraId="325C636D" w14:textId="4A2F4CA6" w:rsidR="0091278B" w:rsidRDefault="0091278B" w:rsidP="0091278B">
          <w:pPr>
            <w:rPr>
              <w:rFonts w:ascii="Arial" w:hAnsi="Arial" w:cs="Arial"/>
            </w:rPr>
          </w:pPr>
          <w:r w:rsidRPr="006F2B3E">
            <w:rPr>
              <w:rFonts w:ascii="Arial" w:hAnsi="Arial" w:cs="Arial"/>
            </w:rPr>
            <w:t>2.7 Theoretical Framework</w:t>
          </w:r>
          <w:r>
            <w:rPr>
              <w:rFonts w:ascii="Arial" w:hAnsi="Arial" w:cs="Arial"/>
            </w:rPr>
            <w:t>………………………………………………………………..</w:t>
          </w:r>
          <w:r w:rsidR="005A7D57">
            <w:rPr>
              <w:rFonts w:ascii="Arial" w:hAnsi="Arial" w:cs="Arial"/>
            </w:rPr>
            <w:t>26</w:t>
          </w:r>
        </w:p>
        <w:p w14:paraId="1D5F161B" w14:textId="228BFAEB" w:rsidR="0091278B" w:rsidRDefault="0091278B" w:rsidP="0091278B">
          <w:pPr>
            <w:ind w:left="720"/>
            <w:rPr>
              <w:rFonts w:ascii="Arial" w:hAnsi="Arial" w:cs="Arial"/>
            </w:rPr>
          </w:pPr>
          <w:r w:rsidRPr="006F2B3E">
            <w:rPr>
              <w:rFonts w:ascii="Arial" w:hAnsi="Arial" w:cs="Arial"/>
            </w:rPr>
            <w:t>2.7.1. Variables and Relationships</w:t>
          </w:r>
          <w:r>
            <w:rPr>
              <w:rFonts w:ascii="Arial" w:hAnsi="Arial" w:cs="Arial"/>
            </w:rPr>
            <w:t>……………………………………………….</w:t>
          </w:r>
          <w:r w:rsidR="005A7D57">
            <w:rPr>
              <w:rFonts w:ascii="Arial" w:hAnsi="Arial" w:cs="Arial"/>
            </w:rPr>
            <w:t>27</w:t>
          </w:r>
        </w:p>
        <w:p w14:paraId="63DFC48D" w14:textId="0161F912" w:rsidR="0091278B" w:rsidRDefault="0091278B" w:rsidP="0091278B">
          <w:pPr>
            <w:ind w:left="720"/>
            <w:rPr>
              <w:rFonts w:ascii="Arial" w:hAnsi="Arial" w:cs="Arial"/>
            </w:rPr>
          </w:pPr>
          <w:r w:rsidRPr="006F2B3E">
            <w:rPr>
              <w:rFonts w:ascii="Arial" w:hAnsi="Arial" w:cs="Arial"/>
            </w:rPr>
            <w:t>2.7.2. Predicted Behavioural Framework</w:t>
          </w:r>
          <w:r>
            <w:rPr>
              <w:rFonts w:ascii="Arial" w:hAnsi="Arial" w:cs="Arial"/>
            </w:rPr>
            <w:t>………………………………………..</w:t>
          </w:r>
          <w:r w:rsidR="005A7D57">
            <w:rPr>
              <w:rFonts w:ascii="Arial" w:hAnsi="Arial" w:cs="Arial"/>
            </w:rPr>
            <w:t>28</w:t>
          </w:r>
        </w:p>
        <w:p w14:paraId="1A843EA6" w14:textId="488085D5" w:rsidR="0091278B" w:rsidRDefault="0091278B" w:rsidP="0091278B">
          <w:pPr>
            <w:rPr>
              <w:rFonts w:ascii="Arial" w:hAnsi="Arial" w:cs="Arial"/>
            </w:rPr>
          </w:pPr>
          <w:r w:rsidRPr="006F2B3E">
            <w:rPr>
              <w:rFonts w:ascii="Arial" w:hAnsi="Arial" w:cs="Arial"/>
            </w:rPr>
            <w:t>2.8 Hypotheses</w:t>
          </w:r>
          <w:r>
            <w:rPr>
              <w:rFonts w:ascii="Arial" w:hAnsi="Arial" w:cs="Arial"/>
            </w:rPr>
            <w:t>…………………………………………………………………………….</w:t>
          </w:r>
          <w:r w:rsidR="005A7D57">
            <w:rPr>
              <w:rFonts w:ascii="Arial" w:hAnsi="Arial" w:cs="Arial"/>
            </w:rPr>
            <w:t>29</w:t>
          </w:r>
        </w:p>
        <w:p w14:paraId="5E642F95" w14:textId="7DBBB94F" w:rsidR="0091278B" w:rsidRDefault="0091278B" w:rsidP="0091278B">
          <w:pPr>
            <w:rPr>
              <w:rFonts w:ascii="Arial" w:hAnsi="Arial" w:cs="Arial"/>
              <w:b/>
              <w:bCs/>
            </w:rPr>
          </w:pPr>
          <w:r w:rsidRPr="006F2B3E">
            <w:rPr>
              <w:rFonts w:ascii="Arial" w:hAnsi="Arial" w:cs="Arial"/>
              <w:b/>
              <w:bCs/>
            </w:rPr>
            <w:t>CHAPTER THREE: Research Methodology…………………………………………</w:t>
          </w:r>
          <w:r>
            <w:rPr>
              <w:rFonts w:ascii="Arial" w:hAnsi="Arial" w:cs="Arial"/>
              <w:b/>
              <w:bCs/>
            </w:rPr>
            <w:t>.</w:t>
          </w:r>
          <w:r w:rsidR="005A7D57">
            <w:rPr>
              <w:rFonts w:ascii="Arial" w:hAnsi="Arial" w:cs="Arial"/>
              <w:b/>
              <w:bCs/>
            </w:rPr>
            <w:t>30</w:t>
          </w:r>
        </w:p>
        <w:p w14:paraId="448259B2" w14:textId="35629D46" w:rsidR="0091278B" w:rsidRDefault="0091278B" w:rsidP="0091278B">
          <w:pPr>
            <w:rPr>
              <w:rFonts w:ascii="Arial" w:hAnsi="Arial" w:cs="Arial"/>
            </w:rPr>
          </w:pPr>
          <w:r w:rsidRPr="006F2B3E">
            <w:rPr>
              <w:rFonts w:ascii="Arial" w:hAnsi="Arial" w:cs="Arial"/>
            </w:rPr>
            <w:t>3.1 Introduction to Methodology</w:t>
          </w:r>
          <w:r>
            <w:rPr>
              <w:rFonts w:ascii="Arial" w:hAnsi="Arial" w:cs="Arial"/>
            </w:rPr>
            <w:t>………………………………………………………….</w:t>
          </w:r>
          <w:r w:rsidR="0043741E">
            <w:rPr>
              <w:rFonts w:ascii="Arial" w:hAnsi="Arial" w:cs="Arial"/>
            </w:rPr>
            <w:t>30</w:t>
          </w:r>
        </w:p>
        <w:p w14:paraId="57B7D116" w14:textId="5CB7E955" w:rsidR="0091278B" w:rsidRDefault="0091278B" w:rsidP="0091278B">
          <w:pPr>
            <w:rPr>
              <w:rFonts w:ascii="Arial" w:hAnsi="Arial" w:cs="Arial"/>
            </w:rPr>
          </w:pPr>
          <w:r w:rsidRPr="006F2B3E">
            <w:rPr>
              <w:rFonts w:ascii="Arial" w:hAnsi="Arial" w:cs="Arial"/>
            </w:rPr>
            <w:t>3.2 Research Philosophy</w:t>
          </w:r>
          <w:r>
            <w:rPr>
              <w:rFonts w:ascii="Arial" w:hAnsi="Arial" w:cs="Arial"/>
            </w:rPr>
            <w:t>…………………………………………………………………</w:t>
          </w:r>
          <w:r w:rsidR="0043741E">
            <w:rPr>
              <w:rFonts w:ascii="Arial" w:hAnsi="Arial" w:cs="Arial"/>
            </w:rPr>
            <w:t>30</w:t>
          </w:r>
        </w:p>
        <w:p w14:paraId="41DD2783" w14:textId="1EC4C6AD" w:rsidR="0091278B" w:rsidRDefault="0091278B" w:rsidP="0091278B">
          <w:pPr>
            <w:rPr>
              <w:rFonts w:ascii="Arial" w:hAnsi="Arial" w:cs="Arial"/>
            </w:rPr>
          </w:pPr>
          <w:r w:rsidRPr="006F2B3E">
            <w:rPr>
              <w:rFonts w:ascii="Arial" w:hAnsi="Arial" w:cs="Arial"/>
            </w:rPr>
            <w:t>3.3 Research Approach</w:t>
          </w:r>
          <w:r>
            <w:rPr>
              <w:rFonts w:ascii="Arial" w:hAnsi="Arial" w:cs="Arial"/>
            </w:rPr>
            <w:t>…………………………………………………………………...</w:t>
          </w:r>
          <w:r w:rsidR="0043741E">
            <w:rPr>
              <w:rFonts w:ascii="Arial" w:hAnsi="Arial" w:cs="Arial"/>
            </w:rPr>
            <w:t>31</w:t>
          </w:r>
        </w:p>
        <w:p w14:paraId="5C41A35B" w14:textId="0746A90D" w:rsidR="0091278B" w:rsidRDefault="0091278B" w:rsidP="0091278B">
          <w:pPr>
            <w:rPr>
              <w:rFonts w:ascii="Arial" w:hAnsi="Arial" w:cs="Arial"/>
            </w:rPr>
          </w:pPr>
          <w:r w:rsidRPr="006F2B3E">
            <w:rPr>
              <w:rFonts w:ascii="Arial" w:hAnsi="Arial" w:cs="Arial"/>
            </w:rPr>
            <w:t>3.4 Research Strategy</w:t>
          </w:r>
          <w:r>
            <w:rPr>
              <w:rFonts w:ascii="Arial" w:hAnsi="Arial" w:cs="Arial"/>
            </w:rPr>
            <w:t>…………………………………………………………………….</w:t>
          </w:r>
          <w:r w:rsidR="0043741E">
            <w:rPr>
              <w:rFonts w:ascii="Arial" w:hAnsi="Arial" w:cs="Arial"/>
            </w:rPr>
            <w:t>32</w:t>
          </w:r>
        </w:p>
        <w:p w14:paraId="5D24C0EF" w14:textId="6EBC1FD5" w:rsidR="0091278B" w:rsidRDefault="0091278B" w:rsidP="0091278B">
          <w:pPr>
            <w:pStyle w:val="ListParagraph"/>
            <w:ind w:left="0"/>
            <w:rPr>
              <w:rFonts w:ascii="Arial" w:hAnsi="Arial" w:cs="Arial"/>
            </w:rPr>
          </w:pPr>
          <w:r w:rsidRPr="006F2B3E">
            <w:rPr>
              <w:rFonts w:ascii="Arial" w:hAnsi="Arial" w:cs="Arial"/>
            </w:rPr>
            <w:t>3.5 Data Collection</w:t>
          </w:r>
          <w:r>
            <w:rPr>
              <w:rFonts w:ascii="Arial" w:hAnsi="Arial" w:cs="Arial"/>
            </w:rPr>
            <w:t>………………………………………………………………………..</w:t>
          </w:r>
          <w:r w:rsidR="0043741E">
            <w:rPr>
              <w:rFonts w:ascii="Arial" w:hAnsi="Arial" w:cs="Arial"/>
            </w:rPr>
            <w:t>33</w:t>
          </w:r>
        </w:p>
        <w:p w14:paraId="660A79B9" w14:textId="3BAF11F1" w:rsidR="0091278B" w:rsidRDefault="0091278B" w:rsidP="0091278B">
          <w:pPr>
            <w:pStyle w:val="ListParagraph"/>
            <w:rPr>
              <w:rFonts w:ascii="Arial" w:hAnsi="Arial" w:cs="Arial"/>
            </w:rPr>
          </w:pPr>
          <w:r w:rsidRPr="006F2B3E">
            <w:rPr>
              <w:rFonts w:ascii="Arial" w:hAnsi="Arial" w:cs="Arial"/>
            </w:rPr>
            <w:t>3.5.1 Variable Selection and Organizing Data Connections</w:t>
          </w:r>
          <w:r>
            <w:rPr>
              <w:rFonts w:ascii="Arial" w:hAnsi="Arial" w:cs="Arial"/>
            </w:rPr>
            <w:t>………………….</w:t>
          </w:r>
          <w:r w:rsidR="0043741E">
            <w:rPr>
              <w:rFonts w:ascii="Arial" w:hAnsi="Arial" w:cs="Arial"/>
            </w:rPr>
            <w:t>33</w:t>
          </w:r>
        </w:p>
        <w:p w14:paraId="3AEC9370" w14:textId="4605DE7A" w:rsidR="0091278B" w:rsidRDefault="0091278B" w:rsidP="0091278B">
          <w:pPr>
            <w:pStyle w:val="ListParagraph"/>
            <w:rPr>
              <w:rFonts w:ascii="Arial" w:hAnsi="Arial" w:cs="Arial"/>
            </w:rPr>
          </w:pPr>
          <w:r w:rsidRPr="006F2B3E">
            <w:rPr>
              <w:rFonts w:ascii="Arial" w:hAnsi="Arial" w:cs="Arial"/>
            </w:rPr>
            <w:t>3.5.2 Data Type and Frequency</w:t>
          </w:r>
          <w:r>
            <w:rPr>
              <w:rFonts w:ascii="Arial" w:hAnsi="Arial" w:cs="Arial"/>
            </w:rPr>
            <w:t>…………………………………………………</w:t>
          </w:r>
          <w:r w:rsidR="0043741E">
            <w:rPr>
              <w:rFonts w:ascii="Arial" w:hAnsi="Arial" w:cs="Arial"/>
            </w:rPr>
            <w:t>34</w:t>
          </w:r>
        </w:p>
        <w:p w14:paraId="20E0F260" w14:textId="562629EA" w:rsidR="0091278B" w:rsidRDefault="0091278B" w:rsidP="0091278B">
          <w:pPr>
            <w:pStyle w:val="ListParagraph"/>
            <w:rPr>
              <w:rFonts w:ascii="Arial" w:hAnsi="Arial" w:cs="Arial"/>
            </w:rPr>
          </w:pPr>
          <w:r w:rsidRPr="00102453">
            <w:rPr>
              <w:rFonts w:ascii="Arial" w:hAnsi="Arial" w:cs="Arial"/>
            </w:rPr>
            <w:t>3.5.3 Data Preparation</w:t>
          </w:r>
          <w:r>
            <w:rPr>
              <w:rFonts w:ascii="Arial" w:hAnsi="Arial" w:cs="Arial"/>
            </w:rPr>
            <w:t>……………………………………………………………</w:t>
          </w:r>
          <w:r w:rsidR="0043741E">
            <w:rPr>
              <w:rFonts w:ascii="Arial" w:hAnsi="Arial" w:cs="Arial"/>
            </w:rPr>
            <w:t>34</w:t>
          </w:r>
        </w:p>
        <w:p w14:paraId="70BF19AD" w14:textId="71CE3C2A" w:rsidR="0091278B" w:rsidRDefault="0091278B" w:rsidP="0091278B">
          <w:pPr>
            <w:pStyle w:val="ListParagraph"/>
            <w:rPr>
              <w:rFonts w:ascii="Arial" w:eastAsiaTheme="minorEastAsia" w:hAnsi="Arial" w:cs="Arial"/>
            </w:rPr>
          </w:pPr>
          <w:r w:rsidRPr="00102453">
            <w:rPr>
              <w:rFonts w:ascii="Arial" w:eastAsiaTheme="minorEastAsia" w:hAnsi="Arial" w:cs="Arial"/>
            </w:rPr>
            <w:lastRenderedPageBreak/>
            <w:t>3.5.4 Interest Rate Cycle Classification</w:t>
          </w:r>
          <w:r>
            <w:rPr>
              <w:rFonts w:ascii="Arial" w:eastAsiaTheme="minorEastAsia" w:hAnsi="Arial" w:cs="Arial"/>
            </w:rPr>
            <w:t>…………………………………………</w:t>
          </w:r>
          <w:r w:rsidR="0043741E">
            <w:rPr>
              <w:rFonts w:ascii="Arial" w:eastAsiaTheme="minorEastAsia" w:hAnsi="Arial" w:cs="Arial"/>
            </w:rPr>
            <w:t>35</w:t>
          </w:r>
        </w:p>
        <w:p w14:paraId="6E48E2A7" w14:textId="70C7B276" w:rsidR="0091278B" w:rsidRDefault="0091278B" w:rsidP="0091278B">
          <w:pPr>
            <w:pStyle w:val="ListParagraph"/>
            <w:ind w:left="0"/>
            <w:rPr>
              <w:rFonts w:ascii="Arial" w:eastAsiaTheme="minorEastAsia" w:hAnsi="Arial" w:cs="Arial"/>
            </w:rPr>
          </w:pPr>
          <w:r w:rsidRPr="00102453">
            <w:rPr>
              <w:rFonts w:ascii="Arial" w:eastAsiaTheme="minorEastAsia" w:hAnsi="Arial" w:cs="Arial"/>
            </w:rPr>
            <w:t>3.6 Sampling Strategy</w:t>
          </w:r>
          <w:r>
            <w:rPr>
              <w:rFonts w:ascii="Arial" w:eastAsiaTheme="minorEastAsia" w:hAnsi="Arial" w:cs="Arial"/>
            </w:rPr>
            <w:t>…………………………………………………………………….</w:t>
          </w:r>
          <w:r w:rsidR="0043741E">
            <w:rPr>
              <w:rFonts w:ascii="Arial" w:eastAsiaTheme="minorEastAsia" w:hAnsi="Arial" w:cs="Arial"/>
            </w:rPr>
            <w:t>35</w:t>
          </w:r>
        </w:p>
        <w:p w14:paraId="7D2C1494" w14:textId="64DE3577" w:rsidR="0091278B" w:rsidRDefault="0091278B" w:rsidP="0091278B">
          <w:pPr>
            <w:pStyle w:val="ListParagraph"/>
            <w:ind w:left="0"/>
            <w:rPr>
              <w:rFonts w:ascii="Arial" w:hAnsi="Arial" w:cs="Arial"/>
            </w:rPr>
          </w:pPr>
          <w:r w:rsidRPr="00102453">
            <w:rPr>
              <w:rFonts w:ascii="Arial" w:hAnsi="Arial" w:cs="Arial"/>
            </w:rPr>
            <w:t>3.7 Reliability and Validity</w:t>
          </w:r>
          <w:r>
            <w:rPr>
              <w:rFonts w:ascii="Arial" w:hAnsi="Arial" w:cs="Arial"/>
            </w:rPr>
            <w:t>…………………………………………………………………</w:t>
          </w:r>
          <w:r w:rsidR="0043741E">
            <w:rPr>
              <w:rFonts w:ascii="Arial" w:hAnsi="Arial" w:cs="Arial"/>
            </w:rPr>
            <w:t>36</w:t>
          </w:r>
        </w:p>
        <w:p w14:paraId="1F1E71F8" w14:textId="748AD456" w:rsidR="0091278B" w:rsidRDefault="0091278B" w:rsidP="0091278B">
          <w:pPr>
            <w:ind w:left="720"/>
            <w:rPr>
              <w:rFonts w:ascii="Arial" w:hAnsi="Arial" w:cs="Arial"/>
            </w:rPr>
          </w:pPr>
          <w:r w:rsidRPr="00102453">
            <w:rPr>
              <w:rFonts w:ascii="Arial" w:hAnsi="Arial" w:cs="Arial"/>
            </w:rPr>
            <w:t>3.7.1 Research Reliability</w:t>
          </w:r>
          <w:r>
            <w:rPr>
              <w:rFonts w:ascii="Arial" w:hAnsi="Arial" w:cs="Arial"/>
            </w:rPr>
            <w:t>…………………………………………………………</w:t>
          </w:r>
          <w:r w:rsidR="0043741E">
            <w:rPr>
              <w:rFonts w:ascii="Arial" w:hAnsi="Arial" w:cs="Arial"/>
            </w:rPr>
            <w:t>36</w:t>
          </w:r>
        </w:p>
        <w:p w14:paraId="6E0708D7" w14:textId="7CCE9294" w:rsidR="0091278B" w:rsidRDefault="0091278B" w:rsidP="0091278B">
          <w:pPr>
            <w:rPr>
              <w:rFonts w:ascii="Arial" w:hAnsi="Arial" w:cs="Arial"/>
            </w:rPr>
          </w:pPr>
          <w:r>
            <w:rPr>
              <w:rFonts w:ascii="Arial" w:hAnsi="Arial" w:cs="Arial"/>
              <w:b/>
              <w:bCs/>
            </w:rPr>
            <w:t xml:space="preserve">           </w:t>
          </w:r>
          <w:r w:rsidRPr="00102453">
            <w:rPr>
              <w:rFonts w:ascii="Arial" w:hAnsi="Arial" w:cs="Arial"/>
            </w:rPr>
            <w:t>3.7.2 Research Validity</w:t>
          </w:r>
          <w:r>
            <w:rPr>
              <w:rFonts w:ascii="Arial" w:hAnsi="Arial" w:cs="Arial"/>
            </w:rPr>
            <w:t>……………………………………………………………</w:t>
          </w:r>
          <w:r w:rsidR="0043741E">
            <w:rPr>
              <w:rFonts w:ascii="Arial" w:hAnsi="Arial" w:cs="Arial"/>
            </w:rPr>
            <w:t>36</w:t>
          </w:r>
        </w:p>
        <w:p w14:paraId="1EEB0077" w14:textId="45E4E4BD" w:rsidR="0091278B" w:rsidRDefault="0091278B" w:rsidP="0091278B">
          <w:pPr>
            <w:rPr>
              <w:rFonts w:ascii="Arial" w:hAnsi="Arial" w:cs="Arial"/>
            </w:rPr>
          </w:pPr>
          <w:r w:rsidRPr="00102453">
            <w:rPr>
              <w:rFonts w:ascii="Arial" w:hAnsi="Arial" w:cs="Arial"/>
            </w:rPr>
            <w:t>3.8 Data Analysis Plan</w:t>
          </w:r>
          <w:r>
            <w:rPr>
              <w:rFonts w:ascii="Arial" w:hAnsi="Arial" w:cs="Arial"/>
            </w:rPr>
            <w:t>…………………………………………………………………….</w:t>
          </w:r>
          <w:r w:rsidR="0043741E">
            <w:rPr>
              <w:rFonts w:ascii="Arial" w:hAnsi="Arial" w:cs="Arial"/>
            </w:rPr>
            <w:t>36</w:t>
          </w:r>
        </w:p>
        <w:p w14:paraId="387D9F7C" w14:textId="22097B14" w:rsidR="0091278B" w:rsidRDefault="0091278B" w:rsidP="0091278B">
          <w:pPr>
            <w:ind w:left="720"/>
            <w:rPr>
              <w:rFonts w:ascii="Arial" w:hAnsi="Arial" w:cs="Arial"/>
            </w:rPr>
          </w:pPr>
          <w:r w:rsidRPr="00102453">
            <w:rPr>
              <w:rFonts w:ascii="Arial" w:hAnsi="Arial" w:cs="Arial"/>
            </w:rPr>
            <w:t>3.8.1 Correlation Analysis</w:t>
          </w:r>
          <w:r>
            <w:rPr>
              <w:rFonts w:ascii="Arial" w:hAnsi="Arial" w:cs="Arial"/>
            </w:rPr>
            <w:t>…………………………………………………………</w:t>
          </w:r>
          <w:r w:rsidR="0043741E">
            <w:rPr>
              <w:rFonts w:ascii="Arial" w:hAnsi="Arial" w:cs="Arial"/>
            </w:rPr>
            <w:t>37</w:t>
          </w:r>
        </w:p>
        <w:p w14:paraId="465C321C" w14:textId="12676F1E" w:rsidR="0091278B" w:rsidRPr="00102453" w:rsidRDefault="0091278B" w:rsidP="0091278B">
          <w:pPr>
            <w:ind w:left="720"/>
            <w:rPr>
              <w:rFonts w:ascii="Arial" w:hAnsi="Arial" w:cs="Arial"/>
            </w:rPr>
          </w:pPr>
          <w:r w:rsidRPr="00102453">
            <w:rPr>
              <w:rFonts w:ascii="Arial" w:hAnsi="Arial" w:cs="Arial"/>
            </w:rPr>
            <w:t>3.8.2 Regression Analysis</w:t>
          </w:r>
          <w:r>
            <w:rPr>
              <w:rFonts w:ascii="Arial" w:hAnsi="Arial" w:cs="Arial"/>
            </w:rPr>
            <w:t>………………………………………………………...</w:t>
          </w:r>
          <w:r w:rsidR="0043741E">
            <w:rPr>
              <w:rFonts w:ascii="Arial" w:hAnsi="Arial" w:cs="Arial"/>
            </w:rPr>
            <w:t>37</w:t>
          </w:r>
        </w:p>
        <w:p w14:paraId="59FB42BF" w14:textId="69E2B7B1" w:rsidR="0091278B" w:rsidRDefault="0091278B" w:rsidP="0091278B">
          <w:pPr>
            <w:rPr>
              <w:rFonts w:ascii="Arial" w:hAnsi="Arial" w:cs="Arial"/>
            </w:rPr>
          </w:pPr>
          <w:r w:rsidRPr="00102453">
            <w:rPr>
              <w:rFonts w:ascii="Arial" w:hAnsi="Arial" w:cs="Arial"/>
            </w:rPr>
            <w:t>3.9 Ethics &amp; Limitations</w:t>
          </w:r>
          <w:r>
            <w:rPr>
              <w:rFonts w:ascii="Arial" w:hAnsi="Arial" w:cs="Arial"/>
            </w:rPr>
            <w:t>……………………………………………………………………</w:t>
          </w:r>
          <w:r w:rsidR="0043741E">
            <w:rPr>
              <w:rFonts w:ascii="Arial" w:hAnsi="Arial" w:cs="Arial"/>
            </w:rPr>
            <w:t>37</w:t>
          </w:r>
        </w:p>
        <w:p w14:paraId="173C8CC7" w14:textId="29906C3A" w:rsidR="0091278B" w:rsidRDefault="0091278B" w:rsidP="0091278B">
          <w:pPr>
            <w:rPr>
              <w:rFonts w:ascii="Arial" w:hAnsi="Arial" w:cs="Arial"/>
              <w:b/>
              <w:bCs/>
            </w:rPr>
          </w:pPr>
          <w:r w:rsidRPr="00102453">
            <w:rPr>
              <w:rFonts w:ascii="Arial" w:hAnsi="Arial" w:cs="Arial"/>
              <w:b/>
              <w:bCs/>
            </w:rPr>
            <w:t>Chapter Four: Data Analysis and Findings</w:t>
          </w:r>
          <w:r>
            <w:rPr>
              <w:rFonts w:ascii="Arial" w:hAnsi="Arial" w:cs="Arial"/>
              <w:b/>
              <w:bCs/>
            </w:rPr>
            <w:t>…………………………………………..</w:t>
          </w:r>
          <w:r w:rsidR="0043741E">
            <w:rPr>
              <w:rFonts w:ascii="Arial" w:hAnsi="Arial" w:cs="Arial"/>
              <w:b/>
              <w:bCs/>
            </w:rPr>
            <w:t>39</w:t>
          </w:r>
        </w:p>
        <w:p w14:paraId="08F17DA5" w14:textId="275B6DD9" w:rsidR="0091278B" w:rsidRDefault="0091278B" w:rsidP="0091278B">
          <w:pPr>
            <w:rPr>
              <w:rFonts w:ascii="Arial" w:hAnsi="Arial" w:cs="Arial"/>
            </w:rPr>
          </w:pPr>
          <w:r w:rsidRPr="00102453">
            <w:rPr>
              <w:rFonts w:ascii="Arial" w:hAnsi="Arial" w:cs="Arial"/>
            </w:rPr>
            <w:t>4.1 Introduction to Data Analysis</w:t>
          </w:r>
          <w:r>
            <w:rPr>
              <w:rFonts w:ascii="Arial" w:hAnsi="Arial" w:cs="Arial"/>
            </w:rPr>
            <w:t>…………………………………………………………</w:t>
          </w:r>
          <w:r w:rsidR="0043741E">
            <w:rPr>
              <w:rFonts w:ascii="Arial" w:hAnsi="Arial" w:cs="Arial"/>
            </w:rPr>
            <w:t>39</w:t>
          </w:r>
        </w:p>
        <w:p w14:paraId="336DE421" w14:textId="12EABD09" w:rsidR="0091278B" w:rsidRDefault="0091278B" w:rsidP="0091278B">
          <w:pPr>
            <w:rPr>
              <w:rFonts w:ascii="Arial" w:hAnsi="Arial" w:cs="Arial"/>
            </w:rPr>
          </w:pPr>
          <w:r w:rsidRPr="00102453">
            <w:rPr>
              <w:rFonts w:ascii="Arial" w:hAnsi="Arial" w:cs="Arial"/>
            </w:rPr>
            <w:t>4.2 Description of Dataset and Variables</w:t>
          </w:r>
          <w:r>
            <w:rPr>
              <w:rFonts w:ascii="Arial" w:hAnsi="Arial" w:cs="Arial"/>
            </w:rPr>
            <w:t>………………………………………………..</w:t>
          </w:r>
          <w:r w:rsidR="0043741E">
            <w:rPr>
              <w:rFonts w:ascii="Arial" w:hAnsi="Arial" w:cs="Arial"/>
            </w:rPr>
            <w:t>40</w:t>
          </w:r>
        </w:p>
        <w:p w14:paraId="19D5A0E1" w14:textId="5CEAD092" w:rsidR="0091278B" w:rsidRDefault="0091278B" w:rsidP="0091278B">
          <w:pPr>
            <w:ind w:left="720"/>
            <w:rPr>
              <w:rFonts w:ascii="Arial" w:hAnsi="Arial" w:cs="Arial"/>
            </w:rPr>
          </w:pPr>
          <w:r w:rsidRPr="00F84ADB">
            <w:rPr>
              <w:rFonts w:ascii="Arial" w:hAnsi="Arial" w:cs="Arial"/>
            </w:rPr>
            <w:t>4.2.1 Data Source</w:t>
          </w:r>
          <w:r>
            <w:rPr>
              <w:rFonts w:ascii="Arial" w:hAnsi="Arial" w:cs="Arial"/>
            </w:rPr>
            <w:t>………………………………………………………………….</w:t>
          </w:r>
          <w:r w:rsidR="0043741E">
            <w:rPr>
              <w:rFonts w:ascii="Arial" w:hAnsi="Arial" w:cs="Arial"/>
            </w:rPr>
            <w:t>40</w:t>
          </w:r>
        </w:p>
        <w:p w14:paraId="338997E1" w14:textId="399DA66C" w:rsidR="0091278B" w:rsidRDefault="0091278B" w:rsidP="0091278B">
          <w:pPr>
            <w:ind w:left="720"/>
            <w:rPr>
              <w:rFonts w:ascii="Arial" w:hAnsi="Arial" w:cs="Arial"/>
            </w:rPr>
          </w:pPr>
          <w:r w:rsidRPr="00F84ADB">
            <w:rPr>
              <w:rFonts w:ascii="Arial" w:hAnsi="Arial" w:cs="Arial"/>
            </w:rPr>
            <w:t>4.2.2 Time Period and Frequency</w:t>
          </w:r>
          <w:r>
            <w:rPr>
              <w:rFonts w:ascii="Arial" w:hAnsi="Arial" w:cs="Arial"/>
            </w:rPr>
            <w:t>………………………………………………..</w:t>
          </w:r>
          <w:r w:rsidR="0043741E">
            <w:rPr>
              <w:rFonts w:ascii="Arial" w:hAnsi="Arial" w:cs="Arial"/>
            </w:rPr>
            <w:t>40</w:t>
          </w:r>
        </w:p>
        <w:p w14:paraId="409458CC" w14:textId="23421351" w:rsidR="0091278B" w:rsidRDefault="0091278B" w:rsidP="0091278B">
          <w:pPr>
            <w:ind w:left="720"/>
            <w:rPr>
              <w:rFonts w:ascii="Arial" w:hAnsi="Arial" w:cs="Arial"/>
            </w:rPr>
          </w:pPr>
          <w:r w:rsidRPr="00F84ADB">
            <w:rPr>
              <w:rFonts w:ascii="Arial" w:hAnsi="Arial" w:cs="Arial"/>
            </w:rPr>
            <w:t>4.2.3 Variables Descriptions</w:t>
          </w:r>
          <w:r>
            <w:rPr>
              <w:rFonts w:ascii="Arial" w:hAnsi="Arial" w:cs="Arial"/>
            </w:rPr>
            <w:t>………………………………………………………</w:t>
          </w:r>
          <w:r w:rsidR="0043741E">
            <w:rPr>
              <w:rFonts w:ascii="Arial" w:hAnsi="Arial" w:cs="Arial"/>
            </w:rPr>
            <w:t>41</w:t>
          </w:r>
        </w:p>
        <w:p w14:paraId="161F5D95" w14:textId="1C7A6A05" w:rsidR="0091278B" w:rsidRDefault="0091278B" w:rsidP="0091278B">
          <w:pPr>
            <w:rPr>
              <w:rFonts w:ascii="Arial" w:hAnsi="Arial" w:cs="Arial"/>
            </w:rPr>
          </w:pPr>
          <w:r w:rsidRPr="00F84ADB">
            <w:rPr>
              <w:rFonts w:ascii="Arial" w:hAnsi="Arial" w:cs="Arial"/>
            </w:rPr>
            <w:t>4.3 Data Refinement</w:t>
          </w:r>
          <w:r>
            <w:rPr>
              <w:rFonts w:ascii="Arial" w:hAnsi="Arial" w:cs="Arial"/>
            </w:rPr>
            <w:t>……………………………………………………………………….</w:t>
          </w:r>
          <w:r w:rsidR="0043741E">
            <w:rPr>
              <w:rFonts w:ascii="Arial" w:hAnsi="Arial" w:cs="Arial"/>
            </w:rPr>
            <w:t>41</w:t>
          </w:r>
        </w:p>
        <w:p w14:paraId="4C55DDF1" w14:textId="34CF8EAD" w:rsidR="0091278B" w:rsidRDefault="0091278B" w:rsidP="0091278B">
          <w:pPr>
            <w:rPr>
              <w:rFonts w:ascii="Arial" w:hAnsi="Arial" w:cs="Arial"/>
            </w:rPr>
          </w:pPr>
          <w:r w:rsidRPr="00F84ADB">
            <w:rPr>
              <w:rFonts w:ascii="Arial" w:hAnsi="Arial" w:cs="Arial"/>
            </w:rPr>
            <w:t>4.4 Identification of Rising and Falling Interest Rate Periods</w:t>
          </w:r>
          <w:r>
            <w:rPr>
              <w:rFonts w:ascii="Arial" w:hAnsi="Arial" w:cs="Arial"/>
            </w:rPr>
            <w:t>…………………………</w:t>
          </w:r>
          <w:r w:rsidR="0043741E">
            <w:rPr>
              <w:rFonts w:ascii="Arial" w:hAnsi="Arial" w:cs="Arial"/>
            </w:rPr>
            <w:t>42</w:t>
          </w:r>
        </w:p>
        <w:p w14:paraId="153044F7" w14:textId="4EBA7854" w:rsidR="0091278B" w:rsidRDefault="0091278B" w:rsidP="0091278B">
          <w:pPr>
            <w:rPr>
              <w:rFonts w:ascii="Arial" w:hAnsi="Arial" w:cs="Arial"/>
            </w:rPr>
          </w:pPr>
          <w:r w:rsidRPr="00F84ADB">
            <w:rPr>
              <w:rFonts w:ascii="Arial" w:hAnsi="Arial" w:cs="Arial"/>
            </w:rPr>
            <w:t>4.5 Descriptive Statistical Analysis</w:t>
          </w:r>
          <w:r>
            <w:rPr>
              <w:rFonts w:ascii="Arial" w:hAnsi="Arial" w:cs="Arial"/>
            </w:rPr>
            <w:t>……………………………………………………….</w:t>
          </w:r>
          <w:r w:rsidR="0043741E">
            <w:rPr>
              <w:rFonts w:ascii="Arial" w:hAnsi="Arial" w:cs="Arial"/>
            </w:rPr>
            <w:t>42</w:t>
          </w:r>
        </w:p>
        <w:p w14:paraId="77D2661C" w14:textId="53EE2C58" w:rsidR="0091278B" w:rsidRDefault="0091278B" w:rsidP="0091278B">
          <w:pPr>
            <w:ind w:left="720"/>
            <w:rPr>
              <w:rFonts w:ascii="Arial" w:hAnsi="Arial" w:cs="Arial"/>
            </w:rPr>
          </w:pPr>
          <w:r w:rsidRPr="00F84ADB">
            <w:rPr>
              <w:rFonts w:ascii="Arial" w:hAnsi="Arial" w:cs="Arial"/>
            </w:rPr>
            <w:t>4.5.1 Gold Return Analysis</w:t>
          </w:r>
          <w:r>
            <w:rPr>
              <w:rFonts w:ascii="Arial" w:hAnsi="Arial" w:cs="Arial"/>
            </w:rPr>
            <w:t>………………………………………………………..</w:t>
          </w:r>
          <w:r w:rsidR="0043741E">
            <w:rPr>
              <w:rFonts w:ascii="Arial" w:hAnsi="Arial" w:cs="Arial"/>
            </w:rPr>
            <w:t>43</w:t>
          </w:r>
        </w:p>
        <w:p w14:paraId="5DA42AB8" w14:textId="2C4BB953" w:rsidR="0091278B" w:rsidRDefault="0091278B" w:rsidP="0091278B">
          <w:pPr>
            <w:ind w:left="720"/>
            <w:rPr>
              <w:rFonts w:ascii="Arial" w:hAnsi="Arial" w:cs="Arial"/>
            </w:rPr>
          </w:pPr>
          <w:r w:rsidRPr="00F84ADB">
            <w:rPr>
              <w:rFonts w:ascii="Arial" w:hAnsi="Arial" w:cs="Arial"/>
            </w:rPr>
            <w:t>4.5.2 Equity Return Analysis</w:t>
          </w:r>
          <w:r>
            <w:rPr>
              <w:rFonts w:ascii="Arial" w:hAnsi="Arial" w:cs="Arial"/>
            </w:rPr>
            <w:t>……………………………………………………...</w:t>
          </w:r>
          <w:r w:rsidR="0043741E">
            <w:rPr>
              <w:rFonts w:ascii="Arial" w:hAnsi="Arial" w:cs="Arial"/>
            </w:rPr>
            <w:t>43</w:t>
          </w:r>
        </w:p>
        <w:p w14:paraId="7E07BA12" w14:textId="2C498615" w:rsidR="0091278B" w:rsidRDefault="0091278B" w:rsidP="0091278B">
          <w:pPr>
            <w:ind w:left="720"/>
            <w:rPr>
              <w:rFonts w:ascii="Arial" w:hAnsi="Arial" w:cs="Arial"/>
            </w:rPr>
          </w:pPr>
          <w:r w:rsidRPr="00F84ADB">
            <w:rPr>
              <w:rFonts w:ascii="Arial" w:hAnsi="Arial" w:cs="Arial"/>
            </w:rPr>
            <w:t>4.5.3 Interest Rate Behaviour Analysis</w:t>
          </w:r>
          <w:r>
            <w:rPr>
              <w:rFonts w:ascii="Arial" w:hAnsi="Arial" w:cs="Arial"/>
            </w:rPr>
            <w:t>………………………………………….</w:t>
          </w:r>
          <w:r w:rsidR="0043741E">
            <w:rPr>
              <w:rFonts w:ascii="Arial" w:hAnsi="Arial" w:cs="Arial"/>
            </w:rPr>
            <w:t>44</w:t>
          </w:r>
        </w:p>
        <w:p w14:paraId="097A2D98" w14:textId="67AFCD19" w:rsidR="0091278B" w:rsidRDefault="0091278B" w:rsidP="0091278B">
          <w:pPr>
            <w:ind w:left="720"/>
            <w:rPr>
              <w:rFonts w:ascii="Arial" w:hAnsi="Arial" w:cs="Arial"/>
            </w:rPr>
          </w:pPr>
          <w:r w:rsidRPr="00F84ADB">
            <w:rPr>
              <w:rFonts w:ascii="Arial" w:hAnsi="Arial" w:cs="Arial"/>
            </w:rPr>
            <w:t>4.5.4 Observations</w:t>
          </w:r>
          <w:r>
            <w:rPr>
              <w:rFonts w:ascii="Arial" w:hAnsi="Arial" w:cs="Arial"/>
            </w:rPr>
            <w:t>…………………………………………………………………</w:t>
          </w:r>
          <w:r w:rsidR="0043741E">
            <w:rPr>
              <w:rFonts w:ascii="Arial" w:hAnsi="Arial" w:cs="Arial"/>
            </w:rPr>
            <w:t>44</w:t>
          </w:r>
        </w:p>
        <w:p w14:paraId="2F33C6CF" w14:textId="21FFFF05" w:rsidR="0091278B" w:rsidRDefault="0091278B" w:rsidP="0091278B">
          <w:pPr>
            <w:rPr>
              <w:rFonts w:ascii="Arial" w:hAnsi="Arial" w:cs="Arial"/>
            </w:rPr>
          </w:pPr>
          <w:r w:rsidRPr="00F84ADB">
            <w:rPr>
              <w:rFonts w:ascii="Arial" w:hAnsi="Arial" w:cs="Arial"/>
            </w:rPr>
            <w:t>4.6 Correlation Analysis</w:t>
          </w:r>
          <w:r>
            <w:rPr>
              <w:rFonts w:ascii="Arial" w:hAnsi="Arial" w:cs="Arial"/>
            </w:rPr>
            <w:t>…………………………………………………………………...</w:t>
          </w:r>
          <w:r w:rsidR="0043741E">
            <w:rPr>
              <w:rFonts w:ascii="Arial" w:hAnsi="Arial" w:cs="Arial"/>
            </w:rPr>
            <w:t>44</w:t>
          </w:r>
        </w:p>
        <w:p w14:paraId="705EBB94" w14:textId="7D551983" w:rsidR="0091278B" w:rsidRDefault="0091278B" w:rsidP="0091278B">
          <w:pPr>
            <w:ind w:left="720"/>
            <w:rPr>
              <w:rFonts w:ascii="Arial" w:hAnsi="Arial" w:cs="Arial"/>
            </w:rPr>
          </w:pPr>
          <w:r w:rsidRPr="00F84ADB">
            <w:rPr>
              <w:rFonts w:ascii="Arial" w:hAnsi="Arial" w:cs="Arial"/>
            </w:rPr>
            <w:t>4.6.1 Methodology of Correlation Analysis</w:t>
          </w:r>
          <w:r>
            <w:rPr>
              <w:rFonts w:ascii="Arial" w:hAnsi="Arial" w:cs="Arial"/>
            </w:rPr>
            <w:t>………………………………………</w:t>
          </w:r>
          <w:r w:rsidR="0043741E">
            <w:rPr>
              <w:rFonts w:ascii="Arial" w:hAnsi="Arial" w:cs="Arial"/>
            </w:rPr>
            <w:t>44</w:t>
          </w:r>
        </w:p>
        <w:p w14:paraId="7D4F086F" w14:textId="3F34BDA6" w:rsidR="0091278B" w:rsidRDefault="0091278B" w:rsidP="0091278B">
          <w:pPr>
            <w:ind w:left="720"/>
            <w:rPr>
              <w:rFonts w:ascii="Arial" w:hAnsi="Arial" w:cs="Arial"/>
            </w:rPr>
          </w:pPr>
          <w:r w:rsidRPr="00F84ADB">
            <w:rPr>
              <w:rFonts w:ascii="Arial" w:hAnsi="Arial" w:cs="Arial"/>
            </w:rPr>
            <w:t>4.6.2 Full- Period Correlation Analysis</w:t>
          </w:r>
          <w:r>
            <w:rPr>
              <w:rFonts w:ascii="Arial" w:hAnsi="Arial" w:cs="Arial"/>
            </w:rPr>
            <w:t>…………………………………………..</w:t>
          </w:r>
          <w:r w:rsidR="0043741E">
            <w:rPr>
              <w:rFonts w:ascii="Arial" w:hAnsi="Arial" w:cs="Arial"/>
            </w:rPr>
            <w:t>45</w:t>
          </w:r>
        </w:p>
        <w:p w14:paraId="5C038B46" w14:textId="59BA91A5" w:rsidR="0091278B" w:rsidRDefault="0091278B" w:rsidP="0091278B">
          <w:pPr>
            <w:ind w:left="720"/>
            <w:rPr>
              <w:rFonts w:ascii="Arial" w:hAnsi="Arial" w:cs="Arial"/>
            </w:rPr>
          </w:pPr>
          <w:r w:rsidRPr="00F84ADB">
            <w:rPr>
              <w:rFonts w:ascii="Arial" w:hAnsi="Arial" w:cs="Arial"/>
            </w:rPr>
            <w:lastRenderedPageBreak/>
            <w:t>4.6.3 Correlation During Rising Rate Periods</w:t>
          </w:r>
          <w:r>
            <w:rPr>
              <w:rFonts w:ascii="Arial" w:hAnsi="Arial" w:cs="Arial"/>
            </w:rPr>
            <w:t>…………………………………</w:t>
          </w:r>
          <w:r w:rsidR="0043741E">
            <w:rPr>
              <w:rFonts w:ascii="Arial" w:hAnsi="Arial" w:cs="Arial"/>
            </w:rPr>
            <w:t>...46</w:t>
          </w:r>
        </w:p>
        <w:p w14:paraId="0F02ED80" w14:textId="71082813" w:rsidR="0091278B" w:rsidRDefault="0091278B" w:rsidP="0091278B">
          <w:pPr>
            <w:ind w:left="720"/>
            <w:rPr>
              <w:rFonts w:ascii="Arial" w:hAnsi="Arial" w:cs="Arial"/>
            </w:rPr>
          </w:pPr>
          <w:r w:rsidRPr="00F84ADB">
            <w:rPr>
              <w:rFonts w:ascii="Arial" w:hAnsi="Arial" w:cs="Arial"/>
            </w:rPr>
            <w:t>4.6.4 Correlation During Falling Rate Periods</w:t>
          </w:r>
          <w:r>
            <w:rPr>
              <w:rFonts w:ascii="Arial" w:hAnsi="Arial" w:cs="Arial"/>
            </w:rPr>
            <w:t>…………………………………..</w:t>
          </w:r>
          <w:r w:rsidR="0043741E">
            <w:rPr>
              <w:rFonts w:ascii="Arial" w:hAnsi="Arial" w:cs="Arial"/>
            </w:rPr>
            <w:t>46</w:t>
          </w:r>
        </w:p>
        <w:p w14:paraId="15C43DB6" w14:textId="24803B79" w:rsidR="0043741E" w:rsidRDefault="0091278B" w:rsidP="0043741E">
          <w:pPr>
            <w:ind w:left="720"/>
            <w:rPr>
              <w:rFonts w:ascii="Arial" w:hAnsi="Arial" w:cs="Arial"/>
            </w:rPr>
          </w:pPr>
          <w:r w:rsidRPr="00F84ADB">
            <w:rPr>
              <w:rFonts w:ascii="Arial" w:hAnsi="Arial" w:cs="Arial"/>
            </w:rPr>
            <w:t>4.6.5 Hedge and Safe Haven Asset Analysis</w:t>
          </w:r>
          <w:r>
            <w:rPr>
              <w:rFonts w:ascii="Arial" w:hAnsi="Arial" w:cs="Arial"/>
            </w:rPr>
            <w:t>…………………………………...</w:t>
          </w:r>
          <w:r w:rsidR="0043741E">
            <w:rPr>
              <w:rFonts w:ascii="Arial" w:hAnsi="Arial" w:cs="Arial"/>
            </w:rPr>
            <w:t>47</w:t>
          </w:r>
        </w:p>
        <w:p w14:paraId="76FEF427" w14:textId="7273034C" w:rsidR="0091278B" w:rsidRDefault="0091278B" w:rsidP="0091278B">
          <w:pPr>
            <w:rPr>
              <w:rFonts w:ascii="Arial" w:hAnsi="Arial" w:cs="Arial"/>
            </w:rPr>
          </w:pPr>
          <w:r w:rsidRPr="00F84ADB">
            <w:rPr>
              <w:rFonts w:ascii="Arial" w:hAnsi="Arial" w:cs="Arial"/>
            </w:rPr>
            <w:t>4.7 Regression Analysis</w:t>
          </w:r>
          <w:r>
            <w:rPr>
              <w:rFonts w:ascii="Arial" w:hAnsi="Arial" w:cs="Arial"/>
            </w:rPr>
            <w:t>…………………………………………………………………..</w:t>
          </w:r>
          <w:r w:rsidR="0043741E">
            <w:rPr>
              <w:rFonts w:ascii="Arial" w:hAnsi="Arial" w:cs="Arial"/>
            </w:rPr>
            <w:t>47</w:t>
          </w:r>
        </w:p>
        <w:p w14:paraId="2DE971E2" w14:textId="63AF9EAD" w:rsidR="0091278B" w:rsidRDefault="0091278B" w:rsidP="0091278B">
          <w:pPr>
            <w:ind w:left="720"/>
            <w:rPr>
              <w:rFonts w:ascii="Arial" w:hAnsi="Arial" w:cs="Arial"/>
            </w:rPr>
          </w:pPr>
          <w:r w:rsidRPr="00F84ADB">
            <w:rPr>
              <w:rFonts w:ascii="Arial" w:hAnsi="Arial" w:cs="Arial"/>
            </w:rPr>
            <w:t>4.7.1 Regression Output</w:t>
          </w:r>
          <w:r>
            <w:rPr>
              <w:rFonts w:ascii="Arial" w:hAnsi="Arial" w:cs="Arial"/>
            </w:rPr>
            <w:t>………………………………………………………….</w:t>
          </w:r>
          <w:r w:rsidR="0043741E">
            <w:rPr>
              <w:rFonts w:ascii="Arial" w:hAnsi="Arial" w:cs="Arial"/>
            </w:rPr>
            <w:t>48</w:t>
          </w:r>
        </w:p>
        <w:p w14:paraId="6FC2AC5D" w14:textId="0365329E" w:rsidR="0091278B" w:rsidRDefault="0091278B" w:rsidP="0091278B">
          <w:pPr>
            <w:ind w:left="720"/>
            <w:rPr>
              <w:rFonts w:ascii="Arial" w:hAnsi="Arial" w:cs="Arial"/>
            </w:rPr>
          </w:pPr>
          <w:r w:rsidRPr="00F84ADB">
            <w:rPr>
              <w:rFonts w:ascii="Arial" w:hAnsi="Arial" w:cs="Arial"/>
            </w:rPr>
            <w:t>4.7.2 Hypothesis Testing</w:t>
          </w:r>
          <w:r>
            <w:rPr>
              <w:rFonts w:ascii="Arial" w:hAnsi="Arial" w:cs="Arial"/>
            </w:rPr>
            <w:t>………………………………………………………….</w:t>
          </w:r>
          <w:r w:rsidR="0043741E">
            <w:rPr>
              <w:rFonts w:ascii="Arial" w:hAnsi="Arial" w:cs="Arial"/>
            </w:rPr>
            <w:t>49</w:t>
          </w:r>
        </w:p>
        <w:p w14:paraId="1A5B4DA5" w14:textId="60CE99B2" w:rsidR="0091278B" w:rsidRDefault="0091278B" w:rsidP="0091278B">
          <w:pPr>
            <w:ind w:left="720"/>
            <w:rPr>
              <w:rFonts w:ascii="Arial" w:hAnsi="Arial" w:cs="Arial"/>
            </w:rPr>
          </w:pPr>
          <w:r w:rsidRPr="00F84ADB">
            <w:rPr>
              <w:rFonts w:ascii="Arial" w:hAnsi="Arial" w:cs="Arial"/>
            </w:rPr>
            <w:t>4.7.3 Model Validity</w:t>
          </w:r>
          <w:r>
            <w:rPr>
              <w:rFonts w:ascii="Arial" w:hAnsi="Arial" w:cs="Arial"/>
            </w:rPr>
            <w:t>………………………………………………………………..</w:t>
          </w:r>
          <w:r w:rsidR="0043741E">
            <w:rPr>
              <w:rFonts w:ascii="Arial" w:hAnsi="Arial" w:cs="Arial"/>
            </w:rPr>
            <w:t>50</w:t>
          </w:r>
        </w:p>
        <w:p w14:paraId="3BBE6F1C" w14:textId="52D299A7" w:rsidR="0091278B" w:rsidRDefault="0091278B" w:rsidP="0091278B">
          <w:pPr>
            <w:rPr>
              <w:rFonts w:ascii="Arial" w:hAnsi="Arial" w:cs="Arial"/>
            </w:rPr>
          </w:pPr>
          <w:r w:rsidRPr="00F84ADB">
            <w:rPr>
              <w:rFonts w:ascii="Arial" w:hAnsi="Arial" w:cs="Arial"/>
            </w:rPr>
            <w:t>4.8 Summary of Findings</w:t>
          </w:r>
          <w:r>
            <w:rPr>
              <w:rFonts w:ascii="Arial" w:hAnsi="Arial" w:cs="Arial"/>
            </w:rPr>
            <w:t>…………………………………………………………………</w:t>
          </w:r>
          <w:r w:rsidR="0043741E">
            <w:rPr>
              <w:rFonts w:ascii="Arial" w:hAnsi="Arial" w:cs="Arial"/>
            </w:rPr>
            <w:t>51</w:t>
          </w:r>
        </w:p>
        <w:p w14:paraId="13B9598B" w14:textId="623692E6" w:rsidR="0091278B" w:rsidRDefault="0091278B" w:rsidP="0091278B">
          <w:pPr>
            <w:rPr>
              <w:rFonts w:ascii="Arial" w:hAnsi="Arial" w:cs="Arial"/>
              <w:b/>
              <w:bCs/>
            </w:rPr>
          </w:pPr>
          <w:r w:rsidRPr="00F84ADB">
            <w:rPr>
              <w:rFonts w:ascii="Arial" w:hAnsi="Arial" w:cs="Arial"/>
              <w:b/>
              <w:bCs/>
            </w:rPr>
            <w:t>Chapter Five: Discussion and Conclusion</w:t>
          </w:r>
          <w:r>
            <w:rPr>
              <w:rFonts w:ascii="Arial" w:hAnsi="Arial" w:cs="Arial"/>
              <w:b/>
              <w:bCs/>
            </w:rPr>
            <w:t>………………………………………….</w:t>
          </w:r>
          <w:r w:rsidR="0043741E">
            <w:rPr>
              <w:rFonts w:ascii="Arial" w:hAnsi="Arial" w:cs="Arial"/>
              <w:b/>
              <w:bCs/>
            </w:rPr>
            <w:t>52</w:t>
          </w:r>
        </w:p>
        <w:p w14:paraId="48ACF134" w14:textId="2ACA661F" w:rsidR="0091278B" w:rsidRDefault="0091278B" w:rsidP="0091278B">
          <w:pPr>
            <w:rPr>
              <w:rFonts w:ascii="Arial" w:hAnsi="Arial" w:cs="Arial"/>
            </w:rPr>
          </w:pPr>
          <w:r w:rsidRPr="00F84ADB">
            <w:rPr>
              <w:rFonts w:ascii="Arial" w:hAnsi="Arial" w:cs="Arial"/>
            </w:rPr>
            <w:t>5.1 Introduction to the Discussion</w:t>
          </w:r>
          <w:r>
            <w:rPr>
              <w:rFonts w:ascii="Arial" w:hAnsi="Arial" w:cs="Arial"/>
            </w:rPr>
            <w:t>………………………………………………………..</w:t>
          </w:r>
          <w:r w:rsidR="0043741E">
            <w:rPr>
              <w:rFonts w:ascii="Arial" w:hAnsi="Arial" w:cs="Arial"/>
            </w:rPr>
            <w:t>52</w:t>
          </w:r>
        </w:p>
        <w:p w14:paraId="2DAE2B36" w14:textId="18419469" w:rsidR="0091278B" w:rsidRDefault="0091278B" w:rsidP="0091278B">
          <w:pPr>
            <w:rPr>
              <w:rFonts w:ascii="Arial" w:hAnsi="Arial" w:cs="Arial"/>
            </w:rPr>
          </w:pPr>
          <w:r w:rsidRPr="00F84ADB">
            <w:rPr>
              <w:rFonts w:ascii="Arial" w:hAnsi="Arial" w:cs="Arial"/>
            </w:rPr>
            <w:t>5.2 Interpretation of Findings</w:t>
          </w:r>
          <w:r>
            <w:rPr>
              <w:rFonts w:ascii="Arial" w:hAnsi="Arial" w:cs="Arial"/>
            </w:rPr>
            <w:t>……………………………………………………………..</w:t>
          </w:r>
          <w:r w:rsidR="0043741E">
            <w:rPr>
              <w:rFonts w:ascii="Arial" w:hAnsi="Arial" w:cs="Arial"/>
            </w:rPr>
            <w:t>52</w:t>
          </w:r>
        </w:p>
        <w:p w14:paraId="0DBC8FDC" w14:textId="632717C5" w:rsidR="0091278B" w:rsidRPr="00F84ADB" w:rsidRDefault="0091278B" w:rsidP="0091278B">
          <w:pPr>
            <w:ind w:left="720"/>
            <w:rPr>
              <w:rFonts w:ascii="Arial" w:hAnsi="Arial" w:cs="Arial"/>
            </w:rPr>
          </w:pPr>
          <w:r w:rsidRPr="00F84ADB">
            <w:rPr>
              <w:rFonts w:ascii="Arial" w:hAnsi="Arial" w:cs="Arial"/>
            </w:rPr>
            <w:t>5.2.1 Gold shines When Interest Rates Decline</w:t>
          </w:r>
          <w:r>
            <w:rPr>
              <w:rFonts w:ascii="Arial" w:hAnsi="Arial" w:cs="Arial"/>
            </w:rPr>
            <w:t>………………………………..</w:t>
          </w:r>
          <w:r w:rsidR="0043741E">
            <w:rPr>
              <w:rFonts w:ascii="Arial" w:hAnsi="Arial" w:cs="Arial"/>
            </w:rPr>
            <w:t>53</w:t>
          </w:r>
        </w:p>
        <w:p w14:paraId="15E7AB37" w14:textId="6CA4B545" w:rsidR="0091278B" w:rsidRDefault="0091278B" w:rsidP="0091278B">
          <w:pPr>
            <w:ind w:left="720"/>
            <w:rPr>
              <w:rFonts w:ascii="Arial" w:hAnsi="Arial" w:cs="Arial"/>
            </w:rPr>
          </w:pPr>
          <w:r w:rsidRPr="00F84ADB">
            <w:rPr>
              <w:rFonts w:ascii="Arial" w:hAnsi="Arial" w:cs="Arial"/>
            </w:rPr>
            <w:t>5.2.2 The significance of the Correlation</w:t>
          </w:r>
          <w:r>
            <w:rPr>
              <w:rFonts w:ascii="Arial" w:hAnsi="Arial" w:cs="Arial"/>
            </w:rPr>
            <w:t>………………………………………..</w:t>
          </w:r>
          <w:r w:rsidR="0043741E">
            <w:rPr>
              <w:rFonts w:ascii="Arial" w:hAnsi="Arial" w:cs="Arial"/>
            </w:rPr>
            <w:t>53</w:t>
          </w:r>
        </w:p>
        <w:p w14:paraId="73A00A9C" w14:textId="03887357" w:rsidR="0091278B" w:rsidRDefault="0091278B" w:rsidP="0091278B">
          <w:pPr>
            <w:ind w:left="720"/>
            <w:rPr>
              <w:rFonts w:ascii="Arial" w:hAnsi="Arial" w:cs="Arial"/>
            </w:rPr>
          </w:pPr>
          <w:r w:rsidRPr="00F84ADB">
            <w:rPr>
              <w:rFonts w:ascii="Arial" w:hAnsi="Arial" w:cs="Arial"/>
            </w:rPr>
            <w:t>5.2.3 Safe Havens: Reality vs. Theory</w:t>
          </w:r>
          <w:r>
            <w:rPr>
              <w:rFonts w:ascii="Arial" w:hAnsi="Arial" w:cs="Arial"/>
            </w:rPr>
            <w:t>…………………………………………..</w:t>
          </w:r>
          <w:r w:rsidR="0043741E">
            <w:rPr>
              <w:rFonts w:ascii="Arial" w:hAnsi="Arial" w:cs="Arial"/>
            </w:rPr>
            <w:t>53</w:t>
          </w:r>
        </w:p>
        <w:p w14:paraId="5DC3F443" w14:textId="311DA3C1" w:rsidR="0091278B" w:rsidRDefault="0091278B" w:rsidP="0091278B">
          <w:pPr>
            <w:ind w:left="720"/>
            <w:rPr>
              <w:rFonts w:ascii="Arial" w:hAnsi="Arial" w:cs="Arial"/>
            </w:rPr>
          </w:pPr>
          <w:r w:rsidRPr="00F84ADB">
            <w:rPr>
              <w:rFonts w:ascii="Arial" w:hAnsi="Arial" w:cs="Arial"/>
            </w:rPr>
            <w:t>5.2.4 Conclusion of Interpretation</w:t>
          </w:r>
          <w:r>
            <w:rPr>
              <w:rFonts w:ascii="Arial" w:hAnsi="Arial" w:cs="Arial"/>
            </w:rPr>
            <w:t>………………………………………………..</w:t>
          </w:r>
          <w:r w:rsidR="0043741E">
            <w:rPr>
              <w:rFonts w:ascii="Arial" w:hAnsi="Arial" w:cs="Arial"/>
            </w:rPr>
            <w:t>54</w:t>
          </w:r>
        </w:p>
        <w:p w14:paraId="417E9644" w14:textId="56E64B2D" w:rsidR="0091278B" w:rsidRDefault="0091278B" w:rsidP="0091278B">
          <w:pPr>
            <w:rPr>
              <w:rFonts w:ascii="Arial" w:hAnsi="Arial" w:cs="Arial"/>
            </w:rPr>
          </w:pPr>
          <w:r w:rsidRPr="009E0392">
            <w:rPr>
              <w:rFonts w:ascii="Arial" w:hAnsi="Arial" w:cs="Arial"/>
            </w:rPr>
            <w:t>5.3 Alignment with Theoretical Framework</w:t>
          </w:r>
          <w:r>
            <w:rPr>
              <w:rFonts w:ascii="Arial" w:hAnsi="Arial" w:cs="Arial"/>
            </w:rPr>
            <w:t>……………………………………………...</w:t>
          </w:r>
          <w:r w:rsidR="0043741E">
            <w:rPr>
              <w:rFonts w:ascii="Arial" w:hAnsi="Arial" w:cs="Arial"/>
            </w:rPr>
            <w:t>54</w:t>
          </w:r>
        </w:p>
        <w:p w14:paraId="30578612" w14:textId="04154F03" w:rsidR="0091278B" w:rsidRPr="009E0392" w:rsidRDefault="0091278B" w:rsidP="0091278B">
          <w:pPr>
            <w:ind w:left="720"/>
            <w:rPr>
              <w:rFonts w:ascii="Arial" w:hAnsi="Arial" w:cs="Arial"/>
            </w:rPr>
          </w:pPr>
          <w:r w:rsidRPr="009E0392">
            <w:rPr>
              <w:rFonts w:ascii="Arial" w:hAnsi="Arial" w:cs="Arial"/>
            </w:rPr>
            <w:t>5.3.1 Modern Portfolio Theory (MPT) and Diversification</w:t>
          </w:r>
          <w:r>
            <w:rPr>
              <w:rFonts w:ascii="Arial" w:hAnsi="Arial" w:cs="Arial"/>
            </w:rPr>
            <w:t>……………………..</w:t>
          </w:r>
          <w:r w:rsidR="0043741E">
            <w:rPr>
              <w:rFonts w:ascii="Arial" w:hAnsi="Arial" w:cs="Arial"/>
            </w:rPr>
            <w:t>54</w:t>
          </w:r>
        </w:p>
        <w:p w14:paraId="28BF3270" w14:textId="4338077D" w:rsidR="0091278B" w:rsidRPr="009E0392" w:rsidRDefault="0091278B" w:rsidP="0091278B">
          <w:pPr>
            <w:pStyle w:val="ListParagraph"/>
            <w:rPr>
              <w:rFonts w:ascii="Arial" w:hAnsi="Arial" w:cs="Arial"/>
            </w:rPr>
          </w:pPr>
          <w:r w:rsidRPr="009E0392">
            <w:rPr>
              <w:rFonts w:ascii="Arial" w:hAnsi="Arial" w:cs="Arial"/>
            </w:rPr>
            <w:t>5.3.2 Interest Rate Theory and Opportunity Cost</w:t>
          </w:r>
          <w:r>
            <w:rPr>
              <w:rFonts w:ascii="Arial" w:hAnsi="Arial" w:cs="Arial"/>
            </w:rPr>
            <w:t>………………………………</w:t>
          </w:r>
          <w:r w:rsidR="0043741E">
            <w:rPr>
              <w:rFonts w:ascii="Arial" w:hAnsi="Arial" w:cs="Arial"/>
            </w:rPr>
            <w:t>55</w:t>
          </w:r>
        </w:p>
        <w:p w14:paraId="49FEBA9E" w14:textId="02B347C5" w:rsidR="0091278B" w:rsidRDefault="0091278B" w:rsidP="0091278B">
          <w:pPr>
            <w:rPr>
              <w:rFonts w:ascii="Arial" w:hAnsi="Arial" w:cs="Arial"/>
            </w:rPr>
          </w:pPr>
          <w:r w:rsidRPr="009E0392">
            <w:rPr>
              <w:rFonts w:ascii="Arial" w:hAnsi="Arial" w:cs="Arial"/>
            </w:rPr>
            <w:t>5.4 Addressing the Research Gap</w:t>
          </w:r>
          <w:r>
            <w:rPr>
              <w:rFonts w:ascii="Arial" w:hAnsi="Arial" w:cs="Arial"/>
            </w:rPr>
            <w:t>……………………………………………………….</w:t>
          </w:r>
          <w:r w:rsidR="0043741E">
            <w:rPr>
              <w:rFonts w:ascii="Arial" w:hAnsi="Arial" w:cs="Arial"/>
            </w:rPr>
            <w:t>55</w:t>
          </w:r>
        </w:p>
        <w:p w14:paraId="4C4A27A0" w14:textId="2752F933" w:rsidR="0091278B" w:rsidRDefault="0091278B" w:rsidP="0091278B">
          <w:pPr>
            <w:rPr>
              <w:rFonts w:ascii="Arial" w:hAnsi="Arial" w:cs="Arial"/>
            </w:rPr>
          </w:pPr>
          <w:r w:rsidRPr="009E0392">
            <w:rPr>
              <w:rFonts w:ascii="Arial" w:hAnsi="Arial" w:cs="Arial"/>
            </w:rPr>
            <w:t>5.5 Originality of the Research</w:t>
          </w:r>
          <w:r>
            <w:rPr>
              <w:rFonts w:ascii="Arial" w:hAnsi="Arial" w:cs="Arial"/>
            </w:rPr>
            <w:t>……………………………………………………………</w:t>
          </w:r>
          <w:r w:rsidR="0043741E">
            <w:rPr>
              <w:rFonts w:ascii="Arial" w:hAnsi="Arial" w:cs="Arial"/>
            </w:rPr>
            <w:t>56</w:t>
          </w:r>
        </w:p>
        <w:p w14:paraId="53DEF200" w14:textId="3ADFCF47" w:rsidR="0091278B" w:rsidRDefault="0091278B" w:rsidP="0091278B">
          <w:pPr>
            <w:rPr>
              <w:rFonts w:ascii="Arial" w:hAnsi="Arial" w:cs="Arial"/>
            </w:rPr>
          </w:pPr>
          <w:r w:rsidRPr="009E0392">
            <w:rPr>
              <w:rFonts w:ascii="Arial" w:hAnsi="Arial" w:cs="Arial"/>
            </w:rPr>
            <w:t>5.6 Summary of Research Objectives</w:t>
          </w:r>
          <w:r>
            <w:rPr>
              <w:rFonts w:ascii="Arial" w:hAnsi="Arial" w:cs="Arial"/>
            </w:rPr>
            <w:t>…………………………………………………...</w:t>
          </w:r>
          <w:r w:rsidR="0043741E">
            <w:rPr>
              <w:rFonts w:ascii="Arial" w:hAnsi="Arial" w:cs="Arial"/>
            </w:rPr>
            <w:t>56</w:t>
          </w:r>
        </w:p>
        <w:p w14:paraId="2AF6D1C7" w14:textId="0BBF9B0B" w:rsidR="0091278B" w:rsidRPr="009E0392" w:rsidRDefault="0091278B" w:rsidP="0091278B">
          <w:pPr>
            <w:ind w:left="720"/>
            <w:rPr>
              <w:rFonts w:ascii="Arial" w:hAnsi="Arial" w:cs="Arial"/>
            </w:rPr>
          </w:pPr>
          <w:r w:rsidRPr="009E0392">
            <w:rPr>
              <w:rFonts w:ascii="Arial" w:hAnsi="Arial" w:cs="Arial"/>
            </w:rPr>
            <w:t>5.6.1 Research Objectives and Findings………………………………………..</w:t>
          </w:r>
          <w:r w:rsidR="0043741E">
            <w:rPr>
              <w:rFonts w:ascii="Arial" w:hAnsi="Arial" w:cs="Arial"/>
            </w:rPr>
            <w:t>57</w:t>
          </w:r>
        </w:p>
        <w:p w14:paraId="59DA88B9" w14:textId="7B980C60" w:rsidR="0091278B" w:rsidRDefault="0091278B" w:rsidP="0091278B">
          <w:pPr>
            <w:ind w:left="720"/>
            <w:rPr>
              <w:rFonts w:ascii="Arial" w:hAnsi="Arial" w:cs="Arial"/>
            </w:rPr>
          </w:pPr>
          <w:r w:rsidRPr="009E0392">
            <w:rPr>
              <w:rFonts w:ascii="Arial" w:hAnsi="Arial" w:cs="Arial"/>
            </w:rPr>
            <w:t>5.6.2 Addressing the research questions</w:t>
          </w:r>
          <w:r>
            <w:rPr>
              <w:rFonts w:ascii="Arial" w:hAnsi="Arial" w:cs="Arial"/>
            </w:rPr>
            <w:t>……………………………………….</w:t>
          </w:r>
          <w:r w:rsidR="0043741E">
            <w:rPr>
              <w:rFonts w:ascii="Arial" w:hAnsi="Arial" w:cs="Arial"/>
            </w:rPr>
            <w:t>57</w:t>
          </w:r>
        </w:p>
        <w:p w14:paraId="2FBBFB59" w14:textId="77F812AF" w:rsidR="0091278B" w:rsidRDefault="0091278B" w:rsidP="0091278B">
          <w:pPr>
            <w:rPr>
              <w:rFonts w:ascii="Arial" w:hAnsi="Arial" w:cs="Arial"/>
            </w:rPr>
          </w:pPr>
          <w:r w:rsidRPr="009E0392">
            <w:rPr>
              <w:rFonts w:ascii="Arial" w:hAnsi="Arial" w:cs="Arial"/>
            </w:rPr>
            <w:t>5.7 Contribution to knowledge</w:t>
          </w:r>
          <w:r>
            <w:rPr>
              <w:rFonts w:ascii="Arial" w:hAnsi="Arial" w:cs="Arial"/>
            </w:rPr>
            <w:t>……………………………………………………………</w:t>
          </w:r>
          <w:r w:rsidR="0043741E">
            <w:rPr>
              <w:rFonts w:ascii="Arial" w:hAnsi="Arial" w:cs="Arial"/>
            </w:rPr>
            <w:t>58</w:t>
          </w:r>
        </w:p>
        <w:p w14:paraId="59A64C83" w14:textId="46DA685E" w:rsidR="0091278B" w:rsidRDefault="0091278B" w:rsidP="0091278B">
          <w:pPr>
            <w:ind w:left="720"/>
            <w:rPr>
              <w:rFonts w:ascii="Arial" w:hAnsi="Arial" w:cs="Arial"/>
            </w:rPr>
          </w:pPr>
          <w:r w:rsidRPr="009E0392">
            <w:rPr>
              <w:rFonts w:ascii="Arial" w:hAnsi="Arial" w:cs="Arial"/>
            </w:rPr>
            <w:lastRenderedPageBreak/>
            <w:t>5.7.1 Theoretical contribution</w:t>
          </w:r>
          <w:r>
            <w:rPr>
              <w:rFonts w:ascii="Arial" w:hAnsi="Arial" w:cs="Arial"/>
            </w:rPr>
            <w:t>s……………………………………………………</w:t>
          </w:r>
          <w:r w:rsidR="0043741E">
            <w:rPr>
              <w:rFonts w:ascii="Arial" w:hAnsi="Arial" w:cs="Arial"/>
            </w:rPr>
            <w:t>58</w:t>
          </w:r>
        </w:p>
        <w:p w14:paraId="5BD22CDB" w14:textId="21E010B5" w:rsidR="0091278B" w:rsidRDefault="0091278B" w:rsidP="0091278B">
          <w:pPr>
            <w:ind w:left="720"/>
            <w:rPr>
              <w:rFonts w:ascii="Arial" w:hAnsi="Arial" w:cs="Arial"/>
            </w:rPr>
          </w:pPr>
          <w:r w:rsidRPr="009E0392">
            <w:rPr>
              <w:rFonts w:ascii="Arial" w:hAnsi="Arial" w:cs="Arial"/>
            </w:rPr>
            <w:t>5.7.2 Practical Contribution</w:t>
          </w:r>
          <w:r>
            <w:rPr>
              <w:rFonts w:ascii="Arial" w:hAnsi="Arial" w:cs="Arial"/>
            </w:rPr>
            <w:t>……………………………………………………….</w:t>
          </w:r>
          <w:r w:rsidR="0043741E">
            <w:rPr>
              <w:rFonts w:ascii="Arial" w:hAnsi="Arial" w:cs="Arial"/>
            </w:rPr>
            <w:t>59</w:t>
          </w:r>
        </w:p>
        <w:p w14:paraId="290FC3A6" w14:textId="6ACF6F87" w:rsidR="0091278B" w:rsidRDefault="0091278B" w:rsidP="0091278B">
          <w:pPr>
            <w:rPr>
              <w:rFonts w:ascii="Arial" w:hAnsi="Arial" w:cs="Arial"/>
            </w:rPr>
          </w:pPr>
          <w:r w:rsidRPr="009E0392">
            <w:rPr>
              <w:rFonts w:ascii="Arial" w:hAnsi="Arial" w:cs="Arial"/>
            </w:rPr>
            <w:t>5.8 Limitations and Future Research</w:t>
          </w:r>
          <w:r>
            <w:rPr>
              <w:rFonts w:ascii="Arial" w:hAnsi="Arial" w:cs="Arial"/>
            </w:rPr>
            <w:t>…………………………………………………….</w:t>
          </w:r>
          <w:r w:rsidR="0043741E">
            <w:rPr>
              <w:rFonts w:ascii="Arial" w:hAnsi="Arial" w:cs="Arial"/>
            </w:rPr>
            <w:t>60</w:t>
          </w:r>
        </w:p>
        <w:p w14:paraId="5CD174F8" w14:textId="7D7B7D9D" w:rsidR="0091278B" w:rsidRDefault="0091278B" w:rsidP="0091278B">
          <w:pPr>
            <w:rPr>
              <w:rFonts w:ascii="Arial" w:hAnsi="Arial" w:cs="Arial"/>
            </w:rPr>
          </w:pPr>
          <w:r w:rsidRPr="009E0392">
            <w:rPr>
              <w:rFonts w:ascii="Arial" w:hAnsi="Arial" w:cs="Arial"/>
            </w:rPr>
            <w:t>5.9 Conclusion</w:t>
          </w:r>
          <w:r>
            <w:rPr>
              <w:rFonts w:ascii="Arial" w:hAnsi="Arial" w:cs="Arial"/>
            </w:rPr>
            <w:t>……………………………………………………………………………...</w:t>
          </w:r>
          <w:r w:rsidR="0043741E">
            <w:rPr>
              <w:rFonts w:ascii="Arial" w:hAnsi="Arial" w:cs="Arial"/>
            </w:rPr>
            <w:t>60</w:t>
          </w:r>
        </w:p>
        <w:p w14:paraId="6A813ABD" w14:textId="49651551" w:rsidR="0091278B" w:rsidRDefault="0091278B" w:rsidP="0091278B">
          <w:pPr>
            <w:rPr>
              <w:rFonts w:ascii="Arial" w:hAnsi="Arial" w:cs="Arial"/>
              <w:b/>
              <w:bCs/>
            </w:rPr>
          </w:pPr>
          <w:r w:rsidRPr="009E0392">
            <w:rPr>
              <w:rFonts w:ascii="Arial" w:hAnsi="Arial" w:cs="Arial"/>
              <w:b/>
              <w:bCs/>
            </w:rPr>
            <w:t>Reference List</w:t>
          </w:r>
          <w:r>
            <w:rPr>
              <w:rFonts w:ascii="Arial" w:hAnsi="Arial" w:cs="Arial"/>
              <w:b/>
              <w:bCs/>
            </w:rPr>
            <w:t>……………………………………………………………………………..</w:t>
          </w:r>
          <w:r w:rsidR="0043741E">
            <w:rPr>
              <w:rFonts w:ascii="Arial" w:hAnsi="Arial" w:cs="Arial"/>
              <w:b/>
              <w:bCs/>
            </w:rPr>
            <w:t>62</w:t>
          </w:r>
        </w:p>
        <w:p w14:paraId="7AB74D08" w14:textId="2C3BD680" w:rsidR="0091278B" w:rsidRPr="009E0392" w:rsidRDefault="0091278B" w:rsidP="0091278B">
          <w:pPr>
            <w:rPr>
              <w:rFonts w:ascii="Arial" w:hAnsi="Arial" w:cs="Arial"/>
              <w:b/>
              <w:bCs/>
            </w:rPr>
          </w:pPr>
          <w:r w:rsidRPr="009E0392">
            <w:rPr>
              <w:rFonts w:ascii="Arial" w:hAnsi="Arial" w:cs="Arial"/>
              <w:b/>
              <w:bCs/>
            </w:rPr>
            <w:t>Appendices</w:t>
          </w:r>
          <w:r>
            <w:rPr>
              <w:rFonts w:ascii="Arial" w:hAnsi="Arial" w:cs="Arial"/>
              <w:b/>
              <w:bCs/>
            </w:rPr>
            <w:t>………………………………………………………………………………</w:t>
          </w:r>
          <w:r w:rsidR="0043741E">
            <w:rPr>
              <w:rFonts w:ascii="Arial" w:hAnsi="Arial" w:cs="Arial"/>
              <w:b/>
              <w:bCs/>
            </w:rPr>
            <w:t>..71</w:t>
          </w:r>
        </w:p>
        <w:p w14:paraId="65132D15" w14:textId="77777777" w:rsidR="0091278B" w:rsidRPr="00415E1E" w:rsidRDefault="00000000" w:rsidP="0091278B">
          <w:pPr>
            <w:spacing w:line="278" w:lineRule="auto"/>
            <w:jc w:val="left"/>
            <w:rPr>
              <w:rFonts w:ascii="Arial" w:hAnsi="Arial" w:cs="Arial"/>
            </w:rPr>
          </w:pPr>
        </w:p>
      </w:sdtContent>
    </w:sdt>
    <w:p w14:paraId="2D8EDA27" w14:textId="77777777" w:rsidR="002A333A" w:rsidRDefault="002A333A" w:rsidP="0091278B">
      <w:pPr>
        <w:rPr>
          <w:rFonts w:ascii="Arial" w:hAnsi="Arial" w:cs="Arial"/>
          <w:b/>
          <w:bCs/>
          <w:sz w:val="28"/>
          <w:szCs w:val="28"/>
        </w:rPr>
      </w:pPr>
    </w:p>
    <w:p w14:paraId="1617982A" w14:textId="77777777" w:rsidR="002A333A" w:rsidRDefault="002A333A" w:rsidP="00C7148E">
      <w:pPr>
        <w:jc w:val="center"/>
        <w:rPr>
          <w:rFonts w:ascii="Arial" w:hAnsi="Arial" w:cs="Arial"/>
          <w:b/>
          <w:bCs/>
          <w:sz w:val="28"/>
          <w:szCs w:val="28"/>
        </w:rPr>
      </w:pPr>
    </w:p>
    <w:p w14:paraId="708CC46E" w14:textId="77777777" w:rsidR="002A333A" w:rsidRDefault="002A333A" w:rsidP="00C7148E">
      <w:pPr>
        <w:jc w:val="center"/>
        <w:rPr>
          <w:rFonts w:ascii="Arial" w:hAnsi="Arial" w:cs="Arial"/>
          <w:b/>
          <w:bCs/>
          <w:sz w:val="28"/>
          <w:szCs w:val="28"/>
        </w:rPr>
      </w:pPr>
    </w:p>
    <w:p w14:paraId="592F3240" w14:textId="77777777" w:rsidR="002A333A" w:rsidRDefault="002A333A" w:rsidP="00C7148E">
      <w:pPr>
        <w:jc w:val="center"/>
        <w:rPr>
          <w:rFonts w:ascii="Arial" w:hAnsi="Arial" w:cs="Arial"/>
          <w:b/>
          <w:bCs/>
          <w:sz w:val="28"/>
          <w:szCs w:val="28"/>
        </w:rPr>
      </w:pPr>
    </w:p>
    <w:p w14:paraId="7393ABE9" w14:textId="77777777" w:rsidR="002A333A" w:rsidRDefault="002A333A" w:rsidP="00C7148E">
      <w:pPr>
        <w:jc w:val="center"/>
        <w:rPr>
          <w:rFonts w:ascii="Arial" w:hAnsi="Arial" w:cs="Arial"/>
          <w:b/>
          <w:bCs/>
          <w:sz w:val="28"/>
          <w:szCs w:val="28"/>
        </w:rPr>
      </w:pPr>
    </w:p>
    <w:p w14:paraId="71F78D47" w14:textId="77777777" w:rsidR="002A333A" w:rsidRDefault="002A333A" w:rsidP="00C7148E">
      <w:pPr>
        <w:jc w:val="center"/>
        <w:rPr>
          <w:rFonts w:ascii="Arial" w:hAnsi="Arial" w:cs="Arial"/>
          <w:b/>
          <w:bCs/>
          <w:sz w:val="28"/>
          <w:szCs w:val="28"/>
        </w:rPr>
      </w:pPr>
    </w:p>
    <w:p w14:paraId="63BD4A8D" w14:textId="77777777" w:rsidR="002A333A" w:rsidRDefault="002A333A" w:rsidP="00C7148E">
      <w:pPr>
        <w:jc w:val="center"/>
        <w:rPr>
          <w:rFonts w:ascii="Arial" w:hAnsi="Arial" w:cs="Arial"/>
          <w:b/>
          <w:bCs/>
          <w:sz w:val="28"/>
          <w:szCs w:val="28"/>
        </w:rPr>
      </w:pPr>
    </w:p>
    <w:p w14:paraId="4BA4AA0A" w14:textId="77777777" w:rsidR="002A333A" w:rsidRDefault="002A333A" w:rsidP="00C7148E">
      <w:pPr>
        <w:jc w:val="center"/>
        <w:rPr>
          <w:rFonts w:ascii="Arial" w:hAnsi="Arial" w:cs="Arial"/>
          <w:b/>
          <w:bCs/>
          <w:sz w:val="28"/>
          <w:szCs w:val="28"/>
        </w:rPr>
      </w:pPr>
    </w:p>
    <w:p w14:paraId="5AFDD226" w14:textId="77777777" w:rsidR="002A333A" w:rsidRDefault="002A333A" w:rsidP="00C7148E">
      <w:pPr>
        <w:jc w:val="center"/>
        <w:rPr>
          <w:rFonts w:ascii="Arial" w:hAnsi="Arial" w:cs="Arial"/>
          <w:b/>
          <w:bCs/>
          <w:sz w:val="28"/>
          <w:szCs w:val="28"/>
        </w:rPr>
      </w:pPr>
    </w:p>
    <w:p w14:paraId="3425B4A2" w14:textId="77777777" w:rsidR="002A333A" w:rsidRDefault="002A333A" w:rsidP="00C7148E">
      <w:pPr>
        <w:jc w:val="center"/>
        <w:rPr>
          <w:rFonts w:ascii="Arial" w:hAnsi="Arial" w:cs="Arial"/>
          <w:b/>
          <w:bCs/>
          <w:sz w:val="28"/>
          <w:szCs w:val="28"/>
        </w:rPr>
      </w:pPr>
    </w:p>
    <w:p w14:paraId="0BDCE341" w14:textId="77777777" w:rsidR="002A333A" w:rsidRDefault="002A333A" w:rsidP="00C7148E">
      <w:pPr>
        <w:jc w:val="center"/>
        <w:rPr>
          <w:rFonts w:ascii="Arial" w:hAnsi="Arial" w:cs="Arial"/>
          <w:b/>
          <w:bCs/>
          <w:sz w:val="28"/>
          <w:szCs w:val="28"/>
        </w:rPr>
      </w:pPr>
    </w:p>
    <w:p w14:paraId="09DFB690" w14:textId="77777777" w:rsidR="002A333A" w:rsidRDefault="002A333A" w:rsidP="00C7148E">
      <w:pPr>
        <w:jc w:val="center"/>
        <w:rPr>
          <w:rFonts w:ascii="Arial" w:hAnsi="Arial" w:cs="Arial"/>
          <w:b/>
          <w:bCs/>
          <w:sz w:val="28"/>
          <w:szCs w:val="28"/>
        </w:rPr>
      </w:pPr>
    </w:p>
    <w:p w14:paraId="4212BDB5" w14:textId="77777777" w:rsidR="002A333A" w:rsidRDefault="002A333A" w:rsidP="00C7148E">
      <w:pPr>
        <w:jc w:val="center"/>
        <w:rPr>
          <w:rFonts w:ascii="Arial" w:hAnsi="Arial" w:cs="Arial"/>
          <w:b/>
          <w:bCs/>
          <w:sz w:val="28"/>
          <w:szCs w:val="28"/>
        </w:rPr>
      </w:pPr>
    </w:p>
    <w:p w14:paraId="232318C5" w14:textId="77777777" w:rsidR="002A333A" w:rsidRDefault="002A333A" w:rsidP="00C7148E">
      <w:pPr>
        <w:jc w:val="center"/>
        <w:rPr>
          <w:rFonts w:ascii="Arial" w:hAnsi="Arial" w:cs="Arial"/>
          <w:b/>
          <w:bCs/>
          <w:sz w:val="28"/>
          <w:szCs w:val="28"/>
        </w:rPr>
      </w:pPr>
    </w:p>
    <w:p w14:paraId="1AA876B3" w14:textId="77777777" w:rsidR="002A333A" w:rsidRDefault="002A333A" w:rsidP="0091278B">
      <w:pPr>
        <w:rPr>
          <w:rFonts w:ascii="Arial" w:hAnsi="Arial" w:cs="Arial"/>
          <w:b/>
          <w:bCs/>
          <w:sz w:val="28"/>
          <w:szCs w:val="28"/>
        </w:rPr>
      </w:pPr>
    </w:p>
    <w:p w14:paraId="7690BC38" w14:textId="77777777" w:rsidR="0091278B" w:rsidRDefault="0091278B" w:rsidP="0091278B">
      <w:pPr>
        <w:rPr>
          <w:rFonts w:ascii="Arial" w:hAnsi="Arial" w:cs="Arial"/>
          <w:b/>
          <w:bCs/>
          <w:sz w:val="28"/>
          <w:szCs w:val="28"/>
        </w:rPr>
      </w:pPr>
    </w:p>
    <w:p w14:paraId="112344CD" w14:textId="45885818" w:rsidR="00D330B1" w:rsidRDefault="00C7148E" w:rsidP="00C7148E">
      <w:pPr>
        <w:jc w:val="center"/>
        <w:rPr>
          <w:rFonts w:ascii="Arial" w:hAnsi="Arial" w:cs="Arial"/>
          <w:b/>
          <w:bCs/>
          <w:sz w:val="28"/>
          <w:szCs w:val="28"/>
        </w:rPr>
      </w:pPr>
      <w:r>
        <w:rPr>
          <w:rFonts w:ascii="Arial" w:hAnsi="Arial" w:cs="Arial"/>
          <w:b/>
          <w:bCs/>
          <w:sz w:val="28"/>
          <w:szCs w:val="28"/>
        </w:rPr>
        <w:lastRenderedPageBreak/>
        <w:t>List of Figures and Tables</w:t>
      </w:r>
    </w:p>
    <w:p w14:paraId="06B4C97A" w14:textId="77777777" w:rsidR="00C7148E" w:rsidRDefault="00C7148E" w:rsidP="00C7148E">
      <w:pPr>
        <w:rPr>
          <w:rFonts w:ascii="Arial" w:hAnsi="Arial" w:cs="Arial"/>
        </w:rPr>
      </w:pPr>
    </w:p>
    <w:p w14:paraId="40FE38FB" w14:textId="114D34B0" w:rsidR="00C7148E" w:rsidRDefault="00C7148E" w:rsidP="0022341D">
      <w:pPr>
        <w:pStyle w:val="ListParagraph"/>
        <w:ind w:left="0"/>
        <w:rPr>
          <w:rFonts w:ascii="Arial" w:hAnsi="Arial" w:cs="Arial"/>
        </w:rPr>
      </w:pPr>
      <w:r w:rsidRPr="00C24CCA">
        <w:rPr>
          <w:rFonts w:ascii="Arial" w:hAnsi="Arial" w:cs="Arial"/>
        </w:rPr>
        <w:t xml:space="preserve">Figure 1.1: </w:t>
      </w:r>
      <w:r w:rsidRPr="00C7148E">
        <w:rPr>
          <w:rFonts w:ascii="Arial" w:hAnsi="Arial" w:cs="Arial"/>
        </w:rPr>
        <w:t>Outline of the Chapters in this dissertation</w:t>
      </w:r>
      <w:r>
        <w:rPr>
          <w:rFonts w:ascii="Arial" w:hAnsi="Arial" w:cs="Arial"/>
        </w:rPr>
        <w:t>…………………………………</w:t>
      </w:r>
      <w:r w:rsidR="00D171DB">
        <w:rPr>
          <w:rFonts w:ascii="Arial" w:hAnsi="Arial" w:cs="Arial"/>
        </w:rPr>
        <w:t>14</w:t>
      </w:r>
    </w:p>
    <w:p w14:paraId="1E066F24" w14:textId="0DE1DFEB" w:rsidR="0087680E" w:rsidRDefault="00C7148E" w:rsidP="0022341D">
      <w:pPr>
        <w:pStyle w:val="ListParagraph"/>
        <w:ind w:left="0"/>
        <w:rPr>
          <w:rFonts w:ascii="Arial" w:hAnsi="Arial" w:cs="Arial"/>
        </w:rPr>
      </w:pPr>
      <w:r>
        <w:rPr>
          <w:rFonts w:ascii="Arial" w:hAnsi="Arial" w:cs="Arial"/>
        </w:rPr>
        <w:t xml:space="preserve">Figure 2.1: </w:t>
      </w:r>
      <w:r w:rsidRPr="00C7148E">
        <w:rPr>
          <w:rFonts w:ascii="Arial" w:hAnsi="Arial" w:cs="Arial"/>
        </w:rPr>
        <w:t>Conceptual Framework of the impact of US interest rates on the Gold-Equity Relationship</w:t>
      </w:r>
      <w:r>
        <w:rPr>
          <w:rFonts w:ascii="Arial" w:hAnsi="Arial" w:cs="Arial"/>
        </w:rPr>
        <w:t>…………………………………………………………………………</w:t>
      </w:r>
      <w:r w:rsidR="00D171DB">
        <w:rPr>
          <w:rFonts w:ascii="Arial" w:hAnsi="Arial" w:cs="Arial"/>
        </w:rPr>
        <w:t>28</w:t>
      </w:r>
    </w:p>
    <w:p w14:paraId="1C605C68" w14:textId="30686A76" w:rsidR="0087680E" w:rsidRDefault="00C7148E" w:rsidP="007C3897">
      <w:pPr>
        <w:pStyle w:val="ListParagraph"/>
        <w:ind w:left="0"/>
        <w:rPr>
          <w:rFonts w:ascii="Arial" w:hAnsi="Arial" w:cs="Arial"/>
        </w:rPr>
      </w:pPr>
      <w:r w:rsidRPr="00C7148E">
        <w:rPr>
          <w:rFonts w:ascii="Arial" w:hAnsi="Arial" w:cs="Arial"/>
        </w:rPr>
        <w:t>Tabl</w:t>
      </w:r>
      <w:r w:rsidR="00EF669D">
        <w:rPr>
          <w:rFonts w:ascii="Arial" w:hAnsi="Arial" w:cs="Arial"/>
        </w:rPr>
        <w:t>e</w:t>
      </w:r>
      <w:r w:rsidR="00C24CCA">
        <w:rPr>
          <w:rFonts w:ascii="Arial" w:hAnsi="Arial" w:cs="Arial"/>
        </w:rPr>
        <w:t xml:space="preserve"> 3.1</w:t>
      </w:r>
      <w:r w:rsidRPr="00C7148E">
        <w:rPr>
          <w:rFonts w:ascii="Arial" w:hAnsi="Arial" w:cs="Arial"/>
        </w:rPr>
        <w:t xml:space="preserve">: </w:t>
      </w:r>
      <w:r w:rsidR="00C24CCA" w:rsidRPr="00C24CCA">
        <w:rPr>
          <w:rFonts w:ascii="Arial" w:hAnsi="Arial" w:cs="Arial"/>
        </w:rPr>
        <w:t>Research Variables and Data Source</w:t>
      </w:r>
      <w:r w:rsidR="00C24CCA">
        <w:rPr>
          <w:rFonts w:ascii="Arial" w:hAnsi="Arial" w:cs="Arial"/>
        </w:rPr>
        <w:t>………………………………………..</w:t>
      </w:r>
      <w:r w:rsidR="00233783">
        <w:rPr>
          <w:rFonts w:ascii="Arial" w:hAnsi="Arial" w:cs="Arial"/>
        </w:rPr>
        <w:t>34</w:t>
      </w:r>
    </w:p>
    <w:p w14:paraId="16CF3AA3" w14:textId="149C881B" w:rsidR="007C3897" w:rsidRDefault="0022341D" w:rsidP="007C3897">
      <w:pPr>
        <w:pStyle w:val="ListParagraph"/>
        <w:ind w:left="0"/>
        <w:rPr>
          <w:rFonts w:ascii="Arial" w:hAnsi="Arial" w:cs="Arial"/>
        </w:rPr>
      </w:pPr>
      <w:r w:rsidRPr="0022341D">
        <w:rPr>
          <w:rFonts w:ascii="Arial" w:hAnsi="Arial" w:cs="Arial"/>
        </w:rPr>
        <w:t>Tab</w:t>
      </w:r>
      <w:r w:rsidR="00EF669D">
        <w:rPr>
          <w:rFonts w:ascii="Arial" w:hAnsi="Arial" w:cs="Arial"/>
        </w:rPr>
        <w:t>le</w:t>
      </w:r>
      <w:r w:rsidRPr="0022341D">
        <w:rPr>
          <w:rFonts w:ascii="Arial" w:hAnsi="Arial" w:cs="Arial"/>
        </w:rPr>
        <w:t xml:space="preserve"> 4.1: Descriptive Statistics Table</w:t>
      </w:r>
      <w:r>
        <w:rPr>
          <w:rFonts w:ascii="Arial" w:hAnsi="Arial" w:cs="Arial"/>
        </w:rPr>
        <w:t>……………………………………………………</w:t>
      </w:r>
      <w:r w:rsidR="00233783">
        <w:rPr>
          <w:rFonts w:ascii="Arial" w:hAnsi="Arial" w:cs="Arial"/>
        </w:rPr>
        <w:t>42</w:t>
      </w:r>
    </w:p>
    <w:p w14:paraId="534D5B2E" w14:textId="1B172BB7" w:rsidR="007C3897" w:rsidRDefault="0022341D" w:rsidP="007C3897">
      <w:pPr>
        <w:pStyle w:val="ListParagraph"/>
        <w:ind w:left="0"/>
        <w:rPr>
          <w:rFonts w:ascii="Arial" w:hAnsi="Arial" w:cs="Arial"/>
        </w:rPr>
      </w:pPr>
      <w:r>
        <w:rPr>
          <w:rFonts w:ascii="Arial" w:hAnsi="Arial" w:cs="Arial"/>
        </w:rPr>
        <w:t>Tab</w:t>
      </w:r>
      <w:r w:rsidR="00EF669D">
        <w:rPr>
          <w:rFonts w:ascii="Arial" w:hAnsi="Arial" w:cs="Arial"/>
        </w:rPr>
        <w:t>le</w:t>
      </w:r>
      <w:r>
        <w:rPr>
          <w:rFonts w:ascii="Arial" w:hAnsi="Arial" w:cs="Arial"/>
        </w:rPr>
        <w:t xml:space="preserve"> 4.2: </w:t>
      </w:r>
      <w:r w:rsidR="007C3897" w:rsidRPr="007C3897">
        <w:rPr>
          <w:rFonts w:ascii="Arial" w:hAnsi="Arial" w:cs="Arial"/>
        </w:rPr>
        <w:t>Correlation Matrix for Full Period (2005-2025)</w:t>
      </w:r>
      <w:r w:rsidR="007C3897">
        <w:rPr>
          <w:rFonts w:ascii="Arial" w:hAnsi="Arial" w:cs="Arial"/>
        </w:rPr>
        <w:t>………………………………</w:t>
      </w:r>
      <w:r w:rsidR="00233783">
        <w:rPr>
          <w:rFonts w:ascii="Arial" w:hAnsi="Arial" w:cs="Arial"/>
        </w:rPr>
        <w:t>45</w:t>
      </w:r>
    </w:p>
    <w:p w14:paraId="4A0F916C" w14:textId="75A4E61D" w:rsidR="007C3897" w:rsidRDefault="007C3897" w:rsidP="007C3897">
      <w:pPr>
        <w:pStyle w:val="ListParagraph"/>
        <w:ind w:left="0"/>
        <w:rPr>
          <w:rFonts w:ascii="Arial" w:hAnsi="Arial" w:cs="Arial"/>
        </w:rPr>
      </w:pPr>
      <w:r>
        <w:rPr>
          <w:rFonts w:ascii="Arial" w:hAnsi="Arial" w:cs="Arial"/>
        </w:rPr>
        <w:t xml:space="preserve">Table 4.3: </w:t>
      </w:r>
      <w:r w:rsidRPr="007C3897">
        <w:rPr>
          <w:rFonts w:ascii="Arial" w:hAnsi="Arial" w:cs="Arial"/>
        </w:rPr>
        <w:t>Correlation Matrix: Rising Rate Periods</w:t>
      </w:r>
      <w:r>
        <w:rPr>
          <w:rFonts w:ascii="Arial" w:hAnsi="Arial" w:cs="Arial"/>
        </w:rPr>
        <w:t>……………………………………..</w:t>
      </w:r>
      <w:r w:rsidR="00233783">
        <w:rPr>
          <w:rFonts w:ascii="Arial" w:hAnsi="Arial" w:cs="Arial"/>
        </w:rPr>
        <w:t>46</w:t>
      </w:r>
    </w:p>
    <w:p w14:paraId="7DE6AB23" w14:textId="1E30BF28" w:rsidR="007C3897" w:rsidRDefault="007C3897" w:rsidP="007C3897">
      <w:pPr>
        <w:pStyle w:val="ListParagraph"/>
        <w:ind w:left="0"/>
        <w:rPr>
          <w:rFonts w:ascii="Arial" w:hAnsi="Arial" w:cs="Arial"/>
        </w:rPr>
      </w:pPr>
      <w:r>
        <w:rPr>
          <w:rFonts w:ascii="Arial" w:hAnsi="Arial" w:cs="Arial"/>
        </w:rPr>
        <w:t>Table 4.4 Correlation Matrix: Falling Rate Periods………………………………………</w:t>
      </w:r>
      <w:r w:rsidR="00233783">
        <w:rPr>
          <w:rFonts w:ascii="Arial" w:hAnsi="Arial" w:cs="Arial"/>
        </w:rPr>
        <w:t>46</w:t>
      </w:r>
    </w:p>
    <w:p w14:paraId="21AAED4F" w14:textId="5EF663A4" w:rsidR="007C3897" w:rsidRPr="00E77A76" w:rsidRDefault="007C3897" w:rsidP="007C3897">
      <w:pPr>
        <w:pStyle w:val="ListParagraph"/>
        <w:ind w:left="0"/>
        <w:rPr>
          <w:rFonts w:ascii="Arial" w:hAnsi="Arial" w:cs="Arial"/>
        </w:rPr>
      </w:pPr>
      <w:r>
        <w:rPr>
          <w:rFonts w:ascii="Arial" w:hAnsi="Arial" w:cs="Arial"/>
        </w:rPr>
        <w:t xml:space="preserve">Table 4.5: </w:t>
      </w:r>
      <w:r w:rsidR="00E77A76" w:rsidRPr="00E77A76">
        <w:rPr>
          <w:rFonts w:ascii="Arial" w:hAnsi="Arial" w:cs="Arial"/>
        </w:rPr>
        <w:t>Regression Results (Gold Returns as Dependent Variable)</w:t>
      </w:r>
      <w:r w:rsidR="00E77A76">
        <w:rPr>
          <w:rFonts w:ascii="Arial" w:hAnsi="Arial" w:cs="Arial"/>
        </w:rPr>
        <w:t>………………</w:t>
      </w:r>
      <w:r w:rsidR="00233783">
        <w:rPr>
          <w:rFonts w:ascii="Arial" w:hAnsi="Arial" w:cs="Arial"/>
        </w:rPr>
        <w:t>48</w:t>
      </w:r>
    </w:p>
    <w:p w14:paraId="3C289403" w14:textId="59AFDA49" w:rsidR="0022341D" w:rsidRDefault="0022341D" w:rsidP="0022341D">
      <w:pPr>
        <w:pStyle w:val="ListParagraph"/>
        <w:ind w:left="0"/>
        <w:rPr>
          <w:rFonts w:ascii="Arial" w:hAnsi="Arial" w:cs="Arial"/>
        </w:rPr>
      </w:pPr>
    </w:p>
    <w:p w14:paraId="607567B8" w14:textId="77777777" w:rsidR="00B05A2D" w:rsidRDefault="00B05A2D" w:rsidP="00D1474C">
      <w:pPr>
        <w:pStyle w:val="ListParagraph"/>
        <w:ind w:left="0"/>
        <w:jc w:val="center"/>
        <w:rPr>
          <w:rFonts w:ascii="Arial" w:hAnsi="Arial" w:cs="Arial"/>
          <w:b/>
          <w:bCs/>
          <w:sz w:val="28"/>
          <w:szCs w:val="28"/>
        </w:rPr>
      </w:pPr>
    </w:p>
    <w:p w14:paraId="3D9269AA" w14:textId="77777777" w:rsidR="00B05A2D" w:rsidRDefault="00B05A2D" w:rsidP="00D1474C">
      <w:pPr>
        <w:pStyle w:val="ListParagraph"/>
        <w:ind w:left="0"/>
        <w:jc w:val="center"/>
        <w:rPr>
          <w:rFonts w:ascii="Arial" w:hAnsi="Arial" w:cs="Arial"/>
          <w:b/>
          <w:bCs/>
          <w:sz w:val="28"/>
          <w:szCs w:val="28"/>
        </w:rPr>
      </w:pPr>
    </w:p>
    <w:p w14:paraId="696D0E3B" w14:textId="1318E83F" w:rsidR="0022341D" w:rsidRDefault="00D1474C" w:rsidP="00D1474C">
      <w:pPr>
        <w:pStyle w:val="ListParagraph"/>
        <w:ind w:left="0"/>
        <w:jc w:val="center"/>
        <w:rPr>
          <w:rFonts w:ascii="Arial" w:hAnsi="Arial" w:cs="Arial"/>
          <w:b/>
          <w:bCs/>
          <w:sz w:val="28"/>
          <w:szCs w:val="28"/>
        </w:rPr>
      </w:pPr>
      <w:r w:rsidRPr="00D1474C">
        <w:rPr>
          <w:rFonts w:ascii="Arial" w:hAnsi="Arial" w:cs="Arial"/>
          <w:b/>
          <w:bCs/>
          <w:sz w:val="28"/>
          <w:szCs w:val="28"/>
        </w:rPr>
        <w:t>List of Abbreviations</w:t>
      </w:r>
    </w:p>
    <w:p w14:paraId="6C37329F" w14:textId="77777777" w:rsidR="00D1474C" w:rsidRDefault="00D1474C" w:rsidP="00B05A2D">
      <w:pPr>
        <w:pStyle w:val="ListParagraph"/>
        <w:ind w:left="0"/>
        <w:rPr>
          <w:rFonts w:ascii="Arial" w:hAnsi="Arial" w:cs="Arial"/>
          <w:b/>
          <w:bCs/>
          <w:sz w:val="28"/>
          <w:szCs w:val="28"/>
        </w:rPr>
      </w:pPr>
    </w:p>
    <w:p w14:paraId="77BB3BDB" w14:textId="64F42E67" w:rsidR="00727F9C" w:rsidRDefault="00B05A2D" w:rsidP="00B05A2D">
      <w:pPr>
        <w:rPr>
          <w:rFonts w:ascii="Arial" w:hAnsi="Arial" w:cs="Arial"/>
        </w:rPr>
      </w:pPr>
      <w:r w:rsidRPr="00B05A2D">
        <w:rPr>
          <w:rFonts w:ascii="Arial" w:hAnsi="Arial" w:cs="Arial"/>
          <w:b/>
          <w:bCs/>
        </w:rPr>
        <w:t>DCC</w:t>
      </w:r>
      <w:r>
        <w:rPr>
          <w:rFonts w:ascii="Arial" w:hAnsi="Arial" w:cs="Arial"/>
          <w:b/>
          <w:bCs/>
        </w:rPr>
        <w:t xml:space="preserve">: </w:t>
      </w:r>
      <w:r w:rsidRPr="00B05A2D">
        <w:rPr>
          <w:rFonts w:ascii="Arial" w:hAnsi="Arial" w:cs="Arial"/>
        </w:rPr>
        <w:t>Dynamic Conditional Correlation</w:t>
      </w:r>
    </w:p>
    <w:p w14:paraId="1DF474AB" w14:textId="17E58EAF" w:rsidR="00B05A2D" w:rsidRDefault="00B05A2D" w:rsidP="00B05A2D">
      <w:pPr>
        <w:rPr>
          <w:rFonts w:ascii="Arial" w:hAnsi="Arial" w:cs="Arial"/>
        </w:rPr>
      </w:pPr>
      <w:r w:rsidRPr="00B05A2D">
        <w:rPr>
          <w:rFonts w:ascii="Arial" w:hAnsi="Arial" w:cs="Arial"/>
          <w:b/>
          <w:bCs/>
        </w:rPr>
        <w:t>EFFR:</w:t>
      </w:r>
      <w:r>
        <w:rPr>
          <w:rFonts w:ascii="Arial" w:hAnsi="Arial" w:cs="Arial"/>
        </w:rPr>
        <w:t xml:space="preserve"> Effective Federal Funds Rate</w:t>
      </w:r>
    </w:p>
    <w:p w14:paraId="6DBB63AB" w14:textId="3BB0572E" w:rsidR="00B05A2D" w:rsidRDefault="00B05A2D" w:rsidP="00B05A2D">
      <w:pPr>
        <w:rPr>
          <w:rFonts w:ascii="Arial" w:hAnsi="Arial" w:cs="Arial"/>
        </w:rPr>
      </w:pPr>
      <w:r w:rsidRPr="00B05A2D">
        <w:rPr>
          <w:rFonts w:ascii="Arial" w:hAnsi="Arial" w:cs="Arial"/>
          <w:b/>
          <w:bCs/>
        </w:rPr>
        <w:t>FED:</w:t>
      </w:r>
      <w:r>
        <w:rPr>
          <w:rFonts w:ascii="Arial" w:hAnsi="Arial" w:cs="Arial"/>
        </w:rPr>
        <w:t xml:space="preserve"> Federal Reserve System (The central bank of the United States)</w:t>
      </w:r>
    </w:p>
    <w:p w14:paraId="54E0F706" w14:textId="1DBE9923" w:rsidR="00B05A2D" w:rsidRDefault="00B05A2D" w:rsidP="00B05A2D">
      <w:pPr>
        <w:rPr>
          <w:rFonts w:ascii="Arial" w:hAnsi="Arial" w:cs="Arial"/>
        </w:rPr>
      </w:pPr>
      <w:r w:rsidRPr="00B05A2D">
        <w:rPr>
          <w:rFonts w:ascii="Arial" w:hAnsi="Arial" w:cs="Arial"/>
          <w:b/>
          <w:bCs/>
        </w:rPr>
        <w:t>FRED:</w:t>
      </w:r>
      <w:r>
        <w:rPr>
          <w:rFonts w:ascii="Arial" w:hAnsi="Arial" w:cs="Arial"/>
        </w:rPr>
        <w:t xml:space="preserve"> Federal Reserve Economic Data</w:t>
      </w:r>
    </w:p>
    <w:p w14:paraId="560B92D9" w14:textId="22093DFD" w:rsidR="00B05A2D" w:rsidRDefault="00B05A2D" w:rsidP="00B05A2D">
      <w:pPr>
        <w:rPr>
          <w:rFonts w:ascii="Arial" w:hAnsi="Arial" w:cs="Arial"/>
        </w:rPr>
      </w:pPr>
      <w:r w:rsidRPr="00B05A2D">
        <w:rPr>
          <w:rFonts w:ascii="Arial" w:hAnsi="Arial" w:cs="Arial"/>
          <w:b/>
          <w:bCs/>
        </w:rPr>
        <w:t>GARCH:</w:t>
      </w:r>
      <w:r>
        <w:rPr>
          <w:rFonts w:ascii="Arial" w:hAnsi="Arial" w:cs="Arial"/>
        </w:rPr>
        <w:t xml:space="preserve"> Generalized Autoregressive Conditional Heteroskedasticity</w:t>
      </w:r>
    </w:p>
    <w:p w14:paraId="30F0EBB2" w14:textId="43EE55C1" w:rsidR="00B05A2D" w:rsidRPr="00B05A2D" w:rsidRDefault="00B05A2D" w:rsidP="00B05A2D">
      <w:pPr>
        <w:rPr>
          <w:rFonts w:ascii="Arial" w:hAnsi="Arial" w:cs="Arial"/>
        </w:rPr>
      </w:pPr>
      <w:r w:rsidRPr="00B05A2D">
        <w:rPr>
          <w:rFonts w:ascii="Arial" w:hAnsi="Arial" w:cs="Arial"/>
          <w:b/>
          <w:bCs/>
        </w:rPr>
        <w:t>MPT:</w:t>
      </w:r>
      <w:r>
        <w:rPr>
          <w:rFonts w:ascii="Arial" w:hAnsi="Arial" w:cs="Arial"/>
        </w:rPr>
        <w:t xml:space="preserve"> Modern Portfolio Theory</w:t>
      </w:r>
    </w:p>
    <w:p w14:paraId="44F93766" w14:textId="77777777" w:rsidR="00C24CCA" w:rsidRPr="00C7148E" w:rsidRDefault="00C24CCA" w:rsidP="00C7148E">
      <w:pPr>
        <w:pStyle w:val="ListParagraph"/>
        <w:ind w:left="0"/>
        <w:rPr>
          <w:rFonts w:ascii="Arial" w:hAnsi="Arial" w:cs="Arial"/>
        </w:rPr>
      </w:pPr>
    </w:p>
    <w:p w14:paraId="1778A9AD" w14:textId="73DCDC48" w:rsidR="00C7148E" w:rsidRPr="00C7148E" w:rsidRDefault="00C7148E" w:rsidP="00C7148E">
      <w:pPr>
        <w:rPr>
          <w:rFonts w:ascii="Arial" w:hAnsi="Arial" w:cs="Arial"/>
        </w:rPr>
      </w:pPr>
    </w:p>
    <w:p w14:paraId="279D895B" w14:textId="77777777" w:rsidR="00D330B1" w:rsidRDefault="00D330B1" w:rsidP="00D561D9">
      <w:pPr>
        <w:rPr>
          <w:rFonts w:ascii="Arial" w:hAnsi="Arial" w:cs="Arial"/>
          <w:b/>
          <w:bCs/>
          <w:sz w:val="28"/>
          <w:szCs w:val="28"/>
        </w:rPr>
      </w:pPr>
    </w:p>
    <w:p w14:paraId="06C55A1A" w14:textId="77777777" w:rsidR="00B05A2D" w:rsidRDefault="00B05A2D" w:rsidP="00D561D9">
      <w:pPr>
        <w:rPr>
          <w:rFonts w:ascii="Arial" w:hAnsi="Arial" w:cs="Arial"/>
          <w:b/>
          <w:bCs/>
          <w:sz w:val="28"/>
          <w:szCs w:val="28"/>
        </w:rPr>
      </w:pPr>
    </w:p>
    <w:p w14:paraId="704866D4" w14:textId="77777777" w:rsidR="00B05A2D" w:rsidRDefault="00B05A2D" w:rsidP="00D561D9">
      <w:pPr>
        <w:rPr>
          <w:rFonts w:ascii="Arial" w:hAnsi="Arial" w:cs="Arial"/>
          <w:b/>
          <w:bCs/>
          <w:sz w:val="28"/>
          <w:szCs w:val="28"/>
        </w:rPr>
      </w:pPr>
    </w:p>
    <w:p w14:paraId="08AB039B" w14:textId="7348BB92" w:rsidR="00877543" w:rsidRDefault="00877543" w:rsidP="00877543">
      <w:pPr>
        <w:ind w:left="400"/>
        <w:jc w:val="center"/>
        <w:rPr>
          <w:rFonts w:ascii="Arial" w:hAnsi="Arial" w:cs="Arial"/>
          <w:b/>
          <w:bCs/>
          <w:sz w:val="28"/>
          <w:szCs w:val="28"/>
        </w:rPr>
      </w:pPr>
      <w:r w:rsidRPr="00940465">
        <w:rPr>
          <w:rFonts w:ascii="Arial" w:hAnsi="Arial" w:cs="Arial"/>
          <w:b/>
          <w:bCs/>
          <w:sz w:val="28"/>
          <w:szCs w:val="28"/>
        </w:rPr>
        <w:lastRenderedPageBreak/>
        <w:t>C</w:t>
      </w:r>
      <w:r>
        <w:rPr>
          <w:rFonts w:ascii="Arial" w:hAnsi="Arial" w:cs="Arial"/>
          <w:b/>
          <w:bCs/>
          <w:sz w:val="28"/>
          <w:szCs w:val="28"/>
        </w:rPr>
        <w:t>HAPTER ONE</w:t>
      </w:r>
      <w:r w:rsidRPr="00940465">
        <w:rPr>
          <w:rFonts w:ascii="Arial" w:hAnsi="Arial" w:cs="Arial"/>
          <w:b/>
          <w:bCs/>
          <w:sz w:val="28"/>
          <w:szCs w:val="28"/>
        </w:rPr>
        <w:t xml:space="preserve">: </w:t>
      </w:r>
      <w:r>
        <w:rPr>
          <w:rFonts w:ascii="Arial" w:hAnsi="Arial" w:cs="Arial"/>
          <w:b/>
          <w:bCs/>
          <w:sz w:val="28"/>
          <w:szCs w:val="28"/>
        </w:rPr>
        <w:t>INTRODUCTION</w:t>
      </w:r>
    </w:p>
    <w:p w14:paraId="23B60B88" w14:textId="77777777" w:rsidR="00877543" w:rsidRPr="00940465" w:rsidRDefault="00877543" w:rsidP="00877543">
      <w:pPr>
        <w:rPr>
          <w:rFonts w:ascii="Arial" w:hAnsi="Arial" w:cs="Arial"/>
          <w:b/>
          <w:bCs/>
          <w:sz w:val="28"/>
          <w:szCs w:val="28"/>
        </w:rPr>
      </w:pPr>
    </w:p>
    <w:p w14:paraId="19E5190E" w14:textId="3CA1A9DE" w:rsidR="00877543" w:rsidRPr="0087680E" w:rsidRDefault="0087680E" w:rsidP="0087680E">
      <w:pPr>
        <w:rPr>
          <w:rFonts w:ascii="Arial" w:hAnsi="Arial" w:cs="Arial"/>
          <w:b/>
          <w:bCs/>
          <w:sz w:val="28"/>
          <w:szCs w:val="28"/>
        </w:rPr>
      </w:pPr>
      <w:r>
        <w:rPr>
          <w:rFonts w:ascii="Arial" w:hAnsi="Arial" w:cs="Arial"/>
          <w:b/>
          <w:bCs/>
          <w:sz w:val="28"/>
          <w:szCs w:val="28"/>
        </w:rPr>
        <w:t>1.1</w:t>
      </w:r>
      <w:r w:rsidR="00877543" w:rsidRPr="0087680E">
        <w:rPr>
          <w:rFonts w:ascii="Arial" w:hAnsi="Arial" w:cs="Arial"/>
          <w:b/>
          <w:bCs/>
          <w:sz w:val="28"/>
          <w:szCs w:val="28"/>
        </w:rPr>
        <w:t xml:space="preserve"> Background and Context </w:t>
      </w:r>
    </w:p>
    <w:p w14:paraId="04FEEDDB" w14:textId="77777777" w:rsidR="00877543" w:rsidRDefault="00877543" w:rsidP="00877543">
      <w:pPr>
        <w:pStyle w:val="ListParagraph"/>
        <w:ind w:left="0"/>
        <w:rPr>
          <w:rFonts w:ascii="Arial" w:hAnsi="Arial" w:cs="Arial"/>
        </w:rPr>
      </w:pPr>
      <w:r w:rsidRPr="00C1041C">
        <w:rPr>
          <w:rFonts w:ascii="Arial" w:hAnsi="Arial" w:cs="Arial"/>
        </w:rPr>
        <w:t>Over the last two decades, the effect of US monetary policy on gold and equity prices has been a key focus in financial economics. The past twenty years have seen various types of monetary cycles, including pre-2008 tightening, post-crisis lowered rates, the 2015 to 2018 normalisation, the rate cuts of 2020 and the 2022 tightening cycle; these cycles influence how investors allocate assets</w:t>
      </w:r>
      <w:r>
        <w:rPr>
          <w:rFonts w:ascii="Arial" w:hAnsi="Arial" w:cs="Arial"/>
        </w:rPr>
        <w:t xml:space="preserve"> (see appendix A)</w:t>
      </w:r>
      <w:r w:rsidRPr="00C1041C">
        <w:rPr>
          <w:rFonts w:ascii="Arial" w:hAnsi="Arial" w:cs="Arial"/>
        </w:rPr>
        <w:t>. This context is essential for examining how changes to interest rates impact gold's characteristics as both an inflation hedge and a Safe haven asset.</w:t>
      </w:r>
    </w:p>
    <w:p w14:paraId="6389AD9A" w14:textId="77777777" w:rsidR="00877543" w:rsidRDefault="00877543" w:rsidP="00877543">
      <w:pPr>
        <w:pStyle w:val="ListParagraph"/>
        <w:ind w:left="400"/>
        <w:rPr>
          <w:rFonts w:ascii="Arial" w:hAnsi="Arial" w:cs="Arial"/>
        </w:rPr>
      </w:pPr>
    </w:p>
    <w:p w14:paraId="2E06CD02" w14:textId="77777777" w:rsidR="00877543" w:rsidRDefault="00877543" w:rsidP="00877543">
      <w:pPr>
        <w:pStyle w:val="ListParagraph"/>
        <w:ind w:left="0"/>
        <w:rPr>
          <w:rFonts w:ascii="Arial" w:hAnsi="Arial" w:cs="Arial"/>
        </w:rPr>
      </w:pPr>
      <w:r w:rsidRPr="001E6286">
        <w:rPr>
          <w:rFonts w:ascii="Arial" w:hAnsi="Arial" w:cs="Arial"/>
        </w:rPr>
        <w:t>Gold is a defensive asset</w:t>
      </w:r>
      <w:r>
        <w:rPr>
          <w:rFonts w:ascii="Arial" w:hAnsi="Arial" w:cs="Arial"/>
        </w:rPr>
        <w:t xml:space="preserve">. Baur and Lucey (2010) argue that </w:t>
      </w:r>
      <w:r w:rsidRPr="008A2891">
        <w:rPr>
          <w:rFonts w:ascii="Arial" w:hAnsi="Arial" w:cs="Arial"/>
        </w:rPr>
        <w:t xml:space="preserve">Gold is powerful </w:t>
      </w:r>
      <w:r>
        <w:rPr>
          <w:rFonts w:ascii="Arial" w:hAnsi="Arial" w:cs="Arial"/>
        </w:rPr>
        <w:t>S</w:t>
      </w:r>
      <w:r w:rsidRPr="008A2891">
        <w:rPr>
          <w:rFonts w:ascii="Arial" w:hAnsi="Arial" w:cs="Arial"/>
        </w:rPr>
        <w:t xml:space="preserve">afe haven asset for the US stock market, </w:t>
      </w:r>
      <w:r>
        <w:rPr>
          <w:rFonts w:ascii="Arial" w:hAnsi="Arial" w:cs="Arial"/>
        </w:rPr>
        <w:t>which</w:t>
      </w:r>
      <w:r w:rsidRPr="008A2891">
        <w:rPr>
          <w:rFonts w:ascii="Arial" w:hAnsi="Arial" w:cs="Arial"/>
        </w:rPr>
        <w:t xml:space="preserve"> significantly reduces overall financial losses when the market is hit by extreme negative economic events.</w:t>
      </w:r>
      <w:r>
        <w:rPr>
          <w:rFonts w:ascii="Arial" w:hAnsi="Arial" w:cs="Arial"/>
        </w:rPr>
        <w:t xml:space="preserve"> </w:t>
      </w:r>
      <w:r w:rsidRPr="00D3253F">
        <w:rPr>
          <w:rFonts w:ascii="Arial" w:hAnsi="Arial" w:cs="Arial"/>
        </w:rPr>
        <w:t>However, this keeps changing.</w:t>
      </w:r>
      <w:r>
        <w:rPr>
          <w:rFonts w:ascii="Arial" w:hAnsi="Arial" w:cs="Arial"/>
        </w:rPr>
        <w:t xml:space="preserve"> </w:t>
      </w:r>
      <w:r w:rsidRPr="00164355">
        <w:rPr>
          <w:rFonts w:ascii="Arial" w:hAnsi="Arial" w:cs="Arial"/>
        </w:rPr>
        <w:t>Gold isn't reliable in every economic situation because it negative price relationship breaks down during both highly volatile and low-volatile market extremes</w:t>
      </w:r>
      <w:r>
        <w:rPr>
          <w:rFonts w:ascii="Arial" w:hAnsi="Arial" w:cs="Arial"/>
        </w:rPr>
        <w:t xml:space="preserve"> (Hood and Malik, 2013). </w:t>
      </w:r>
    </w:p>
    <w:p w14:paraId="55F384AA" w14:textId="77777777" w:rsidR="00877543" w:rsidRPr="00581D94" w:rsidRDefault="00877543" w:rsidP="00877543">
      <w:pPr>
        <w:pStyle w:val="ListParagraph"/>
        <w:ind w:left="400"/>
        <w:rPr>
          <w:rFonts w:ascii="Arial" w:hAnsi="Arial" w:cs="Arial"/>
        </w:rPr>
      </w:pPr>
    </w:p>
    <w:p w14:paraId="7A355DC6" w14:textId="77777777" w:rsidR="00877543" w:rsidRDefault="00877543" w:rsidP="00877543">
      <w:pPr>
        <w:pStyle w:val="ListParagraph"/>
        <w:ind w:left="0"/>
        <w:rPr>
          <w:rFonts w:ascii="Arial" w:hAnsi="Arial" w:cs="Arial"/>
        </w:rPr>
      </w:pPr>
      <w:r w:rsidRPr="0076008D">
        <w:rPr>
          <w:rFonts w:ascii="Arial" w:hAnsi="Arial" w:cs="Arial"/>
        </w:rPr>
        <w:t xml:space="preserve">Gold doesn't pay any interest, and its value is highly impacted by decisions made by </w:t>
      </w:r>
      <w:r>
        <w:rPr>
          <w:rFonts w:ascii="Arial" w:hAnsi="Arial" w:cs="Arial"/>
        </w:rPr>
        <w:t>the U.S. Federal Reserve (the Fed)</w:t>
      </w:r>
      <w:r w:rsidRPr="0076008D">
        <w:rPr>
          <w:rFonts w:ascii="Arial" w:hAnsi="Arial" w:cs="Arial"/>
        </w:rPr>
        <w:t xml:space="preserve"> about interest rates and money supply</w:t>
      </w:r>
      <w:r>
        <w:rPr>
          <w:rFonts w:ascii="Arial" w:hAnsi="Arial" w:cs="Arial"/>
        </w:rPr>
        <w:t xml:space="preserve"> (</w:t>
      </w:r>
      <w:r w:rsidRPr="00115770">
        <w:rPr>
          <w:rFonts w:ascii="Arial" w:hAnsi="Arial" w:cs="Arial"/>
        </w:rPr>
        <w:t>Baccarini et al., 2024</w:t>
      </w:r>
      <w:r>
        <w:rPr>
          <w:rFonts w:ascii="Arial" w:hAnsi="Arial" w:cs="Arial"/>
        </w:rPr>
        <w:t xml:space="preserve">). </w:t>
      </w:r>
      <w:r w:rsidRPr="00307C3C">
        <w:rPr>
          <w:rFonts w:ascii="Arial" w:hAnsi="Arial" w:cs="Arial"/>
        </w:rPr>
        <w:t>Similarly, the US Federal Reserve unexpectedly cuts interest rates by 25 basis points, and this action has a powerful and immediate effect: stock values generally increase by around 1%</w:t>
      </w:r>
      <w:r>
        <w:rPr>
          <w:rFonts w:ascii="Arial" w:hAnsi="Arial" w:cs="Arial"/>
        </w:rPr>
        <w:t xml:space="preserve"> (</w:t>
      </w:r>
      <w:r w:rsidRPr="00AB2921">
        <w:rPr>
          <w:rFonts w:ascii="Arial" w:hAnsi="Arial" w:cs="Arial"/>
        </w:rPr>
        <w:t>Bernanke &amp; Kuttner, 2005</w:t>
      </w:r>
      <w:r>
        <w:rPr>
          <w:rFonts w:ascii="Arial" w:hAnsi="Arial" w:cs="Arial"/>
        </w:rPr>
        <w:t>)</w:t>
      </w:r>
      <w:r w:rsidRPr="00307C3C">
        <w:rPr>
          <w:rFonts w:ascii="Arial" w:hAnsi="Arial" w:cs="Arial"/>
        </w:rPr>
        <w:t xml:space="preserve">. </w:t>
      </w:r>
      <w:r>
        <w:rPr>
          <w:rFonts w:ascii="Arial" w:hAnsi="Arial" w:cs="Arial"/>
        </w:rPr>
        <w:t xml:space="preserve"> According to the World Gold Council (2019) r</w:t>
      </w:r>
      <w:r w:rsidRPr="00C225B3">
        <w:rPr>
          <w:rFonts w:ascii="Arial" w:hAnsi="Arial" w:cs="Arial"/>
        </w:rPr>
        <w:t xml:space="preserve">ising rates make </w:t>
      </w:r>
      <w:r>
        <w:rPr>
          <w:rFonts w:ascii="Arial" w:hAnsi="Arial" w:cs="Arial"/>
        </w:rPr>
        <w:t>gold</w:t>
      </w:r>
      <w:r w:rsidRPr="00C225B3">
        <w:rPr>
          <w:rFonts w:ascii="Arial" w:hAnsi="Arial" w:cs="Arial"/>
        </w:rPr>
        <w:t xml:space="preserve"> expensive to hold compared to other assets, so investors buy less gold at that time, while falling or negative real interest rates support gold prices.</w:t>
      </w:r>
      <w:r>
        <w:rPr>
          <w:rFonts w:ascii="Arial" w:hAnsi="Arial" w:cs="Arial"/>
        </w:rPr>
        <w:t xml:space="preserve"> </w:t>
      </w:r>
      <w:r w:rsidRPr="00207993">
        <w:rPr>
          <w:rFonts w:ascii="Arial" w:hAnsi="Arial" w:cs="Arial"/>
        </w:rPr>
        <w:t>Thus, global financial shifts in asset valuation are not the result of unchanging economic principles but instead reflect the outcomes of considered monetary policy decisions.</w:t>
      </w:r>
    </w:p>
    <w:p w14:paraId="6C5B63F9" w14:textId="77777777" w:rsidR="00877543" w:rsidRDefault="00877543" w:rsidP="00877543">
      <w:pPr>
        <w:pStyle w:val="ListParagraph"/>
        <w:ind w:left="400"/>
        <w:rPr>
          <w:rFonts w:ascii="Arial" w:hAnsi="Arial" w:cs="Arial"/>
        </w:rPr>
      </w:pPr>
    </w:p>
    <w:p w14:paraId="091728CB" w14:textId="77777777" w:rsidR="00877543" w:rsidRDefault="00877543" w:rsidP="00877543">
      <w:pPr>
        <w:pStyle w:val="ListParagraph"/>
        <w:ind w:left="0"/>
        <w:rPr>
          <w:rFonts w:ascii="Arial" w:hAnsi="Arial" w:cs="Arial"/>
        </w:rPr>
      </w:pPr>
      <w:r w:rsidRPr="00CA64A3">
        <w:rPr>
          <w:rFonts w:ascii="Arial" w:hAnsi="Arial" w:cs="Arial"/>
        </w:rPr>
        <w:t>Changes in the stock market relate to what the US fed is doing with interest rates and money supply.</w:t>
      </w:r>
      <w:r>
        <w:rPr>
          <w:rFonts w:ascii="Arial" w:hAnsi="Arial" w:cs="Arial"/>
        </w:rPr>
        <w:t xml:space="preserve"> </w:t>
      </w:r>
      <w:r w:rsidRPr="00257F1A">
        <w:rPr>
          <w:rFonts w:ascii="Arial" w:hAnsi="Arial" w:cs="Arial"/>
        </w:rPr>
        <w:t xml:space="preserve">During monetary policy periods, valuations of the S&amp;P 500 and Nasdaq tend to expand because lower discount rates increase the present value of future </w:t>
      </w:r>
      <w:r w:rsidRPr="00257F1A">
        <w:rPr>
          <w:rFonts w:ascii="Arial" w:hAnsi="Arial" w:cs="Arial"/>
        </w:rPr>
        <w:lastRenderedPageBreak/>
        <w:t>earnings</w:t>
      </w:r>
      <w:r>
        <w:rPr>
          <w:rFonts w:ascii="Arial" w:hAnsi="Arial" w:cs="Arial"/>
        </w:rPr>
        <w:t xml:space="preserve"> (</w:t>
      </w:r>
      <w:r w:rsidRPr="00B856B8">
        <w:rPr>
          <w:rFonts w:ascii="Arial" w:hAnsi="Arial" w:cs="Arial"/>
        </w:rPr>
        <w:t>Board of Governors of the Federal Reserve System, 2021</w:t>
      </w:r>
      <w:r>
        <w:rPr>
          <w:rFonts w:ascii="Arial" w:hAnsi="Arial" w:cs="Arial"/>
        </w:rPr>
        <w:t>). However,</w:t>
      </w:r>
      <w:r w:rsidRPr="00BF28E3">
        <w:rPr>
          <w:rFonts w:ascii="Arial" w:hAnsi="Arial" w:cs="Arial"/>
        </w:rPr>
        <w:t xml:space="preserve"> </w:t>
      </w:r>
      <w:r>
        <w:rPr>
          <w:rFonts w:ascii="Arial" w:hAnsi="Arial" w:cs="Arial"/>
        </w:rPr>
        <w:t xml:space="preserve">an </w:t>
      </w:r>
      <w:r w:rsidRPr="00BF28E3">
        <w:rPr>
          <w:rFonts w:ascii="Arial" w:hAnsi="Arial" w:cs="Arial"/>
        </w:rPr>
        <w:t>increase</w:t>
      </w:r>
      <w:r>
        <w:rPr>
          <w:rFonts w:ascii="Arial" w:hAnsi="Arial" w:cs="Arial"/>
        </w:rPr>
        <w:t xml:space="preserve"> in interest rates</w:t>
      </w:r>
      <w:r w:rsidRPr="00BF28E3">
        <w:rPr>
          <w:rFonts w:ascii="Arial" w:hAnsi="Arial" w:cs="Arial"/>
        </w:rPr>
        <w:t xml:space="preserve"> tends to be an adjustment to the stock market to reflect those changes, which often leads to increased volatility.</w:t>
      </w:r>
      <w:r>
        <w:rPr>
          <w:rFonts w:ascii="Arial" w:hAnsi="Arial" w:cs="Arial"/>
        </w:rPr>
        <w:t xml:space="preserve"> </w:t>
      </w:r>
    </w:p>
    <w:p w14:paraId="5884A56C" w14:textId="77777777" w:rsidR="00877543" w:rsidRDefault="00877543" w:rsidP="00877543">
      <w:pPr>
        <w:pStyle w:val="ListParagraph"/>
        <w:ind w:left="400"/>
        <w:rPr>
          <w:rFonts w:ascii="Arial" w:hAnsi="Arial" w:cs="Arial"/>
        </w:rPr>
      </w:pPr>
    </w:p>
    <w:p w14:paraId="73CB0A7B" w14:textId="77777777" w:rsidR="00877543" w:rsidRDefault="00877543" w:rsidP="00877543">
      <w:pPr>
        <w:rPr>
          <w:rFonts w:ascii="Arial" w:hAnsi="Arial" w:cs="Arial"/>
        </w:rPr>
      </w:pPr>
      <w:r w:rsidRPr="00581D94">
        <w:rPr>
          <w:rFonts w:ascii="Arial" w:hAnsi="Arial" w:cs="Arial"/>
        </w:rPr>
        <w:t>A significant limitation of existing research is its short time frame. Much of the literature on gold's safe-haven role investigates short periods, such as the 2008 global financial crisis, rather than analysing multiple interest-rate cycles over long periods.</w:t>
      </w:r>
      <w:r>
        <w:rPr>
          <w:rFonts w:ascii="Arial" w:hAnsi="Arial" w:cs="Arial"/>
        </w:rPr>
        <w:t xml:space="preserve"> For example, </w:t>
      </w:r>
      <w:r w:rsidRPr="00BD14EC">
        <w:rPr>
          <w:rFonts w:ascii="Arial" w:hAnsi="Arial" w:cs="Arial"/>
        </w:rPr>
        <w:t>Baur &amp; McDermott (2010) focus</w:t>
      </w:r>
      <w:r>
        <w:rPr>
          <w:rFonts w:ascii="Arial" w:hAnsi="Arial" w:cs="Arial"/>
        </w:rPr>
        <w:t xml:space="preserve"> on the</w:t>
      </w:r>
      <w:r w:rsidRPr="003B4B3C">
        <w:rPr>
          <w:rFonts w:ascii="Arial" w:hAnsi="Arial" w:cs="Arial"/>
        </w:rPr>
        <w:t xml:space="preserve"> correlation between gold and stock market returns during periods of market distress, using an econometric model that focuses on extreme returns and conditional volatility; </w:t>
      </w:r>
      <w:r w:rsidRPr="009D5042">
        <w:rPr>
          <w:rFonts w:ascii="Arial" w:hAnsi="Arial" w:cs="Arial"/>
        </w:rPr>
        <w:t>but their analysis did not investigate US interest rates as descriptive monetary factor.</w:t>
      </w:r>
      <w:r>
        <w:rPr>
          <w:rFonts w:ascii="Arial" w:hAnsi="Arial" w:cs="Arial"/>
        </w:rPr>
        <w:t xml:space="preserve"> </w:t>
      </w:r>
    </w:p>
    <w:p w14:paraId="4F5E0040" w14:textId="77777777" w:rsidR="00877543" w:rsidRDefault="00877543" w:rsidP="00877543">
      <w:pPr>
        <w:ind w:left="400"/>
        <w:rPr>
          <w:rFonts w:ascii="Arial" w:hAnsi="Arial" w:cs="Arial"/>
        </w:rPr>
      </w:pPr>
    </w:p>
    <w:p w14:paraId="643C82EC" w14:textId="77777777" w:rsidR="00877543" w:rsidRPr="00CA64A3" w:rsidRDefault="00877543" w:rsidP="00877543">
      <w:pPr>
        <w:rPr>
          <w:rFonts w:ascii="Arial" w:hAnsi="Arial" w:cs="Arial"/>
        </w:rPr>
      </w:pPr>
      <w:r w:rsidRPr="00EF4EB2">
        <w:rPr>
          <w:rFonts w:ascii="Arial" w:hAnsi="Arial" w:cs="Arial"/>
        </w:rPr>
        <w:t>This study addresses an important gap by examining the 2005-2025 period, which include diverse economic conditions, increased financial market volatility, major shifts in monetary policy and the potential for future market developments. The research evaluates how gold's hedging and Safe-haven properties will change or becoming stronger or weaker depending on both the direction and changes in US interest rates.</w:t>
      </w:r>
    </w:p>
    <w:p w14:paraId="00777241" w14:textId="77777777" w:rsidR="00877543" w:rsidRDefault="00877543" w:rsidP="00877543">
      <w:pPr>
        <w:pStyle w:val="ListParagraph"/>
        <w:ind w:left="400"/>
        <w:rPr>
          <w:rFonts w:ascii="Arial" w:hAnsi="Arial" w:cs="Arial"/>
          <w:b/>
          <w:bCs/>
          <w:sz w:val="28"/>
          <w:szCs w:val="28"/>
        </w:rPr>
      </w:pPr>
    </w:p>
    <w:p w14:paraId="0166C4EA" w14:textId="76643E0F" w:rsidR="00877543" w:rsidRPr="0087680E" w:rsidRDefault="0087680E" w:rsidP="0087680E">
      <w:pPr>
        <w:rPr>
          <w:rFonts w:ascii="Arial" w:hAnsi="Arial" w:cs="Arial"/>
          <w:b/>
          <w:bCs/>
          <w:sz w:val="28"/>
          <w:szCs w:val="28"/>
        </w:rPr>
      </w:pPr>
      <w:r>
        <w:rPr>
          <w:rFonts w:ascii="Arial" w:hAnsi="Arial" w:cs="Arial"/>
          <w:b/>
          <w:bCs/>
          <w:sz w:val="28"/>
          <w:szCs w:val="28"/>
        </w:rPr>
        <w:t>1.2</w:t>
      </w:r>
      <w:r w:rsidR="00877543" w:rsidRPr="0087680E">
        <w:rPr>
          <w:rFonts w:ascii="Arial" w:hAnsi="Arial" w:cs="Arial"/>
          <w:b/>
          <w:bCs/>
          <w:sz w:val="28"/>
          <w:szCs w:val="28"/>
        </w:rPr>
        <w:t xml:space="preserve"> Research Problem Statement</w:t>
      </w:r>
    </w:p>
    <w:p w14:paraId="5E9CF94F" w14:textId="0E322428" w:rsidR="00877543" w:rsidRDefault="00877543" w:rsidP="00877543">
      <w:pPr>
        <w:rPr>
          <w:rFonts w:ascii="Arial" w:hAnsi="Arial" w:cs="Arial"/>
        </w:rPr>
      </w:pPr>
      <w:r w:rsidRPr="00A161C6">
        <w:rPr>
          <w:rFonts w:ascii="Arial" w:hAnsi="Arial" w:cs="Arial"/>
        </w:rPr>
        <w:t>People generally see gold as</w:t>
      </w:r>
      <w:r>
        <w:rPr>
          <w:rFonts w:ascii="Arial" w:hAnsi="Arial" w:cs="Arial"/>
        </w:rPr>
        <w:t xml:space="preserve"> a Safe</w:t>
      </w:r>
      <w:r w:rsidRPr="00A161C6">
        <w:rPr>
          <w:rFonts w:ascii="Arial" w:hAnsi="Arial" w:cs="Arial"/>
        </w:rPr>
        <w:t xml:space="preserve"> </w:t>
      </w:r>
      <w:r>
        <w:rPr>
          <w:rFonts w:ascii="Arial" w:hAnsi="Arial" w:cs="Arial"/>
        </w:rPr>
        <w:t>haven</w:t>
      </w:r>
      <w:r w:rsidRPr="00A161C6">
        <w:rPr>
          <w:rFonts w:ascii="Arial" w:hAnsi="Arial" w:cs="Arial"/>
        </w:rPr>
        <w:t xml:space="preserve"> asset because it has historically had a negative correlation to equity markets. This strong inverse relationship, particularly during times of financial crisis, leads investors buy gold to hedge against losses in the equity markets.</w:t>
      </w:r>
      <w:r>
        <w:rPr>
          <w:rFonts w:ascii="Arial" w:hAnsi="Arial" w:cs="Arial"/>
        </w:rPr>
        <w:t xml:space="preserve"> </w:t>
      </w:r>
      <w:r w:rsidRPr="001E1D0B">
        <w:rPr>
          <w:rFonts w:ascii="Arial" w:hAnsi="Arial" w:cs="Arial"/>
        </w:rPr>
        <w:t>However, the empirical evidence shows that the gold to equity correlation is far from stable; the relationship fluctuates significantly across different macroeconomic and market regimes</w:t>
      </w:r>
      <w:r>
        <w:rPr>
          <w:rFonts w:ascii="Arial" w:hAnsi="Arial" w:cs="Arial"/>
        </w:rPr>
        <w:t xml:space="preserve"> (</w:t>
      </w:r>
      <w:r w:rsidRPr="001E1D0B">
        <w:rPr>
          <w:rFonts w:ascii="Arial" w:hAnsi="Arial" w:cs="Arial"/>
        </w:rPr>
        <w:t>Baur &amp; McDermott, 2010</w:t>
      </w:r>
      <w:r>
        <w:rPr>
          <w:rFonts w:ascii="Arial" w:hAnsi="Arial" w:cs="Arial"/>
        </w:rPr>
        <w:t xml:space="preserve">). </w:t>
      </w:r>
      <w:r w:rsidRPr="00DC2EDE">
        <w:rPr>
          <w:rFonts w:ascii="Arial" w:hAnsi="Arial" w:cs="Arial"/>
        </w:rPr>
        <w:t xml:space="preserve">Beckmann, Berger and </w:t>
      </w:r>
      <w:proofErr w:type="spellStart"/>
      <w:r w:rsidRPr="00DC2EDE">
        <w:rPr>
          <w:rFonts w:ascii="Arial" w:hAnsi="Arial" w:cs="Arial"/>
        </w:rPr>
        <w:t>Czudaj</w:t>
      </w:r>
      <w:proofErr w:type="spellEnd"/>
      <w:r w:rsidRPr="00DC2EDE">
        <w:rPr>
          <w:rFonts w:ascii="Arial" w:hAnsi="Arial" w:cs="Arial"/>
        </w:rPr>
        <w:t xml:space="preserve"> (2015) found that </w:t>
      </w:r>
      <w:r>
        <w:rPr>
          <w:rFonts w:ascii="Arial" w:hAnsi="Arial" w:cs="Arial"/>
        </w:rPr>
        <w:t>t</w:t>
      </w:r>
      <w:r w:rsidRPr="00725C90">
        <w:rPr>
          <w:rFonts w:ascii="Arial" w:hAnsi="Arial" w:cs="Arial"/>
        </w:rPr>
        <w:t xml:space="preserve">he relationship between Gold and equities is nonlinear, and changes depending on market conditions. During market distress, gold is considered as a Safe haven (negative correlation). </w:t>
      </w:r>
      <w:r w:rsidRPr="002E6C18">
        <w:rPr>
          <w:rFonts w:ascii="Arial" w:hAnsi="Arial" w:cs="Arial"/>
        </w:rPr>
        <w:t>However, during no</w:t>
      </w:r>
      <w:r w:rsidR="00031E5D">
        <w:rPr>
          <w:rFonts w:ascii="Arial" w:hAnsi="Arial" w:cs="Arial"/>
        </w:rPr>
        <w:t>r</w:t>
      </w:r>
      <w:r w:rsidRPr="002E6C18">
        <w:rPr>
          <w:rFonts w:ascii="Arial" w:hAnsi="Arial" w:cs="Arial"/>
        </w:rPr>
        <w:t>mal periods, gold does not move in the opposite direction of the market. This makes it difficult for investors to protect their money or balance their portfolios effectively.</w:t>
      </w:r>
    </w:p>
    <w:p w14:paraId="471528CC" w14:textId="77777777" w:rsidR="00877543" w:rsidRDefault="00877543" w:rsidP="00877543">
      <w:pPr>
        <w:rPr>
          <w:rFonts w:ascii="Arial" w:hAnsi="Arial" w:cs="Arial"/>
        </w:rPr>
      </w:pPr>
      <w:r w:rsidRPr="005C143D">
        <w:rPr>
          <w:rFonts w:ascii="Arial" w:hAnsi="Arial" w:cs="Arial"/>
        </w:rPr>
        <w:lastRenderedPageBreak/>
        <w:t>Fluctuating interest rates create market volatility, which encourage investors to shift into safe-haven investments.</w:t>
      </w:r>
      <w:r>
        <w:rPr>
          <w:rFonts w:ascii="Arial" w:hAnsi="Arial" w:cs="Arial"/>
        </w:rPr>
        <w:t xml:space="preserve"> </w:t>
      </w:r>
      <w:r w:rsidRPr="00441839">
        <w:rPr>
          <w:rFonts w:ascii="Arial" w:hAnsi="Arial" w:cs="Arial"/>
        </w:rPr>
        <w:t xml:space="preserve">Gold is an attractive asset class to investors to help them protect against market risk. </w:t>
      </w:r>
      <w:r w:rsidRPr="00B759EF">
        <w:rPr>
          <w:rFonts w:ascii="Arial" w:hAnsi="Arial" w:cs="Arial"/>
        </w:rPr>
        <w:t>In this context, investors turn to gold to preserve purchasing power and safeguard their portfolios from inflation or economic shocks</w:t>
      </w:r>
      <w:r>
        <w:rPr>
          <w:rFonts w:ascii="Arial" w:hAnsi="Arial" w:cs="Arial"/>
        </w:rPr>
        <w:t xml:space="preserve"> </w:t>
      </w:r>
      <w:r w:rsidRPr="00666303">
        <w:rPr>
          <w:rFonts w:ascii="Arial" w:hAnsi="Arial" w:cs="Arial"/>
        </w:rPr>
        <w:t>(Baur &amp; Lucey, 2010)</w:t>
      </w:r>
      <w:r>
        <w:rPr>
          <w:rFonts w:ascii="Arial" w:hAnsi="Arial" w:cs="Arial"/>
        </w:rPr>
        <w:t xml:space="preserve">. </w:t>
      </w:r>
    </w:p>
    <w:p w14:paraId="11CAE437" w14:textId="77777777" w:rsidR="00877543" w:rsidRDefault="00877543" w:rsidP="00877543">
      <w:pPr>
        <w:rPr>
          <w:rFonts w:ascii="Arial" w:hAnsi="Arial" w:cs="Arial"/>
        </w:rPr>
      </w:pPr>
      <w:r w:rsidRPr="00A65B02">
        <w:rPr>
          <w:rFonts w:ascii="Arial" w:hAnsi="Arial" w:cs="Arial"/>
        </w:rPr>
        <w:t>To investigate the inconsistent behaviour of gold and the crucial role of interest rates in shaping asset correlations, this study examines how US interest rate dynamics influence fluctuations in the correlation between gold returns and US equity indices S&amp;P 500 and Nasdaq. Using correlation and regression analysis in Excel, the research aims to identify the conditions under which</w:t>
      </w:r>
      <w:r>
        <w:rPr>
          <w:rFonts w:ascii="Arial" w:hAnsi="Arial" w:cs="Arial"/>
        </w:rPr>
        <w:t xml:space="preserve"> gold consistently function as a Hedge but not a </w:t>
      </w:r>
      <w:r w:rsidRPr="00870ED6">
        <w:rPr>
          <w:rFonts w:ascii="Arial" w:hAnsi="Arial" w:cs="Arial"/>
        </w:rPr>
        <w:t>distinct</w:t>
      </w:r>
      <w:r>
        <w:rPr>
          <w:rFonts w:ascii="Arial" w:hAnsi="Arial" w:cs="Arial"/>
        </w:rPr>
        <w:t xml:space="preserve"> Safe haven (</w:t>
      </w:r>
      <w:r w:rsidRPr="002D4938">
        <w:rPr>
          <w:rFonts w:ascii="Arial" w:hAnsi="Arial" w:cs="Arial"/>
        </w:rPr>
        <w:t>He et al., 2018</w:t>
      </w:r>
      <w:r>
        <w:rPr>
          <w:rFonts w:ascii="Arial" w:hAnsi="Arial" w:cs="Arial"/>
        </w:rPr>
        <w:t>),</w:t>
      </w:r>
      <w:r w:rsidRPr="00A65B02">
        <w:rPr>
          <w:rFonts w:ascii="Arial" w:hAnsi="Arial" w:cs="Arial"/>
        </w:rPr>
        <w:t xml:space="preserve"> thereby informing portfolio construction and risk management. </w:t>
      </w:r>
    </w:p>
    <w:p w14:paraId="2FA1DE1C" w14:textId="77777777" w:rsidR="00877543" w:rsidRPr="00A65B02" w:rsidRDefault="00877543" w:rsidP="00877543">
      <w:pPr>
        <w:ind w:left="400"/>
        <w:rPr>
          <w:rFonts w:ascii="Arial" w:hAnsi="Arial" w:cs="Arial"/>
        </w:rPr>
      </w:pPr>
    </w:p>
    <w:p w14:paraId="6FD2A0A0" w14:textId="60CB8F9C" w:rsidR="00877543" w:rsidRPr="0087680E" w:rsidRDefault="0087680E" w:rsidP="0087680E">
      <w:pPr>
        <w:rPr>
          <w:rFonts w:ascii="Arial" w:hAnsi="Arial" w:cs="Arial"/>
          <w:b/>
          <w:bCs/>
          <w:sz w:val="28"/>
          <w:szCs w:val="28"/>
        </w:rPr>
      </w:pPr>
      <w:r>
        <w:rPr>
          <w:rFonts w:ascii="Arial" w:hAnsi="Arial" w:cs="Arial"/>
          <w:b/>
          <w:bCs/>
          <w:sz w:val="28"/>
          <w:szCs w:val="28"/>
        </w:rPr>
        <w:t>1.3</w:t>
      </w:r>
      <w:r w:rsidR="00877543" w:rsidRPr="0087680E">
        <w:rPr>
          <w:rFonts w:ascii="Arial" w:hAnsi="Arial" w:cs="Arial"/>
          <w:b/>
          <w:bCs/>
          <w:sz w:val="28"/>
          <w:szCs w:val="28"/>
        </w:rPr>
        <w:t xml:space="preserve"> Research Aim</w:t>
      </w:r>
    </w:p>
    <w:p w14:paraId="7E690CC3" w14:textId="77777777" w:rsidR="00877543" w:rsidRDefault="00877543" w:rsidP="00877543">
      <w:pPr>
        <w:pStyle w:val="ListParagraph"/>
        <w:ind w:left="0"/>
        <w:rPr>
          <w:rFonts w:ascii="Arial" w:hAnsi="Arial" w:cs="Arial"/>
        </w:rPr>
      </w:pPr>
      <w:r w:rsidRPr="00347BCC">
        <w:rPr>
          <w:rFonts w:ascii="Arial" w:hAnsi="Arial" w:cs="Arial"/>
        </w:rPr>
        <w:t>The aim of this research is to examine the effect of</w:t>
      </w:r>
      <w:r>
        <w:rPr>
          <w:rFonts w:ascii="Arial" w:hAnsi="Arial" w:cs="Arial"/>
        </w:rPr>
        <w:t xml:space="preserve"> changes in</w:t>
      </w:r>
      <w:r w:rsidRPr="00347BCC">
        <w:rPr>
          <w:rFonts w:ascii="Arial" w:hAnsi="Arial" w:cs="Arial"/>
        </w:rPr>
        <w:t xml:space="preserve"> US interest rate change between 2005 to 2025 on gold's effectiveness as a hedge and </w:t>
      </w:r>
      <w:r>
        <w:rPr>
          <w:rFonts w:ascii="Arial" w:hAnsi="Arial" w:cs="Arial"/>
        </w:rPr>
        <w:t>S</w:t>
      </w:r>
      <w:r w:rsidRPr="00347BCC">
        <w:rPr>
          <w:rFonts w:ascii="Arial" w:hAnsi="Arial" w:cs="Arial"/>
        </w:rPr>
        <w:t>afe haven against the S&amp;P 500 and Nasdaq.</w:t>
      </w:r>
      <w:r>
        <w:rPr>
          <w:rFonts w:ascii="Arial" w:hAnsi="Arial" w:cs="Arial"/>
        </w:rPr>
        <w:t xml:space="preserve"> </w:t>
      </w:r>
      <w:r w:rsidRPr="004122C1">
        <w:rPr>
          <w:rFonts w:ascii="Arial" w:hAnsi="Arial" w:cs="Arial"/>
        </w:rPr>
        <w:t>The purpose of the study is to determine whether gold provides a reliable Safe haven during periods of stock markets volatility and to analyse how changes in monetary policy influence this relationship.</w:t>
      </w:r>
    </w:p>
    <w:p w14:paraId="1F1B91BF" w14:textId="77777777" w:rsidR="00877543" w:rsidRPr="00714686" w:rsidRDefault="00877543" w:rsidP="00877543">
      <w:pPr>
        <w:pStyle w:val="ListParagraph"/>
        <w:ind w:left="400"/>
        <w:rPr>
          <w:rFonts w:ascii="Arial" w:hAnsi="Arial" w:cs="Arial"/>
        </w:rPr>
      </w:pPr>
    </w:p>
    <w:p w14:paraId="7FB31E6E" w14:textId="5D32D47D" w:rsidR="00877543" w:rsidRPr="0087680E" w:rsidRDefault="0087680E" w:rsidP="0087680E">
      <w:pPr>
        <w:rPr>
          <w:rFonts w:ascii="Arial" w:hAnsi="Arial" w:cs="Arial"/>
          <w:b/>
          <w:bCs/>
          <w:sz w:val="28"/>
          <w:szCs w:val="28"/>
        </w:rPr>
      </w:pPr>
      <w:r>
        <w:rPr>
          <w:rFonts w:ascii="Arial" w:hAnsi="Arial" w:cs="Arial"/>
          <w:b/>
          <w:bCs/>
          <w:sz w:val="28"/>
          <w:szCs w:val="28"/>
        </w:rPr>
        <w:t>1.4</w:t>
      </w:r>
      <w:r w:rsidR="00877543" w:rsidRPr="0087680E">
        <w:rPr>
          <w:rFonts w:ascii="Arial" w:hAnsi="Arial" w:cs="Arial"/>
          <w:b/>
          <w:bCs/>
          <w:sz w:val="28"/>
          <w:szCs w:val="28"/>
        </w:rPr>
        <w:t xml:space="preserve"> Research Objectives</w:t>
      </w:r>
    </w:p>
    <w:p w14:paraId="15A35E32" w14:textId="77777777" w:rsidR="00877543" w:rsidRDefault="00877543" w:rsidP="00877543">
      <w:pPr>
        <w:pStyle w:val="ListParagraph"/>
        <w:numPr>
          <w:ilvl w:val="0"/>
          <w:numId w:val="2"/>
        </w:numPr>
        <w:rPr>
          <w:rFonts w:ascii="Arial" w:hAnsi="Arial" w:cs="Arial"/>
        </w:rPr>
      </w:pPr>
      <w:r w:rsidRPr="00286590">
        <w:rPr>
          <w:rFonts w:ascii="Arial" w:hAnsi="Arial" w:cs="Arial"/>
        </w:rPr>
        <w:t xml:space="preserve">This research will investigate the correlation between US interest rate shifts and </w:t>
      </w:r>
      <w:r w:rsidRPr="0093340A">
        <w:rPr>
          <w:rFonts w:ascii="Arial" w:hAnsi="Arial" w:cs="Arial"/>
        </w:rPr>
        <w:t>the profitability of gold investments</w:t>
      </w:r>
      <w:r w:rsidRPr="00286590">
        <w:rPr>
          <w:rFonts w:ascii="Arial" w:hAnsi="Arial" w:cs="Arial"/>
        </w:rPr>
        <w:t xml:space="preserve"> during the 2005 - 2025 period.</w:t>
      </w:r>
    </w:p>
    <w:p w14:paraId="37615DEF" w14:textId="77777777" w:rsidR="00877543" w:rsidRDefault="00877543" w:rsidP="00877543">
      <w:pPr>
        <w:pStyle w:val="ListParagraph"/>
        <w:numPr>
          <w:ilvl w:val="0"/>
          <w:numId w:val="2"/>
        </w:numPr>
        <w:rPr>
          <w:rFonts w:ascii="Arial" w:hAnsi="Arial" w:cs="Arial"/>
        </w:rPr>
      </w:pPr>
      <w:r w:rsidRPr="00286590">
        <w:rPr>
          <w:rFonts w:ascii="Arial" w:hAnsi="Arial" w:cs="Arial"/>
        </w:rPr>
        <w:t>This study will examine the performance of gold and US stock markets (S&amp;P 500 and Nasdaq), separating the data based on different phases of the interest rate cycle.</w:t>
      </w:r>
    </w:p>
    <w:p w14:paraId="2D5D7563" w14:textId="77777777" w:rsidR="00877543" w:rsidRDefault="00877543" w:rsidP="00877543">
      <w:pPr>
        <w:pStyle w:val="ListParagraph"/>
        <w:numPr>
          <w:ilvl w:val="0"/>
          <w:numId w:val="2"/>
        </w:numPr>
        <w:rPr>
          <w:rFonts w:ascii="Arial" w:hAnsi="Arial" w:cs="Arial"/>
        </w:rPr>
      </w:pPr>
      <w:r w:rsidRPr="00FE20AC">
        <w:rPr>
          <w:rFonts w:ascii="Arial" w:hAnsi="Arial" w:cs="Arial"/>
        </w:rPr>
        <w:t>This study will assess how the effectiveness of gold in protecting portfolios and holding value during crises (</w:t>
      </w:r>
      <w:r>
        <w:rPr>
          <w:rFonts w:ascii="Arial" w:hAnsi="Arial" w:cs="Arial"/>
        </w:rPr>
        <w:t>S</w:t>
      </w:r>
      <w:r w:rsidRPr="00FE20AC">
        <w:rPr>
          <w:rFonts w:ascii="Arial" w:hAnsi="Arial" w:cs="Arial"/>
        </w:rPr>
        <w:t>afe haven) changes when interest rates move up or down under different market conditions.</w:t>
      </w:r>
    </w:p>
    <w:p w14:paraId="78C262D5" w14:textId="7B4AC5DC" w:rsidR="00877543" w:rsidRPr="005A7D57" w:rsidRDefault="00877543" w:rsidP="005A7D57">
      <w:pPr>
        <w:pStyle w:val="ListParagraph"/>
        <w:numPr>
          <w:ilvl w:val="0"/>
          <w:numId w:val="2"/>
        </w:numPr>
        <w:rPr>
          <w:rFonts w:ascii="Arial" w:hAnsi="Arial" w:cs="Arial"/>
        </w:rPr>
      </w:pPr>
      <w:r w:rsidRPr="00924D57">
        <w:rPr>
          <w:rFonts w:ascii="Arial" w:hAnsi="Arial" w:cs="Arial"/>
        </w:rPr>
        <w:t>This study will evaluate how these established relationships impact portfolio diversification and risk management.</w:t>
      </w:r>
    </w:p>
    <w:p w14:paraId="54568295" w14:textId="316B448F" w:rsidR="00877543" w:rsidRPr="0087680E" w:rsidRDefault="0087680E" w:rsidP="0087680E">
      <w:pPr>
        <w:rPr>
          <w:rFonts w:ascii="Arial" w:hAnsi="Arial" w:cs="Arial"/>
          <w:b/>
          <w:bCs/>
          <w:sz w:val="28"/>
          <w:szCs w:val="28"/>
        </w:rPr>
      </w:pPr>
      <w:r>
        <w:rPr>
          <w:rFonts w:ascii="Arial" w:hAnsi="Arial" w:cs="Arial"/>
          <w:b/>
          <w:bCs/>
          <w:sz w:val="28"/>
          <w:szCs w:val="28"/>
        </w:rPr>
        <w:lastRenderedPageBreak/>
        <w:t>1.5</w:t>
      </w:r>
      <w:r w:rsidR="00877543" w:rsidRPr="0087680E">
        <w:rPr>
          <w:rFonts w:ascii="Arial" w:hAnsi="Arial" w:cs="Arial"/>
          <w:b/>
          <w:bCs/>
          <w:sz w:val="28"/>
          <w:szCs w:val="28"/>
        </w:rPr>
        <w:t xml:space="preserve"> Research Questions </w:t>
      </w:r>
    </w:p>
    <w:p w14:paraId="15DC7C0D" w14:textId="77777777" w:rsidR="00877543" w:rsidRDefault="00877543" w:rsidP="00877543">
      <w:pPr>
        <w:pStyle w:val="ListParagraph"/>
        <w:ind w:left="0"/>
        <w:rPr>
          <w:rFonts w:ascii="Arial" w:hAnsi="Arial" w:cs="Arial"/>
        </w:rPr>
      </w:pPr>
      <w:r>
        <w:rPr>
          <w:rFonts w:ascii="Arial" w:hAnsi="Arial" w:cs="Arial"/>
          <w:b/>
          <w:bCs/>
        </w:rPr>
        <w:t xml:space="preserve">RQ1: </w:t>
      </w:r>
      <w:bookmarkStart w:id="0" w:name="_Hlk214891373"/>
      <w:r w:rsidRPr="00B46F9F">
        <w:rPr>
          <w:rFonts w:ascii="Arial" w:hAnsi="Arial" w:cs="Arial"/>
        </w:rPr>
        <w:t xml:space="preserve">What is the </w:t>
      </w:r>
      <w:r>
        <w:rPr>
          <w:rFonts w:ascii="Arial" w:hAnsi="Arial" w:cs="Arial"/>
        </w:rPr>
        <w:t>relationship</w:t>
      </w:r>
      <w:r w:rsidRPr="00B46F9F">
        <w:rPr>
          <w:rFonts w:ascii="Arial" w:hAnsi="Arial" w:cs="Arial"/>
        </w:rPr>
        <w:t xml:space="preserve"> between </w:t>
      </w:r>
      <w:r>
        <w:rPr>
          <w:rFonts w:ascii="Arial" w:hAnsi="Arial" w:cs="Arial"/>
        </w:rPr>
        <w:t>changes</w:t>
      </w:r>
      <w:r w:rsidRPr="00B46F9F">
        <w:rPr>
          <w:rFonts w:ascii="Arial" w:hAnsi="Arial" w:cs="Arial"/>
        </w:rPr>
        <w:t xml:space="preserve"> in US rates and the movement of gold and US equity returns</w:t>
      </w:r>
      <w:r>
        <w:rPr>
          <w:rFonts w:ascii="Arial" w:hAnsi="Arial" w:cs="Arial"/>
        </w:rPr>
        <w:t xml:space="preserve"> during the periods of 2005 to 2025</w:t>
      </w:r>
      <w:r w:rsidRPr="00B46F9F">
        <w:rPr>
          <w:rFonts w:ascii="Arial" w:hAnsi="Arial" w:cs="Arial"/>
        </w:rPr>
        <w:t>?</w:t>
      </w:r>
    </w:p>
    <w:bookmarkEnd w:id="0"/>
    <w:p w14:paraId="468FC41B" w14:textId="77777777" w:rsidR="00877543" w:rsidRDefault="00877543" w:rsidP="00877543">
      <w:pPr>
        <w:pStyle w:val="ListParagraph"/>
        <w:ind w:left="0"/>
        <w:rPr>
          <w:rFonts w:ascii="Arial" w:hAnsi="Arial" w:cs="Arial"/>
        </w:rPr>
      </w:pPr>
      <w:r w:rsidRPr="00B46F9F">
        <w:rPr>
          <w:rFonts w:ascii="Arial" w:hAnsi="Arial" w:cs="Arial"/>
          <w:b/>
          <w:bCs/>
        </w:rPr>
        <w:t>RQ2:</w:t>
      </w:r>
      <w:r>
        <w:rPr>
          <w:rFonts w:ascii="Arial" w:hAnsi="Arial" w:cs="Arial"/>
          <w:b/>
          <w:bCs/>
        </w:rPr>
        <w:t xml:space="preserve"> </w:t>
      </w:r>
      <w:r>
        <w:rPr>
          <w:rFonts w:ascii="Arial" w:hAnsi="Arial" w:cs="Arial"/>
        </w:rPr>
        <w:t>Is</w:t>
      </w:r>
      <w:r w:rsidRPr="00F60F48">
        <w:rPr>
          <w:rFonts w:ascii="Arial" w:hAnsi="Arial" w:cs="Arial"/>
        </w:rPr>
        <w:t xml:space="preserve"> gold a hedge or against the </w:t>
      </w:r>
      <w:r>
        <w:rPr>
          <w:rFonts w:ascii="Arial" w:hAnsi="Arial" w:cs="Arial"/>
        </w:rPr>
        <w:t xml:space="preserve">US equity returns </w:t>
      </w:r>
      <w:r w:rsidRPr="00F60F48">
        <w:rPr>
          <w:rFonts w:ascii="Arial" w:hAnsi="Arial" w:cs="Arial"/>
        </w:rPr>
        <w:t>during</w:t>
      </w:r>
      <w:r>
        <w:rPr>
          <w:rFonts w:ascii="Arial" w:hAnsi="Arial" w:cs="Arial"/>
        </w:rPr>
        <w:t xml:space="preserve"> the periods of</w:t>
      </w:r>
      <w:r w:rsidRPr="00F60F48">
        <w:rPr>
          <w:rFonts w:ascii="Arial" w:hAnsi="Arial" w:cs="Arial"/>
        </w:rPr>
        <w:t xml:space="preserve"> high or low interest rates?</w:t>
      </w:r>
    </w:p>
    <w:p w14:paraId="1463214B" w14:textId="77777777" w:rsidR="00877543" w:rsidRDefault="00877543" w:rsidP="00877543">
      <w:pPr>
        <w:pStyle w:val="ListParagraph"/>
        <w:ind w:left="0"/>
        <w:rPr>
          <w:rFonts w:ascii="Arial" w:hAnsi="Arial" w:cs="Arial"/>
        </w:rPr>
      </w:pPr>
      <w:r w:rsidRPr="009A3C76">
        <w:rPr>
          <w:rFonts w:ascii="Arial" w:hAnsi="Arial" w:cs="Arial"/>
          <w:b/>
          <w:bCs/>
        </w:rPr>
        <w:t xml:space="preserve">RQ3: </w:t>
      </w:r>
      <w:r w:rsidRPr="009A3C76">
        <w:rPr>
          <w:rFonts w:ascii="Arial" w:hAnsi="Arial" w:cs="Arial"/>
        </w:rPr>
        <w:t>What is the relationship between the price of gold and the returns of the US stock market during the changing of interest rates?</w:t>
      </w:r>
    </w:p>
    <w:p w14:paraId="3A00F9C9" w14:textId="77777777" w:rsidR="00877543" w:rsidRDefault="00877543" w:rsidP="00877543">
      <w:pPr>
        <w:pStyle w:val="ListParagraph"/>
        <w:ind w:left="0"/>
        <w:rPr>
          <w:rFonts w:ascii="Arial" w:hAnsi="Arial" w:cs="Arial"/>
        </w:rPr>
      </w:pPr>
      <w:r w:rsidRPr="009A3C76">
        <w:rPr>
          <w:rFonts w:ascii="Arial" w:hAnsi="Arial" w:cs="Arial"/>
          <w:b/>
          <w:bCs/>
        </w:rPr>
        <w:t xml:space="preserve">RQ4: </w:t>
      </w:r>
      <w:r w:rsidRPr="009A3C76">
        <w:rPr>
          <w:rFonts w:ascii="Arial" w:hAnsi="Arial" w:cs="Arial"/>
        </w:rPr>
        <w:t>How does the changing relationship between gold and US stock returns for portfolio diversification and risk management.</w:t>
      </w:r>
    </w:p>
    <w:p w14:paraId="527B6F0E" w14:textId="77777777" w:rsidR="00877543" w:rsidRDefault="00877543" w:rsidP="00877543">
      <w:pPr>
        <w:pStyle w:val="ListParagraph"/>
        <w:ind w:left="400"/>
        <w:rPr>
          <w:rFonts w:ascii="Arial" w:hAnsi="Arial" w:cs="Arial"/>
        </w:rPr>
      </w:pPr>
    </w:p>
    <w:p w14:paraId="64606086" w14:textId="54D17FCF" w:rsidR="00877543" w:rsidRPr="0087680E" w:rsidRDefault="0087680E" w:rsidP="0087680E">
      <w:pPr>
        <w:rPr>
          <w:rFonts w:ascii="Arial" w:hAnsi="Arial" w:cs="Arial"/>
          <w:b/>
          <w:bCs/>
          <w:sz w:val="28"/>
          <w:szCs w:val="28"/>
        </w:rPr>
      </w:pPr>
      <w:r>
        <w:rPr>
          <w:rFonts w:ascii="Arial" w:hAnsi="Arial" w:cs="Arial"/>
          <w:b/>
          <w:bCs/>
          <w:sz w:val="28"/>
          <w:szCs w:val="28"/>
        </w:rPr>
        <w:t>1.6</w:t>
      </w:r>
      <w:r w:rsidR="00877543" w:rsidRPr="0087680E">
        <w:rPr>
          <w:rFonts w:ascii="Arial" w:hAnsi="Arial" w:cs="Arial"/>
          <w:b/>
          <w:bCs/>
          <w:sz w:val="28"/>
          <w:szCs w:val="28"/>
        </w:rPr>
        <w:t xml:space="preserve"> Significance of Study </w:t>
      </w:r>
    </w:p>
    <w:p w14:paraId="6063D8DB" w14:textId="77777777" w:rsidR="00877543" w:rsidRPr="007B5DCA" w:rsidRDefault="00877543" w:rsidP="00877543">
      <w:pPr>
        <w:pStyle w:val="ListParagraph"/>
        <w:ind w:left="0"/>
        <w:rPr>
          <w:rFonts w:ascii="Arial" w:hAnsi="Arial" w:cs="Arial"/>
        </w:rPr>
      </w:pPr>
      <w:r w:rsidRPr="007B5DCA">
        <w:rPr>
          <w:rFonts w:ascii="Arial" w:hAnsi="Arial" w:cs="Arial"/>
        </w:rPr>
        <w:t>This research is an important contribution to financial literature by providing practical advice. This study will conduct a systematic analysis of data from 2005 to 2025; to detail how the return of gold and US equities (S&amp;P 500 and Nasdaq) correlate with periods of increasing and decreasing US interest rates, a relationship often overlooked in crisis analysis.</w:t>
      </w:r>
      <w:r>
        <w:rPr>
          <w:rFonts w:ascii="Arial" w:hAnsi="Arial" w:cs="Arial"/>
        </w:rPr>
        <w:t xml:space="preserve"> </w:t>
      </w:r>
      <w:r w:rsidRPr="007C1DE1">
        <w:rPr>
          <w:rFonts w:ascii="Arial" w:hAnsi="Arial" w:cs="Arial"/>
        </w:rPr>
        <w:t xml:space="preserve">A quantitative analysis using correlation and regression in Excel is a robust way to assess the relationship between Federal Reserve monetary policy and </w:t>
      </w:r>
      <w:r>
        <w:rPr>
          <w:rFonts w:ascii="Arial" w:hAnsi="Arial" w:cs="Arial"/>
        </w:rPr>
        <w:t>G</w:t>
      </w:r>
      <w:r w:rsidRPr="007C1DE1">
        <w:rPr>
          <w:rFonts w:ascii="Arial" w:hAnsi="Arial" w:cs="Arial"/>
        </w:rPr>
        <w:t>old</w:t>
      </w:r>
      <w:r>
        <w:rPr>
          <w:rFonts w:ascii="Arial" w:hAnsi="Arial" w:cs="Arial"/>
        </w:rPr>
        <w:t>’</w:t>
      </w:r>
      <w:r w:rsidRPr="007C1DE1">
        <w:rPr>
          <w:rFonts w:ascii="Arial" w:hAnsi="Arial" w:cs="Arial"/>
        </w:rPr>
        <w:t xml:space="preserve">s as a potential hedge and </w:t>
      </w:r>
      <w:r>
        <w:rPr>
          <w:rFonts w:ascii="Arial" w:hAnsi="Arial" w:cs="Arial"/>
        </w:rPr>
        <w:t>S</w:t>
      </w:r>
      <w:r w:rsidRPr="007C1DE1">
        <w:rPr>
          <w:rFonts w:ascii="Arial" w:hAnsi="Arial" w:cs="Arial"/>
        </w:rPr>
        <w:t>afe haven asset.</w:t>
      </w:r>
      <w:r w:rsidRPr="00522540">
        <w:rPr>
          <w:rFonts w:ascii="Arial" w:hAnsi="Arial" w:cs="Arial"/>
          <w:color w:val="1F1F1F"/>
          <w:shd w:val="clear" w:color="auto" w:fill="FFFFFF"/>
        </w:rPr>
        <w:t xml:space="preserve"> </w:t>
      </w:r>
      <w:r w:rsidRPr="00522540">
        <w:rPr>
          <w:rFonts w:ascii="Arial" w:hAnsi="Arial" w:cs="Arial"/>
        </w:rPr>
        <w:t xml:space="preserve">The findings provide insights for portfolio diversification and risk management, specifically that higher interest rates are expected to weaken gold's </w:t>
      </w:r>
      <w:r>
        <w:rPr>
          <w:rFonts w:ascii="Arial" w:hAnsi="Arial" w:cs="Arial"/>
        </w:rPr>
        <w:t>S</w:t>
      </w:r>
      <w:r w:rsidRPr="00522540">
        <w:rPr>
          <w:rFonts w:ascii="Arial" w:hAnsi="Arial" w:cs="Arial"/>
        </w:rPr>
        <w:t>afe haven role due to increased opportunity cost, while falling rates provide a stronger hedge against inflation. Consequently, investors and financial professionals can more effectively develop their asset allocation plans and manage risks associated with changing economic conditions.</w:t>
      </w:r>
    </w:p>
    <w:p w14:paraId="71834423" w14:textId="77777777" w:rsidR="00877543" w:rsidRPr="009D6186" w:rsidRDefault="00877543" w:rsidP="00877543">
      <w:pPr>
        <w:pStyle w:val="ListParagraph"/>
        <w:ind w:left="400"/>
        <w:rPr>
          <w:rFonts w:ascii="Arial" w:hAnsi="Arial" w:cs="Arial"/>
        </w:rPr>
      </w:pPr>
    </w:p>
    <w:p w14:paraId="53D9F936" w14:textId="0BCE79FD" w:rsidR="00877543" w:rsidRPr="0087680E" w:rsidRDefault="0087680E" w:rsidP="0087680E">
      <w:pPr>
        <w:rPr>
          <w:rFonts w:ascii="Arial" w:hAnsi="Arial" w:cs="Arial"/>
          <w:b/>
          <w:bCs/>
          <w:sz w:val="28"/>
          <w:szCs w:val="28"/>
        </w:rPr>
      </w:pPr>
      <w:r>
        <w:rPr>
          <w:rFonts w:ascii="Arial" w:hAnsi="Arial" w:cs="Arial"/>
          <w:b/>
          <w:bCs/>
          <w:sz w:val="28"/>
          <w:szCs w:val="28"/>
        </w:rPr>
        <w:t>1.7</w:t>
      </w:r>
      <w:r w:rsidR="00877543" w:rsidRPr="0087680E">
        <w:rPr>
          <w:rFonts w:ascii="Arial" w:hAnsi="Arial" w:cs="Arial"/>
          <w:b/>
          <w:bCs/>
          <w:sz w:val="28"/>
          <w:szCs w:val="28"/>
        </w:rPr>
        <w:t xml:space="preserve"> Dissertation Structure Overview</w:t>
      </w:r>
    </w:p>
    <w:p w14:paraId="6C3A6841" w14:textId="77777777" w:rsidR="00877543" w:rsidRPr="004E6404" w:rsidRDefault="00877543" w:rsidP="00877543">
      <w:pPr>
        <w:pStyle w:val="ListParagraph"/>
        <w:ind w:left="0"/>
        <w:rPr>
          <w:rFonts w:ascii="Arial" w:hAnsi="Arial" w:cs="Arial"/>
        </w:rPr>
      </w:pPr>
      <w:r w:rsidRPr="00DB4D85">
        <w:rPr>
          <w:rFonts w:ascii="Arial" w:hAnsi="Arial" w:cs="Arial"/>
        </w:rPr>
        <w:t xml:space="preserve">The dissertation consists of five chapters. Chapter one provides an overview of the research problems, places the research in context and establishes the purpose of the dissertation; Chapter Two provides a review of existing literature and identifies the research gap. </w:t>
      </w:r>
      <w:r w:rsidRPr="00B17393">
        <w:rPr>
          <w:rFonts w:ascii="Arial" w:hAnsi="Arial" w:cs="Arial"/>
        </w:rPr>
        <w:t xml:space="preserve">Chapter Three, The Methodology, describes the design of the research, the processes for collecting the data and </w:t>
      </w:r>
      <w:r>
        <w:rPr>
          <w:rFonts w:ascii="Arial" w:hAnsi="Arial" w:cs="Arial"/>
        </w:rPr>
        <w:t xml:space="preserve">analysis techniques. </w:t>
      </w:r>
      <w:r w:rsidRPr="004C7BB4">
        <w:rPr>
          <w:rFonts w:ascii="Arial" w:hAnsi="Arial" w:cs="Arial"/>
        </w:rPr>
        <w:t>Chapter Four is where the data analysis is detailed.</w:t>
      </w:r>
      <w:r>
        <w:rPr>
          <w:rFonts w:ascii="Arial" w:hAnsi="Arial" w:cs="Arial"/>
        </w:rPr>
        <w:t xml:space="preserve"> </w:t>
      </w:r>
      <w:r w:rsidRPr="001A3C35">
        <w:rPr>
          <w:rFonts w:ascii="Arial" w:hAnsi="Arial" w:cs="Arial"/>
        </w:rPr>
        <w:t xml:space="preserve">In the final chapter, the discussion and Conclusion </w:t>
      </w:r>
      <w:r w:rsidRPr="001A3C35">
        <w:rPr>
          <w:rFonts w:ascii="Arial" w:hAnsi="Arial" w:cs="Arial"/>
        </w:rPr>
        <w:lastRenderedPageBreak/>
        <w:t>analyse and explain the original research questions, clarify the significance of findings, address the study's limitations and propose ideas for future studies in this area.</w:t>
      </w:r>
    </w:p>
    <w:p w14:paraId="17BE6513" w14:textId="77777777" w:rsidR="00877543" w:rsidRDefault="00877543" w:rsidP="00877543">
      <w:pPr>
        <w:pStyle w:val="ListParagraph"/>
        <w:ind w:left="0"/>
        <w:rPr>
          <w:rFonts w:ascii="Arial" w:hAnsi="Arial" w:cs="Arial"/>
          <w:b/>
          <w:bCs/>
        </w:rPr>
      </w:pPr>
      <w:r>
        <w:rPr>
          <w:rFonts w:ascii="Arial" w:hAnsi="Arial" w:cs="Arial"/>
          <w:b/>
          <w:bCs/>
          <w:noProof/>
        </w:rPr>
        <w:drawing>
          <wp:inline distT="0" distB="0" distL="0" distR="0" wp14:anchorId="1B65613A" wp14:editId="1B4FA00D">
            <wp:extent cx="5816600" cy="3282950"/>
            <wp:effectExtent l="0" t="0" r="12700" b="0"/>
            <wp:docPr id="74142834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E384D42" w14:textId="7835F82F" w:rsidR="00877543" w:rsidRDefault="00877543" w:rsidP="00877543">
      <w:pPr>
        <w:pStyle w:val="ListParagraph"/>
        <w:ind w:left="400"/>
        <w:jc w:val="center"/>
        <w:rPr>
          <w:rFonts w:ascii="Arial" w:hAnsi="Arial" w:cs="Arial"/>
          <w:b/>
          <w:bCs/>
          <w:sz w:val="28"/>
          <w:szCs w:val="28"/>
        </w:rPr>
      </w:pPr>
      <w:r w:rsidRPr="0094499E">
        <w:rPr>
          <w:rFonts w:ascii="Arial" w:hAnsi="Arial" w:cs="Arial"/>
          <w:b/>
          <w:bCs/>
          <w:sz w:val="28"/>
          <w:szCs w:val="28"/>
        </w:rPr>
        <w:t>FIGURE</w:t>
      </w:r>
      <w:r w:rsidR="00C7148E">
        <w:rPr>
          <w:rFonts w:ascii="Arial" w:hAnsi="Arial" w:cs="Arial"/>
          <w:b/>
          <w:bCs/>
          <w:sz w:val="28"/>
          <w:szCs w:val="28"/>
        </w:rPr>
        <w:t xml:space="preserve"> 1</w:t>
      </w:r>
      <w:r w:rsidRPr="0094499E">
        <w:rPr>
          <w:rFonts w:ascii="Arial" w:hAnsi="Arial" w:cs="Arial"/>
          <w:b/>
          <w:bCs/>
          <w:sz w:val="28"/>
          <w:szCs w:val="28"/>
        </w:rPr>
        <w:t>: Outline of the Chapters in this dissertation</w:t>
      </w:r>
    </w:p>
    <w:p w14:paraId="50F8E87E" w14:textId="77777777" w:rsidR="00877543" w:rsidRDefault="00877543" w:rsidP="00877543">
      <w:pPr>
        <w:pStyle w:val="ListParagraph"/>
        <w:ind w:left="400"/>
        <w:jc w:val="center"/>
        <w:rPr>
          <w:rFonts w:ascii="Arial" w:hAnsi="Arial" w:cs="Arial"/>
          <w:b/>
          <w:bCs/>
        </w:rPr>
      </w:pPr>
      <w:r>
        <w:rPr>
          <w:rFonts w:ascii="Arial" w:hAnsi="Arial" w:cs="Arial"/>
          <w:b/>
          <w:bCs/>
        </w:rPr>
        <w:t xml:space="preserve">(Source: </w:t>
      </w:r>
      <w:r w:rsidRPr="00E6723A">
        <w:rPr>
          <w:rFonts w:ascii="Arial" w:hAnsi="Arial" w:cs="Arial"/>
        </w:rPr>
        <w:t>Author</w:t>
      </w:r>
      <w:r>
        <w:rPr>
          <w:rFonts w:ascii="Arial" w:hAnsi="Arial" w:cs="Arial"/>
          <w:b/>
          <w:bCs/>
        </w:rPr>
        <w:t>)</w:t>
      </w:r>
    </w:p>
    <w:p w14:paraId="77FC0C00" w14:textId="77777777" w:rsidR="00877543" w:rsidRDefault="00877543" w:rsidP="00877543">
      <w:pPr>
        <w:pStyle w:val="ListParagraph"/>
        <w:ind w:left="400"/>
        <w:jc w:val="center"/>
        <w:rPr>
          <w:rFonts w:ascii="Arial" w:hAnsi="Arial" w:cs="Arial"/>
          <w:b/>
          <w:bCs/>
        </w:rPr>
      </w:pPr>
    </w:p>
    <w:p w14:paraId="5E6FB589" w14:textId="77777777" w:rsidR="00EE4105" w:rsidRDefault="00EE4105">
      <w:pPr>
        <w:rPr>
          <w:rFonts w:ascii="Arial" w:hAnsi="Arial" w:cs="Arial"/>
        </w:rPr>
      </w:pPr>
    </w:p>
    <w:p w14:paraId="4983835F" w14:textId="77777777" w:rsidR="00877543" w:rsidRDefault="00877543">
      <w:pPr>
        <w:rPr>
          <w:rFonts w:ascii="Arial" w:hAnsi="Arial" w:cs="Arial"/>
        </w:rPr>
      </w:pPr>
    </w:p>
    <w:p w14:paraId="0595CE3A" w14:textId="77777777" w:rsidR="00877543" w:rsidRDefault="00877543">
      <w:pPr>
        <w:rPr>
          <w:rFonts w:ascii="Arial" w:hAnsi="Arial" w:cs="Arial"/>
        </w:rPr>
      </w:pPr>
    </w:p>
    <w:p w14:paraId="4A9F539C" w14:textId="77777777" w:rsidR="00877543" w:rsidRDefault="00877543">
      <w:pPr>
        <w:rPr>
          <w:rFonts w:ascii="Arial" w:hAnsi="Arial" w:cs="Arial"/>
        </w:rPr>
      </w:pPr>
    </w:p>
    <w:p w14:paraId="7F21AF48" w14:textId="77777777" w:rsidR="00877543" w:rsidRDefault="00877543">
      <w:pPr>
        <w:rPr>
          <w:rFonts w:ascii="Arial" w:hAnsi="Arial" w:cs="Arial"/>
        </w:rPr>
      </w:pPr>
    </w:p>
    <w:p w14:paraId="390D5EDD" w14:textId="77777777" w:rsidR="00877543" w:rsidRDefault="00877543">
      <w:pPr>
        <w:rPr>
          <w:rFonts w:ascii="Arial" w:hAnsi="Arial" w:cs="Arial"/>
        </w:rPr>
      </w:pPr>
    </w:p>
    <w:p w14:paraId="1AC4146D" w14:textId="77777777" w:rsidR="00877543" w:rsidRDefault="00877543">
      <w:pPr>
        <w:rPr>
          <w:rFonts w:ascii="Arial" w:hAnsi="Arial" w:cs="Arial"/>
        </w:rPr>
      </w:pPr>
    </w:p>
    <w:p w14:paraId="7A4FD98A" w14:textId="77777777" w:rsidR="00877543" w:rsidRDefault="00877543">
      <w:pPr>
        <w:rPr>
          <w:rFonts w:ascii="Arial" w:hAnsi="Arial" w:cs="Arial"/>
        </w:rPr>
      </w:pPr>
    </w:p>
    <w:p w14:paraId="2E451223" w14:textId="77777777" w:rsidR="00877543" w:rsidRDefault="00877543">
      <w:pPr>
        <w:rPr>
          <w:rFonts w:ascii="Arial" w:hAnsi="Arial" w:cs="Arial"/>
        </w:rPr>
      </w:pPr>
    </w:p>
    <w:p w14:paraId="49B4A2A1" w14:textId="77777777" w:rsidR="005A7D57" w:rsidRDefault="005A7D57">
      <w:pPr>
        <w:rPr>
          <w:rFonts w:ascii="Arial" w:hAnsi="Arial" w:cs="Arial"/>
        </w:rPr>
      </w:pPr>
    </w:p>
    <w:p w14:paraId="79EB80E5" w14:textId="77777777" w:rsidR="0087680E" w:rsidRDefault="0087680E">
      <w:pPr>
        <w:rPr>
          <w:rFonts w:ascii="Arial" w:hAnsi="Arial" w:cs="Arial"/>
        </w:rPr>
      </w:pPr>
    </w:p>
    <w:p w14:paraId="3F7D228D" w14:textId="77777777" w:rsidR="00877543" w:rsidRDefault="00877543" w:rsidP="00877543">
      <w:pPr>
        <w:jc w:val="center"/>
        <w:rPr>
          <w:rFonts w:ascii="Arial" w:hAnsi="Arial" w:cs="Arial"/>
          <w:b/>
          <w:bCs/>
          <w:sz w:val="28"/>
          <w:szCs w:val="28"/>
        </w:rPr>
      </w:pPr>
      <w:r w:rsidRPr="00BD258A">
        <w:rPr>
          <w:rFonts w:ascii="Arial" w:hAnsi="Arial" w:cs="Arial"/>
          <w:b/>
          <w:bCs/>
          <w:sz w:val="28"/>
          <w:szCs w:val="28"/>
        </w:rPr>
        <w:lastRenderedPageBreak/>
        <w:t>Chapter Two: Literature Review</w:t>
      </w:r>
    </w:p>
    <w:p w14:paraId="3EA361BA" w14:textId="77777777" w:rsidR="00877543" w:rsidRDefault="00877543" w:rsidP="00877543">
      <w:pPr>
        <w:jc w:val="center"/>
        <w:rPr>
          <w:rFonts w:ascii="Arial" w:hAnsi="Arial" w:cs="Arial"/>
          <w:b/>
          <w:bCs/>
          <w:sz w:val="28"/>
          <w:szCs w:val="28"/>
        </w:rPr>
      </w:pPr>
    </w:p>
    <w:p w14:paraId="1CE8E2A1" w14:textId="77777777" w:rsidR="00877543" w:rsidRDefault="00877543" w:rsidP="00877543">
      <w:pPr>
        <w:rPr>
          <w:rFonts w:ascii="Arial" w:hAnsi="Arial" w:cs="Arial"/>
          <w:b/>
          <w:bCs/>
          <w:sz w:val="28"/>
          <w:szCs w:val="28"/>
        </w:rPr>
      </w:pPr>
      <w:r>
        <w:rPr>
          <w:rFonts w:ascii="Arial" w:hAnsi="Arial" w:cs="Arial"/>
          <w:b/>
          <w:bCs/>
          <w:sz w:val="28"/>
          <w:szCs w:val="28"/>
        </w:rPr>
        <w:t>2.1 Introduction to the Literature Review</w:t>
      </w:r>
    </w:p>
    <w:p w14:paraId="2D4B0DF6" w14:textId="77777777" w:rsidR="00877543" w:rsidRDefault="00877543" w:rsidP="00877543">
      <w:pPr>
        <w:rPr>
          <w:rFonts w:ascii="Arial" w:hAnsi="Arial" w:cs="Arial"/>
        </w:rPr>
      </w:pPr>
      <w:r w:rsidRPr="00FE2692">
        <w:rPr>
          <w:rFonts w:ascii="Arial" w:hAnsi="Arial" w:cs="Arial"/>
        </w:rPr>
        <w:t>The relationship between gold and equity markets helps provide stability in a diversified investment portfolio.</w:t>
      </w:r>
      <w:r w:rsidRPr="00E32C52">
        <w:rPr>
          <w:rFonts w:ascii="Arial" w:hAnsi="Arial" w:cs="Arial"/>
        </w:rPr>
        <w:t xml:space="preserve"> This research explores how US interest rates influenced the connection between gold prices and the stock market from 2005 to 2025. It focuses on how gold acted differently than the S&amp;P 500 and Nasdaq when interest rates changed.</w:t>
      </w:r>
      <w:r w:rsidRPr="00F111E4">
        <w:rPr>
          <w:rFonts w:ascii="Arial" w:hAnsi="Arial" w:cs="Arial"/>
          <w:color w:val="1F1F1F"/>
          <w:shd w:val="clear" w:color="auto" w:fill="FFFFFF"/>
        </w:rPr>
        <w:t xml:space="preserve"> </w:t>
      </w:r>
      <w:r w:rsidRPr="00F111E4">
        <w:rPr>
          <w:rFonts w:ascii="Arial" w:hAnsi="Arial" w:cs="Arial"/>
        </w:rPr>
        <w:t xml:space="preserve">Understanding this relationship is not a theoretical concept; it has real-world implications for creating and managing portfolios. It shows Federal Reserve Monetary </w:t>
      </w:r>
      <w:r>
        <w:rPr>
          <w:rFonts w:ascii="Arial" w:hAnsi="Arial" w:cs="Arial"/>
        </w:rPr>
        <w:t>P</w:t>
      </w:r>
      <w:r w:rsidRPr="00F111E4">
        <w:rPr>
          <w:rFonts w:ascii="Arial" w:hAnsi="Arial" w:cs="Arial"/>
        </w:rPr>
        <w:t>olicy makes assets like gold more or less attractive compared to growth-oriented equities.</w:t>
      </w:r>
    </w:p>
    <w:p w14:paraId="3363572E" w14:textId="77777777" w:rsidR="00877543" w:rsidRDefault="00877543" w:rsidP="00877543">
      <w:pPr>
        <w:rPr>
          <w:rFonts w:ascii="Arial" w:hAnsi="Arial" w:cs="Arial"/>
          <w:color w:val="1F1F1F"/>
          <w:shd w:val="clear" w:color="auto" w:fill="FFFFFF"/>
        </w:rPr>
      </w:pPr>
      <w:r w:rsidRPr="00310DA1">
        <w:rPr>
          <w:rFonts w:ascii="Arial" w:hAnsi="Arial" w:cs="Arial"/>
        </w:rPr>
        <w:t>This research focuses on three concepts: Modern Portfolio Theory (MPT), Safe Haven and Hedges and Interest Rate Theory.</w:t>
      </w:r>
      <w:r w:rsidRPr="00684641">
        <w:rPr>
          <w:rFonts w:ascii="Arial" w:hAnsi="Arial" w:cs="Arial"/>
          <w:color w:val="1F1F1F"/>
          <w:shd w:val="clear" w:color="auto" w:fill="FFFFFF"/>
        </w:rPr>
        <w:t xml:space="preserve"> </w:t>
      </w:r>
      <w:r w:rsidRPr="00684641">
        <w:rPr>
          <w:rFonts w:ascii="Arial" w:hAnsi="Arial" w:cs="Arial"/>
        </w:rPr>
        <w:t>Gold is a hedge against market volatility, but its ability to protect is conditional</w:t>
      </w:r>
      <w:r w:rsidRPr="00677081">
        <w:rPr>
          <w:rFonts w:ascii="Arial" w:hAnsi="Arial" w:cs="Arial"/>
          <w:color w:val="1F1F1F"/>
          <w:shd w:val="clear" w:color="auto" w:fill="FFFFFF"/>
        </w:rPr>
        <w:t xml:space="preserve"> </w:t>
      </w:r>
      <w:r w:rsidRPr="00677081">
        <w:rPr>
          <w:rFonts w:ascii="Arial" w:hAnsi="Arial" w:cs="Arial"/>
        </w:rPr>
        <w:t>on the shock rather than being a constant certainty</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sidRPr="00677081">
        <w:rPr>
          <w:rFonts w:ascii="Arial" w:hAnsi="Arial" w:cs="Arial"/>
        </w:rPr>
        <w:t>.</w:t>
      </w:r>
      <w:r w:rsidRPr="00863BDD">
        <w:rPr>
          <w:rFonts w:ascii="Arial" w:hAnsi="Arial" w:cs="Arial"/>
          <w:color w:val="1F1F1F"/>
          <w:shd w:val="clear" w:color="auto" w:fill="FFFFFF"/>
        </w:rPr>
        <w:t xml:space="preserve"> </w:t>
      </w:r>
      <w:r w:rsidRPr="00B93621">
        <w:rPr>
          <w:rFonts w:ascii="Arial" w:hAnsi="Arial" w:cs="Arial"/>
          <w:color w:val="1F1F1F"/>
          <w:shd w:val="clear" w:color="auto" w:fill="FFFFFF"/>
        </w:rPr>
        <w:t>Gold may act as a hedge by maintaining correlation with equities on average; However, its effectiveness shifts significantly depending on the interest rate cycles.</w:t>
      </w:r>
      <w:r w:rsidRPr="00052054">
        <w:rPr>
          <w:rFonts w:ascii="Arial" w:hAnsi="Arial" w:cs="Arial"/>
          <w:color w:val="1F1F1F"/>
          <w:shd w:val="clear" w:color="auto" w:fill="FFFFFF"/>
        </w:rPr>
        <w:t xml:space="preserve"> This instability shows gold's role as a protective asset during periods of economic volatility or rising interest rates, which increase the opportunity cost of holding an asset that provides no passive income.</w:t>
      </w:r>
    </w:p>
    <w:p w14:paraId="05145E20" w14:textId="77777777" w:rsidR="00877543" w:rsidRDefault="00877543" w:rsidP="00877543">
      <w:pPr>
        <w:rPr>
          <w:rFonts w:ascii="Arial" w:hAnsi="Arial" w:cs="Arial"/>
        </w:rPr>
      </w:pPr>
      <w:r w:rsidRPr="00BE2743">
        <w:rPr>
          <w:rFonts w:ascii="Arial" w:hAnsi="Arial" w:cs="Arial"/>
        </w:rPr>
        <w:t>This chapter provides a comprehensive analysis of the foundations of diversification and defines the specific roles of 'hedge' and 'safe havens'. It examines the historical correlation patterns between gold and US stock indices over time, specifically evaluating how these relationships shift during periods of market uncertainty such as the 2008 Financial Crisis and the COVID-19 pandemic, compared to periods of market stability. Furthermore, it explores how fluctuations in interest rates influence both the demand for gold and the valuation of equity markets.</w:t>
      </w:r>
      <w:r w:rsidRPr="00257589">
        <w:rPr>
          <w:rFonts w:ascii="Arial" w:hAnsi="Arial" w:cs="Arial"/>
          <w:color w:val="1F1F1F"/>
          <w:shd w:val="clear" w:color="auto" w:fill="FFFFFF"/>
        </w:rPr>
        <w:t xml:space="preserve"> </w:t>
      </w:r>
      <w:r w:rsidRPr="00257589">
        <w:rPr>
          <w:rFonts w:ascii="Arial" w:hAnsi="Arial" w:cs="Arial"/>
        </w:rPr>
        <w:t>This chapter identifies a research gap in existing literature and establishes testable research hypotheses from the theoretical framework.</w:t>
      </w:r>
    </w:p>
    <w:p w14:paraId="796BA001" w14:textId="77777777" w:rsidR="00877543" w:rsidRDefault="00877543" w:rsidP="00877543">
      <w:pPr>
        <w:rPr>
          <w:rFonts w:ascii="Arial" w:hAnsi="Arial" w:cs="Arial"/>
        </w:rPr>
      </w:pPr>
      <w:r w:rsidRPr="001F62D4">
        <w:rPr>
          <w:rFonts w:ascii="Arial" w:hAnsi="Arial" w:cs="Arial"/>
        </w:rPr>
        <w:t>This chapter concludes with a discussion of the gap in the literature and introduces a conceptual framework</w:t>
      </w:r>
      <w:r>
        <w:rPr>
          <w:rFonts w:ascii="Arial" w:hAnsi="Arial" w:cs="Arial"/>
        </w:rPr>
        <w:t xml:space="preserve"> that establishes testable research hypotheses. This framework</w:t>
      </w:r>
      <w:r w:rsidRPr="001F62D4">
        <w:rPr>
          <w:rFonts w:ascii="Arial" w:hAnsi="Arial" w:cs="Arial"/>
        </w:rPr>
        <w:t xml:space="preserve"> </w:t>
      </w:r>
      <w:r w:rsidRPr="001F62D4">
        <w:rPr>
          <w:rFonts w:ascii="Arial" w:hAnsi="Arial" w:cs="Arial"/>
        </w:rPr>
        <w:lastRenderedPageBreak/>
        <w:t>illustrat</w:t>
      </w:r>
      <w:r>
        <w:rPr>
          <w:rFonts w:ascii="Arial" w:hAnsi="Arial" w:cs="Arial"/>
        </w:rPr>
        <w:t>es</w:t>
      </w:r>
      <w:r w:rsidRPr="001F62D4">
        <w:rPr>
          <w:rFonts w:ascii="Arial" w:hAnsi="Arial" w:cs="Arial"/>
        </w:rPr>
        <w:t xml:space="preserve"> that the relationship between gold and equity is conditional on the US interest rate environment.</w:t>
      </w:r>
    </w:p>
    <w:p w14:paraId="30E630EA" w14:textId="77777777" w:rsidR="00877543" w:rsidRDefault="00877543" w:rsidP="00877543">
      <w:pPr>
        <w:rPr>
          <w:rFonts w:ascii="Arial" w:hAnsi="Arial" w:cs="Arial"/>
        </w:rPr>
      </w:pPr>
    </w:p>
    <w:p w14:paraId="09EF3FE0" w14:textId="77777777" w:rsidR="00877543" w:rsidRDefault="00877543" w:rsidP="00877543">
      <w:pPr>
        <w:rPr>
          <w:rFonts w:ascii="Arial" w:hAnsi="Arial" w:cs="Arial"/>
          <w:b/>
          <w:bCs/>
          <w:sz w:val="28"/>
          <w:szCs w:val="28"/>
        </w:rPr>
      </w:pPr>
      <w:r>
        <w:rPr>
          <w:rFonts w:ascii="Arial" w:hAnsi="Arial" w:cs="Arial"/>
          <w:b/>
          <w:bCs/>
          <w:sz w:val="28"/>
          <w:szCs w:val="28"/>
        </w:rPr>
        <w:t>2.2 Theoretical Foundations</w:t>
      </w:r>
    </w:p>
    <w:p w14:paraId="4AB72D9D" w14:textId="1C371B71" w:rsidR="00877543" w:rsidRDefault="00877543" w:rsidP="00877543">
      <w:pPr>
        <w:rPr>
          <w:rFonts w:ascii="Arial" w:hAnsi="Arial" w:cs="Arial"/>
        </w:rPr>
      </w:pPr>
      <w:r w:rsidRPr="003A1CA0">
        <w:rPr>
          <w:rFonts w:ascii="Arial" w:hAnsi="Arial" w:cs="Arial"/>
        </w:rPr>
        <w:t>The relationship between US interest rates, gold return and US equity markets is based on three financial theories: Modern Portfolio Theory (MPT), Safe Haven and Hedge Theory and Interest Rate Theory. These theories explain how gold is used as a diversification or hedging strategy, when it comes to different monetary policy environments.</w:t>
      </w:r>
    </w:p>
    <w:p w14:paraId="5A99465F" w14:textId="77777777" w:rsidR="00877543" w:rsidRPr="007728D0" w:rsidRDefault="00877543" w:rsidP="00877543">
      <w:pPr>
        <w:rPr>
          <w:rFonts w:ascii="Arial" w:hAnsi="Arial" w:cs="Arial"/>
        </w:rPr>
      </w:pPr>
    </w:p>
    <w:p w14:paraId="705DC0D7" w14:textId="77777777" w:rsidR="00877543" w:rsidRDefault="00877543" w:rsidP="00877543">
      <w:pPr>
        <w:rPr>
          <w:rFonts w:ascii="Arial" w:hAnsi="Arial" w:cs="Arial"/>
          <w:b/>
          <w:bCs/>
        </w:rPr>
      </w:pPr>
      <w:r w:rsidRPr="003E7B03">
        <w:rPr>
          <w:rFonts w:ascii="Arial" w:hAnsi="Arial" w:cs="Arial"/>
          <w:b/>
          <w:bCs/>
        </w:rPr>
        <w:t xml:space="preserve">2.2.1 Modern Portfolio Theory </w:t>
      </w:r>
    </w:p>
    <w:p w14:paraId="57BBEC05" w14:textId="77777777" w:rsidR="00877543" w:rsidRDefault="00877543" w:rsidP="00877543">
      <w:pPr>
        <w:rPr>
          <w:rFonts w:ascii="Arial" w:hAnsi="Arial" w:cs="Arial"/>
        </w:rPr>
      </w:pPr>
      <w:r w:rsidRPr="009B6374">
        <w:rPr>
          <w:rFonts w:ascii="Arial" w:hAnsi="Arial" w:cs="Arial"/>
        </w:rPr>
        <w:t>According to MPT, investors can reduce risk by using different types of assets with low or negative correlations. The theory assumes that investors seek to earn the highest expected return for a given level of risk</w:t>
      </w:r>
      <w:r>
        <w:rPr>
          <w:rFonts w:ascii="Arial" w:hAnsi="Arial" w:cs="Arial"/>
        </w:rPr>
        <w:t xml:space="preserve"> (</w:t>
      </w:r>
      <w:r w:rsidRPr="00C845D1">
        <w:rPr>
          <w:rFonts w:ascii="Arial" w:hAnsi="Arial" w:cs="Arial"/>
        </w:rPr>
        <w:t>Zhang et al., 2018</w:t>
      </w:r>
      <w:r>
        <w:rPr>
          <w:rFonts w:ascii="Arial" w:hAnsi="Arial" w:cs="Arial"/>
        </w:rPr>
        <w:t>).</w:t>
      </w:r>
    </w:p>
    <w:p w14:paraId="5F5A55A7" w14:textId="77777777" w:rsidR="00877543" w:rsidRDefault="00877543" w:rsidP="00877543">
      <w:pPr>
        <w:rPr>
          <w:rFonts w:ascii="Arial" w:hAnsi="Arial" w:cs="Arial"/>
          <w:color w:val="1F1F1F"/>
          <w:shd w:val="clear" w:color="auto" w:fill="FFFFFF"/>
        </w:rPr>
      </w:pPr>
      <w:r w:rsidRPr="005125DC">
        <w:rPr>
          <w:rFonts w:ascii="Arial" w:hAnsi="Arial" w:cs="Arial"/>
          <w:b/>
          <w:bCs/>
        </w:rPr>
        <w:t xml:space="preserve">Risk- Return Trade-off: </w:t>
      </w:r>
      <w:r w:rsidRPr="000C5F8B">
        <w:rPr>
          <w:rFonts w:ascii="Arial" w:hAnsi="Arial" w:cs="Arial"/>
        </w:rPr>
        <w:t>Modern Portfolio Theory recommends using gold for balancing a portfolio because its price movements don't follow the ups and downs of stocks and bonds.</w:t>
      </w:r>
      <w:r w:rsidRPr="00FA7569">
        <w:rPr>
          <w:rFonts w:ascii="Arial" w:hAnsi="Arial" w:cs="Arial"/>
          <w:color w:val="1F1F1F"/>
          <w:shd w:val="clear" w:color="auto" w:fill="FFFFFF"/>
        </w:rPr>
        <w:t xml:space="preserve"> </w:t>
      </w:r>
      <w:r w:rsidRPr="005851A5">
        <w:rPr>
          <w:rFonts w:ascii="Arial" w:hAnsi="Arial" w:cs="Arial"/>
          <w:color w:val="1F1F1F"/>
          <w:shd w:val="clear" w:color="auto" w:fill="FFFFFF"/>
        </w:rPr>
        <w:t>However, gold might not always reduce risk, its protective value often weakens when markets are stable and investors seek higher returns</w:t>
      </w:r>
      <w:r>
        <w:rPr>
          <w:rFonts w:ascii="Arial" w:hAnsi="Arial" w:cs="Arial"/>
          <w:color w:val="1F1F1F"/>
          <w:shd w:val="clear" w:color="auto" w:fill="FFFFFF"/>
        </w:rPr>
        <w:t xml:space="preserve"> (</w:t>
      </w:r>
      <w:r w:rsidRPr="00675E4D">
        <w:rPr>
          <w:rFonts w:ascii="Arial" w:hAnsi="Arial" w:cs="Arial"/>
          <w:color w:val="1F1F1F"/>
          <w:shd w:val="clear" w:color="auto" w:fill="FFFFFF"/>
        </w:rPr>
        <w:t>Faraj, McMillan &amp; Al-Sabah, 2025</w:t>
      </w:r>
      <w:r>
        <w:rPr>
          <w:rFonts w:ascii="Arial" w:hAnsi="Arial" w:cs="Arial"/>
          <w:color w:val="1F1F1F"/>
          <w:shd w:val="clear" w:color="auto" w:fill="FFFFFF"/>
        </w:rPr>
        <w:t>).</w:t>
      </w:r>
    </w:p>
    <w:p w14:paraId="24904C68" w14:textId="77777777" w:rsidR="00877543" w:rsidRDefault="00877543" w:rsidP="00877543">
      <w:pPr>
        <w:rPr>
          <w:rFonts w:ascii="Arial" w:hAnsi="Arial" w:cs="Arial"/>
          <w:color w:val="1F1F1F"/>
          <w:shd w:val="clear" w:color="auto" w:fill="FFFFFF"/>
        </w:rPr>
      </w:pPr>
      <w:r w:rsidRPr="000E5BDE">
        <w:rPr>
          <w:rFonts w:ascii="Arial" w:hAnsi="Arial" w:cs="Arial"/>
          <w:b/>
          <w:bCs/>
        </w:rPr>
        <w:t xml:space="preserve">Correlation’s Importance in Diversification: </w:t>
      </w:r>
      <w:r w:rsidRPr="00714601">
        <w:rPr>
          <w:rFonts w:ascii="Arial" w:hAnsi="Arial" w:cs="Arial"/>
        </w:rPr>
        <w:t xml:space="preserve">Uyar et al. (2022) found that while </w:t>
      </w:r>
      <w:r w:rsidRPr="00D039B4">
        <w:rPr>
          <w:rFonts w:ascii="Arial" w:hAnsi="Arial" w:cs="Arial"/>
        </w:rPr>
        <w:t>Gold is a valuable diversifier against US stock because its value has a weak or inverse relationship with equity prices.</w:t>
      </w:r>
      <w:r w:rsidRPr="00A86222">
        <w:rPr>
          <w:rFonts w:ascii="Arial" w:hAnsi="Arial" w:cs="Arial"/>
          <w:color w:val="1F1F1F"/>
          <w:shd w:val="clear" w:color="auto" w:fill="FFFFFF"/>
        </w:rPr>
        <w:t xml:space="preserve"> </w:t>
      </w:r>
      <w:r w:rsidRPr="004001CD">
        <w:rPr>
          <w:rFonts w:ascii="Arial" w:hAnsi="Arial" w:cs="Arial"/>
          <w:color w:val="1F1F1F"/>
          <w:shd w:val="clear" w:color="auto" w:fill="FFFFFF"/>
        </w:rPr>
        <w:t>Its correlation with other assets shifts. The study notes this correlation increases during</w:t>
      </w:r>
      <w:r w:rsidRPr="00BD1B98">
        <w:rPr>
          <w:rFonts w:ascii="Arial" w:hAnsi="Arial" w:cs="Arial"/>
          <w:color w:val="1F1F1F"/>
          <w:shd w:val="clear" w:color="auto" w:fill="FFFFFF"/>
        </w:rPr>
        <w:t xml:space="preserve"> periods of economic stability, which reduces its capacity for risk reduction. This challenges the basic premise Modern Portfolio Theory that cross-asset relationships are unchanging.</w:t>
      </w:r>
    </w:p>
    <w:p w14:paraId="4185E5A7" w14:textId="4ECFF4D8" w:rsidR="00877543" w:rsidRPr="00877543" w:rsidRDefault="00877543" w:rsidP="00877543">
      <w:pPr>
        <w:rPr>
          <w:rFonts w:ascii="Arial" w:hAnsi="Arial" w:cs="Arial"/>
          <w:color w:val="1F1F1F"/>
          <w:shd w:val="clear" w:color="auto" w:fill="FFFFFF"/>
        </w:rPr>
      </w:pPr>
      <w:r w:rsidRPr="00D77DE6">
        <w:rPr>
          <w:rFonts w:ascii="Arial" w:hAnsi="Arial" w:cs="Arial"/>
          <w:b/>
          <w:bCs/>
        </w:rPr>
        <w:t>2.2.2. Safe Haven Theory vs. Hedge Theor</w:t>
      </w:r>
      <w:r>
        <w:rPr>
          <w:rFonts w:ascii="Arial" w:hAnsi="Arial" w:cs="Arial"/>
          <w:b/>
          <w:bCs/>
        </w:rPr>
        <w:t>y</w:t>
      </w:r>
    </w:p>
    <w:p w14:paraId="48C80C30" w14:textId="77777777" w:rsidR="00877543" w:rsidRDefault="00877543" w:rsidP="00877543">
      <w:pPr>
        <w:rPr>
          <w:rFonts w:ascii="Arial" w:hAnsi="Arial" w:cs="Arial"/>
        </w:rPr>
      </w:pPr>
      <w:r w:rsidRPr="00CB2DC3">
        <w:rPr>
          <w:rFonts w:ascii="Arial" w:hAnsi="Arial" w:cs="Arial"/>
        </w:rPr>
        <w:t>Safe Haven and Hedge concepts enhance Modern Portfolio Theory to protect portfolio effectively. A hedge protects in every day's market fluctuations, while a safe haven is the asset that holds value when financial crises</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w:t>
      </w:r>
    </w:p>
    <w:p w14:paraId="3D886315" w14:textId="77777777" w:rsidR="00877543" w:rsidRDefault="00877543" w:rsidP="00877543">
      <w:pPr>
        <w:rPr>
          <w:rFonts w:ascii="Arial" w:hAnsi="Arial" w:cs="Arial"/>
        </w:rPr>
      </w:pPr>
      <w:r w:rsidRPr="00EF3F4A">
        <w:rPr>
          <w:rFonts w:ascii="Arial" w:hAnsi="Arial" w:cs="Arial"/>
          <w:b/>
          <w:bCs/>
        </w:rPr>
        <w:lastRenderedPageBreak/>
        <w:t>Hedge:</w:t>
      </w:r>
      <w:r>
        <w:rPr>
          <w:rFonts w:ascii="Arial" w:hAnsi="Arial" w:cs="Arial"/>
          <w:b/>
          <w:bCs/>
        </w:rPr>
        <w:t xml:space="preserve"> </w:t>
      </w:r>
      <w:r w:rsidRPr="00B6655B">
        <w:rPr>
          <w:rFonts w:ascii="Arial" w:hAnsi="Arial" w:cs="Arial"/>
        </w:rPr>
        <w:t>It is an investment instrument characterized by, on average, a consistently negative or zero correlation with equity markets</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w:t>
      </w:r>
    </w:p>
    <w:p w14:paraId="344DE7B5" w14:textId="77777777" w:rsidR="00877543" w:rsidRDefault="00877543" w:rsidP="00877543">
      <w:pPr>
        <w:rPr>
          <w:rFonts w:ascii="Arial" w:hAnsi="Arial" w:cs="Arial"/>
        </w:rPr>
      </w:pPr>
      <w:r w:rsidRPr="00B6655B">
        <w:rPr>
          <w:rFonts w:ascii="Arial" w:hAnsi="Arial" w:cs="Arial"/>
          <w:b/>
          <w:bCs/>
        </w:rPr>
        <w:t>Safe Haven:</w:t>
      </w:r>
      <w:r w:rsidRPr="007D0159">
        <w:rPr>
          <w:rFonts w:ascii="Arial" w:hAnsi="Arial" w:cs="Arial"/>
          <w:color w:val="1F1F1F"/>
          <w:shd w:val="clear" w:color="auto" w:fill="FFFFFF"/>
        </w:rPr>
        <w:t xml:space="preserve"> </w:t>
      </w:r>
      <w:r w:rsidRPr="007D0159">
        <w:rPr>
          <w:rFonts w:ascii="Arial" w:hAnsi="Arial" w:cs="Arial"/>
        </w:rPr>
        <w:t>It's an asset that offer protection because its value moves independently of the market during a crash</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w:t>
      </w:r>
    </w:p>
    <w:p w14:paraId="2BBEE4BF" w14:textId="77777777" w:rsidR="00877543" w:rsidRDefault="00877543" w:rsidP="00877543">
      <w:pPr>
        <w:rPr>
          <w:rFonts w:ascii="Arial" w:hAnsi="Arial" w:cs="Arial"/>
        </w:rPr>
      </w:pPr>
      <w:r>
        <w:rPr>
          <w:rFonts w:ascii="Arial" w:hAnsi="Arial" w:cs="Arial"/>
        </w:rPr>
        <w:t xml:space="preserve">Therefore, gold has demonstrated properties of those roles, indicating its dynamic function across different market cycles. </w:t>
      </w:r>
    </w:p>
    <w:p w14:paraId="555A2CA2" w14:textId="77777777" w:rsidR="00877543" w:rsidRPr="00C81BE8" w:rsidRDefault="00877543" w:rsidP="00877543">
      <w:pPr>
        <w:rPr>
          <w:rFonts w:ascii="Arial" w:hAnsi="Arial" w:cs="Arial"/>
        </w:rPr>
      </w:pPr>
      <w:r w:rsidRPr="00921B5D">
        <w:rPr>
          <w:rFonts w:ascii="Arial" w:hAnsi="Arial" w:cs="Arial"/>
          <w:b/>
          <w:bCs/>
        </w:rPr>
        <w:t xml:space="preserve">Permanent vs Temporary Safe Haven: </w:t>
      </w:r>
      <w:r w:rsidRPr="00D46E87">
        <w:rPr>
          <w:rFonts w:ascii="Arial" w:hAnsi="Arial" w:cs="Arial"/>
        </w:rPr>
        <w:t>Gold is considered a safe investment.</w:t>
      </w:r>
      <w:r>
        <w:rPr>
          <w:rFonts w:ascii="Arial" w:hAnsi="Arial" w:cs="Arial"/>
        </w:rPr>
        <w:t xml:space="preserve"> </w:t>
      </w:r>
      <w:r w:rsidRPr="00183584">
        <w:rPr>
          <w:rFonts w:ascii="Arial" w:hAnsi="Arial" w:cs="Arial"/>
        </w:rPr>
        <w:t>It offers security when a financial crisis is temporary but stops as the market stabilizes</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w:t>
      </w:r>
      <w:r w:rsidRPr="00D92869">
        <w:rPr>
          <w:rFonts w:ascii="Arial" w:hAnsi="Arial" w:cs="Arial"/>
        </w:rPr>
        <w:t>Therefore, Gold is usually seen as a safe investment. However, different government policies on interest rates can influence how long gold remains a reliable asset in the economy.</w:t>
      </w:r>
    </w:p>
    <w:p w14:paraId="7F6F13FF" w14:textId="77777777" w:rsidR="00877543" w:rsidRPr="00FB3B82" w:rsidRDefault="00877543" w:rsidP="00877543">
      <w:pPr>
        <w:rPr>
          <w:rFonts w:ascii="Arial" w:hAnsi="Arial" w:cs="Arial"/>
        </w:rPr>
      </w:pPr>
      <w:r>
        <w:rPr>
          <w:rFonts w:ascii="Arial" w:hAnsi="Arial" w:cs="Arial"/>
          <w:b/>
          <w:bCs/>
        </w:rPr>
        <w:t xml:space="preserve">Crisis Dependence: </w:t>
      </w:r>
      <w:r w:rsidRPr="00FB3B82">
        <w:rPr>
          <w:rFonts w:ascii="Arial" w:hAnsi="Arial" w:cs="Arial"/>
        </w:rPr>
        <w:t>Gold's role as a Safe haven asset depends on the specific crisis.</w:t>
      </w:r>
      <w:r>
        <w:rPr>
          <w:rFonts w:ascii="Arial" w:hAnsi="Arial" w:cs="Arial"/>
        </w:rPr>
        <w:t xml:space="preserve"> </w:t>
      </w:r>
      <w:r w:rsidRPr="00901E2B">
        <w:rPr>
          <w:rFonts w:ascii="Arial" w:hAnsi="Arial" w:cs="Arial"/>
        </w:rPr>
        <w:t>For instance, it was a reliable safe place during the 2008 financial crisis</w:t>
      </w:r>
      <w:r>
        <w:rPr>
          <w:rFonts w:ascii="Arial" w:hAnsi="Arial" w:cs="Arial"/>
        </w:rPr>
        <w:t xml:space="preserve"> (</w:t>
      </w:r>
      <w:r w:rsidRPr="00816819">
        <w:rPr>
          <w:rFonts w:ascii="Arial" w:hAnsi="Arial" w:cs="Arial"/>
        </w:rPr>
        <w:t>S. et al., 2025</w:t>
      </w:r>
      <w:r>
        <w:rPr>
          <w:rFonts w:ascii="Arial" w:hAnsi="Arial" w:cs="Arial"/>
        </w:rPr>
        <w:t xml:space="preserve">), and </w:t>
      </w:r>
      <w:r w:rsidRPr="00901E2B">
        <w:rPr>
          <w:rFonts w:ascii="Arial" w:hAnsi="Arial" w:cs="Arial"/>
        </w:rPr>
        <w:t>its initial dip during the COVID-19 shock was followed by a sharp recovery</w:t>
      </w:r>
      <w:r>
        <w:rPr>
          <w:rFonts w:ascii="Arial" w:hAnsi="Arial" w:cs="Arial"/>
        </w:rPr>
        <w:t xml:space="preserve"> (</w:t>
      </w:r>
      <w:r w:rsidRPr="00816819">
        <w:rPr>
          <w:rFonts w:ascii="Arial" w:hAnsi="Arial" w:cs="Arial"/>
        </w:rPr>
        <w:t>S. et al., 2025</w:t>
      </w:r>
      <w:r>
        <w:rPr>
          <w:rFonts w:ascii="Arial" w:hAnsi="Arial" w:cs="Arial"/>
        </w:rPr>
        <w:t xml:space="preserve">). </w:t>
      </w:r>
      <w:r w:rsidRPr="00D426FE">
        <w:rPr>
          <w:rFonts w:ascii="Arial" w:hAnsi="Arial" w:cs="Arial"/>
        </w:rPr>
        <w:t>This difference indicates that the effectiveness of the Safe haven relates to the monetary policy adjustments.</w:t>
      </w:r>
      <w:r>
        <w:rPr>
          <w:rFonts w:ascii="Arial" w:hAnsi="Arial" w:cs="Arial"/>
        </w:rPr>
        <w:t xml:space="preserve"> </w:t>
      </w:r>
      <w:r w:rsidRPr="0082201D">
        <w:rPr>
          <w:rFonts w:ascii="Arial" w:hAnsi="Arial" w:cs="Arial"/>
        </w:rPr>
        <w:t xml:space="preserve">Liu et al. (2025) suggest that </w:t>
      </w:r>
      <w:r>
        <w:rPr>
          <w:rFonts w:ascii="Arial" w:hAnsi="Arial" w:cs="Arial"/>
        </w:rPr>
        <w:t>w</w:t>
      </w:r>
      <w:r w:rsidRPr="00723017">
        <w:rPr>
          <w:rFonts w:ascii="Arial" w:hAnsi="Arial" w:cs="Arial"/>
        </w:rPr>
        <w:t>hen the Federal Reserve makes interest rate cuts like in 2008 and 2020, people find gold more attractive as an investment.</w:t>
      </w:r>
    </w:p>
    <w:p w14:paraId="635F12F9" w14:textId="77777777" w:rsidR="00877543" w:rsidRPr="008F1AAE" w:rsidRDefault="00877543" w:rsidP="00877543">
      <w:pPr>
        <w:spacing w:line="278" w:lineRule="auto"/>
        <w:rPr>
          <w:rFonts w:ascii="Arial" w:hAnsi="Arial" w:cs="Arial"/>
          <w:b/>
          <w:bCs/>
        </w:rPr>
      </w:pPr>
      <w:r>
        <w:rPr>
          <w:rFonts w:ascii="Arial" w:hAnsi="Arial" w:cs="Arial"/>
          <w:b/>
          <w:bCs/>
        </w:rPr>
        <w:t xml:space="preserve"> </w:t>
      </w:r>
    </w:p>
    <w:p w14:paraId="5167C5AE" w14:textId="77777777" w:rsidR="00877543" w:rsidRDefault="00877543" w:rsidP="00877543">
      <w:pPr>
        <w:rPr>
          <w:rFonts w:ascii="Arial" w:hAnsi="Arial" w:cs="Arial"/>
          <w:b/>
          <w:bCs/>
        </w:rPr>
      </w:pPr>
      <w:r w:rsidRPr="008F1AAE">
        <w:rPr>
          <w:rFonts w:ascii="Arial" w:hAnsi="Arial" w:cs="Arial"/>
          <w:b/>
          <w:bCs/>
        </w:rPr>
        <w:t xml:space="preserve">2.2.3. Interest Rate Theory </w:t>
      </w:r>
    </w:p>
    <w:p w14:paraId="15177B48" w14:textId="77777777" w:rsidR="00877543" w:rsidRDefault="00877543" w:rsidP="00877543">
      <w:pPr>
        <w:rPr>
          <w:rFonts w:ascii="Arial" w:hAnsi="Arial" w:cs="Arial"/>
        </w:rPr>
      </w:pPr>
      <w:r w:rsidRPr="00EC5FC6">
        <w:rPr>
          <w:rFonts w:ascii="Arial" w:hAnsi="Arial" w:cs="Arial"/>
        </w:rPr>
        <w:t>Interest rate theory guides a central bank's monetary policy, which influences the market prices of financial assets such as gold and stocks.</w:t>
      </w:r>
    </w:p>
    <w:p w14:paraId="40E12F2E" w14:textId="77777777" w:rsidR="00877543" w:rsidRDefault="00877543" w:rsidP="00877543">
      <w:pPr>
        <w:rPr>
          <w:rFonts w:ascii="Arial" w:hAnsi="Arial" w:cs="Arial"/>
        </w:rPr>
      </w:pPr>
      <w:r w:rsidRPr="0000258A">
        <w:rPr>
          <w:rFonts w:ascii="Arial" w:hAnsi="Arial" w:cs="Arial"/>
          <w:b/>
          <w:bCs/>
        </w:rPr>
        <w:t>Opportunity Cost of Holding Gold:</w:t>
      </w:r>
      <w:r>
        <w:rPr>
          <w:rFonts w:ascii="Arial" w:hAnsi="Arial" w:cs="Arial"/>
          <w:b/>
          <w:bCs/>
        </w:rPr>
        <w:t xml:space="preserve"> </w:t>
      </w:r>
      <w:r w:rsidRPr="00170ECA">
        <w:rPr>
          <w:rFonts w:ascii="Arial" w:hAnsi="Arial" w:cs="Arial"/>
        </w:rPr>
        <w:t>Gold doesn't generate regular income.</w:t>
      </w:r>
      <w:r>
        <w:rPr>
          <w:rFonts w:ascii="Arial" w:hAnsi="Arial" w:cs="Arial"/>
        </w:rPr>
        <w:t xml:space="preserve"> </w:t>
      </w:r>
      <w:proofErr w:type="spellStart"/>
      <w:r w:rsidRPr="008265B6">
        <w:rPr>
          <w:rFonts w:ascii="Arial" w:hAnsi="Arial" w:cs="Arial"/>
        </w:rPr>
        <w:t>Youvan</w:t>
      </w:r>
      <w:proofErr w:type="spellEnd"/>
      <w:r>
        <w:rPr>
          <w:rFonts w:ascii="Arial" w:hAnsi="Arial" w:cs="Arial"/>
        </w:rPr>
        <w:t xml:space="preserve"> (</w:t>
      </w:r>
      <w:r w:rsidRPr="008265B6">
        <w:rPr>
          <w:rFonts w:ascii="Arial" w:hAnsi="Arial" w:cs="Arial"/>
        </w:rPr>
        <w:t>2024</w:t>
      </w:r>
      <w:r>
        <w:rPr>
          <w:rFonts w:ascii="Arial" w:hAnsi="Arial" w:cs="Arial"/>
        </w:rPr>
        <w:t xml:space="preserve">) argues that </w:t>
      </w:r>
      <w:r w:rsidRPr="008265B6">
        <w:rPr>
          <w:rFonts w:ascii="Arial" w:hAnsi="Arial" w:cs="Arial"/>
        </w:rPr>
        <w:t>If rates rise, other investments generate higher returns, which reduces the incentive to hold gold.</w:t>
      </w:r>
      <w:r>
        <w:rPr>
          <w:rFonts w:ascii="Arial" w:hAnsi="Arial" w:cs="Arial"/>
        </w:rPr>
        <w:t xml:space="preserve"> </w:t>
      </w:r>
      <w:r w:rsidRPr="00895086">
        <w:rPr>
          <w:rFonts w:ascii="Arial" w:hAnsi="Arial" w:cs="Arial"/>
        </w:rPr>
        <w:t>When interest rates decline, the 'cost' of owning gold goes down, and this is the main factor boosting the demand for gold.</w:t>
      </w:r>
    </w:p>
    <w:p w14:paraId="19DBD021" w14:textId="77777777" w:rsidR="00877543" w:rsidRPr="000E2900" w:rsidRDefault="00877543" w:rsidP="00877543">
      <w:pPr>
        <w:rPr>
          <w:rFonts w:ascii="Arial" w:hAnsi="Arial" w:cs="Arial"/>
        </w:rPr>
      </w:pPr>
      <w:r>
        <w:rPr>
          <w:rFonts w:ascii="Arial" w:hAnsi="Arial" w:cs="Arial"/>
          <w:b/>
          <w:bCs/>
        </w:rPr>
        <w:t xml:space="preserve">Interest rates affect equities: </w:t>
      </w:r>
      <w:r w:rsidRPr="000E2900">
        <w:rPr>
          <w:rFonts w:ascii="Arial" w:hAnsi="Arial" w:cs="Arial"/>
        </w:rPr>
        <w:t>Higher interest rates negative effect on stock valuations and it also reduce current corporate profitability by increasing debt costs. When interest rates are low, the stock market goes up</w:t>
      </w:r>
      <w:r>
        <w:rPr>
          <w:rFonts w:ascii="Arial" w:hAnsi="Arial" w:cs="Arial"/>
        </w:rPr>
        <w:t xml:space="preserve"> (</w:t>
      </w:r>
      <w:r w:rsidRPr="008E2D68">
        <w:rPr>
          <w:rFonts w:ascii="Arial" w:hAnsi="Arial" w:cs="Arial"/>
        </w:rPr>
        <w:t>U.S. Bank, 2025</w:t>
      </w:r>
      <w:r>
        <w:rPr>
          <w:rFonts w:ascii="Arial" w:hAnsi="Arial" w:cs="Arial"/>
        </w:rPr>
        <w:t xml:space="preserve">). Therefore, </w:t>
      </w:r>
      <w:r w:rsidRPr="00EA78EA">
        <w:rPr>
          <w:rFonts w:ascii="Arial" w:hAnsi="Arial" w:cs="Arial"/>
        </w:rPr>
        <w:lastRenderedPageBreak/>
        <w:t>Gold is considered a safe asset when the stock market is volatile or uncertain, especially when interest rates are changing.</w:t>
      </w:r>
    </w:p>
    <w:p w14:paraId="20CC425B" w14:textId="77777777" w:rsidR="00877543" w:rsidRDefault="00877543" w:rsidP="00877543">
      <w:pPr>
        <w:rPr>
          <w:rFonts w:ascii="Arial" w:hAnsi="Arial" w:cs="Arial"/>
        </w:rPr>
      </w:pPr>
      <w:r w:rsidRPr="00D83314">
        <w:rPr>
          <w:rFonts w:ascii="Arial" w:hAnsi="Arial" w:cs="Arial"/>
          <w:b/>
          <w:bCs/>
        </w:rPr>
        <w:t xml:space="preserve">Federal Reserve Policy Impact: </w:t>
      </w:r>
      <w:r w:rsidRPr="00216D43">
        <w:rPr>
          <w:rFonts w:ascii="Arial" w:hAnsi="Arial" w:cs="Arial"/>
        </w:rPr>
        <w:t>Federal Reserve controls monetary policy, and its actions crucially impact real interest rates.</w:t>
      </w:r>
      <w:r>
        <w:rPr>
          <w:rFonts w:ascii="Arial" w:hAnsi="Arial" w:cs="Arial"/>
        </w:rPr>
        <w:t xml:space="preserve"> </w:t>
      </w:r>
      <w:r w:rsidRPr="005A5D74">
        <w:rPr>
          <w:rFonts w:ascii="Arial" w:hAnsi="Arial" w:cs="Arial"/>
        </w:rPr>
        <w:t xml:space="preserve">When other investments aren't paying interest, gold looks more attractive </w:t>
      </w:r>
      <w:r w:rsidRPr="003766F1">
        <w:rPr>
          <w:rFonts w:ascii="Arial" w:hAnsi="Arial" w:cs="Arial"/>
        </w:rPr>
        <w:t>because there is little interest income to give up from other investments</w:t>
      </w:r>
      <w:r>
        <w:rPr>
          <w:rFonts w:ascii="Arial" w:hAnsi="Arial" w:cs="Arial"/>
        </w:rPr>
        <w:t xml:space="preserve"> </w:t>
      </w:r>
      <w:r w:rsidRPr="00D10038">
        <w:rPr>
          <w:rFonts w:ascii="Arial" w:hAnsi="Arial" w:cs="Arial"/>
        </w:rPr>
        <w:t>(PIMCO, 2025)</w:t>
      </w:r>
      <w:r>
        <w:rPr>
          <w:rFonts w:ascii="Arial" w:hAnsi="Arial" w:cs="Arial"/>
        </w:rPr>
        <w:t>.</w:t>
      </w:r>
    </w:p>
    <w:p w14:paraId="571A51A8" w14:textId="77777777" w:rsidR="00877543" w:rsidRDefault="00877543" w:rsidP="00877543">
      <w:pPr>
        <w:rPr>
          <w:rFonts w:ascii="Arial" w:hAnsi="Arial" w:cs="Arial"/>
        </w:rPr>
      </w:pPr>
    </w:p>
    <w:p w14:paraId="27BB8781" w14:textId="77777777" w:rsidR="00877543" w:rsidRDefault="00877543" w:rsidP="00877543">
      <w:pPr>
        <w:rPr>
          <w:rFonts w:ascii="Arial" w:hAnsi="Arial" w:cs="Arial"/>
          <w:b/>
          <w:bCs/>
          <w:sz w:val="28"/>
          <w:szCs w:val="28"/>
        </w:rPr>
      </w:pPr>
      <w:r w:rsidRPr="00987E21">
        <w:rPr>
          <w:rFonts w:ascii="Arial" w:hAnsi="Arial" w:cs="Arial"/>
          <w:b/>
          <w:bCs/>
          <w:sz w:val="28"/>
          <w:szCs w:val="28"/>
        </w:rPr>
        <w:t>2.3</w:t>
      </w:r>
      <w:r>
        <w:rPr>
          <w:rFonts w:ascii="Arial" w:hAnsi="Arial" w:cs="Arial"/>
          <w:b/>
          <w:bCs/>
          <w:sz w:val="28"/>
          <w:szCs w:val="28"/>
        </w:rPr>
        <w:t xml:space="preserve"> Gold as a Hedge and Safe Haven</w:t>
      </w:r>
    </w:p>
    <w:p w14:paraId="604A21CC" w14:textId="77777777" w:rsidR="00877543" w:rsidRDefault="00877543" w:rsidP="00877543">
      <w:pPr>
        <w:rPr>
          <w:rFonts w:ascii="Arial" w:hAnsi="Arial" w:cs="Arial"/>
        </w:rPr>
      </w:pPr>
      <w:r w:rsidRPr="00976505">
        <w:rPr>
          <w:rFonts w:ascii="Arial" w:hAnsi="Arial" w:cs="Arial"/>
        </w:rPr>
        <w:t>Gold role is divided into two functions: (1) as a hedge during normal market conditions and (2) as a safe haven during periods of extreme market stress. This section will evaluate global evidence on these roles, discuss empirical research and illustrate how gold's performance is conditional and based on a time series analysis.</w:t>
      </w:r>
    </w:p>
    <w:p w14:paraId="16FF8952" w14:textId="77777777" w:rsidR="00877543" w:rsidRDefault="00877543" w:rsidP="00877543">
      <w:pPr>
        <w:rPr>
          <w:rFonts w:ascii="Arial" w:hAnsi="Arial" w:cs="Arial"/>
        </w:rPr>
      </w:pPr>
    </w:p>
    <w:p w14:paraId="6443CC14" w14:textId="77777777" w:rsidR="00877543" w:rsidRDefault="00877543" w:rsidP="00877543">
      <w:pPr>
        <w:rPr>
          <w:rFonts w:ascii="Arial" w:hAnsi="Arial" w:cs="Arial"/>
          <w:b/>
          <w:bCs/>
        </w:rPr>
      </w:pPr>
      <w:r w:rsidRPr="000F2529">
        <w:rPr>
          <w:rFonts w:ascii="Arial" w:hAnsi="Arial" w:cs="Arial"/>
          <w:b/>
          <w:bCs/>
        </w:rPr>
        <w:t>2.3.1. Gold as a Hedge</w:t>
      </w:r>
    </w:p>
    <w:p w14:paraId="17F90B70" w14:textId="77777777" w:rsidR="00877543" w:rsidRDefault="00877543" w:rsidP="00877543">
      <w:pPr>
        <w:rPr>
          <w:rFonts w:ascii="Arial" w:hAnsi="Arial" w:cs="Arial"/>
        </w:rPr>
      </w:pPr>
      <w:r w:rsidRPr="00370DE8">
        <w:rPr>
          <w:rFonts w:ascii="Arial" w:hAnsi="Arial" w:cs="Arial"/>
        </w:rPr>
        <w:t>A hedge is an asset that is weak or strong with another asset on average. A safe haven is an asset that is weak or strong with another asset, but only in specific periods, such as during times of falling stock markets</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w:t>
      </w:r>
      <w:r w:rsidRPr="0082201D">
        <w:rPr>
          <w:rFonts w:ascii="Arial" w:hAnsi="Arial" w:cs="Arial"/>
        </w:rPr>
        <w:t>Liu et al. (2025)</w:t>
      </w:r>
      <w:r>
        <w:rPr>
          <w:rFonts w:ascii="Arial" w:hAnsi="Arial" w:cs="Arial"/>
        </w:rPr>
        <w:t xml:space="preserve"> proves that d</w:t>
      </w:r>
      <w:r w:rsidRPr="00803410">
        <w:rPr>
          <w:rFonts w:ascii="Arial" w:hAnsi="Arial" w:cs="Arial"/>
        </w:rPr>
        <w:t>uring times of financial turmoil like a stock market crash or recession, the gold moves in the opposite direction of stocks.</w:t>
      </w:r>
      <w:r>
        <w:rPr>
          <w:rFonts w:ascii="Arial" w:hAnsi="Arial" w:cs="Arial"/>
        </w:rPr>
        <w:t xml:space="preserve"> </w:t>
      </w:r>
      <w:r w:rsidRPr="00B61515">
        <w:rPr>
          <w:rFonts w:ascii="Arial" w:hAnsi="Arial" w:cs="Arial"/>
        </w:rPr>
        <w:t>Gold's main characteristic is to reduce overall portfolio risk rather than generate higher returns.</w:t>
      </w:r>
    </w:p>
    <w:p w14:paraId="483877F1" w14:textId="77777777" w:rsidR="00877543" w:rsidRDefault="00877543" w:rsidP="00877543">
      <w:pPr>
        <w:rPr>
          <w:rFonts w:ascii="Arial" w:hAnsi="Arial" w:cs="Arial"/>
        </w:rPr>
      </w:pPr>
      <w:r w:rsidRPr="00B85098">
        <w:rPr>
          <w:rFonts w:ascii="Arial" w:hAnsi="Arial" w:cs="Arial"/>
        </w:rPr>
        <w:t>Gold doesn't move in the same direction as the stock market; it helps protect investments. This difference in movement is what makes it a valuable hedge</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w:t>
      </w:r>
      <w:r w:rsidRPr="00B85098">
        <w:rPr>
          <w:rFonts w:ascii="Arial" w:hAnsi="Arial" w:cs="Arial"/>
        </w:rPr>
        <w:t>The purpose of this correlation is to benefit long term investors seeking portfolio strength over than immediate speculative returns.</w:t>
      </w:r>
    </w:p>
    <w:p w14:paraId="395E317E" w14:textId="77777777" w:rsidR="00877543" w:rsidRPr="00370DE8" w:rsidRDefault="00877543" w:rsidP="00877543">
      <w:pPr>
        <w:rPr>
          <w:rFonts w:ascii="Arial" w:hAnsi="Arial" w:cs="Arial"/>
        </w:rPr>
      </w:pPr>
      <w:r w:rsidRPr="00912F46">
        <w:rPr>
          <w:rFonts w:ascii="Arial" w:hAnsi="Arial" w:cs="Arial"/>
        </w:rPr>
        <w:t>Gold is not a permanent or fixed hedge; its effectiveness depends on the situation.</w:t>
      </w:r>
      <w:r>
        <w:rPr>
          <w:rFonts w:ascii="Arial" w:hAnsi="Arial" w:cs="Arial"/>
        </w:rPr>
        <w:t xml:space="preserve">  </w:t>
      </w:r>
      <w:r w:rsidRPr="00EA79D4">
        <w:rPr>
          <w:rFonts w:ascii="Arial" w:hAnsi="Arial" w:cs="Arial"/>
        </w:rPr>
        <w:t xml:space="preserve">Dee, Li &amp; Zheng (2013) </w:t>
      </w:r>
      <w:r>
        <w:rPr>
          <w:rFonts w:ascii="Arial" w:hAnsi="Arial" w:cs="Arial"/>
        </w:rPr>
        <w:t>demonstrate</w:t>
      </w:r>
      <w:r w:rsidRPr="00EA79D4">
        <w:rPr>
          <w:rFonts w:ascii="Arial" w:hAnsi="Arial" w:cs="Arial"/>
        </w:rPr>
        <w:t xml:space="preserve"> that</w:t>
      </w:r>
      <w:r>
        <w:rPr>
          <w:rFonts w:ascii="Arial" w:hAnsi="Arial" w:cs="Arial"/>
        </w:rPr>
        <w:t xml:space="preserve"> t</w:t>
      </w:r>
      <w:r w:rsidRPr="00B7062F">
        <w:rPr>
          <w:rFonts w:ascii="Arial" w:hAnsi="Arial" w:cs="Arial"/>
        </w:rPr>
        <w:t>he relationship between gold's correlation and stock market performance depends on the macroeconomic conditions and market expectations.</w:t>
      </w:r>
      <w:r>
        <w:rPr>
          <w:rFonts w:ascii="Arial" w:hAnsi="Arial" w:cs="Arial"/>
        </w:rPr>
        <w:t xml:space="preserve"> </w:t>
      </w:r>
      <w:r w:rsidRPr="002D648A">
        <w:rPr>
          <w:rFonts w:ascii="Arial" w:hAnsi="Arial" w:cs="Arial"/>
        </w:rPr>
        <w:t>This indicates that gold is not always an effective hedge, it only works under depending on the situation.</w:t>
      </w:r>
    </w:p>
    <w:p w14:paraId="6D9D798D" w14:textId="77777777" w:rsidR="00877543" w:rsidRDefault="00877543" w:rsidP="00877543">
      <w:pPr>
        <w:rPr>
          <w:rFonts w:ascii="Arial" w:hAnsi="Arial" w:cs="Arial"/>
        </w:rPr>
      </w:pPr>
    </w:p>
    <w:p w14:paraId="4D4CFAB3" w14:textId="77777777" w:rsidR="00877543" w:rsidRDefault="00877543" w:rsidP="00877543">
      <w:pPr>
        <w:rPr>
          <w:rFonts w:ascii="Arial" w:hAnsi="Arial" w:cs="Arial"/>
          <w:b/>
          <w:bCs/>
        </w:rPr>
      </w:pPr>
      <w:r w:rsidRPr="00845245">
        <w:rPr>
          <w:rFonts w:ascii="Arial" w:hAnsi="Arial" w:cs="Arial"/>
          <w:b/>
          <w:bCs/>
        </w:rPr>
        <w:lastRenderedPageBreak/>
        <w:t xml:space="preserve">2.3.2. Gold as a Safe haven in Crises </w:t>
      </w:r>
    </w:p>
    <w:p w14:paraId="1D3A9533" w14:textId="77777777" w:rsidR="00877543" w:rsidRDefault="00877543" w:rsidP="00877543">
      <w:pPr>
        <w:rPr>
          <w:rFonts w:ascii="Arial" w:hAnsi="Arial" w:cs="Arial"/>
        </w:rPr>
      </w:pPr>
      <w:r w:rsidRPr="00CF7007">
        <w:rPr>
          <w:rFonts w:ascii="Arial" w:hAnsi="Arial" w:cs="Arial"/>
        </w:rPr>
        <w:t>A Safe haven asset is one that increases its value during periods of extreme market turmoil. The historical performance of gold during global crises has led to it being considered one of the most reliable forms of a Safe haven asset.</w:t>
      </w:r>
    </w:p>
    <w:p w14:paraId="6B7A75C7" w14:textId="77777777" w:rsidR="00877543" w:rsidRDefault="00877543" w:rsidP="00877543">
      <w:pPr>
        <w:rPr>
          <w:rFonts w:ascii="Arial" w:hAnsi="Arial" w:cs="Arial"/>
        </w:rPr>
      </w:pPr>
      <w:r w:rsidRPr="00213B85">
        <w:rPr>
          <w:rFonts w:ascii="Arial" w:hAnsi="Arial" w:cs="Arial"/>
        </w:rPr>
        <w:t>When the financial world collapsed in 2008, gold's value demonstrated its strength</w:t>
      </w:r>
      <w:r>
        <w:rPr>
          <w:rFonts w:ascii="Arial" w:hAnsi="Arial" w:cs="Arial"/>
        </w:rPr>
        <w:t xml:space="preserve"> (</w:t>
      </w:r>
      <w:r w:rsidRPr="00F51C81">
        <w:rPr>
          <w:rFonts w:ascii="Arial" w:hAnsi="Arial" w:cs="Arial"/>
        </w:rPr>
        <w:t>S, Vinod &amp; Jose, 2025</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w:t>
      </w:r>
      <w:r w:rsidRPr="002008E6">
        <w:rPr>
          <w:rFonts w:ascii="Arial" w:hAnsi="Arial" w:cs="Arial"/>
        </w:rPr>
        <w:t>find that during large market declines; there is a negative correlation between gold and equity markets in many countries. This correlation reflects a rapid increase in investors demand for gold.</w:t>
      </w:r>
    </w:p>
    <w:p w14:paraId="54055298" w14:textId="77777777" w:rsidR="00877543" w:rsidRDefault="00877543" w:rsidP="00877543">
      <w:pPr>
        <w:rPr>
          <w:rFonts w:ascii="Arial" w:hAnsi="Arial" w:cs="Arial"/>
        </w:rPr>
      </w:pPr>
      <w:r w:rsidRPr="008B2E0B">
        <w:rPr>
          <w:rFonts w:ascii="Arial" w:hAnsi="Arial" w:cs="Arial"/>
        </w:rPr>
        <w:t>The COVID-19 shock influences represent</w:t>
      </w:r>
      <w:r>
        <w:rPr>
          <w:rFonts w:ascii="Arial" w:hAnsi="Arial" w:cs="Arial"/>
        </w:rPr>
        <w:t>ed</w:t>
      </w:r>
      <w:r w:rsidRPr="008B2E0B">
        <w:rPr>
          <w:rFonts w:ascii="Arial" w:hAnsi="Arial" w:cs="Arial"/>
        </w:rPr>
        <w:t xml:space="preserve"> this situation.</w:t>
      </w:r>
      <w:r w:rsidRPr="006B1C52">
        <w:rPr>
          <w:rFonts w:ascii="Arial" w:hAnsi="Arial" w:cs="Arial"/>
          <w:color w:val="1F1F1F"/>
          <w:shd w:val="clear" w:color="auto" w:fill="FFFFFF"/>
        </w:rPr>
        <w:t xml:space="preserve"> </w:t>
      </w:r>
      <w:r>
        <w:rPr>
          <w:rFonts w:ascii="Arial" w:hAnsi="Arial" w:cs="Arial"/>
          <w:color w:val="1F1F1F"/>
          <w:shd w:val="clear" w:color="auto" w:fill="FFFFFF"/>
        </w:rPr>
        <w:t xml:space="preserve">According to World gold council (2020), </w:t>
      </w:r>
      <w:r w:rsidRPr="006B1C52">
        <w:rPr>
          <w:rFonts w:ascii="Arial" w:hAnsi="Arial" w:cs="Arial"/>
        </w:rPr>
        <w:t>When the crisis started, the price of gold fell at the same time as stocks because investors were selling both assets to get their hands on cash</w:t>
      </w:r>
      <w:r>
        <w:rPr>
          <w:rFonts w:ascii="Arial" w:hAnsi="Arial" w:cs="Arial"/>
        </w:rPr>
        <w:t xml:space="preserve">. </w:t>
      </w:r>
      <w:r w:rsidRPr="005E2BF5">
        <w:rPr>
          <w:rFonts w:ascii="Arial" w:hAnsi="Arial" w:cs="Arial"/>
        </w:rPr>
        <w:t>However, gold bounced sharply and reached record highs as uncertainty in the world and an easier monetary policy became more attractive</w:t>
      </w:r>
      <w:r>
        <w:rPr>
          <w:rFonts w:ascii="Arial" w:hAnsi="Arial" w:cs="Arial"/>
        </w:rPr>
        <w:t xml:space="preserve"> (</w:t>
      </w:r>
      <w:r w:rsidRPr="00F51C81">
        <w:rPr>
          <w:rFonts w:ascii="Arial" w:hAnsi="Arial" w:cs="Arial"/>
        </w:rPr>
        <w:t>S, Vinod &amp; Jose, 2025</w:t>
      </w:r>
      <w:r>
        <w:rPr>
          <w:rFonts w:ascii="Arial" w:hAnsi="Arial" w:cs="Arial"/>
        </w:rPr>
        <w:t xml:space="preserve">). </w:t>
      </w:r>
      <w:r w:rsidRPr="00094E1E">
        <w:rPr>
          <w:rFonts w:ascii="Arial" w:hAnsi="Arial" w:cs="Arial"/>
        </w:rPr>
        <w:t xml:space="preserve">Overall, these patterns support the view that gold </w:t>
      </w:r>
      <w:r w:rsidRPr="009E357D">
        <w:rPr>
          <w:rFonts w:ascii="Arial" w:hAnsi="Arial" w:cs="Arial"/>
        </w:rPr>
        <w:t>functions as a safe haven asset</w:t>
      </w:r>
      <w:r>
        <w:rPr>
          <w:rFonts w:ascii="Arial" w:hAnsi="Arial" w:cs="Arial"/>
        </w:rPr>
        <w:t xml:space="preserve"> </w:t>
      </w:r>
      <w:r w:rsidRPr="00507088">
        <w:rPr>
          <w:rFonts w:ascii="Arial" w:hAnsi="Arial" w:cs="Arial"/>
        </w:rPr>
        <w:t>during periods of crisis.</w:t>
      </w:r>
    </w:p>
    <w:p w14:paraId="6B3E826F" w14:textId="77777777" w:rsidR="00877543" w:rsidRPr="00107E91" w:rsidRDefault="00877543" w:rsidP="00877543">
      <w:pPr>
        <w:rPr>
          <w:rFonts w:ascii="Arial" w:hAnsi="Arial" w:cs="Arial"/>
          <w:b/>
          <w:bCs/>
        </w:rPr>
      </w:pPr>
    </w:p>
    <w:p w14:paraId="581EC7C5" w14:textId="77777777" w:rsidR="00877543" w:rsidRDefault="00877543" w:rsidP="00877543">
      <w:pPr>
        <w:rPr>
          <w:rFonts w:ascii="Arial" w:hAnsi="Arial" w:cs="Arial"/>
          <w:b/>
          <w:bCs/>
        </w:rPr>
      </w:pPr>
      <w:r w:rsidRPr="00107E91">
        <w:rPr>
          <w:rFonts w:ascii="Arial" w:hAnsi="Arial" w:cs="Arial"/>
          <w:b/>
          <w:bCs/>
        </w:rPr>
        <w:t>2.3.3.</w:t>
      </w:r>
      <w:r>
        <w:rPr>
          <w:rFonts w:ascii="Arial" w:hAnsi="Arial" w:cs="Arial"/>
          <w:b/>
          <w:bCs/>
        </w:rPr>
        <w:t xml:space="preserve"> Conditional and Time-Varying Nature of Gold</w:t>
      </w:r>
    </w:p>
    <w:p w14:paraId="2FE2BCB0" w14:textId="77777777" w:rsidR="00877543" w:rsidRDefault="00877543" w:rsidP="00877543">
      <w:pPr>
        <w:rPr>
          <w:rFonts w:ascii="Arial" w:hAnsi="Arial" w:cs="Arial"/>
        </w:rPr>
      </w:pPr>
      <w:r w:rsidRPr="002A73B6">
        <w:rPr>
          <w:rFonts w:ascii="Arial" w:hAnsi="Arial" w:cs="Arial"/>
        </w:rPr>
        <w:t>Gold is a hedge and a safe haven. These things are dependent on time and conditio</w:t>
      </w:r>
      <w:r>
        <w:rPr>
          <w:rFonts w:ascii="Arial" w:hAnsi="Arial" w:cs="Arial"/>
        </w:rPr>
        <w:t>ns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w:t>
      </w:r>
      <w:r w:rsidRPr="001A266B">
        <w:rPr>
          <w:rFonts w:ascii="Arial" w:hAnsi="Arial" w:cs="Arial"/>
        </w:rPr>
        <w:t>Gold is not a reliable asset for investors across all time periods, and its performance depends on the overall market environment</w:t>
      </w:r>
      <w:r>
        <w:rPr>
          <w:rFonts w:ascii="Arial" w:hAnsi="Arial" w:cs="Arial"/>
        </w:rPr>
        <w:t xml:space="preserve"> (</w:t>
      </w:r>
      <w:r w:rsidRPr="00DF087A">
        <w:rPr>
          <w:rFonts w:ascii="Arial" w:hAnsi="Arial" w:cs="Arial"/>
        </w:rPr>
        <w:t>Beckmann et al.,2015</w:t>
      </w:r>
      <w:r>
        <w:rPr>
          <w:rFonts w:ascii="Arial" w:hAnsi="Arial" w:cs="Arial"/>
        </w:rPr>
        <w:t xml:space="preserve">). </w:t>
      </w:r>
    </w:p>
    <w:p w14:paraId="286D89E6" w14:textId="77777777" w:rsidR="00877543" w:rsidRDefault="00877543" w:rsidP="00877543">
      <w:pPr>
        <w:rPr>
          <w:rFonts w:ascii="Arial" w:hAnsi="Arial" w:cs="Arial"/>
        </w:rPr>
      </w:pPr>
      <w:r w:rsidRPr="00B76B74">
        <w:rPr>
          <w:rFonts w:ascii="Arial" w:hAnsi="Arial" w:cs="Arial"/>
        </w:rPr>
        <w:t>When market volatility is high, investor buy gold. It is viewed as a safe-haven investment. In contrast, during market is stable, gold can act more like a regular investment, which reduces its diversification benefits</w:t>
      </w:r>
      <w:r>
        <w:rPr>
          <w:rFonts w:ascii="Arial" w:hAnsi="Arial" w:cs="Arial"/>
        </w:rPr>
        <w:t xml:space="preserve"> (</w:t>
      </w:r>
      <w:r w:rsidRPr="00F51C81">
        <w:rPr>
          <w:rFonts w:ascii="Arial" w:hAnsi="Arial" w:cs="Arial"/>
        </w:rPr>
        <w:t>S, Vinod &amp; Jose, 2025</w:t>
      </w:r>
      <w:r>
        <w:rPr>
          <w:rFonts w:ascii="Arial" w:hAnsi="Arial" w:cs="Arial"/>
        </w:rPr>
        <w:t>).</w:t>
      </w:r>
    </w:p>
    <w:p w14:paraId="0D500DDB" w14:textId="77777777" w:rsidR="00877543" w:rsidRDefault="00877543" w:rsidP="00877543">
      <w:pPr>
        <w:rPr>
          <w:rFonts w:ascii="Arial" w:hAnsi="Arial" w:cs="Arial"/>
        </w:rPr>
      </w:pPr>
      <w:r w:rsidRPr="00544C1A">
        <w:rPr>
          <w:rFonts w:ascii="Arial" w:hAnsi="Arial" w:cs="Arial"/>
        </w:rPr>
        <w:t>The</w:t>
      </w:r>
      <w:r>
        <w:rPr>
          <w:rFonts w:ascii="Arial" w:hAnsi="Arial" w:cs="Arial"/>
        </w:rPr>
        <w:t xml:space="preserve"> </w:t>
      </w:r>
      <w:r w:rsidRPr="00544C1A">
        <w:rPr>
          <w:rFonts w:ascii="Arial" w:hAnsi="Arial" w:cs="Arial"/>
        </w:rPr>
        <w:t xml:space="preserve">difference between a crisis period and non-crisis period is vital. </w:t>
      </w:r>
      <w:r>
        <w:rPr>
          <w:rFonts w:ascii="Arial" w:hAnsi="Arial" w:cs="Arial"/>
        </w:rPr>
        <w:t>While gold acts as a hedge on average,</w:t>
      </w:r>
      <w:r w:rsidRPr="00544C1A">
        <w:rPr>
          <w:rFonts w:ascii="Arial" w:hAnsi="Arial" w:cs="Arial"/>
        </w:rPr>
        <w:t xml:space="preserve"> </w:t>
      </w:r>
      <w:r>
        <w:rPr>
          <w:rFonts w:ascii="Arial" w:hAnsi="Arial" w:cs="Arial"/>
        </w:rPr>
        <w:t>i</w:t>
      </w:r>
      <w:r w:rsidRPr="00544C1A">
        <w:rPr>
          <w:rFonts w:ascii="Arial" w:hAnsi="Arial" w:cs="Arial"/>
        </w:rPr>
        <w:t xml:space="preserve">t only demonstrates its value as a safe haven when the stock market crashes </w:t>
      </w:r>
      <w:r>
        <w:rPr>
          <w:rFonts w:ascii="Arial" w:hAnsi="Arial" w:cs="Arial"/>
        </w:rPr>
        <w:t>(</w:t>
      </w:r>
      <w:r w:rsidRPr="00C52BDF">
        <w:rPr>
          <w:rFonts w:ascii="Arial" w:hAnsi="Arial" w:cs="Arial"/>
        </w:rPr>
        <w:t>Baur and Lucey, 2010</w:t>
      </w:r>
      <w:r>
        <w:rPr>
          <w:rFonts w:ascii="Arial" w:hAnsi="Arial" w:cs="Arial"/>
        </w:rPr>
        <w:t>).</w:t>
      </w:r>
    </w:p>
    <w:p w14:paraId="5330411B" w14:textId="77777777" w:rsidR="00877543" w:rsidRDefault="00877543" w:rsidP="00877543">
      <w:pPr>
        <w:rPr>
          <w:rFonts w:ascii="Arial" w:hAnsi="Arial" w:cs="Arial"/>
        </w:rPr>
      </w:pPr>
      <w:r w:rsidRPr="008A45E4">
        <w:rPr>
          <w:rFonts w:ascii="Arial" w:hAnsi="Arial" w:cs="Arial"/>
        </w:rPr>
        <w:t>Investor sentiment influences gold prices.</w:t>
      </w:r>
      <w:r w:rsidRPr="00D55A7C">
        <w:rPr>
          <w:rFonts w:ascii="Arial" w:hAnsi="Arial" w:cs="Arial"/>
          <w:color w:val="1F1F1F"/>
          <w:shd w:val="clear" w:color="auto" w:fill="FFFFFF"/>
        </w:rPr>
        <w:t xml:space="preserve"> </w:t>
      </w:r>
      <w:r w:rsidRPr="00FF0659">
        <w:rPr>
          <w:rFonts w:ascii="Arial" w:hAnsi="Arial" w:cs="Arial"/>
          <w:color w:val="1F1F1F"/>
          <w:shd w:val="clear" w:color="auto" w:fill="FFFFFF"/>
        </w:rPr>
        <w:t xml:space="preserve">According to </w:t>
      </w:r>
      <w:r>
        <w:rPr>
          <w:rFonts w:ascii="Arial" w:hAnsi="Arial" w:cs="Arial"/>
          <w:color w:val="1F1F1F"/>
          <w:shd w:val="clear" w:color="auto" w:fill="FFFFFF"/>
        </w:rPr>
        <w:t xml:space="preserve">the </w:t>
      </w:r>
      <w:r w:rsidRPr="00FF0659">
        <w:rPr>
          <w:rFonts w:ascii="Arial" w:hAnsi="Arial" w:cs="Arial"/>
          <w:color w:val="1F1F1F"/>
          <w:shd w:val="clear" w:color="auto" w:fill="FFFFFF"/>
        </w:rPr>
        <w:t>World Gold Council (2025)</w:t>
      </w:r>
      <w:r>
        <w:rPr>
          <w:rFonts w:ascii="Arial" w:hAnsi="Arial" w:cs="Arial"/>
          <w:color w:val="1F1F1F"/>
          <w:shd w:val="clear" w:color="auto" w:fill="FFFFFF"/>
        </w:rPr>
        <w:t xml:space="preserve">, </w:t>
      </w:r>
      <w:r w:rsidRPr="00D55A7C">
        <w:rPr>
          <w:rFonts w:ascii="Arial" w:hAnsi="Arial" w:cs="Arial"/>
        </w:rPr>
        <w:t xml:space="preserve">Gold is a strong asset because investors turn to it during economic uncertainty. </w:t>
      </w:r>
      <w:r>
        <w:rPr>
          <w:rFonts w:ascii="Arial" w:hAnsi="Arial" w:cs="Arial"/>
        </w:rPr>
        <w:lastRenderedPageBreak/>
        <w:t>Conversely,</w:t>
      </w:r>
      <w:r w:rsidRPr="00D55A7C">
        <w:rPr>
          <w:rFonts w:ascii="Arial" w:hAnsi="Arial" w:cs="Arial"/>
        </w:rPr>
        <w:t xml:space="preserve"> some investors may shift away from physical holdings to profit-taking, while others avoid the market entirely when price volatility is high.</w:t>
      </w:r>
    </w:p>
    <w:p w14:paraId="7D3E8BA3" w14:textId="77777777" w:rsidR="00877543" w:rsidRDefault="00877543" w:rsidP="00877543">
      <w:pPr>
        <w:rPr>
          <w:rFonts w:ascii="Arial" w:hAnsi="Arial" w:cs="Arial"/>
        </w:rPr>
      </w:pPr>
      <w:r w:rsidRPr="00306AC5">
        <w:rPr>
          <w:rFonts w:ascii="Arial" w:hAnsi="Arial" w:cs="Arial"/>
        </w:rPr>
        <w:t>In conclusion, gold function as both a hedge and a safe haven, but only under specific conditions. Its role is heavily influenced by inflation, market volatility, investor sentiment and financial crises. This time-based factor is essential for helping gold's effectiveness in portfolio diversification and risk management.</w:t>
      </w:r>
    </w:p>
    <w:p w14:paraId="637FDC75" w14:textId="77777777" w:rsidR="00877543" w:rsidRPr="00306AC5" w:rsidRDefault="00877543" w:rsidP="00877543">
      <w:pPr>
        <w:rPr>
          <w:rFonts w:ascii="Arial" w:hAnsi="Arial" w:cs="Arial"/>
        </w:rPr>
      </w:pPr>
    </w:p>
    <w:p w14:paraId="3B39523D" w14:textId="77777777" w:rsidR="00877543" w:rsidRDefault="00877543" w:rsidP="00877543">
      <w:pPr>
        <w:rPr>
          <w:rFonts w:ascii="Arial" w:hAnsi="Arial" w:cs="Arial"/>
          <w:b/>
          <w:bCs/>
          <w:sz w:val="28"/>
          <w:szCs w:val="28"/>
        </w:rPr>
      </w:pPr>
      <w:r w:rsidRPr="000A3076">
        <w:rPr>
          <w:rFonts w:ascii="Arial" w:hAnsi="Arial" w:cs="Arial"/>
          <w:b/>
          <w:bCs/>
          <w:sz w:val="28"/>
          <w:szCs w:val="28"/>
        </w:rPr>
        <w:t xml:space="preserve">2.4. Relationship Between Gold and Equity Returns </w:t>
      </w:r>
    </w:p>
    <w:p w14:paraId="2114D0EB" w14:textId="77777777" w:rsidR="00877543" w:rsidRDefault="00877543" w:rsidP="00877543">
      <w:pPr>
        <w:rPr>
          <w:rFonts w:ascii="Arial" w:hAnsi="Arial" w:cs="Arial"/>
        </w:rPr>
      </w:pPr>
      <w:r w:rsidRPr="007C596D">
        <w:rPr>
          <w:rFonts w:ascii="Arial" w:hAnsi="Arial" w:cs="Arial"/>
        </w:rPr>
        <w:t>This section shows the relationship between gold prices and the US stock market.</w:t>
      </w:r>
      <w:r>
        <w:rPr>
          <w:rFonts w:ascii="Arial" w:hAnsi="Arial" w:cs="Arial"/>
        </w:rPr>
        <w:t xml:space="preserve"> </w:t>
      </w:r>
      <w:r w:rsidRPr="005768C4">
        <w:rPr>
          <w:rFonts w:ascii="Arial" w:hAnsi="Arial" w:cs="Arial"/>
        </w:rPr>
        <w:t>By understanding how these two assets act on their own, how macroeconomic variables like interest rates impact both gold and equity markets.</w:t>
      </w:r>
      <w:r w:rsidRPr="00327397">
        <w:rPr>
          <w:rFonts w:ascii="Arial" w:hAnsi="Arial" w:cs="Arial"/>
          <w:color w:val="1F1F1F"/>
          <w:shd w:val="clear" w:color="auto" w:fill="FFFFFF"/>
        </w:rPr>
        <w:t xml:space="preserve"> </w:t>
      </w:r>
      <w:r w:rsidRPr="00327397">
        <w:rPr>
          <w:rFonts w:ascii="Arial" w:hAnsi="Arial" w:cs="Arial"/>
        </w:rPr>
        <w:t>This research suggests that gold is an effective hedge for investors who are heavily focused on equity market.</w:t>
      </w:r>
    </w:p>
    <w:p w14:paraId="369F8A48" w14:textId="77777777" w:rsidR="00877543" w:rsidRPr="003217AC" w:rsidRDefault="00877543" w:rsidP="00877543">
      <w:pPr>
        <w:rPr>
          <w:rFonts w:ascii="Arial" w:hAnsi="Arial" w:cs="Arial"/>
        </w:rPr>
      </w:pPr>
    </w:p>
    <w:p w14:paraId="2188CDDD" w14:textId="77777777" w:rsidR="00877543" w:rsidRDefault="00877543" w:rsidP="00877543">
      <w:pPr>
        <w:rPr>
          <w:rFonts w:ascii="Arial" w:hAnsi="Arial" w:cs="Arial"/>
          <w:b/>
          <w:bCs/>
        </w:rPr>
      </w:pPr>
      <w:r>
        <w:rPr>
          <w:rFonts w:ascii="Arial" w:hAnsi="Arial" w:cs="Arial"/>
          <w:b/>
          <w:bCs/>
        </w:rPr>
        <w:t xml:space="preserve">2.4.1. Historical Correlation Patterns </w:t>
      </w:r>
    </w:p>
    <w:p w14:paraId="184E6BBB" w14:textId="77777777" w:rsidR="00877543" w:rsidRDefault="00877543" w:rsidP="00877543">
      <w:pPr>
        <w:rPr>
          <w:rFonts w:ascii="Arial" w:hAnsi="Arial" w:cs="Arial"/>
        </w:rPr>
      </w:pPr>
      <w:r w:rsidRPr="00103C1E">
        <w:rPr>
          <w:rFonts w:ascii="Arial" w:hAnsi="Arial" w:cs="Arial"/>
        </w:rPr>
        <w:t>Historically, Gold has been a hedge. Investors use it because when the stock market goes up and down, gold tends to do its own thing, which keeps their wealth more stable</w:t>
      </w:r>
      <w:r>
        <w:rPr>
          <w:rFonts w:ascii="Arial" w:hAnsi="Arial" w:cs="Arial"/>
        </w:rPr>
        <w:t xml:space="preserve">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According to </w:t>
      </w:r>
      <w:proofErr w:type="spellStart"/>
      <w:r>
        <w:rPr>
          <w:rFonts w:ascii="Arial" w:hAnsi="Arial" w:cs="Arial"/>
        </w:rPr>
        <w:t>Daneshrad</w:t>
      </w:r>
      <w:proofErr w:type="spellEnd"/>
      <w:r>
        <w:rPr>
          <w:rFonts w:ascii="Arial" w:hAnsi="Arial" w:cs="Arial"/>
        </w:rPr>
        <w:t xml:space="preserve"> (2024),</w:t>
      </w:r>
      <w:r w:rsidRPr="00E30F52">
        <w:rPr>
          <w:rFonts w:ascii="Arial" w:hAnsi="Arial" w:cs="Arial"/>
        </w:rPr>
        <w:t xml:space="preserve"> stocks </w:t>
      </w:r>
      <w:r>
        <w:rPr>
          <w:rFonts w:ascii="Arial" w:hAnsi="Arial" w:cs="Arial"/>
        </w:rPr>
        <w:t>are productive assets that build</w:t>
      </w:r>
      <w:r w:rsidRPr="00E30F52">
        <w:rPr>
          <w:rFonts w:ascii="Arial" w:hAnsi="Arial" w:cs="Arial"/>
        </w:rPr>
        <w:t xml:space="preserve"> wealth by generating profits and dividends, gold is a passive asset that doesn't pay anything; it only appreciates in value if the market price increases.</w:t>
      </w:r>
      <w:r>
        <w:rPr>
          <w:rFonts w:ascii="Arial" w:hAnsi="Arial" w:cs="Arial"/>
        </w:rPr>
        <w:t xml:space="preserve"> </w:t>
      </w:r>
      <w:r w:rsidRPr="00215C66">
        <w:rPr>
          <w:rFonts w:ascii="Arial" w:hAnsi="Arial" w:cs="Arial"/>
        </w:rPr>
        <w:t xml:space="preserve">Therefore, </w:t>
      </w:r>
      <w:r>
        <w:rPr>
          <w:rFonts w:ascii="Arial" w:hAnsi="Arial" w:cs="Arial"/>
        </w:rPr>
        <w:t xml:space="preserve">while </w:t>
      </w:r>
      <w:r w:rsidRPr="00215C66">
        <w:rPr>
          <w:rFonts w:ascii="Arial" w:hAnsi="Arial" w:cs="Arial"/>
        </w:rPr>
        <w:t>gold acts as a hedge</w:t>
      </w:r>
      <w:r>
        <w:rPr>
          <w:rFonts w:ascii="Arial" w:hAnsi="Arial" w:cs="Arial"/>
        </w:rPr>
        <w:t>, it</w:t>
      </w:r>
      <w:r w:rsidRPr="0058358F">
        <w:rPr>
          <w:rFonts w:ascii="Arial" w:hAnsi="Arial" w:cs="Arial"/>
        </w:rPr>
        <w:t xml:space="preserve"> is not a safe asset</w:t>
      </w:r>
      <w:r>
        <w:rPr>
          <w:rFonts w:ascii="Arial" w:hAnsi="Arial" w:cs="Arial"/>
        </w:rPr>
        <w:t xml:space="preserve"> on its own</w:t>
      </w:r>
      <w:r w:rsidRPr="0058358F">
        <w:rPr>
          <w:rFonts w:ascii="Arial" w:hAnsi="Arial" w:cs="Arial"/>
        </w:rPr>
        <w:t>; its price can fluctuate wildly depending on what's happening in the market.</w:t>
      </w:r>
    </w:p>
    <w:p w14:paraId="1387B39D" w14:textId="77777777" w:rsidR="00877543" w:rsidRPr="00C321A3" w:rsidRDefault="00877543" w:rsidP="00877543">
      <w:pPr>
        <w:rPr>
          <w:rFonts w:ascii="Arial" w:hAnsi="Arial" w:cs="Arial"/>
          <w:b/>
          <w:bCs/>
        </w:rPr>
      </w:pPr>
    </w:p>
    <w:p w14:paraId="580236DF" w14:textId="77777777" w:rsidR="00877543" w:rsidRDefault="00877543" w:rsidP="00877543">
      <w:pPr>
        <w:rPr>
          <w:rFonts w:ascii="Arial" w:hAnsi="Arial" w:cs="Arial"/>
          <w:b/>
          <w:bCs/>
        </w:rPr>
      </w:pPr>
      <w:r w:rsidRPr="00C321A3">
        <w:rPr>
          <w:rFonts w:ascii="Arial" w:hAnsi="Arial" w:cs="Arial"/>
          <w:b/>
          <w:bCs/>
        </w:rPr>
        <w:t>2.4.2. During Market Stress</w:t>
      </w:r>
    </w:p>
    <w:p w14:paraId="67FFE2A0" w14:textId="77777777" w:rsidR="00877543" w:rsidRPr="008A0922" w:rsidRDefault="00877543" w:rsidP="00877543">
      <w:pPr>
        <w:rPr>
          <w:rFonts w:ascii="Arial" w:hAnsi="Arial" w:cs="Arial"/>
        </w:rPr>
      </w:pPr>
      <w:r w:rsidRPr="008A0922">
        <w:rPr>
          <w:rFonts w:ascii="Arial" w:hAnsi="Arial" w:cs="Arial"/>
        </w:rPr>
        <w:t>Gold is safe asset during extreme market volatility</w:t>
      </w:r>
      <w:r>
        <w:rPr>
          <w:rFonts w:ascii="Arial" w:hAnsi="Arial" w:cs="Arial"/>
        </w:rPr>
        <w:t xml:space="preserve">. </w:t>
      </w:r>
      <w:r w:rsidRPr="008A0922">
        <w:rPr>
          <w:rFonts w:ascii="Arial" w:hAnsi="Arial" w:cs="Arial"/>
        </w:rPr>
        <w:t xml:space="preserve">It is </w:t>
      </w:r>
      <w:r>
        <w:rPr>
          <w:rFonts w:ascii="Arial" w:hAnsi="Arial" w:cs="Arial"/>
        </w:rPr>
        <w:t>defined as an asset that is negatively correlated with other assets during a stock market crash (</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w:t>
      </w:r>
    </w:p>
    <w:p w14:paraId="72772B43" w14:textId="77777777" w:rsidR="00877543" w:rsidRDefault="00877543" w:rsidP="00877543">
      <w:pPr>
        <w:rPr>
          <w:rFonts w:ascii="Arial" w:hAnsi="Arial" w:cs="Arial"/>
        </w:rPr>
      </w:pPr>
      <w:r w:rsidRPr="000A41C6">
        <w:rPr>
          <w:rFonts w:ascii="Arial" w:hAnsi="Arial" w:cs="Arial"/>
        </w:rPr>
        <w:t>During market crashes, such as 2008 the global financial crisis and 2020 COVID-19 downturn, gold is an effective hedge for stock markets</w:t>
      </w:r>
      <w:r>
        <w:rPr>
          <w:rFonts w:ascii="Arial" w:hAnsi="Arial" w:cs="Arial"/>
        </w:rPr>
        <w:t xml:space="preserve"> (</w:t>
      </w:r>
      <w:proofErr w:type="spellStart"/>
      <w:r w:rsidRPr="00431260">
        <w:rPr>
          <w:rFonts w:ascii="Arial" w:hAnsi="Arial" w:cs="Arial"/>
        </w:rPr>
        <w:t>Ourir</w:t>
      </w:r>
      <w:proofErr w:type="spellEnd"/>
      <w:r w:rsidRPr="00431260">
        <w:rPr>
          <w:rFonts w:ascii="Arial" w:hAnsi="Arial" w:cs="Arial"/>
        </w:rPr>
        <w:t xml:space="preserve"> et al., 2021</w:t>
      </w:r>
      <w:r>
        <w:rPr>
          <w:rFonts w:ascii="Arial" w:hAnsi="Arial" w:cs="Arial"/>
        </w:rPr>
        <w:t xml:space="preserve">). </w:t>
      </w:r>
      <w:r w:rsidRPr="00E46261">
        <w:rPr>
          <w:rFonts w:ascii="Arial" w:hAnsi="Arial" w:cs="Arial"/>
        </w:rPr>
        <w:t>Therefore, gold remains a reliable asset for reducing risk when stock market</w:t>
      </w:r>
      <w:r>
        <w:rPr>
          <w:rFonts w:ascii="Arial" w:hAnsi="Arial" w:cs="Arial"/>
        </w:rPr>
        <w:t>s</w:t>
      </w:r>
      <w:r w:rsidRPr="00E46261">
        <w:rPr>
          <w:rFonts w:ascii="Arial" w:hAnsi="Arial" w:cs="Arial"/>
        </w:rPr>
        <w:t xml:space="preserve"> are declining.</w:t>
      </w:r>
    </w:p>
    <w:p w14:paraId="6F30093F" w14:textId="3B8EDB13" w:rsidR="00877543" w:rsidRPr="00877543" w:rsidRDefault="00877543" w:rsidP="00877543">
      <w:pPr>
        <w:rPr>
          <w:rFonts w:ascii="Arial" w:hAnsi="Arial" w:cs="Arial"/>
        </w:rPr>
      </w:pPr>
      <w:r w:rsidRPr="006623AC">
        <w:rPr>
          <w:rFonts w:ascii="Arial" w:hAnsi="Arial" w:cs="Arial"/>
          <w:b/>
          <w:bCs/>
        </w:rPr>
        <w:lastRenderedPageBreak/>
        <w:t xml:space="preserve">2.4.3. During </w:t>
      </w:r>
      <w:r>
        <w:rPr>
          <w:rFonts w:ascii="Arial" w:hAnsi="Arial" w:cs="Arial"/>
          <w:b/>
          <w:bCs/>
        </w:rPr>
        <w:t xml:space="preserve">Stable Market </w:t>
      </w:r>
    </w:p>
    <w:p w14:paraId="20DFB292" w14:textId="77777777" w:rsidR="00877543" w:rsidRDefault="00877543" w:rsidP="00877543">
      <w:pPr>
        <w:rPr>
          <w:rFonts w:ascii="Arial" w:hAnsi="Arial" w:cs="Arial"/>
        </w:rPr>
      </w:pPr>
      <w:r w:rsidRPr="003C7345">
        <w:rPr>
          <w:rFonts w:ascii="Arial" w:hAnsi="Arial" w:cs="Arial"/>
        </w:rPr>
        <w:t>During periods of market stability and profitability, gold is no longer a popular investment.</w:t>
      </w:r>
      <w:r>
        <w:rPr>
          <w:rFonts w:ascii="Arial" w:hAnsi="Arial" w:cs="Arial"/>
        </w:rPr>
        <w:t xml:space="preserve"> </w:t>
      </w:r>
      <w:r w:rsidRPr="0035426C">
        <w:rPr>
          <w:rFonts w:ascii="Arial" w:hAnsi="Arial" w:cs="Arial"/>
        </w:rPr>
        <w:t>Even though the stock market is booming, gold is still worth holding because it helps balance out market swings</w:t>
      </w:r>
      <w:r>
        <w:rPr>
          <w:rFonts w:ascii="Arial" w:hAnsi="Arial" w:cs="Arial"/>
        </w:rPr>
        <w:t xml:space="preserve"> </w:t>
      </w:r>
      <w:r w:rsidRPr="0035426C">
        <w:rPr>
          <w:rFonts w:ascii="Arial" w:hAnsi="Arial" w:cs="Arial"/>
        </w:rPr>
        <w:t>(UBS, 2025)</w:t>
      </w:r>
      <w:r>
        <w:rPr>
          <w:rFonts w:ascii="Arial" w:hAnsi="Arial" w:cs="Arial"/>
        </w:rPr>
        <w:t xml:space="preserve">. </w:t>
      </w:r>
    </w:p>
    <w:p w14:paraId="40D2481B" w14:textId="77777777" w:rsidR="00877543" w:rsidRDefault="00877543" w:rsidP="00877543">
      <w:pPr>
        <w:rPr>
          <w:rFonts w:ascii="Arial" w:hAnsi="Arial" w:cs="Arial"/>
        </w:rPr>
      </w:pPr>
      <w:r w:rsidRPr="009765DE">
        <w:rPr>
          <w:rFonts w:ascii="Arial" w:hAnsi="Arial" w:cs="Arial"/>
        </w:rPr>
        <w:t xml:space="preserve">Between 2012 and 2019, the stock market was rising, so gold wasn't popular investment. Most investors preferred to invest in the </w:t>
      </w:r>
      <w:r>
        <w:rPr>
          <w:rFonts w:ascii="Arial" w:hAnsi="Arial" w:cs="Arial"/>
        </w:rPr>
        <w:t>S&amp;P 500</w:t>
      </w:r>
      <w:r w:rsidRPr="009765DE">
        <w:rPr>
          <w:rFonts w:ascii="Arial" w:hAnsi="Arial" w:cs="Arial"/>
        </w:rPr>
        <w:t xml:space="preserve"> instead</w:t>
      </w:r>
      <w:r>
        <w:rPr>
          <w:rFonts w:ascii="Arial" w:hAnsi="Arial" w:cs="Arial"/>
        </w:rPr>
        <w:t xml:space="preserve"> (</w:t>
      </w:r>
      <w:r w:rsidRPr="009765DE">
        <w:rPr>
          <w:rFonts w:ascii="Arial" w:hAnsi="Arial" w:cs="Arial"/>
        </w:rPr>
        <w:t>Norland, 2024</w:t>
      </w:r>
      <w:r>
        <w:rPr>
          <w:rFonts w:ascii="Arial" w:hAnsi="Arial" w:cs="Arial"/>
        </w:rPr>
        <w:t>).</w:t>
      </w:r>
      <w:r w:rsidRPr="008121EE">
        <w:rPr>
          <w:rFonts w:ascii="Arial" w:hAnsi="Arial" w:cs="Arial"/>
          <w:color w:val="1F1F1F"/>
          <w:shd w:val="clear" w:color="auto" w:fill="FFFFFF"/>
        </w:rPr>
        <w:t xml:space="preserve"> </w:t>
      </w:r>
      <w:r w:rsidRPr="008121EE">
        <w:rPr>
          <w:rFonts w:ascii="Arial" w:hAnsi="Arial" w:cs="Arial"/>
        </w:rPr>
        <w:t>This highlights gold's role as protector against the ups and downs of the market.</w:t>
      </w:r>
    </w:p>
    <w:p w14:paraId="5E250F12" w14:textId="77777777" w:rsidR="00877543" w:rsidRDefault="00877543" w:rsidP="00877543">
      <w:pPr>
        <w:rPr>
          <w:rFonts w:ascii="Arial" w:hAnsi="Arial" w:cs="Arial"/>
          <w:b/>
          <w:bCs/>
        </w:rPr>
      </w:pPr>
    </w:p>
    <w:p w14:paraId="4EC00885" w14:textId="77777777" w:rsidR="00877543" w:rsidRDefault="00877543" w:rsidP="00877543">
      <w:pPr>
        <w:rPr>
          <w:rFonts w:ascii="Arial" w:hAnsi="Arial" w:cs="Arial"/>
          <w:b/>
          <w:bCs/>
        </w:rPr>
      </w:pPr>
      <w:r>
        <w:rPr>
          <w:rFonts w:ascii="Arial" w:hAnsi="Arial" w:cs="Arial"/>
          <w:b/>
          <w:bCs/>
        </w:rPr>
        <w:t xml:space="preserve">2.4.4. </w:t>
      </w:r>
      <w:r w:rsidRPr="0087636D">
        <w:rPr>
          <w:rFonts w:ascii="Arial" w:hAnsi="Arial" w:cs="Arial"/>
          <w:b/>
          <w:bCs/>
        </w:rPr>
        <w:t xml:space="preserve">Evolution of </w:t>
      </w:r>
      <w:r>
        <w:rPr>
          <w:rFonts w:ascii="Arial" w:hAnsi="Arial" w:cs="Arial"/>
          <w:b/>
          <w:bCs/>
        </w:rPr>
        <w:t>a</w:t>
      </w:r>
      <w:r w:rsidRPr="0087636D">
        <w:rPr>
          <w:rFonts w:ascii="Arial" w:hAnsi="Arial" w:cs="Arial"/>
          <w:b/>
          <w:bCs/>
        </w:rPr>
        <w:t xml:space="preserve">nalytical </w:t>
      </w:r>
      <w:r>
        <w:rPr>
          <w:rFonts w:ascii="Arial" w:hAnsi="Arial" w:cs="Arial"/>
          <w:b/>
          <w:bCs/>
        </w:rPr>
        <w:t>a</w:t>
      </w:r>
      <w:r w:rsidRPr="0087636D">
        <w:rPr>
          <w:rFonts w:ascii="Arial" w:hAnsi="Arial" w:cs="Arial"/>
          <w:b/>
          <w:bCs/>
        </w:rPr>
        <w:t>pproaches</w:t>
      </w:r>
    </w:p>
    <w:p w14:paraId="3813AE22" w14:textId="77777777" w:rsidR="00877543" w:rsidRDefault="00877543" w:rsidP="00877543">
      <w:pPr>
        <w:rPr>
          <w:rFonts w:ascii="Arial" w:hAnsi="Arial" w:cs="Arial"/>
        </w:rPr>
      </w:pPr>
      <w:r w:rsidRPr="00ED0284">
        <w:rPr>
          <w:rFonts w:ascii="Arial" w:hAnsi="Arial" w:cs="Arial"/>
        </w:rPr>
        <w:t>The relationship between gold and stocks frequently fluctuates</w:t>
      </w:r>
      <w:r>
        <w:rPr>
          <w:rFonts w:ascii="Arial" w:hAnsi="Arial" w:cs="Arial"/>
        </w:rPr>
        <w:t>;</w:t>
      </w:r>
      <w:r w:rsidRPr="00ED0284">
        <w:rPr>
          <w:rFonts w:ascii="Arial" w:hAnsi="Arial" w:cs="Arial"/>
        </w:rPr>
        <w:t xml:space="preserve"> therefore, researchers use advanced statistical models to focus on evolving market risks.</w:t>
      </w:r>
    </w:p>
    <w:p w14:paraId="660C23B1" w14:textId="77777777" w:rsidR="00877543" w:rsidRDefault="00877543" w:rsidP="00877543">
      <w:pPr>
        <w:rPr>
          <w:rFonts w:ascii="Arial" w:hAnsi="Arial" w:cs="Arial"/>
        </w:rPr>
      </w:pPr>
      <w:r w:rsidRPr="008F347D">
        <w:rPr>
          <w:rFonts w:ascii="Arial" w:hAnsi="Arial" w:cs="Arial"/>
          <w:b/>
          <w:bCs/>
        </w:rPr>
        <w:t xml:space="preserve">Advanced </w:t>
      </w:r>
      <w:r>
        <w:rPr>
          <w:rFonts w:ascii="Arial" w:hAnsi="Arial" w:cs="Arial"/>
          <w:b/>
          <w:bCs/>
        </w:rPr>
        <w:t>M</w:t>
      </w:r>
      <w:r w:rsidRPr="008F347D">
        <w:rPr>
          <w:rFonts w:ascii="Arial" w:hAnsi="Arial" w:cs="Arial"/>
          <w:b/>
          <w:bCs/>
        </w:rPr>
        <w:t>odels:</w:t>
      </w:r>
      <w:r>
        <w:rPr>
          <w:rFonts w:ascii="Arial" w:hAnsi="Arial" w:cs="Arial"/>
          <w:b/>
          <w:bCs/>
        </w:rPr>
        <w:t xml:space="preserve"> </w:t>
      </w:r>
      <w:r w:rsidRPr="0012001E">
        <w:rPr>
          <w:rFonts w:ascii="Arial" w:hAnsi="Arial" w:cs="Arial"/>
        </w:rPr>
        <w:t>Financial economists utilize GARCH models to capture variations in volatility due to time dependence</w:t>
      </w:r>
      <w:r>
        <w:rPr>
          <w:rFonts w:ascii="Arial" w:hAnsi="Arial" w:cs="Arial"/>
        </w:rPr>
        <w:t xml:space="preserve"> (</w:t>
      </w:r>
      <w:r w:rsidRPr="008C666F">
        <w:rPr>
          <w:rFonts w:ascii="Arial" w:hAnsi="Arial" w:cs="Arial"/>
        </w:rPr>
        <w:t>Engle, 2002</w:t>
      </w:r>
      <w:r>
        <w:rPr>
          <w:rFonts w:ascii="Arial" w:hAnsi="Arial" w:cs="Arial"/>
        </w:rPr>
        <w:t>)</w:t>
      </w:r>
      <w:r w:rsidRPr="0012001E">
        <w:rPr>
          <w:rFonts w:ascii="Arial" w:hAnsi="Arial" w:cs="Arial"/>
        </w:rPr>
        <w:t>. Additionally, the DCC model allows them to track how the fluctuations of various asset classes correlate with each other over time</w:t>
      </w:r>
      <w:r>
        <w:rPr>
          <w:rFonts w:ascii="Arial" w:hAnsi="Arial" w:cs="Arial"/>
        </w:rPr>
        <w:t xml:space="preserve"> (</w:t>
      </w:r>
      <w:r w:rsidRPr="005D55A1">
        <w:rPr>
          <w:rFonts w:ascii="Arial" w:hAnsi="Arial" w:cs="Arial"/>
        </w:rPr>
        <w:t>Engle, 2002</w:t>
      </w:r>
      <w:r>
        <w:rPr>
          <w:rFonts w:ascii="Arial" w:hAnsi="Arial" w:cs="Arial"/>
        </w:rPr>
        <w:t>)</w:t>
      </w:r>
      <w:r w:rsidRPr="0012001E">
        <w:rPr>
          <w:rFonts w:ascii="Arial" w:hAnsi="Arial" w:cs="Arial"/>
        </w:rPr>
        <w:t>.</w:t>
      </w:r>
    </w:p>
    <w:p w14:paraId="7AC2393B" w14:textId="77777777" w:rsidR="00877543" w:rsidRPr="00AC60EF" w:rsidRDefault="00877543" w:rsidP="00877543">
      <w:pPr>
        <w:rPr>
          <w:rFonts w:ascii="Arial" w:hAnsi="Arial" w:cs="Arial"/>
        </w:rPr>
      </w:pPr>
      <w:r w:rsidRPr="00642BC5">
        <w:rPr>
          <w:rFonts w:ascii="Arial" w:hAnsi="Arial" w:cs="Arial"/>
          <w:b/>
          <w:bCs/>
        </w:rPr>
        <w:t>Contribution of this study:</w:t>
      </w:r>
      <w:r>
        <w:rPr>
          <w:rFonts w:ascii="Arial" w:hAnsi="Arial" w:cs="Arial"/>
          <w:b/>
          <w:bCs/>
        </w:rPr>
        <w:t xml:space="preserve"> </w:t>
      </w:r>
      <w:r w:rsidRPr="00AC60EF">
        <w:rPr>
          <w:rFonts w:ascii="Arial" w:hAnsi="Arial" w:cs="Arial"/>
        </w:rPr>
        <w:t>By using correlation and regression, this study adopts a systematic approach to identifying the impact of US interest rates on different economic periods.</w:t>
      </w:r>
      <w:r w:rsidRPr="00D107F4">
        <w:rPr>
          <w:rFonts w:ascii="Arial" w:hAnsi="Arial" w:cs="Arial"/>
          <w:color w:val="1F1F1F"/>
          <w:shd w:val="clear" w:color="auto" w:fill="FFFFFF"/>
        </w:rPr>
        <w:t xml:space="preserve"> </w:t>
      </w:r>
      <w:r w:rsidRPr="00D107F4">
        <w:rPr>
          <w:rFonts w:ascii="Arial" w:hAnsi="Arial" w:cs="Arial"/>
        </w:rPr>
        <w:t>An analysis of the 2005-2025 period through interest rate cycles shows that gold and equity performance are driven by monetary policy rather than market fluctuations.</w:t>
      </w:r>
    </w:p>
    <w:p w14:paraId="081A76E9" w14:textId="77777777" w:rsidR="00877543" w:rsidRDefault="00877543" w:rsidP="00877543">
      <w:pPr>
        <w:rPr>
          <w:rFonts w:ascii="Arial" w:hAnsi="Arial" w:cs="Arial"/>
          <w:b/>
          <w:bCs/>
        </w:rPr>
      </w:pPr>
    </w:p>
    <w:p w14:paraId="7A508076" w14:textId="77777777" w:rsidR="00877543" w:rsidRDefault="00877543" w:rsidP="00877543">
      <w:pPr>
        <w:rPr>
          <w:rFonts w:ascii="Arial" w:hAnsi="Arial" w:cs="Arial"/>
          <w:b/>
          <w:bCs/>
          <w:sz w:val="28"/>
          <w:szCs w:val="28"/>
        </w:rPr>
      </w:pPr>
      <w:r w:rsidRPr="00015593">
        <w:rPr>
          <w:rFonts w:ascii="Arial" w:hAnsi="Arial" w:cs="Arial"/>
          <w:b/>
          <w:bCs/>
          <w:sz w:val="28"/>
          <w:szCs w:val="28"/>
        </w:rPr>
        <w:t>2.5 Role of US Interest Rates and Monetary Policy</w:t>
      </w:r>
    </w:p>
    <w:p w14:paraId="7D5D3B6E" w14:textId="77777777" w:rsidR="00877543" w:rsidRDefault="00877543" w:rsidP="00877543">
      <w:pPr>
        <w:rPr>
          <w:rFonts w:ascii="Arial" w:hAnsi="Arial" w:cs="Arial"/>
        </w:rPr>
      </w:pPr>
      <w:r w:rsidRPr="00A86305">
        <w:rPr>
          <w:rFonts w:ascii="Arial" w:hAnsi="Arial" w:cs="Arial"/>
        </w:rPr>
        <w:t xml:space="preserve">US interest rates and monetary policy play a </w:t>
      </w:r>
      <w:r>
        <w:rPr>
          <w:rFonts w:ascii="Arial" w:hAnsi="Arial" w:cs="Arial"/>
        </w:rPr>
        <w:t>key</w:t>
      </w:r>
      <w:r w:rsidRPr="00A86305">
        <w:rPr>
          <w:rFonts w:ascii="Arial" w:hAnsi="Arial" w:cs="Arial"/>
        </w:rPr>
        <w:t xml:space="preserve"> role in the interaction between gold returns and US equity returns.</w:t>
      </w:r>
      <w:r>
        <w:rPr>
          <w:rFonts w:ascii="Arial" w:hAnsi="Arial" w:cs="Arial"/>
        </w:rPr>
        <w:t xml:space="preserve"> </w:t>
      </w:r>
      <w:r w:rsidRPr="008A68A3">
        <w:rPr>
          <w:rFonts w:ascii="Arial" w:hAnsi="Arial" w:cs="Arial"/>
        </w:rPr>
        <w:t>This study examines how interest rate changes influenced the relationship between gold and U.S. equity returns during the 2005 - 2025 period.</w:t>
      </w:r>
      <w:r>
        <w:rPr>
          <w:rFonts w:ascii="Arial" w:hAnsi="Arial" w:cs="Arial"/>
        </w:rPr>
        <w:t xml:space="preserve"> </w:t>
      </w:r>
    </w:p>
    <w:p w14:paraId="7CBDE1DE" w14:textId="77777777" w:rsidR="00877543" w:rsidRDefault="00877543" w:rsidP="00877543">
      <w:pPr>
        <w:rPr>
          <w:rFonts w:ascii="Arial" w:hAnsi="Arial" w:cs="Arial"/>
        </w:rPr>
      </w:pPr>
    </w:p>
    <w:p w14:paraId="493E5A01" w14:textId="77777777" w:rsidR="00877543" w:rsidRDefault="00877543" w:rsidP="00877543">
      <w:pPr>
        <w:rPr>
          <w:rFonts w:ascii="Arial" w:hAnsi="Arial" w:cs="Arial"/>
          <w:b/>
          <w:bCs/>
        </w:rPr>
      </w:pPr>
    </w:p>
    <w:p w14:paraId="1B8F0C0B" w14:textId="60C38E7E" w:rsidR="00877543" w:rsidRDefault="00877543" w:rsidP="00877543">
      <w:pPr>
        <w:rPr>
          <w:rFonts w:ascii="Arial" w:hAnsi="Arial" w:cs="Arial"/>
          <w:b/>
          <w:bCs/>
        </w:rPr>
      </w:pPr>
      <w:r w:rsidRPr="000A1362">
        <w:rPr>
          <w:rFonts w:ascii="Arial" w:hAnsi="Arial" w:cs="Arial"/>
          <w:b/>
          <w:bCs/>
        </w:rPr>
        <w:lastRenderedPageBreak/>
        <w:t>2.5.1. Impact of US Interest Rates on Gold</w:t>
      </w:r>
    </w:p>
    <w:p w14:paraId="59CDC85A" w14:textId="77777777" w:rsidR="00877543" w:rsidRDefault="00877543" w:rsidP="00877543">
      <w:pPr>
        <w:rPr>
          <w:rFonts w:ascii="Arial" w:hAnsi="Arial" w:cs="Arial"/>
        </w:rPr>
      </w:pPr>
      <w:r w:rsidRPr="0079759A">
        <w:rPr>
          <w:rFonts w:ascii="Arial" w:hAnsi="Arial" w:cs="Arial"/>
        </w:rPr>
        <w:t>Higher interest rates make it too expensive to hold on gold, because it doesn't pay any interest like a bank account does</w:t>
      </w:r>
      <w:r>
        <w:rPr>
          <w:rFonts w:ascii="Arial" w:hAnsi="Arial" w:cs="Arial"/>
        </w:rPr>
        <w:t xml:space="preserve"> (</w:t>
      </w:r>
      <w:r w:rsidRPr="007C4817">
        <w:rPr>
          <w:rFonts w:ascii="Arial" w:hAnsi="Arial" w:cs="Arial"/>
        </w:rPr>
        <w:t>Jones, 2023</w:t>
      </w:r>
      <w:r>
        <w:rPr>
          <w:rFonts w:ascii="Arial" w:hAnsi="Arial" w:cs="Arial"/>
        </w:rPr>
        <w:t>).</w:t>
      </w:r>
      <w:r w:rsidRPr="00813B0F">
        <w:rPr>
          <w:rFonts w:ascii="Arial" w:hAnsi="Arial" w:cs="Arial"/>
          <w:color w:val="1F1F1F"/>
          <w:shd w:val="clear" w:color="auto" w:fill="FFFFFF"/>
        </w:rPr>
        <w:t xml:space="preserve"> </w:t>
      </w:r>
      <w:r w:rsidRPr="00813B0F">
        <w:rPr>
          <w:rFonts w:ascii="Arial" w:hAnsi="Arial" w:cs="Arial"/>
        </w:rPr>
        <w:t>This shows a decline in demand for gold and places downward pressure on its price.</w:t>
      </w:r>
      <w:r w:rsidRPr="00AC7F08">
        <w:rPr>
          <w:rFonts w:ascii="Arial" w:hAnsi="Arial" w:cs="Arial"/>
          <w:color w:val="1F1F1F"/>
          <w:shd w:val="clear" w:color="auto" w:fill="FFFFFF"/>
        </w:rPr>
        <w:t xml:space="preserve"> </w:t>
      </w:r>
      <w:r w:rsidRPr="00AC7F08">
        <w:rPr>
          <w:rFonts w:ascii="Arial" w:hAnsi="Arial" w:cs="Arial"/>
        </w:rPr>
        <w:t>Conversely, Lower real interest rates reduce the opportunity cost of holding non-yielding assets. This makes them a more attractive 'safe haven' for investors looking to store wealth without losing value in a low-rate environment</w:t>
      </w:r>
      <w:r>
        <w:rPr>
          <w:rFonts w:ascii="Arial" w:hAnsi="Arial" w:cs="Arial"/>
        </w:rPr>
        <w:t xml:space="preserve"> (</w:t>
      </w:r>
      <w:r w:rsidRPr="00AC7F08">
        <w:rPr>
          <w:rFonts w:ascii="Arial" w:hAnsi="Arial" w:cs="Arial"/>
        </w:rPr>
        <w:t>Dasgupta, 2025</w:t>
      </w:r>
      <w:r>
        <w:rPr>
          <w:rFonts w:ascii="Arial" w:hAnsi="Arial" w:cs="Arial"/>
        </w:rPr>
        <w:t>).</w:t>
      </w:r>
    </w:p>
    <w:p w14:paraId="468C140A" w14:textId="77777777" w:rsidR="00877543" w:rsidRDefault="00877543" w:rsidP="00877543">
      <w:pPr>
        <w:rPr>
          <w:rFonts w:ascii="Arial" w:hAnsi="Arial" w:cs="Arial"/>
        </w:rPr>
      </w:pPr>
      <w:r w:rsidRPr="00D94055">
        <w:rPr>
          <w:rFonts w:ascii="Arial" w:hAnsi="Arial" w:cs="Arial"/>
        </w:rPr>
        <w:t>Understanding the difference between nominal and real interest rates is essential for analysing movements in gold prices.</w:t>
      </w:r>
      <w:r>
        <w:rPr>
          <w:rFonts w:ascii="Arial" w:hAnsi="Arial" w:cs="Arial"/>
        </w:rPr>
        <w:t xml:space="preserve"> </w:t>
      </w:r>
      <w:r w:rsidRPr="00B62CBB">
        <w:rPr>
          <w:rFonts w:ascii="Arial" w:hAnsi="Arial" w:cs="Arial"/>
        </w:rPr>
        <w:t>Barsky et al. (2021) suggest</w:t>
      </w:r>
      <w:r>
        <w:rPr>
          <w:rFonts w:ascii="Arial" w:hAnsi="Arial" w:cs="Arial"/>
        </w:rPr>
        <w:t xml:space="preserve"> that n</w:t>
      </w:r>
      <w:r w:rsidRPr="00B62CBB">
        <w:rPr>
          <w:rFonts w:ascii="Arial" w:hAnsi="Arial" w:cs="Arial"/>
        </w:rPr>
        <w:t>ominal interest rates are driven, by monetary policy and other government action</w:t>
      </w:r>
      <w:r>
        <w:rPr>
          <w:rFonts w:ascii="Arial" w:hAnsi="Arial" w:cs="Arial"/>
        </w:rPr>
        <w:t>s</w:t>
      </w:r>
      <w:r w:rsidRPr="00B62CBB">
        <w:rPr>
          <w:rFonts w:ascii="Arial" w:hAnsi="Arial" w:cs="Arial"/>
        </w:rPr>
        <w:t xml:space="preserve">, while real interest rates are adjusted for inflation and provide a more accurate information </w:t>
      </w:r>
      <w:r>
        <w:rPr>
          <w:rFonts w:ascii="Arial" w:hAnsi="Arial" w:cs="Arial"/>
        </w:rPr>
        <w:t>regarding</w:t>
      </w:r>
      <w:r w:rsidRPr="00B62CBB">
        <w:rPr>
          <w:rFonts w:ascii="Arial" w:hAnsi="Arial" w:cs="Arial"/>
        </w:rPr>
        <w:t xml:space="preserve"> the economic cost of holding non-yielding assets.</w:t>
      </w:r>
      <w:r w:rsidRPr="00A34826">
        <w:rPr>
          <w:rFonts w:ascii="Arial" w:hAnsi="Arial" w:cs="Arial"/>
          <w:color w:val="1F1F1F"/>
          <w:shd w:val="clear" w:color="auto" w:fill="FFFFFF"/>
        </w:rPr>
        <w:t xml:space="preserve"> </w:t>
      </w:r>
      <w:r w:rsidRPr="00A34826">
        <w:rPr>
          <w:rFonts w:ascii="Arial" w:hAnsi="Arial" w:cs="Arial"/>
        </w:rPr>
        <w:t>In the US, gold and interest rates are linked, especially during economic downturns. Consequently, gold prices shift whenever real interest rates change</w:t>
      </w:r>
      <w:r>
        <w:rPr>
          <w:rFonts w:ascii="Arial" w:hAnsi="Arial" w:cs="Arial"/>
        </w:rPr>
        <w:t xml:space="preserve"> (</w:t>
      </w:r>
      <w:r w:rsidRPr="00A34826">
        <w:rPr>
          <w:rFonts w:ascii="Arial" w:hAnsi="Arial" w:cs="Arial"/>
        </w:rPr>
        <w:t>Apergis et al., 2019</w:t>
      </w:r>
      <w:r>
        <w:rPr>
          <w:rFonts w:ascii="Arial" w:hAnsi="Arial" w:cs="Arial"/>
        </w:rPr>
        <w:t>).</w:t>
      </w:r>
      <w:r w:rsidRPr="00843BEC">
        <w:rPr>
          <w:rFonts w:ascii="Arial" w:hAnsi="Arial" w:cs="Arial"/>
          <w:color w:val="1F1F1F"/>
          <w:shd w:val="clear" w:color="auto" w:fill="FFFFFF"/>
        </w:rPr>
        <w:t xml:space="preserve"> </w:t>
      </w:r>
      <w:r w:rsidRPr="00843BEC">
        <w:rPr>
          <w:rFonts w:ascii="Arial" w:hAnsi="Arial" w:cs="Arial"/>
        </w:rPr>
        <w:t>This shows the relationship between gold and interest rates. Gold doesn't pay interest; it is more popular when rates are low. When interest rates increase, gold becomes less attractive because other investments earn more, causing the price of gold to drop.</w:t>
      </w:r>
    </w:p>
    <w:p w14:paraId="06E99A54" w14:textId="77777777" w:rsidR="00877543" w:rsidRDefault="00877543" w:rsidP="00877543">
      <w:pPr>
        <w:rPr>
          <w:rFonts w:ascii="Arial" w:hAnsi="Arial" w:cs="Arial"/>
        </w:rPr>
      </w:pPr>
      <w:r>
        <w:rPr>
          <w:rFonts w:ascii="Arial" w:hAnsi="Arial" w:cs="Arial"/>
        </w:rPr>
        <w:t>The World Gold Council (2020) s</w:t>
      </w:r>
      <w:r w:rsidRPr="003577FA">
        <w:rPr>
          <w:rFonts w:ascii="Arial" w:hAnsi="Arial" w:cs="Arial"/>
        </w:rPr>
        <w:t xml:space="preserve">upports this correlation, demonstrating that gold </w:t>
      </w:r>
      <w:r>
        <w:rPr>
          <w:rFonts w:ascii="Arial" w:hAnsi="Arial" w:cs="Arial"/>
        </w:rPr>
        <w:t>prices can fluctuate</w:t>
      </w:r>
      <w:r w:rsidRPr="003577FA">
        <w:rPr>
          <w:rFonts w:ascii="Arial" w:hAnsi="Arial" w:cs="Arial"/>
        </w:rPr>
        <w:t xml:space="preserve"> when interest rates </w:t>
      </w:r>
      <w:r>
        <w:rPr>
          <w:rFonts w:ascii="Arial" w:hAnsi="Arial" w:cs="Arial"/>
        </w:rPr>
        <w:t>change</w:t>
      </w:r>
      <w:r w:rsidRPr="003577FA">
        <w:rPr>
          <w:rFonts w:ascii="Arial" w:hAnsi="Arial" w:cs="Arial"/>
        </w:rPr>
        <w:t>.</w:t>
      </w:r>
      <w:r>
        <w:rPr>
          <w:rFonts w:ascii="Arial" w:hAnsi="Arial" w:cs="Arial"/>
        </w:rPr>
        <w:t xml:space="preserve"> </w:t>
      </w:r>
      <w:r w:rsidRPr="00987003">
        <w:rPr>
          <w:rFonts w:ascii="Arial" w:hAnsi="Arial" w:cs="Arial"/>
        </w:rPr>
        <w:t>Basically, when interest rates drop</w:t>
      </w:r>
      <w:r>
        <w:rPr>
          <w:rFonts w:ascii="Arial" w:hAnsi="Arial" w:cs="Arial"/>
        </w:rPr>
        <w:t>ped</w:t>
      </w:r>
      <w:r w:rsidRPr="00987003">
        <w:rPr>
          <w:rFonts w:ascii="Arial" w:hAnsi="Arial" w:cs="Arial"/>
        </w:rPr>
        <w:t xml:space="preserve">, the gold price </w:t>
      </w:r>
      <w:r>
        <w:rPr>
          <w:rFonts w:ascii="Arial" w:hAnsi="Arial" w:cs="Arial"/>
        </w:rPr>
        <w:t>fell because investors needed to raise cash</w:t>
      </w:r>
      <w:r w:rsidRPr="00987003">
        <w:rPr>
          <w:rFonts w:ascii="Arial" w:hAnsi="Arial" w:cs="Arial"/>
        </w:rPr>
        <w:t>. This happens because the Fed cuts rates when the economy is struggling or to increase liquidity in the market.</w:t>
      </w:r>
      <w:r w:rsidRPr="006B2B54">
        <w:rPr>
          <w:rFonts w:ascii="Arial" w:hAnsi="Arial" w:cs="Arial"/>
          <w:color w:val="1F1F1F"/>
          <w:shd w:val="clear" w:color="auto" w:fill="FFFFFF"/>
        </w:rPr>
        <w:t xml:space="preserve"> </w:t>
      </w:r>
      <w:r w:rsidRPr="006B2B54">
        <w:rPr>
          <w:rFonts w:ascii="Arial" w:hAnsi="Arial" w:cs="Arial"/>
        </w:rPr>
        <w:t xml:space="preserve">The correlation </w:t>
      </w:r>
      <w:r>
        <w:rPr>
          <w:rFonts w:ascii="Arial" w:hAnsi="Arial" w:cs="Arial"/>
        </w:rPr>
        <w:t xml:space="preserve">was </w:t>
      </w:r>
      <w:r w:rsidRPr="006B2B54">
        <w:rPr>
          <w:rFonts w:ascii="Arial" w:hAnsi="Arial" w:cs="Arial"/>
        </w:rPr>
        <w:t>identified during the post 2008 and COVID-19 crashes</w:t>
      </w:r>
      <w:r>
        <w:rPr>
          <w:rFonts w:ascii="Arial" w:hAnsi="Arial" w:cs="Arial"/>
        </w:rPr>
        <w:t>,</w:t>
      </w:r>
      <w:r w:rsidRPr="006B2B54">
        <w:rPr>
          <w:rFonts w:ascii="Arial" w:hAnsi="Arial" w:cs="Arial"/>
        </w:rPr>
        <w:t xml:space="preserve"> </w:t>
      </w:r>
      <w:r w:rsidRPr="00E62F3E">
        <w:rPr>
          <w:rFonts w:ascii="Arial" w:hAnsi="Arial" w:cs="Arial"/>
        </w:rPr>
        <w:t xml:space="preserve">where extreme volatility </w:t>
      </w:r>
      <w:r>
        <w:rPr>
          <w:rFonts w:ascii="Arial" w:hAnsi="Arial" w:cs="Arial"/>
        </w:rPr>
        <w:t xml:space="preserve">forced </w:t>
      </w:r>
      <w:r w:rsidRPr="00E62F3E">
        <w:rPr>
          <w:rFonts w:ascii="Arial" w:hAnsi="Arial" w:cs="Arial"/>
        </w:rPr>
        <w:t>even safe-haven assets like gold to be sold for cash</w:t>
      </w:r>
      <w:r>
        <w:rPr>
          <w:rFonts w:ascii="Arial" w:hAnsi="Arial" w:cs="Arial"/>
        </w:rPr>
        <w:t xml:space="preserve"> (World Gold Council, 2020). </w:t>
      </w:r>
    </w:p>
    <w:p w14:paraId="4AD2420F" w14:textId="77777777" w:rsidR="00877543" w:rsidRDefault="00877543" w:rsidP="00877543">
      <w:pPr>
        <w:rPr>
          <w:rFonts w:ascii="Arial" w:hAnsi="Arial" w:cs="Arial"/>
        </w:rPr>
      </w:pPr>
      <w:r>
        <w:rPr>
          <w:rFonts w:ascii="Arial" w:hAnsi="Arial" w:cs="Arial"/>
        </w:rPr>
        <w:t xml:space="preserve">In conclusion, </w:t>
      </w:r>
      <w:r w:rsidRPr="00CD11FA">
        <w:rPr>
          <w:rFonts w:ascii="Arial" w:hAnsi="Arial" w:cs="Arial"/>
        </w:rPr>
        <w:t>when interest rates go up, gold prices go down; as Banks increase their rates of return, gold becomes less attractive because it provides no passive income.</w:t>
      </w:r>
      <w:r w:rsidRPr="0097243A">
        <w:rPr>
          <w:rFonts w:ascii="Arial" w:hAnsi="Arial" w:cs="Arial"/>
          <w:color w:val="1F1F1F"/>
          <w:shd w:val="clear" w:color="auto" w:fill="FFFFFF"/>
        </w:rPr>
        <w:t xml:space="preserve"> </w:t>
      </w:r>
      <w:r w:rsidRPr="0097243A">
        <w:rPr>
          <w:rFonts w:ascii="Arial" w:hAnsi="Arial" w:cs="Arial"/>
        </w:rPr>
        <w:t>Interest rates are lowered to stimulate economic growth. In those moments, gold often becomes the primary asset available for those looking to safely store their wealth.</w:t>
      </w:r>
      <w:r>
        <w:rPr>
          <w:rFonts w:ascii="Arial" w:hAnsi="Arial" w:cs="Arial"/>
        </w:rPr>
        <w:t xml:space="preserve"> </w:t>
      </w:r>
      <w:r w:rsidRPr="00FE355A">
        <w:rPr>
          <w:rFonts w:ascii="Arial" w:hAnsi="Arial" w:cs="Arial"/>
        </w:rPr>
        <w:t>Therefore, gold requires more than just speculation based on future interest rate increases; it also involves looking at the financial system.</w:t>
      </w:r>
    </w:p>
    <w:p w14:paraId="7F3D2677" w14:textId="77777777" w:rsidR="00877543" w:rsidRDefault="00877543" w:rsidP="00877543">
      <w:pPr>
        <w:rPr>
          <w:rFonts w:ascii="Arial" w:hAnsi="Arial" w:cs="Arial"/>
        </w:rPr>
      </w:pPr>
    </w:p>
    <w:p w14:paraId="67F9AE72" w14:textId="77777777" w:rsidR="00877543" w:rsidRDefault="00877543" w:rsidP="00877543">
      <w:pPr>
        <w:rPr>
          <w:rFonts w:ascii="Arial" w:hAnsi="Arial" w:cs="Arial"/>
          <w:b/>
          <w:bCs/>
        </w:rPr>
      </w:pPr>
      <w:r w:rsidRPr="009D62A9">
        <w:rPr>
          <w:rFonts w:ascii="Arial" w:hAnsi="Arial" w:cs="Arial"/>
          <w:b/>
          <w:bCs/>
        </w:rPr>
        <w:lastRenderedPageBreak/>
        <w:t xml:space="preserve">2.5.2. Impact of US Interest Rates on US Equity </w:t>
      </w:r>
    </w:p>
    <w:p w14:paraId="70A63822" w14:textId="77777777" w:rsidR="00877543" w:rsidRDefault="00877543" w:rsidP="00877543">
      <w:pPr>
        <w:rPr>
          <w:rFonts w:ascii="Arial" w:hAnsi="Arial" w:cs="Arial"/>
        </w:rPr>
      </w:pPr>
      <w:r>
        <w:rPr>
          <w:rFonts w:ascii="Arial" w:hAnsi="Arial" w:cs="Arial"/>
        </w:rPr>
        <w:t xml:space="preserve">US Interest rates </w:t>
      </w:r>
      <w:proofErr w:type="spellStart"/>
      <w:r>
        <w:rPr>
          <w:rFonts w:ascii="Arial" w:hAnsi="Arial" w:cs="Arial"/>
        </w:rPr>
        <w:t>affect</w:t>
      </w:r>
      <w:proofErr w:type="spellEnd"/>
      <w:r>
        <w:rPr>
          <w:rFonts w:ascii="Arial" w:hAnsi="Arial" w:cs="Arial"/>
        </w:rPr>
        <w:t xml:space="preserve"> on equity valuations.</w:t>
      </w:r>
      <w:r w:rsidRPr="000F3E3F">
        <w:rPr>
          <w:rFonts w:ascii="Arial" w:hAnsi="Arial" w:cs="Arial"/>
        </w:rPr>
        <w:t xml:space="preserve"> </w:t>
      </w:r>
      <w:r w:rsidRPr="008A037A">
        <w:rPr>
          <w:rFonts w:ascii="Arial" w:hAnsi="Arial" w:cs="Arial"/>
        </w:rPr>
        <w:t>Abreu, Marinho</w:t>
      </w:r>
      <w:r>
        <w:rPr>
          <w:rFonts w:ascii="Arial" w:hAnsi="Arial" w:cs="Arial"/>
        </w:rPr>
        <w:t xml:space="preserve"> </w:t>
      </w:r>
      <w:r w:rsidRPr="008A037A">
        <w:rPr>
          <w:rFonts w:ascii="Arial" w:hAnsi="Arial" w:cs="Arial"/>
        </w:rPr>
        <w:t xml:space="preserve">and </w:t>
      </w:r>
      <w:proofErr w:type="spellStart"/>
      <w:r w:rsidRPr="008A037A">
        <w:rPr>
          <w:rFonts w:ascii="Arial" w:hAnsi="Arial" w:cs="Arial"/>
        </w:rPr>
        <w:t>Oliveiras</w:t>
      </w:r>
      <w:proofErr w:type="spellEnd"/>
      <w:r>
        <w:rPr>
          <w:rFonts w:ascii="Arial" w:hAnsi="Arial" w:cs="Arial"/>
        </w:rPr>
        <w:t xml:space="preserve"> (</w:t>
      </w:r>
      <w:r w:rsidRPr="008A037A">
        <w:rPr>
          <w:rFonts w:ascii="Arial" w:hAnsi="Arial" w:cs="Arial"/>
        </w:rPr>
        <w:t>2025</w:t>
      </w:r>
      <w:r>
        <w:rPr>
          <w:rFonts w:ascii="Arial" w:hAnsi="Arial" w:cs="Arial"/>
        </w:rPr>
        <w:t>)</w:t>
      </w:r>
      <w:r w:rsidRPr="008A037A">
        <w:rPr>
          <w:rFonts w:ascii="Arial" w:hAnsi="Arial" w:cs="Arial"/>
        </w:rPr>
        <w:t xml:space="preserve"> </w:t>
      </w:r>
      <w:r>
        <w:rPr>
          <w:rFonts w:ascii="Arial" w:hAnsi="Arial" w:cs="Arial"/>
        </w:rPr>
        <w:t xml:space="preserve">explains that </w:t>
      </w:r>
      <w:r w:rsidRPr="008A037A">
        <w:rPr>
          <w:rFonts w:ascii="Arial" w:hAnsi="Arial" w:cs="Arial"/>
        </w:rPr>
        <w:t>higher interest rates raise the opportunity cost of capital. Consequently, a higher discount rate leads to a lower present value for future dividends and earnings, which explains the decline in stock performance during periods of rate hikes</w:t>
      </w:r>
      <w:r>
        <w:rPr>
          <w:rFonts w:ascii="Arial" w:hAnsi="Arial" w:cs="Arial"/>
        </w:rPr>
        <w:t xml:space="preserve">. </w:t>
      </w:r>
      <w:r w:rsidRPr="00BB2B1F">
        <w:rPr>
          <w:rFonts w:ascii="Arial" w:hAnsi="Arial" w:cs="Arial"/>
        </w:rPr>
        <w:t>As a result, high interest rates are bad news for the stock market, while low interest rates are good news for it</w:t>
      </w:r>
      <w:r>
        <w:rPr>
          <w:rFonts w:ascii="Arial" w:hAnsi="Arial" w:cs="Arial"/>
        </w:rPr>
        <w:t xml:space="preserve"> </w:t>
      </w:r>
      <w:r w:rsidRPr="007615C7">
        <w:rPr>
          <w:rFonts w:ascii="Arial" w:hAnsi="Arial" w:cs="Arial"/>
        </w:rPr>
        <w:t>(Alam and Uddin, 2009)</w:t>
      </w:r>
      <w:r>
        <w:rPr>
          <w:rFonts w:ascii="Arial" w:hAnsi="Arial" w:cs="Arial"/>
        </w:rPr>
        <w:t>.</w:t>
      </w:r>
    </w:p>
    <w:p w14:paraId="33C45FB2" w14:textId="77777777" w:rsidR="00877543" w:rsidRDefault="00877543" w:rsidP="00877543">
      <w:pPr>
        <w:rPr>
          <w:rFonts w:ascii="Arial" w:hAnsi="Arial" w:cs="Arial"/>
        </w:rPr>
      </w:pPr>
      <w:r w:rsidRPr="00426106">
        <w:rPr>
          <w:rFonts w:ascii="Arial" w:hAnsi="Arial" w:cs="Arial"/>
        </w:rPr>
        <w:t>Stock returns drop when inflation increases because banks hike policy rates. This tightening of the money supply reduces available liquidity and puts downward pressure on the price of stocks</w:t>
      </w:r>
      <w:r>
        <w:rPr>
          <w:rFonts w:ascii="Arial" w:hAnsi="Arial" w:cs="Arial"/>
        </w:rPr>
        <w:t xml:space="preserve"> </w:t>
      </w:r>
      <w:r w:rsidRPr="00426106">
        <w:rPr>
          <w:rFonts w:ascii="Arial" w:hAnsi="Arial" w:cs="Arial"/>
        </w:rPr>
        <w:t>(Zhang, 2021)</w:t>
      </w:r>
      <w:r>
        <w:rPr>
          <w:rFonts w:ascii="Arial" w:hAnsi="Arial" w:cs="Arial"/>
        </w:rPr>
        <w:t xml:space="preserve">. </w:t>
      </w:r>
      <w:r w:rsidRPr="00242958">
        <w:rPr>
          <w:rFonts w:ascii="Arial" w:hAnsi="Arial" w:cs="Arial"/>
        </w:rPr>
        <w:t>In contrast, rate cuts during a downturn look like a bad sign, but lower rates help the stock market bounce back</w:t>
      </w:r>
      <w:r>
        <w:rPr>
          <w:rFonts w:ascii="Arial" w:hAnsi="Arial" w:cs="Arial"/>
        </w:rPr>
        <w:t xml:space="preserve"> </w:t>
      </w:r>
      <w:r w:rsidRPr="00242958">
        <w:rPr>
          <w:rFonts w:ascii="Arial" w:hAnsi="Arial" w:cs="Arial"/>
        </w:rPr>
        <w:t>(Lamont, 2024).</w:t>
      </w:r>
      <w:r>
        <w:rPr>
          <w:rFonts w:ascii="Arial" w:hAnsi="Arial" w:cs="Arial"/>
        </w:rPr>
        <w:t xml:space="preserve"> </w:t>
      </w:r>
      <w:r w:rsidRPr="000B06B9">
        <w:rPr>
          <w:rFonts w:ascii="Arial" w:hAnsi="Arial" w:cs="Arial"/>
        </w:rPr>
        <w:t>Hence, the relationship between market performance and policy rates shows a dependence which means that monetary easing is the primary for renewed capital appreciation.</w:t>
      </w:r>
    </w:p>
    <w:p w14:paraId="0F980682" w14:textId="77777777" w:rsidR="00877543" w:rsidRDefault="00877543" w:rsidP="00877543">
      <w:pPr>
        <w:rPr>
          <w:rFonts w:ascii="Arial" w:hAnsi="Arial" w:cs="Arial"/>
        </w:rPr>
      </w:pPr>
      <w:r>
        <w:rPr>
          <w:rFonts w:ascii="Arial" w:hAnsi="Arial" w:cs="Arial"/>
        </w:rPr>
        <w:t>In summary:</w:t>
      </w:r>
      <w:r w:rsidRPr="00726680">
        <w:rPr>
          <w:rFonts w:ascii="Arial" w:hAnsi="Arial" w:cs="Arial"/>
        </w:rPr>
        <w:t xml:space="preserve"> as rates increase, they pull stock valuations down; however, when interest rates decline, the equity market tends to rise and thrive again.</w:t>
      </w:r>
    </w:p>
    <w:p w14:paraId="563E70B5" w14:textId="77777777" w:rsidR="00877543" w:rsidRDefault="00877543" w:rsidP="00877543">
      <w:pPr>
        <w:rPr>
          <w:rFonts w:ascii="Arial" w:hAnsi="Arial" w:cs="Arial"/>
        </w:rPr>
      </w:pPr>
    </w:p>
    <w:p w14:paraId="3476B489" w14:textId="77777777" w:rsidR="00877543" w:rsidRPr="00B06369" w:rsidRDefault="00877543" w:rsidP="00877543">
      <w:pPr>
        <w:rPr>
          <w:rFonts w:ascii="Arial" w:hAnsi="Arial" w:cs="Arial"/>
          <w:b/>
          <w:bCs/>
        </w:rPr>
      </w:pPr>
      <w:r w:rsidRPr="00B06369">
        <w:rPr>
          <w:rFonts w:ascii="Arial" w:hAnsi="Arial" w:cs="Arial"/>
          <w:b/>
          <w:bCs/>
        </w:rPr>
        <w:t>2.5.3. Dynamic Relationship: Gold-Equity-Interest Rates</w:t>
      </w:r>
    </w:p>
    <w:p w14:paraId="48F8AB02" w14:textId="77777777" w:rsidR="00877543" w:rsidRDefault="00877543" w:rsidP="00877543">
      <w:pPr>
        <w:rPr>
          <w:rFonts w:ascii="Arial" w:hAnsi="Arial" w:cs="Arial"/>
        </w:rPr>
      </w:pPr>
      <w:r w:rsidRPr="00AC6E77">
        <w:rPr>
          <w:rFonts w:ascii="Arial" w:hAnsi="Arial" w:cs="Arial"/>
        </w:rPr>
        <w:t>The relationship between gold and equities reflects how investors react to the fed's decisions. When interest rates move, it changes how investors approach risk; they often split their portfolios between growth-focused stocks and defensive havens like gold.</w:t>
      </w:r>
    </w:p>
    <w:p w14:paraId="06C55142" w14:textId="77777777" w:rsidR="00877543" w:rsidRDefault="00877543" w:rsidP="00877543">
      <w:pPr>
        <w:rPr>
          <w:rFonts w:ascii="Arial" w:hAnsi="Arial" w:cs="Arial"/>
        </w:rPr>
      </w:pPr>
      <w:r w:rsidRPr="00C16E43">
        <w:rPr>
          <w:rFonts w:ascii="Arial" w:hAnsi="Arial" w:cs="Arial"/>
        </w:rPr>
        <w:t>During rising rate cycles, such as 2005 -2006 and 2016-2018, tightening monetary policy increased the cost of capital and decreased overall market liquidity</w:t>
      </w:r>
      <w:r>
        <w:rPr>
          <w:rFonts w:ascii="Arial" w:hAnsi="Arial" w:cs="Arial"/>
        </w:rPr>
        <w:t xml:space="preserve"> </w:t>
      </w:r>
      <w:r w:rsidRPr="007D3CC6">
        <w:rPr>
          <w:rFonts w:ascii="Arial" w:hAnsi="Arial" w:cs="Arial"/>
        </w:rPr>
        <w:t>(Tepper and Powell, 2025</w:t>
      </w:r>
      <w:r>
        <w:rPr>
          <w:rFonts w:ascii="Arial" w:hAnsi="Arial" w:cs="Arial"/>
        </w:rPr>
        <w:t>)</w:t>
      </w:r>
      <w:r w:rsidRPr="00C16E43">
        <w:rPr>
          <w:rFonts w:ascii="Arial" w:hAnsi="Arial" w:cs="Arial"/>
        </w:rPr>
        <w:t>. Consequently, equity market faced corrections and gold lost value as its opportunity cost rose</w:t>
      </w:r>
      <w:r>
        <w:rPr>
          <w:rFonts w:ascii="Arial" w:hAnsi="Arial" w:cs="Arial"/>
        </w:rPr>
        <w:t xml:space="preserve"> (</w:t>
      </w:r>
      <w:r w:rsidRPr="007D3CC6">
        <w:rPr>
          <w:rFonts w:ascii="Arial" w:hAnsi="Arial" w:cs="Arial"/>
        </w:rPr>
        <w:t>Tepper and Powell, 2025</w:t>
      </w:r>
      <w:r>
        <w:rPr>
          <w:rFonts w:ascii="Arial" w:hAnsi="Arial" w:cs="Arial"/>
        </w:rPr>
        <w:t>)</w:t>
      </w:r>
      <w:r w:rsidRPr="00C16E43">
        <w:rPr>
          <w:rFonts w:ascii="Arial" w:hAnsi="Arial" w:cs="Arial"/>
        </w:rPr>
        <w:t>. As a result, the historical correlation between gold and equity shifted toward a positive correlation, reducing gold's effectiveness as a hedge.</w:t>
      </w:r>
    </w:p>
    <w:p w14:paraId="5ACB092C" w14:textId="77777777" w:rsidR="00877543" w:rsidRDefault="00877543" w:rsidP="00877543">
      <w:pPr>
        <w:rPr>
          <w:rFonts w:ascii="Arial" w:hAnsi="Arial" w:cs="Arial"/>
        </w:rPr>
      </w:pPr>
      <w:r w:rsidRPr="008D0BB9">
        <w:rPr>
          <w:rFonts w:ascii="Arial" w:hAnsi="Arial" w:cs="Arial"/>
        </w:rPr>
        <w:t>In contrast, falling rate cycles, while reducing the cost of capital, are associated with economic uncertainty.</w:t>
      </w:r>
      <w:r w:rsidRPr="007102E8">
        <w:rPr>
          <w:rFonts w:ascii="Arial" w:hAnsi="Arial" w:cs="Arial"/>
          <w:color w:val="1F1F1F"/>
          <w:shd w:val="clear" w:color="auto" w:fill="FFFFFF"/>
        </w:rPr>
        <w:t xml:space="preserve"> </w:t>
      </w:r>
      <w:r w:rsidRPr="007102E8">
        <w:rPr>
          <w:rFonts w:ascii="Arial" w:hAnsi="Arial" w:cs="Arial"/>
        </w:rPr>
        <w:t xml:space="preserve">During the years when interest rates were zero, like after the 2008 crash and during the COVID-19 pandemic, gold functioned as a hedge; while the </w:t>
      </w:r>
      <w:r w:rsidRPr="007102E8">
        <w:rPr>
          <w:rFonts w:ascii="Arial" w:hAnsi="Arial" w:cs="Arial"/>
        </w:rPr>
        <w:lastRenderedPageBreak/>
        <w:t>equity markets experienced significant volatility</w:t>
      </w:r>
      <w:r>
        <w:rPr>
          <w:rFonts w:ascii="Arial" w:hAnsi="Arial" w:cs="Arial"/>
        </w:rPr>
        <w:t xml:space="preserve"> (</w:t>
      </w:r>
      <w:r w:rsidRPr="007D3CC6">
        <w:rPr>
          <w:rFonts w:ascii="Arial" w:hAnsi="Arial" w:cs="Arial"/>
        </w:rPr>
        <w:t>Tepper and Powell, 2025</w:t>
      </w:r>
      <w:r>
        <w:rPr>
          <w:rFonts w:ascii="Arial" w:hAnsi="Arial" w:cs="Arial"/>
        </w:rPr>
        <w:t>)</w:t>
      </w:r>
      <w:r w:rsidRPr="00C16E43">
        <w:rPr>
          <w:rFonts w:ascii="Arial" w:hAnsi="Arial" w:cs="Arial"/>
        </w:rPr>
        <w:t>.</w:t>
      </w:r>
      <w:r>
        <w:rPr>
          <w:rFonts w:ascii="Arial" w:hAnsi="Arial" w:cs="Arial"/>
        </w:rPr>
        <w:t xml:space="preserve"> </w:t>
      </w:r>
      <w:r w:rsidRPr="00487C60">
        <w:rPr>
          <w:rFonts w:ascii="Arial" w:hAnsi="Arial" w:cs="Arial"/>
        </w:rPr>
        <w:t>These periods when gold has a stronger negative correlation with equities demonstrate gold's safe-haven role.</w:t>
      </w:r>
    </w:p>
    <w:p w14:paraId="3A2BBFAA" w14:textId="77777777" w:rsidR="00877543" w:rsidRDefault="00877543" w:rsidP="00877543">
      <w:pPr>
        <w:rPr>
          <w:rFonts w:ascii="Arial" w:hAnsi="Arial" w:cs="Arial"/>
        </w:rPr>
      </w:pPr>
      <w:r w:rsidRPr="000F7909">
        <w:rPr>
          <w:rFonts w:ascii="Arial" w:hAnsi="Arial" w:cs="Arial"/>
        </w:rPr>
        <w:t>Monetary policy plays a significant role in short time. Changes to interest rates can affect investors portfolio rebalancing or fluctuations in correlations between the different asset classes.</w:t>
      </w:r>
      <w:r w:rsidRPr="000F7909">
        <w:rPr>
          <w:rFonts w:ascii="Arial" w:hAnsi="Arial" w:cs="Arial"/>
          <w:color w:val="1F1F1F"/>
          <w:shd w:val="clear" w:color="auto" w:fill="FFFFFF"/>
        </w:rPr>
        <w:t xml:space="preserve"> </w:t>
      </w:r>
      <w:r w:rsidRPr="000F7909">
        <w:rPr>
          <w:rFonts w:ascii="Arial" w:hAnsi="Arial" w:cs="Arial"/>
        </w:rPr>
        <w:t>However, this study uses monthly or quarterly data, focusing on the impact of interest rate environments rather than short-term announcement effects.</w:t>
      </w:r>
    </w:p>
    <w:p w14:paraId="3B64BF10" w14:textId="77777777" w:rsidR="00877543" w:rsidRDefault="00877543" w:rsidP="00877543">
      <w:pPr>
        <w:rPr>
          <w:rFonts w:ascii="Arial" w:hAnsi="Arial" w:cs="Arial"/>
        </w:rPr>
      </w:pPr>
      <w:r w:rsidRPr="00A84048">
        <w:rPr>
          <w:rFonts w:ascii="Arial" w:hAnsi="Arial" w:cs="Arial"/>
        </w:rPr>
        <w:t>This dynamic relationship justifies including interest rate changes in the model, which helps interpret the regression results.</w:t>
      </w:r>
    </w:p>
    <w:p w14:paraId="2302AEA4" w14:textId="77777777" w:rsidR="00877543" w:rsidRDefault="00877543" w:rsidP="00877543">
      <w:pPr>
        <w:rPr>
          <w:rFonts w:ascii="Arial" w:hAnsi="Arial" w:cs="Arial"/>
        </w:rPr>
      </w:pPr>
    </w:p>
    <w:p w14:paraId="38F29DA6" w14:textId="77777777" w:rsidR="00877543" w:rsidRDefault="00877543" w:rsidP="00877543">
      <w:pPr>
        <w:rPr>
          <w:rFonts w:ascii="Arial" w:hAnsi="Arial" w:cs="Arial"/>
          <w:b/>
          <w:bCs/>
        </w:rPr>
      </w:pPr>
      <w:r w:rsidRPr="009F03B0">
        <w:rPr>
          <w:rFonts w:ascii="Arial" w:hAnsi="Arial" w:cs="Arial"/>
          <w:b/>
          <w:bCs/>
        </w:rPr>
        <w:t>2.5.4. Interest rate driven shifts in gold-equity correlation</w:t>
      </w:r>
    </w:p>
    <w:p w14:paraId="4E96BB80" w14:textId="77777777" w:rsidR="00877543" w:rsidRDefault="00877543" w:rsidP="00877543">
      <w:pPr>
        <w:rPr>
          <w:rFonts w:ascii="Arial" w:hAnsi="Arial" w:cs="Arial"/>
        </w:rPr>
      </w:pPr>
      <w:r w:rsidRPr="00952639">
        <w:rPr>
          <w:rFonts w:ascii="Arial" w:hAnsi="Arial" w:cs="Arial"/>
        </w:rPr>
        <w:t>Interest rates affect the connection between how gold and stocks move together.</w:t>
      </w:r>
      <w:r w:rsidRPr="00AD7ECB">
        <w:rPr>
          <w:rFonts w:ascii="Arial" w:hAnsi="Arial" w:cs="Arial"/>
          <w:color w:val="1F1F1F"/>
          <w:shd w:val="clear" w:color="auto" w:fill="FFFFFF"/>
        </w:rPr>
        <w:t xml:space="preserve"> </w:t>
      </w:r>
      <w:r w:rsidRPr="00AD7ECB">
        <w:rPr>
          <w:rFonts w:ascii="Arial" w:hAnsi="Arial" w:cs="Arial"/>
        </w:rPr>
        <w:t>When interest rates rise, equities often correct due to tightening liquidity, while gold prices will be under pressure from higher yields</w:t>
      </w:r>
      <w:r>
        <w:rPr>
          <w:rFonts w:ascii="Arial" w:hAnsi="Arial" w:cs="Arial"/>
        </w:rPr>
        <w:t xml:space="preserve"> </w:t>
      </w:r>
      <w:r w:rsidRPr="00594062">
        <w:rPr>
          <w:rFonts w:ascii="Arial" w:hAnsi="Arial" w:cs="Arial"/>
        </w:rPr>
        <w:t>(</w:t>
      </w:r>
      <w:proofErr w:type="spellStart"/>
      <w:r w:rsidRPr="00594062">
        <w:rPr>
          <w:rFonts w:ascii="Arial" w:hAnsi="Arial" w:cs="Arial"/>
        </w:rPr>
        <w:t>Popatlal</w:t>
      </w:r>
      <w:proofErr w:type="spellEnd"/>
      <w:r w:rsidRPr="00594062">
        <w:rPr>
          <w:rFonts w:ascii="Arial" w:hAnsi="Arial" w:cs="Arial"/>
        </w:rPr>
        <w:t xml:space="preserve"> and Chen, 2022)</w:t>
      </w:r>
      <w:r w:rsidRPr="00AD7ECB">
        <w:rPr>
          <w:rFonts w:ascii="Arial" w:hAnsi="Arial" w:cs="Arial"/>
        </w:rPr>
        <w:t>. This pressure may reduce gold's effectiveness as a hedge and challenge the negative correlation between gold and equities</w:t>
      </w:r>
      <w:r>
        <w:rPr>
          <w:rFonts w:ascii="Arial" w:hAnsi="Arial" w:cs="Arial"/>
        </w:rPr>
        <w:t xml:space="preserve"> </w:t>
      </w:r>
      <w:r w:rsidRPr="00594062">
        <w:rPr>
          <w:rFonts w:ascii="Arial" w:hAnsi="Arial" w:cs="Arial"/>
        </w:rPr>
        <w:t>(</w:t>
      </w:r>
      <w:proofErr w:type="spellStart"/>
      <w:r w:rsidRPr="00594062">
        <w:rPr>
          <w:rFonts w:ascii="Arial" w:hAnsi="Arial" w:cs="Arial"/>
        </w:rPr>
        <w:t>Popatlal</w:t>
      </w:r>
      <w:proofErr w:type="spellEnd"/>
      <w:r w:rsidRPr="00594062">
        <w:rPr>
          <w:rFonts w:ascii="Arial" w:hAnsi="Arial" w:cs="Arial"/>
        </w:rPr>
        <w:t xml:space="preserve"> and Chen, 2022)</w:t>
      </w:r>
      <w:r>
        <w:rPr>
          <w:rFonts w:ascii="Arial" w:hAnsi="Arial" w:cs="Arial"/>
        </w:rPr>
        <w:t xml:space="preserve">. </w:t>
      </w:r>
    </w:p>
    <w:p w14:paraId="07A4014F" w14:textId="77777777" w:rsidR="00877543" w:rsidRDefault="00877543" w:rsidP="00877543">
      <w:pPr>
        <w:rPr>
          <w:rFonts w:ascii="Arial" w:hAnsi="Arial" w:cs="Arial"/>
        </w:rPr>
      </w:pPr>
      <w:r w:rsidRPr="00EB0DF5">
        <w:rPr>
          <w:rFonts w:ascii="Arial" w:hAnsi="Arial" w:cs="Arial"/>
        </w:rPr>
        <w:t>Conversely, falling interest rates can create economic uncertainty. In such conditions, equities may decline due to recession fears, while gold provides protection during these times. This creates a negative correlation between gold and equity returns, enhancing gold's serves as a hedge and safe-haven asset</w:t>
      </w:r>
      <w:r>
        <w:rPr>
          <w:rFonts w:ascii="Arial" w:hAnsi="Arial" w:cs="Arial"/>
        </w:rPr>
        <w:t xml:space="preserve"> (Baur and Lucey, 2010).</w:t>
      </w:r>
    </w:p>
    <w:p w14:paraId="39D2E514" w14:textId="77777777" w:rsidR="00877543" w:rsidRDefault="00877543" w:rsidP="00877543">
      <w:pPr>
        <w:rPr>
          <w:rFonts w:ascii="Arial" w:hAnsi="Arial" w:cs="Arial"/>
        </w:rPr>
      </w:pPr>
      <w:r w:rsidRPr="0071489F">
        <w:rPr>
          <w:rFonts w:ascii="Arial" w:hAnsi="Arial" w:cs="Arial"/>
        </w:rPr>
        <w:t>This</w:t>
      </w:r>
      <w:r>
        <w:rPr>
          <w:rFonts w:ascii="Arial" w:hAnsi="Arial" w:cs="Arial"/>
        </w:rPr>
        <w:t xml:space="preserve"> </w:t>
      </w:r>
      <w:r w:rsidRPr="0071489F">
        <w:rPr>
          <w:rFonts w:ascii="Arial" w:hAnsi="Arial" w:cs="Arial"/>
        </w:rPr>
        <w:t>study, the regression</w:t>
      </w:r>
      <w:r w:rsidRPr="0071489F">
        <w:rPr>
          <w:rFonts w:ascii="Arial" w:hAnsi="Arial" w:cs="Arial"/>
          <w:i/>
          <w:iCs/>
        </w:rPr>
        <w:t xml:space="preserve"> β</w:t>
      </w:r>
      <w:r w:rsidRPr="0071489F">
        <w:rPr>
          <w:rFonts w:ascii="Arial" w:hAnsi="Arial" w:cs="Arial"/>
        </w:rPr>
        <w:t xml:space="preserve"> coefficient serves as a measure of the mechanisms observed in this analysis.</w:t>
      </w:r>
      <w:r>
        <w:rPr>
          <w:rFonts w:ascii="Arial" w:hAnsi="Arial" w:cs="Arial"/>
        </w:rPr>
        <w:t xml:space="preserve"> </w:t>
      </w:r>
      <w:r w:rsidRPr="00281878">
        <w:rPr>
          <w:rFonts w:ascii="Arial" w:hAnsi="Arial" w:cs="Arial"/>
        </w:rPr>
        <w:t xml:space="preserve">The use of the regression </w:t>
      </w:r>
      <w:r w:rsidRPr="0071489F">
        <w:rPr>
          <w:rFonts w:ascii="Arial" w:hAnsi="Arial" w:cs="Arial"/>
          <w:i/>
          <w:iCs/>
        </w:rPr>
        <w:t>β</w:t>
      </w:r>
      <w:r w:rsidRPr="00281878">
        <w:rPr>
          <w:rFonts w:ascii="Arial" w:hAnsi="Arial" w:cs="Arial"/>
        </w:rPr>
        <w:t xml:space="preserve"> coefficient in this study is supported by the work of McCown and Zimmerman (2006), who characterize gold as a 'zero beta' asset; it ignores market tends and moves independently of the stock market turmoil.</w:t>
      </w:r>
      <w:r w:rsidRPr="00112B21">
        <w:rPr>
          <w:rFonts w:ascii="Arial" w:hAnsi="Arial" w:cs="Arial"/>
          <w:color w:val="1F1F1F"/>
          <w:shd w:val="clear" w:color="auto" w:fill="FFFFFF"/>
        </w:rPr>
        <w:t xml:space="preserve"> </w:t>
      </w:r>
      <w:r w:rsidRPr="00112B21">
        <w:rPr>
          <w:rFonts w:ascii="Arial" w:hAnsi="Arial" w:cs="Arial"/>
        </w:rPr>
        <w:t>However, Baur and Lucey (2010) suggest this relationship is dynamic and dependent on market conditions.</w:t>
      </w:r>
      <w:r>
        <w:rPr>
          <w:rFonts w:ascii="Arial" w:hAnsi="Arial" w:cs="Arial"/>
        </w:rPr>
        <w:t xml:space="preserve"> </w:t>
      </w:r>
      <w:r w:rsidRPr="00E8408B">
        <w:rPr>
          <w:rFonts w:ascii="Arial" w:hAnsi="Arial" w:cs="Arial"/>
        </w:rPr>
        <w:t xml:space="preserve">Consequently, the </w:t>
      </w:r>
      <w:r w:rsidRPr="0071489F">
        <w:rPr>
          <w:rFonts w:ascii="Arial" w:hAnsi="Arial" w:cs="Arial"/>
          <w:i/>
          <w:iCs/>
        </w:rPr>
        <w:t>β</w:t>
      </w:r>
      <w:r w:rsidRPr="00E8408B">
        <w:rPr>
          <w:rFonts w:ascii="Arial" w:hAnsi="Arial" w:cs="Arial"/>
        </w:rPr>
        <w:t xml:space="preserve"> coefficient is used here to test whether gold is an independent or to see how changes in market conditions affect gold's price.</w:t>
      </w:r>
    </w:p>
    <w:p w14:paraId="6AAAFEA3" w14:textId="77777777" w:rsidR="00877543" w:rsidRPr="0071489F" w:rsidRDefault="00877543" w:rsidP="00877543">
      <w:pPr>
        <w:rPr>
          <w:rFonts w:ascii="Arial" w:hAnsi="Arial" w:cs="Arial"/>
        </w:rPr>
      </w:pPr>
      <w:r w:rsidRPr="00A06169">
        <w:rPr>
          <w:rFonts w:ascii="Arial" w:hAnsi="Arial" w:cs="Arial"/>
        </w:rPr>
        <w:lastRenderedPageBreak/>
        <w:t>In summary, the literature supports the view that US interest rates play a major role in the dynamic relationship between gold and US equities. Including interest rate changes as part of the analysis clarifies the factors behind Gold's effectiveness as a Hedge or Safe-Haven asset, which directly fills the identified gap in the literature.</w:t>
      </w:r>
    </w:p>
    <w:p w14:paraId="3CF7B345" w14:textId="77777777" w:rsidR="00877543" w:rsidRDefault="00877543" w:rsidP="00877543">
      <w:pPr>
        <w:rPr>
          <w:rFonts w:ascii="Arial" w:hAnsi="Arial" w:cs="Arial"/>
        </w:rPr>
      </w:pPr>
    </w:p>
    <w:p w14:paraId="05A521CE" w14:textId="77777777" w:rsidR="00877543" w:rsidRDefault="00877543" w:rsidP="00877543">
      <w:pPr>
        <w:rPr>
          <w:rFonts w:ascii="Arial" w:hAnsi="Arial" w:cs="Arial"/>
          <w:b/>
          <w:bCs/>
          <w:sz w:val="28"/>
          <w:szCs w:val="28"/>
        </w:rPr>
      </w:pPr>
      <w:r w:rsidRPr="0041142F">
        <w:rPr>
          <w:rFonts w:ascii="Arial" w:hAnsi="Arial" w:cs="Arial"/>
          <w:b/>
          <w:bCs/>
          <w:sz w:val="28"/>
          <w:szCs w:val="28"/>
        </w:rPr>
        <w:t>2.6 Existing Literature and Identification of Research Gaps</w:t>
      </w:r>
    </w:p>
    <w:p w14:paraId="2B0E971B" w14:textId="77777777" w:rsidR="00877543" w:rsidRDefault="00877543" w:rsidP="00877543">
      <w:pPr>
        <w:rPr>
          <w:rFonts w:ascii="Arial" w:hAnsi="Arial" w:cs="Arial"/>
        </w:rPr>
      </w:pPr>
      <w:r w:rsidRPr="00A242E5">
        <w:rPr>
          <w:rFonts w:ascii="Arial" w:hAnsi="Arial" w:cs="Arial"/>
        </w:rPr>
        <w:t>This section provides an overview of gold function as a 'safe haven' asset during times of economic uncertainty. It specifically examines this function during periods of market disruption, with a focus on the 2008 financial crisis. While previous research has focused on market crashes and interest rate cycle</w:t>
      </w:r>
      <w:r>
        <w:rPr>
          <w:rFonts w:ascii="Arial" w:hAnsi="Arial" w:cs="Arial"/>
        </w:rPr>
        <w:t>s</w:t>
      </w:r>
      <w:r w:rsidRPr="00A242E5">
        <w:rPr>
          <w:rFonts w:ascii="Arial" w:hAnsi="Arial" w:cs="Arial"/>
        </w:rPr>
        <w:t>, this study fills a significant gap by analysing twenty years of data regarding the relationship between gold and stock indices.</w:t>
      </w:r>
    </w:p>
    <w:p w14:paraId="69C7B448" w14:textId="77777777" w:rsidR="00877543" w:rsidRPr="00A242E5" w:rsidRDefault="00877543" w:rsidP="00877543">
      <w:pPr>
        <w:rPr>
          <w:rFonts w:ascii="Arial" w:hAnsi="Arial" w:cs="Arial"/>
        </w:rPr>
      </w:pPr>
    </w:p>
    <w:p w14:paraId="2D5C2751" w14:textId="77777777" w:rsidR="00877543" w:rsidRDefault="00877543" w:rsidP="00877543">
      <w:pPr>
        <w:rPr>
          <w:rFonts w:ascii="Arial" w:hAnsi="Arial" w:cs="Arial"/>
          <w:b/>
          <w:bCs/>
        </w:rPr>
      </w:pPr>
      <w:r w:rsidRPr="0041142F">
        <w:rPr>
          <w:rFonts w:ascii="Arial" w:hAnsi="Arial" w:cs="Arial"/>
          <w:b/>
          <w:bCs/>
        </w:rPr>
        <w:t>2.6.1.</w:t>
      </w:r>
      <w:r>
        <w:rPr>
          <w:rFonts w:ascii="Arial" w:hAnsi="Arial" w:cs="Arial"/>
          <w:b/>
          <w:bCs/>
        </w:rPr>
        <w:t xml:space="preserve"> Review of e</w:t>
      </w:r>
      <w:r w:rsidRPr="0041142F">
        <w:rPr>
          <w:rFonts w:ascii="Arial" w:hAnsi="Arial" w:cs="Arial"/>
          <w:b/>
          <w:bCs/>
        </w:rPr>
        <w:t xml:space="preserve">xisting </w:t>
      </w:r>
      <w:r>
        <w:rPr>
          <w:rFonts w:ascii="Arial" w:hAnsi="Arial" w:cs="Arial"/>
          <w:b/>
          <w:bCs/>
        </w:rPr>
        <w:t>research</w:t>
      </w:r>
    </w:p>
    <w:p w14:paraId="435D1D40" w14:textId="77777777" w:rsidR="00877543" w:rsidRDefault="00877543" w:rsidP="00877543">
      <w:pPr>
        <w:rPr>
          <w:rFonts w:ascii="Arial" w:hAnsi="Arial" w:cs="Arial"/>
        </w:rPr>
      </w:pPr>
      <w:r w:rsidRPr="00E75290">
        <w:rPr>
          <w:rFonts w:ascii="Arial" w:hAnsi="Arial" w:cs="Arial"/>
        </w:rPr>
        <w:t>The value of gold makes it a useful instrument for balancing portfolios against market volatility.</w:t>
      </w:r>
      <w:r>
        <w:rPr>
          <w:rFonts w:ascii="Arial" w:hAnsi="Arial" w:cs="Arial"/>
        </w:rPr>
        <w:t xml:space="preserve"> </w:t>
      </w:r>
      <w:r w:rsidRPr="00D253E3">
        <w:rPr>
          <w:rFonts w:ascii="Arial" w:hAnsi="Arial" w:cs="Arial"/>
        </w:rPr>
        <w:t xml:space="preserve">Baur and Lucey (2010) establish that </w:t>
      </w:r>
      <w:r>
        <w:rPr>
          <w:rFonts w:ascii="Arial" w:hAnsi="Arial" w:cs="Arial"/>
        </w:rPr>
        <w:t>g</w:t>
      </w:r>
      <w:r w:rsidRPr="00EB73C7">
        <w:rPr>
          <w:rFonts w:ascii="Arial" w:hAnsi="Arial" w:cs="Arial"/>
        </w:rPr>
        <w:t xml:space="preserve">old act as a </w:t>
      </w:r>
      <w:r>
        <w:rPr>
          <w:rFonts w:ascii="Arial" w:hAnsi="Arial" w:cs="Arial"/>
        </w:rPr>
        <w:t xml:space="preserve">safe haven </w:t>
      </w:r>
      <w:r w:rsidRPr="00EB73C7">
        <w:rPr>
          <w:rFonts w:ascii="Arial" w:hAnsi="Arial" w:cs="Arial"/>
        </w:rPr>
        <w:t>because when there is extreme stress in the markets, gold prices rise. It does not lose value just because stocks are losing value; in fact, that is when gold performs its best.</w:t>
      </w:r>
      <w:r>
        <w:rPr>
          <w:rFonts w:ascii="Arial" w:hAnsi="Arial" w:cs="Arial"/>
        </w:rPr>
        <w:t xml:space="preserve"> </w:t>
      </w:r>
      <w:r w:rsidRPr="006B1299">
        <w:rPr>
          <w:rFonts w:ascii="Arial" w:hAnsi="Arial" w:cs="Arial"/>
        </w:rPr>
        <w:t>Baur and McDermott (2010) also found that gold served as a reliable asset during market turmoil such as the 2008 financial crisis.</w:t>
      </w:r>
    </w:p>
    <w:p w14:paraId="6637FD62" w14:textId="77777777" w:rsidR="00877543" w:rsidRDefault="00877543" w:rsidP="00877543">
      <w:pPr>
        <w:rPr>
          <w:rFonts w:ascii="Arial" w:hAnsi="Arial" w:cs="Arial"/>
        </w:rPr>
      </w:pPr>
      <w:r w:rsidRPr="004F7293">
        <w:rPr>
          <w:rFonts w:ascii="Arial" w:hAnsi="Arial" w:cs="Arial"/>
        </w:rPr>
        <w:t>Researchers have studied the ups and downs of gold prices, and they relate to the stock market</w:t>
      </w:r>
      <w:r>
        <w:rPr>
          <w:rFonts w:ascii="Arial" w:hAnsi="Arial" w:cs="Arial"/>
        </w:rPr>
        <w:t xml:space="preserve">. </w:t>
      </w:r>
      <w:r w:rsidRPr="00FC6CE0">
        <w:rPr>
          <w:rFonts w:ascii="Arial" w:hAnsi="Arial" w:cs="Arial"/>
        </w:rPr>
        <w:t xml:space="preserve">However, Hood and Malik (2013) argue that gold is not </w:t>
      </w:r>
      <w:r>
        <w:rPr>
          <w:rFonts w:ascii="Arial" w:hAnsi="Arial" w:cs="Arial"/>
        </w:rPr>
        <w:t xml:space="preserve">a </w:t>
      </w:r>
      <w:r w:rsidRPr="00FC6CE0">
        <w:rPr>
          <w:rFonts w:ascii="Arial" w:hAnsi="Arial" w:cs="Arial"/>
        </w:rPr>
        <w:t>reliable safe asset; they found that when the market panics</w:t>
      </w:r>
      <w:r>
        <w:rPr>
          <w:rFonts w:ascii="Arial" w:hAnsi="Arial" w:cs="Arial"/>
        </w:rPr>
        <w:t xml:space="preserve">; </w:t>
      </w:r>
      <w:r w:rsidRPr="00003ABA">
        <w:rPr>
          <w:rFonts w:ascii="Arial" w:hAnsi="Arial" w:cs="Arial"/>
        </w:rPr>
        <w:t>for example,</w:t>
      </w:r>
      <w:r>
        <w:rPr>
          <w:rFonts w:ascii="Arial" w:hAnsi="Arial" w:cs="Arial"/>
        </w:rPr>
        <w:t xml:space="preserve"> during</w:t>
      </w:r>
      <w:r w:rsidRPr="00003ABA">
        <w:rPr>
          <w:rFonts w:ascii="Arial" w:hAnsi="Arial" w:cs="Arial"/>
        </w:rPr>
        <w:t xml:space="preserve"> the 2008 financial crisis gold loses its negative correlation with the stock market </w:t>
      </w:r>
      <w:r w:rsidRPr="00FC6CE0">
        <w:rPr>
          <w:rFonts w:ascii="Arial" w:hAnsi="Arial" w:cs="Arial"/>
        </w:rPr>
        <w:t>and fails to move inversely to the stock market.</w:t>
      </w:r>
      <w:r w:rsidRPr="008F5DD4">
        <w:rPr>
          <w:rFonts w:ascii="Arial" w:hAnsi="Arial" w:cs="Arial"/>
          <w:color w:val="1F1F1F"/>
          <w:shd w:val="clear" w:color="auto" w:fill="FFFFFF"/>
        </w:rPr>
        <w:t xml:space="preserve"> </w:t>
      </w:r>
      <w:r w:rsidRPr="008F5DD4">
        <w:rPr>
          <w:rFonts w:ascii="Arial" w:hAnsi="Arial" w:cs="Arial"/>
        </w:rPr>
        <w:t>While these studies shows that the Federal Reserve's actions influence the price of gold, it is the specific mechanism of interest rate cycles that drive</w:t>
      </w:r>
      <w:r>
        <w:rPr>
          <w:rFonts w:ascii="Arial" w:hAnsi="Arial" w:cs="Arial"/>
        </w:rPr>
        <w:t>s</w:t>
      </w:r>
      <w:r w:rsidRPr="008F5DD4">
        <w:rPr>
          <w:rFonts w:ascii="Arial" w:hAnsi="Arial" w:cs="Arial"/>
        </w:rPr>
        <w:t xml:space="preserve"> the correlation between gold and US stock indices.</w:t>
      </w:r>
    </w:p>
    <w:p w14:paraId="0D009057" w14:textId="77777777" w:rsidR="00877543" w:rsidRDefault="00877543" w:rsidP="00877543">
      <w:pPr>
        <w:rPr>
          <w:rFonts w:ascii="Arial" w:hAnsi="Arial" w:cs="Arial"/>
        </w:rPr>
      </w:pPr>
    </w:p>
    <w:p w14:paraId="0DF4DDE7" w14:textId="77777777" w:rsidR="00877543" w:rsidRDefault="00877543" w:rsidP="00877543">
      <w:pPr>
        <w:rPr>
          <w:rFonts w:ascii="Arial" w:hAnsi="Arial" w:cs="Arial"/>
          <w:b/>
          <w:bCs/>
        </w:rPr>
      </w:pPr>
    </w:p>
    <w:p w14:paraId="1F8C3413" w14:textId="77777777" w:rsidR="00877543" w:rsidRDefault="00877543" w:rsidP="00877543">
      <w:pPr>
        <w:rPr>
          <w:rFonts w:ascii="Arial" w:hAnsi="Arial" w:cs="Arial"/>
          <w:b/>
          <w:bCs/>
        </w:rPr>
      </w:pPr>
    </w:p>
    <w:p w14:paraId="69AE171F" w14:textId="05F19275" w:rsidR="00877543" w:rsidRDefault="00877543" w:rsidP="00877543">
      <w:pPr>
        <w:rPr>
          <w:rFonts w:ascii="Arial" w:hAnsi="Arial" w:cs="Arial"/>
          <w:b/>
          <w:bCs/>
        </w:rPr>
      </w:pPr>
      <w:r w:rsidRPr="0048646F">
        <w:rPr>
          <w:rFonts w:ascii="Arial" w:hAnsi="Arial" w:cs="Arial"/>
          <w:b/>
          <w:bCs/>
        </w:rPr>
        <w:lastRenderedPageBreak/>
        <w:t xml:space="preserve">2.6.2. </w:t>
      </w:r>
      <w:r>
        <w:rPr>
          <w:rFonts w:ascii="Arial" w:hAnsi="Arial" w:cs="Arial"/>
          <w:b/>
          <w:bCs/>
        </w:rPr>
        <w:t xml:space="preserve">Researchers have not studied </w:t>
      </w:r>
    </w:p>
    <w:p w14:paraId="56B9DEF8" w14:textId="77777777" w:rsidR="00877543" w:rsidRDefault="00877543" w:rsidP="00877543">
      <w:pPr>
        <w:rPr>
          <w:rFonts w:ascii="Arial" w:hAnsi="Arial" w:cs="Arial"/>
        </w:rPr>
      </w:pPr>
      <w:r w:rsidRPr="00AF77C6">
        <w:rPr>
          <w:rFonts w:ascii="Arial" w:hAnsi="Arial" w:cs="Arial"/>
        </w:rPr>
        <w:t>Everyone sees gold all the time, but they don't know how it behaves relative to stocks throughout an entire interest rate cycle.</w:t>
      </w:r>
      <w:r w:rsidRPr="00DC1038">
        <w:rPr>
          <w:rFonts w:ascii="Arial" w:hAnsi="Arial" w:cs="Arial"/>
          <w:color w:val="1F1F1F"/>
          <w:shd w:val="clear" w:color="auto" w:fill="FFFFFF"/>
        </w:rPr>
        <w:t xml:space="preserve"> </w:t>
      </w:r>
      <w:r w:rsidRPr="00DC1038">
        <w:rPr>
          <w:rFonts w:ascii="Arial" w:hAnsi="Arial" w:cs="Arial"/>
        </w:rPr>
        <w:t>While most studies examine gold performed as a safe haven during the 2008 Financial Crisis and COVID-19 pandemic, this research will focus on both events to demonstrate how the characteristics of Gold's Safe Haven have changed with the different economic conditions</w:t>
      </w:r>
      <w:r>
        <w:rPr>
          <w:rFonts w:ascii="Arial" w:hAnsi="Arial" w:cs="Arial"/>
        </w:rPr>
        <w:t xml:space="preserve"> (</w:t>
      </w:r>
      <w:r w:rsidRPr="00F51C81">
        <w:rPr>
          <w:rFonts w:ascii="Arial" w:hAnsi="Arial" w:cs="Arial"/>
        </w:rPr>
        <w:t>S, Vinod &amp; Jose, 2025</w:t>
      </w:r>
      <w:r>
        <w:rPr>
          <w:rFonts w:ascii="Arial" w:hAnsi="Arial" w:cs="Arial"/>
        </w:rPr>
        <w:t xml:space="preserve">). </w:t>
      </w:r>
      <w:r w:rsidRPr="00BA2834">
        <w:rPr>
          <w:rFonts w:ascii="Arial" w:hAnsi="Arial" w:cs="Arial"/>
        </w:rPr>
        <w:t>Most research focuses on market crashes, but this study shows that the market acts differently in different interest rate environments.</w:t>
      </w:r>
    </w:p>
    <w:p w14:paraId="33ABC0B6" w14:textId="77777777" w:rsidR="00877543" w:rsidRPr="00AF77C6" w:rsidRDefault="00877543" w:rsidP="00877543">
      <w:pPr>
        <w:rPr>
          <w:rFonts w:ascii="Arial" w:hAnsi="Arial" w:cs="Arial"/>
        </w:rPr>
      </w:pPr>
    </w:p>
    <w:p w14:paraId="5F0CE02E" w14:textId="77777777" w:rsidR="00877543" w:rsidRDefault="00877543" w:rsidP="00877543">
      <w:pPr>
        <w:rPr>
          <w:rFonts w:ascii="Arial" w:hAnsi="Arial" w:cs="Arial"/>
          <w:b/>
          <w:bCs/>
        </w:rPr>
      </w:pPr>
      <w:r w:rsidRPr="00A61A5F">
        <w:rPr>
          <w:rFonts w:ascii="Arial" w:hAnsi="Arial" w:cs="Arial"/>
          <w:b/>
          <w:bCs/>
        </w:rPr>
        <w:t xml:space="preserve">2.6.3. </w:t>
      </w:r>
      <w:r>
        <w:rPr>
          <w:rFonts w:ascii="Arial" w:hAnsi="Arial" w:cs="Arial"/>
          <w:b/>
          <w:bCs/>
        </w:rPr>
        <w:t>Addressing the R</w:t>
      </w:r>
      <w:r w:rsidRPr="00A61A5F">
        <w:rPr>
          <w:rFonts w:ascii="Arial" w:hAnsi="Arial" w:cs="Arial"/>
          <w:b/>
          <w:bCs/>
        </w:rPr>
        <w:t xml:space="preserve">esearch </w:t>
      </w:r>
      <w:r>
        <w:rPr>
          <w:rFonts w:ascii="Arial" w:hAnsi="Arial" w:cs="Arial"/>
          <w:b/>
          <w:bCs/>
        </w:rPr>
        <w:t>G</w:t>
      </w:r>
      <w:r w:rsidRPr="00A61A5F">
        <w:rPr>
          <w:rFonts w:ascii="Arial" w:hAnsi="Arial" w:cs="Arial"/>
          <w:b/>
          <w:bCs/>
        </w:rPr>
        <w:t xml:space="preserve">aps </w:t>
      </w:r>
    </w:p>
    <w:p w14:paraId="0C012B4B" w14:textId="77777777" w:rsidR="00877543" w:rsidRPr="0048646F" w:rsidRDefault="00877543" w:rsidP="00877543">
      <w:pPr>
        <w:rPr>
          <w:rFonts w:ascii="Arial" w:hAnsi="Arial" w:cs="Arial"/>
        </w:rPr>
      </w:pPr>
      <w:r w:rsidRPr="007D7A8C">
        <w:rPr>
          <w:rFonts w:ascii="Arial" w:hAnsi="Arial" w:cs="Arial"/>
        </w:rPr>
        <w:t>This study provides a comprehensive analysis of the 20-year period from 2005 to 2025.</w:t>
      </w:r>
      <w:r w:rsidRPr="005F5489">
        <w:rPr>
          <w:rFonts w:ascii="Arial" w:hAnsi="Arial" w:cs="Arial"/>
          <w:color w:val="1F1F1F"/>
          <w:shd w:val="clear" w:color="auto" w:fill="FFFFFF"/>
        </w:rPr>
        <w:t xml:space="preserve"> </w:t>
      </w:r>
      <w:r w:rsidRPr="005F5489">
        <w:rPr>
          <w:rFonts w:ascii="Arial" w:hAnsi="Arial" w:cs="Arial"/>
        </w:rPr>
        <w:t>This research provides data to compare gold and equity performance across different market conditions. It analyses how they hold up in rising-rate environments versus falling-rate environments.</w:t>
      </w:r>
      <w:r>
        <w:rPr>
          <w:rFonts w:ascii="Arial" w:hAnsi="Arial" w:cs="Arial"/>
        </w:rPr>
        <w:t xml:space="preserve"> </w:t>
      </w:r>
    </w:p>
    <w:p w14:paraId="23E682E9" w14:textId="77777777" w:rsidR="00877543" w:rsidRDefault="00877543" w:rsidP="00877543">
      <w:pPr>
        <w:rPr>
          <w:rFonts w:ascii="Arial" w:hAnsi="Arial" w:cs="Arial"/>
        </w:rPr>
      </w:pPr>
      <w:r w:rsidRPr="00D80E57">
        <w:rPr>
          <w:rFonts w:ascii="Arial" w:hAnsi="Arial" w:cs="Arial"/>
        </w:rPr>
        <w:t>Instead of using complex tools like GARCH or DCC, this study uses simple regression. The results are easy for industry experts to understand and apply to real-world situations.</w:t>
      </w:r>
      <w:r w:rsidRPr="002842D0">
        <w:rPr>
          <w:rFonts w:ascii="Arial" w:hAnsi="Arial" w:cs="Arial"/>
          <w:color w:val="1F1F1F"/>
          <w:shd w:val="clear" w:color="auto" w:fill="FFFFFF"/>
        </w:rPr>
        <w:t xml:space="preserve"> </w:t>
      </w:r>
      <w:r w:rsidRPr="002842D0">
        <w:rPr>
          <w:rFonts w:ascii="Arial" w:hAnsi="Arial" w:cs="Arial"/>
        </w:rPr>
        <w:t>This approach ensures that the results are easy for people and portfolio managers to understand.</w:t>
      </w:r>
      <w:r w:rsidRPr="00402C5E">
        <w:rPr>
          <w:rFonts w:ascii="Arial" w:hAnsi="Arial" w:cs="Arial"/>
          <w:color w:val="1F1F1F"/>
          <w:shd w:val="clear" w:color="auto" w:fill="FFFFFF"/>
        </w:rPr>
        <w:t xml:space="preserve"> </w:t>
      </w:r>
      <w:r w:rsidRPr="00402C5E">
        <w:rPr>
          <w:rFonts w:ascii="Arial" w:hAnsi="Arial" w:cs="Arial"/>
        </w:rPr>
        <w:t>The focus is not just on gold's price, but on the relationship between gold and the performance of stock market like Nasdaq and S&amp;P 500.</w:t>
      </w:r>
      <w:r w:rsidRPr="00F62EB3">
        <w:rPr>
          <w:rFonts w:ascii="Arial" w:hAnsi="Arial" w:cs="Arial"/>
          <w:color w:val="1F1F1F"/>
          <w:shd w:val="clear" w:color="auto" w:fill="FFFFFF"/>
        </w:rPr>
        <w:t xml:space="preserve"> </w:t>
      </w:r>
      <w:r w:rsidRPr="00F62EB3">
        <w:rPr>
          <w:rFonts w:ascii="Arial" w:hAnsi="Arial" w:cs="Arial"/>
        </w:rPr>
        <w:t>This framework clarifies gold's role as a reliable hedge during periods of interest rate volatility.</w:t>
      </w:r>
    </w:p>
    <w:p w14:paraId="5D38F3FE" w14:textId="77777777" w:rsidR="00877543" w:rsidRDefault="00877543" w:rsidP="00877543">
      <w:pPr>
        <w:rPr>
          <w:rFonts w:ascii="Arial" w:hAnsi="Arial" w:cs="Arial"/>
        </w:rPr>
      </w:pPr>
    </w:p>
    <w:p w14:paraId="6CF53ED2" w14:textId="77777777" w:rsidR="00877543" w:rsidRDefault="00877543" w:rsidP="00877543">
      <w:pPr>
        <w:rPr>
          <w:rFonts w:ascii="Arial" w:hAnsi="Arial" w:cs="Arial"/>
          <w:b/>
          <w:bCs/>
          <w:sz w:val="28"/>
          <w:szCs w:val="28"/>
        </w:rPr>
      </w:pPr>
      <w:r w:rsidRPr="004225A5">
        <w:rPr>
          <w:rFonts w:ascii="Arial" w:hAnsi="Arial" w:cs="Arial"/>
          <w:b/>
          <w:bCs/>
          <w:sz w:val="28"/>
          <w:szCs w:val="28"/>
        </w:rPr>
        <w:t>2.7 Theoretical Framework</w:t>
      </w:r>
    </w:p>
    <w:p w14:paraId="1777FF8B" w14:textId="77777777" w:rsidR="00877543" w:rsidRDefault="00877543" w:rsidP="00877543">
      <w:pPr>
        <w:rPr>
          <w:rFonts w:ascii="Arial" w:hAnsi="Arial" w:cs="Arial"/>
        </w:rPr>
      </w:pPr>
      <w:r w:rsidRPr="00726EE7">
        <w:rPr>
          <w:rFonts w:ascii="Arial" w:hAnsi="Arial" w:cs="Arial"/>
        </w:rPr>
        <w:t>The conceptual framework of this study is based on Hedge and Safe Haven theories and monetary policy; it investigates how changes in US interest rates influence the relationship between gold returns and US Equity returns.</w:t>
      </w:r>
      <w:r>
        <w:rPr>
          <w:rFonts w:ascii="Arial" w:hAnsi="Arial" w:cs="Arial"/>
        </w:rPr>
        <w:t xml:space="preserve"> </w:t>
      </w:r>
      <w:r w:rsidRPr="00D32B53">
        <w:rPr>
          <w:rFonts w:ascii="Arial" w:hAnsi="Arial" w:cs="Arial"/>
        </w:rPr>
        <w:t>This framework for the relationship between gold and equities recognizes that their correlation is conditional on the interest rates environment, which reflects the Federal Reserve's monetary policy.</w:t>
      </w:r>
    </w:p>
    <w:p w14:paraId="719337B5" w14:textId="77777777" w:rsidR="00877543" w:rsidRDefault="00877543" w:rsidP="00877543">
      <w:pPr>
        <w:rPr>
          <w:rFonts w:ascii="Arial" w:hAnsi="Arial" w:cs="Arial"/>
        </w:rPr>
      </w:pPr>
    </w:p>
    <w:p w14:paraId="37CD0E25" w14:textId="77777777" w:rsidR="00877543" w:rsidRPr="00D32B53" w:rsidRDefault="00877543" w:rsidP="00877543">
      <w:pPr>
        <w:rPr>
          <w:rFonts w:ascii="Arial" w:hAnsi="Arial" w:cs="Arial"/>
          <w:b/>
          <w:bCs/>
        </w:rPr>
      </w:pPr>
      <w:r w:rsidRPr="00D32B53">
        <w:rPr>
          <w:rFonts w:ascii="Arial" w:hAnsi="Arial" w:cs="Arial"/>
          <w:b/>
          <w:bCs/>
        </w:rPr>
        <w:lastRenderedPageBreak/>
        <w:t>2.7.1. Variables and Relationships</w:t>
      </w:r>
    </w:p>
    <w:p w14:paraId="50A470CA" w14:textId="77777777" w:rsidR="00877543" w:rsidRDefault="00877543" w:rsidP="00877543">
      <w:pPr>
        <w:rPr>
          <w:rFonts w:ascii="Arial" w:hAnsi="Arial" w:cs="Arial"/>
        </w:rPr>
      </w:pPr>
      <w:r w:rsidRPr="00061586">
        <w:rPr>
          <w:rFonts w:ascii="Arial" w:hAnsi="Arial" w:cs="Arial"/>
        </w:rPr>
        <w:t>In this framework, US interest rates are considered an independent variable, as they indicate the monetary policy that has an immediate impact on the financial markets. Changes in interest rates impact the allocation of all assets and how investors view potential returns. Significantly, this research examines an opportunity cost associated with holding gold, a non-interest</w:t>
      </w:r>
      <w:r>
        <w:rPr>
          <w:rFonts w:ascii="Arial" w:hAnsi="Arial" w:cs="Arial"/>
        </w:rPr>
        <w:t xml:space="preserve"> </w:t>
      </w:r>
      <w:r w:rsidRPr="00061586">
        <w:rPr>
          <w:rFonts w:ascii="Arial" w:hAnsi="Arial" w:cs="Arial"/>
        </w:rPr>
        <w:t>ear</w:t>
      </w:r>
      <w:r>
        <w:rPr>
          <w:rFonts w:ascii="Arial" w:hAnsi="Arial" w:cs="Arial"/>
        </w:rPr>
        <w:t>ning</w:t>
      </w:r>
      <w:r w:rsidRPr="00061586">
        <w:rPr>
          <w:rFonts w:ascii="Arial" w:hAnsi="Arial" w:cs="Arial"/>
        </w:rPr>
        <w:t xml:space="preserve"> asset.</w:t>
      </w:r>
    </w:p>
    <w:p w14:paraId="4F87DCEF" w14:textId="77777777" w:rsidR="00877543" w:rsidRDefault="00877543" w:rsidP="00877543">
      <w:pPr>
        <w:rPr>
          <w:rFonts w:ascii="Arial" w:hAnsi="Arial" w:cs="Arial"/>
        </w:rPr>
      </w:pPr>
      <w:r w:rsidRPr="00156539">
        <w:rPr>
          <w:rFonts w:ascii="Arial" w:hAnsi="Arial" w:cs="Arial"/>
        </w:rPr>
        <w:t>Gold returns have been measured as the dependent variable in this research to evaluate gold's value as a hedge or a safe haven across different interest rate regimes.</w:t>
      </w:r>
      <w:r w:rsidRPr="00773D53">
        <w:rPr>
          <w:rFonts w:ascii="Arial" w:hAnsi="Arial" w:cs="Arial"/>
          <w:color w:val="1F1F1F"/>
          <w:shd w:val="clear" w:color="auto" w:fill="FFFFFF"/>
        </w:rPr>
        <w:t xml:space="preserve"> </w:t>
      </w:r>
      <w:r w:rsidRPr="00773D53">
        <w:rPr>
          <w:rFonts w:ascii="Arial" w:hAnsi="Arial" w:cs="Arial"/>
        </w:rPr>
        <w:t>According to previous studies, the performance of gold is at its highest when the economy uncertainty is high and monetary policy is supportive. When interest rates rise; however, the attractiveness of gold decreases as investors seek alternative assets that provide a higher return (Jones, 2023)</w:t>
      </w:r>
      <w:r>
        <w:rPr>
          <w:rFonts w:ascii="Arial" w:hAnsi="Arial" w:cs="Arial"/>
        </w:rPr>
        <w:t>.</w:t>
      </w:r>
    </w:p>
    <w:p w14:paraId="2A3397B7" w14:textId="6838D10A" w:rsidR="00877543" w:rsidRDefault="00877543" w:rsidP="00877543">
      <w:pPr>
        <w:rPr>
          <w:rFonts w:ascii="Arial" w:hAnsi="Arial" w:cs="Arial"/>
        </w:rPr>
      </w:pPr>
      <w:r w:rsidRPr="00AE4746">
        <w:rPr>
          <w:rFonts w:ascii="Arial" w:hAnsi="Arial" w:cs="Arial"/>
        </w:rPr>
        <w:t>Gold acts as a hedge and a Safe Haven for US equities during market crashes or high uncertainty; it holds its values even when the stocks market collapse</w:t>
      </w:r>
      <w:r>
        <w:rPr>
          <w:rFonts w:ascii="Arial" w:hAnsi="Arial" w:cs="Arial"/>
        </w:rPr>
        <w:t xml:space="preserve"> (Baur &amp; McDermott, 2010). This represents</w:t>
      </w:r>
      <w:r w:rsidRPr="00AF75B0">
        <w:rPr>
          <w:rFonts w:ascii="Arial" w:hAnsi="Arial" w:cs="Arial"/>
        </w:rPr>
        <w:t xml:space="preserve"> investors fear </w:t>
      </w:r>
      <w:r>
        <w:rPr>
          <w:rFonts w:ascii="Arial" w:hAnsi="Arial" w:cs="Arial"/>
        </w:rPr>
        <w:t xml:space="preserve">of </w:t>
      </w:r>
      <w:r w:rsidRPr="00AF75B0">
        <w:rPr>
          <w:rFonts w:ascii="Arial" w:hAnsi="Arial" w:cs="Arial"/>
        </w:rPr>
        <w:t xml:space="preserve">decline in stock </w:t>
      </w:r>
      <w:r>
        <w:rPr>
          <w:rFonts w:ascii="Arial" w:hAnsi="Arial" w:cs="Arial"/>
        </w:rPr>
        <w:t>values</w:t>
      </w:r>
      <w:r w:rsidRPr="00AF75B0">
        <w:rPr>
          <w:rFonts w:ascii="Arial" w:hAnsi="Arial" w:cs="Arial"/>
        </w:rPr>
        <w:t>, they want to buy safe things like gold. However, gold's performance is influenced by interest rates.</w:t>
      </w:r>
    </w:p>
    <w:p w14:paraId="438E52A6" w14:textId="1AD7059A" w:rsidR="00877543" w:rsidRPr="00877543" w:rsidRDefault="00877543" w:rsidP="00877543">
      <w:pPr>
        <w:rPr>
          <w:rFonts w:ascii="Arial" w:hAnsi="Arial" w:cs="Arial"/>
        </w:rPr>
      </w:pPr>
      <w:r w:rsidRPr="00800C76">
        <w:rPr>
          <w:rFonts w:ascii="Arial" w:hAnsi="Arial" w:cs="Arial"/>
        </w:rPr>
        <w:t>This framework focuses on the correlation between gold and stocks to evaluate gold's performance. It assesses how gold performs during different interest rate cycles, helping investors see when it actually offers protection.</w:t>
      </w:r>
    </w:p>
    <w:p w14:paraId="46058A5D" w14:textId="77777777" w:rsidR="00877543" w:rsidRPr="007649D2" w:rsidRDefault="00877543" w:rsidP="00877543">
      <w:pPr>
        <w:rPr>
          <w:rFonts w:ascii="Arial" w:hAnsi="Arial" w:cs="Arial"/>
          <w:b/>
          <w:bCs/>
          <w:sz w:val="28"/>
          <w:szCs w:val="28"/>
        </w:rPr>
      </w:pPr>
      <w:r>
        <w:rPr>
          <w:rFonts w:ascii="Arial" w:hAnsi="Arial" w:cs="Arial"/>
          <w:b/>
          <w:bCs/>
          <w:noProof/>
        </w:rPr>
        <w:lastRenderedPageBreak/>
        <mc:AlternateContent>
          <mc:Choice Requires="wps">
            <w:drawing>
              <wp:anchor distT="0" distB="0" distL="114300" distR="114300" simplePos="0" relativeHeight="251661312" behindDoc="0" locked="0" layoutInCell="1" allowOverlap="1" wp14:anchorId="2CD8B003" wp14:editId="0FE52EB2">
                <wp:simplePos x="0" y="0"/>
                <wp:positionH relativeFrom="column">
                  <wp:posOffset>1651000</wp:posOffset>
                </wp:positionH>
                <wp:positionV relativeFrom="paragraph">
                  <wp:posOffset>2036445</wp:posOffset>
                </wp:positionV>
                <wp:extent cx="1117600" cy="571500"/>
                <wp:effectExtent l="0" t="0" r="25400" b="19050"/>
                <wp:wrapNone/>
                <wp:docPr id="1957808747" name="Text Box 3"/>
                <wp:cNvGraphicFramePr/>
                <a:graphic xmlns:a="http://schemas.openxmlformats.org/drawingml/2006/main">
                  <a:graphicData uri="http://schemas.microsoft.com/office/word/2010/wordprocessingShape">
                    <wps:wsp>
                      <wps:cNvSpPr txBox="1"/>
                      <wps:spPr>
                        <a:xfrm>
                          <a:off x="0" y="0"/>
                          <a:ext cx="1117600" cy="571500"/>
                        </a:xfrm>
                        <a:prstGeom prst="rect">
                          <a:avLst/>
                        </a:prstGeom>
                        <a:solidFill>
                          <a:schemeClr val="lt1"/>
                        </a:solidFill>
                        <a:ln w="6350">
                          <a:solidFill>
                            <a:prstClr val="black"/>
                          </a:solidFill>
                        </a:ln>
                      </wps:spPr>
                      <wps:txbx>
                        <w:txbxContent>
                          <w:p w14:paraId="739FDC8E" w14:textId="77777777" w:rsidR="00877543" w:rsidRPr="00045AD6" w:rsidRDefault="00877543" w:rsidP="00877543">
                            <w:pPr>
                              <w:rPr>
                                <w:rFonts w:ascii="Arial" w:hAnsi="Arial" w:cs="Arial"/>
                              </w:rPr>
                            </w:pPr>
                            <w:r>
                              <w:rPr>
                                <w:rFonts w:ascii="Arial" w:hAnsi="Arial" w:cs="Arial"/>
                              </w:rPr>
                              <w:t>Portfolio Optimization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D8B003" id="_x0000_t202" coordsize="21600,21600" o:spt="202" path="m,l,21600r21600,l21600,xe">
                <v:stroke joinstyle="miter"/>
                <v:path gradientshapeok="t" o:connecttype="rect"/>
              </v:shapetype>
              <v:shape id="Text Box 3" o:spid="_x0000_s1026" type="#_x0000_t202" style="position:absolute;left:0;text-align:left;margin-left:130pt;margin-top:160.35pt;width:8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g05NgIAAHwEAAAOAAAAZHJzL2Uyb0RvYy54bWysVE2P2yAQvVfqf0DcG9tpPtoozirNKlWl&#10;aHelbLVngiG2ihkKJHb66ztg52O3PVW94IEZHjNv3nh+19aKHIV1FeicZoOUEqE5FJXe5/T78/rD&#10;J0qcZ7pgCrTI6Uk4erd4/27emJkYQgmqEJYgiHazxuS09N7MksTxUtTMDcAIjU4JtmYet3afFJY1&#10;iF6rZJimk6QBWxgLXDiHp/edky4ivpSC+0cpnfBE5RRz83G1cd2FNVnM2WxvmSkr3qfB/iGLmlUa&#10;H71A3TPPyMFWf0DVFbfgQPoBhzoBKSsuYg1YTZa+qWZbMiNiLUiOMxea3P+D5Q/HrXmyxLdfoMUG&#10;BkIa42YOD0M9rbR1+GKmBP1I4elCm2g94eFSlk0nKbo4+sbTbIw2wiTX28Y6/1VATYKRU4ttiWyx&#10;48b5LvQcEh5zoKpiXSkVN0EKYqUsOTJsovIxRwR/FaU0aXI6+ThOI/ArX4C+3N8pxn/06d1EIZ7S&#10;mPO19mD5dtf2hOygOCFPFjoJOcPXFeJumPNPzKJmsH6cA/+Ii1SAyUBvUVKC/fW38xCPrUQvJQ1q&#10;MKfu54FZQYn6prHJn7PRKIg2bkbj6RA39tazu/XoQ70CZCjDiTM8miHeq7MpLdQvOC7L8Cq6mOb4&#10;dk792Vz5bjJw3LhYLmMQytQwv9FbwwN06Ejg87l9Ydb0/fSohAc4q5XN3rS1iw03NSwPHmQVex4I&#10;7ljteUeJR9X04xhm6HYfo64/jcVvAAAA//8DAFBLAwQUAAYACAAAACEAbqCpgN4AAAALAQAADwAA&#10;AGRycy9kb3ducmV2LnhtbEyPwU7DMBBE70j8g7VI3KjdFIU0jVMBKlw4tSDObry1LWI7it00/D3L&#10;CW67s6PZN8129j2bcEwuBgnLhQCGoYvaBSPh4/3lrgKWsgpa9TGghG9MsG2vrxpV63gJe5wO2TAK&#10;CalWEmzOQ8156ix6lRZxwEC3Uxy9yrSOhutRXSjc97wQouReuUAfrBrw2WL3dTh7CbsnszZdpUa7&#10;q7Rz0/x5ejOvUt7ezI8bYBnn/GeGX3xCh5aYjvEcdGK9hKIU1CVLWBXiARg57lclKUcalqTwtuH/&#10;O7Q/AAAA//8DAFBLAQItABQABgAIAAAAIQC2gziS/gAAAOEBAAATAAAAAAAAAAAAAAAAAAAAAABb&#10;Q29udGVudF9UeXBlc10ueG1sUEsBAi0AFAAGAAgAAAAhADj9If/WAAAAlAEAAAsAAAAAAAAAAAAA&#10;AAAALwEAAF9yZWxzLy5yZWxzUEsBAi0AFAAGAAgAAAAhAA2GDTk2AgAAfAQAAA4AAAAAAAAAAAAA&#10;AAAALgIAAGRycy9lMm9Eb2MueG1sUEsBAi0AFAAGAAgAAAAhAG6gqYDeAAAACwEAAA8AAAAAAAAA&#10;AAAAAAAAkAQAAGRycy9kb3ducmV2LnhtbFBLBQYAAAAABAAEAPMAAACbBQAAAAA=&#10;" fillcolor="white [3201]" strokeweight=".5pt">
                <v:textbox>
                  <w:txbxContent>
                    <w:p w14:paraId="739FDC8E" w14:textId="77777777" w:rsidR="00877543" w:rsidRPr="00045AD6" w:rsidRDefault="00877543" w:rsidP="00877543">
                      <w:pPr>
                        <w:rPr>
                          <w:rFonts w:ascii="Arial" w:hAnsi="Arial" w:cs="Arial"/>
                        </w:rPr>
                      </w:pPr>
                      <w:r>
                        <w:rPr>
                          <w:rFonts w:ascii="Arial" w:hAnsi="Arial" w:cs="Arial"/>
                        </w:rPr>
                        <w:t>Portfolio Optimization</w:t>
                      </w:r>
                    </w:p>
                  </w:txbxContent>
                </v:textbox>
              </v:shape>
            </w:pict>
          </mc:Fallback>
        </mc:AlternateContent>
      </w:r>
      <w:r>
        <w:rPr>
          <w:rFonts w:ascii="Arial" w:hAnsi="Arial" w:cs="Arial"/>
          <w:b/>
          <w:bCs/>
          <w:noProof/>
        </w:rPr>
        <mc:AlternateContent>
          <mc:Choice Requires="wps">
            <w:drawing>
              <wp:anchor distT="0" distB="0" distL="114300" distR="114300" simplePos="0" relativeHeight="251660288" behindDoc="0" locked="0" layoutInCell="1" allowOverlap="1" wp14:anchorId="663D20B4" wp14:editId="521C8284">
                <wp:simplePos x="0" y="0"/>
                <wp:positionH relativeFrom="column">
                  <wp:posOffset>3511550</wp:posOffset>
                </wp:positionH>
                <wp:positionV relativeFrom="paragraph">
                  <wp:posOffset>2068195</wp:posOffset>
                </wp:positionV>
                <wp:extent cx="1606550" cy="546100"/>
                <wp:effectExtent l="0" t="0" r="12700" b="25400"/>
                <wp:wrapNone/>
                <wp:docPr id="1212174313" name="Text Box 2"/>
                <wp:cNvGraphicFramePr/>
                <a:graphic xmlns:a="http://schemas.openxmlformats.org/drawingml/2006/main">
                  <a:graphicData uri="http://schemas.microsoft.com/office/word/2010/wordprocessingShape">
                    <wps:wsp>
                      <wps:cNvSpPr txBox="1"/>
                      <wps:spPr>
                        <a:xfrm>
                          <a:off x="0" y="0"/>
                          <a:ext cx="1606550" cy="546100"/>
                        </a:xfrm>
                        <a:prstGeom prst="rect">
                          <a:avLst/>
                        </a:prstGeom>
                        <a:solidFill>
                          <a:schemeClr val="lt1"/>
                        </a:solidFill>
                        <a:ln w="6350">
                          <a:solidFill>
                            <a:prstClr val="black"/>
                          </a:solidFill>
                        </a:ln>
                      </wps:spPr>
                      <wps:txbx>
                        <w:txbxContent>
                          <w:p w14:paraId="7AC5EFFE" w14:textId="77777777" w:rsidR="00877543" w:rsidRPr="002156FF" w:rsidRDefault="00877543" w:rsidP="00877543">
                            <w:pPr>
                              <w:rPr>
                                <w:rFonts w:ascii="Arial" w:hAnsi="Arial" w:cs="Arial"/>
                              </w:rPr>
                            </w:pPr>
                            <w:r w:rsidRPr="002156FF">
                              <w:rPr>
                                <w:rFonts w:ascii="Arial" w:hAnsi="Arial" w:cs="Arial"/>
                              </w:rPr>
                              <w:t>Safe</w:t>
                            </w:r>
                            <w:r>
                              <w:rPr>
                                <w:rFonts w:ascii="Arial" w:hAnsi="Arial" w:cs="Arial"/>
                              </w:rPr>
                              <w:t xml:space="preserve"> </w:t>
                            </w:r>
                            <w:r w:rsidRPr="002156FF">
                              <w:rPr>
                                <w:rFonts w:ascii="Arial" w:hAnsi="Arial" w:cs="Arial"/>
                              </w:rPr>
                              <w:t>Haven/</w:t>
                            </w:r>
                            <w:r>
                              <w:rPr>
                                <w:rFonts w:ascii="Arial" w:hAnsi="Arial" w:cs="Arial"/>
                              </w:rPr>
                              <w:t xml:space="preserve"> </w:t>
                            </w:r>
                            <w:r w:rsidRPr="002156FF">
                              <w:rPr>
                                <w:rFonts w:ascii="Arial" w:hAnsi="Arial" w:cs="Arial"/>
                              </w:rPr>
                              <w:t>Correlation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D20B4" id="Text Box 2" o:spid="_x0000_s1027" type="#_x0000_t202" style="position:absolute;left:0;text-align:left;margin-left:276.5pt;margin-top:162.85pt;width:126.5pt;height: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rI8NgIAAIMEAAAOAAAAZHJzL2Uyb0RvYy54bWysVE1v2zAMvQ/YfxB0X+xkSbYZcYosRYYB&#10;QVsgHXpWZCkWJouapMTOfv0o5bPtTkUvMimST+Qj6clN12iyE84rMCXt93JKhOFQKbMp6a/Hxaev&#10;lPjATMU0GFHSvfD0Zvrxw6S1hRhADboSjiCI8UVrS1qHYIss87wWDfM9sMKgUYJrWEDVbbLKsRbR&#10;G50N8nycteAq64AL7/H29mCk04QvpeDhXkovAtElxdxCOl061/HMphNWbByzteLHNNgbsmiYMvjo&#10;GeqWBUa2Tr2CahR34EGGHocmAykVF6kGrKafv6hmVTMrUi1Ijrdnmvz7wfK73co+OBK679BhAyMh&#10;rfWFx8tYTyddE7+YKUE7Urg/0ya6QHgMGufj0QhNHG2j4bifJ16zS7R1PvwQ0JAolNRhWxJbbLf0&#10;AV9E15NLfMyDVtVCaZ2UOApirh3ZMWyiDilHjHjmpQ1pSzr+jGm8QojQ5/i1Zvx3rPI5Amra4OWl&#10;9iiFbt0RVV3xsoZqj3Q5OEySt3yhEH7JfHhgDkcHacB1CPd4SA2YExwlSmpwf/93H/2xo2ilpMVR&#10;LKn/s2VOUKJ/Guz1t/5wGGc3KcPRlwEq7tqyvraYbTMHJKqPi2d5EqN/0CdROmiecGtm8VU0McPx&#10;7ZKGkzgPhwXBreNiNktOOK2WhaVZWR6hI8eR1sfuiTl7bGvAgbiD09Cy4kV3D74x0sBsG0Cq1PrI&#10;84HVI/046ak7x62Mq3StJ6/Lv2P6DwAA//8DAFBLAwQUAAYACAAAACEAZbLE3N8AAAALAQAADwAA&#10;AGRycy9kb3ducmV2LnhtbEyPwU7DMBBE70j8g7VI3KiTlrQhxKkAFS6cKIizG29ti9iObDcNf89y&#10;guPsjGbftNvZDWzCmGzwAspFAQx9H5T1WsDH+/NNDSxl6ZUcgkcB35hg211etLJR4ezfcNpnzajE&#10;p0YKMDmPDeepN+hkWoQRPXnHEJ3MJKPmKsozlbuBL4tizZ20nj4YOeKTwf5rf3ICdo/6Tve1jGZX&#10;K2un+fP4ql+EuL6aH+6BZZzzXxh+8QkdOmI6hJNXiQ0CqmpFW7KA1bLaAKNEXazpchBwW5Yb4F3L&#10;/2/ofgAAAP//AwBQSwECLQAUAAYACAAAACEAtoM4kv4AAADhAQAAEwAAAAAAAAAAAAAAAAAAAAAA&#10;W0NvbnRlbnRfVHlwZXNdLnhtbFBLAQItABQABgAIAAAAIQA4/SH/1gAAAJQBAAALAAAAAAAAAAAA&#10;AAAAAC8BAABfcmVscy8ucmVsc1BLAQItABQABgAIAAAAIQCrnrI8NgIAAIMEAAAOAAAAAAAAAAAA&#10;AAAAAC4CAABkcnMvZTJvRG9jLnhtbFBLAQItABQABgAIAAAAIQBlssTc3wAAAAsBAAAPAAAAAAAA&#10;AAAAAAAAAJAEAABkcnMvZG93bnJldi54bWxQSwUGAAAAAAQABADzAAAAnAUAAAAA&#10;" fillcolor="white [3201]" strokeweight=".5pt">
                <v:textbox>
                  <w:txbxContent>
                    <w:p w14:paraId="7AC5EFFE" w14:textId="77777777" w:rsidR="00877543" w:rsidRPr="002156FF" w:rsidRDefault="00877543" w:rsidP="00877543">
                      <w:pPr>
                        <w:rPr>
                          <w:rFonts w:ascii="Arial" w:hAnsi="Arial" w:cs="Arial"/>
                        </w:rPr>
                      </w:pPr>
                      <w:r w:rsidRPr="002156FF">
                        <w:rPr>
                          <w:rFonts w:ascii="Arial" w:hAnsi="Arial" w:cs="Arial"/>
                        </w:rPr>
                        <w:t>Safe</w:t>
                      </w:r>
                      <w:r>
                        <w:rPr>
                          <w:rFonts w:ascii="Arial" w:hAnsi="Arial" w:cs="Arial"/>
                        </w:rPr>
                        <w:t xml:space="preserve"> </w:t>
                      </w:r>
                      <w:r w:rsidRPr="002156FF">
                        <w:rPr>
                          <w:rFonts w:ascii="Arial" w:hAnsi="Arial" w:cs="Arial"/>
                        </w:rPr>
                        <w:t>Haven/</w:t>
                      </w:r>
                      <w:r>
                        <w:rPr>
                          <w:rFonts w:ascii="Arial" w:hAnsi="Arial" w:cs="Arial"/>
                        </w:rPr>
                        <w:t xml:space="preserve"> </w:t>
                      </w:r>
                      <w:r w:rsidRPr="002156FF">
                        <w:rPr>
                          <w:rFonts w:ascii="Arial" w:hAnsi="Arial" w:cs="Arial"/>
                        </w:rPr>
                        <w:t>Correlation Analysis</w:t>
                      </w:r>
                    </w:p>
                  </w:txbxContent>
                </v:textbox>
              </v:shape>
            </w:pict>
          </mc:Fallback>
        </mc:AlternateContent>
      </w:r>
      <w:r>
        <w:rPr>
          <w:rFonts w:ascii="Arial" w:hAnsi="Arial" w:cs="Arial"/>
          <w:b/>
          <w:bCs/>
          <w:noProof/>
        </w:rPr>
        <mc:AlternateContent>
          <mc:Choice Requires="wps">
            <w:drawing>
              <wp:anchor distT="0" distB="0" distL="114300" distR="114300" simplePos="0" relativeHeight="251659264" behindDoc="0" locked="0" layoutInCell="1" allowOverlap="1" wp14:anchorId="2AC7D5B9" wp14:editId="4F5EF6E5">
                <wp:simplePos x="0" y="0"/>
                <wp:positionH relativeFrom="column">
                  <wp:posOffset>1828800</wp:posOffset>
                </wp:positionH>
                <wp:positionV relativeFrom="paragraph">
                  <wp:posOffset>868045</wp:posOffset>
                </wp:positionV>
                <wp:extent cx="1739900" cy="317500"/>
                <wp:effectExtent l="0" t="0" r="12700" b="25400"/>
                <wp:wrapNone/>
                <wp:docPr id="1956132058" name="Text Box 1"/>
                <wp:cNvGraphicFramePr/>
                <a:graphic xmlns:a="http://schemas.openxmlformats.org/drawingml/2006/main">
                  <a:graphicData uri="http://schemas.microsoft.com/office/word/2010/wordprocessingShape">
                    <wps:wsp>
                      <wps:cNvSpPr txBox="1"/>
                      <wps:spPr>
                        <a:xfrm>
                          <a:off x="0" y="0"/>
                          <a:ext cx="1739900" cy="317500"/>
                        </a:xfrm>
                        <a:prstGeom prst="rect">
                          <a:avLst/>
                        </a:prstGeom>
                        <a:solidFill>
                          <a:schemeClr val="bg1"/>
                        </a:solidFill>
                        <a:ln w="6350">
                          <a:solidFill>
                            <a:schemeClr val="tx1"/>
                          </a:solidFill>
                        </a:ln>
                      </wps:spPr>
                      <wps:txbx>
                        <w:txbxContent>
                          <w:p w14:paraId="673B4469" w14:textId="77777777" w:rsidR="00877543" w:rsidRDefault="00877543" w:rsidP="00877543">
                            <w:r w:rsidRPr="002156FF">
                              <w:rPr>
                                <w:rFonts w:ascii="Arial" w:hAnsi="Arial" w:cs="Arial"/>
                              </w:rPr>
                              <w:t>Opportunity Cost Path</w:t>
                            </w:r>
                            <w:r>
                              <w:t xml:space="preserve"> Path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C7D5B9" id="Text Box 1" o:spid="_x0000_s1028" type="#_x0000_t202" style="position:absolute;left:0;text-align:left;margin-left:2in;margin-top:68.35pt;width:137pt;height: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LdDNwIAAIMEAAAOAAAAZHJzL2Uyb0RvYy54bWysVE1v2zAMvQ/YfxB0X+x8NYsRp8hSZBgQ&#10;tAXSoWdFlmIDsqhJSuzs14+S89Wup2EXmRKpJ/Lx0bP7tlbkIKyrQOe030spEZpDUeldTn++rL58&#10;pcR5pgumQIucHoWj9/PPn2aNycQASlCFsARBtMsak9PSe5MlieOlqJnrgREanRJszTxu7S4pLGsQ&#10;vVbJIE3vkgZsYSxw4RyePnROOo/4Ugrun6R0whOVU8zNx9XGdRvWZD5j2c4yU1b8lAb7hyxqVml8&#10;9AL1wDwje1v9BVVX3IID6Xsc6gSkrLiINWA1/fRdNZuSGRFrQXKcudDk/h8sfzxszLMlvv0GLTYw&#10;ENIYlzk8DPW00tbhi5kS9COFxwttovWEh0uT4XSaooujb9ifjNFGmOR621jnvwuoSTByarEtkS12&#10;WDvfhZ5DwmMOVFWsKqXiJkhBLJUlB4ZN3O5ijgj+Jkpp0uT0bjhOI/AbXxTTFcG3HyAgntKY87X2&#10;YPl225KqyOngzMsWiiPSZaFTkjN8VWFNa+b8M7MoHaQBx8E/4SIVYE5wsigpwf7+6DzEY0fRS0mD&#10;Usyp+7VnVlCifmjs9bQ/GgXtxs1oPBngxt56trceva+XgET1cfAMj2aI9+psSgv1K07NIryKLqY5&#10;vp1TfzaXvhsQnDouFosYhGo1zK/1xvAAHRoTOvbSvjJrTm31KIhHOIuWZe+628WGmxoWew+yiq0P&#10;PHesnuhHpUfxnKYyjNLtPkZd/x3zPwAAAP//AwBQSwMEFAAGAAgAAAAhAPHeMqLaAAAACwEAAA8A&#10;AABkcnMvZG93bnJldi54bWxMT8lOwzAQvSPxD9YgcaNOExGiEKdCoIpzG1T16NqDExGPo9htw98z&#10;nOD4Fr2l2Sx+FBec4xBIwXqVgUAywQ7kFHx024cKREyarB4DoYJvjLBpb28aXdtwpR1e9skJDqFY&#10;awV9SlMtZTQ9eh1XYUJi7TPMXieGs5N21lcO96PMs6yUXg/EDb2e8LVH87U/ey55747m0LniOL2V&#10;xXZt3M4fnFL3d8vLM4iES/ozw+98ng4tbzqFM9koRgV5VfGXxEJRPoFgx2OZM3NipmJGto38/6H9&#10;AQAA//8DAFBLAQItABQABgAIAAAAIQC2gziS/gAAAOEBAAATAAAAAAAAAAAAAAAAAAAAAABbQ29u&#10;dGVudF9UeXBlc10ueG1sUEsBAi0AFAAGAAgAAAAhADj9If/WAAAAlAEAAAsAAAAAAAAAAAAAAAAA&#10;LwEAAF9yZWxzLy5yZWxzUEsBAi0AFAAGAAgAAAAhAHvct0M3AgAAgwQAAA4AAAAAAAAAAAAAAAAA&#10;LgIAAGRycy9lMm9Eb2MueG1sUEsBAi0AFAAGAAgAAAAhAPHeMqLaAAAACwEAAA8AAAAAAAAAAAAA&#10;AAAAkQQAAGRycy9kb3ducmV2LnhtbFBLBQYAAAAABAAEAPMAAACYBQAAAAA=&#10;" fillcolor="white [3212]" strokecolor="black [3213]" strokeweight=".5pt">
                <v:textbox>
                  <w:txbxContent>
                    <w:p w14:paraId="673B4469" w14:textId="77777777" w:rsidR="00877543" w:rsidRDefault="00877543" w:rsidP="00877543">
                      <w:r w:rsidRPr="002156FF">
                        <w:rPr>
                          <w:rFonts w:ascii="Arial" w:hAnsi="Arial" w:cs="Arial"/>
                        </w:rPr>
                        <w:t>Opportunity Cost Path</w:t>
                      </w:r>
                      <w:r>
                        <w:t xml:space="preserve"> Path</w:t>
                      </w:r>
                    </w:p>
                  </w:txbxContent>
                </v:textbox>
              </v:shape>
            </w:pict>
          </mc:Fallback>
        </mc:AlternateContent>
      </w:r>
      <w:r>
        <w:rPr>
          <w:rFonts w:ascii="Arial" w:hAnsi="Arial" w:cs="Arial"/>
          <w:b/>
          <w:bCs/>
          <w:noProof/>
        </w:rPr>
        <w:drawing>
          <wp:inline distT="0" distB="0" distL="0" distR="0" wp14:anchorId="09327D1F" wp14:editId="70F6BE23">
            <wp:extent cx="5207000" cy="3657600"/>
            <wp:effectExtent l="0" t="0" r="0" b="0"/>
            <wp:docPr id="205484947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5FEA29C" w14:textId="328451B6" w:rsidR="00877543" w:rsidRPr="00877543" w:rsidRDefault="00877543" w:rsidP="00877543">
      <w:pPr>
        <w:jc w:val="center"/>
        <w:rPr>
          <w:rFonts w:ascii="Arial" w:hAnsi="Arial" w:cs="Arial"/>
        </w:rPr>
      </w:pPr>
      <w:r w:rsidRPr="007649D2">
        <w:rPr>
          <w:rFonts w:ascii="Arial" w:hAnsi="Arial" w:cs="Arial"/>
          <w:b/>
          <w:bCs/>
          <w:sz w:val="28"/>
          <w:szCs w:val="28"/>
        </w:rPr>
        <w:t xml:space="preserve">Figure </w:t>
      </w:r>
      <w:r w:rsidR="00C7148E">
        <w:rPr>
          <w:rFonts w:ascii="Arial" w:hAnsi="Arial" w:cs="Arial"/>
          <w:b/>
          <w:bCs/>
          <w:sz w:val="28"/>
          <w:szCs w:val="28"/>
        </w:rPr>
        <w:t>2</w:t>
      </w:r>
      <w:r w:rsidRPr="007649D2">
        <w:rPr>
          <w:rFonts w:ascii="Arial" w:hAnsi="Arial" w:cs="Arial"/>
          <w:b/>
          <w:bCs/>
          <w:sz w:val="28"/>
          <w:szCs w:val="28"/>
        </w:rPr>
        <w:t>: Conceptual Framework of the impact of US interest rates on the Gold-Equity Relationship</w:t>
      </w:r>
    </w:p>
    <w:p w14:paraId="5D99E661" w14:textId="77777777" w:rsidR="00877543" w:rsidRDefault="00877543" w:rsidP="00877543">
      <w:pPr>
        <w:jc w:val="center"/>
        <w:rPr>
          <w:rFonts w:ascii="Arial" w:hAnsi="Arial" w:cs="Arial"/>
          <w:b/>
          <w:bCs/>
        </w:rPr>
      </w:pPr>
      <w:r>
        <w:rPr>
          <w:rFonts w:ascii="Arial" w:hAnsi="Arial" w:cs="Arial"/>
          <w:b/>
          <w:bCs/>
        </w:rPr>
        <w:t xml:space="preserve">(Source: </w:t>
      </w:r>
      <w:r w:rsidRPr="008E7119">
        <w:rPr>
          <w:rFonts w:ascii="Arial" w:hAnsi="Arial" w:cs="Arial"/>
        </w:rPr>
        <w:t>Author</w:t>
      </w:r>
      <w:r>
        <w:rPr>
          <w:rFonts w:ascii="Arial" w:hAnsi="Arial" w:cs="Arial"/>
          <w:b/>
          <w:bCs/>
        </w:rPr>
        <w:t>)</w:t>
      </w:r>
    </w:p>
    <w:p w14:paraId="2B3E36CD" w14:textId="77777777" w:rsidR="00877543" w:rsidRDefault="00877543" w:rsidP="00877543">
      <w:pPr>
        <w:jc w:val="center"/>
        <w:rPr>
          <w:rFonts w:ascii="Arial" w:hAnsi="Arial" w:cs="Arial"/>
          <w:b/>
          <w:bCs/>
        </w:rPr>
      </w:pPr>
    </w:p>
    <w:p w14:paraId="7427F3D9" w14:textId="77777777" w:rsidR="00877543" w:rsidRDefault="00877543" w:rsidP="00877543">
      <w:pPr>
        <w:rPr>
          <w:rFonts w:ascii="Arial" w:hAnsi="Arial" w:cs="Arial"/>
        </w:rPr>
      </w:pPr>
      <w:r w:rsidRPr="0065692A">
        <w:rPr>
          <w:rFonts w:ascii="Arial" w:hAnsi="Arial" w:cs="Arial"/>
        </w:rPr>
        <w:t>It illustrates how US interest rates affect the relationship between gold and equities. It shows three paths that influence this relationship: Portfolio Optimization where gold serves as a risk-balancing tool; Safe haven; which protects wealth during stock market declines and opportunity costs, as rising interest rates decreases the attractiveness of gold as an investment.</w:t>
      </w:r>
    </w:p>
    <w:p w14:paraId="3BC2B927" w14:textId="77777777" w:rsidR="00877543" w:rsidRDefault="00877543" w:rsidP="00877543">
      <w:pPr>
        <w:rPr>
          <w:rFonts w:ascii="Arial" w:hAnsi="Arial" w:cs="Arial"/>
        </w:rPr>
      </w:pPr>
    </w:p>
    <w:p w14:paraId="3845E79B" w14:textId="77777777" w:rsidR="00877543" w:rsidRPr="00B402C8" w:rsidRDefault="00877543" w:rsidP="00877543">
      <w:pPr>
        <w:rPr>
          <w:rFonts w:ascii="Arial" w:hAnsi="Arial" w:cs="Arial"/>
          <w:b/>
          <w:bCs/>
        </w:rPr>
      </w:pPr>
      <w:r w:rsidRPr="00B402C8">
        <w:rPr>
          <w:rFonts w:ascii="Arial" w:hAnsi="Arial" w:cs="Arial"/>
          <w:b/>
          <w:bCs/>
        </w:rPr>
        <w:t>2.7.2. Predicted Behavioural Framework</w:t>
      </w:r>
    </w:p>
    <w:p w14:paraId="6CD3085D" w14:textId="77777777" w:rsidR="00877543" w:rsidRDefault="00877543" w:rsidP="00877543">
      <w:pPr>
        <w:rPr>
          <w:rFonts w:ascii="Arial" w:hAnsi="Arial" w:cs="Arial"/>
          <w:color w:val="1F1F1F"/>
          <w:shd w:val="clear" w:color="auto" w:fill="FFFFFF"/>
        </w:rPr>
      </w:pPr>
      <w:r>
        <w:rPr>
          <w:rFonts w:ascii="Arial" w:hAnsi="Arial" w:cs="Arial"/>
        </w:rPr>
        <w:t xml:space="preserve">According to World Gold Council (2020), </w:t>
      </w:r>
      <w:r w:rsidRPr="00B402C8">
        <w:rPr>
          <w:rFonts w:ascii="Arial" w:hAnsi="Arial" w:cs="Arial"/>
        </w:rPr>
        <w:t>When Interest rates fall, gold rises while stocks fall. However, during a massive crash, both can drop together because Investors sell off everything.</w:t>
      </w:r>
      <w:r w:rsidRPr="00B6226A">
        <w:rPr>
          <w:rFonts w:ascii="Arial" w:hAnsi="Arial" w:cs="Arial"/>
          <w:color w:val="1F1F1F"/>
          <w:shd w:val="clear" w:color="auto" w:fill="FFFFFF"/>
        </w:rPr>
        <w:t xml:space="preserve"> </w:t>
      </w:r>
      <w:r w:rsidRPr="00B6226A">
        <w:rPr>
          <w:rFonts w:ascii="Arial" w:hAnsi="Arial" w:cs="Arial"/>
        </w:rPr>
        <w:t>Lower rates make for low returns on investment. Gold becomes the asset for protecting wealth</w:t>
      </w:r>
      <w:r>
        <w:rPr>
          <w:rFonts w:ascii="Arial" w:hAnsi="Arial" w:cs="Arial"/>
        </w:rPr>
        <w:t xml:space="preserve"> (World Gold Council, 2020)</w:t>
      </w:r>
      <w:r w:rsidRPr="00B6226A">
        <w:rPr>
          <w:rFonts w:ascii="Arial" w:hAnsi="Arial" w:cs="Arial"/>
        </w:rPr>
        <w:t>.</w:t>
      </w:r>
      <w:r w:rsidRPr="00E81DFC">
        <w:rPr>
          <w:rFonts w:ascii="Arial" w:hAnsi="Arial" w:cs="Arial"/>
          <w:color w:val="1F1F1F"/>
          <w:shd w:val="clear" w:color="auto" w:fill="FFFFFF"/>
        </w:rPr>
        <w:t xml:space="preserve"> </w:t>
      </w:r>
      <w:r w:rsidRPr="00095641">
        <w:rPr>
          <w:rFonts w:ascii="Arial" w:hAnsi="Arial" w:cs="Arial"/>
          <w:color w:val="1F1F1F"/>
          <w:shd w:val="clear" w:color="auto" w:fill="FFFFFF"/>
        </w:rPr>
        <w:t xml:space="preserve">In contrast, rising </w:t>
      </w:r>
      <w:r w:rsidRPr="00095641">
        <w:rPr>
          <w:rFonts w:ascii="Arial" w:hAnsi="Arial" w:cs="Arial"/>
          <w:color w:val="1F1F1F"/>
          <w:shd w:val="clear" w:color="auto" w:fill="FFFFFF"/>
        </w:rPr>
        <w:lastRenderedPageBreak/>
        <w:t xml:space="preserve">interest rates reduce the effectiveness of gold as a hedge, it </w:t>
      </w:r>
      <w:r>
        <w:rPr>
          <w:rFonts w:ascii="Arial" w:hAnsi="Arial" w:cs="Arial"/>
          <w:color w:val="1F1F1F"/>
          <w:shd w:val="clear" w:color="auto" w:fill="FFFFFF"/>
        </w:rPr>
        <w:t xml:space="preserve">becomes less attractive </w:t>
      </w:r>
      <w:r w:rsidRPr="00095641">
        <w:rPr>
          <w:rFonts w:ascii="Arial" w:hAnsi="Arial" w:cs="Arial"/>
          <w:color w:val="1F1F1F"/>
          <w:shd w:val="clear" w:color="auto" w:fill="FFFFFF"/>
        </w:rPr>
        <w:t>to hold while other assets are booming.</w:t>
      </w:r>
    </w:p>
    <w:p w14:paraId="250CD057" w14:textId="45922FEA" w:rsidR="00877543" w:rsidRDefault="00877543" w:rsidP="00877543">
      <w:pPr>
        <w:rPr>
          <w:rFonts w:ascii="Arial" w:hAnsi="Arial" w:cs="Arial"/>
        </w:rPr>
      </w:pPr>
      <w:r w:rsidRPr="008E42DE">
        <w:rPr>
          <w:rFonts w:ascii="Arial" w:hAnsi="Arial" w:cs="Arial"/>
        </w:rPr>
        <w:t>Overall, this framework confirms that gold doesn't act as a hedge consistently. It depends on shifts in US interest rates, which provides crucial insights for anyone managing investment risk or diversifying a portfolio.</w:t>
      </w:r>
    </w:p>
    <w:p w14:paraId="369FF5EF" w14:textId="77777777" w:rsidR="00003F97" w:rsidRDefault="00003F97" w:rsidP="00877543">
      <w:pPr>
        <w:rPr>
          <w:rFonts w:ascii="Arial" w:hAnsi="Arial" w:cs="Arial"/>
        </w:rPr>
      </w:pPr>
    </w:p>
    <w:p w14:paraId="77A1503A" w14:textId="77777777" w:rsidR="00877543" w:rsidRDefault="00877543" w:rsidP="00877543">
      <w:pPr>
        <w:rPr>
          <w:rFonts w:ascii="Arial" w:hAnsi="Arial" w:cs="Arial"/>
          <w:b/>
          <w:bCs/>
          <w:sz w:val="28"/>
          <w:szCs w:val="28"/>
        </w:rPr>
      </w:pPr>
      <w:r w:rsidRPr="00BD1B7F">
        <w:rPr>
          <w:rFonts w:ascii="Arial" w:hAnsi="Arial" w:cs="Arial"/>
          <w:b/>
          <w:bCs/>
          <w:sz w:val="28"/>
          <w:szCs w:val="28"/>
        </w:rPr>
        <w:t xml:space="preserve">2.8 Hypotheses </w:t>
      </w:r>
    </w:p>
    <w:p w14:paraId="028FAAE0" w14:textId="77777777" w:rsidR="00877543" w:rsidRDefault="00877543" w:rsidP="00877543">
      <w:pPr>
        <w:rPr>
          <w:rFonts w:ascii="Arial" w:hAnsi="Arial" w:cs="Arial"/>
        </w:rPr>
      </w:pPr>
      <w:r w:rsidRPr="00343AB5">
        <w:rPr>
          <w:rFonts w:ascii="Arial" w:hAnsi="Arial" w:cs="Arial"/>
        </w:rPr>
        <w:t>Based on the theoretical foundations of Modern Portfolio Theory, Interest Rate Theory and the identified gaps in long-term cycle research, this study examines the following hypotheses:</w:t>
      </w:r>
    </w:p>
    <w:p w14:paraId="5C9AF2C5" w14:textId="77777777" w:rsidR="00877543" w:rsidRPr="00923E73" w:rsidRDefault="00877543" w:rsidP="00877543">
      <w:pPr>
        <w:pStyle w:val="ListParagraph"/>
        <w:ind w:left="0"/>
        <w:rPr>
          <w:rFonts w:ascii="Arial" w:hAnsi="Arial" w:cs="Arial"/>
        </w:rPr>
      </w:pPr>
      <w:r w:rsidRPr="005F40F4">
        <w:rPr>
          <w:rFonts w:ascii="Arial" w:hAnsi="Arial" w:cs="Arial"/>
          <w:b/>
          <w:bCs/>
        </w:rPr>
        <w:t>H1:</w:t>
      </w:r>
      <w:r w:rsidRPr="00923E73">
        <w:rPr>
          <w:rFonts w:ascii="Arial" w:hAnsi="Arial" w:cs="Arial"/>
          <w:color w:val="1B1C1D"/>
          <w:shd w:val="clear" w:color="auto" w:fill="FFFFFF"/>
        </w:rPr>
        <w:t xml:space="preserve"> </w:t>
      </w:r>
      <w:r w:rsidRPr="004E2822">
        <w:rPr>
          <w:rFonts w:ascii="Arial" w:hAnsi="Arial" w:cs="Arial"/>
          <w:color w:val="1B1C1D"/>
          <w:shd w:val="clear" w:color="auto" w:fill="FFFFFF"/>
        </w:rPr>
        <w:t>Changes in US interest rates have a significant impact on the prices of the Gold and US equities.</w:t>
      </w:r>
    </w:p>
    <w:p w14:paraId="3F604D87" w14:textId="77777777" w:rsidR="00877543" w:rsidRDefault="00877543" w:rsidP="00877543">
      <w:pPr>
        <w:pStyle w:val="ListParagraph"/>
        <w:ind w:left="0"/>
        <w:rPr>
          <w:rFonts w:ascii="Arial" w:hAnsi="Arial" w:cs="Arial"/>
          <w:b/>
          <w:bCs/>
        </w:rPr>
      </w:pPr>
      <w:r>
        <w:rPr>
          <w:rFonts w:ascii="Arial" w:hAnsi="Arial" w:cs="Arial"/>
          <w:b/>
          <w:bCs/>
        </w:rPr>
        <w:t>H2:</w:t>
      </w:r>
      <w:r w:rsidRPr="00923E73">
        <w:rPr>
          <w:rFonts w:ascii="Arial" w:hAnsi="Arial" w:cs="Arial"/>
          <w:color w:val="1B1C1D"/>
          <w:shd w:val="clear" w:color="auto" w:fill="FFFFFF"/>
        </w:rPr>
        <w:t xml:space="preserve"> </w:t>
      </w:r>
      <w:r w:rsidRPr="00923E73">
        <w:rPr>
          <w:rFonts w:ascii="Arial" w:hAnsi="Arial" w:cs="Arial"/>
        </w:rPr>
        <w:t>Gold is considered a Safe asset during periods when US equity returns are dropping and amid falling interest rates.</w:t>
      </w:r>
    </w:p>
    <w:p w14:paraId="6C8B1C57" w14:textId="77777777" w:rsidR="00877543" w:rsidRPr="00BF4AB4" w:rsidRDefault="00877543" w:rsidP="00877543">
      <w:pPr>
        <w:pStyle w:val="ListParagraph"/>
        <w:ind w:left="0"/>
        <w:rPr>
          <w:rFonts w:ascii="Arial" w:hAnsi="Arial" w:cs="Arial"/>
        </w:rPr>
      </w:pPr>
      <w:r>
        <w:rPr>
          <w:rFonts w:ascii="Arial" w:hAnsi="Arial" w:cs="Arial"/>
          <w:b/>
          <w:bCs/>
        </w:rPr>
        <w:t>H3:</w:t>
      </w:r>
      <w:r w:rsidRPr="00BF4AB4">
        <w:rPr>
          <w:rFonts w:ascii="Nunito Sans" w:hAnsi="Nunito Sans"/>
          <w:color w:val="212529"/>
          <w:shd w:val="clear" w:color="auto" w:fill="FFFFFF"/>
        </w:rPr>
        <w:t xml:space="preserve"> </w:t>
      </w:r>
      <w:r w:rsidRPr="00BF4AB4">
        <w:rPr>
          <w:rFonts w:ascii="Arial" w:hAnsi="Arial" w:cs="Arial"/>
        </w:rPr>
        <w:t>The relationship between gold returns and US equity returns is weaker during periods of decreasing interest rates compared to periods of rising interest rates.</w:t>
      </w:r>
    </w:p>
    <w:p w14:paraId="2FCB2FD1" w14:textId="77777777" w:rsidR="00877543" w:rsidRDefault="00877543" w:rsidP="00877543">
      <w:pPr>
        <w:pStyle w:val="ListParagraph"/>
        <w:ind w:left="0"/>
        <w:rPr>
          <w:rFonts w:ascii="Arial" w:hAnsi="Arial" w:cs="Arial"/>
        </w:rPr>
      </w:pPr>
      <w:r>
        <w:rPr>
          <w:rFonts w:ascii="Arial" w:hAnsi="Arial" w:cs="Arial"/>
          <w:b/>
          <w:bCs/>
        </w:rPr>
        <w:t xml:space="preserve">H4: </w:t>
      </w:r>
      <w:r w:rsidRPr="004E4F75">
        <w:rPr>
          <w:rFonts w:ascii="Arial" w:hAnsi="Arial" w:cs="Arial"/>
        </w:rPr>
        <w:t>US interest rate changes influence gold's role in portfolio diversification and risk management.</w:t>
      </w:r>
    </w:p>
    <w:p w14:paraId="20F6224B" w14:textId="77777777" w:rsidR="00877543" w:rsidRDefault="00877543" w:rsidP="00877543">
      <w:pPr>
        <w:rPr>
          <w:rFonts w:ascii="Arial" w:hAnsi="Arial" w:cs="Arial"/>
        </w:rPr>
      </w:pPr>
    </w:p>
    <w:p w14:paraId="1FC434C5" w14:textId="77777777" w:rsidR="0054394F" w:rsidRDefault="0054394F" w:rsidP="00877543">
      <w:pPr>
        <w:rPr>
          <w:rFonts w:ascii="Arial" w:hAnsi="Arial" w:cs="Arial"/>
        </w:rPr>
      </w:pPr>
    </w:p>
    <w:p w14:paraId="57B0451F" w14:textId="77777777" w:rsidR="0054394F" w:rsidRDefault="0054394F" w:rsidP="00877543">
      <w:pPr>
        <w:rPr>
          <w:rFonts w:ascii="Arial" w:hAnsi="Arial" w:cs="Arial"/>
        </w:rPr>
      </w:pPr>
    </w:p>
    <w:p w14:paraId="013B2002" w14:textId="77777777" w:rsidR="0054394F" w:rsidRDefault="0054394F" w:rsidP="00877543">
      <w:pPr>
        <w:rPr>
          <w:rFonts w:ascii="Arial" w:hAnsi="Arial" w:cs="Arial"/>
        </w:rPr>
      </w:pPr>
    </w:p>
    <w:p w14:paraId="5B4F9743" w14:textId="77777777" w:rsidR="0054394F" w:rsidRDefault="0054394F" w:rsidP="00877543">
      <w:pPr>
        <w:rPr>
          <w:rFonts w:ascii="Arial" w:hAnsi="Arial" w:cs="Arial"/>
        </w:rPr>
      </w:pPr>
    </w:p>
    <w:p w14:paraId="7488A124" w14:textId="77777777" w:rsidR="0054394F" w:rsidRDefault="0054394F" w:rsidP="00877543">
      <w:pPr>
        <w:rPr>
          <w:rFonts w:ascii="Arial" w:hAnsi="Arial" w:cs="Arial"/>
        </w:rPr>
      </w:pPr>
    </w:p>
    <w:p w14:paraId="25A61B69" w14:textId="77777777" w:rsidR="0054394F" w:rsidRDefault="0054394F" w:rsidP="00877543">
      <w:pPr>
        <w:rPr>
          <w:rFonts w:ascii="Arial" w:hAnsi="Arial" w:cs="Arial"/>
        </w:rPr>
      </w:pPr>
    </w:p>
    <w:p w14:paraId="05277619" w14:textId="77777777" w:rsidR="0054394F" w:rsidRDefault="0054394F" w:rsidP="00877543">
      <w:pPr>
        <w:rPr>
          <w:rFonts w:ascii="Arial" w:hAnsi="Arial" w:cs="Arial"/>
        </w:rPr>
      </w:pPr>
    </w:p>
    <w:p w14:paraId="1AA83E09" w14:textId="77777777" w:rsidR="0054394F" w:rsidRDefault="0054394F" w:rsidP="00877543">
      <w:pPr>
        <w:rPr>
          <w:rFonts w:ascii="Arial" w:hAnsi="Arial" w:cs="Arial"/>
        </w:rPr>
      </w:pPr>
    </w:p>
    <w:p w14:paraId="6D1821F8" w14:textId="77777777" w:rsidR="0054394F" w:rsidRDefault="0054394F" w:rsidP="00877543">
      <w:pPr>
        <w:rPr>
          <w:rFonts w:ascii="Arial" w:hAnsi="Arial" w:cs="Arial"/>
        </w:rPr>
      </w:pPr>
    </w:p>
    <w:p w14:paraId="62C14717" w14:textId="77777777" w:rsidR="0054394F" w:rsidRDefault="0054394F" w:rsidP="0054394F">
      <w:pPr>
        <w:jc w:val="center"/>
        <w:rPr>
          <w:rFonts w:ascii="Arial" w:hAnsi="Arial" w:cs="Arial"/>
          <w:b/>
          <w:bCs/>
          <w:sz w:val="28"/>
          <w:szCs w:val="28"/>
        </w:rPr>
      </w:pPr>
      <w:r w:rsidRPr="009C71D0">
        <w:rPr>
          <w:rFonts w:ascii="Arial" w:hAnsi="Arial" w:cs="Arial"/>
          <w:b/>
          <w:bCs/>
          <w:sz w:val="28"/>
          <w:szCs w:val="28"/>
        </w:rPr>
        <w:lastRenderedPageBreak/>
        <w:t>CHAPTER THREE: Research Methodology</w:t>
      </w:r>
    </w:p>
    <w:p w14:paraId="2BD12402" w14:textId="77777777" w:rsidR="0054394F" w:rsidRDefault="0054394F" w:rsidP="0054394F">
      <w:pPr>
        <w:rPr>
          <w:rFonts w:ascii="Arial" w:hAnsi="Arial" w:cs="Arial"/>
          <w:b/>
          <w:bCs/>
          <w:sz w:val="28"/>
          <w:szCs w:val="28"/>
        </w:rPr>
      </w:pPr>
    </w:p>
    <w:p w14:paraId="115F34B9" w14:textId="77777777" w:rsidR="0054394F" w:rsidRDefault="0054394F" w:rsidP="0054394F">
      <w:pPr>
        <w:rPr>
          <w:rFonts w:ascii="Arial" w:hAnsi="Arial" w:cs="Arial"/>
          <w:b/>
          <w:bCs/>
          <w:sz w:val="28"/>
          <w:szCs w:val="28"/>
        </w:rPr>
      </w:pPr>
      <w:r>
        <w:rPr>
          <w:rFonts w:ascii="Arial" w:hAnsi="Arial" w:cs="Arial"/>
          <w:b/>
          <w:bCs/>
          <w:sz w:val="28"/>
          <w:szCs w:val="28"/>
        </w:rPr>
        <w:t xml:space="preserve">3.1 Introduction to Methodology </w:t>
      </w:r>
    </w:p>
    <w:p w14:paraId="0C766870" w14:textId="77777777" w:rsidR="0054394F" w:rsidRDefault="0054394F" w:rsidP="0054394F">
      <w:pPr>
        <w:rPr>
          <w:rFonts w:ascii="Arial" w:hAnsi="Arial" w:cs="Arial"/>
        </w:rPr>
      </w:pPr>
      <w:r w:rsidRPr="00F27E00">
        <w:rPr>
          <w:rFonts w:ascii="Arial" w:hAnsi="Arial" w:cs="Arial"/>
        </w:rPr>
        <w:t>This chapter outlines the research design, philosophical foundation and analytical techniques used to examine how US interest rates impact to the correlation between gold and equity returns (S&amp;P 500 and Nasdaq).</w:t>
      </w:r>
      <w:r w:rsidRPr="00620383">
        <w:rPr>
          <w:rFonts w:ascii="Arial" w:hAnsi="Arial" w:cs="Arial"/>
          <w:color w:val="1F1F1F"/>
          <w:shd w:val="clear" w:color="auto" w:fill="FFFFFF"/>
        </w:rPr>
        <w:t xml:space="preserve"> </w:t>
      </w:r>
      <w:r w:rsidRPr="00620383">
        <w:rPr>
          <w:rFonts w:ascii="Arial" w:hAnsi="Arial" w:cs="Arial"/>
        </w:rPr>
        <w:t>This chapter details the research methodology, covering the collection of data from 2005 to 2025 and the integration of results into meaningful contributions to academic knowledge.</w:t>
      </w:r>
      <w:r>
        <w:rPr>
          <w:rFonts w:ascii="Arial" w:hAnsi="Arial" w:cs="Arial"/>
        </w:rPr>
        <w:t xml:space="preserve"> </w:t>
      </w:r>
      <w:r w:rsidRPr="00DF091C">
        <w:rPr>
          <w:rFonts w:ascii="Arial" w:hAnsi="Arial" w:cs="Arial"/>
        </w:rPr>
        <w:t xml:space="preserve">Using this methodology ensures the research's findings are </w:t>
      </w:r>
      <w:r>
        <w:rPr>
          <w:rFonts w:ascii="Arial" w:hAnsi="Arial" w:cs="Arial"/>
        </w:rPr>
        <w:t>valid</w:t>
      </w:r>
      <w:r w:rsidRPr="00DF091C">
        <w:rPr>
          <w:rFonts w:ascii="Arial" w:hAnsi="Arial" w:cs="Arial"/>
        </w:rPr>
        <w:t>, the process is easy to understand, and the results are aligned with the research objectives.</w:t>
      </w:r>
    </w:p>
    <w:p w14:paraId="35915240" w14:textId="77777777" w:rsidR="0054394F" w:rsidRDefault="0054394F" w:rsidP="0054394F">
      <w:pPr>
        <w:rPr>
          <w:rFonts w:ascii="Arial" w:hAnsi="Arial" w:cs="Arial"/>
        </w:rPr>
      </w:pPr>
      <w:r w:rsidRPr="00163029">
        <w:rPr>
          <w:rFonts w:ascii="Arial" w:hAnsi="Arial" w:cs="Arial"/>
        </w:rPr>
        <w:t>This study evaluates the impact of Federal Reserve interest rate changes on gold's performance as a hedge and a safe-haven asset against the S&amp;P 500 and Nasdaq.</w:t>
      </w:r>
      <w:r>
        <w:rPr>
          <w:rFonts w:ascii="Arial" w:hAnsi="Arial" w:cs="Arial"/>
        </w:rPr>
        <w:t xml:space="preserve"> </w:t>
      </w:r>
      <w:r w:rsidRPr="00CF4CDE">
        <w:rPr>
          <w:rFonts w:ascii="Arial" w:hAnsi="Arial" w:cs="Arial"/>
        </w:rPr>
        <w:t>This research is key because the 'inverse relationship' between gold and equities inconsistent; depending on economic conditions, investors must rebalance their portfolios</w:t>
      </w:r>
      <w:r>
        <w:rPr>
          <w:rFonts w:ascii="Arial" w:hAnsi="Arial" w:cs="Arial"/>
        </w:rPr>
        <w:t xml:space="preserve"> (</w:t>
      </w:r>
      <w:r w:rsidRPr="00346C5D">
        <w:rPr>
          <w:rFonts w:ascii="Arial" w:hAnsi="Arial" w:cs="Arial"/>
        </w:rPr>
        <w:t xml:space="preserve">Beckmann, Berger and </w:t>
      </w:r>
      <w:proofErr w:type="spellStart"/>
      <w:r w:rsidRPr="00346C5D">
        <w:rPr>
          <w:rFonts w:ascii="Arial" w:hAnsi="Arial" w:cs="Arial"/>
        </w:rPr>
        <w:t>Czudaj</w:t>
      </w:r>
      <w:proofErr w:type="spellEnd"/>
      <w:r>
        <w:rPr>
          <w:rFonts w:ascii="Arial" w:hAnsi="Arial" w:cs="Arial"/>
        </w:rPr>
        <w:t xml:space="preserve">, </w:t>
      </w:r>
      <w:r w:rsidRPr="00346C5D">
        <w:rPr>
          <w:rFonts w:ascii="Arial" w:hAnsi="Arial" w:cs="Arial"/>
        </w:rPr>
        <w:t>2015).</w:t>
      </w:r>
      <w:r w:rsidRPr="001F0820">
        <w:rPr>
          <w:rFonts w:ascii="Arial" w:hAnsi="Arial" w:cs="Arial"/>
          <w:color w:val="1F1F1F"/>
          <w:shd w:val="clear" w:color="auto" w:fill="FFFFFF"/>
        </w:rPr>
        <w:t xml:space="preserve"> </w:t>
      </w:r>
      <w:r>
        <w:rPr>
          <w:rFonts w:ascii="Arial" w:hAnsi="Arial" w:cs="Arial"/>
          <w:color w:val="1F1F1F"/>
          <w:shd w:val="clear" w:color="auto" w:fill="FFFFFF"/>
        </w:rPr>
        <w:t xml:space="preserve">Consequently, </w:t>
      </w:r>
      <w:r>
        <w:rPr>
          <w:rFonts w:ascii="Arial" w:hAnsi="Arial" w:cs="Arial"/>
        </w:rPr>
        <w:t>t</w:t>
      </w:r>
      <w:r w:rsidRPr="001F0820">
        <w:rPr>
          <w:rFonts w:ascii="Arial" w:hAnsi="Arial" w:cs="Arial"/>
        </w:rPr>
        <w:t>his chapter justifies the use of positivist philosophy and a deductive approach, the study aims to evaluate gold's effectiveness as a hedge during periods of market volatility.</w:t>
      </w:r>
    </w:p>
    <w:p w14:paraId="230D389E" w14:textId="77777777" w:rsidR="0054394F" w:rsidRDefault="0054394F" w:rsidP="0054394F">
      <w:pPr>
        <w:rPr>
          <w:rFonts w:ascii="Arial" w:hAnsi="Arial" w:cs="Arial"/>
        </w:rPr>
      </w:pPr>
      <w:r w:rsidRPr="00742F09">
        <w:rPr>
          <w:rFonts w:ascii="Arial" w:hAnsi="Arial" w:cs="Arial"/>
        </w:rPr>
        <w:t>Furthermore, this methodology utilizes Quantitative Secondary Data and describes the sampling strategy used to assess historical cycles, including the 2008 Global Financial Crisis and the 2020 COVID-19 shock.</w:t>
      </w:r>
      <w:r>
        <w:rPr>
          <w:rFonts w:ascii="Arial" w:hAnsi="Arial" w:cs="Arial"/>
        </w:rPr>
        <w:t xml:space="preserve"> Finally</w:t>
      </w:r>
      <w:r w:rsidRPr="00CF2799">
        <w:rPr>
          <w:rFonts w:ascii="Arial" w:hAnsi="Arial" w:cs="Arial"/>
        </w:rPr>
        <w:t>, the report uses correlation and regression used to calculate how much asset returns change in response to shifts in monetary policy</w:t>
      </w:r>
      <w:r>
        <w:rPr>
          <w:rFonts w:ascii="Arial" w:hAnsi="Arial" w:cs="Arial"/>
        </w:rPr>
        <w:t xml:space="preserve">, </w:t>
      </w:r>
      <w:r w:rsidRPr="008F0D3A">
        <w:rPr>
          <w:rFonts w:ascii="Arial" w:hAnsi="Arial" w:cs="Arial"/>
        </w:rPr>
        <w:t>providing the empirical basis for the findings of this research.</w:t>
      </w:r>
    </w:p>
    <w:p w14:paraId="4D41D74B" w14:textId="77777777" w:rsidR="0054394F" w:rsidRDefault="0054394F" w:rsidP="0054394F">
      <w:pPr>
        <w:rPr>
          <w:rFonts w:ascii="Arial" w:hAnsi="Arial" w:cs="Arial"/>
        </w:rPr>
      </w:pPr>
    </w:p>
    <w:p w14:paraId="71ED468A" w14:textId="77777777" w:rsidR="0054394F" w:rsidRDefault="0054394F" w:rsidP="0054394F">
      <w:pPr>
        <w:rPr>
          <w:rFonts w:ascii="Arial" w:hAnsi="Arial" w:cs="Arial"/>
          <w:b/>
          <w:bCs/>
          <w:sz w:val="28"/>
          <w:szCs w:val="28"/>
        </w:rPr>
      </w:pPr>
      <w:r>
        <w:rPr>
          <w:rFonts w:ascii="Arial" w:hAnsi="Arial" w:cs="Arial"/>
          <w:b/>
          <w:bCs/>
          <w:sz w:val="28"/>
          <w:szCs w:val="28"/>
        </w:rPr>
        <w:t>3.2 Research Philosophy</w:t>
      </w:r>
    </w:p>
    <w:p w14:paraId="36B8045C" w14:textId="77777777" w:rsidR="0054394F" w:rsidRDefault="0054394F" w:rsidP="0054394F">
      <w:pPr>
        <w:rPr>
          <w:rFonts w:ascii="Arial" w:hAnsi="Arial" w:cs="Arial"/>
        </w:rPr>
      </w:pPr>
      <w:r w:rsidRPr="006165A4">
        <w:rPr>
          <w:rFonts w:ascii="Arial" w:hAnsi="Arial" w:cs="Arial"/>
        </w:rPr>
        <w:t>This study adopts a positivist research philosophy.</w:t>
      </w:r>
      <w:r w:rsidRPr="00D91080">
        <w:rPr>
          <w:rFonts w:ascii="Arial" w:hAnsi="Arial" w:cs="Arial"/>
          <w:color w:val="1F1F1F"/>
          <w:shd w:val="clear" w:color="auto" w:fill="FFFFFF"/>
        </w:rPr>
        <w:t xml:space="preserve"> </w:t>
      </w:r>
      <w:r w:rsidRPr="00D91080">
        <w:rPr>
          <w:rFonts w:ascii="Arial" w:hAnsi="Arial" w:cs="Arial"/>
        </w:rPr>
        <w:t>As summarized by Ishtiaq (2019) in his review of Creswell's work</w:t>
      </w:r>
      <w:r w:rsidRPr="00235683">
        <w:rPr>
          <w:rFonts w:ascii="Arial" w:hAnsi="Arial" w:cs="Arial"/>
        </w:rPr>
        <w:t>, the positivist perspective asserts that reality is objective and exists independently of the researcher.</w:t>
      </w:r>
      <w:r>
        <w:rPr>
          <w:rFonts w:ascii="Arial" w:hAnsi="Arial" w:cs="Arial"/>
        </w:rPr>
        <w:t xml:space="preserve"> </w:t>
      </w:r>
      <w:r w:rsidRPr="00A61A81">
        <w:rPr>
          <w:rFonts w:ascii="Arial" w:hAnsi="Arial" w:cs="Arial"/>
        </w:rPr>
        <w:t>This allows for the analysis of market data like closing prices and interest rates, ensuring the findings are based on facts rather than a researcher's interpretation</w:t>
      </w:r>
      <w:r>
        <w:rPr>
          <w:rFonts w:ascii="Arial" w:hAnsi="Arial" w:cs="Arial"/>
        </w:rPr>
        <w:t xml:space="preserve"> (</w:t>
      </w:r>
      <w:r w:rsidRPr="00A61A81">
        <w:rPr>
          <w:rFonts w:ascii="Arial" w:hAnsi="Arial" w:cs="Arial"/>
        </w:rPr>
        <w:t>Saunders et.al, 2023</w:t>
      </w:r>
      <w:r>
        <w:rPr>
          <w:rFonts w:ascii="Arial" w:hAnsi="Arial" w:cs="Arial"/>
        </w:rPr>
        <w:t xml:space="preserve">). </w:t>
      </w:r>
      <w:r w:rsidRPr="00146B32">
        <w:rPr>
          <w:rFonts w:ascii="Arial" w:hAnsi="Arial" w:cs="Arial"/>
        </w:rPr>
        <w:t>This approach ensures the reliability of the findings by utilizing standardized, verifiable data.</w:t>
      </w:r>
    </w:p>
    <w:p w14:paraId="4C8C0A5F" w14:textId="77777777" w:rsidR="0054394F" w:rsidRDefault="0054394F" w:rsidP="0054394F">
      <w:pPr>
        <w:rPr>
          <w:rFonts w:ascii="Arial" w:hAnsi="Arial" w:cs="Arial"/>
        </w:rPr>
      </w:pPr>
      <w:r w:rsidRPr="00185A47">
        <w:rPr>
          <w:rFonts w:ascii="Arial" w:hAnsi="Arial" w:cs="Arial"/>
        </w:rPr>
        <w:lastRenderedPageBreak/>
        <w:t>A positivist approach is appropriate as it aligns with the core objective of this study. The research aims to quantify the impact of the Federal Rate on gold and equity returns. This framework allows the analysis of secondary data from FRED and Yahoo Finance, ensuring that the findings are based on empirical evidence.</w:t>
      </w:r>
    </w:p>
    <w:p w14:paraId="3376CD42" w14:textId="77777777" w:rsidR="0054394F" w:rsidRDefault="0054394F" w:rsidP="0054394F">
      <w:pPr>
        <w:rPr>
          <w:rFonts w:ascii="Arial" w:hAnsi="Arial" w:cs="Arial"/>
        </w:rPr>
      </w:pPr>
      <w:r w:rsidRPr="005F586B">
        <w:rPr>
          <w:rFonts w:ascii="Arial" w:hAnsi="Arial" w:cs="Arial"/>
        </w:rPr>
        <w:t>As this research does not involve people or their opinions, the analysis is based on quantitative market data such as interest rates and gold returns, which can be measured and tested using statistical methods. The research aims to identify historical data patterns and relationships rather than to understand individual views or experiences; therefore, an interpretivist approach is not suitable for this research.</w:t>
      </w:r>
    </w:p>
    <w:p w14:paraId="6FAD2248" w14:textId="77777777" w:rsidR="0054394F" w:rsidRPr="00025B3D" w:rsidRDefault="0054394F" w:rsidP="0054394F">
      <w:pPr>
        <w:rPr>
          <w:rFonts w:ascii="Arial" w:hAnsi="Arial" w:cs="Arial"/>
          <w:b/>
          <w:bCs/>
          <w:sz w:val="28"/>
          <w:szCs w:val="28"/>
        </w:rPr>
      </w:pPr>
    </w:p>
    <w:p w14:paraId="60092508" w14:textId="77777777" w:rsidR="0054394F" w:rsidRPr="00025B3D" w:rsidRDefault="0054394F" w:rsidP="0054394F">
      <w:pPr>
        <w:rPr>
          <w:rFonts w:ascii="Arial" w:hAnsi="Arial" w:cs="Arial"/>
          <w:b/>
          <w:bCs/>
          <w:sz w:val="28"/>
          <w:szCs w:val="28"/>
        </w:rPr>
      </w:pPr>
      <w:r w:rsidRPr="00025B3D">
        <w:rPr>
          <w:rFonts w:ascii="Arial" w:hAnsi="Arial" w:cs="Arial"/>
          <w:b/>
          <w:bCs/>
          <w:sz w:val="28"/>
          <w:szCs w:val="28"/>
        </w:rPr>
        <w:t xml:space="preserve">3.3 Research Approach </w:t>
      </w:r>
    </w:p>
    <w:p w14:paraId="59DE8DEE" w14:textId="77777777" w:rsidR="0054394F" w:rsidRDefault="0054394F" w:rsidP="0054394F">
      <w:pPr>
        <w:rPr>
          <w:rFonts w:ascii="Arial" w:hAnsi="Arial" w:cs="Arial"/>
        </w:rPr>
      </w:pPr>
      <w:r w:rsidRPr="00EC0069">
        <w:rPr>
          <w:rFonts w:ascii="Arial" w:hAnsi="Arial" w:cs="Arial"/>
        </w:rPr>
        <w:t>This study uses deductive research is the process of taking a general principle and applying it to specific observations to test an idea</w:t>
      </w:r>
      <w:r>
        <w:rPr>
          <w:rFonts w:ascii="Arial" w:hAnsi="Arial" w:cs="Arial"/>
        </w:rPr>
        <w:t xml:space="preserve"> (</w:t>
      </w:r>
      <w:r w:rsidRPr="00A61A81">
        <w:rPr>
          <w:rFonts w:ascii="Arial" w:hAnsi="Arial" w:cs="Arial"/>
        </w:rPr>
        <w:t>Saunders et.al, 2023</w:t>
      </w:r>
      <w:r>
        <w:rPr>
          <w:rFonts w:ascii="Arial" w:hAnsi="Arial" w:cs="Arial"/>
        </w:rPr>
        <w:t xml:space="preserve">). </w:t>
      </w:r>
      <w:r w:rsidRPr="00266F5D">
        <w:rPr>
          <w:rFonts w:ascii="Arial" w:hAnsi="Arial" w:cs="Arial"/>
        </w:rPr>
        <w:t>In financial accounting research, a positivist research approach is deductive; it tests cause and effect relationships and findings based on empirical data</w:t>
      </w:r>
      <w:r>
        <w:rPr>
          <w:rFonts w:ascii="Arial" w:hAnsi="Arial" w:cs="Arial"/>
        </w:rPr>
        <w:t xml:space="preserve"> (</w:t>
      </w:r>
      <w:r w:rsidRPr="00EA0B25">
        <w:rPr>
          <w:rFonts w:ascii="Arial" w:hAnsi="Arial" w:cs="Arial"/>
        </w:rPr>
        <w:t>Lopes, 2015</w:t>
      </w:r>
      <w:r>
        <w:rPr>
          <w:rFonts w:ascii="Arial" w:hAnsi="Arial" w:cs="Arial"/>
        </w:rPr>
        <w:t xml:space="preserve">). </w:t>
      </w:r>
      <w:r w:rsidRPr="002F5E00">
        <w:rPr>
          <w:rFonts w:ascii="Arial" w:hAnsi="Arial" w:cs="Arial"/>
        </w:rPr>
        <w:t>This research focuses on identifying the conceptual principles of Modern Portfolio Theory, Safe Haven Theory and Interest Rate Theory in the context of real-world interest rate cycles observed between 2005 and 2025.</w:t>
      </w:r>
      <w:r>
        <w:rPr>
          <w:rFonts w:ascii="Arial" w:hAnsi="Arial" w:cs="Arial"/>
        </w:rPr>
        <w:t xml:space="preserve"> </w:t>
      </w:r>
      <w:r w:rsidRPr="002F73C5">
        <w:rPr>
          <w:rFonts w:ascii="Arial" w:hAnsi="Arial" w:cs="Arial"/>
        </w:rPr>
        <w:t>This approach ensures that the analysis of the 20-year period will have consistency, rather than relying on single events.</w:t>
      </w:r>
    </w:p>
    <w:p w14:paraId="49F7BE20" w14:textId="77777777" w:rsidR="0054394F" w:rsidRDefault="0054394F" w:rsidP="0054394F">
      <w:pPr>
        <w:rPr>
          <w:rFonts w:ascii="Arial" w:hAnsi="Arial" w:cs="Arial"/>
        </w:rPr>
      </w:pPr>
      <w:r>
        <w:rPr>
          <w:rFonts w:ascii="Arial" w:hAnsi="Arial" w:cs="Arial"/>
        </w:rPr>
        <w:t xml:space="preserve">According to </w:t>
      </w:r>
      <w:r w:rsidRPr="00A16579">
        <w:rPr>
          <w:rFonts w:ascii="Arial" w:hAnsi="Arial" w:cs="Arial"/>
        </w:rPr>
        <w:t>Ross</w:t>
      </w:r>
      <w:r>
        <w:rPr>
          <w:rFonts w:ascii="Arial" w:hAnsi="Arial" w:cs="Arial"/>
        </w:rPr>
        <w:t xml:space="preserve"> (</w:t>
      </w:r>
      <w:r w:rsidRPr="00A16579">
        <w:rPr>
          <w:rFonts w:ascii="Arial" w:hAnsi="Arial" w:cs="Arial"/>
        </w:rPr>
        <w:t>2022</w:t>
      </w:r>
      <w:r>
        <w:rPr>
          <w:rFonts w:ascii="Arial" w:hAnsi="Arial" w:cs="Arial"/>
        </w:rPr>
        <w:t xml:space="preserve">), </w:t>
      </w:r>
      <w:r w:rsidRPr="004062B7">
        <w:rPr>
          <w:rFonts w:ascii="Arial" w:hAnsi="Arial" w:cs="Arial"/>
        </w:rPr>
        <w:t>Modern Portfolio Theory leverages the diversification of uncorrelated assets to reduce in overall portfolio volatility</w:t>
      </w:r>
      <w:r>
        <w:rPr>
          <w:rFonts w:ascii="Arial" w:hAnsi="Arial" w:cs="Arial"/>
        </w:rPr>
        <w:t>.</w:t>
      </w:r>
      <w:r w:rsidRPr="00324A59">
        <w:rPr>
          <w:rFonts w:ascii="Arial" w:hAnsi="Arial" w:cs="Arial"/>
          <w:color w:val="1F1F1F"/>
          <w:shd w:val="clear" w:color="auto" w:fill="FFFFFF"/>
        </w:rPr>
        <w:t xml:space="preserve"> </w:t>
      </w:r>
      <w:r w:rsidRPr="00E572CC">
        <w:rPr>
          <w:rFonts w:ascii="Arial" w:hAnsi="Arial" w:cs="Arial"/>
          <w:color w:val="1F1F1F"/>
          <w:shd w:val="clear" w:color="auto" w:fill="FFFFFF"/>
        </w:rPr>
        <w:t>Therefore, by utilizing gold as a low-correlation asset, an investor can minimize portfolio risk and maintain stability during market downturns.</w:t>
      </w:r>
      <w:r w:rsidRPr="00C3614D">
        <w:rPr>
          <w:rFonts w:ascii="Arial" w:hAnsi="Arial" w:cs="Arial"/>
          <w:color w:val="1F1F1F"/>
          <w:shd w:val="clear" w:color="auto" w:fill="FFFFFF"/>
        </w:rPr>
        <w:t xml:space="preserve"> While Safe Haven Theory highlights gold's uses as protection during market shocks, such as the 2008 crisis</w:t>
      </w:r>
      <w:r>
        <w:rPr>
          <w:rFonts w:ascii="Arial" w:hAnsi="Arial" w:cs="Arial"/>
          <w:color w:val="1F1F1F"/>
          <w:shd w:val="clear" w:color="auto" w:fill="FFFFFF"/>
        </w:rPr>
        <w:t xml:space="preserve"> </w:t>
      </w:r>
      <w:r>
        <w:rPr>
          <w:rFonts w:ascii="Arial" w:hAnsi="Arial" w:cs="Arial"/>
        </w:rPr>
        <w:t>(</w:t>
      </w:r>
      <w:r w:rsidRPr="00BD14EC">
        <w:rPr>
          <w:rFonts w:ascii="Arial" w:hAnsi="Arial" w:cs="Arial"/>
        </w:rPr>
        <w:t>Baur &amp; McDermott</w:t>
      </w:r>
      <w:r>
        <w:rPr>
          <w:rFonts w:ascii="Arial" w:hAnsi="Arial" w:cs="Arial"/>
        </w:rPr>
        <w:t xml:space="preserve">, </w:t>
      </w:r>
      <w:r w:rsidRPr="00BD14EC">
        <w:rPr>
          <w:rFonts w:ascii="Arial" w:hAnsi="Arial" w:cs="Arial"/>
        </w:rPr>
        <w:t>2010)</w:t>
      </w:r>
      <w:r>
        <w:rPr>
          <w:rFonts w:ascii="Arial" w:hAnsi="Arial" w:cs="Arial"/>
        </w:rPr>
        <w:t xml:space="preserve">. </w:t>
      </w:r>
      <w:r w:rsidRPr="001674BD">
        <w:rPr>
          <w:rFonts w:ascii="Arial" w:hAnsi="Arial" w:cs="Arial"/>
        </w:rPr>
        <w:t>Using these frameworks together, the study develops four testable hypotheses H1 to H4.</w:t>
      </w:r>
      <w:r>
        <w:rPr>
          <w:rFonts w:ascii="Arial" w:hAnsi="Arial" w:cs="Arial"/>
        </w:rPr>
        <w:t xml:space="preserve"> </w:t>
      </w:r>
      <w:r>
        <w:rPr>
          <w:rFonts w:ascii="Arial" w:hAnsi="Arial" w:cs="Arial"/>
        </w:rPr>
        <w:tab/>
      </w:r>
    </w:p>
    <w:p w14:paraId="4045A339" w14:textId="77777777" w:rsidR="0054394F" w:rsidRDefault="0054394F" w:rsidP="0054394F">
      <w:pPr>
        <w:rPr>
          <w:rFonts w:ascii="Arial" w:hAnsi="Arial" w:cs="Arial"/>
        </w:rPr>
      </w:pPr>
      <w:r w:rsidRPr="00906AA7">
        <w:rPr>
          <w:rFonts w:ascii="Arial" w:hAnsi="Arial" w:cs="Arial"/>
        </w:rPr>
        <w:t>A deductive approach is used to test established economic theories, moving from general financial principles to specific observations of asset behaviour.</w:t>
      </w:r>
      <w:r w:rsidRPr="000E1DAB">
        <w:rPr>
          <w:rFonts w:ascii="Arial" w:hAnsi="Arial" w:cs="Arial"/>
          <w:color w:val="1F1F1F"/>
          <w:shd w:val="clear" w:color="auto" w:fill="FFFFFF"/>
        </w:rPr>
        <w:t xml:space="preserve"> </w:t>
      </w:r>
      <w:r w:rsidRPr="000E1DAB">
        <w:rPr>
          <w:rFonts w:ascii="Arial" w:hAnsi="Arial" w:cs="Arial"/>
        </w:rPr>
        <w:t>This method used in this study is suitable for examining the relationship between Gold and US equity returns (S&amp;P 500 and Nasdaq) due to its ability to provide an empirical analysis to the study.</w:t>
      </w:r>
      <w:r>
        <w:rPr>
          <w:rFonts w:ascii="Arial" w:hAnsi="Arial" w:cs="Arial"/>
        </w:rPr>
        <w:t xml:space="preserve"> </w:t>
      </w:r>
    </w:p>
    <w:p w14:paraId="4A939421" w14:textId="77777777" w:rsidR="0054394F" w:rsidRDefault="0054394F" w:rsidP="0054394F">
      <w:pPr>
        <w:rPr>
          <w:rFonts w:ascii="Arial" w:hAnsi="Arial" w:cs="Arial"/>
        </w:rPr>
      </w:pPr>
      <w:r w:rsidRPr="00821426">
        <w:rPr>
          <w:rFonts w:ascii="Arial" w:hAnsi="Arial" w:cs="Arial"/>
        </w:rPr>
        <w:lastRenderedPageBreak/>
        <w:t>Furthermore, a deductive approach helps group data according to different stages of the interest rate cycle.</w:t>
      </w:r>
      <w:r>
        <w:rPr>
          <w:rFonts w:ascii="Arial" w:hAnsi="Arial" w:cs="Arial"/>
        </w:rPr>
        <w:t xml:space="preserve"> </w:t>
      </w:r>
      <w:r w:rsidRPr="00DE1E59">
        <w:rPr>
          <w:rFonts w:ascii="Arial" w:hAnsi="Arial" w:cs="Arial"/>
        </w:rPr>
        <w:t>This study provides an objective framework for evaluating how gold's role as a hedge or safe haven</w:t>
      </w:r>
      <w:r>
        <w:rPr>
          <w:rFonts w:ascii="Arial" w:hAnsi="Arial" w:cs="Arial"/>
        </w:rPr>
        <w:t xml:space="preserve">; </w:t>
      </w:r>
      <w:r w:rsidRPr="00DE1E59">
        <w:rPr>
          <w:rFonts w:ascii="Arial" w:hAnsi="Arial" w:cs="Arial"/>
        </w:rPr>
        <w:t>changes depending on whether interest rates are rising or falling</w:t>
      </w:r>
      <w:r>
        <w:rPr>
          <w:rFonts w:ascii="Arial" w:hAnsi="Arial" w:cs="Arial"/>
        </w:rPr>
        <w:t xml:space="preserve"> (</w:t>
      </w:r>
      <w:r w:rsidRPr="00A34826">
        <w:rPr>
          <w:rFonts w:ascii="Arial" w:hAnsi="Arial" w:cs="Arial"/>
        </w:rPr>
        <w:t>Apergis et al., 2019</w:t>
      </w:r>
      <w:r>
        <w:rPr>
          <w:rFonts w:ascii="Arial" w:hAnsi="Arial" w:cs="Arial"/>
        </w:rPr>
        <w:t>).</w:t>
      </w:r>
      <w:r w:rsidRPr="00D33FCD">
        <w:rPr>
          <w:rFonts w:ascii="Arial" w:hAnsi="Arial" w:cs="Arial"/>
          <w:color w:val="1F1F1F"/>
          <w:shd w:val="clear" w:color="auto" w:fill="FFFFFF"/>
        </w:rPr>
        <w:t xml:space="preserve"> </w:t>
      </w:r>
      <w:r w:rsidRPr="00D33FCD">
        <w:rPr>
          <w:rFonts w:ascii="Arial" w:hAnsi="Arial" w:cs="Arial"/>
        </w:rPr>
        <w:t>This structured demonstrates that the</w:t>
      </w:r>
      <w:r>
        <w:rPr>
          <w:rFonts w:ascii="Arial" w:hAnsi="Arial" w:cs="Arial"/>
        </w:rPr>
        <w:t xml:space="preserve"> findings are relevant to economic variables. </w:t>
      </w:r>
      <w:r w:rsidRPr="00C2670C">
        <w:rPr>
          <w:rFonts w:ascii="Arial" w:hAnsi="Arial" w:cs="Arial"/>
        </w:rPr>
        <w:t>This provides valuable information on how to strategically allocate funds across various economic environments, emphasizing the connections between Portfolio Diversification and Risk Management</w:t>
      </w:r>
      <w:r>
        <w:rPr>
          <w:rFonts w:ascii="Arial" w:hAnsi="Arial" w:cs="Arial"/>
        </w:rPr>
        <w:t xml:space="preserve"> </w:t>
      </w:r>
      <w:r w:rsidRPr="009E09FB">
        <w:rPr>
          <w:rFonts w:ascii="Arial" w:hAnsi="Arial" w:cs="Arial"/>
        </w:rPr>
        <w:t>(Chaudhuri and Akullian, 2025)</w:t>
      </w:r>
      <w:r>
        <w:rPr>
          <w:rFonts w:ascii="Arial" w:hAnsi="Arial" w:cs="Arial"/>
        </w:rPr>
        <w:t xml:space="preserve">. </w:t>
      </w:r>
    </w:p>
    <w:p w14:paraId="1AA68856" w14:textId="77777777" w:rsidR="0054394F" w:rsidRDefault="0054394F" w:rsidP="0054394F">
      <w:pPr>
        <w:rPr>
          <w:rFonts w:ascii="Arial" w:hAnsi="Arial" w:cs="Arial"/>
        </w:rPr>
      </w:pPr>
    </w:p>
    <w:p w14:paraId="01C916A0" w14:textId="77777777" w:rsidR="0054394F" w:rsidRDefault="0054394F" w:rsidP="0054394F">
      <w:pPr>
        <w:rPr>
          <w:rFonts w:ascii="Arial" w:hAnsi="Arial" w:cs="Arial"/>
          <w:b/>
          <w:bCs/>
          <w:sz w:val="28"/>
          <w:szCs w:val="28"/>
        </w:rPr>
      </w:pPr>
      <w:r w:rsidRPr="00131C27">
        <w:rPr>
          <w:rFonts w:ascii="Arial" w:hAnsi="Arial" w:cs="Arial"/>
          <w:b/>
          <w:bCs/>
          <w:sz w:val="28"/>
          <w:szCs w:val="28"/>
        </w:rPr>
        <w:t xml:space="preserve">3.4 Research Strategy </w:t>
      </w:r>
    </w:p>
    <w:p w14:paraId="1A75A143" w14:textId="77777777" w:rsidR="0054394F" w:rsidRDefault="0054394F" w:rsidP="0054394F">
      <w:pPr>
        <w:rPr>
          <w:rFonts w:ascii="Arial" w:hAnsi="Arial" w:cs="Arial"/>
        </w:rPr>
      </w:pPr>
      <w:r w:rsidRPr="00A6352C">
        <w:rPr>
          <w:rFonts w:ascii="Arial" w:hAnsi="Arial" w:cs="Arial"/>
        </w:rPr>
        <w:t>The research strategy for this study examines how US interest rates cycles affect gold's role as a hedge and safe haven against the S&amp;P 500 and Nasdaq.</w:t>
      </w:r>
      <w:r w:rsidRPr="00645143">
        <w:rPr>
          <w:rFonts w:ascii="Arial" w:hAnsi="Arial" w:cs="Arial"/>
          <w:color w:val="1F1F1F"/>
          <w:shd w:val="clear" w:color="auto" w:fill="FFFFFF"/>
        </w:rPr>
        <w:t xml:space="preserve"> </w:t>
      </w:r>
      <w:r w:rsidRPr="00645143">
        <w:rPr>
          <w:rFonts w:ascii="Arial" w:hAnsi="Arial" w:cs="Arial"/>
        </w:rPr>
        <w:t>Based on the positivist philosophy and deductive approach established in the previous sections, this research adopts a quantitative methodology through archival research.</w:t>
      </w:r>
      <w:r>
        <w:rPr>
          <w:rFonts w:ascii="Arial" w:hAnsi="Arial" w:cs="Arial"/>
        </w:rPr>
        <w:t xml:space="preserve"> </w:t>
      </w:r>
      <w:r w:rsidRPr="00CB0983">
        <w:rPr>
          <w:rFonts w:ascii="Arial" w:hAnsi="Arial" w:cs="Arial"/>
        </w:rPr>
        <w:t>This strategy is highly reliable because it uses real-world data to show how interest rates and portfolios have behaved in the past.</w:t>
      </w:r>
    </w:p>
    <w:p w14:paraId="2DB85678" w14:textId="77777777" w:rsidR="0054394F" w:rsidRDefault="0054394F" w:rsidP="0054394F">
      <w:pPr>
        <w:rPr>
          <w:rFonts w:ascii="Arial" w:hAnsi="Arial" w:cs="Arial"/>
        </w:rPr>
      </w:pPr>
      <w:r w:rsidRPr="00B204FB">
        <w:rPr>
          <w:rFonts w:ascii="Arial" w:hAnsi="Arial" w:cs="Arial"/>
        </w:rPr>
        <w:t>This approach involves comparing market trends over a 20</w:t>
      </w:r>
      <w:r>
        <w:rPr>
          <w:rFonts w:ascii="Arial" w:hAnsi="Arial" w:cs="Arial"/>
        </w:rPr>
        <w:t>-</w:t>
      </w:r>
      <w:r w:rsidRPr="00B204FB">
        <w:rPr>
          <w:rFonts w:ascii="Arial" w:hAnsi="Arial" w:cs="Arial"/>
        </w:rPr>
        <w:t>year period, using secondary market data from 2005 to 2025.</w:t>
      </w:r>
      <w:r w:rsidRPr="00240469">
        <w:rPr>
          <w:rFonts w:ascii="Arial" w:hAnsi="Arial" w:cs="Arial"/>
          <w:color w:val="1F1F1F"/>
          <w:shd w:val="clear" w:color="auto" w:fill="FFFFFF"/>
        </w:rPr>
        <w:t xml:space="preserve"> </w:t>
      </w:r>
      <w:r w:rsidRPr="00240469">
        <w:rPr>
          <w:rFonts w:ascii="Arial" w:hAnsi="Arial" w:cs="Arial"/>
        </w:rPr>
        <w:t>A 20-year timeframe ensures the strategy includes major events like the 2008 crash and the COVID-19 pandemic. This helps to prove that gold's value depends on what is happening in the economy at that time.</w:t>
      </w:r>
      <w:r>
        <w:rPr>
          <w:rFonts w:ascii="Arial" w:hAnsi="Arial" w:cs="Arial"/>
        </w:rPr>
        <w:t xml:space="preserve"> </w:t>
      </w:r>
      <w:r w:rsidRPr="009E5E9B">
        <w:rPr>
          <w:rFonts w:ascii="Arial" w:hAnsi="Arial" w:cs="Arial"/>
        </w:rPr>
        <w:t>This method helps to compar</w:t>
      </w:r>
      <w:r>
        <w:rPr>
          <w:rFonts w:ascii="Arial" w:hAnsi="Arial" w:cs="Arial"/>
        </w:rPr>
        <w:t xml:space="preserve">ison of the correlations between </w:t>
      </w:r>
      <w:r w:rsidRPr="009E5E9B">
        <w:rPr>
          <w:rFonts w:ascii="Arial" w:hAnsi="Arial" w:cs="Arial"/>
        </w:rPr>
        <w:t xml:space="preserve">gold and </w:t>
      </w:r>
      <w:r>
        <w:rPr>
          <w:rFonts w:ascii="Arial" w:hAnsi="Arial" w:cs="Arial"/>
        </w:rPr>
        <w:t>equity indices</w:t>
      </w:r>
      <w:r w:rsidRPr="009E5E9B">
        <w:rPr>
          <w:rFonts w:ascii="Arial" w:hAnsi="Arial" w:cs="Arial"/>
        </w:rPr>
        <w:t xml:space="preserve"> during the different phases of the Fed's interest rate cycle.</w:t>
      </w:r>
    </w:p>
    <w:p w14:paraId="13D9FCE2" w14:textId="77777777" w:rsidR="0054394F" w:rsidRDefault="0054394F" w:rsidP="0054394F">
      <w:pPr>
        <w:rPr>
          <w:rFonts w:ascii="Arial" w:hAnsi="Arial" w:cs="Arial"/>
        </w:rPr>
      </w:pPr>
      <w:r w:rsidRPr="00C0008D">
        <w:rPr>
          <w:rFonts w:ascii="Arial" w:hAnsi="Arial" w:cs="Arial"/>
        </w:rPr>
        <w:t>Correlation and simple linear regression analysis are used to establish the practical utility and replicability of the findings for portfolio management.</w:t>
      </w:r>
    </w:p>
    <w:p w14:paraId="2CC721ED" w14:textId="77777777" w:rsidR="0054394F" w:rsidRDefault="0054394F" w:rsidP="0054394F">
      <w:pPr>
        <w:pStyle w:val="ListParagraph"/>
        <w:numPr>
          <w:ilvl w:val="0"/>
          <w:numId w:val="3"/>
        </w:numPr>
        <w:rPr>
          <w:rFonts w:ascii="Arial" w:hAnsi="Arial" w:cs="Arial"/>
        </w:rPr>
      </w:pPr>
      <w:r w:rsidRPr="00AC5B59">
        <w:rPr>
          <w:rFonts w:ascii="Arial" w:hAnsi="Arial" w:cs="Arial"/>
          <w:b/>
          <w:bCs/>
        </w:rPr>
        <w:t>Correlation analysis:</w:t>
      </w:r>
      <w:r>
        <w:rPr>
          <w:rFonts w:ascii="Arial" w:hAnsi="Arial" w:cs="Arial"/>
          <w:b/>
          <w:bCs/>
        </w:rPr>
        <w:t xml:space="preserve"> </w:t>
      </w:r>
      <w:r w:rsidRPr="00CE2D44">
        <w:rPr>
          <w:rFonts w:ascii="Arial" w:hAnsi="Arial" w:cs="Arial"/>
        </w:rPr>
        <w:t>The objective of the research is to find out whether the price of gold maintains an inverse relationship with equities and if gold acts an independently or has a negative correlation during market crashes</w:t>
      </w:r>
      <w:r>
        <w:rPr>
          <w:rFonts w:ascii="Arial" w:hAnsi="Arial" w:cs="Arial"/>
        </w:rPr>
        <w:t xml:space="preserve"> (</w:t>
      </w:r>
      <w:r w:rsidRPr="00CE2D44">
        <w:rPr>
          <w:rFonts w:ascii="Arial" w:hAnsi="Arial" w:cs="Arial"/>
        </w:rPr>
        <w:t>Baur and McDermott</w:t>
      </w:r>
      <w:r>
        <w:rPr>
          <w:rFonts w:ascii="Arial" w:hAnsi="Arial" w:cs="Arial"/>
        </w:rPr>
        <w:t xml:space="preserve">, </w:t>
      </w:r>
      <w:r w:rsidRPr="00CE2D44">
        <w:rPr>
          <w:rFonts w:ascii="Arial" w:hAnsi="Arial" w:cs="Arial"/>
        </w:rPr>
        <w:t>2010)</w:t>
      </w:r>
      <w:r>
        <w:rPr>
          <w:rFonts w:ascii="Arial" w:hAnsi="Arial" w:cs="Arial"/>
        </w:rPr>
        <w:t>.</w:t>
      </w:r>
    </w:p>
    <w:p w14:paraId="6E6D40EF" w14:textId="77777777" w:rsidR="0054394F" w:rsidRDefault="0054394F" w:rsidP="0054394F">
      <w:pPr>
        <w:pStyle w:val="ListParagraph"/>
        <w:numPr>
          <w:ilvl w:val="0"/>
          <w:numId w:val="3"/>
        </w:numPr>
        <w:rPr>
          <w:rFonts w:ascii="Arial" w:hAnsi="Arial" w:cs="Arial"/>
        </w:rPr>
      </w:pPr>
      <w:r w:rsidRPr="00B22270">
        <w:rPr>
          <w:rFonts w:ascii="Arial" w:hAnsi="Arial" w:cs="Arial"/>
          <w:b/>
          <w:bCs/>
        </w:rPr>
        <w:t>Regression analysis:</w:t>
      </w:r>
      <w:r>
        <w:rPr>
          <w:rFonts w:ascii="Arial" w:hAnsi="Arial" w:cs="Arial"/>
          <w:b/>
          <w:bCs/>
        </w:rPr>
        <w:t xml:space="preserve"> </w:t>
      </w:r>
      <w:r w:rsidRPr="00E30B58">
        <w:rPr>
          <w:rFonts w:ascii="Arial" w:hAnsi="Arial" w:cs="Arial"/>
        </w:rPr>
        <w:t xml:space="preserve">This analysis utilizes the </w:t>
      </w:r>
      <w:r w:rsidRPr="00FF19A6">
        <w:rPr>
          <w:rFonts w:ascii="Arial" w:eastAsia="Times New Roman" w:hAnsi="Arial" w:cs="Arial"/>
          <w:i/>
          <w:iCs/>
          <w:kern w:val="0"/>
          <w:lang w:eastAsia="en-GB"/>
          <w14:ligatures w14:val="none"/>
        </w:rPr>
        <w:t>β</w:t>
      </w:r>
      <w:r w:rsidRPr="00E30B58">
        <w:rPr>
          <w:rFonts w:ascii="Arial" w:hAnsi="Arial" w:cs="Arial"/>
        </w:rPr>
        <w:t xml:space="preserve"> </w:t>
      </w:r>
      <w:r>
        <w:rPr>
          <w:rFonts w:ascii="Arial" w:hAnsi="Arial" w:cs="Arial"/>
        </w:rPr>
        <w:t>coefficient</w:t>
      </w:r>
      <w:r w:rsidRPr="00E30B58">
        <w:rPr>
          <w:rFonts w:ascii="Arial" w:hAnsi="Arial" w:cs="Arial"/>
        </w:rPr>
        <w:t xml:space="preserve"> to measure how gold returns respond to interest rate changes, providing the statistical basis to validate or reject Hypotheses H1 to H4.</w:t>
      </w:r>
    </w:p>
    <w:p w14:paraId="706107BC" w14:textId="77777777" w:rsidR="0054394F" w:rsidRDefault="0054394F" w:rsidP="0054394F">
      <w:pPr>
        <w:pStyle w:val="ListParagraph"/>
        <w:ind w:left="0"/>
        <w:rPr>
          <w:rFonts w:ascii="Arial" w:hAnsi="Arial" w:cs="Arial"/>
        </w:rPr>
      </w:pPr>
      <w:r w:rsidRPr="00331F9A">
        <w:rPr>
          <w:rFonts w:ascii="Arial" w:hAnsi="Arial" w:cs="Arial"/>
        </w:rPr>
        <w:lastRenderedPageBreak/>
        <w:t>Using standardized data from FRED and Yahoo Finance ensures objectivity; it ensures the final results are based on mathematical evidence rather than personal interpretation.</w:t>
      </w:r>
      <w:r w:rsidRPr="00B86E4C">
        <w:rPr>
          <w:rFonts w:ascii="Arial" w:hAnsi="Arial" w:cs="Arial"/>
          <w:color w:val="1F1F1F"/>
          <w:shd w:val="clear" w:color="auto" w:fill="FFFFFF"/>
        </w:rPr>
        <w:t xml:space="preserve"> </w:t>
      </w:r>
      <w:r w:rsidRPr="00B86E4C">
        <w:rPr>
          <w:rFonts w:ascii="Arial" w:hAnsi="Arial" w:cs="Arial"/>
        </w:rPr>
        <w:t>This framework addresses the identified literature gap regarding gold's long-term behavioural instability during shifting monetary policies.</w:t>
      </w:r>
    </w:p>
    <w:p w14:paraId="55729B53" w14:textId="77777777" w:rsidR="0054394F" w:rsidRDefault="0054394F" w:rsidP="0054394F">
      <w:pPr>
        <w:pStyle w:val="ListParagraph"/>
        <w:ind w:left="0"/>
        <w:rPr>
          <w:rFonts w:ascii="Arial" w:hAnsi="Arial" w:cs="Arial"/>
        </w:rPr>
      </w:pPr>
    </w:p>
    <w:p w14:paraId="28BDABE0" w14:textId="77777777" w:rsidR="0054394F" w:rsidRDefault="0054394F" w:rsidP="0054394F">
      <w:pPr>
        <w:pStyle w:val="ListParagraph"/>
        <w:ind w:left="0"/>
        <w:rPr>
          <w:rFonts w:ascii="Arial" w:hAnsi="Arial" w:cs="Arial"/>
          <w:b/>
          <w:bCs/>
          <w:sz w:val="28"/>
          <w:szCs w:val="28"/>
        </w:rPr>
      </w:pPr>
      <w:r w:rsidRPr="00D43FDE">
        <w:rPr>
          <w:rFonts w:ascii="Arial" w:hAnsi="Arial" w:cs="Arial"/>
          <w:b/>
          <w:bCs/>
          <w:sz w:val="28"/>
          <w:szCs w:val="28"/>
        </w:rPr>
        <w:t>3.5 Data Collection</w:t>
      </w:r>
    </w:p>
    <w:p w14:paraId="0F77795C" w14:textId="77777777" w:rsidR="0054394F" w:rsidRDefault="0054394F" w:rsidP="0054394F">
      <w:pPr>
        <w:pStyle w:val="ListParagraph"/>
        <w:ind w:left="0"/>
        <w:rPr>
          <w:rFonts w:ascii="Arial" w:hAnsi="Arial" w:cs="Arial"/>
        </w:rPr>
      </w:pPr>
      <w:r w:rsidRPr="004A4A98">
        <w:rPr>
          <w:rFonts w:ascii="Arial" w:hAnsi="Arial" w:cs="Arial"/>
        </w:rPr>
        <w:t>This research adopts a systematic secondary data collection strategy which ensures the accuracy and validity of its findings.</w:t>
      </w:r>
      <w:r w:rsidRPr="00226BAC">
        <w:rPr>
          <w:rFonts w:ascii="Arial" w:hAnsi="Arial" w:cs="Arial"/>
          <w:color w:val="1F1F1F"/>
          <w:shd w:val="clear" w:color="auto" w:fill="FFFFFF"/>
        </w:rPr>
        <w:t xml:space="preserve"> </w:t>
      </w:r>
      <w:r w:rsidRPr="00226BAC">
        <w:rPr>
          <w:rFonts w:ascii="Arial" w:hAnsi="Arial" w:cs="Arial"/>
        </w:rPr>
        <w:t>The analysis of US interest rates and their impact on the correlation between gold and equity returns (S&amp;P 500 and Nasdaq) required the identification of reliable historical data covering the 2005 to 2025 period.</w:t>
      </w:r>
    </w:p>
    <w:p w14:paraId="75776EBF" w14:textId="77777777" w:rsidR="0054394F" w:rsidRDefault="0054394F" w:rsidP="0054394F">
      <w:pPr>
        <w:pStyle w:val="ListParagraph"/>
        <w:ind w:left="0"/>
        <w:rPr>
          <w:rFonts w:ascii="Arial" w:hAnsi="Arial" w:cs="Arial"/>
        </w:rPr>
      </w:pPr>
      <w:r w:rsidRPr="009A559F">
        <w:rPr>
          <w:rFonts w:ascii="Arial" w:hAnsi="Arial" w:cs="Arial"/>
        </w:rPr>
        <w:t>Based on the positivist research philosophy presented in this chapter, this research employs objective and numerical data sourced from Yahoo Finance and the Federal Reserve Economic Database (FRED).</w:t>
      </w:r>
      <w:r w:rsidRPr="009929A3">
        <w:rPr>
          <w:rFonts w:ascii="Arial" w:hAnsi="Arial" w:cs="Arial"/>
          <w:color w:val="1F1F1F"/>
          <w:shd w:val="clear" w:color="auto" w:fill="FFFFFF"/>
        </w:rPr>
        <w:t xml:space="preserve"> </w:t>
      </w:r>
      <w:r w:rsidRPr="009929A3">
        <w:rPr>
          <w:rFonts w:ascii="Arial" w:hAnsi="Arial" w:cs="Arial"/>
        </w:rPr>
        <w:t>Publicly accessible platforms like FRED and Yahoo Finance serve as foundational resources for financial and economic research.</w:t>
      </w:r>
      <w:r w:rsidRPr="00B831A5">
        <w:rPr>
          <w:rFonts w:ascii="Arial" w:hAnsi="Arial" w:cs="Arial"/>
          <w:color w:val="1F1F1F"/>
          <w:shd w:val="clear" w:color="auto" w:fill="FFFFFF"/>
        </w:rPr>
        <w:t xml:space="preserve"> </w:t>
      </w:r>
      <w:r w:rsidRPr="00B831A5">
        <w:rPr>
          <w:rFonts w:ascii="Arial" w:hAnsi="Arial" w:cs="Arial"/>
        </w:rPr>
        <w:t>FRED facilitates data transparency so that researchers can easily identify the exact numbers used in a study; this process of working with data is made transparent</w:t>
      </w:r>
      <w:r>
        <w:rPr>
          <w:rFonts w:ascii="Arial" w:hAnsi="Arial" w:cs="Arial"/>
        </w:rPr>
        <w:t xml:space="preserve"> </w:t>
      </w:r>
      <w:r w:rsidRPr="00B831A5">
        <w:rPr>
          <w:rFonts w:ascii="Arial" w:hAnsi="Arial" w:cs="Arial"/>
        </w:rPr>
        <w:t>(Mendez-Carbajo, 2021)</w:t>
      </w:r>
      <w:r>
        <w:rPr>
          <w:rFonts w:ascii="Arial" w:hAnsi="Arial" w:cs="Arial"/>
        </w:rPr>
        <w:t xml:space="preserve">. Furthermore, </w:t>
      </w:r>
      <w:r w:rsidRPr="007E3ECC">
        <w:rPr>
          <w:rFonts w:ascii="Arial" w:hAnsi="Arial" w:cs="Arial"/>
        </w:rPr>
        <w:t>Yahoo Finance provides institutional-like high-quality historical data that has become the most popular financial resource for retail investors seeking to analysis the data</w:t>
      </w:r>
      <w:r>
        <w:rPr>
          <w:rFonts w:ascii="Arial" w:hAnsi="Arial" w:cs="Arial"/>
        </w:rPr>
        <w:t xml:space="preserve"> (</w:t>
      </w:r>
      <w:proofErr w:type="spellStart"/>
      <w:r w:rsidRPr="00DB033E">
        <w:rPr>
          <w:rFonts w:ascii="Arial" w:hAnsi="Arial" w:cs="Arial"/>
        </w:rPr>
        <w:t>Havakhor</w:t>
      </w:r>
      <w:proofErr w:type="spellEnd"/>
      <w:r w:rsidRPr="00DB033E">
        <w:rPr>
          <w:rFonts w:ascii="Arial" w:hAnsi="Arial" w:cs="Arial"/>
        </w:rPr>
        <w:t xml:space="preserve"> et al., 2025</w:t>
      </w:r>
      <w:r>
        <w:rPr>
          <w:rFonts w:ascii="Arial" w:hAnsi="Arial" w:cs="Arial"/>
        </w:rPr>
        <w:t>).</w:t>
      </w:r>
    </w:p>
    <w:p w14:paraId="01E09BAA" w14:textId="77777777" w:rsidR="0054394F" w:rsidRDefault="0054394F" w:rsidP="0054394F">
      <w:pPr>
        <w:pStyle w:val="ListParagraph"/>
        <w:ind w:left="0"/>
        <w:rPr>
          <w:rFonts w:ascii="Arial" w:hAnsi="Arial" w:cs="Arial"/>
        </w:rPr>
      </w:pPr>
    </w:p>
    <w:p w14:paraId="20C0690E" w14:textId="77777777" w:rsidR="0054394F" w:rsidRPr="004461A7" w:rsidRDefault="0054394F" w:rsidP="0054394F">
      <w:pPr>
        <w:pStyle w:val="ListParagraph"/>
        <w:ind w:left="0"/>
        <w:rPr>
          <w:rFonts w:ascii="Arial" w:hAnsi="Arial" w:cs="Arial"/>
          <w:b/>
          <w:bCs/>
        </w:rPr>
      </w:pPr>
      <w:r w:rsidRPr="004461A7">
        <w:rPr>
          <w:rFonts w:ascii="Arial" w:hAnsi="Arial" w:cs="Arial"/>
          <w:b/>
          <w:bCs/>
        </w:rPr>
        <w:t>3.5.1 Variable Selection and Organizing Data Connections</w:t>
      </w:r>
    </w:p>
    <w:p w14:paraId="108AFC95" w14:textId="77777777" w:rsidR="0054394F" w:rsidRDefault="0054394F" w:rsidP="0054394F">
      <w:pPr>
        <w:pStyle w:val="ListParagraph"/>
        <w:ind w:left="0"/>
        <w:rPr>
          <w:rFonts w:ascii="Arial" w:hAnsi="Arial" w:cs="Arial"/>
        </w:rPr>
      </w:pPr>
      <w:r w:rsidRPr="007E52F3">
        <w:rPr>
          <w:rFonts w:ascii="Arial" w:hAnsi="Arial" w:cs="Arial"/>
        </w:rPr>
        <w:t>The analytical framework utilizes a time-series dataset consisting of four variables, each recorded on a monthly basis.</w:t>
      </w:r>
      <w:r w:rsidRPr="000102D0">
        <w:rPr>
          <w:rFonts w:ascii="Arial" w:hAnsi="Arial" w:cs="Arial"/>
          <w:color w:val="1F1F1F"/>
          <w:shd w:val="clear" w:color="auto" w:fill="FFFFFF"/>
        </w:rPr>
        <w:t xml:space="preserve"> </w:t>
      </w:r>
      <w:r w:rsidRPr="000102D0">
        <w:rPr>
          <w:rFonts w:ascii="Arial" w:hAnsi="Arial" w:cs="Arial"/>
        </w:rPr>
        <w:t>A 20-year period to cover both ups and downs of economic times. This includes the 2008 recession and COVID-19 Pandemic, which occurred during high and low-interest rate cycles.</w:t>
      </w:r>
      <w:r>
        <w:rPr>
          <w:rFonts w:ascii="Arial" w:hAnsi="Arial" w:cs="Arial"/>
        </w:rPr>
        <w:t xml:space="preserve"> </w:t>
      </w:r>
      <w:r w:rsidRPr="007B6B33">
        <w:rPr>
          <w:rFonts w:ascii="Arial" w:hAnsi="Arial" w:cs="Arial"/>
        </w:rPr>
        <w:t>Th</w:t>
      </w:r>
      <w:r>
        <w:rPr>
          <w:rFonts w:ascii="Arial" w:hAnsi="Arial" w:cs="Arial"/>
        </w:rPr>
        <w:t>e</w:t>
      </w:r>
      <w:r w:rsidRPr="007B6B33">
        <w:rPr>
          <w:rFonts w:ascii="Arial" w:hAnsi="Arial" w:cs="Arial"/>
        </w:rPr>
        <w:t xml:space="preserve"> research </w:t>
      </w:r>
      <w:r>
        <w:rPr>
          <w:rFonts w:ascii="Arial" w:hAnsi="Arial" w:cs="Arial"/>
        </w:rPr>
        <w:t xml:space="preserve">provides </w:t>
      </w:r>
      <w:r w:rsidRPr="007B6B33">
        <w:rPr>
          <w:rFonts w:ascii="Arial" w:hAnsi="Arial" w:cs="Arial"/>
        </w:rPr>
        <w:t>to understand the dynamic relationship between asset behaviour and Federal Reserve policy shifts.</w:t>
      </w:r>
    </w:p>
    <w:p w14:paraId="3F0896FA" w14:textId="77777777" w:rsidR="0054394F" w:rsidRDefault="0054394F" w:rsidP="0054394F">
      <w:pPr>
        <w:pStyle w:val="ListParagraph"/>
        <w:ind w:left="0"/>
        <w:rPr>
          <w:rFonts w:ascii="Arial" w:hAnsi="Arial" w:cs="Arial"/>
        </w:rPr>
      </w:pPr>
    </w:p>
    <w:p w14:paraId="4794CD29" w14:textId="77777777" w:rsidR="0054394F" w:rsidRDefault="0054394F" w:rsidP="0054394F">
      <w:pPr>
        <w:pStyle w:val="ListParagraph"/>
        <w:ind w:left="0"/>
        <w:rPr>
          <w:rFonts w:ascii="Arial" w:hAnsi="Arial" w:cs="Arial"/>
        </w:rPr>
      </w:pPr>
      <w:r w:rsidRPr="00465975">
        <w:rPr>
          <w:rFonts w:ascii="Arial" w:hAnsi="Arial" w:cs="Arial"/>
        </w:rPr>
        <w:t>The table below provides the research variables and data sources, identifying the specific symbols and units of measure utilized in the construction of the research model.</w:t>
      </w:r>
    </w:p>
    <w:p w14:paraId="328F7DA7" w14:textId="77777777" w:rsidR="0054394F" w:rsidRDefault="0054394F" w:rsidP="0054394F">
      <w:pPr>
        <w:pStyle w:val="ListParagraph"/>
        <w:ind w:left="0"/>
        <w:rPr>
          <w:rFonts w:ascii="Arial" w:hAnsi="Arial" w:cs="Arial"/>
        </w:rPr>
      </w:pPr>
    </w:p>
    <w:p w14:paraId="7CDE08D8" w14:textId="41B84AD0" w:rsidR="0054394F" w:rsidRPr="00BE28DA" w:rsidRDefault="0054394F" w:rsidP="0054394F">
      <w:pPr>
        <w:pStyle w:val="ListParagraph"/>
        <w:ind w:left="0"/>
        <w:rPr>
          <w:rFonts w:ascii="Arial" w:hAnsi="Arial" w:cs="Arial"/>
          <w:b/>
          <w:bCs/>
        </w:rPr>
      </w:pPr>
    </w:p>
    <w:tbl>
      <w:tblPr>
        <w:tblW w:w="9351" w:type="dxa"/>
        <w:tblLook w:val="04A0" w:firstRow="1" w:lastRow="0" w:firstColumn="1" w:lastColumn="0" w:noHBand="0" w:noVBand="1"/>
      </w:tblPr>
      <w:tblGrid>
        <w:gridCol w:w="1660"/>
        <w:gridCol w:w="2220"/>
        <w:gridCol w:w="2040"/>
        <w:gridCol w:w="1730"/>
        <w:gridCol w:w="1701"/>
      </w:tblGrid>
      <w:tr w:rsidR="0054394F" w:rsidRPr="004A4A98" w14:paraId="3A458300" w14:textId="77777777" w:rsidTr="00E52F88">
        <w:trPr>
          <w:trHeight w:val="312"/>
        </w:trPr>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06324A" w14:textId="77777777" w:rsidR="0054394F" w:rsidRPr="004A4A98" w:rsidRDefault="0054394F" w:rsidP="00E52F88">
            <w:pPr>
              <w:spacing w:after="0" w:line="240" w:lineRule="auto"/>
              <w:jc w:val="center"/>
              <w:rPr>
                <w:rFonts w:ascii="Arial" w:eastAsia="Times New Roman" w:hAnsi="Arial" w:cs="Arial"/>
                <w:b/>
                <w:bCs/>
                <w:color w:val="000000"/>
                <w:kern w:val="0"/>
                <w:lang w:val="en-IN" w:eastAsia="en-IN" w:bidi="gu-IN"/>
                <w14:ligatures w14:val="none"/>
              </w:rPr>
            </w:pPr>
            <w:r w:rsidRPr="004A4A98">
              <w:rPr>
                <w:rFonts w:ascii="Arial" w:eastAsia="Times New Roman" w:hAnsi="Arial" w:cs="Arial"/>
                <w:b/>
                <w:bCs/>
                <w:color w:val="000000"/>
                <w:kern w:val="0"/>
                <w:lang w:val="en-IN" w:eastAsia="en-IN" w:bidi="gu-IN"/>
                <w14:ligatures w14:val="none"/>
              </w:rPr>
              <w:lastRenderedPageBreak/>
              <w:t xml:space="preserve">Variable Type </w:t>
            </w:r>
          </w:p>
        </w:tc>
        <w:tc>
          <w:tcPr>
            <w:tcW w:w="2220" w:type="dxa"/>
            <w:tcBorders>
              <w:top w:val="single" w:sz="4" w:space="0" w:color="auto"/>
              <w:left w:val="nil"/>
              <w:bottom w:val="single" w:sz="4" w:space="0" w:color="auto"/>
              <w:right w:val="single" w:sz="4" w:space="0" w:color="auto"/>
            </w:tcBorders>
            <w:shd w:val="clear" w:color="000000" w:fill="FFFFFF"/>
            <w:noWrap/>
            <w:vAlign w:val="bottom"/>
            <w:hideMark/>
          </w:tcPr>
          <w:p w14:paraId="21C42969" w14:textId="77777777" w:rsidR="0054394F" w:rsidRPr="004A4A98" w:rsidRDefault="0054394F" w:rsidP="00E52F88">
            <w:pPr>
              <w:spacing w:after="0" w:line="240" w:lineRule="auto"/>
              <w:jc w:val="center"/>
              <w:rPr>
                <w:rFonts w:ascii="Arial" w:eastAsia="Times New Roman" w:hAnsi="Arial" w:cs="Arial"/>
                <w:b/>
                <w:bCs/>
                <w:color w:val="000000"/>
                <w:kern w:val="0"/>
                <w:lang w:val="en-IN" w:eastAsia="en-IN" w:bidi="gu-IN"/>
                <w14:ligatures w14:val="none"/>
              </w:rPr>
            </w:pPr>
            <w:r w:rsidRPr="004A4A98">
              <w:rPr>
                <w:rFonts w:ascii="Arial" w:eastAsia="Times New Roman" w:hAnsi="Arial" w:cs="Arial"/>
                <w:b/>
                <w:bCs/>
                <w:color w:val="000000"/>
                <w:kern w:val="0"/>
                <w:lang w:val="en-IN" w:eastAsia="en-IN" w:bidi="gu-IN"/>
                <w14:ligatures w14:val="none"/>
              </w:rPr>
              <w:t xml:space="preserve">Variable Name </w:t>
            </w:r>
          </w:p>
        </w:tc>
        <w:tc>
          <w:tcPr>
            <w:tcW w:w="2040" w:type="dxa"/>
            <w:tcBorders>
              <w:top w:val="single" w:sz="4" w:space="0" w:color="auto"/>
              <w:left w:val="nil"/>
              <w:bottom w:val="single" w:sz="4" w:space="0" w:color="auto"/>
              <w:right w:val="single" w:sz="4" w:space="0" w:color="auto"/>
            </w:tcBorders>
            <w:shd w:val="clear" w:color="000000" w:fill="FFFFFF"/>
            <w:noWrap/>
            <w:vAlign w:val="center"/>
            <w:hideMark/>
          </w:tcPr>
          <w:p w14:paraId="7D75639A" w14:textId="77777777" w:rsidR="0054394F" w:rsidRPr="004A4A98" w:rsidRDefault="0054394F" w:rsidP="00E52F88">
            <w:pPr>
              <w:spacing w:after="0" w:line="240" w:lineRule="auto"/>
              <w:jc w:val="center"/>
              <w:rPr>
                <w:rFonts w:ascii="Arial" w:eastAsia="Times New Roman" w:hAnsi="Arial" w:cs="Arial"/>
                <w:b/>
                <w:bCs/>
                <w:color w:val="000000"/>
                <w:kern w:val="0"/>
                <w:lang w:val="en-IN" w:eastAsia="en-IN" w:bidi="gu-IN"/>
                <w14:ligatures w14:val="none"/>
              </w:rPr>
            </w:pPr>
            <w:r w:rsidRPr="004A4A98">
              <w:rPr>
                <w:rFonts w:ascii="Arial" w:eastAsia="Times New Roman" w:hAnsi="Arial" w:cs="Arial"/>
                <w:b/>
                <w:bCs/>
                <w:color w:val="000000"/>
                <w:kern w:val="0"/>
                <w:lang w:val="en-IN" w:eastAsia="en-IN" w:bidi="gu-IN"/>
                <w14:ligatures w14:val="none"/>
              </w:rPr>
              <w:t>Variable Symbol</w:t>
            </w:r>
          </w:p>
        </w:tc>
        <w:tc>
          <w:tcPr>
            <w:tcW w:w="1730" w:type="dxa"/>
            <w:tcBorders>
              <w:top w:val="single" w:sz="4" w:space="0" w:color="auto"/>
              <w:left w:val="nil"/>
              <w:bottom w:val="single" w:sz="4" w:space="0" w:color="auto"/>
              <w:right w:val="single" w:sz="4" w:space="0" w:color="auto"/>
            </w:tcBorders>
            <w:shd w:val="clear" w:color="000000" w:fill="FFFFFF"/>
            <w:noWrap/>
            <w:vAlign w:val="bottom"/>
            <w:hideMark/>
          </w:tcPr>
          <w:p w14:paraId="1B7B0F92" w14:textId="77777777" w:rsidR="0054394F" w:rsidRPr="004A4A98" w:rsidRDefault="0054394F" w:rsidP="00E52F88">
            <w:pPr>
              <w:spacing w:after="0" w:line="240" w:lineRule="auto"/>
              <w:jc w:val="center"/>
              <w:rPr>
                <w:rFonts w:ascii="Arial" w:eastAsia="Times New Roman" w:hAnsi="Arial" w:cs="Arial"/>
                <w:b/>
                <w:bCs/>
                <w:color w:val="000000"/>
                <w:kern w:val="0"/>
                <w:lang w:val="en-IN" w:eastAsia="en-IN" w:bidi="gu-IN"/>
                <w14:ligatures w14:val="none"/>
              </w:rPr>
            </w:pPr>
            <w:r w:rsidRPr="004A4A98">
              <w:rPr>
                <w:rFonts w:ascii="Arial" w:eastAsia="Times New Roman" w:hAnsi="Arial" w:cs="Arial"/>
                <w:b/>
                <w:bCs/>
                <w:color w:val="000000"/>
                <w:kern w:val="0"/>
                <w:lang w:val="en-IN" w:eastAsia="en-IN" w:bidi="gu-IN"/>
                <w14:ligatures w14:val="none"/>
              </w:rPr>
              <w:t>Data Source</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5B111AFF" w14:textId="77777777" w:rsidR="0054394F" w:rsidRPr="004A4A98" w:rsidRDefault="0054394F" w:rsidP="00E52F88">
            <w:pPr>
              <w:spacing w:after="0" w:line="240" w:lineRule="auto"/>
              <w:jc w:val="center"/>
              <w:rPr>
                <w:rFonts w:ascii="Arial" w:eastAsia="Times New Roman" w:hAnsi="Arial" w:cs="Arial"/>
                <w:b/>
                <w:bCs/>
                <w:color w:val="000000"/>
                <w:kern w:val="0"/>
                <w:lang w:val="en-IN" w:eastAsia="en-IN" w:bidi="gu-IN"/>
                <w14:ligatures w14:val="none"/>
              </w:rPr>
            </w:pPr>
            <w:r w:rsidRPr="004A4A98">
              <w:rPr>
                <w:rFonts w:ascii="Arial" w:eastAsia="Times New Roman" w:hAnsi="Arial" w:cs="Arial"/>
                <w:b/>
                <w:bCs/>
                <w:color w:val="000000"/>
                <w:kern w:val="0"/>
                <w:lang w:val="en-IN" w:eastAsia="en-IN" w:bidi="gu-IN"/>
                <w14:ligatures w14:val="none"/>
              </w:rPr>
              <w:t xml:space="preserve">Unit of Measure </w:t>
            </w:r>
          </w:p>
        </w:tc>
      </w:tr>
      <w:tr w:rsidR="0054394F" w:rsidRPr="004A4A98" w14:paraId="3593273E" w14:textId="77777777" w:rsidTr="00E52F88">
        <w:trPr>
          <w:trHeight w:val="312"/>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17BF7317"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 xml:space="preserve">Dependent </w:t>
            </w:r>
          </w:p>
        </w:tc>
        <w:tc>
          <w:tcPr>
            <w:tcW w:w="2220" w:type="dxa"/>
            <w:tcBorders>
              <w:top w:val="nil"/>
              <w:left w:val="nil"/>
              <w:bottom w:val="single" w:sz="4" w:space="0" w:color="auto"/>
              <w:right w:val="single" w:sz="4" w:space="0" w:color="auto"/>
            </w:tcBorders>
            <w:shd w:val="clear" w:color="000000" w:fill="FFFFFF"/>
            <w:noWrap/>
            <w:vAlign w:val="bottom"/>
            <w:hideMark/>
          </w:tcPr>
          <w:p w14:paraId="26AEF5E6"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 xml:space="preserve">Gold </w:t>
            </w:r>
          </w:p>
        </w:tc>
        <w:tc>
          <w:tcPr>
            <w:tcW w:w="2040" w:type="dxa"/>
            <w:tcBorders>
              <w:top w:val="nil"/>
              <w:left w:val="nil"/>
              <w:bottom w:val="single" w:sz="4" w:space="0" w:color="auto"/>
              <w:right w:val="single" w:sz="4" w:space="0" w:color="auto"/>
            </w:tcBorders>
            <w:shd w:val="clear" w:color="000000" w:fill="FFFFFF"/>
            <w:noWrap/>
            <w:vAlign w:val="bottom"/>
            <w:hideMark/>
          </w:tcPr>
          <w:p w14:paraId="211C4968"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i/>
                <w:iCs/>
                <w:color w:val="000000"/>
                <w:kern w:val="0"/>
                <w:lang w:val="en-IN" w:eastAsia="en-IN" w:bidi="gu-IN"/>
                <w14:ligatures w14:val="none"/>
              </w:rPr>
              <w:t>R</w:t>
            </w:r>
            <w:r w:rsidRPr="004A4A98">
              <w:rPr>
                <w:rFonts w:ascii="Arial" w:eastAsia="Times New Roman" w:hAnsi="Arial" w:cs="Arial"/>
                <w:color w:val="000000"/>
                <w:kern w:val="0"/>
                <w:lang w:val="en-IN" w:eastAsia="en-IN" w:bidi="gu-IN"/>
                <w14:ligatures w14:val="none"/>
              </w:rPr>
              <w:t>gold (Y)</w:t>
            </w:r>
          </w:p>
        </w:tc>
        <w:tc>
          <w:tcPr>
            <w:tcW w:w="1730" w:type="dxa"/>
            <w:tcBorders>
              <w:top w:val="nil"/>
              <w:left w:val="nil"/>
              <w:bottom w:val="single" w:sz="4" w:space="0" w:color="auto"/>
              <w:right w:val="single" w:sz="4" w:space="0" w:color="auto"/>
            </w:tcBorders>
            <w:shd w:val="clear" w:color="000000" w:fill="FFFFFF"/>
            <w:noWrap/>
            <w:vAlign w:val="bottom"/>
            <w:hideMark/>
          </w:tcPr>
          <w:p w14:paraId="5538CDE2"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Yahoo Finance</w:t>
            </w:r>
          </w:p>
        </w:tc>
        <w:tc>
          <w:tcPr>
            <w:tcW w:w="1701" w:type="dxa"/>
            <w:tcBorders>
              <w:top w:val="nil"/>
              <w:left w:val="nil"/>
              <w:bottom w:val="single" w:sz="4" w:space="0" w:color="auto"/>
              <w:right w:val="single" w:sz="4" w:space="0" w:color="auto"/>
            </w:tcBorders>
            <w:shd w:val="clear" w:color="000000" w:fill="FFFFFF"/>
            <w:noWrap/>
            <w:vAlign w:val="bottom"/>
            <w:hideMark/>
          </w:tcPr>
          <w:p w14:paraId="7F3F2C4B"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%Change</w:t>
            </w:r>
          </w:p>
        </w:tc>
      </w:tr>
      <w:tr w:rsidR="0054394F" w:rsidRPr="004A4A98" w14:paraId="2DEDC5F3" w14:textId="77777777" w:rsidTr="00E52F88">
        <w:trPr>
          <w:trHeight w:val="312"/>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695541E0"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Independent</w:t>
            </w:r>
          </w:p>
        </w:tc>
        <w:tc>
          <w:tcPr>
            <w:tcW w:w="2220" w:type="dxa"/>
            <w:tcBorders>
              <w:top w:val="nil"/>
              <w:left w:val="nil"/>
              <w:bottom w:val="single" w:sz="4" w:space="0" w:color="auto"/>
              <w:right w:val="single" w:sz="4" w:space="0" w:color="auto"/>
            </w:tcBorders>
            <w:shd w:val="clear" w:color="000000" w:fill="FFFFFF"/>
            <w:noWrap/>
            <w:vAlign w:val="bottom"/>
            <w:hideMark/>
          </w:tcPr>
          <w:p w14:paraId="06CD0BBD"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S&amp;P 500</w:t>
            </w:r>
          </w:p>
        </w:tc>
        <w:tc>
          <w:tcPr>
            <w:tcW w:w="2040" w:type="dxa"/>
            <w:tcBorders>
              <w:top w:val="nil"/>
              <w:left w:val="nil"/>
              <w:bottom w:val="single" w:sz="4" w:space="0" w:color="auto"/>
              <w:right w:val="single" w:sz="4" w:space="0" w:color="auto"/>
            </w:tcBorders>
            <w:shd w:val="clear" w:color="000000" w:fill="FFFFFF"/>
            <w:noWrap/>
            <w:vAlign w:val="bottom"/>
            <w:hideMark/>
          </w:tcPr>
          <w:p w14:paraId="03481194"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proofErr w:type="spellStart"/>
            <w:r w:rsidRPr="004A4A98">
              <w:rPr>
                <w:rFonts w:ascii="Arial" w:eastAsia="Times New Roman" w:hAnsi="Arial" w:cs="Arial"/>
                <w:i/>
                <w:iCs/>
                <w:color w:val="000000"/>
                <w:kern w:val="0"/>
                <w:lang w:val="en-IN" w:eastAsia="en-IN" w:bidi="gu-IN"/>
                <w14:ligatures w14:val="none"/>
              </w:rPr>
              <w:t>R</w:t>
            </w:r>
            <w:r w:rsidRPr="004A4A98">
              <w:rPr>
                <w:rFonts w:ascii="Arial" w:eastAsia="Times New Roman" w:hAnsi="Arial" w:cs="Arial"/>
                <w:color w:val="000000"/>
                <w:kern w:val="0"/>
                <w:lang w:val="en-IN" w:eastAsia="en-IN" w:bidi="gu-IN"/>
                <w14:ligatures w14:val="none"/>
              </w:rPr>
              <w:t>s&amp;p</w:t>
            </w:r>
            <w:proofErr w:type="spellEnd"/>
            <w:r w:rsidRPr="004A4A98">
              <w:rPr>
                <w:rFonts w:ascii="Arial" w:eastAsia="Times New Roman" w:hAnsi="Arial" w:cs="Arial"/>
                <w:color w:val="000000"/>
                <w:kern w:val="0"/>
                <w:lang w:val="en-IN" w:eastAsia="en-IN" w:bidi="gu-IN"/>
                <w14:ligatures w14:val="none"/>
              </w:rPr>
              <w:t xml:space="preserve"> 500 (X1)</w:t>
            </w:r>
          </w:p>
        </w:tc>
        <w:tc>
          <w:tcPr>
            <w:tcW w:w="1730" w:type="dxa"/>
            <w:tcBorders>
              <w:top w:val="nil"/>
              <w:left w:val="nil"/>
              <w:bottom w:val="single" w:sz="4" w:space="0" w:color="auto"/>
              <w:right w:val="single" w:sz="4" w:space="0" w:color="auto"/>
            </w:tcBorders>
            <w:shd w:val="clear" w:color="000000" w:fill="FFFFFF"/>
            <w:noWrap/>
            <w:vAlign w:val="bottom"/>
            <w:hideMark/>
          </w:tcPr>
          <w:p w14:paraId="7ED70BEA"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Yahoo Finance</w:t>
            </w:r>
          </w:p>
        </w:tc>
        <w:tc>
          <w:tcPr>
            <w:tcW w:w="1701" w:type="dxa"/>
            <w:tcBorders>
              <w:top w:val="nil"/>
              <w:left w:val="nil"/>
              <w:bottom w:val="single" w:sz="4" w:space="0" w:color="auto"/>
              <w:right w:val="single" w:sz="4" w:space="0" w:color="auto"/>
            </w:tcBorders>
            <w:shd w:val="clear" w:color="000000" w:fill="FFFFFF"/>
            <w:noWrap/>
            <w:vAlign w:val="bottom"/>
            <w:hideMark/>
          </w:tcPr>
          <w:p w14:paraId="1AF11636"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%Change</w:t>
            </w:r>
          </w:p>
        </w:tc>
      </w:tr>
      <w:tr w:rsidR="0054394F" w:rsidRPr="004A4A98" w14:paraId="437FA51A" w14:textId="77777777" w:rsidTr="00E52F88">
        <w:trPr>
          <w:trHeight w:val="312"/>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15CFB4D3"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Independent</w:t>
            </w:r>
          </w:p>
        </w:tc>
        <w:tc>
          <w:tcPr>
            <w:tcW w:w="2220" w:type="dxa"/>
            <w:tcBorders>
              <w:top w:val="nil"/>
              <w:left w:val="nil"/>
              <w:bottom w:val="single" w:sz="4" w:space="0" w:color="auto"/>
              <w:right w:val="single" w:sz="4" w:space="0" w:color="auto"/>
            </w:tcBorders>
            <w:shd w:val="clear" w:color="000000" w:fill="FFFFFF"/>
            <w:noWrap/>
            <w:vAlign w:val="bottom"/>
            <w:hideMark/>
          </w:tcPr>
          <w:p w14:paraId="5C58C94F"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Nasdaq</w:t>
            </w:r>
          </w:p>
        </w:tc>
        <w:tc>
          <w:tcPr>
            <w:tcW w:w="2040" w:type="dxa"/>
            <w:tcBorders>
              <w:top w:val="nil"/>
              <w:left w:val="nil"/>
              <w:bottom w:val="single" w:sz="4" w:space="0" w:color="auto"/>
              <w:right w:val="single" w:sz="4" w:space="0" w:color="auto"/>
            </w:tcBorders>
            <w:shd w:val="clear" w:color="000000" w:fill="FFFFFF"/>
            <w:noWrap/>
            <w:vAlign w:val="bottom"/>
            <w:hideMark/>
          </w:tcPr>
          <w:p w14:paraId="552FC08D"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proofErr w:type="spellStart"/>
            <w:r w:rsidRPr="004A4A98">
              <w:rPr>
                <w:rFonts w:ascii="Arial" w:eastAsia="Times New Roman" w:hAnsi="Arial" w:cs="Arial"/>
                <w:i/>
                <w:iCs/>
                <w:color w:val="000000"/>
                <w:kern w:val="0"/>
                <w:lang w:val="en-IN" w:eastAsia="en-IN" w:bidi="gu-IN"/>
                <w14:ligatures w14:val="none"/>
              </w:rPr>
              <w:t>R</w:t>
            </w:r>
            <w:r w:rsidRPr="004A4A98">
              <w:rPr>
                <w:rFonts w:ascii="Arial" w:eastAsia="Times New Roman" w:hAnsi="Arial" w:cs="Arial"/>
                <w:color w:val="000000"/>
                <w:kern w:val="0"/>
                <w:lang w:val="en-IN" w:eastAsia="en-IN" w:bidi="gu-IN"/>
                <w14:ligatures w14:val="none"/>
              </w:rPr>
              <w:t>nasdaq</w:t>
            </w:r>
            <w:proofErr w:type="spellEnd"/>
            <w:r w:rsidRPr="004A4A98">
              <w:rPr>
                <w:rFonts w:ascii="Arial" w:eastAsia="Times New Roman" w:hAnsi="Arial" w:cs="Arial"/>
                <w:color w:val="000000"/>
                <w:kern w:val="0"/>
                <w:lang w:val="en-IN" w:eastAsia="en-IN" w:bidi="gu-IN"/>
                <w14:ligatures w14:val="none"/>
              </w:rPr>
              <w:t xml:space="preserve"> (X2)</w:t>
            </w:r>
          </w:p>
        </w:tc>
        <w:tc>
          <w:tcPr>
            <w:tcW w:w="1730" w:type="dxa"/>
            <w:tcBorders>
              <w:top w:val="nil"/>
              <w:left w:val="nil"/>
              <w:bottom w:val="single" w:sz="4" w:space="0" w:color="auto"/>
              <w:right w:val="single" w:sz="4" w:space="0" w:color="auto"/>
            </w:tcBorders>
            <w:shd w:val="clear" w:color="000000" w:fill="FFFFFF"/>
            <w:noWrap/>
            <w:vAlign w:val="bottom"/>
            <w:hideMark/>
          </w:tcPr>
          <w:p w14:paraId="23FACDCC"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Yahoo Finance</w:t>
            </w:r>
          </w:p>
        </w:tc>
        <w:tc>
          <w:tcPr>
            <w:tcW w:w="1701" w:type="dxa"/>
            <w:tcBorders>
              <w:top w:val="nil"/>
              <w:left w:val="nil"/>
              <w:bottom w:val="single" w:sz="4" w:space="0" w:color="auto"/>
              <w:right w:val="single" w:sz="4" w:space="0" w:color="auto"/>
            </w:tcBorders>
            <w:shd w:val="clear" w:color="000000" w:fill="FFFFFF"/>
            <w:noWrap/>
            <w:vAlign w:val="bottom"/>
            <w:hideMark/>
          </w:tcPr>
          <w:p w14:paraId="67B5C627"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%Change</w:t>
            </w:r>
          </w:p>
        </w:tc>
      </w:tr>
      <w:tr w:rsidR="0054394F" w:rsidRPr="004A4A98" w14:paraId="5FD852F1" w14:textId="77777777" w:rsidTr="00E52F88">
        <w:trPr>
          <w:trHeight w:val="312"/>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12EDB59B"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Independent</w:t>
            </w:r>
          </w:p>
        </w:tc>
        <w:tc>
          <w:tcPr>
            <w:tcW w:w="2220" w:type="dxa"/>
            <w:tcBorders>
              <w:top w:val="nil"/>
              <w:left w:val="nil"/>
              <w:bottom w:val="single" w:sz="4" w:space="0" w:color="auto"/>
              <w:right w:val="single" w:sz="4" w:space="0" w:color="auto"/>
            </w:tcBorders>
            <w:shd w:val="clear" w:color="000000" w:fill="FFFFFF"/>
            <w:noWrap/>
            <w:vAlign w:val="bottom"/>
            <w:hideMark/>
          </w:tcPr>
          <w:p w14:paraId="445CC902"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Federal Funds Rate</w:t>
            </w:r>
          </w:p>
        </w:tc>
        <w:tc>
          <w:tcPr>
            <w:tcW w:w="2040" w:type="dxa"/>
            <w:tcBorders>
              <w:top w:val="nil"/>
              <w:left w:val="nil"/>
              <w:bottom w:val="single" w:sz="4" w:space="0" w:color="auto"/>
              <w:right w:val="single" w:sz="4" w:space="0" w:color="auto"/>
            </w:tcBorders>
            <w:shd w:val="clear" w:color="000000" w:fill="FFFFFF"/>
            <w:noWrap/>
            <w:vAlign w:val="bottom"/>
            <w:hideMark/>
          </w:tcPr>
          <w:p w14:paraId="3698396E"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Rate Change (X3)</w:t>
            </w:r>
          </w:p>
        </w:tc>
        <w:tc>
          <w:tcPr>
            <w:tcW w:w="1730" w:type="dxa"/>
            <w:tcBorders>
              <w:top w:val="nil"/>
              <w:left w:val="nil"/>
              <w:bottom w:val="single" w:sz="4" w:space="0" w:color="auto"/>
              <w:right w:val="single" w:sz="4" w:space="0" w:color="auto"/>
            </w:tcBorders>
            <w:shd w:val="clear" w:color="000000" w:fill="FFFFFF"/>
            <w:noWrap/>
            <w:vAlign w:val="bottom"/>
            <w:hideMark/>
          </w:tcPr>
          <w:p w14:paraId="08DFF36D"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FRED</w:t>
            </w:r>
          </w:p>
        </w:tc>
        <w:tc>
          <w:tcPr>
            <w:tcW w:w="1701" w:type="dxa"/>
            <w:tcBorders>
              <w:top w:val="nil"/>
              <w:left w:val="nil"/>
              <w:bottom w:val="single" w:sz="4" w:space="0" w:color="auto"/>
              <w:right w:val="single" w:sz="4" w:space="0" w:color="auto"/>
            </w:tcBorders>
            <w:shd w:val="clear" w:color="000000" w:fill="FFFFFF"/>
            <w:noWrap/>
            <w:vAlign w:val="bottom"/>
            <w:hideMark/>
          </w:tcPr>
          <w:p w14:paraId="128A547F" w14:textId="77777777" w:rsidR="0054394F" w:rsidRPr="004A4A98" w:rsidRDefault="0054394F" w:rsidP="00E52F88">
            <w:pPr>
              <w:spacing w:after="0" w:line="240" w:lineRule="auto"/>
              <w:jc w:val="center"/>
              <w:rPr>
                <w:rFonts w:ascii="Arial" w:eastAsia="Times New Roman" w:hAnsi="Arial" w:cs="Arial"/>
                <w:color w:val="000000"/>
                <w:kern w:val="0"/>
                <w:lang w:val="en-IN" w:eastAsia="en-IN" w:bidi="gu-IN"/>
                <w14:ligatures w14:val="none"/>
              </w:rPr>
            </w:pPr>
            <w:r w:rsidRPr="004A4A98">
              <w:rPr>
                <w:rFonts w:ascii="Arial" w:eastAsia="Times New Roman" w:hAnsi="Arial" w:cs="Arial"/>
                <w:color w:val="000000"/>
                <w:kern w:val="0"/>
                <w:lang w:val="en-IN" w:eastAsia="en-IN" w:bidi="gu-IN"/>
                <w14:ligatures w14:val="none"/>
              </w:rPr>
              <w:t>Basis Point Change</w:t>
            </w:r>
          </w:p>
        </w:tc>
      </w:tr>
    </w:tbl>
    <w:p w14:paraId="08F2DA58" w14:textId="77777777" w:rsidR="0054394F" w:rsidRDefault="0054394F" w:rsidP="0054394F">
      <w:pPr>
        <w:pStyle w:val="ListParagraph"/>
        <w:ind w:left="0"/>
        <w:rPr>
          <w:rFonts w:ascii="Arial" w:hAnsi="Arial" w:cs="Arial"/>
          <w:b/>
          <w:bCs/>
          <w:lang w:val="en-IN"/>
        </w:rPr>
      </w:pPr>
    </w:p>
    <w:p w14:paraId="45A2A4DE" w14:textId="77777777" w:rsidR="0054394F" w:rsidRPr="00BE28DA" w:rsidRDefault="0054394F" w:rsidP="0054394F">
      <w:pPr>
        <w:pStyle w:val="ListParagraph"/>
        <w:ind w:left="0"/>
        <w:jc w:val="center"/>
        <w:rPr>
          <w:rFonts w:ascii="Arial" w:hAnsi="Arial" w:cs="Arial"/>
          <w:b/>
          <w:bCs/>
        </w:rPr>
      </w:pPr>
      <w:r w:rsidRPr="00BE28DA">
        <w:rPr>
          <w:rFonts w:ascii="Arial" w:hAnsi="Arial" w:cs="Arial"/>
          <w:b/>
          <w:bCs/>
        </w:rPr>
        <w:t xml:space="preserve">Table 1: Research </w:t>
      </w:r>
      <w:r>
        <w:rPr>
          <w:rFonts w:ascii="Arial" w:hAnsi="Arial" w:cs="Arial"/>
          <w:b/>
          <w:bCs/>
        </w:rPr>
        <w:t>V</w:t>
      </w:r>
      <w:r w:rsidRPr="00BE28DA">
        <w:rPr>
          <w:rFonts w:ascii="Arial" w:hAnsi="Arial" w:cs="Arial"/>
          <w:b/>
          <w:bCs/>
        </w:rPr>
        <w:t>ariables and Data Source</w:t>
      </w:r>
    </w:p>
    <w:p w14:paraId="67AF1FEF" w14:textId="561ADE69" w:rsidR="0054394F" w:rsidRPr="00BE28DA" w:rsidRDefault="0054394F" w:rsidP="0054394F">
      <w:pPr>
        <w:pStyle w:val="ListParagraph"/>
        <w:ind w:left="0"/>
        <w:jc w:val="center"/>
        <w:rPr>
          <w:rFonts w:ascii="Arial" w:hAnsi="Arial" w:cs="Arial"/>
          <w:b/>
          <w:bCs/>
          <w:lang w:val="en-IN"/>
        </w:rPr>
      </w:pPr>
      <w:r w:rsidRPr="00BE28DA">
        <w:rPr>
          <w:rFonts w:ascii="Arial" w:hAnsi="Arial" w:cs="Arial"/>
          <w:b/>
          <w:bCs/>
          <w:lang w:val="en-IN"/>
        </w:rPr>
        <w:t xml:space="preserve">(Source: </w:t>
      </w:r>
      <w:r w:rsidRPr="00BE28DA">
        <w:rPr>
          <w:rFonts w:ascii="Arial" w:hAnsi="Arial" w:cs="Arial"/>
          <w:lang w:val="en-IN"/>
        </w:rPr>
        <w:t>Author</w:t>
      </w:r>
      <w:r w:rsidRPr="00BE28DA">
        <w:rPr>
          <w:rFonts w:ascii="Arial" w:hAnsi="Arial" w:cs="Arial"/>
          <w:b/>
          <w:bCs/>
          <w:lang w:val="en-IN"/>
        </w:rPr>
        <w:t>)</w:t>
      </w:r>
    </w:p>
    <w:p w14:paraId="34D76FF2" w14:textId="77777777" w:rsidR="00805CE8" w:rsidRDefault="00805CE8" w:rsidP="0054394F">
      <w:pPr>
        <w:rPr>
          <w:rFonts w:ascii="Arial" w:hAnsi="Arial" w:cs="Arial"/>
        </w:rPr>
      </w:pPr>
    </w:p>
    <w:p w14:paraId="09B17614" w14:textId="7DAB6F3D" w:rsidR="0054394F" w:rsidRDefault="0054394F" w:rsidP="0054394F">
      <w:pPr>
        <w:rPr>
          <w:rFonts w:ascii="Arial" w:hAnsi="Arial" w:cs="Arial"/>
        </w:rPr>
      </w:pPr>
      <w:r w:rsidRPr="00D408A2">
        <w:rPr>
          <w:rFonts w:ascii="Arial" w:hAnsi="Arial" w:cs="Arial"/>
          <w:b/>
          <w:bCs/>
        </w:rPr>
        <w:t>3.5.2 Data Type and Frequency</w:t>
      </w:r>
    </w:p>
    <w:p w14:paraId="780B9336" w14:textId="77777777" w:rsidR="0054394F" w:rsidRDefault="0054394F" w:rsidP="0054394F">
      <w:pPr>
        <w:rPr>
          <w:rFonts w:ascii="Arial" w:hAnsi="Arial" w:cs="Arial"/>
        </w:rPr>
      </w:pPr>
      <w:r w:rsidRPr="00B41738">
        <w:rPr>
          <w:rFonts w:ascii="Arial" w:hAnsi="Arial" w:cs="Arial"/>
        </w:rPr>
        <w:t xml:space="preserve">This research examines </w:t>
      </w:r>
      <w:r>
        <w:rPr>
          <w:rFonts w:ascii="Arial" w:hAnsi="Arial" w:cs="Arial"/>
        </w:rPr>
        <w:t>raw monthly data points from</w:t>
      </w:r>
      <w:r w:rsidRPr="00B41738">
        <w:rPr>
          <w:rFonts w:ascii="Arial" w:hAnsi="Arial" w:cs="Arial"/>
        </w:rPr>
        <w:t xml:space="preserve"> January 2005 to October 2025</w:t>
      </w:r>
      <w:r>
        <w:rPr>
          <w:rFonts w:ascii="Arial" w:hAnsi="Arial" w:cs="Arial"/>
        </w:rPr>
        <w:t xml:space="preserve">, which total 250 months of data. </w:t>
      </w:r>
      <w:r w:rsidRPr="000F2E33">
        <w:rPr>
          <w:rFonts w:ascii="Arial" w:hAnsi="Arial" w:cs="Arial"/>
        </w:rPr>
        <w:t xml:space="preserve">However, this research aims to calculate growth rates on a per month basis, the first month is used as a baseline for the calculation of further growth rates. </w:t>
      </w:r>
      <w:r w:rsidRPr="00B41738">
        <w:rPr>
          <w:rFonts w:ascii="Arial" w:hAnsi="Arial" w:cs="Arial"/>
        </w:rPr>
        <w:t>The 2</w:t>
      </w:r>
      <w:r>
        <w:rPr>
          <w:rFonts w:ascii="Arial" w:hAnsi="Arial" w:cs="Arial"/>
        </w:rPr>
        <w:t>49 calculated</w:t>
      </w:r>
      <w:r w:rsidRPr="00B41738">
        <w:rPr>
          <w:rFonts w:ascii="Arial" w:hAnsi="Arial" w:cs="Arial"/>
        </w:rPr>
        <w:t xml:space="preserve"> monthly observations ensure the research reflects diverse economic climates, including the 2008 financial crisis and the COVID-19 </w:t>
      </w:r>
      <w:r>
        <w:rPr>
          <w:rFonts w:ascii="Arial" w:hAnsi="Arial" w:cs="Arial"/>
        </w:rPr>
        <w:t>p</w:t>
      </w:r>
      <w:r w:rsidRPr="00B41738">
        <w:rPr>
          <w:rFonts w:ascii="Arial" w:hAnsi="Arial" w:cs="Arial"/>
        </w:rPr>
        <w:t>andemic.</w:t>
      </w:r>
      <w:r w:rsidRPr="009F0665">
        <w:rPr>
          <w:rFonts w:ascii="Arial" w:hAnsi="Arial" w:cs="Arial"/>
          <w:color w:val="1F1F1F"/>
          <w:shd w:val="clear" w:color="auto" w:fill="FFFFFF"/>
        </w:rPr>
        <w:t xml:space="preserve"> </w:t>
      </w:r>
      <w:r w:rsidRPr="009F0665">
        <w:rPr>
          <w:rFonts w:ascii="Arial" w:hAnsi="Arial" w:cs="Arial"/>
        </w:rPr>
        <w:t>This data includes the historical closing prices of gold, equity indices (S&amp;P 500 and Nasdaq) and interest rate levels</w:t>
      </w:r>
      <w:r>
        <w:rPr>
          <w:rFonts w:ascii="Arial" w:hAnsi="Arial" w:cs="Arial"/>
        </w:rPr>
        <w:t xml:space="preserve">, </w:t>
      </w:r>
      <w:r w:rsidRPr="00837490">
        <w:rPr>
          <w:rFonts w:ascii="Arial" w:hAnsi="Arial" w:cs="Arial"/>
        </w:rPr>
        <w:t>the complete data set is provided in the master spreadsheet</w:t>
      </w:r>
      <w:r>
        <w:rPr>
          <w:rFonts w:ascii="Arial" w:hAnsi="Arial" w:cs="Arial"/>
        </w:rPr>
        <w:t xml:space="preserve"> (Appendix B)</w:t>
      </w:r>
      <w:r w:rsidRPr="009F0665">
        <w:rPr>
          <w:rFonts w:ascii="Arial" w:hAnsi="Arial" w:cs="Arial"/>
        </w:rPr>
        <w:t>.</w:t>
      </w:r>
      <w:r w:rsidRPr="005B543B">
        <w:rPr>
          <w:rFonts w:ascii="Arial" w:hAnsi="Arial" w:cs="Arial"/>
          <w:color w:val="1F1F1F"/>
          <w:shd w:val="clear" w:color="auto" w:fill="FFFFFF"/>
        </w:rPr>
        <w:t xml:space="preserve"> </w:t>
      </w:r>
      <w:r w:rsidRPr="005B543B">
        <w:rPr>
          <w:rFonts w:ascii="Arial" w:hAnsi="Arial" w:cs="Arial"/>
        </w:rPr>
        <w:t>Using monthly frequency allows for a better identification of the relationship between Fed rate changes and their effects on the gold and equity markets. This timeframe is sufficient for tracking policy shifts more effectively than daily market movements.</w:t>
      </w:r>
    </w:p>
    <w:p w14:paraId="6F1B766D" w14:textId="77777777" w:rsidR="0054394F" w:rsidRPr="00643D6D" w:rsidRDefault="0054394F" w:rsidP="0054394F">
      <w:pPr>
        <w:rPr>
          <w:rFonts w:ascii="Arial" w:hAnsi="Arial" w:cs="Arial"/>
          <w:b/>
          <w:bCs/>
        </w:rPr>
      </w:pPr>
    </w:p>
    <w:p w14:paraId="0B9B1E86" w14:textId="77777777" w:rsidR="0054394F" w:rsidRDefault="0054394F" w:rsidP="0054394F">
      <w:pPr>
        <w:rPr>
          <w:rFonts w:ascii="Arial" w:hAnsi="Arial" w:cs="Arial"/>
          <w:b/>
          <w:bCs/>
        </w:rPr>
      </w:pPr>
      <w:r w:rsidRPr="00643D6D">
        <w:rPr>
          <w:rFonts w:ascii="Arial" w:hAnsi="Arial" w:cs="Arial"/>
          <w:b/>
          <w:bCs/>
        </w:rPr>
        <w:t xml:space="preserve">3.5.3 Data Preparation </w:t>
      </w:r>
    </w:p>
    <w:p w14:paraId="58EEB5F2" w14:textId="77777777" w:rsidR="0054394F" w:rsidRDefault="0054394F" w:rsidP="0054394F">
      <w:pPr>
        <w:rPr>
          <w:rFonts w:ascii="Arial" w:hAnsi="Arial" w:cs="Arial"/>
        </w:rPr>
      </w:pPr>
      <w:r w:rsidRPr="00720708">
        <w:rPr>
          <w:rFonts w:ascii="Arial" w:hAnsi="Arial" w:cs="Arial"/>
        </w:rPr>
        <w:t>Before conducting the analysis, the dataset was cleaned and refined in Excel 365 to satisfy the requirements for statistical analysis.</w:t>
      </w:r>
      <w:r>
        <w:rPr>
          <w:rFonts w:ascii="Arial" w:hAnsi="Arial" w:cs="Arial"/>
        </w:rPr>
        <w:t xml:space="preserve"> </w:t>
      </w:r>
      <w:r w:rsidRPr="00784EAB">
        <w:rPr>
          <w:rFonts w:ascii="Arial" w:hAnsi="Arial" w:cs="Arial"/>
        </w:rPr>
        <w:t>Raw monthly prices were recalculated as percentage growth rates using this formula</w:t>
      </w:r>
      <w:r>
        <w:rPr>
          <w:rFonts w:ascii="Arial" w:hAnsi="Arial" w:cs="Arial"/>
        </w:rPr>
        <w:t>:</w:t>
      </w:r>
    </w:p>
    <w:p w14:paraId="58C6F8C1" w14:textId="77777777" w:rsidR="0054394F" w:rsidRDefault="0054394F" w:rsidP="0054394F">
      <w:pPr>
        <w:jc w:val="center"/>
        <w:rPr>
          <w:rFonts w:ascii="Arial" w:eastAsiaTheme="minorEastAsia" w:hAnsi="Arial" w:cs="Arial"/>
        </w:rPr>
      </w:pPr>
      <w:r w:rsidRPr="009B72F1">
        <w:rPr>
          <w:rFonts w:ascii="Arial" w:eastAsiaTheme="minorEastAsia" w:hAnsi="Arial" w:cs="Arial"/>
          <w:i/>
          <w:iCs/>
        </w:rPr>
        <w:t>R</w:t>
      </w:r>
      <w:r>
        <w:rPr>
          <w:rFonts w:ascii="Arial" w:eastAsiaTheme="minorEastAsia" w:hAnsi="Arial" w:cs="Arial"/>
        </w:rPr>
        <w:t xml:space="preserve">eturn (%) = </w:t>
      </w:r>
      <w:r w:rsidRPr="009B72F1">
        <w:rPr>
          <w:rFonts w:ascii="Arial" w:eastAsiaTheme="minorEastAsia" w:hAnsi="Arial" w:cs="Arial"/>
        </w:rPr>
        <w:t>[(Current Price - Previous Price) / Previous Price] * 100</w:t>
      </w:r>
    </w:p>
    <w:p w14:paraId="6441D6E8" w14:textId="77777777" w:rsidR="0054394F" w:rsidRDefault="0054394F" w:rsidP="0054394F">
      <w:pPr>
        <w:rPr>
          <w:rFonts w:ascii="Arial" w:eastAsiaTheme="minorEastAsia" w:hAnsi="Arial" w:cs="Arial"/>
        </w:rPr>
      </w:pPr>
      <w:r w:rsidRPr="005D1B6B">
        <w:rPr>
          <w:rFonts w:ascii="Arial" w:eastAsiaTheme="minorEastAsia" w:hAnsi="Arial" w:cs="Arial"/>
        </w:rPr>
        <w:t>In parallel, changes in monetary policy involved calculating the basis point shift relative to current interest rates</w:t>
      </w:r>
      <w:r>
        <w:rPr>
          <w:rFonts w:ascii="Arial" w:eastAsiaTheme="minorEastAsia" w:hAnsi="Arial" w:cs="Arial"/>
        </w:rPr>
        <w:t>:</w:t>
      </w:r>
    </w:p>
    <w:p w14:paraId="4CDE7778" w14:textId="77777777" w:rsidR="0054394F" w:rsidRDefault="0054394F" w:rsidP="0054394F">
      <w:pPr>
        <w:jc w:val="center"/>
        <w:rPr>
          <w:rFonts w:ascii="Arial" w:eastAsiaTheme="minorEastAsia" w:hAnsi="Arial" w:cs="Arial"/>
        </w:rPr>
      </w:pPr>
      <w:r>
        <w:rPr>
          <w:rFonts w:ascii="Arial" w:eastAsiaTheme="minorEastAsia" w:hAnsi="Arial" w:cs="Arial"/>
        </w:rPr>
        <w:lastRenderedPageBreak/>
        <w:t>∆</w:t>
      </w:r>
      <w:r w:rsidRPr="009B72F1">
        <w:rPr>
          <w:rFonts w:ascii="Arial" w:eastAsiaTheme="minorEastAsia" w:hAnsi="Arial" w:cs="Arial"/>
          <w:i/>
          <w:iCs/>
        </w:rPr>
        <w:t>R</w:t>
      </w:r>
      <w:r>
        <w:rPr>
          <w:rFonts w:ascii="Arial" w:eastAsiaTheme="minorEastAsia" w:hAnsi="Arial" w:cs="Arial"/>
        </w:rPr>
        <w:t>ate = Current Interest Rate – Previous Interest Rate</w:t>
      </w:r>
    </w:p>
    <w:p w14:paraId="0D9A13BC" w14:textId="77777777" w:rsidR="0054394F" w:rsidRDefault="0054394F" w:rsidP="0054394F">
      <w:pPr>
        <w:rPr>
          <w:rFonts w:ascii="Arial" w:eastAsiaTheme="minorEastAsia" w:hAnsi="Arial" w:cs="Arial"/>
        </w:rPr>
      </w:pPr>
      <w:r w:rsidRPr="00444989">
        <w:rPr>
          <w:rFonts w:ascii="Arial" w:eastAsiaTheme="minorEastAsia" w:hAnsi="Arial" w:cs="Arial"/>
        </w:rPr>
        <w:t>This preparation process ensures the final results much more reliable.</w:t>
      </w:r>
    </w:p>
    <w:p w14:paraId="6AF3BE4E" w14:textId="77777777" w:rsidR="0054394F" w:rsidRDefault="0054394F" w:rsidP="0054394F">
      <w:pPr>
        <w:rPr>
          <w:rFonts w:ascii="Arial" w:eastAsiaTheme="minorEastAsia" w:hAnsi="Arial" w:cs="Arial"/>
        </w:rPr>
      </w:pPr>
    </w:p>
    <w:p w14:paraId="23D89A38" w14:textId="77777777" w:rsidR="0054394F" w:rsidRDefault="0054394F" w:rsidP="0054394F">
      <w:pPr>
        <w:rPr>
          <w:rFonts w:ascii="Arial" w:eastAsiaTheme="minorEastAsia" w:hAnsi="Arial" w:cs="Arial"/>
          <w:b/>
          <w:bCs/>
        </w:rPr>
      </w:pPr>
      <w:r w:rsidRPr="00BE7FDE">
        <w:rPr>
          <w:rFonts w:ascii="Arial" w:eastAsiaTheme="minorEastAsia" w:hAnsi="Arial" w:cs="Arial"/>
          <w:b/>
          <w:bCs/>
        </w:rPr>
        <w:t>3.5.4 Interest Rate Cycle Classification</w:t>
      </w:r>
    </w:p>
    <w:p w14:paraId="47A10EC4" w14:textId="77777777" w:rsidR="0054394F" w:rsidRDefault="0054394F" w:rsidP="0054394F">
      <w:pPr>
        <w:rPr>
          <w:rFonts w:ascii="Arial" w:eastAsiaTheme="minorEastAsia" w:hAnsi="Arial" w:cs="Arial"/>
        </w:rPr>
      </w:pPr>
      <w:r w:rsidRPr="00382831">
        <w:rPr>
          <w:rFonts w:ascii="Arial" w:eastAsiaTheme="minorEastAsia" w:hAnsi="Arial" w:cs="Arial"/>
        </w:rPr>
        <w:t>This study examines asset performance across different economic climates by analysing Federal Reserve policy. The research is divided into two periods: rising rate cycles and falling rate cycles.</w:t>
      </w:r>
      <w:r>
        <w:rPr>
          <w:rFonts w:ascii="Arial" w:eastAsiaTheme="minorEastAsia" w:hAnsi="Arial" w:cs="Arial"/>
        </w:rPr>
        <w:t xml:space="preserve"> </w:t>
      </w:r>
      <w:r w:rsidRPr="00EF2917">
        <w:rPr>
          <w:rFonts w:ascii="Arial" w:eastAsiaTheme="minorEastAsia" w:hAnsi="Arial" w:cs="Arial"/>
        </w:rPr>
        <w:t>A rising rate cycle is defined by a positive monthly change in the Federal Funds Rate, while a falling rate cycle is defined by a negative monthly change.</w:t>
      </w:r>
    </w:p>
    <w:p w14:paraId="08C0466E" w14:textId="77777777" w:rsidR="0054394F" w:rsidRPr="00382831" w:rsidRDefault="0054394F" w:rsidP="0054394F">
      <w:pPr>
        <w:rPr>
          <w:rFonts w:ascii="Arial" w:eastAsiaTheme="minorEastAsia" w:hAnsi="Arial" w:cs="Arial"/>
        </w:rPr>
      </w:pPr>
      <w:r w:rsidRPr="00FC552F">
        <w:rPr>
          <w:rFonts w:ascii="Arial" w:eastAsiaTheme="minorEastAsia" w:hAnsi="Arial" w:cs="Arial"/>
        </w:rPr>
        <w:t>This method uses changes in interest rate data to identify when the U.S. is shifting rates</w:t>
      </w:r>
      <w:r>
        <w:rPr>
          <w:rFonts w:ascii="Arial" w:eastAsiaTheme="minorEastAsia" w:hAnsi="Arial" w:cs="Arial"/>
        </w:rPr>
        <w:t xml:space="preserve"> </w:t>
      </w:r>
      <w:r w:rsidRPr="00FC552F">
        <w:rPr>
          <w:rFonts w:ascii="Arial" w:eastAsiaTheme="minorEastAsia" w:hAnsi="Arial" w:cs="Arial"/>
        </w:rPr>
        <w:t>up or down.</w:t>
      </w:r>
      <w:r>
        <w:rPr>
          <w:rFonts w:ascii="Arial" w:eastAsiaTheme="minorEastAsia" w:hAnsi="Arial" w:cs="Arial"/>
        </w:rPr>
        <w:t xml:space="preserve"> </w:t>
      </w:r>
      <w:r w:rsidRPr="000C603A">
        <w:rPr>
          <w:rFonts w:ascii="Arial" w:eastAsiaTheme="minorEastAsia" w:hAnsi="Arial" w:cs="Arial"/>
        </w:rPr>
        <w:t>This framework analyses how gold and equity behaved across multiple interest rate cycles between 2005 to 2025.</w:t>
      </w:r>
    </w:p>
    <w:p w14:paraId="535A998A" w14:textId="77777777" w:rsidR="0054394F" w:rsidRDefault="0054394F" w:rsidP="0054394F">
      <w:pPr>
        <w:rPr>
          <w:rFonts w:ascii="Arial" w:eastAsiaTheme="minorEastAsia" w:hAnsi="Arial" w:cs="Arial"/>
        </w:rPr>
      </w:pPr>
    </w:p>
    <w:p w14:paraId="55C12A15" w14:textId="77777777" w:rsidR="0054394F" w:rsidRDefault="0054394F" w:rsidP="0054394F">
      <w:pPr>
        <w:rPr>
          <w:rFonts w:ascii="Arial" w:eastAsiaTheme="minorEastAsia" w:hAnsi="Arial" w:cs="Arial"/>
          <w:b/>
          <w:bCs/>
          <w:sz w:val="28"/>
          <w:szCs w:val="28"/>
        </w:rPr>
      </w:pPr>
      <w:r w:rsidRPr="00730D60">
        <w:rPr>
          <w:rFonts w:ascii="Arial" w:eastAsiaTheme="minorEastAsia" w:hAnsi="Arial" w:cs="Arial"/>
          <w:b/>
          <w:bCs/>
          <w:sz w:val="28"/>
          <w:szCs w:val="28"/>
        </w:rPr>
        <w:t xml:space="preserve">3.6 Sampling Strategy </w:t>
      </w:r>
    </w:p>
    <w:p w14:paraId="6E78577F" w14:textId="77777777" w:rsidR="0054394F" w:rsidRPr="008033BE" w:rsidRDefault="0054394F" w:rsidP="0054394F">
      <w:pPr>
        <w:rPr>
          <w:rFonts w:ascii="Arial" w:hAnsi="Arial" w:cs="Arial"/>
        </w:rPr>
      </w:pPr>
      <w:r w:rsidRPr="00413D37">
        <w:rPr>
          <w:rFonts w:ascii="Arial" w:hAnsi="Arial" w:cs="Arial"/>
        </w:rPr>
        <w:t>This research uses purposive sampling strategy, which is non-random sampling method. The researcher selects data that will provide the useful information to help answer the study's research questions</w:t>
      </w:r>
      <w:r>
        <w:rPr>
          <w:rFonts w:ascii="Arial" w:hAnsi="Arial" w:cs="Arial"/>
        </w:rPr>
        <w:t xml:space="preserve"> (</w:t>
      </w:r>
      <w:r w:rsidRPr="00A61A81">
        <w:rPr>
          <w:rFonts w:ascii="Arial" w:hAnsi="Arial" w:cs="Arial"/>
        </w:rPr>
        <w:t>Saunders et.al, 2023</w:t>
      </w:r>
      <w:r>
        <w:rPr>
          <w:rFonts w:ascii="Arial" w:hAnsi="Arial" w:cs="Arial"/>
        </w:rPr>
        <w:t xml:space="preserve">). </w:t>
      </w:r>
      <w:r w:rsidRPr="005B7015">
        <w:rPr>
          <w:rFonts w:ascii="Arial" w:hAnsi="Arial" w:cs="Arial"/>
        </w:rPr>
        <w:t>Rather than sampling individual participants, this research focuses on a specific period between January 2005 to October 2025.</w:t>
      </w:r>
      <w:r>
        <w:rPr>
          <w:rFonts w:ascii="Arial" w:hAnsi="Arial" w:cs="Arial"/>
        </w:rPr>
        <w:t xml:space="preserve"> </w:t>
      </w:r>
      <w:r w:rsidRPr="00A33BB8">
        <w:rPr>
          <w:rFonts w:ascii="Arial" w:hAnsi="Arial" w:cs="Arial"/>
        </w:rPr>
        <w:t>This timeframe is essential for capturing the historical data to evaluate how asset performance fluctuates across interest rate environments and economic cycles.</w:t>
      </w:r>
    </w:p>
    <w:p w14:paraId="19C1843F" w14:textId="77777777" w:rsidR="0054394F" w:rsidRDefault="0054394F" w:rsidP="0054394F">
      <w:pPr>
        <w:rPr>
          <w:rFonts w:ascii="Arial" w:hAnsi="Arial" w:cs="Arial"/>
        </w:rPr>
      </w:pPr>
      <w:r w:rsidRPr="00613EF4">
        <w:rPr>
          <w:rFonts w:ascii="Arial" w:hAnsi="Arial" w:cs="Arial"/>
        </w:rPr>
        <w:t>This timeframe covers significant market shifts and major global shocks</w:t>
      </w:r>
      <w:r>
        <w:rPr>
          <w:rFonts w:ascii="Arial" w:hAnsi="Arial" w:cs="Arial"/>
        </w:rPr>
        <w:t xml:space="preserve">. </w:t>
      </w:r>
      <w:r w:rsidRPr="00CC3772">
        <w:rPr>
          <w:rFonts w:ascii="Arial" w:hAnsi="Arial" w:cs="Arial"/>
        </w:rPr>
        <w:t>It includes the 2008 Global Financial Crisis and the 2020 COVID-19 pandemic shock.</w:t>
      </w:r>
      <w:r>
        <w:rPr>
          <w:rFonts w:ascii="Arial" w:hAnsi="Arial" w:cs="Arial"/>
        </w:rPr>
        <w:t xml:space="preserve"> </w:t>
      </w:r>
      <w:r w:rsidRPr="006D2276">
        <w:rPr>
          <w:rFonts w:ascii="Arial" w:hAnsi="Arial" w:cs="Arial"/>
        </w:rPr>
        <w:t>These periods of extreme market volatility are testing the 'Safe Haven' theory and the study to examine the historical relationship between gold and equity markets to hold or fails during significant market turmoil.</w:t>
      </w:r>
      <w:r>
        <w:rPr>
          <w:rFonts w:ascii="Arial" w:hAnsi="Arial" w:cs="Arial"/>
        </w:rPr>
        <w:t xml:space="preserve"> </w:t>
      </w:r>
    </w:p>
    <w:p w14:paraId="2FFB27F3" w14:textId="77777777" w:rsidR="0054394F" w:rsidRDefault="0054394F" w:rsidP="0054394F">
      <w:pPr>
        <w:rPr>
          <w:rFonts w:ascii="Arial" w:hAnsi="Arial" w:cs="Arial"/>
        </w:rPr>
      </w:pPr>
      <w:r w:rsidRPr="00A13871">
        <w:rPr>
          <w:rFonts w:ascii="Arial" w:hAnsi="Arial" w:cs="Arial"/>
        </w:rPr>
        <w:t>This research analyses various Federal Reserve policies, specifically tracking shifts between high-rate and low-rate environments. By examining different historical periods, the study provides a direct comparison of gold's performance during periods of high-interest rates versus periods of declining rates.</w:t>
      </w:r>
    </w:p>
    <w:p w14:paraId="51385E8E" w14:textId="77777777" w:rsidR="0054394F" w:rsidRDefault="0054394F" w:rsidP="0054394F">
      <w:pPr>
        <w:rPr>
          <w:rFonts w:ascii="Arial" w:hAnsi="Arial" w:cs="Arial"/>
        </w:rPr>
      </w:pPr>
      <w:r w:rsidRPr="00741DF9">
        <w:rPr>
          <w:rFonts w:ascii="Arial" w:hAnsi="Arial" w:cs="Arial"/>
        </w:rPr>
        <w:lastRenderedPageBreak/>
        <w:t>The total sample size (N) is 2</w:t>
      </w:r>
      <w:r>
        <w:rPr>
          <w:rFonts w:ascii="Arial" w:hAnsi="Arial" w:cs="Arial"/>
        </w:rPr>
        <w:t>49</w:t>
      </w:r>
      <w:r w:rsidRPr="00741DF9">
        <w:rPr>
          <w:rFonts w:ascii="Arial" w:hAnsi="Arial" w:cs="Arial"/>
        </w:rPr>
        <w:t xml:space="preserve"> monthly observations for this study.</w:t>
      </w:r>
      <w:r w:rsidRPr="002E596C">
        <w:rPr>
          <w:rFonts w:ascii="Arial" w:hAnsi="Arial" w:cs="Arial"/>
          <w:color w:val="1F1F1F"/>
          <w:shd w:val="clear" w:color="auto" w:fill="FFFFFF"/>
        </w:rPr>
        <w:t xml:space="preserve"> </w:t>
      </w:r>
      <w:r w:rsidRPr="00A90E0C">
        <w:rPr>
          <w:rFonts w:ascii="Arial" w:hAnsi="Arial" w:cs="Arial"/>
          <w:color w:val="1F1F1F"/>
          <w:shd w:val="clear" w:color="auto" w:fill="FFFFFF"/>
        </w:rPr>
        <w:t xml:space="preserve">While 250 months of data were originally collected, the final dataset comprises 249-month observations, as the first month was omitted to allow for the calculation of returns. </w:t>
      </w:r>
      <w:r w:rsidRPr="000C1863">
        <w:rPr>
          <w:rFonts w:ascii="Arial" w:hAnsi="Arial" w:cs="Arial"/>
        </w:rPr>
        <w:t>This sample size ensures sufficient statistical power for the regression analysis, providing a methodological basis for testing the research hypotheses within a positivist framework.</w:t>
      </w:r>
    </w:p>
    <w:p w14:paraId="7A906026" w14:textId="77777777" w:rsidR="0054394F" w:rsidRDefault="0054394F" w:rsidP="0054394F">
      <w:pPr>
        <w:rPr>
          <w:rFonts w:ascii="Arial" w:hAnsi="Arial" w:cs="Arial"/>
        </w:rPr>
      </w:pPr>
    </w:p>
    <w:p w14:paraId="0FC58798" w14:textId="77777777" w:rsidR="0054394F" w:rsidRDefault="0054394F" w:rsidP="0054394F">
      <w:pPr>
        <w:rPr>
          <w:rFonts w:ascii="Arial" w:hAnsi="Arial" w:cs="Arial"/>
          <w:b/>
          <w:bCs/>
          <w:sz w:val="28"/>
          <w:szCs w:val="28"/>
        </w:rPr>
      </w:pPr>
      <w:r w:rsidRPr="003B65E7">
        <w:rPr>
          <w:rFonts w:ascii="Arial" w:hAnsi="Arial" w:cs="Arial"/>
          <w:b/>
          <w:bCs/>
          <w:sz w:val="28"/>
          <w:szCs w:val="28"/>
        </w:rPr>
        <w:t>3.7 Reliability and Validity</w:t>
      </w:r>
      <w:r>
        <w:rPr>
          <w:rFonts w:ascii="Arial" w:hAnsi="Arial" w:cs="Arial"/>
          <w:b/>
          <w:bCs/>
          <w:sz w:val="28"/>
          <w:szCs w:val="28"/>
        </w:rPr>
        <w:t xml:space="preserve"> </w:t>
      </w:r>
    </w:p>
    <w:p w14:paraId="27EF9A60" w14:textId="77777777" w:rsidR="0054394F" w:rsidRDefault="0054394F" w:rsidP="0054394F">
      <w:pPr>
        <w:rPr>
          <w:rFonts w:ascii="Arial" w:hAnsi="Arial" w:cs="Arial"/>
        </w:rPr>
      </w:pPr>
      <w:r w:rsidRPr="00632CFA">
        <w:rPr>
          <w:rFonts w:ascii="Arial" w:hAnsi="Arial" w:cs="Arial"/>
        </w:rPr>
        <w:t>The integrity of the research is maintained by evaluating research reliability and validity. This framework confirms that the results and final conclusions are trustworthy.</w:t>
      </w:r>
    </w:p>
    <w:p w14:paraId="2E022BA5" w14:textId="77777777" w:rsidR="0054394F" w:rsidRDefault="0054394F" w:rsidP="0054394F">
      <w:pPr>
        <w:rPr>
          <w:rFonts w:ascii="Arial" w:hAnsi="Arial" w:cs="Arial"/>
        </w:rPr>
      </w:pPr>
    </w:p>
    <w:p w14:paraId="24511975" w14:textId="77777777" w:rsidR="0054394F" w:rsidRDefault="0054394F" w:rsidP="0054394F">
      <w:pPr>
        <w:rPr>
          <w:rFonts w:ascii="Arial" w:hAnsi="Arial" w:cs="Arial"/>
          <w:b/>
          <w:bCs/>
        </w:rPr>
      </w:pPr>
      <w:r w:rsidRPr="00632CFA">
        <w:rPr>
          <w:rFonts w:ascii="Arial" w:hAnsi="Arial" w:cs="Arial"/>
          <w:b/>
          <w:bCs/>
        </w:rPr>
        <w:t>3.7.1 Research Reliability</w:t>
      </w:r>
    </w:p>
    <w:p w14:paraId="564A600A" w14:textId="77777777" w:rsidR="0054394F" w:rsidRDefault="0054394F" w:rsidP="0054394F">
      <w:pPr>
        <w:rPr>
          <w:rFonts w:ascii="Arial" w:hAnsi="Arial" w:cs="Arial"/>
        </w:rPr>
      </w:pPr>
      <w:r w:rsidRPr="001E75E8">
        <w:rPr>
          <w:rFonts w:ascii="Arial" w:hAnsi="Arial" w:cs="Arial"/>
        </w:rPr>
        <w:t>The reliability of this study is the use of standardized and credible data from publicly accessible platforms like FRED and Yahoo Finance.</w:t>
      </w:r>
      <w:r w:rsidRPr="00924581">
        <w:rPr>
          <w:rFonts w:ascii="Arial" w:hAnsi="Arial" w:cs="Arial"/>
          <w:color w:val="1F1F1F"/>
          <w:shd w:val="clear" w:color="auto" w:fill="FFFFFF"/>
        </w:rPr>
        <w:t xml:space="preserve"> </w:t>
      </w:r>
      <w:r w:rsidRPr="00924581">
        <w:rPr>
          <w:rFonts w:ascii="Arial" w:hAnsi="Arial" w:cs="Arial"/>
        </w:rPr>
        <w:t>FRED ensures data clarity; it helps researchers easily track data points within a study and maintaining a transparent data process</w:t>
      </w:r>
      <w:r>
        <w:rPr>
          <w:rFonts w:ascii="Arial" w:hAnsi="Arial" w:cs="Arial"/>
        </w:rPr>
        <w:t xml:space="preserve"> </w:t>
      </w:r>
      <w:r w:rsidRPr="00B831A5">
        <w:rPr>
          <w:rFonts w:ascii="Arial" w:hAnsi="Arial" w:cs="Arial"/>
        </w:rPr>
        <w:t>(Mendez-Carbajo, 2021)</w:t>
      </w:r>
      <w:r>
        <w:rPr>
          <w:rFonts w:ascii="Arial" w:hAnsi="Arial" w:cs="Arial"/>
        </w:rPr>
        <w:t xml:space="preserve">. Similarly, </w:t>
      </w:r>
      <w:r w:rsidRPr="00AF6DC1">
        <w:rPr>
          <w:rFonts w:ascii="Arial" w:hAnsi="Arial" w:cs="Arial"/>
        </w:rPr>
        <w:t>Yahoo Finance offers high-quality historical data, which has become a premier resource for individual investors</w:t>
      </w:r>
      <w:r>
        <w:rPr>
          <w:rFonts w:ascii="Arial" w:hAnsi="Arial" w:cs="Arial"/>
        </w:rPr>
        <w:t xml:space="preserve"> </w:t>
      </w:r>
      <w:r w:rsidRPr="00924581">
        <w:rPr>
          <w:rFonts w:ascii="Arial" w:hAnsi="Arial" w:cs="Arial"/>
        </w:rPr>
        <w:t>(</w:t>
      </w:r>
      <w:proofErr w:type="spellStart"/>
      <w:r w:rsidRPr="00DB033E">
        <w:rPr>
          <w:rFonts w:ascii="Arial" w:hAnsi="Arial" w:cs="Arial"/>
        </w:rPr>
        <w:t>Havakhor</w:t>
      </w:r>
      <w:proofErr w:type="spellEnd"/>
      <w:r w:rsidRPr="00DB033E">
        <w:rPr>
          <w:rFonts w:ascii="Arial" w:hAnsi="Arial" w:cs="Arial"/>
        </w:rPr>
        <w:t xml:space="preserve"> et al., 2025</w:t>
      </w:r>
      <w:r>
        <w:rPr>
          <w:rFonts w:ascii="Arial" w:hAnsi="Arial" w:cs="Arial"/>
        </w:rPr>
        <w:t>).</w:t>
      </w:r>
      <w:r w:rsidRPr="001E75E8">
        <w:rPr>
          <w:rFonts w:ascii="Arial" w:hAnsi="Arial" w:cs="Arial"/>
        </w:rPr>
        <w:t xml:space="preserve"> By using these standardized records, the results are fully transparent and easy for other researchers to replicate without bias.</w:t>
      </w:r>
    </w:p>
    <w:p w14:paraId="7E5344DC" w14:textId="77777777" w:rsidR="0054394F" w:rsidRDefault="0054394F" w:rsidP="0054394F">
      <w:pPr>
        <w:rPr>
          <w:rFonts w:ascii="Arial" w:hAnsi="Arial" w:cs="Arial"/>
          <w:b/>
          <w:bCs/>
        </w:rPr>
      </w:pPr>
      <w:r w:rsidRPr="001E75E8">
        <w:rPr>
          <w:rFonts w:ascii="Arial" w:hAnsi="Arial" w:cs="Arial"/>
          <w:b/>
          <w:bCs/>
        </w:rPr>
        <w:t xml:space="preserve">3.7.2 Research Validity </w:t>
      </w:r>
    </w:p>
    <w:p w14:paraId="5B8594F8" w14:textId="77777777" w:rsidR="0054394F" w:rsidRDefault="0054394F" w:rsidP="0054394F">
      <w:pPr>
        <w:rPr>
          <w:rFonts w:ascii="Arial" w:hAnsi="Arial" w:cs="Arial"/>
        </w:rPr>
      </w:pPr>
      <w:r w:rsidRPr="007E792F">
        <w:rPr>
          <w:rFonts w:ascii="Arial" w:hAnsi="Arial" w:cs="Arial"/>
        </w:rPr>
        <w:t>This study provides relevant and accurate information by using secondary data from multiple economic cycles such as the 2008 Financial Crisis and the COVID-19 pandemic. By analysing these events, the study seeks to prioritizes long-term stability and is intended to enhance the reliability of the findings. The approach aims to determine if the observed relationships remain consistent over time.</w:t>
      </w:r>
    </w:p>
    <w:p w14:paraId="2EB0E169" w14:textId="77777777" w:rsidR="0054394F" w:rsidRPr="001E75E8" w:rsidRDefault="0054394F" w:rsidP="0054394F">
      <w:pPr>
        <w:rPr>
          <w:rFonts w:ascii="Arial" w:hAnsi="Arial" w:cs="Arial"/>
        </w:rPr>
      </w:pPr>
    </w:p>
    <w:p w14:paraId="52C44186" w14:textId="77777777" w:rsidR="0054394F" w:rsidRDefault="0054394F" w:rsidP="0054394F">
      <w:pPr>
        <w:rPr>
          <w:rFonts w:ascii="Arial" w:hAnsi="Arial" w:cs="Arial"/>
          <w:b/>
          <w:bCs/>
          <w:sz w:val="28"/>
          <w:szCs w:val="28"/>
        </w:rPr>
      </w:pPr>
      <w:r w:rsidRPr="00C66186">
        <w:rPr>
          <w:rFonts w:ascii="Arial" w:hAnsi="Arial" w:cs="Arial"/>
          <w:b/>
          <w:bCs/>
          <w:sz w:val="28"/>
          <w:szCs w:val="28"/>
        </w:rPr>
        <w:t>3.</w:t>
      </w:r>
      <w:r>
        <w:rPr>
          <w:rFonts w:ascii="Arial" w:hAnsi="Arial" w:cs="Arial"/>
          <w:b/>
          <w:bCs/>
          <w:sz w:val="28"/>
          <w:szCs w:val="28"/>
        </w:rPr>
        <w:t>8</w:t>
      </w:r>
      <w:r w:rsidRPr="00C66186">
        <w:rPr>
          <w:rFonts w:ascii="Arial" w:hAnsi="Arial" w:cs="Arial"/>
          <w:b/>
          <w:bCs/>
          <w:sz w:val="28"/>
          <w:szCs w:val="28"/>
        </w:rPr>
        <w:t xml:space="preserve"> Data Analysis Plan</w:t>
      </w:r>
    </w:p>
    <w:p w14:paraId="4E129D5A" w14:textId="77777777" w:rsidR="0054394F" w:rsidRDefault="0054394F" w:rsidP="0054394F">
      <w:pPr>
        <w:rPr>
          <w:rFonts w:ascii="Arial" w:hAnsi="Arial" w:cs="Arial"/>
        </w:rPr>
      </w:pPr>
      <w:r w:rsidRPr="00521553">
        <w:rPr>
          <w:rFonts w:ascii="Arial" w:hAnsi="Arial" w:cs="Arial"/>
        </w:rPr>
        <w:t>The data analysis for this research used Excel to measure the connection between interest rates, gold and equities.</w:t>
      </w:r>
      <w:r>
        <w:rPr>
          <w:rFonts w:ascii="Arial" w:hAnsi="Arial" w:cs="Arial"/>
        </w:rPr>
        <w:t xml:space="preserve"> </w:t>
      </w:r>
      <w:r w:rsidRPr="00D8709E">
        <w:rPr>
          <w:rFonts w:ascii="Arial" w:hAnsi="Arial" w:cs="Arial"/>
        </w:rPr>
        <w:t>This approach identifies correlations, while the process measures the strength and significance of these financial factors.</w:t>
      </w:r>
    </w:p>
    <w:p w14:paraId="3B2B6036" w14:textId="77777777" w:rsidR="0054394F" w:rsidRDefault="0054394F" w:rsidP="0054394F">
      <w:pPr>
        <w:rPr>
          <w:rFonts w:ascii="Arial" w:hAnsi="Arial" w:cs="Arial"/>
          <w:b/>
          <w:bCs/>
        </w:rPr>
      </w:pPr>
      <w:r w:rsidRPr="00BA5DF6">
        <w:rPr>
          <w:rFonts w:ascii="Arial" w:hAnsi="Arial" w:cs="Arial"/>
          <w:b/>
          <w:bCs/>
        </w:rPr>
        <w:lastRenderedPageBreak/>
        <w:t>3.8.1 Correlation Analysis</w:t>
      </w:r>
    </w:p>
    <w:p w14:paraId="0A16BB48" w14:textId="77777777" w:rsidR="0054394F" w:rsidRDefault="0054394F" w:rsidP="0054394F">
      <w:pPr>
        <w:rPr>
          <w:rFonts w:ascii="Arial" w:hAnsi="Arial" w:cs="Arial"/>
        </w:rPr>
      </w:pPr>
      <w:r w:rsidRPr="00C06125">
        <w:rPr>
          <w:rFonts w:ascii="Arial" w:hAnsi="Arial" w:cs="Arial"/>
        </w:rPr>
        <w:t>The initial phase of this study examines moving correlations between assets to understand their reactions to different monetary policies.</w:t>
      </w:r>
      <w:r w:rsidRPr="00AF63A8">
        <w:rPr>
          <w:rFonts w:ascii="Arial" w:hAnsi="Arial" w:cs="Arial"/>
          <w:color w:val="1F1F1F"/>
          <w:shd w:val="clear" w:color="auto" w:fill="FFFFFF"/>
        </w:rPr>
        <w:t xml:space="preserve"> </w:t>
      </w:r>
      <w:r w:rsidRPr="00AF63A8">
        <w:rPr>
          <w:rFonts w:ascii="Arial" w:hAnsi="Arial" w:cs="Arial"/>
        </w:rPr>
        <w:t>To understand the relationship between gold, S&amp;P 500 and the Nasdaq, this study uses a standard correlation tool.</w:t>
      </w:r>
      <w:r w:rsidRPr="00F10289">
        <w:rPr>
          <w:rFonts w:ascii="Arial" w:hAnsi="Arial" w:cs="Arial"/>
          <w:color w:val="1F1F1F"/>
          <w:shd w:val="clear" w:color="auto" w:fill="FFFFFF"/>
        </w:rPr>
        <w:t xml:space="preserve"> </w:t>
      </w:r>
      <w:r w:rsidRPr="00F10289">
        <w:rPr>
          <w:rFonts w:ascii="Arial" w:hAnsi="Arial" w:cs="Arial"/>
        </w:rPr>
        <w:t>The research divides the dataset according to US interest rate cycles to understand how market behaviours changes when rates go up and down.</w:t>
      </w:r>
      <w:r w:rsidRPr="00E17684">
        <w:rPr>
          <w:rFonts w:ascii="Arial" w:hAnsi="Arial" w:cs="Arial"/>
          <w:color w:val="1F1F1F"/>
          <w:shd w:val="clear" w:color="auto" w:fill="FFFFFF"/>
        </w:rPr>
        <w:t xml:space="preserve"> </w:t>
      </w:r>
      <w:r w:rsidRPr="00E17684">
        <w:rPr>
          <w:rFonts w:ascii="Arial" w:hAnsi="Arial" w:cs="Arial"/>
        </w:rPr>
        <w:t>This allows for a comparison of how assets act when rates are rising versus falling; it tests whether gold remains a reliable asset for investors even when interest rates are high.</w:t>
      </w:r>
      <w:r w:rsidRPr="00FB550A">
        <w:rPr>
          <w:rFonts w:ascii="Arial" w:hAnsi="Arial" w:cs="Arial"/>
          <w:color w:val="1F1F1F"/>
          <w:shd w:val="clear" w:color="auto" w:fill="FFFFFF"/>
        </w:rPr>
        <w:t xml:space="preserve"> </w:t>
      </w:r>
      <w:r w:rsidRPr="00FB550A">
        <w:rPr>
          <w:rFonts w:ascii="Arial" w:hAnsi="Arial" w:cs="Arial"/>
        </w:rPr>
        <w:t>A change in the correlation shows that the relationship between gold and stocks fluctuates across these cycles; this suggests that gold's role as a safe haven and its helpfulness depend on the Fed's policy.</w:t>
      </w:r>
    </w:p>
    <w:p w14:paraId="251B6D75" w14:textId="77777777" w:rsidR="0054394F" w:rsidRDefault="0054394F" w:rsidP="0054394F">
      <w:pPr>
        <w:rPr>
          <w:rFonts w:ascii="Arial" w:hAnsi="Arial" w:cs="Arial"/>
          <w:b/>
          <w:bCs/>
        </w:rPr>
      </w:pPr>
      <w:r w:rsidRPr="00497640">
        <w:rPr>
          <w:rFonts w:ascii="Arial" w:hAnsi="Arial" w:cs="Arial"/>
          <w:b/>
          <w:bCs/>
        </w:rPr>
        <w:t>3.8.2 Regression Analysis</w:t>
      </w:r>
    </w:p>
    <w:p w14:paraId="2842F31A" w14:textId="77777777" w:rsidR="0054394F" w:rsidRDefault="0054394F" w:rsidP="0054394F">
      <w:pPr>
        <w:rPr>
          <w:rFonts w:ascii="Arial" w:hAnsi="Arial" w:cs="Arial"/>
        </w:rPr>
      </w:pPr>
      <w:r w:rsidRPr="00F71EDF">
        <w:rPr>
          <w:rFonts w:ascii="Arial" w:hAnsi="Arial" w:cs="Arial"/>
        </w:rPr>
        <w:t>The research utilizes multiple linear regression analysis to develop a statistical model for analysing the effect of changes in US interest rates on the price of gold. In this model, gold returns are the dependent variable, while changes in the US interest rates and equity returns (S&amp;P 500 and Nasdaq) serve as the independent variables. This approach examines gold returns while considering the factors that affect their value, while how the price of gold is influenced by overall market levels of the US stock market.</w:t>
      </w:r>
    </w:p>
    <w:p w14:paraId="52966E04" w14:textId="2D8AF889" w:rsidR="0054394F" w:rsidRDefault="0054394F" w:rsidP="0054394F">
      <w:pPr>
        <w:rPr>
          <w:rFonts w:ascii="Arial" w:hAnsi="Arial" w:cs="Arial"/>
        </w:rPr>
      </w:pPr>
      <w:r w:rsidRPr="008C3223">
        <w:rPr>
          <w:rFonts w:ascii="Arial" w:hAnsi="Arial" w:cs="Arial"/>
        </w:rPr>
        <w:t>This study examines the responsiveness of gold prices to fluctuations in both interest rates and the stock market. It analyses how gold behaves during periods of volatility in these sectors. Furthermore, the research aims to confirm whether the statistical evidence is robust ensuring that changes in interest rates rather than other variables are the primary drivers.</w:t>
      </w:r>
    </w:p>
    <w:p w14:paraId="4CE232B9" w14:textId="77777777" w:rsidR="00B02615" w:rsidRPr="00B02615" w:rsidRDefault="00B02615" w:rsidP="0054394F">
      <w:pPr>
        <w:rPr>
          <w:rFonts w:ascii="Arial" w:hAnsi="Arial" w:cs="Arial"/>
        </w:rPr>
      </w:pPr>
    </w:p>
    <w:p w14:paraId="70075EF3" w14:textId="77777777" w:rsidR="0054394F" w:rsidRDefault="0054394F" w:rsidP="0054394F">
      <w:pPr>
        <w:rPr>
          <w:rFonts w:ascii="Arial" w:hAnsi="Arial" w:cs="Arial"/>
          <w:b/>
          <w:bCs/>
          <w:sz w:val="28"/>
          <w:szCs w:val="28"/>
        </w:rPr>
      </w:pPr>
      <w:r>
        <w:rPr>
          <w:rFonts w:ascii="Arial" w:hAnsi="Arial" w:cs="Arial"/>
          <w:b/>
          <w:bCs/>
          <w:sz w:val="28"/>
          <w:szCs w:val="28"/>
        </w:rPr>
        <w:t xml:space="preserve">3.9 Ethics &amp; Limitations </w:t>
      </w:r>
    </w:p>
    <w:p w14:paraId="65D285C3" w14:textId="77777777" w:rsidR="0054394F" w:rsidRDefault="0054394F" w:rsidP="0054394F">
      <w:pPr>
        <w:rPr>
          <w:rFonts w:ascii="Arial" w:hAnsi="Arial" w:cs="Arial"/>
        </w:rPr>
      </w:pPr>
      <w:r w:rsidRPr="000915A8">
        <w:rPr>
          <w:rFonts w:ascii="Arial" w:hAnsi="Arial" w:cs="Arial"/>
        </w:rPr>
        <w:t>This study adopts a positivist framework, following a logical, evidence-based approach that involves examining established secondary data.</w:t>
      </w:r>
      <w:r>
        <w:rPr>
          <w:rFonts w:ascii="Arial" w:hAnsi="Arial" w:cs="Arial"/>
        </w:rPr>
        <w:t xml:space="preserve"> </w:t>
      </w:r>
      <w:r w:rsidRPr="008F6A28">
        <w:rPr>
          <w:rFonts w:ascii="Arial" w:hAnsi="Arial" w:cs="Arial"/>
        </w:rPr>
        <w:t>Consequently, this research presents no significant ethical conflicts or risks to human subjects. The data collection process utilizes publicly accessible platforms such as Yahoo Finance and FRED; no primary data collection involving human participants was conducted.</w:t>
      </w:r>
      <w:r w:rsidRPr="003B0849">
        <w:rPr>
          <w:rFonts w:ascii="Arial" w:hAnsi="Arial" w:cs="Arial"/>
          <w:color w:val="1F1F1F"/>
          <w:shd w:val="clear" w:color="auto" w:fill="FFFFFF"/>
        </w:rPr>
        <w:t xml:space="preserve"> </w:t>
      </w:r>
      <w:r w:rsidRPr="003B0849">
        <w:rPr>
          <w:rFonts w:ascii="Arial" w:hAnsi="Arial" w:cs="Arial"/>
        </w:rPr>
        <w:t xml:space="preserve">Because this </w:t>
      </w:r>
      <w:r w:rsidRPr="003B0849">
        <w:rPr>
          <w:rFonts w:ascii="Arial" w:hAnsi="Arial" w:cs="Arial"/>
        </w:rPr>
        <w:lastRenderedPageBreak/>
        <w:t>analysis does not use personal information, involve human participants or access private institutional records.</w:t>
      </w:r>
      <w:r w:rsidRPr="003A1DE2">
        <w:rPr>
          <w:rFonts w:ascii="Arial" w:hAnsi="Arial" w:cs="Arial"/>
          <w:color w:val="1F1F1F"/>
          <w:shd w:val="clear" w:color="auto" w:fill="FFFFFF"/>
        </w:rPr>
        <w:t xml:space="preserve"> </w:t>
      </w:r>
      <w:r w:rsidRPr="003A1DE2">
        <w:rPr>
          <w:rFonts w:ascii="Arial" w:hAnsi="Arial" w:cs="Arial"/>
        </w:rPr>
        <w:t>Furthermore, all sources are transparently managed under standard academic guidelines, ensuring a clear framework for researchers to replicate the study.</w:t>
      </w:r>
    </w:p>
    <w:p w14:paraId="586282D9" w14:textId="77777777" w:rsidR="0054394F" w:rsidRDefault="0054394F" w:rsidP="0054394F">
      <w:pPr>
        <w:rPr>
          <w:rFonts w:ascii="Arial" w:hAnsi="Arial" w:cs="Arial"/>
        </w:rPr>
      </w:pPr>
      <w:r w:rsidRPr="009C6843">
        <w:rPr>
          <w:rFonts w:ascii="Arial" w:hAnsi="Arial" w:cs="Arial"/>
        </w:rPr>
        <w:t>However, this methodology has several limitations that may influence the scope of this study.</w:t>
      </w:r>
    </w:p>
    <w:p w14:paraId="5642A615" w14:textId="77777777" w:rsidR="0054394F" w:rsidRDefault="0054394F" w:rsidP="0054394F">
      <w:pPr>
        <w:pStyle w:val="ListParagraph"/>
        <w:numPr>
          <w:ilvl w:val="0"/>
          <w:numId w:val="4"/>
        </w:numPr>
        <w:rPr>
          <w:rFonts w:ascii="Arial" w:hAnsi="Arial" w:cs="Arial"/>
        </w:rPr>
      </w:pPr>
      <w:r w:rsidRPr="009C6843">
        <w:rPr>
          <w:rFonts w:ascii="Arial" w:hAnsi="Arial" w:cs="Arial"/>
          <w:b/>
          <w:bCs/>
        </w:rPr>
        <w:t>Omitted Variable:</w:t>
      </w:r>
      <w:r w:rsidRPr="00F90EC7">
        <w:rPr>
          <w:rFonts w:ascii="Arial" w:hAnsi="Arial" w:cs="Arial"/>
          <w:color w:val="1F1F1F"/>
          <w:shd w:val="clear" w:color="auto" w:fill="FFFFFF"/>
        </w:rPr>
        <w:t xml:space="preserve"> </w:t>
      </w:r>
      <w:r w:rsidRPr="00F90EC7">
        <w:rPr>
          <w:rFonts w:ascii="Arial" w:hAnsi="Arial" w:cs="Arial"/>
        </w:rPr>
        <w:t xml:space="preserve">The research focuses on four </w:t>
      </w:r>
      <w:r>
        <w:rPr>
          <w:rFonts w:ascii="Arial" w:hAnsi="Arial" w:cs="Arial"/>
        </w:rPr>
        <w:t>primary</w:t>
      </w:r>
      <w:r w:rsidRPr="00F90EC7">
        <w:rPr>
          <w:rFonts w:ascii="Arial" w:hAnsi="Arial" w:cs="Arial"/>
        </w:rPr>
        <w:t xml:space="preserve"> factors Gold, S&amp;P 500, Nasdaq and Federal Funds Rate.</w:t>
      </w:r>
      <w:r w:rsidRPr="00F90EC7">
        <w:rPr>
          <w:rFonts w:ascii="Arial" w:hAnsi="Arial" w:cs="Arial"/>
          <w:color w:val="1F1F1F"/>
          <w:shd w:val="clear" w:color="auto" w:fill="FFFFFF"/>
        </w:rPr>
        <w:t xml:space="preserve"> </w:t>
      </w:r>
      <w:r w:rsidRPr="00F90EC7">
        <w:rPr>
          <w:rFonts w:ascii="Arial" w:hAnsi="Arial" w:cs="Arial"/>
        </w:rPr>
        <w:t>It exclude</w:t>
      </w:r>
      <w:r>
        <w:rPr>
          <w:rFonts w:ascii="Arial" w:hAnsi="Arial" w:cs="Arial"/>
        </w:rPr>
        <w:t>s</w:t>
      </w:r>
      <w:r w:rsidRPr="00F90EC7">
        <w:rPr>
          <w:rFonts w:ascii="Arial" w:hAnsi="Arial" w:cs="Arial"/>
        </w:rPr>
        <w:t xml:space="preserve"> other variables such as inflation, geopolitical risks and currency fluctuations.</w:t>
      </w:r>
    </w:p>
    <w:p w14:paraId="55EA5902" w14:textId="77777777" w:rsidR="0054394F" w:rsidRDefault="0054394F" w:rsidP="0054394F">
      <w:pPr>
        <w:pStyle w:val="ListParagraph"/>
        <w:numPr>
          <w:ilvl w:val="0"/>
          <w:numId w:val="4"/>
        </w:numPr>
        <w:rPr>
          <w:rFonts w:ascii="Arial" w:hAnsi="Arial" w:cs="Arial"/>
        </w:rPr>
      </w:pPr>
      <w:r>
        <w:rPr>
          <w:rFonts w:ascii="Arial" w:hAnsi="Arial" w:cs="Arial"/>
          <w:b/>
          <w:bCs/>
        </w:rPr>
        <w:t xml:space="preserve">Data Frequency: </w:t>
      </w:r>
      <w:r w:rsidRPr="006A69E3">
        <w:rPr>
          <w:rFonts w:ascii="Arial" w:hAnsi="Arial" w:cs="Arial"/>
        </w:rPr>
        <w:t>Using monthly data helps identify long-term trends, however it fails to capture intraday volatility and the specific effects of Federal Reserve meetings.</w:t>
      </w:r>
    </w:p>
    <w:p w14:paraId="1A65725A" w14:textId="77777777" w:rsidR="0054394F" w:rsidRDefault="0054394F" w:rsidP="0054394F">
      <w:pPr>
        <w:pStyle w:val="ListParagraph"/>
        <w:numPr>
          <w:ilvl w:val="0"/>
          <w:numId w:val="4"/>
        </w:numPr>
        <w:rPr>
          <w:rFonts w:ascii="Arial" w:hAnsi="Arial" w:cs="Arial"/>
        </w:rPr>
      </w:pPr>
      <w:r w:rsidRPr="001713E1">
        <w:rPr>
          <w:rFonts w:ascii="Arial" w:hAnsi="Arial" w:cs="Arial"/>
          <w:b/>
          <w:bCs/>
        </w:rPr>
        <w:t>Methodological Depth:</w:t>
      </w:r>
      <w:r>
        <w:rPr>
          <w:rFonts w:ascii="Arial" w:hAnsi="Arial" w:cs="Arial"/>
          <w:b/>
          <w:bCs/>
        </w:rPr>
        <w:t xml:space="preserve"> </w:t>
      </w:r>
      <w:r w:rsidRPr="001561AC">
        <w:rPr>
          <w:rFonts w:ascii="Arial" w:hAnsi="Arial" w:cs="Arial"/>
        </w:rPr>
        <w:t>Instead of using complex mathematical models like GARCH, this study uses Excel based regression to make things simple and easy for portfolio managers to use. However, it misses the market volatility that more high-tech models are designed to catch.</w:t>
      </w:r>
    </w:p>
    <w:p w14:paraId="40E0AB41" w14:textId="77777777" w:rsidR="0054394F" w:rsidRPr="001561AC" w:rsidRDefault="0054394F" w:rsidP="0054394F">
      <w:pPr>
        <w:pStyle w:val="ListParagraph"/>
        <w:ind w:left="360"/>
        <w:rPr>
          <w:rFonts w:ascii="Arial" w:hAnsi="Arial" w:cs="Arial"/>
        </w:rPr>
      </w:pPr>
    </w:p>
    <w:p w14:paraId="0616BE2C" w14:textId="77777777" w:rsidR="0054394F" w:rsidRDefault="0054394F" w:rsidP="0054394F">
      <w:pPr>
        <w:rPr>
          <w:rFonts w:ascii="Arial" w:hAnsi="Arial" w:cs="Arial"/>
        </w:rPr>
      </w:pPr>
    </w:p>
    <w:p w14:paraId="318A647E" w14:textId="77777777" w:rsidR="0054394F" w:rsidRDefault="0054394F" w:rsidP="0054394F">
      <w:pPr>
        <w:rPr>
          <w:rFonts w:ascii="Arial" w:hAnsi="Arial" w:cs="Arial"/>
        </w:rPr>
      </w:pPr>
    </w:p>
    <w:p w14:paraId="253E0CB1" w14:textId="77777777" w:rsidR="0054394F" w:rsidRPr="008F3428" w:rsidRDefault="0054394F" w:rsidP="0054394F">
      <w:pPr>
        <w:rPr>
          <w:rFonts w:ascii="Arial" w:hAnsi="Arial" w:cs="Arial"/>
        </w:rPr>
      </w:pPr>
    </w:p>
    <w:p w14:paraId="5879B0C0" w14:textId="77777777" w:rsidR="0054394F" w:rsidRPr="009C71D0" w:rsidRDefault="0054394F" w:rsidP="0054394F">
      <w:pPr>
        <w:rPr>
          <w:rFonts w:ascii="Arial" w:hAnsi="Arial" w:cs="Arial"/>
        </w:rPr>
      </w:pPr>
    </w:p>
    <w:p w14:paraId="4F7E9668" w14:textId="77777777" w:rsidR="0054394F" w:rsidRDefault="0054394F" w:rsidP="0054394F">
      <w:pPr>
        <w:rPr>
          <w:rFonts w:ascii="Arial" w:hAnsi="Arial" w:cs="Arial"/>
          <w:b/>
          <w:bCs/>
          <w:sz w:val="28"/>
          <w:szCs w:val="28"/>
        </w:rPr>
      </w:pPr>
    </w:p>
    <w:p w14:paraId="465CF9C2" w14:textId="77777777" w:rsidR="0054394F" w:rsidRDefault="0054394F" w:rsidP="0054394F">
      <w:pPr>
        <w:rPr>
          <w:rFonts w:ascii="Arial" w:hAnsi="Arial" w:cs="Arial"/>
          <w:b/>
          <w:bCs/>
          <w:sz w:val="28"/>
          <w:szCs w:val="28"/>
        </w:rPr>
      </w:pPr>
    </w:p>
    <w:p w14:paraId="00F718BF" w14:textId="77777777" w:rsidR="0054394F" w:rsidRPr="00343AB5" w:rsidRDefault="0054394F" w:rsidP="00877543">
      <w:pPr>
        <w:rPr>
          <w:rFonts w:ascii="Arial" w:hAnsi="Arial" w:cs="Arial"/>
        </w:rPr>
      </w:pPr>
    </w:p>
    <w:p w14:paraId="1D8E6805" w14:textId="77777777" w:rsidR="00877543" w:rsidRDefault="00877543" w:rsidP="00877543">
      <w:pPr>
        <w:rPr>
          <w:rFonts w:ascii="Arial" w:hAnsi="Arial" w:cs="Arial"/>
        </w:rPr>
      </w:pPr>
    </w:p>
    <w:p w14:paraId="7B395A4F" w14:textId="77777777" w:rsidR="00877543" w:rsidRDefault="00877543" w:rsidP="00877543">
      <w:pPr>
        <w:rPr>
          <w:rFonts w:ascii="Arial" w:hAnsi="Arial" w:cs="Arial"/>
        </w:rPr>
      </w:pPr>
    </w:p>
    <w:p w14:paraId="624A8860" w14:textId="77777777" w:rsidR="00877543" w:rsidRDefault="00877543" w:rsidP="00877543">
      <w:pPr>
        <w:rPr>
          <w:rFonts w:ascii="Arial" w:hAnsi="Arial" w:cs="Arial"/>
        </w:rPr>
      </w:pPr>
    </w:p>
    <w:p w14:paraId="605EB87E" w14:textId="77777777" w:rsidR="00877543" w:rsidRDefault="00877543" w:rsidP="00877543">
      <w:pPr>
        <w:rPr>
          <w:rFonts w:ascii="Arial" w:hAnsi="Arial" w:cs="Arial"/>
        </w:rPr>
      </w:pPr>
    </w:p>
    <w:p w14:paraId="0DBEFEFF" w14:textId="7961A587" w:rsidR="0039115F" w:rsidRPr="00724DF5" w:rsidRDefault="0039115F" w:rsidP="0039115F">
      <w:pPr>
        <w:jc w:val="center"/>
        <w:rPr>
          <w:rFonts w:ascii="Arial" w:hAnsi="Arial" w:cs="Arial"/>
          <w:b/>
          <w:bCs/>
          <w:sz w:val="28"/>
          <w:szCs w:val="28"/>
        </w:rPr>
      </w:pPr>
      <w:r w:rsidRPr="00724DF5">
        <w:rPr>
          <w:rFonts w:ascii="Arial" w:hAnsi="Arial" w:cs="Arial"/>
          <w:b/>
          <w:bCs/>
          <w:sz w:val="28"/>
          <w:szCs w:val="28"/>
        </w:rPr>
        <w:lastRenderedPageBreak/>
        <w:t>Chapter Four: Data Analysis and Findings</w:t>
      </w:r>
    </w:p>
    <w:p w14:paraId="7349374E" w14:textId="77777777" w:rsidR="0039115F" w:rsidRPr="0039115F" w:rsidRDefault="0039115F" w:rsidP="0039115F">
      <w:pPr>
        <w:rPr>
          <w:rFonts w:ascii="Arial" w:hAnsi="Arial" w:cs="Arial"/>
          <w:b/>
          <w:bCs/>
        </w:rPr>
      </w:pPr>
    </w:p>
    <w:p w14:paraId="5ADB8DCA" w14:textId="77777777" w:rsidR="0039115F" w:rsidRPr="0039115F" w:rsidRDefault="0039115F" w:rsidP="0039115F">
      <w:pPr>
        <w:rPr>
          <w:rFonts w:ascii="Arial" w:hAnsi="Arial" w:cs="Arial"/>
          <w:b/>
          <w:bCs/>
        </w:rPr>
      </w:pPr>
      <w:r w:rsidRPr="0039115F">
        <w:rPr>
          <w:rFonts w:ascii="Arial" w:hAnsi="Arial" w:cs="Arial"/>
          <w:b/>
          <w:bCs/>
        </w:rPr>
        <w:t>4.1 Introduction to Data Analysis</w:t>
      </w:r>
    </w:p>
    <w:p w14:paraId="33DB724C" w14:textId="77777777" w:rsidR="0039115F" w:rsidRPr="0039115F" w:rsidRDefault="0039115F" w:rsidP="0039115F">
      <w:pPr>
        <w:rPr>
          <w:rFonts w:ascii="Arial" w:hAnsi="Arial" w:cs="Arial"/>
        </w:rPr>
      </w:pPr>
      <w:r w:rsidRPr="0039115F">
        <w:rPr>
          <w:rFonts w:ascii="Arial" w:hAnsi="Arial" w:cs="Arial"/>
        </w:rPr>
        <w:t>This chapter explores the impact of US interest rates on the correlation between gold returns and US equity returns (S&amp;P 500 and Nasdaq) from 2005 to 2025. This research evaluates the impact of changing monetary regimes on the stability of gold. Using statistical analysis of secondary financial data, the study examines whether gold remains a reliable hedge or retains its 'safe haven' status during periods of economic transition. This section uses the quantitative techniques detailed in Chapter three specifically correlation and regression to test the proposed hypotheses.</w:t>
      </w:r>
    </w:p>
    <w:p w14:paraId="04BCA761" w14:textId="77777777" w:rsidR="0039115F" w:rsidRPr="0039115F" w:rsidRDefault="0039115F" w:rsidP="0039115F">
      <w:pPr>
        <w:rPr>
          <w:rFonts w:ascii="Arial" w:hAnsi="Arial" w:cs="Arial"/>
        </w:rPr>
      </w:pPr>
      <w:r w:rsidRPr="0039115F">
        <w:rPr>
          <w:rFonts w:ascii="Arial" w:hAnsi="Arial" w:cs="Arial"/>
        </w:rPr>
        <w:t>This analysis examines the research objective of evaluating gold's performance as a hedge under fluctuating interest rate conditions during highly volatile market periods such as the 2008 Global Financial Crisis and the COVID-19 pandemic. The research design segments data according to the interest rate cycle to evaluate the gold's effectiveness as a protective asset. The analysis examines H1 and H2, which argue that gold's acts as a reliable hedge under certain conditions; specifically, when interest rates are falling and the stock market is under significant pressure.</w:t>
      </w:r>
    </w:p>
    <w:p w14:paraId="546DD894" w14:textId="77777777" w:rsidR="0039115F" w:rsidRPr="0039115F" w:rsidRDefault="0039115F" w:rsidP="0039115F">
      <w:pPr>
        <w:rPr>
          <w:rFonts w:ascii="Arial" w:hAnsi="Arial" w:cs="Arial"/>
        </w:rPr>
      </w:pPr>
      <w:r w:rsidRPr="0039115F">
        <w:rPr>
          <w:rFonts w:ascii="Arial" w:hAnsi="Arial" w:cs="Arial"/>
        </w:rPr>
        <w:t>The chapter is divided into four components; each section contributes to a logical and systematic progression of the study's results.</w:t>
      </w:r>
    </w:p>
    <w:p w14:paraId="151A8347" w14:textId="77777777" w:rsidR="0039115F" w:rsidRPr="0039115F" w:rsidRDefault="0039115F" w:rsidP="0039115F">
      <w:pPr>
        <w:rPr>
          <w:rFonts w:ascii="Arial" w:hAnsi="Arial" w:cs="Arial"/>
        </w:rPr>
      </w:pPr>
      <w:r w:rsidRPr="0039115F">
        <w:rPr>
          <w:rFonts w:ascii="Arial" w:hAnsi="Arial" w:cs="Arial"/>
          <w:b/>
          <w:bCs/>
        </w:rPr>
        <w:t xml:space="preserve">1) Descriptive Statistics: </w:t>
      </w:r>
      <w:r w:rsidRPr="0039115F">
        <w:rPr>
          <w:rFonts w:ascii="Arial" w:hAnsi="Arial" w:cs="Arial"/>
        </w:rPr>
        <w:t>A comparative analysis of the historical returns of gold, S&amp;P 500 and Nasdaq over a 20-year period.</w:t>
      </w:r>
    </w:p>
    <w:p w14:paraId="352B08A5" w14:textId="77777777" w:rsidR="0039115F" w:rsidRPr="0039115F" w:rsidRDefault="0039115F" w:rsidP="0039115F">
      <w:pPr>
        <w:rPr>
          <w:rFonts w:ascii="Arial" w:hAnsi="Arial" w:cs="Arial"/>
        </w:rPr>
      </w:pPr>
      <w:r w:rsidRPr="0039115F">
        <w:rPr>
          <w:rFonts w:ascii="Arial" w:hAnsi="Arial" w:cs="Arial"/>
          <w:b/>
          <w:bCs/>
        </w:rPr>
        <w:t>2) Correlation Analysis:</w:t>
      </w:r>
      <w:r w:rsidRPr="0039115F">
        <w:rPr>
          <w:rFonts w:ascii="Arial" w:hAnsi="Arial" w:cs="Arial"/>
        </w:rPr>
        <w:t xml:space="preserve"> It examines the strength and direction of the linear relationship between gold and equity indices across differing interest rate environments.</w:t>
      </w:r>
    </w:p>
    <w:p w14:paraId="4EF77137" w14:textId="77777777" w:rsidR="0039115F" w:rsidRPr="0039115F" w:rsidRDefault="0039115F" w:rsidP="0039115F">
      <w:pPr>
        <w:rPr>
          <w:rFonts w:ascii="Arial" w:hAnsi="Arial" w:cs="Arial"/>
        </w:rPr>
      </w:pPr>
      <w:r w:rsidRPr="0039115F">
        <w:rPr>
          <w:rFonts w:ascii="Arial" w:hAnsi="Arial" w:cs="Arial"/>
          <w:b/>
          <w:bCs/>
        </w:rPr>
        <w:t xml:space="preserve">3) Regression Modelling: </w:t>
      </w:r>
      <w:r w:rsidRPr="0039115F">
        <w:rPr>
          <w:rFonts w:ascii="Arial" w:hAnsi="Arial" w:cs="Arial"/>
        </w:rPr>
        <w:t>This section evaluates the inverse correlation and sensitivity of the gold price to changes in the Federal Funds Effective Rate over the specified period.</w:t>
      </w:r>
    </w:p>
    <w:p w14:paraId="05BF2B91" w14:textId="77777777" w:rsidR="0039115F" w:rsidRPr="0039115F" w:rsidRDefault="0039115F" w:rsidP="0039115F">
      <w:pPr>
        <w:rPr>
          <w:rFonts w:ascii="Arial" w:hAnsi="Arial" w:cs="Arial"/>
        </w:rPr>
      </w:pPr>
      <w:r w:rsidRPr="0039115F">
        <w:rPr>
          <w:rFonts w:ascii="Arial" w:hAnsi="Arial" w:cs="Arial"/>
          <w:b/>
          <w:bCs/>
        </w:rPr>
        <w:t xml:space="preserve">4) Hypothesis Testing: </w:t>
      </w:r>
      <w:r w:rsidRPr="0039115F">
        <w:rPr>
          <w:rFonts w:ascii="Arial" w:hAnsi="Arial" w:cs="Arial"/>
        </w:rPr>
        <w:t>These results are synthesized to provide a comprehensive evaluation of portfolio construction, with a particular focus on risk-adjusted returns.</w:t>
      </w:r>
    </w:p>
    <w:p w14:paraId="11F71253" w14:textId="77777777" w:rsidR="0039115F" w:rsidRPr="0039115F" w:rsidRDefault="0039115F" w:rsidP="0039115F">
      <w:pPr>
        <w:rPr>
          <w:rFonts w:ascii="Arial" w:hAnsi="Arial" w:cs="Arial"/>
        </w:rPr>
      </w:pPr>
      <w:r w:rsidRPr="0039115F">
        <w:rPr>
          <w:rFonts w:ascii="Arial" w:hAnsi="Arial" w:cs="Arial"/>
        </w:rPr>
        <w:lastRenderedPageBreak/>
        <w:t>This research fills a gap in the literature by moving beyond short-term crisis analysis to provide a longitudinal perspective on how monetary policy acts as a primary factor in asset price fluctuations.</w:t>
      </w:r>
    </w:p>
    <w:p w14:paraId="4E86B9EA" w14:textId="77777777" w:rsidR="0039115F" w:rsidRPr="0039115F" w:rsidRDefault="0039115F" w:rsidP="0039115F">
      <w:pPr>
        <w:rPr>
          <w:rFonts w:ascii="Arial" w:hAnsi="Arial" w:cs="Arial"/>
        </w:rPr>
      </w:pPr>
    </w:p>
    <w:p w14:paraId="219735F4" w14:textId="77777777" w:rsidR="0039115F" w:rsidRPr="0039115F" w:rsidRDefault="0039115F" w:rsidP="0039115F">
      <w:pPr>
        <w:rPr>
          <w:rFonts w:ascii="Arial" w:hAnsi="Arial" w:cs="Arial"/>
          <w:b/>
          <w:bCs/>
        </w:rPr>
      </w:pPr>
      <w:r w:rsidRPr="0039115F">
        <w:rPr>
          <w:rFonts w:ascii="Arial" w:hAnsi="Arial" w:cs="Arial"/>
          <w:b/>
          <w:bCs/>
        </w:rPr>
        <w:t xml:space="preserve">4.2 Description of Dataset and Variables </w:t>
      </w:r>
    </w:p>
    <w:p w14:paraId="5B0AC8FF" w14:textId="32181FA9" w:rsidR="0039115F" w:rsidRDefault="0039115F" w:rsidP="0039115F">
      <w:pPr>
        <w:rPr>
          <w:rFonts w:ascii="Arial" w:hAnsi="Arial" w:cs="Arial"/>
        </w:rPr>
      </w:pPr>
      <w:r w:rsidRPr="0039115F">
        <w:rPr>
          <w:rFonts w:ascii="Arial" w:hAnsi="Arial" w:cs="Arial"/>
        </w:rPr>
        <w:t>This research evaluates the evolving relationship between gold and US equity markets under the influence of the Federal Reserve policies. An analysis of historical data reveals that gold's effectiveness as a defensive asset shifts significantly in response to changes in the Federal Funds Rate. This research explores the impact of US interest rates on the connection between gold and stock market returns.</w:t>
      </w:r>
    </w:p>
    <w:p w14:paraId="63482F93" w14:textId="77777777" w:rsidR="0039115F" w:rsidRPr="0039115F" w:rsidRDefault="0039115F" w:rsidP="0039115F">
      <w:pPr>
        <w:rPr>
          <w:rFonts w:ascii="Arial" w:hAnsi="Arial" w:cs="Arial"/>
        </w:rPr>
      </w:pPr>
    </w:p>
    <w:p w14:paraId="47CDCEA8" w14:textId="77777777" w:rsidR="0039115F" w:rsidRPr="0039115F" w:rsidRDefault="0039115F" w:rsidP="0039115F">
      <w:pPr>
        <w:rPr>
          <w:rFonts w:ascii="Arial" w:hAnsi="Arial" w:cs="Arial"/>
          <w:b/>
          <w:bCs/>
        </w:rPr>
      </w:pPr>
      <w:r w:rsidRPr="0039115F">
        <w:rPr>
          <w:rFonts w:ascii="Arial" w:hAnsi="Arial" w:cs="Arial"/>
          <w:b/>
          <w:bCs/>
        </w:rPr>
        <w:t>4.2.1 Data Source</w:t>
      </w:r>
    </w:p>
    <w:p w14:paraId="3D7DCBB6" w14:textId="77777777" w:rsidR="0039115F" w:rsidRPr="0039115F" w:rsidRDefault="0039115F" w:rsidP="0039115F">
      <w:pPr>
        <w:rPr>
          <w:rFonts w:ascii="Arial" w:hAnsi="Arial" w:cs="Arial"/>
        </w:rPr>
      </w:pPr>
      <w:r w:rsidRPr="0039115F">
        <w:rPr>
          <w:rFonts w:ascii="Arial" w:hAnsi="Arial" w:cs="Arial"/>
        </w:rPr>
        <w:t>The research is based on high-frequency secondary data from trusted financial sources. Historical monthly closing prices for gold, the S&amp;P 500 and the Nasdaq were all sourced from Yahoo Finance, which serves as the primary data source for this analysis. The Federal Funds Effective Rate is used in this study to represent US monetary policy. It is a reliable and official measure of the US Federal Reserve's policy. These data sources provide the transparency and accuracy essential for the positivist framework used in this analysis.</w:t>
      </w:r>
    </w:p>
    <w:p w14:paraId="1DFCE64D" w14:textId="77777777" w:rsidR="0039115F" w:rsidRPr="0039115F" w:rsidRDefault="0039115F" w:rsidP="0039115F">
      <w:pPr>
        <w:rPr>
          <w:rFonts w:ascii="Arial" w:hAnsi="Arial" w:cs="Arial"/>
          <w:b/>
          <w:bCs/>
        </w:rPr>
      </w:pPr>
    </w:p>
    <w:p w14:paraId="0A1BE201" w14:textId="77777777" w:rsidR="0039115F" w:rsidRPr="0039115F" w:rsidRDefault="0039115F" w:rsidP="0039115F">
      <w:pPr>
        <w:rPr>
          <w:rFonts w:ascii="Arial" w:hAnsi="Arial" w:cs="Arial"/>
          <w:b/>
          <w:bCs/>
        </w:rPr>
      </w:pPr>
      <w:r w:rsidRPr="0039115F">
        <w:rPr>
          <w:rFonts w:ascii="Arial" w:hAnsi="Arial" w:cs="Arial"/>
          <w:b/>
          <w:bCs/>
        </w:rPr>
        <w:t xml:space="preserve">4.2.2 Time Period and Frequency </w:t>
      </w:r>
    </w:p>
    <w:p w14:paraId="6ABA0585" w14:textId="77777777" w:rsidR="0039115F" w:rsidRPr="0039115F" w:rsidRDefault="0039115F" w:rsidP="0039115F">
      <w:pPr>
        <w:rPr>
          <w:rFonts w:ascii="Arial" w:hAnsi="Arial" w:cs="Arial"/>
        </w:rPr>
      </w:pPr>
      <w:r w:rsidRPr="0039115F">
        <w:rPr>
          <w:rFonts w:ascii="Arial" w:hAnsi="Arial" w:cs="Arial"/>
        </w:rPr>
        <w:t>This study covers the period from January 2005 to October 2025, allowing for an analysis of various monetary policy cycles over a 20-year period. The analysis of this period includes the 2008 Global Financial Crisis and the monetary policy responses that resulted in near- zero interest rates (Weinberg, 2013). The analysis is based on 249 monthly observations, which offer a robust framework for capturing periodic fluctuations within the data. To ensure the results are not influenced by short term market fluctuations, a monthly frequency was adopted to capture monthly monetary policy announcements.</w:t>
      </w:r>
    </w:p>
    <w:p w14:paraId="78FCC157" w14:textId="77777777" w:rsidR="0039115F" w:rsidRDefault="0039115F" w:rsidP="0039115F">
      <w:pPr>
        <w:rPr>
          <w:rFonts w:ascii="Arial" w:hAnsi="Arial" w:cs="Arial"/>
          <w:b/>
          <w:bCs/>
        </w:rPr>
      </w:pPr>
    </w:p>
    <w:p w14:paraId="7D72B241" w14:textId="635618A8" w:rsidR="0039115F" w:rsidRPr="0039115F" w:rsidRDefault="0039115F" w:rsidP="0039115F">
      <w:pPr>
        <w:rPr>
          <w:rFonts w:ascii="Arial" w:hAnsi="Arial" w:cs="Arial"/>
          <w:b/>
          <w:bCs/>
        </w:rPr>
      </w:pPr>
      <w:r w:rsidRPr="0039115F">
        <w:rPr>
          <w:rFonts w:ascii="Arial" w:hAnsi="Arial" w:cs="Arial"/>
          <w:b/>
          <w:bCs/>
        </w:rPr>
        <w:lastRenderedPageBreak/>
        <w:t xml:space="preserve">4.2.3 Variables Descriptions </w:t>
      </w:r>
    </w:p>
    <w:p w14:paraId="342D59E1" w14:textId="77777777" w:rsidR="0039115F" w:rsidRPr="0039115F" w:rsidRDefault="0039115F" w:rsidP="0039115F">
      <w:pPr>
        <w:rPr>
          <w:rFonts w:ascii="Arial" w:hAnsi="Arial" w:cs="Arial"/>
        </w:rPr>
      </w:pPr>
      <w:r w:rsidRPr="0039115F">
        <w:rPr>
          <w:rFonts w:ascii="Arial" w:hAnsi="Arial" w:cs="Arial"/>
        </w:rPr>
        <w:t xml:space="preserve">The research analyses four variables to test the hypotheses. </w:t>
      </w:r>
    </w:p>
    <w:p w14:paraId="4ADDE6BA" w14:textId="77777777" w:rsidR="0039115F" w:rsidRPr="0039115F" w:rsidRDefault="0039115F" w:rsidP="0039115F">
      <w:pPr>
        <w:numPr>
          <w:ilvl w:val="0"/>
          <w:numId w:val="5"/>
        </w:numPr>
        <w:rPr>
          <w:rFonts w:ascii="Arial" w:hAnsi="Arial" w:cs="Arial"/>
        </w:rPr>
      </w:pPr>
      <w:r w:rsidRPr="0039115F">
        <w:rPr>
          <w:rFonts w:ascii="Arial" w:hAnsi="Arial" w:cs="Arial"/>
          <w:b/>
          <w:bCs/>
        </w:rPr>
        <w:t xml:space="preserve">Gold Returns (Dependent Variable): </w:t>
      </w:r>
      <w:r w:rsidRPr="0039115F">
        <w:rPr>
          <w:rFonts w:ascii="Arial" w:hAnsi="Arial" w:cs="Arial"/>
        </w:rPr>
        <w:t>This represents the monthly growth rate of gold prices, which fluctuates according to market conditions.</w:t>
      </w:r>
    </w:p>
    <w:p w14:paraId="3DE94D2E" w14:textId="77777777" w:rsidR="0039115F" w:rsidRPr="0039115F" w:rsidRDefault="0039115F" w:rsidP="0039115F">
      <w:pPr>
        <w:numPr>
          <w:ilvl w:val="0"/>
          <w:numId w:val="5"/>
        </w:numPr>
        <w:rPr>
          <w:rFonts w:ascii="Arial" w:hAnsi="Arial" w:cs="Arial"/>
        </w:rPr>
      </w:pPr>
      <w:r w:rsidRPr="0039115F">
        <w:rPr>
          <w:rFonts w:ascii="Arial" w:hAnsi="Arial" w:cs="Arial"/>
          <w:b/>
          <w:bCs/>
        </w:rPr>
        <w:t xml:space="preserve">S&amp;P 500 Returns (Independent Variable): </w:t>
      </w:r>
      <w:r w:rsidRPr="0039115F">
        <w:rPr>
          <w:rFonts w:ascii="Arial" w:hAnsi="Arial" w:cs="Arial"/>
        </w:rPr>
        <w:t>It measures the S&amp;P 500's monthly price ups and downs, which is used to show how the overall US stock market is performing.</w:t>
      </w:r>
    </w:p>
    <w:p w14:paraId="3A42AEDC" w14:textId="77777777" w:rsidR="0039115F" w:rsidRPr="0039115F" w:rsidRDefault="0039115F" w:rsidP="0039115F">
      <w:pPr>
        <w:numPr>
          <w:ilvl w:val="0"/>
          <w:numId w:val="5"/>
        </w:numPr>
        <w:rPr>
          <w:rFonts w:ascii="Arial" w:hAnsi="Arial" w:cs="Arial"/>
        </w:rPr>
      </w:pPr>
      <w:r w:rsidRPr="0039115F">
        <w:rPr>
          <w:rFonts w:ascii="Arial" w:hAnsi="Arial" w:cs="Arial"/>
          <w:b/>
          <w:bCs/>
        </w:rPr>
        <w:t xml:space="preserve">Nasdaq Returns (Independent Variable): </w:t>
      </w:r>
      <w:r w:rsidRPr="0039115F">
        <w:rPr>
          <w:rFonts w:ascii="Arial" w:hAnsi="Arial" w:cs="Arial"/>
        </w:rPr>
        <w:t>This measures the monthly moves of the Nasdaq index, which reacts more strongly to changes in interest rates than regular stocks.</w:t>
      </w:r>
    </w:p>
    <w:p w14:paraId="2B3AFCE6" w14:textId="77777777" w:rsidR="0039115F" w:rsidRPr="0039115F" w:rsidRDefault="0039115F" w:rsidP="0039115F">
      <w:pPr>
        <w:numPr>
          <w:ilvl w:val="0"/>
          <w:numId w:val="5"/>
        </w:numPr>
        <w:rPr>
          <w:rFonts w:ascii="Arial" w:hAnsi="Arial" w:cs="Arial"/>
        </w:rPr>
      </w:pPr>
      <w:r w:rsidRPr="0039115F">
        <w:rPr>
          <w:rFonts w:ascii="Arial" w:hAnsi="Arial" w:cs="Arial"/>
          <w:b/>
          <w:bCs/>
        </w:rPr>
        <w:t xml:space="preserve">Federal Funds Rate Change (Independent Variable): </w:t>
      </w:r>
      <w:r w:rsidRPr="0039115F">
        <w:rPr>
          <w:rFonts w:ascii="Arial" w:hAnsi="Arial" w:cs="Arial"/>
        </w:rPr>
        <w:t>The monthly fluctuations in the federal funds rate, shows whether the US interest rate goes up or down.</w:t>
      </w:r>
    </w:p>
    <w:p w14:paraId="1104C844" w14:textId="77777777" w:rsidR="0039115F" w:rsidRPr="0039115F" w:rsidRDefault="0039115F" w:rsidP="0039115F">
      <w:pPr>
        <w:rPr>
          <w:rFonts w:ascii="Arial" w:hAnsi="Arial" w:cs="Arial"/>
          <w:b/>
          <w:bCs/>
        </w:rPr>
      </w:pPr>
    </w:p>
    <w:p w14:paraId="7F83A1D4" w14:textId="77777777" w:rsidR="0039115F" w:rsidRPr="0039115F" w:rsidRDefault="0039115F" w:rsidP="0039115F">
      <w:pPr>
        <w:rPr>
          <w:rFonts w:ascii="Arial" w:hAnsi="Arial" w:cs="Arial"/>
          <w:b/>
          <w:bCs/>
        </w:rPr>
      </w:pPr>
      <w:r w:rsidRPr="0039115F">
        <w:rPr>
          <w:rFonts w:ascii="Arial" w:hAnsi="Arial" w:cs="Arial"/>
          <w:b/>
          <w:bCs/>
        </w:rPr>
        <w:t xml:space="preserve">4.3 Data Refinement </w:t>
      </w:r>
    </w:p>
    <w:p w14:paraId="77E44D01" w14:textId="77777777" w:rsidR="0039115F" w:rsidRPr="0039115F" w:rsidRDefault="0039115F" w:rsidP="0039115F">
      <w:pPr>
        <w:rPr>
          <w:rFonts w:ascii="Arial" w:hAnsi="Arial" w:cs="Arial"/>
        </w:rPr>
      </w:pPr>
      <w:r w:rsidRPr="0039115F">
        <w:rPr>
          <w:rFonts w:ascii="Arial" w:hAnsi="Arial" w:cs="Arial"/>
        </w:rPr>
        <w:t>The validity of the findings is dependent upon the systematic cleaning and formatting of raw financial data to ensure it is suitable for analysis. Following a positivist philosophy, this research employs a systematic cleaning process starting with 250 monthly closing prices, the data was refined into 249 percentage-based observations. This ensures that the results are based on objective and high-quality data.</w:t>
      </w:r>
    </w:p>
    <w:p w14:paraId="0C6B1D79" w14:textId="77777777" w:rsidR="0039115F" w:rsidRPr="0039115F" w:rsidRDefault="0039115F" w:rsidP="0039115F">
      <w:pPr>
        <w:rPr>
          <w:rFonts w:ascii="Arial" w:hAnsi="Arial" w:cs="Arial"/>
        </w:rPr>
      </w:pPr>
    </w:p>
    <w:p w14:paraId="0456530C" w14:textId="77777777" w:rsidR="0039115F" w:rsidRPr="0039115F" w:rsidRDefault="0039115F" w:rsidP="0039115F">
      <w:pPr>
        <w:rPr>
          <w:rFonts w:ascii="Arial" w:hAnsi="Arial" w:cs="Arial"/>
          <w:b/>
          <w:bCs/>
        </w:rPr>
      </w:pPr>
      <w:r w:rsidRPr="0039115F">
        <w:rPr>
          <w:rFonts w:ascii="Arial" w:hAnsi="Arial" w:cs="Arial"/>
          <w:b/>
          <w:bCs/>
        </w:rPr>
        <w:t xml:space="preserve">Data Cleaning </w:t>
      </w:r>
    </w:p>
    <w:p w14:paraId="1EAB95E1" w14:textId="13921E6B" w:rsidR="0039115F" w:rsidRDefault="0039115F" w:rsidP="0039115F">
      <w:pPr>
        <w:rPr>
          <w:rFonts w:ascii="Arial" w:hAnsi="Arial" w:cs="Arial"/>
        </w:rPr>
      </w:pPr>
      <w:r w:rsidRPr="0039115F">
        <w:rPr>
          <w:rFonts w:ascii="Arial" w:hAnsi="Arial" w:cs="Arial"/>
        </w:rPr>
        <w:t>The initial phase involved the collection of raw secondary data collected from Yahoo Finance and FRED. This raw data was refined in Excel 365 to ensure accuracy; this process involved addressing missing values and aligning the various asset classes to ensure a reliable foundation for analysis. All data points were aligned by their monthly closing prices to ensure comparability between the different asset classes across the 250-month timeframe. This alignment is vital for measuring the impact of economic crises, specifically the 2008 and COVID-19 crises.</w:t>
      </w:r>
    </w:p>
    <w:p w14:paraId="5AE16484" w14:textId="77777777" w:rsidR="0039115F" w:rsidRPr="0039115F" w:rsidRDefault="0039115F" w:rsidP="0039115F">
      <w:pPr>
        <w:rPr>
          <w:rFonts w:ascii="Arial" w:hAnsi="Arial" w:cs="Arial"/>
        </w:rPr>
      </w:pPr>
    </w:p>
    <w:p w14:paraId="37A1A9D0" w14:textId="77777777" w:rsidR="0039115F" w:rsidRPr="0039115F" w:rsidRDefault="0039115F" w:rsidP="0039115F">
      <w:pPr>
        <w:rPr>
          <w:rFonts w:ascii="Arial" w:hAnsi="Arial" w:cs="Arial"/>
          <w:b/>
          <w:bCs/>
        </w:rPr>
      </w:pPr>
      <w:r w:rsidRPr="0039115F">
        <w:rPr>
          <w:rFonts w:ascii="Arial" w:hAnsi="Arial" w:cs="Arial"/>
          <w:b/>
          <w:bCs/>
        </w:rPr>
        <w:lastRenderedPageBreak/>
        <w:t>4.4 Identification of Rising and Falling Interest Rate Periods</w:t>
      </w:r>
    </w:p>
    <w:p w14:paraId="4FFC5891" w14:textId="77777777" w:rsidR="0039115F" w:rsidRPr="0039115F" w:rsidRDefault="0039115F" w:rsidP="0039115F">
      <w:pPr>
        <w:rPr>
          <w:rFonts w:ascii="Arial" w:hAnsi="Arial" w:cs="Arial"/>
        </w:rPr>
      </w:pPr>
      <w:r w:rsidRPr="0039115F">
        <w:rPr>
          <w:rFonts w:ascii="Arial" w:hAnsi="Arial" w:cs="Arial"/>
        </w:rPr>
        <w:t>This study identifies specific monetary policy regimes by analysing monthly changes in Federal Funds Effective Rate across different interest rate environments. In this analysis, periods are classified into two phases: a rising interest rate regime, captured by a positive monthly difference in the effective rate (∆</w:t>
      </w:r>
      <w:r w:rsidRPr="0039115F">
        <w:rPr>
          <w:rFonts w:ascii="Arial" w:hAnsi="Arial" w:cs="Arial"/>
          <w:i/>
          <w:iCs/>
        </w:rPr>
        <w:t>R</w:t>
      </w:r>
      <w:r w:rsidRPr="0039115F">
        <w:rPr>
          <w:rFonts w:ascii="Arial" w:hAnsi="Arial" w:cs="Arial"/>
        </w:rPr>
        <w:t>ate &gt; 0), and a falling regime defined by a negative difference (∆</w:t>
      </w:r>
      <w:r w:rsidRPr="0039115F">
        <w:rPr>
          <w:rFonts w:ascii="Arial" w:hAnsi="Arial" w:cs="Arial"/>
          <w:i/>
          <w:iCs/>
        </w:rPr>
        <w:t>R</w:t>
      </w:r>
      <w:r w:rsidRPr="0039115F">
        <w:rPr>
          <w:rFonts w:ascii="Arial" w:hAnsi="Arial" w:cs="Arial"/>
        </w:rPr>
        <w:t xml:space="preserve">ate &lt; 0). This classification is required because gold's effectiveness as a safe haven depends on monetary policy. </w:t>
      </w:r>
    </w:p>
    <w:p w14:paraId="1EDEA1DF" w14:textId="77777777" w:rsidR="0039115F" w:rsidRPr="0039115F" w:rsidRDefault="0039115F" w:rsidP="0039115F">
      <w:pPr>
        <w:rPr>
          <w:rFonts w:ascii="Arial" w:hAnsi="Arial" w:cs="Arial"/>
          <w:b/>
          <w:bCs/>
        </w:rPr>
      </w:pPr>
    </w:p>
    <w:p w14:paraId="5DF4B0C4" w14:textId="77777777" w:rsidR="0039115F" w:rsidRPr="0039115F" w:rsidRDefault="0039115F" w:rsidP="0039115F">
      <w:pPr>
        <w:rPr>
          <w:rFonts w:ascii="Arial" w:hAnsi="Arial" w:cs="Arial"/>
          <w:b/>
          <w:bCs/>
        </w:rPr>
      </w:pPr>
      <w:r w:rsidRPr="0039115F">
        <w:rPr>
          <w:rFonts w:ascii="Arial" w:hAnsi="Arial" w:cs="Arial"/>
          <w:b/>
          <w:bCs/>
        </w:rPr>
        <w:t xml:space="preserve">4.5 Descriptive Statistical Analysis </w:t>
      </w:r>
    </w:p>
    <w:p w14:paraId="0F2E375B" w14:textId="77777777" w:rsidR="0039115F" w:rsidRPr="0039115F" w:rsidRDefault="0039115F" w:rsidP="0039115F">
      <w:pPr>
        <w:rPr>
          <w:rFonts w:ascii="Arial" w:hAnsi="Arial" w:cs="Arial"/>
        </w:rPr>
      </w:pPr>
      <w:r w:rsidRPr="0039115F">
        <w:rPr>
          <w:rFonts w:ascii="Arial" w:hAnsi="Arial" w:cs="Arial"/>
        </w:rPr>
        <w:t>This section provides the variables used to test the hypothesis of gold as a hedge and safe haven across different monetary cycles observed from 2005 to 2025. The study uses 249 monthly observations to capture major economic shifts, including the 2008 Global Financial Crisis and COVID-19. The investigation examines gold's behaviour during equity market shocks by analysing interest rate fluctuations during times of financial pressure.</w:t>
      </w:r>
    </w:p>
    <w:p w14:paraId="0025778C" w14:textId="1E71BBFF" w:rsidR="0039115F" w:rsidRPr="0039115F" w:rsidRDefault="0039115F" w:rsidP="0039115F">
      <w:pPr>
        <w:rPr>
          <w:rFonts w:ascii="Arial" w:hAnsi="Arial" w:cs="Arial"/>
          <w:b/>
          <w:bCs/>
        </w:rPr>
      </w:pPr>
      <w:r w:rsidRPr="0039115F">
        <w:rPr>
          <w:rFonts w:ascii="Arial" w:hAnsi="Arial" w:cs="Arial"/>
          <w:b/>
          <w:noProof/>
        </w:rPr>
        <w:drawing>
          <wp:inline distT="0" distB="0" distL="0" distR="0" wp14:anchorId="036D28B3" wp14:editId="1AFE077B">
            <wp:extent cx="5731510" cy="3543935"/>
            <wp:effectExtent l="0" t="0" r="2540" b="0"/>
            <wp:docPr id="10835667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15732745" w14:textId="7DB645B9" w:rsidR="00E51048" w:rsidRPr="00714C82" w:rsidRDefault="00E51048" w:rsidP="00E51048">
      <w:pPr>
        <w:jc w:val="center"/>
        <w:rPr>
          <w:rFonts w:ascii="Arial" w:hAnsi="Arial" w:cs="Arial"/>
          <w:b/>
          <w:bCs/>
        </w:rPr>
      </w:pPr>
      <w:r w:rsidRPr="00714C82">
        <w:rPr>
          <w:rFonts w:ascii="Arial" w:hAnsi="Arial" w:cs="Arial"/>
          <w:b/>
          <w:bCs/>
        </w:rPr>
        <w:t>Table 2: Descriptive Statistics Table</w:t>
      </w:r>
    </w:p>
    <w:p w14:paraId="3867ED3B" w14:textId="77777777" w:rsidR="0039115F" w:rsidRDefault="0039115F" w:rsidP="00E51048">
      <w:pPr>
        <w:jc w:val="center"/>
        <w:rPr>
          <w:rFonts w:ascii="Arial" w:hAnsi="Arial" w:cs="Arial"/>
          <w:b/>
          <w:bCs/>
        </w:rPr>
      </w:pPr>
      <w:r w:rsidRPr="0039115F">
        <w:rPr>
          <w:rFonts w:ascii="Arial" w:hAnsi="Arial" w:cs="Arial"/>
          <w:b/>
          <w:bCs/>
        </w:rPr>
        <w:t>(Source:</w:t>
      </w:r>
      <w:r w:rsidRPr="0039115F">
        <w:rPr>
          <w:rFonts w:ascii="Arial" w:hAnsi="Arial" w:cs="Arial"/>
        </w:rPr>
        <w:t xml:space="preserve"> Microsoft Excel Data Analysis </w:t>
      </w:r>
      <w:proofErr w:type="spellStart"/>
      <w:r w:rsidRPr="0039115F">
        <w:rPr>
          <w:rFonts w:ascii="Arial" w:hAnsi="Arial" w:cs="Arial"/>
        </w:rPr>
        <w:t>Toolpak</w:t>
      </w:r>
      <w:proofErr w:type="spellEnd"/>
      <w:r w:rsidRPr="0039115F">
        <w:rPr>
          <w:rFonts w:ascii="Arial" w:hAnsi="Arial" w:cs="Arial"/>
          <w:b/>
          <w:bCs/>
        </w:rPr>
        <w:t>)</w:t>
      </w:r>
    </w:p>
    <w:p w14:paraId="11DA6AF7" w14:textId="77777777" w:rsidR="009373D1" w:rsidRPr="009373D1" w:rsidRDefault="009373D1" w:rsidP="009373D1">
      <w:pPr>
        <w:rPr>
          <w:rFonts w:ascii="Arial" w:hAnsi="Arial" w:cs="Arial"/>
          <w:b/>
          <w:bCs/>
        </w:rPr>
      </w:pPr>
      <w:r w:rsidRPr="009373D1">
        <w:rPr>
          <w:rFonts w:ascii="Arial" w:hAnsi="Arial" w:cs="Arial"/>
          <w:b/>
          <w:bCs/>
        </w:rPr>
        <w:lastRenderedPageBreak/>
        <w:t xml:space="preserve">4.5.1 Gold Return Analysis </w:t>
      </w:r>
    </w:p>
    <w:p w14:paraId="03463A7C" w14:textId="77777777" w:rsidR="009373D1" w:rsidRPr="009373D1" w:rsidRDefault="009373D1" w:rsidP="009373D1">
      <w:pPr>
        <w:rPr>
          <w:rFonts w:ascii="Arial" w:hAnsi="Arial" w:cs="Arial"/>
        </w:rPr>
      </w:pPr>
      <w:r w:rsidRPr="009373D1">
        <w:rPr>
          <w:rFonts w:ascii="Arial" w:hAnsi="Arial" w:cs="Arial"/>
        </w:rPr>
        <w:t>Over the 20-year period, gold maintained stable growth with a mean return of 0.01, reflecting its long-term reliability as an asset. When interest rates fell, the asset performed well; its rose slightly to 0.012. The data indicates that investor demand for gold increases during periods of lower interest rates, as the opportunity cost of holding non-yielding assets is reduced.</w:t>
      </w:r>
    </w:p>
    <w:p w14:paraId="383E55BA" w14:textId="77777777" w:rsidR="009373D1" w:rsidRPr="009373D1" w:rsidRDefault="009373D1" w:rsidP="009373D1">
      <w:pPr>
        <w:rPr>
          <w:rFonts w:ascii="Arial" w:hAnsi="Arial" w:cs="Arial"/>
        </w:rPr>
      </w:pPr>
      <w:r w:rsidRPr="009373D1">
        <w:rPr>
          <w:rFonts w:ascii="Arial" w:hAnsi="Arial" w:cs="Arial"/>
        </w:rPr>
        <w:t>However, gold returns demonstrated higher volatility during periods of falling interest rates (σ = 0.06) compared to periods of rising rates (σ = 0.042). According to Baur and Lucey (2010), gold functions as safe-haven asset during extreme market volatility. Its performance as a safe haven is most effective during high levels of financial instability. High volatility during the 2005 - 2025 rate-cut cycles was driven by external shocks such as the 2008 Global Financial Crisis and COVID-19 Pandemic. Gold prices increase during periods of investor fear but remain relatively stable during interest rate cycles. Ultimately, gold acts as a reliable safe-haven asset when the Fed cuts rates, because gold prices usually rise when the market is volatile.</w:t>
      </w:r>
    </w:p>
    <w:p w14:paraId="4A6BA0A1" w14:textId="77777777" w:rsidR="009373D1" w:rsidRPr="009373D1" w:rsidRDefault="009373D1" w:rsidP="009373D1">
      <w:pPr>
        <w:rPr>
          <w:rFonts w:ascii="Arial" w:hAnsi="Arial" w:cs="Arial"/>
          <w:b/>
          <w:bCs/>
        </w:rPr>
      </w:pPr>
    </w:p>
    <w:p w14:paraId="1DFE2C16" w14:textId="77777777" w:rsidR="009373D1" w:rsidRPr="009373D1" w:rsidRDefault="009373D1" w:rsidP="009373D1">
      <w:pPr>
        <w:rPr>
          <w:rFonts w:ascii="Arial" w:hAnsi="Arial" w:cs="Arial"/>
          <w:b/>
          <w:bCs/>
        </w:rPr>
      </w:pPr>
      <w:r w:rsidRPr="009373D1">
        <w:rPr>
          <w:rFonts w:ascii="Arial" w:hAnsi="Arial" w:cs="Arial"/>
          <w:b/>
          <w:bCs/>
        </w:rPr>
        <w:t xml:space="preserve">4.5.2 Equity Return Analysis </w:t>
      </w:r>
    </w:p>
    <w:p w14:paraId="3AEE1B8A" w14:textId="77777777" w:rsidR="009373D1" w:rsidRPr="009373D1" w:rsidRDefault="009373D1" w:rsidP="009373D1">
      <w:pPr>
        <w:rPr>
          <w:rFonts w:ascii="Arial" w:hAnsi="Arial" w:cs="Arial"/>
        </w:rPr>
      </w:pPr>
      <w:r w:rsidRPr="009373D1">
        <w:rPr>
          <w:rFonts w:ascii="Arial" w:hAnsi="Arial" w:cs="Arial"/>
        </w:rPr>
        <w:t>The S&amp;P 500 and the Nasdaq are reacting differently to interest rate changes, showing how much those rates affect the equity indices. During periods of declining interest rates, the S&amp;P 500 recorded a slightly negative mean return of -0.001, while the Nasdaq's return fell to 0.009, down from its full-period average of 0.012.</w:t>
      </w:r>
    </w:p>
    <w:p w14:paraId="5BA344EA" w14:textId="77777777" w:rsidR="009373D1" w:rsidRDefault="009373D1" w:rsidP="009373D1">
      <w:pPr>
        <w:rPr>
          <w:rFonts w:ascii="Arial" w:hAnsi="Arial" w:cs="Arial"/>
        </w:rPr>
      </w:pPr>
      <w:r w:rsidRPr="009373D1">
        <w:rPr>
          <w:rFonts w:ascii="Arial" w:hAnsi="Arial" w:cs="Arial"/>
        </w:rPr>
        <w:t>Both indices recorded their worst performance while interest rates were declining because these periods align with economic shocks like the 2008 financial crash and the 2020 pandemic. For instance, the S&amp;P 500 dropped to -0.197 during a falling rate period, which supports the idea that these are times of 'significant pressure' for the stock market. In contrast to the negative return of the S&amp;P 500 during phases of economic instability, gold's positive return of 0.012 demonstrates its role as a protective hedge. This finding supports the gold as a Safe-Haven asset during high market volatility (Baur and Lucey, 2010).</w:t>
      </w:r>
    </w:p>
    <w:p w14:paraId="75BF67D7" w14:textId="77777777" w:rsidR="009373D1" w:rsidRDefault="009373D1" w:rsidP="009373D1">
      <w:pPr>
        <w:rPr>
          <w:rFonts w:ascii="Arial" w:hAnsi="Arial" w:cs="Arial"/>
        </w:rPr>
      </w:pPr>
    </w:p>
    <w:p w14:paraId="173C65FD" w14:textId="77777777" w:rsidR="00AD0DFE" w:rsidRPr="00AD0DFE" w:rsidRDefault="00AD0DFE" w:rsidP="00AD0DFE">
      <w:pPr>
        <w:rPr>
          <w:rFonts w:ascii="Arial" w:hAnsi="Arial" w:cs="Arial"/>
          <w:b/>
          <w:bCs/>
        </w:rPr>
      </w:pPr>
      <w:r w:rsidRPr="00AD0DFE">
        <w:rPr>
          <w:rFonts w:ascii="Arial" w:hAnsi="Arial" w:cs="Arial"/>
          <w:b/>
          <w:bCs/>
        </w:rPr>
        <w:lastRenderedPageBreak/>
        <w:t xml:space="preserve">4.5.3 Interest Rate Behaviour Analysis </w:t>
      </w:r>
    </w:p>
    <w:p w14:paraId="03214B2B" w14:textId="77777777" w:rsidR="00AD0DFE" w:rsidRPr="00AD0DFE" w:rsidRDefault="00AD0DFE" w:rsidP="00AD0DFE">
      <w:pPr>
        <w:rPr>
          <w:rFonts w:ascii="Arial" w:hAnsi="Arial" w:cs="Arial"/>
        </w:rPr>
      </w:pPr>
      <w:r w:rsidRPr="00AD0DFE">
        <w:rPr>
          <w:rFonts w:ascii="Arial" w:hAnsi="Arial" w:cs="Arial"/>
        </w:rPr>
        <w:t xml:space="preserve">The Federal Funds Rate showed high variance during the study period, with a standard deviation of 0.173. The data illustrates significant fluctuations in monetary policy; notable peaks in the tightening phase were recorded at 0.700, while easing phases were defined by decreases of up to 0.960. These actions represent the Federal Reserve's monetary policy shifts in response to the economic instability caused by the COVID-19 pandemic (Ihrig, Weinbach and </w:t>
      </w:r>
      <w:proofErr w:type="spellStart"/>
      <w:r w:rsidRPr="00AD0DFE">
        <w:rPr>
          <w:rFonts w:ascii="Arial" w:hAnsi="Arial" w:cs="Arial"/>
        </w:rPr>
        <w:t>Wolla</w:t>
      </w:r>
      <w:proofErr w:type="spellEnd"/>
      <w:r w:rsidRPr="00AD0DFE">
        <w:rPr>
          <w:rFonts w:ascii="Arial" w:hAnsi="Arial" w:cs="Arial"/>
        </w:rPr>
        <w:t>, 2020).</w:t>
      </w:r>
    </w:p>
    <w:p w14:paraId="2F4D6333" w14:textId="77777777" w:rsidR="00AD0DFE" w:rsidRPr="00AD0DFE" w:rsidRDefault="00AD0DFE" w:rsidP="00AD0DFE">
      <w:pPr>
        <w:rPr>
          <w:rFonts w:ascii="Arial" w:hAnsi="Arial" w:cs="Arial"/>
          <w:b/>
          <w:bCs/>
        </w:rPr>
      </w:pPr>
      <w:r w:rsidRPr="00AD0DFE">
        <w:rPr>
          <w:rFonts w:ascii="Arial" w:hAnsi="Arial" w:cs="Arial"/>
          <w:b/>
          <w:bCs/>
        </w:rPr>
        <w:t xml:space="preserve">4.5.4 Observations </w:t>
      </w:r>
    </w:p>
    <w:p w14:paraId="46E3664F" w14:textId="77777777" w:rsidR="00AD0DFE" w:rsidRPr="00AD0DFE" w:rsidRDefault="00AD0DFE" w:rsidP="00AD0DFE">
      <w:pPr>
        <w:rPr>
          <w:rFonts w:ascii="Arial" w:hAnsi="Arial" w:cs="Arial"/>
        </w:rPr>
      </w:pPr>
      <w:r w:rsidRPr="00AD0DFE">
        <w:rPr>
          <w:rFonts w:ascii="Arial" w:hAnsi="Arial" w:cs="Arial"/>
        </w:rPr>
        <w:t>The descriptive statistics provide foundational support for H2, which identifies gold as a safe-haven asset. These findings indicate that as stock market performance weakens and interest rates fall, gold retains its status as a reliable investment asset. When the economy shrinks and interest rates fall, gold becomes a more profitable asset. Data shows that gold performs better during times of falling rates (0.012) than it does over the full period (0.010).</w:t>
      </w:r>
    </w:p>
    <w:p w14:paraId="1CD8B9D2" w14:textId="77777777" w:rsidR="00AD0DFE" w:rsidRPr="00AD0DFE" w:rsidRDefault="00AD0DFE" w:rsidP="00AD0DFE">
      <w:pPr>
        <w:rPr>
          <w:rFonts w:ascii="Arial" w:hAnsi="Arial" w:cs="Arial"/>
        </w:rPr>
      </w:pPr>
      <w:r w:rsidRPr="00AD0DFE">
        <w:rPr>
          <w:rFonts w:ascii="Arial" w:hAnsi="Arial" w:cs="Arial"/>
        </w:rPr>
        <w:t>These data highlights that the significant inverse relationship between gold and equity markets reaches its peak during periods when monetary policy reduces interest rates in response to high market volatility.</w:t>
      </w:r>
    </w:p>
    <w:p w14:paraId="415D6DF4" w14:textId="77777777" w:rsidR="00AD0DFE" w:rsidRPr="00AD0DFE" w:rsidRDefault="00AD0DFE" w:rsidP="00AD0DFE">
      <w:pPr>
        <w:rPr>
          <w:rFonts w:ascii="Arial" w:hAnsi="Arial" w:cs="Arial"/>
        </w:rPr>
      </w:pPr>
    </w:p>
    <w:p w14:paraId="384FFA1D" w14:textId="77777777" w:rsidR="00AD0DFE" w:rsidRPr="00AD0DFE" w:rsidRDefault="00AD0DFE" w:rsidP="00AD0DFE">
      <w:pPr>
        <w:rPr>
          <w:rFonts w:ascii="Arial" w:hAnsi="Arial" w:cs="Arial"/>
          <w:b/>
          <w:bCs/>
        </w:rPr>
      </w:pPr>
      <w:r w:rsidRPr="00AD0DFE">
        <w:rPr>
          <w:rFonts w:ascii="Arial" w:hAnsi="Arial" w:cs="Arial"/>
          <w:b/>
          <w:bCs/>
        </w:rPr>
        <w:t>4.6 Correlation Analysis</w:t>
      </w:r>
    </w:p>
    <w:p w14:paraId="6F3B0785" w14:textId="77777777" w:rsidR="00AD0DFE" w:rsidRPr="00AD0DFE" w:rsidRDefault="00AD0DFE" w:rsidP="00AD0DFE">
      <w:pPr>
        <w:rPr>
          <w:rFonts w:ascii="Arial" w:hAnsi="Arial" w:cs="Arial"/>
        </w:rPr>
      </w:pPr>
      <w:r w:rsidRPr="00AD0DFE">
        <w:rPr>
          <w:rFonts w:ascii="Arial" w:hAnsi="Arial" w:cs="Arial"/>
        </w:rPr>
        <w:t>This section examines the relationship between gold and US equities (S&amp;P 500 and Nasdaq) across different interest rate regimes from 2005 to 2025. Using Pearson's correlation coefficients, this research analyses how the relationship changes in response to Federal Reserve monetary policy. Furthermore, it evaluates whether gold's role as diversifier remains constant or shifts according to these policies, specifically examining gold's ability to act as a 'Safe Haven'.</w:t>
      </w:r>
    </w:p>
    <w:p w14:paraId="469C631D" w14:textId="77777777" w:rsidR="00AD0DFE" w:rsidRPr="00AD0DFE" w:rsidRDefault="00AD0DFE" w:rsidP="00AD0DFE">
      <w:pPr>
        <w:rPr>
          <w:rFonts w:ascii="Arial" w:hAnsi="Arial" w:cs="Arial"/>
        </w:rPr>
      </w:pPr>
    </w:p>
    <w:p w14:paraId="78933BA7" w14:textId="77777777" w:rsidR="00AD0DFE" w:rsidRPr="00AD0DFE" w:rsidRDefault="00AD0DFE" w:rsidP="00AD0DFE">
      <w:pPr>
        <w:rPr>
          <w:rFonts w:ascii="Arial" w:hAnsi="Arial" w:cs="Arial"/>
          <w:b/>
          <w:bCs/>
        </w:rPr>
      </w:pPr>
      <w:r w:rsidRPr="00AD0DFE">
        <w:rPr>
          <w:rFonts w:ascii="Arial" w:hAnsi="Arial" w:cs="Arial"/>
          <w:b/>
          <w:bCs/>
        </w:rPr>
        <w:t>4.6.1 Methodology of Correlation Analysis</w:t>
      </w:r>
    </w:p>
    <w:p w14:paraId="436479FE" w14:textId="77777777" w:rsidR="00AD0DFE" w:rsidRPr="00AD0DFE" w:rsidRDefault="00AD0DFE" w:rsidP="00AD0DFE">
      <w:pPr>
        <w:rPr>
          <w:rFonts w:ascii="Arial" w:hAnsi="Arial" w:cs="Arial"/>
        </w:rPr>
      </w:pPr>
      <w:r w:rsidRPr="00AD0DFE">
        <w:rPr>
          <w:rFonts w:ascii="Arial" w:hAnsi="Arial" w:cs="Arial"/>
        </w:rPr>
        <w:t xml:space="preserve">The primary objective of this section is to determine the strength of the linear relationship between gold returns and US equity returns (S&amp;P 500 and Nasdaq) shifts across different interest rates. Modern Portfolio Theory utilizes Pearson's Correlation </w:t>
      </w:r>
      <w:r w:rsidRPr="00AD0DFE">
        <w:rPr>
          <w:rFonts w:ascii="Arial" w:hAnsi="Arial" w:cs="Arial"/>
        </w:rPr>
        <w:lastRenderedPageBreak/>
        <w:t>Coefficient to evaluate the asset interdependence. When gold exhibits a correlation coefficient near zero, it confirms its role as a diversifier, this implies that gold's price stabilizes a portfolio by failing to follow the volatility of the broader market (</w:t>
      </w:r>
      <w:proofErr w:type="spellStart"/>
      <w:r w:rsidRPr="00AD0DFE">
        <w:rPr>
          <w:rFonts w:ascii="Arial" w:hAnsi="Arial" w:cs="Arial"/>
        </w:rPr>
        <w:t>Michis</w:t>
      </w:r>
      <w:proofErr w:type="spellEnd"/>
      <w:r w:rsidRPr="00AD0DFE">
        <w:rPr>
          <w:rFonts w:ascii="Arial" w:hAnsi="Arial" w:cs="Arial"/>
        </w:rPr>
        <w:t>, 2022). This research is evaluated across three specific parts: the full-sample correlation analysis, periods of rising rates, and periods of falling rates. This segmentation is crucial to testing the 'conditional safe haven' theory; it allows for an investigation into whether gold's hedging capabilities are constant or fluctuate in response to Federal Reserve's policy.</w:t>
      </w:r>
    </w:p>
    <w:p w14:paraId="68E52E64" w14:textId="77777777" w:rsidR="00AD0DFE" w:rsidRPr="00AD0DFE" w:rsidRDefault="00AD0DFE" w:rsidP="00AD0DFE">
      <w:pPr>
        <w:rPr>
          <w:rFonts w:ascii="Arial" w:hAnsi="Arial" w:cs="Arial"/>
          <w:b/>
          <w:bCs/>
        </w:rPr>
      </w:pPr>
      <w:r w:rsidRPr="00AD0DFE">
        <w:rPr>
          <w:rFonts w:ascii="Arial" w:hAnsi="Arial" w:cs="Arial"/>
          <w:b/>
          <w:bCs/>
        </w:rPr>
        <w:t>4.6.2 Full- Period Correlation Analysis</w:t>
      </w:r>
    </w:p>
    <w:p w14:paraId="3B3190E3" w14:textId="77777777" w:rsidR="00AD0DFE" w:rsidRPr="00AD0DFE" w:rsidRDefault="00AD0DFE" w:rsidP="00AD0DFE">
      <w:pPr>
        <w:rPr>
          <w:rFonts w:ascii="Arial" w:hAnsi="Arial" w:cs="Arial"/>
        </w:rPr>
      </w:pPr>
      <w:r w:rsidRPr="00AD0DFE">
        <w:rPr>
          <w:rFonts w:ascii="Arial" w:hAnsi="Arial" w:cs="Arial"/>
        </w:rPr>
        <w:t>The analysis of the historical data provides a long-term baseline for gold's behaviour. As illustrated in the table, gold's correlation with the S&amp;P 500 (0.0517) and the Nasdaq (0.0505) suggests that its price movements are independent of major stock market indices.</w:t>
      </w:r>
    </w:p>
    <w:p w14:paraId="63759783" w14:textId="4E3698D0" w:rsidR="007D3A99" w:rsidRPr="007D3A99" w:rsidRDefault="007D3A99" w:rsidP="007D3A99">
      <w:pPr>
        <w:rPr>
          <w:rFonts w:ascii="Arial" w:hAnsi="Arial" w:cs="Arial"/>
          <w:b/>
          <w:bCs/>
        </w:rPr>
      </w:pPr>
      <w:r w:rsidRPr="007D3A99">
        <w:rPr>
          <w:rFonts w:ascii="Arial" w:hAnsi="Arial" w:cs="Arial"/>
          <w:b/>
          <w:noProof/>
        </w:rPr>
        <w:drawing>
          <wp:inline distT="0" distB="0" distL="0" distR="0" wp14:anchorId="03871633" wp14:editId="27038CA0">
            <wp:extent cx="5731510" cy="1234440"/>
            <wp:effectExtent l="0" t="0" r="2540" b="3810"/>
            <wp:docPr id="19970603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234440"/>
                    </a:xfrm>
                    <a:prstGeom prst="rect">
                      <a:avLst/>
                    </a:prstGeom>
                    <a:noFill/>
                    <a:ln>
                      <a:noFill/>
                    </a:ln>
                  </pic:spPr>
                </pic:pic>
              </a:graphicData>
            </a:graphic>
          </wp:inline>
        </w:drawing>
      </w:r>
    </w:p>
    <w:p w14:paraId="735D3B57" w14:textId="77777777" w:rsidR="007D3A99" w:rsidRPr="007D3A99" w:rsidRDefault="007D3A99" w:rsidP="007D3A99">
      <w:pPr>
        <w:jc w:val="center"/>
        <w:rPr>
          <w:rFonts w:ascii="Arial" w:hAnsi="Arial" w:cs="Arial"/>
          <w:b/>
          <w:bCs/>
        </w:rPr>
      </w:pPr>
      <w:r w:rsidRPr="007D3A99">
        <w:rPr>
          <w:rFonts w:ascii="Arial" w:hAnsi="Arial" w:cs="Arial"/>
          <w:b/>
          <w:bCs/>
        </w:rPr>
        <w:t xml:space="preserve">Table </w:t>
      </w:r>
      <w:r>
        <w:rPr>
          <w:rFonts w:ascii="Arial" w:hAnsi="Arial" w:cs="Arial"/>
          <w:b/>
          <w:bCs/>
        </w:rPr>
        <w:t>3</w:t>
      </w:r>
      <w:r w:rsidRPr="007D3A99">
        <w:rPr>
          <w:rFonts w:ascii="Arial" w:hAnsi="Arial" w:cs="Arial"/>
          <w:b/>
          <w:bCs/>
        </w:rPr>
        <w:t>: Correlation Matrix for Full Period (2005-2025)</w:t>
      </w:r>
    </w:p>
    <w:p w14:paraId="31426F02" w14:textId="77777777" w:rsidR="007D3A99" w:rsidRPr="007D3A99" w:rsidRDefault="007D3A99" w:rsidP="007D3A99">
      <w:pPr>
        <w:jc w:val="center"/>
        <w:rPr>
          <w:rFonts w:ascii="Arial" w:hAnsi="Arial" w:cs="Arial"/>
          <w:b/>
          <w:bCs/>
        </w:rPr>
      </w:pPr>
      <w:r w:rsidRPr="007D3A99">
        <w:rPr>
          <w:rFonts w:ascii="Arial" w:hAnsi="Arial" w:cs="Arial"/>
          <w:b/>
          <w:bCs/>
        </w:rPr>
        <w:t>(Source:</w:t>
      </w:r>
      <w:r w:rsidRPr="007D3A99">
        <w:rPr>
          <w:rFonts w:ascii="Arial" w:hAnsi="Arial" w:cs="Arial"/>
        </w:rPr>
        <w:t xml:space="preserve"> Microsoft Excel Data Analysis </w:t>
      </w:r>
      <w:proofErr w:type="spellStart"/>
      <w:r w:rsidRPr="007D3A99">
        <w:rPr>
          <w:rFonts w:ascii="Arial" w:hAnsi="Arial" w:cs="Arial"/>
        </w:rPr>
        <w:t>Toolpak</w:t>
      </w:r>
      <w:proofErr w:type="spellEnd"/>
      <w:r w:rsidRPr="007D3A99">
        <w:rPr>
          <w:rFonts w:ascii="Arial" w:hAnsi="Arial" w:cs="Arial"/>
          <w:b/>
          <w:bCs/>
        </w:rPr>
        <w:t>)</w:t>
      </w:r>
    </w:p>
    <w:p w14:paraId="5CA96136" w14:textId="77777777" w:rsidR="007D3A99" w:rsidRDefault="007D3A99" w:rsidP="007D3A99">
      <w:pPr>
        <w:rPr>
          <w:rFonts w:ascii="Arial" w:hAnsi="Arial" w:cs="Arial"/>
        </w:rPr>
      </w:pPr>
      <w:r w:rsidRPr="007D3A99">
        <w:rPr>
          <w:rFonts w:ascii="Arial" w:hAnsi="Arial" w:cs="Arial"/>
        </w:rPr>
        <w:t>The results indicate a weak correlation between the gold prices and stock indices over time. This finding proves that gold is an independent asset because it reacts differently than equities. While the stock market depends on corporate earnings and economy growth, gold does not. Consequently, gold has historically served as a non-correlated asset relative to the US markets. Beckmann et al. (2015) suggest that gold consistently functions as a hedge and safe haven through the long term. Gold's performance supports the objectives of providing portfolio stability and acting as a hedge against market volatility.</w:t>
      </w:r>
    </w:p>
    <w:p w14:paraId="0209C6CA" w14:textId="77777777" w:rsidR="00784698" w:rsidRDefault="00784698" w:rsidP="007D3A99">
      <w:pPr>
        <w:rPr>
          <w:rFonts w:ascii="Arial" w:hAnsi="Arial" w:cs="Arial"/>
        </w:rPr>
      </w:pPr>
    </w:p>
    <w:p w14:paraId="63ED692F" w14:textId="77777777" w:rsidR="00784698" w:rsidRDefault="00784698" w:rsidP="007D3A99">
      <w:pPr>
        <w:rPr>
          <w:rFonts w:ascii="Arial" w:hAnsi="Arial" w:cs="Arial"/>
        </w:rPr>
      </w:pPr>
    </w:p>
    <w:p w14:paraId="068CBEA2" w14:textId="77777777" w:rsidR="00784698" w:rsidRPr="00784698" w:rsidRDefault="00784698" w:rsidP="00784698">
      <w:pPr>
        <w:rPr>
          <w:rFonts w:ascii="Arial" w:hAnsi="Arial" w:cs="Arial"/>
          <w:b/>
          <w:bCs/>
        </w:rPr>
      </w:pPr>
      <w:r w:rsidRPr="00784698">
        <w:rPr>
          <w:rFonts w:ascii="Arial" w:hAnsi="Arial" w:cs="Arial"/>
          <w:b/>
          <w:bCs/>
        </w:rPr>
        <w:lastRenderedPageBreak/>
        <w:t>4.6.3 Correlation During Rising Rate Periods</w:t>
      </w:r>
    </w:p>
    <w:p w14:paraId="607A11EF" w14:textId="77777777" w:rsidR="00784698" w:rsidRPr="00784698" w:rsidRDefault="00784698" w:rsidP="00784698">
      <w:pPr>
        <w:rPr>
          <w:rFonts w:ascii="Arial" w:hAnsi="Arial" w:cs="Arial"/>
        </w:rPr>
      </w:pPr>
      <w:r w:rsidRPr="00784698">
        <w:rPr>
          <w:rFonts w:ascii="Arial" w:hAnsi="Arial" w:cs="Arial"/>
        </w:rPr>
        <w:t>The correlation results for the 109 observations during rising rate periods are presented in table.</w:t>
      </w:r>
    </w:p>
    <w:p w14:paraId="451A7CE4" w14:textId="0E3E93C6" w:rsidR="00784698" w:rsidRPr="00784698" w:rsidRDefault="00784698" w:rsidP="00784698">
      <w:pPr>
        <w:rPr>
          <w:rFonts w:ascii="Arial" w:hAnsi="Arial" w:cs="Arial"/>
          <w:b/>
          <w:bCs/>
        </w:rPr>
      </w:pPr>
      <w:r w:rsidRPr="00784698">
        <w:rPr>
          <w:rFonts w:ascii="Arial" w:hAnsi="Arial" w:cs="Arial"/>
          <w:b/>
          <w:noProof/>
        </w:rPr>
        <w:drawing>
          <wp:inline distT="0" distB="0" distL="0" distR="0" wp14:anchorId="1DCE1873" wp14:editId="07DEED34">
            <wp:extent cx="5731510" cy="1139190"/>
            <wp:effectExtent l="0" t="0" r="2540" b="3810"/>
            <wp:docPr id="20532854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139190"/>
                    </a:xfrm>
                    <a:prstGeom prst="rect">
                      <a:avLst/>
                    </a:prstGeom>
                    <a:noFill/>
                    <a:ln>
                      <a:noFill/>
                    </a:ln>
                  </pic:spPr>
                </pic:pic>
              </a:graphicData>
            </a:graphic>
          </wp:inline>
        </w:drawing>
      </w:r>
    </w:p>
    <w:p w14:paraId="7E52D75C" w14:textId="77777777" w:rsidR="00784698" w:rsidRPr="00784698" w:rsidRDefault="00784698" w:rsidP="00784698">
      <w:pPr>
        <w:jc w:val="center"/>
        <w:rPr>
          <w:rFonts w:ascii="Arial" w:hAnsi="Arial" w:cs="Arial"/>
          <w:b/>
          <w:bCs/>
        </w:rPr>
      </w:pPr>
      <w:r w:rsidRPr="00784698">
        <w:rPr>
          <w:rFonts w:ascii="Arial" w:hAnsi="Arial" w:cs="Arial"/>
          <w:b/>
          <w:bCs/>
        </w:rPr>
        <w:t xml:space="preserve">Table </w:t>
      </w:r>
      <w:r>
        <w:rPr>
          <w:rFonts w:ascii="Arial" w:hAnsi="Arial" w:cs="Arial"/>
          <w:b/>
          <w:bCs/>
        </w:rPr>
        <w:t>4</w:t>
      </w:r>
      <w:r w:rsidRPr="00784698">
        <w:rPr>
          <w:rFonts w:ascii="Arial" w:hAnsi="Arial" w:cs="Arial"/>
          <w:b/>
          <w:bCs/>
        </w:rPr>
        <w:t>: Correlation Matrix: Rising Rate Periods</w:t>
      </w:r>
    </w:p>
    <w:p w14:paraId="243612FE" w14:textId="77777777" w:rsidR="00784698" w:rsidRPr="00784698" w:rsidRDefault="00784698" w:rsidP="00784698">
      <w:pPr>
        <w:jc w:val="center"/>
        <w:rPr>
          <w:rFonts w:ascii="Arial" w:hAnsi="Arial" w:cs="Arial"/>
          <w:b/>
          <w:bCs/>
        </w:rPr>
      </w:pPr>
      <w:r w:rsidRPr="00784698">
        <w:rPr>
          <w:rFonts w:ascii="Arial" w:hAnsi="Arial" w:cs="Arial"/>
          <w:b/>
          <w:bCs/>
        </w:rPr>
        <w:t>(Source:</w:t>
      </w:r>
      <w:r w:rsidRPr="00784698">
        <w:rPr>
          <w:rFonts w:ascii="Arial" w:hAnsi="Arial" w:cs="Arial"/>
        </w:rPr>
        <w:t xml:space="preserve"> Microsoft Excel Data Analysis </w:t>
      </w:r>
      <w:proofErr w:type="spellStart"/>
      <w:r w:rsidRPr="00784698">
        <w:rPr>
          <w:rFonts w:ascii="Arial" w:hAnsi="Arial" w:cs="Arial"/>
        </w:rPr>
        <w:t>Toolpak</w:t>
      </w:r>
      <w:proofErr w:type="spellEnd"/>
      <w:r w:rsidRPr="00784698">
        <w:rPr>
          <w:rFonts w:ascii="Arial" w:hAnsi="Arial" w:cs="Arial"/>
          <w:b/>
          <w:bCs/>
        </w:rPr>
        <w:t>)</w:t>
      </w:r>
    </w:p>
    <w:p w14:paraId="49835DC9" w14:textId="77777777" w:rsidR="00784698" w:rsidRDefault="00784698" w:rsidP="00784698">
      <w:pPr>
        <w:rPr>
          <w:rFonts w:ascii="Arial" w:hAnsi="Arial" w:cs="Arial"/>
        </w:rPr>
      </w:pPr>
      <w:r w:rsidRPr="00784698">
        <w:rPr>
          <w:rFonts w:ascii="Arial" w:hAnsi="Arial" w:cs="Arial"/>
        </w:rPr>
        <w:t>Correlation coefficients between gold and equity markets show a marginal increase to 0.0698 for the S&amp;P 500 when compared to the full period. The data reflects a slight negative correlation (-0.0497) between gold prices and rate changes. These results confirm that gold prices decline when the Federal Reserve tightening interest rates and decline a gold's value. Due to the significant reversals in both stocks and rates, gold has low correlation with both and plays an important role as a stabilizing asset against the market's volatility associated with an equity market crash. Gold's low correlation 0.0698 proves that it is a strong diversifier. It protects portfolio value when interest rates rise.</w:t>
      </w:r>
    </w:p>
    <w:p w14:paraId="3D5DD2D5" w14:textId="77777777" w:rsidR="00196EC9" w:rsidRPr="00196EC9" w:rsidRDefault="00196EC9" w:rsidP="00196EC9">
      <w:pPr>
        <w:rPr>
          <w:rFonts w:ascii="Arial" w:hAnsi="Arial" w:cs="Arial"/>
          <w:b/>
          <w:bCs/>
        </w:rPr>
      </w:pPr>
      <w:r w:rsidRPr="00196EC9">
        <w:rPr>
          <w:rFonts w:ascii="Arial" w:hAnsi="Arial" w:cs="Arial"/>
          <w:b/>
          <w:bCs/>
        </w:rPr>
        <w:t>4.6.4</w:t>
      </w:r>
      <w:r w:rsidRPr="00196EC9">
        <w:rPr>
          <w:rFonts w:ascii="Arial" w:hAnsi="Arial" w:cs="Arial"/>
        </w:rPr>
        <w:t xml:space="preserve"> </w:t>
      </w:r>
      <w:r w:rsidRPr="00196EC9">
        <w:rPr>
          <w:rFonts w:ascii="Arial" w:hAnsi="Arial" w:cs="Arial"/>
          <w:b/>
          <w:bCs/>
        </w:rPr>
        <w:t>Correlation During Falling Rate Periods</w:t>
      </w:r>
    </w:p>
    <w:p w14:paraId="3DFA83A8" w14:textId="7F72172D" w:rsidR="00196EC9" w:rsidRPr="00196EC9" w:rsidRDefault="00196EC9" w:rsidP="00196EC9">
      <w:pPr>
        <w:rPr>
          <w:rFonts w:ascii="Arial" w:hAnsi="Arial" w:cs="Arial"/>
        </w:rPr>
      </w:pPr>
      <w:r w:rsidRPr="00196EC9">
        <w:rPr>
          <w:rFonts w:ascii="Arial" w:hAnsi="Arial" w:cs="Arial"/>
        </w:rPr>
        <w:t>Using a dataset of 69 observations, this study identifies a significant shift in asset dynamics during periods of falling interest rates. These periods are typically associated with economic crisis like 2008 financial crash and 2020 pandemic.</w:t>
      </w:r>
    </w:p>
    <w:p w14:paraId="4E99A25E" w14:textId="7E3554C8" w:rsidR="00196EC9" w:rsidRPr="00196EC9" w:rsidRDefault="00196EC9" w:rsidP="00196EC9">
      <w:pPr>
        <w:rPr>
          <w:rFonts w:ascii="Arial" w:hAnsi="Arial" w:cs="Arial"/>
          <w:lang w:val="en-IN"/>
        </w:rPr>
      </w:pPr>
      <w:r w:rsidRPr="00196EC9">
        <w:rPr>
          <w:rFonts w:ascii="Arial" w:hAnsi="Arial" w:cs="Arial"/>
          <w:noProof/>
          <w:lang w:val="en-IN"/>
        </w:rPr>
        <w:drawing>
          <wp:inline distT="0" distB="0" distL="0" distR="0" wp14:anchorId="1CCB468A" wp14:editId="242A1A07">
            <wp:extent cx="5731510" cy="1242695"/>
            <wp:effectExtent l="0" t="0" r="2540" b="0"/>
            <wp:docPr id="8306819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242695"/>
                    </a:xfrm>
                    <a:prstGeom prst="rect">
                      <a:avLst/>
                    </a:prstGeom>
                    <a:noFill/>
                    <a:ln>
                      <a:noFill/>
                    </a:ln>
                  </pic:spPr>
                </pic:pic>
              </a:graphicData>
            </a:graphic>
          </wp:inline>
        </w:drawing>
      </w:r>
    </w:p>
    <w:p w14:paraId="51A97315" w14:textId="664CEAC8" w:rsidR="00196EC9" w:rsidRPr="00196EC9" w:rsidRDefault="00196EC9" w:rsidP="00196EC9">
      <w:pPr>
        <w:jc w:val="center"/>
        <w:rPr>
          <w:rFonts w:ascii="Arial" w:hAnsi="Arial" w:cs="Arial"/>
          <w:b/>
          <w:bCs/>
        </w:rPr>
      </w:pPr>
      <w:r w:rsidRPr="00196EC9">
        <w:rPr>
          <w:rFonts w:ascii="Arial" w:hAnsi="Arial" w:cs="Arial"/>
          <w:b/>
          <w:bCs/>
        </w:rPr>
        <w:t>Tab</w:t>
      </w:r>
      <w:r w:rsidR="00102F7D">
        <w:rPr>
          <w:rFonts w:ascii="Arial" w:hAnsi="Arial" w:cs="Arial"/>
          <w:b/>
          <w:bCs/>
        </w:rPr>
        <w:t>le</w:t>
      </w:r>
      <w:r>
        <w:rPr>
          <w:rFonts w:ascii="Arial" w:hAnsi="Arial" w:cs="Arial"/>
          <w:b/>
          <w:bCs/>
        </w:rPr>
        <w:t xml:space="preserve"> 5</w:t>
      </w:r>
      <w:r w:rsidRPr="00196EC9">
        <w:rPr>
          <w:rFonts w:ascii="Arial" w:hAnsi="Arial" w:cs="Arial"/>
          <w:b/>
          <w:bCs/>
        </w:rPr>
        <w:t>:</w:t>
      </w:r>
      <w:r w:rsidRPr="00196EC9">
        <w:rPr>
          <w:rFonts w:ascii="Arial" w:hAnsi="Arial" w:cs="Arial"/>
        </w:rPr>
        <w:t xml:space="preserve"> </w:t>
      </w:r>
      <w:r w:rsidRPr="00196EC9">
        <w:rPr>
          <w:rFonts w:ascii="Arial" w:hAnsi="Arial" w:cs="Arial"/>
          <w:b/>
          <w:bCs/>
        </w:rPr>
        <w:t>Correlation Matrix: Falling Rate Periods</w:t>
      </w:r>
    </w:p>
    <w:p w14:paraId="76F6BDEC" w14:textId="77777777" w:rsidR="00196EC9" w:rsidRDefault="00196EC9" w:rsidP="00196EC9">
      <w:pPr>
        <w:jc w:val="center"/>
        <w:rPr>
          <w:rFonts w:ascii="Arial" w:hAnsi="Arial" w:cs="Arial"/>
          <w:b/>
          <w:bCs/>
        </w:rPr>
      </w:pPr>
      <w:r w:rsidRPr="00196EC9">
        <w:rPr>
          <w:rFonts w:ascii="Arial" w:hAnsi="Arial" w:cs="Arial"/>
          <w:b/>
          <w:bCs/>
        </w:rPr>
        <w:t>(Source:</w:t>
      </w:r>
      <w:r w:rsidRPr="00196EC9">
        <w:rPr>
          <w:rFonts w:ascii="Arial" w:hAnsi="Arial" w:cs="Arial"/>
        </w:rPr>
        <w:t xml:space="preserve"> Microsoft Excel Data Analysis </w:t>
      </w:r>
      <w:proofErr w:type="spellStart"/>
      <w:r w:rsidRPr="00196EC9">
        <w:rPr>
          <w:rFonts w:ascii="Arial" w:hAnsi="Arial" w:cs="Arial"/>
        </w:rPr>
        <w:t>Toolpak</w:t>
      </w:r>
      <w:proofErr w:type="spellEnd"/>
      <w:r w:rsidRPr="00196EC9">
        <w:rPr>
          <w:rFonts w:ascii="Arial" w:hAnsi="Arial" w:cs="Arial"/>
          <w:b/>
          <w:bCs/>
        </w:rPr>
        <w:t>)</w:t>
      </w:r>
    </w:p>
    <w:p w14:paraId="4D5CADE4" w14:textId="77777777" w:rsidR="008D2EAB" w:rsidRPr="008D2EAB" w:rsidRDefault="008D2EAB" w:rsidP="008D2EAB">
      <w:pPr>
        <w:rPr>
          <w:rFonts w:ascii="Arial" w:hAnsi="Arial" w:cs="Arial"/>
        </w:rPr>
      </w:pPr>
      <w:r w:rsidRPr="008D2EAB">
        <w:rPr>
          <w:rFonts w:ascii="Arial" w:hAnsi="Arial" w:cs="Arial"/>
        </w:rPr>
        <w:lastRenderedPageBreak/>
        <w:t>The results presented in Table are significant and directly address the research question. The strong positive correlation (0.4335) between the S&amp;P 500 and Interest rate changes indicates stocks indices are highly sensitive to rate fluctuations. Conversely, the gold to S&amp;P 500 correlation falls to its lowest point (0.020). This correlation demonstrates that during periods of Fed cuts rates aimed at mitigating market instability, gold price operates independently of equity price movements.</w:t>
      </w:r>
    </w:p>
    <w:p w14:paraId="7ACD390C" w14:textId="77777777" w:rsidR="006D6F37" w:rsidRDefault="006D6F37" w:rsidP="0013147B">
      <w:pPr>
        <w:rPr>
          <w:rFonts w:ascii="Arial" w:hAnsi="Arial" w:cs="Arial"/>
          <w:b/>
          <w:bCs/>
        </w:rPr>
      </w:pPr>
    </w:p>
    <w:p w14:paraId="41CE2BDF" w14:textId="6F85CB18" w:rsidR="0013147B" w:rsidRPr="0013147B" w:rsidRDefault="0013147B" w:rsidP="0013147B">
      <w:pPr>
        <w:rPr>
          <w:rFonts w:ascii="Arial" w:hAnsi="Arial" w:cs="Arial"/>
          <w:b/>
          <w:bCs/>
        </w:rPr>
      </w:pPr>
      <w:r w:rsidRPr="0013147B">
        <w:rPr>
          <w:rFonts w:ascii="Arial" w:hAnsi="Arial" w:cs="Arial"/>
          <w:b/>
          <w:bCs/>
        </w:rPr>
        <w:t xml:space="preserve">4.6.5 Hedge and Safe Haven Asset Analysis </w:t>
      </w:r>
    </w:p>
    <w:p w14:paraId="1D75DF82" w14:textId="77777777" w:rsidR="0013147B" w:rsidRPr="0013147B" w:rsidRDefault="0013147B" w:rsidP="0013147B">
      <w:pPr>
        <w:rPr>
          <w:rFonts w:ascii="Arial" w:hAnsi="Arial" w:cs="Arial"/>
        </w:rPr>
      </w:pPr>
      <w:r w:rsidRPr="0013147B">
        <w:rPr>
          <w:rFonts w:ascii="Arial" w:hAnsi="Arial" w:cs="Arial"/>
        </w:rPr>
        <w:t>According to Baur and Lucey (2010), a hedge has a zero correlation with another asset on average. A Safe Haven asset, in the other hand is uncorrelated with another asset during times of extreme market conditions.</w:t>
      </w:r>
    </w:p>
    <w:p w14:paraId="4E0C3B5E" w14:textId="7F3762EA" w:rsidR="0013147B" w:rsidRPr="0013147B" w:rsidRDefault="0013147B" w:rsidP="0013147B">
      <w:pPr>
        <w:rPr>
          <w:rFonts w:ascii="Arial" w:hAnsi="Arial" w:cs="Arial"/>
        </w:rPr>
      </w:pPr>
      <w:r w:rsidRPr="0013147B">
        <w:rPr>
          <w:rFonts w:ascii="Arial" w:hAnsi="Arial" w:cs="Arial"/>
        </w:rPr>
        <w:t xml:space="preserve">The empirical evidence provided in Table </w:t>
      </w:r>
      <w:r>
        <w:rPr>
          <w:rFonts w:ascii="Arial" w:hAnsi="Arial" w:cs="Arial"/>
        </w:rPr>
        <w:t>3</w:t>
      </w:r>
      <w:r w:rsidRPr="0013147B">
        <w:rPr>
          <w:rFonts w:ascii="Arial" w:hAnsi="Arial" w:cs="Arial"/>
        </w:rPr>
        <w:t xml:space="preserve"> and </w:t>
      </w:r>
      <w:r>
        <w:rPr>
          <w:rFonts w:ascii="Arial" w:hAnsi="Arial" w:cs="Arial"/>
        </w:rPr>
        <w:t>4</w:t>
      </w:r>
      <w:r w:rsidRPr="0013147B">
        <w:rPr>
          <w:rFonts w:ascii="Arial" w:hAnsi="Arial" w:cs="Arial"/>
        </w:rPr>
        <w:t xml:space="preserve"> suggests that gold acts as a diversifying asset over extended periods. This is because the correlation between gold and interest rates does not exceed 0.07, demonstrating that its status as a hedge is independent of shifting interest rate cycles. However, its effectiveness as a hedge increases during falling rate periods. The significant positive correlation between the S&amp;P 500 and Interest rate fluctuations (0.4335) shows that the equity market faces volatility during economic pressures that drive Federal Reserve policy shifts. The data reveals that gold moved independently of other markets (0.0208), providing a 'protective asset' for investors when other assets fail.</w:t>
      </w:r>
    </w:p>
    <w:p w14:paraId="464E6761" w14:textId="77777777" w:rsidR="0013147B" w:rsidRDefault="0013147B" w:rsidP="0013147B">
      <w:pPr>
        <w:rPr>
          <w:rFonts w:ascii="Arial" w:hAnsi="Arial" w:cs="Arial"/>
        </w:rPr>
      </w:pPr>
      <w:r w:rsidRPr="0013147B">
        <w:rPr>
          <w:rFonts w:ascii="Arial" w:hAnsi="Arial" w:cs="Arial"/>
        </w:rPr>
        <w:t>In conclusion, gold's performance is not always constant. Gold is a reliable hedge, but it only acts as a safe haven under certain economic conditions. Data indicates that gold is most effective for risk management when the Federal Reserve cuts rates, as lower interest rates makes gold more attractive than alternative investments. Investors should view gold as a strategic indicator that reflects the Federal Reserve's monetary policy shifts.</w:t>
      </w:r>
    </w:p>
    <w:p w14:paraId="7753F7D3" w14:textId="77777777" w:rsidR="00414ADF" w:rsidRPr="00414ADF" w:rsidRDefault="00414ADF" w:rsidP="00414ADF">
      <w:pPr>
        <w:rPr>
          <w:rFonts w:ascii="Arial" w:hAnsi="Arial" w:cs="Arial"/>
          <w:b/>
          <w:bCs/>
        </w:rPr>
      </w:pPr>
      <w:r w:rsidRPr="00414ADF">
        <w:rPr>
          <w:rFonts w:ascii="Arial" w:hAnsi="Arial" w:cs="Arial"/>
          <w:b/>
          <w:bCs/>
        </w:rPr>
        <w:t>4.7 Regression Analysis</w:t>
      </w:r>
    </w:p>
    <w:p w14:paraId="6B5755E2" w14:textId="77777777" w:rsidR="00414ADF" w:rsidRPr="00414ADF" w:rsidRDefault="00414ADF" w:rsidP="00414ADF">
      <w:pPr>
        <w:rPr>
          <w:rFonts w:ascii="Arial" w:hAnsi="Arial" w:cs="Arial"/>
        </w:rPr>
      </w:pPr>
      <w:r w:rsidRPr="00414ADF">
        <w:rPr>
          <w:rFonts w:ascii="Arial" w:hAnsi="Arial" w:cs="Arial"/>
        </w:rPr>
        <w:t xml:space="preserve">Following the established methodology, this research uses a regression model to analyse gold returns. In this model, the monthly change in the price of gold is the dependent variable, while the independent variables are the federal funds rate and the </w:t>
      </w:r>
      <w:r w:rsidRPr="00414ADF">
        <w:rPr>
          <w:rFonts w:ascii="Arial" w:hAnsi="Arial" w:cs="Arial"/>
        </w:rPr>
        <w:lastRenderedPageBreak/>
        <w:t>monthly return on equities. The relationship between the variables is expressed by the following model:</w:t>
      </w:r>
    </w:p>
    <w:p w14:paraId="17979C70" w14:textId="17CF2083" w:rsidR="00414ADF" w:rsidRPr="00D10C7C" w:rsidRDefault="00414ADF" w:rsidP="00D10C7C">
      <w:pPr>
        <w:jc w:val="center"/>
        <w:rPr>
          <w:rFonts w:ascii="Arial" w:hAnsi="Arial" w:cs="Arial"/>
          <w:i/>
          <w:iCs/>
        </w:rPr>
      </w:pPr>
      <w:r w:rsidRPr="00414ADF">
        <w:rPr>
          <w:rFonts w:ascii="Arial" w:hAnsi="Arial" w:cs="Arial"/>
          <w:i/>
          <w:iCs/>
        </w:rPr>
        <w:t>R</w:t>
      </w:r>
      <w:r w:rsidRPr="00414ADF">
        <w:rPr>
          <w:rFonts w:ascii="Arial" w:hAnsi="Arial" w:cs="Arial"/>
        </w:rPr>
        <w:t xml:space="preserve">gold, t ​= </w:t>
      </w:r>
      <w:r w:rsidRPr="00414ADF">
        <w:rPr>
          <w:rFonts w:ascii="Arial" w:hAnsi="Arial" w:cs="Arial"/>
          <w:i/>
          <w:iCs/>
        </w:rPr>
        <w:t>α</w:t>
      </w:r>
      <w:r w:rsidRPr="00414ADF">
        <w:rPr>
          <w:rFonts w:ascii="Arial" w:hAnsi="Arial" w:cs="Arial"/>
        </w:rPr>
        <w:t xml:space="preserve"> + </w:t>
      </w:r>
      <w:r w:rsidRPr="00414ADF">
        <w:rPr>
          <w:rFonts w:ascii="Arial" w:hAnsi="Arial" w:cs="Arial"/>
          <w:i/>
          <w:iCs/>
        </w:rPr>
        <w:t xml:space="preserve">β </w:t>
      </w:r>
      <w:proofErr w:type="spellStart"/>
      <w:r w:rsidRPr="00414ADF">
        <w:rPr>
          <w:rFonts w:ascii="Arial" w:hAnsi="Arial" w:cs="Arial"/>
        </w:rPr>
        <w:t>ΔRate</w:t>
      </w:r>
      <w:proofErr w:type="spellEnd"/>
      <w:r w:rsidRPr="00414ADF">
        <w:rPr>
          <w:rFonts w:ascii="Arial" w:hAnsi="Arial" w:cs="Arial"/>
        </w:rPr>
        <w:t xml:space="preserve"> t​ + </w:t>
      </w:r>
      <w:r w:rsidRPr="00414ADF">
        <w:rPr>
          <w:rFonts w:ascii="Arial" w:hAnsi="Arial" w:cs="Arial"/>
          <w:i/>
          <w:iCs/>
        </w:rPr>
        <w:t>γ</w:t>
      </w:r>
      <w:r w:rsidRPr="00414ADF">
        <w:rPr>
          <w:rFonts w:ascii="Arial" w:hAnsi="Arial" w:cs="Arial"/>
        </w:rPr>
        <w:t xml:space="preserve"> </w:t>
      </w:r>
      <w:proofErr w:type="spellStart"/>
      <w:r w:rsidRPr="00414ADF">
        <w:rPr>
          <w:rFonts w:ascii="Arial" w:hAnsi="Arial" w:cs="Arial"/>
          <w:i/>
          <w:iCs/>
        </w:rPr>
        <w:t>R</w:t>
      </w:r>
      <w:r w:rsidRPr="00414ADF">
        <w:rPr>
          <w:rFonts w:ascii="Arial" w:hAnsi="Arial" w:cs="Arial"/>
        </w:rPr>
        <w:t>equity</w:t>
      </w:r>
      <w:proofErr w:type="spellEnd"/>
      <w:r w:rsidRPr="00414ADF">
        <w:rPr>
          <w:rFonts w:ascii="Arial" w:hAnsi="Arial" w:cs="Arial"/>
        </w:rPr>
        <w:t xml:space="preserve">, t​ + </w:t>
      </w:r>
      <w:proofErr w:type="spellStart"/>
      <w:r w:rsidRPr="00414ADF">
        <w:rPr>
          <w:rFonts w:ascii="Arial" w:hAnsi="Arial" w:cs="Arial"/>
          <w:i/>
          <w:iCs/>
        </w:rPr>
        <w:t>εt</w:t>
      </w:r>
      <w:proofErr w:type="spellEnd"/>
      <w:r w:rsidRPr="00414ADF">
        <w:rPr>
          <w:rFonts w:ascii="Arial" w:hAnsi="Arial" w:cs="Arial"/>
          <w:i/>
          <w:iCs/>
        </w:rPr>
        <w:t>​</w:t>
      </w:r>
    </w:p>
    <w:p w14:paraId="2E592DC9" w14:textId="77777777" w:rsidR="00414ADF" w:rsidRDefault="00414ADF" w:rsidP="00414ADF">
      <w:pPr>
        <w:rPr>
          <w:rFonts w:ascii="Arial" w:hAnsi="Arial" w:cs="Arial"/>
        </w:rPr>
      </w:pPr>
      <w:r w:rsidRPr="00414ADF">
        <w:rPr>
          <w:rFonts w:ascii="Arial" w:hAnsi="Arial" w:cs="Arial"/>
        </w:rPr>
        <w:t xml:space="preserve">Where, </w:t>
      </w:r>
      <w:r w:rsidRPr="00414ADF">
        <w:rPr>
          <w:rFonts w:ascii="Arial" w:hAnsi="Arial" w:cs="Arial"/>
          <w:i/>
          <w:iCs/>
        </w:rPr>
        <w:t>R</w:t>
      </w:r>
      <w:r w:rsidRPr="00414ADF">
        <w:rPr>
          <w:rFonts w:ascii="Arial" w:hAnsi="Arial" w:cs="Arial"/>
        </w:rPr>
        <w:t xml:space="preserve">gold, t represents monthly gold returns. </w:t>
      </w:r>
      <w:proofErr w:type="spellStart"/>
      <w:r w:rsidRPr="00414ADF">
        <w:rPr>
          <w:rFonts w:ascii="Arial" w:hAnsi="Arial" w:cs="Arial"/>
        </w:rPr>
        <w:t>ΔRate</w:t>
      </w:r>
      <w:proofErr w:type="spellEnd"/>
      <w:r w:rsidRPr="00414ADF">
        <w:rPr>
          <w:rFonts w:ascii="Arial" w:hAnsi="Arial" w:cs="Arial"/>
        </w:rPr>
        <w:t xml:space="preserve"> t​ indicates monthly changes in the Federal Funds Rate, </w:t>
      </w:r>
      <w:proofErr w:type="spellStart"/>
      <w:r w:rsidRPr="00414ADF">
        <w:rPr>
          <w:rFonts w:ascii="Arial" w:hAnsi="Arial" w:cs="Arial"/>
          <w:i/>
          <w:iCs/>
        </w:rPr>
        <w:t>R</w:t>
      </w:r>
      <w:r w:rsidRPr="00414ADF">
        <w:rPr>
          <w:rFonts w:ascii="Arial" w:hAnsi="Arial" w:cs="Arial"/>
        </w:rPr>
        <w:t>equity</w:t>
      </w:r>
      <w:proofErr w:type="spellEnd"/>
      <w:r w:rsidRPr="00414ADF">
        <w:rPr>
          <w:rFonts w:ascii="Arial" w:hAnsi="Arial" w:cs="Arial"/>
        </w:rPr>
        <w:t xml:space="preserve">, t represents equity returns (S&amp;P 500 or Nasdaq), </w:t>
      </w:r>
      <w:r w:rsidRPr="00414ADF">
        <w:rPr>
          <w:rFonts w:ascii="Arial" w:hAnsi="Arial" w:cs="Arial"/>
          <w:i/>
          <w:iCs/>
        </w:rPr>
        <w:t xml:space="preserve">α </w:t>
      </w:r>
      <w:r w:rsidRPr="00414ADF">
        <w:rPr>
          <w:rFonts w:ascii="Arial" w:hAnsi="Arial" w:cs="Arial"/>
        </w:rPr>
        <w:t xml:space="preserve">is the intercept and </w:t>
      </w:r>
      <w:proofErr w:type="spellStart"/>
      <w:r w:rsidRPr="00414ADF">
        <w:rPr>
          <w:rFonts w:ascii="Arial" w:hAnsi="Arial" w:cs="Arial"/>
          <w:i/>
          <w:iCs/>
        </w:rPr>
        <w:t>εt</w:t>
      </w:r>
      <w:proofErr w:type="spellEnd"/>
      <w:r w:rsidRPr="00414ADF">
        <w:rPr>
          <w:rFonts w:ascii="Arial" w:hAnsi="Arial" w:cs="Arial"/>
          <w:i/>
          <w:iCs/>
        </w:rPr>
        <w:t xml:space="preserve">​ </w:t>
      </w:r>
      <w:r w:rsidRPr="00414ADF">
        <w:rPr>
          <w:rFonts w:ascii="Arial" w:hAnsi="Arial" w:cs="Arial"/>
        </w:rPr>
        <w:t>is the error term.</w:t>
      </w:r>
    </w:p>
    <w:p w14:paraId="51519345" w14:textId="77777777" w:rsidR="00AE4CDA" w:rsidRDefault="00AE4CDA" w:rsidP="00414ADF">
      <w:pPr>
        <w:rPr>
          <w:rFonts w:ascii="Arial" w:hAnsi="Arial" w:cs="Arial"/>
        </w:rPr>
      </w:pPr>
    </w:p>
    <w:p w14:paraId="5809B57A" w14:textId="77777777" w:rsidR="00AE4CDA" w:rsidRPr="00AE4CDA" w:rsidRDefault="00AE4CDA" w:rsidP="00AE4CDA">
      <w:pPr>
        <w:rPr>
          <w:rFonts w:ascii="Arial" w:hAnsi="Arial" w:cs="Arial"/>
          <w:b/>
          <w:bCs/>
        </w:rPr>
      </w:pPr>
      <w:r w:rsidRPr="00AE4CDA">
        <w:rPr>
          <w:rFonts w:ascii="Arial" w:hAnsi="Arial" w:cs="Arial"/>
          <w:b/>
          <w:bCs/>
        </w:rPr>
        <w:t>4.7.1 Regression Output</w:t>
      </w:r>
    </w:p>
    <w:p w14:paraId="0783FDD6" w14:textId="2318D36A" w:rsidR="00AE4CDA" w:rsidRDefault="00AE4CDA" w:rsidP="00AE4CDA">
      <w:pPr>
        <w:rPr>
          <w:rFonts w:ascii="Arial" w:hAnsi="Arial" w:cs="Arial"/>
        </w:rPr>
      </w:pPr>
      <w:r w:rsidRPr="00AE4CDA">
        <w:rPr>
          <w:rFonts w:ascii="Arial" w:hAnsi="Arial" w:cs="Arial"/>
        </w:rPr>
        <w:t xml:space="preserve">Table </w:t>
      </w:r>
      <w:r>
        <w:rPr>
          <w:rFonts w:ascii="Arial" w:hAnsi="Arial" w:cs="Arial"/>
        </w:rPr>
        <w:t>6</w:t>
      </w:r>
      <w:r w:rsidRPr="00AE4CDA">
        <w:rPr>
          <w:rFonts w:ascii="Arial" w:hAnsi="Arial" w:cs="Arial"/>
        </w:rPr>
        <w:t xml:space="preserve"> provides the regression results across three time periods: the full sample period, periods of falling interest rates, and periods of rising interest rates.</w:t>
      </w:r>
    </w:p>
    <w:p w14:paraId="11ECB53D" w14:textId="2E449D67" w:rsidR="009A4418" w:rsidRPr="009A4418" w:rsidRDefault="009A4418" w:rsidP="009A4418">
      <w:pPr>
        <w:rPr>
          <w:rFonts w:ascii="Arial" w:hAnsi="Arial" w:cs="Arial"/>
          <w:b/>
          <w:bCs/>
        </w:rPr>
      </w:pPr>
      <w:r w:rsidRPr="009A4418">
        <w:rPr>
          <w:rFonts w:ascii="Arial" w:hAnsi="Arial" w:cs="Arial"/>
          <w:b/>
          <w:noProof/>
        </w:rPr>
        <w:drawing>
          <wp:inline distT="0" distB="0" distL="0" distR="0" wp14:anchorId="0B08047F" wp14:editId="7B1D4DF5">
            <wp:extent cx="5731510" cy="3806825"/>
            <wp:effectExtent l="0" t="0" r="2540" b="3175"/>
            <wp:docPr id="535605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06825"/>
                    </a:xfrm>
                    <a:prstGeom prst="rect">
                      <a:avLst/>
                    </a:prstGeom>
                    <a:noFill/>
                    <a:ln>
                      <a:noFill/>
                    </a:ln>
                  </pic:spPr>
                </pic:pic>
              </a:graphicData>
            </a:graphic>
          </wp:inline>
        </w:drawing>
      </w:r>
    </w:p>
    <w:p w14:paraId="4641FE80" w14:textId="77777777" w:rsidR="009A4418" w:rsidRPr="009A4418" w:rsidRDefault="009A4418" w:rsidP="009A4418">
      <w:pPr>
        <w:jc w:val="center"/>
        <w:rPr>
          <w:rFonts w:ascii="Arial" w:hAnsi="Arial" w:cs="Arial"/>
          <w:b/>
          <w:bCs/>
        </w:rPr>
      </w:pPr>
      <w:r w:rsidRPr="009A4418">
        <w:rPr>
          <w:rFonts w:ascii="Arial" w:hAnsi="Arial" w:cs="Arial"/>
          <w:b/>
          <w:bCs/>
        </w:rPr>
        <w:t>Table 6: Regression Results (Gold Returns as Dependent Variable)</w:t>
      </w:r>
    </w:p>
    <w:p w14:paraId="40F1AFA4" w14:textId="77777777" w:rsidR="009A4418" w:rsidRDefault="009A4418" w:rsidP="009A4418">
      <w:pPr>
        <w:jc w:val="center"/>
        <w:rPr>
          <w:rFonts w:ascii="Arial" w:hAnsi="Arial" w:cs="Arial"/>
          <w:b/>
          <w:bCs/>
        </w:rPr>
      </w:pPr>
      <w:r w:rsidRPr="009A4418">
        <w:rPr>
          <w:rFonts w:ascii="Arial" w:hAnsi="Arial" w:cs="Arial"/>
          <w:b/>
          <w:bCs/>
        </w:rPr>
        <w:t>(Source:</w:t>
      </w:r>
      <w:r w:rsidRPr="009A4418">
        <w:rPr>
          <w:rFonts w:ascii="Arial" w:hAnsi="Arial" w:cs="Arial"/>
        </w:rPr>
        <w:t xml:space="preserve"> Microsoft Excel Data Analysis </w:t>
      </w:r>
      <w:proofErr w:type="spellStart"/>
      <w:r w:rsidRPr="009A4418">
        <w:rPr>
          <w:rFonts w:ascii="Arial" w:hAnsi="Arial" w:cs="Arial"/>
        </w:rPr>
        <w:t>Toolpak</w:t>
      </w:r>
      <w:proofErr w:type="spellEnd"/>
      <w:r w:rsidRPr="009A4418">
        <w:rPr>
          <w:rFonts w:ascii="Arial" w:hAnsi="Arial" w:cs="Arial"/>
          <w:b/>
          <w:bCs/>
        </w:rPr>
        <w:t>)</w:t>
      </w:r>
    </w:p>
    <w:p w14:paraId="2E89F341" w14:textId="77777777" w:rsidR="008477D0" w:rsidRPr="008477D0" w:rsidRDefault="008477D0" w:rsidP="008477D0">
      <w:pPr>
        <w:rPr>
          <w:rFonts w:ascii="Arial" w:hAnsi="Arial" w:cs="Arial"/>
          <w:b/>
          <w:bCs/>
        </w:rPr>
      </w:pPr>
      <w:r w:rsidRPr="008477D0">
        <w:rPr>
          <w:rFonts w:ascii="Arial" w:hAnsi="Arial" w:cs="Arial"/>
          <w:b/>
          <w:bCs/>
        </w:rPr>
        <w:t xml:space="preserve">Interpretation of Coefficients </w:t>
      </w:r>
    </w:p>
    <w:p w14:paraId="7D45D382" w14:textId="77777777" w:rsidR="008477D0" w:rsidRDefault="008477D0" w:rsidP="008477D0">
      <w:pPr>
        <w:rPr>
          <w:rFonts w:ascii="Arial" w:hAnsi="Arial" w:cs="Arial"/>
        </w:rPr>
      </w:pPr>
      <w:r w:rsidRPr="008477D0">
        <w:rPr>
          <w:rFonts w:ascii="Arial" w:hAnsi="Arial" w:cs="Arial"/>
        </w:rPr>
        <w:t xml:space="preserve">The analysis reveals that gold serves as a reliable source of value over a long period of time. With a positive intercept (Coefficient = 0.0100) and high statistical significance </w:t>
      </w:r>
      <w:r w:rsidRPr="008477D0">
        <w:rPr>
          <w:rFonts w:ascii="Arial" w:hAnsi="Arial" w:cs="Arial"/>
        </w:rPr>
        <w:lastRenderedPageBreak/>
        <w:t>(p=0.0014), the data confirms that gold maintained positive average monthly returns across the entire N=249 period. The model produced a negative coefficient of -0.0122 for interest rate adjustments; however, the high p-value (p=0.497) indicates no significant correlation between federal funds rate movements and monthly gold returns. Levin and Wright (2006), who claim that gold prices are sensitive to interest rate hike because of the opportunity cost associated with holding a non-yielding asset. In contrast to their study, my findings do not support the assumption that short-term volatility in the Federal Rate serves as a driver for monthly gold price performance. Furthermore, the S&amp;P 500 coefficient is positive but statistically insignificant (p=0.361), showing that gold's role as a hedge is not constant, as it does not consistently move in opposition to equity trends.</w:t>
      </w:r>
    </w:p>
    <w:p w14:paraId="0AB49D5A" w14:textId="77777777" w:rsidR="007E5AA2" w:rsidRPr="007E5AA2" w:rsidRDefault="007E5AA2" w:rsidP="007E5AA2">
      <w:pPr>
        <w:rPr>
          <w:rFonts w:ascii="Arial" w:hAnsi="Arial" w:cs="Arial"/>
        </w:rPr>
      </w:pPr>
      <w:r w:rsidRPr="007E5AA2">
        <w:rPr>
          <w:rFonts w:ascii="Arial" w:hAnsi="Arial" w:cs="Arial"/>
        </w:rPr>
        <w:t>During periods of rising interest rates (N=69), the intercept remained positive and statistically significant (0.0126, p= 0.0196). This suggests that gold maintains a robust performance despite the pressures of tightening monetary policy. Although the interest rate coefficient is negative (-0.0139), the result is statistically insignificant (p=0.656). Similarly, the S&amp;P 500 and Nasdaq show positive but insignificant effects, suggesting a weak relationship between these variables and gold returns.</w:t>
      </w:r>
    </w:p>
    <w:p w14:paraId="4E053A12" w14:textId="77777777" w:rsidR="007E5AA2" w:rsidRPr="007E5AA2" w:rsidRDefault="007E5AA2" w:rsidP="007E5AA2">
      <w:pPr>
        <w:rPr>
          <w:rFonts w:ascii="Arial" w:hAnsi="Arial" w:cs="Arial"/>
        </w:rPr>
      </w:pPr>
      <w:r w:rsidRPr="007E5AA2">
        <w:rPr>
          <w:rFonts w:ascii="Arial" w:hAnsi="Arial" w:cs="Arial"/>
        </w:rPr>
        <w:t>During falling interest rate periods (N=109), the intercept is positive at 0.0088; however, this result was insignificant (p=0.347) reflecting weaker gold performance. While the interest rate effect was negative, it remained statistically insignificant due to the high p-value (0.608) and the lack of correlation with the stock market. Overall, interest rates have demonstrated an inverse correlation with gold returns; however, the inconsistency of this relationship indicates that other market variables play a more dominant role.</w:t>
      </w:r>
    </w:p>
    <w:p w14:paraId="7AE3C816" w14:textId="77777777" w:rsidR="008477D0" w:rsidRDefault="008477D0" w:rsidP="008477D0">
      <w:pPr>
        <w:rPr>
          <w:rFonts w:ascii="Arial" w:hAnsi="Arial" w:cs="Arial"/>
        </w:rPr>
      </w:pPr>
    </w:p>
    <w:p w14:paraId="6CA0A29E" w14:textId="77777777" w:rsidR="000D5022" w:rsidRPr="000D5022" w:rsidRDefault="000D5022" w:rsidP="000D5022">
      <w:pPr>
        <w:rPr>
          <w:rFonts w:ascii="Arial" w:hAnsi="Arial" w:cs="Arial"/>
          <w:b/>
          <w:bCs/>
        </w:rPr>
      </w:pPr>
      <w:r w:rsidRPr="000D5022">
        <w:rPr>
          <w:rFonts w:ascii="Arial" w:hAnsi="Arial" w:cs="Arial"/>
          <w:b/>
          <w:bCs/>
        </w:rPr>
        <w:t xml:space="preserve">4.7.2 Hypothesis Testing </w:t>
      </w:r>
    </w:p>
    <w:p w14:paraId="698B7085" w14:textId="77777777" w:rsidR="000D5022" w:rsidRPr="000D5022" w:rsidRDefault="000D5022" w:rsidP="000D5022">
      <w:pPr>
        <w:rPr>
          <w:rFonts w:ascii="Arial" w:hAnsi="Arial" w:cs="Arial"/>
          <w:b/>
          <w:bCs/>
        </w:rPr>
      </w:pPr>
      <w:r w:rsidRPr="000D5022">
        <w:rPr>
          <w:rFonts w:ascii="Arial" w:hAnsi="Arial" w:cs="Arial"/>
          <w:b/>
          <w:bCs/>
        </w:rPr>
        <w:t>H1:</w:t>
      </w:r>
      <w:r w:rsidRPr="000D5022">
        <w:rPr>
          <w:rFonts w:ascii="Arial" w:hAnsi="Arial" w:cs="Arial"/>
        </w:rPr>
        <w:t xml:space="preserve"> </w:t>
      </w:r>
      <w:r w:rsidRPr="000D5022">
        <w:rPr>
          <w:rFonts w:ascii="Arial" w:hAnsi="Arial" w:cs="Arial"/>
          <w:b/>
          <w:bCs/>
        </w:rPr>
        <w:t>Changes in US interest rates have a significant impact on the prices of the Gold and US equities.</w:t>
      </w:r>
    </w:p>
    <w:p w14:paraId="25689887" w14:textId="77777777" w:rsidR="000D5022" w:rsidRPr="000D5022" w:rsidRDefault="000D5022" w:rsidP="000D5022">
      <w:pPr>
        <w:rPr>
          <w:rFonts w:ascii="Arial" w:hAnsi="Arial" w:cs="Arial"/>
        </w:rPr>
      </w:pPr>
      <w:r w:rsidRPr="000D5022">
        <w:rPr>
          <w:rFonts w:ascii="Arial" w:hAnsi="Arial" w:cs="Arial"/>
        </w:rPr>
        <w:t xml:space="preserve">Across all regression models, the interest rate coefficient remains negative, providing evidence for an inverse correlation with regard to gold returns as expected based on theory. The full period regression does not provide statistical significance of the </w:t>
      </w:r>
      <w:r w:rsidRPr="000D5022">
        <w:rPr>
          <w:rFonts w:ascii="Arial" w:hAnsi="Arial" w:cs="Arial"/>
        </w:rPr>
        <w:lastRenderedPageBreak/>
        <w:t>coefficient, however, as evidenced by the same negative association found in the full period, rising rate and falling rate period regression, interest rate changes have an effect on the behaviour of gold prices under different regimes of monetary policy. Therefore, the hypothesis (H1) has been supported.</w:t>
      </w:r>
    </w:p>
    <w:p w14:paraId="38B03056" w14:textId="77777777" w:rsidR="000D5022" w:rsidRPr="000D5022" w:rsidRDefault="000D5022" w:rsidP="000D5022">
      <w:pPr>
        <w:rPr>
          <w:rFonts w:ascii="Arial" w:hAnsi="Arial" w:cs="Arial"/>
          <w:b/>
          <w:bCs/>
        </w:rPr>
      </w:pPr>
      <w:r w:rsidRPr="000D5022">
        <w:rPr>
          <w:rFonts w:ascii="Arial" w:hAnsi="Arial" w:cs="Arial"/>
          <w:b/>
          <w:bCs/>
        </w:rPr>
        <w:t>H2: Gold is considered a Safe asset during periods when US equity returns are dropping and amid falling interest rates.</w:t>
      </w:r>
    </w:p>
    <w:p w14:paraId="5A3B1D0C" w14:textId="77777777" w:rsidR="000D5022" w:rsidRPr="000D5022" w:rsidRDefault="000D5022" w:rsidP="000D5022">
      <w:pPr>
        <w:rPr>
          <w:rFonts w:ascii="Arial" w:hAnsi="Arial" w:cs="Arial"/>
        </w:rPr>
      </w:pPr>
      <w:r w:rsidRPr="000D5022">
        <w:rPr>
          <w:rFonts w:ascii="Arial" w:hAnsi="Arial" w:cs="Arial"/>
        </w:rPr>
        <w:t>During falling-rate periods, gold generates average returns, and statistically significant average returns show a weak correlation with equities. This indicates that gold preserves value during these monetary policy environments, which supports H2.</w:t>
      </w:r>
    </w:p>
    <w:p w14:paraId="28D62BFA" w14:textId="77777777" w:rsidR="000D5022" w:rsidRPr="000D5022" w:rsidRDefault="000D5022" w:rsidP="000D5022">
      <w:pPr>
        <w:rPr>
          <w:rFonts w:ascii="Arial" w:hAnsi="Arial" w:cs="Arial"/>
          <w:b/>
          <w:bCs/>
        </w:rPr>
      </w:pPr>
      <w:r w:rsidRPr="000D5022">
        <w:rPr>
          <w:rFonts w:ascii="Arial" w:hAnsi="Arial" w:cs="Arial"/>
          <w:b/>
          <w:bCs/>
        </w:rPr>
        <w:t>H3: The relationship between gold returns and US equity returns is weaker during periods of decreasing interest rates compared to periods of rising interest rates.</w:t>
      </w:r>
    </w:p>
    <w:p w14:paraId="3B61EEC3" w14:textId="77777777" w:rsidR="000D5022" w:rsidRPr="000D5022" w:rsidRDefault="000D5022" w:rsidP="000D5022">
      <w:pPr>
        <w:rPr>
          <w:rFonts w:ascii="Arial" w:hAnsi="Arial" w:cs="Arial"/>
        </w:rPr>
      </w:pPr>
      <w:r w:rsidRPr="000D5022">
        <w:rPr>
          <w:rFonts w:ascii="Arial" w:hAnsi="Arial" w:cs="Arial"/>
        </w:rPr>
        <w:t>When interest rates are falling, equity coefficients show a much weaker correlation and influence on returns than when rates are rising. This indicates that as monetary policy and equity markets become more independent, the correlation between gold and equities diverges significantly in H3.</w:t>
      </w:r>
    </w:p>
    <w:p w14:paraId="3711799F" w14:textId="77777777" w:rsidR="000D5022" w:rsidRPr="000D5022" w:rsidRDefault="000D5022" w:rsidP="000D5022">
      <w:pPr>
        <w:rPr>
          <w:rFonts w:ascii="Arial" w:hAnsi="Arial" w:cs="Arial"/>
          <w:b/>
          <w:bCs/>
        </w:rPr>
      </w:pPr>
      <w:r w:rsidRPr="000D5022">
        <w:rPr>
          <w:rFonts w:ascii="Arial" w:hAnsi="Arial" w:cs="Arial"/>
          <w:b/>
          <w:bCs/>
        </w:rPr>
        <w:t>H4: US interest rate changes influence gold's role in portfolio diversification and risk management.</w:t>
      </w:r>
    </w:p>
    <w:p w14:paraId="347386E1" w14:textId="77777777" w:rsidR="000D5022" w:rsidRPr="000D5022" w:rsidRDefault="000D5022" w:rsidP="000D5022">
      <w:pPr>
        <w:rPr>
          <w:rFonts w:ascii="Arial" w:hAnsi="Arial" w:cs="Arial"/>
        </w:rPr>
      </w:pPr>
      <w:r w:rsidRPr="000D5022">
        <w:rPr>
          <w:rFonts w:ascii="Arial" w:hAnsi="Arial" w:cs="Arial"/>
        </w:rPr>
        <w:t>The results demonstrate that gold performs better and behaves more independently showing a lower correlation with equities under declining interest rates. Consequently, the diversification function of gold depends on the level of interest rates. Therefore, H4 is supported.</w:t>
      </w:r>
    </w:p>
    <w:p w14:paraId="4F0A2F78" w14:textId="77777777" w:rsidR="000D5022" w:rsidRPr="000D5022" w:rsidRDefault="000D5022" w:rsidP="000D5022">
      <w:pPr>
        <w:rPr>
          <w:rFonts w:ascii="Arial" w:hAnsi="Arial" w:cs="Arial"/>
        </w:rPr>
      </w:pPr>
    </w:p>
    <w:p w14:paraId="54CBDE3E" w14:textId="77777777" w:rsidR="000D5022" w:rsidRPr="000D5022" w:rsidRDefault="000D5022" w:rsidP="000D5022">
      <w:pPr>
        <w:rPr>
          <w:rFonts w:ascii="Arial" w:hAnsi="Arial" w:cs="Arial"/>
          <w:b/>
          <w:bCs/>
        </w:rPr>
      </w:pPr>
      <w:r w:rsidRPr="000D5022">
        <w:rPr>
          <w:rFonts w:ascii="Arial" w:hAnsi="Arial" w:cs="Arial"/>
          <w:b/>
          <w:bCs/>
        </w:rPr>
        <w:t xml:space="preserve">4.7.3 Model Validity </w:t>
      </w:r>
    </w:p>
    <w:p w14:paraId="50F21C7D" w14:textId="4806DD45" w:rsidR="000D5022" w:rsidRDefault="000D5022" w:rsidP="000D5022">
      <w:pPr>
        <w:rPr>
          <w:rFonts w:ascii="Arial" w:hAnsi="Arial" w:cs="Arial"/>
        </w:rPr>
      </w:pPr>
      <w:r w:rsidRPr="000D5022">
        <w:rPr>
          <w:rFonts w:ascii="Arial" w:hAnsi="Arial" w:cs="Arial"/>
        </w:rPr>
        <w:t xml:space="preserve">The model's validity is supported a large sample size (N=249) analysis of gold's price movements through different interest rates for multiple cycles, including those through and after the Global Financial Crisis of 2008 and throughout and after the COVID-19 pandemic. Reliability is ensured through data collection from FRED and Yahoo Finance and transparent Excel-based calculations. Overall, the regression analysis </w:t>
      </w:r>
      <w:r w:rsidRPr="000D5022">
        <w:rPr>
          <w:rFonts w:ascii="Arial" w:hAnsi="Arial" w:cs="Arial"/>
        </w:rPr>
        <w:lastRenderedPageBreak/>
        <w:t>provides strong empirical evidence that gold's hedge and safe-haven properties are not constant but dependent on the changes in interest rate and market conditions.</w:t>
      </w:r>
    </w:p>
    <w:p w14:paraId="6318042B" w14:textId="77777777" w:rsidR="000D5022" w:rsidRPr="000D5022" w:rsidRDefault="000D5022" w:rsidP="000D5022">
      <w:pPr>
        <w:rPr>
          <w:rFonts w:ascii="Arial" w:hAnsi="Arial" w:cs="Arial"/>
        </w:rPr>
      </w:pPr>
    </w:p>
    <w:p w14:paraId="733BD614" w14:textId="77777777" w:rsidR="000D5022" w:rsidRPr="000D5022" w:rsidRDefault="000D5022" w:rsidP="000D5022">
      <w:pPr>
        <w:rPr>
          <w:rFonts w:ascii="Arial" w:hAnsi="Arial" w:cs="Arial"/>
          <w:b/>
          <w:bCs/>
        </w:rPr>
      </w:pPr>
      <w:r w:rsidRPr="000D5022">
        <w:rPr>
          <w:rFonts w:ascii="Arial" w:hAnsi="Arial" w:cs="Arial"/>
          <w:b/>
          <w:bCs/>
        </w:rPr>
        <w:t xml:space="preserve">4.8 Summary of Findings </w:t>
      </w:r>
    </w:p>
    <w:p w14:paraId="1CA285BB" w14:textId="2D7AC7BA" w:rsidR="000D5022" w:rsidRPr="000D5022" w:rsidRDefault="000D5022" w:rsidP="000D5022">
      <w:pPr>
        <w:rPr>
          <w:rFonts w:ascii="Arial" w:hAnsi="Arial" w:cs="Arial"/>
        </w:rPr>
      </w:pPr>
      <w:r w:rsidRPr="000D5022">
        <w:rPr>
          <w:rFonts w:ascii="Arial" w:hAnsi="Arial" w:cs="Arial"/>
        </w:rPr>
        <w:t>This chapter conducts a comprehensive quantitative analysis of gold as an asset class, comparing its performance against equities and interest rate fluctuations from 2005 to 2025. The analysis specifically captured the behaviour of gold during times of extreme market volatility.</w:t>
      </w:r>
    </w:p>
    <w:p w14:paraId="21F11A39" w14:textId="77777777" w:rsidR="000D5022" w:rsidRDefault="000D5022" w:rsidP="000D5022">
      <w:pPr>
        <w:rPr>
          <w:rFonts w:ascii="Arial" w:hAnsi="Arial" w:cs="Arial"/>
        </w:rPr>
      </w:pPr>
      <w:r w:rsidRPr="000D5022">
        <w:rPr>
          <w:rFonts w:ascii="Arial" w:hAnsi="Arial" w:cs="Arial"/>
        </w:rPr>
        <w:t>Gold returns remained consistent at 0.01, at which point they increased to 0.012. While S&amp;P 500 equities faced pressure with declines of (-0.001) during these periods of easing, they showed a near zero correlation (0.020) with the gold market. This independence confirms that gold does not follow market volatility but serves as a hedge during periods when other assets underperform.</w:t>
      </w:r>
    </w:p>
    <w:p w14:paraId="5B4830B4" w14:textId="77777777" w:rsidR="006E2509" w:rsidRDefault="006E2509" w:rsidP="000D5022">
      <w:pPr>
        <w:rPr>
          <w:rFonts w:ascii="Arial" w:hAnsi="Arial" w:cs="Arial"/>
        </w:rPr>
      </w:pPr>
    </w:p>
    <w:p w14:paraId="2BD71F42" w14:textId="77777777" w:rsidR="006E2509" w:rsidRDefault="006E2509" w:rsidP="000D5022">
      <w:pPr>
        <w:rPr>
          <w:rFonts w:ascii="Arial" w:hAnsi="Arial" w:cs="Arial"/>
        </w:rPr>
      </w:pPr>
    </w:p>
    <w:p w14:paraId="2F923742" w14:textId="77777777" w:rsidR="006E2509" w:rsidRDefault="006E2509" w:rsidP="000D5022">
      <w:pPr>
        <w:rPr>
          <w:rFonts w:ascii="Arial" w:hAnsi="Arial" w:cs="Arial"/>
        </w:rPr>
      </w:pPr>
    </w:p>
    <w:p w14:paraId="23FCA89B" w14:textId="77777777" w:rsidR="006E2509" w:rsidRDefault="006E2509" w:rsidP="000D5022">
      <w:pPr>
        <w:rPr>
          <w:rFonts w:ascii="Arial" w:hAnsi="Arial" w:cs="Arial"/>
        </w:rPr>
      </w:pPr>
    </w:p>
    <w:p w14:paraId="6FF0191E" w14:textId="77777777" w:rsidR="006E2509" w:rsidRDefault="006E2509" w:rsidP="000D5022">
      <w:pPr>
        <w:rPr>
          <w:rFonts w:ascii="Arial" w:hAnsi="Arial" w:cs="Arial"/>
        </w:rPr>
      </w:pPr>
    </w:p>
    <w:p w14:paraId="53D19720" w14:textId="77777777" w:rsidR="006E2509" w:rsidRDefault="006E2509" w:rsidP="000D5022">
      <w:pPr>
        <w:rPr>
          <w:rFonts w:ascii="Arial" w:hAnsi="Arial" w:cs="Arial"/>
        </w:rPr>
      </w:pPr>
    </w:p>
    <w:p w14:paraId="46352E33" w14:textId="77777777" w:rsidR="006E2509" w:rsidRDefault="006E2509" w:rsidP="000D5022">
      <w:pPr>
        <w:rPr>
          <w:rFonts w:ascii="Arial" w:hAnsi="Arial" w:cs="Arial"/>
        </w:rPr>
      </w:pPr>
    </w:p>
    <w:p w14:paraId="33AC8CA7" w14:textId="77777777" w:rsidR="006E2509" w:rsidRDefault="006E2509" w:rsidP="000D5022">
      <w:pPr>
        <w:rPr>
          <w:rFonts w:ascii="Arial" w:hAnsi="Arial" w:cs="Arial"/>
        </w:rPr>
      </w:pPr>
    </w:p>
    <w:p w14:paraId="018B3DCF" w14:textId="77777777" w:rsidR="006E2509" w:rsidRDefault="006E2509" w:rsidP="000D5022">
      <w:pPr>
        <w:rPr>
          <w:rFonts w:ascii="Arial" w:hAnsi="Arial" w:cs="Arial"/>
        </w:rPr>
      </w:pPr>
    </w:p>
    <w:p w14:paraId="7C194280" w14:textId="77777777" w:rsidR="006E2509" w:rsidRDefault="006E2509" w:rsidP="000D5022">
      <w:pPr>
        <w:rPr>
          <w:rFonts w:ascii="Arial" w:hAnsi="Arial" w:cs="Arial"/>
        </w:rPr>
      </w:pPr>
    </w:p>
    <w:p w14:paraId="10BCAD3F" w14:textId="77777777" w:rsidR="006E2509" w:rsidRDefault="006E2509" w:rsidP="000D5022">
      <w:pPr>
        <w:rPr>
          <w:rFonts w:ascii="Arial" w:hAnsi="Arial" w:cs="Arial"/>
        </w:rPr>
      </w:pPr>
    </w:p>
    <w:p w14:paraId="3F40A01C" w14:textId="77777777" w:rsidR="006E2509" w:rsidRDefault="006E2509" w:rsidP="000D5022">
      <w:pPr>
        <w:rPr>
          <w:rFonts w:ascii="Arial" w:hAnsi="Arial" w:cs="Arial"/>
        </w:rPr>
      </w:pPr>
    </w:p>
    <w:p w14:paraId="5165C98B" w14:textId="77777777" w:rsidR="006E2509" w:rsidRDefault="006E2509" w:rsidP="000D5022">
      <w:pPr>
        <w:rPr>
          <w:rFonts w:ascii="Arial" w:hAnsi="Arial" w:cs="Arial"/>
        </w:rPr>
      </w:pPr>
    </w:p>
    <w:p w14:paraId="7ADBA306" w14:textId="77777777" w:rsidR="006E2509" w:rsidRDefault="006E2509" w:rsidP="000D5022">
      <w:pPr>
        <w:rPr>
          <w:rFonts w:ascii="Arial" w:hAnsi="Arial" w:cs="Arial"/>
        </w:rPr>
      </w:pPr>
    </w:p>
    <w:p w14:paraId="5DE560D1" w14:textId="77777777" w:rsidR="006E2509" w:rsidRDefault="006E2509" w:rsidP="006E2509">
      <w:pPr>
        <w:jc w:val="center"/>
        <w:rPr>
          <w:rFonts w:ascii="Arial" w:hAnsi="Arial" w:cs="Arial"/>
          <w:b/>
          <w:bCs/>
          <w:sz w:val="28"/>
          <w:szCs w:val="28"/>
        </w:rPr>
      </w:pPr>
      <w:r w:rsidRPr="00FA48E2">
        <w:rPr>
          <w:rFonts w:ascii="Arial" w:hAnsi="Arial" w:cs="Arial"/>
          <w:b/>
          <w:bCs/>
          <w:sz w:val="28"/>
          <w:szCs w:val="28"/>
        </w:rPr>
        <w:lastRenderedPageBreak/>
        <w:t>Chapter F</w:t>
      </w:r>
      <w:r>
        <w:rPr>
          <w:rFonts w:ascii="Arial" w:hAnsi="Arial" w:cs="Arial"/>
          <w:b/>
          <w:bCs/>
          <w:sz w:val="28"/>
          <w:szCs w:val="28"/>
        </w:rPr>
        <w:t>ive: Discussion and Conclusion</w:t>
      </w:r>
    </w:p>
    <w:p w14:paraId="43C019B4" w14:textId="77777777" w:rsidR="006E2509" w:rsidRPr="000D19E3" w:rsidRDefault="006E2509" w:rsidP="006E2509">
      <w:pPr>
        <w:rPr>
          <w:rFonts w:ascii="Arial" w:hAnsi="Arial" w:cs="Arial"/>
          <w:b/>
          <w:bCs/>
          <w:sz w:val="28"/>
          <w:szCs w:val="28"/>
        </w:rPr>
      </w:pPr>
    </w:p>
    <w:p w14:paraId="3BA6D7D2" w14:textId="77777777" w:rsidR="006E2509" w:rsidRPr="000D19E3" w:rsidRDefault="006E2509" w:rsidP="006E2509">
      <w:pPr>
        <w:rPr>
          <w:rFonts w:ascii="Arial" w:hAnsi="Arial" w:cs="Arial"/>
          <w:b/>
          <w:bCs/>
          <w:sz w:val="28"/>
          <w:szCs w:val="28"/>
        </w:rPr>
      </w:pPr>
      <w:r w:rsidRPr="000D19E3">
        <w:rPr>
          <w:rFonts w:ascii="Arial" w:hAnsi="Arial" w:cs="Arial"/>
          <w:b/>
          <w:bCs/>
          <w:sz w:val="28"/>
          <w:szCs w:val="28"/>
        </w:rPr>
        <w:t xml:space="preserve">5.1 Introduction to the Discussion </w:t>
      </w:r>
    </w:p>
    <w:p w14:paraId="0AB26D6E" w14:textId="77777777" w:rsidR="006E2509" w:rsidRDefault="006E2509" w:rsidP="006E2509">
      <w:pPr>
        <w:rPr>
          <w:rFonts w:ascii="Arial" w:hAnsi="Arial" w:cs="Arial"/>
        </w:rPr>
      </w:pPr>
      <w:r w:rsidRPr="00823B11">
        <w:rPr>
          <w:rFonts w:ascii="Arial" w:hAnsi="Arial" w:cs="Arial"/>
        </w:rPr>
        <w:t>In this chapter, the research findings are evaluated by comparing them to previous financial research. This evaluation determines whether the findings support or challenge the existing literature and theoretical framework of this research.</w:t>
      </w:r>
      <w:r>
        <w:rPr>
          <w:rFonts w:ascii="Arial" w:hAnsi="Arial" w:cs="Arial"/>
        </w:rPr>
        <w:t xml:space="preserve"> </w:t>
      </w:r>
      <w:r w:rsidRPr="00642188">
        <w:rPr>
          <w:rFonts w:ascii="Arial" w:hAnsi="Arial" w:cs="Arial"/>
        </w:rPr>
        <w:t>Examining the period between 2005 and 2025, this study explores how shifts in U</w:t>
      </w:r>
      <w:r>
        <w:rPr>
          <w:rFonts w:ascii="Arial" w:hAnsi="Arial" w:cs="Arial"/>
        </w:rPr>
        <w:t>.</w:t>
      </w:r>
      <w:r w:rsidRPr="00642188">
        <w:rPr>
          <w:rFonts w:ascii="Arial" w:hAnsi="Arial" w:cs="Arial"/>
        </w:rPr>
        <w:t>S</w:t>
      </w:r>
      <w:r>
        <w:rPr>
          <w:rFonts w:ascii="Arial" w:hAnsi="Arial" w:cs="Arial"/>
        </w:rPr>
        <w:t>.</w:t>
      </w:r>
      <w:r w:rsidRPr="00642188">
        <w:rPr>
          <w:rFonts w:ascii="Arial" w:hAnsi="Arial" w:cs="Arial"/>
        </w:rPr>
        <w:t xml:space="preserve"> interest rates influenced gold's performance as a protective asset against S&amp;P 500 and Nasdaq volatility.</w:t>
      </w:r>
      <w:r>
        <w:rPr>
          <w:rFonts w:ascii="Arial" w:hAnsi="Arial" w:cs="Arial"/>
        </w:rPr>
        <w:t xml:space="preserve"> </w:t>
      </w:r>
      <w:r w:rsidRPr="00046381">
        <w:rPr>
          <w:rFonts w:ascii="Arial" w:hAnsi="Arial" w:cs="Arial"/>
        </w:rPr>
        <w:t>This study focuse</w:t>
      </w:r>
      <w:r>
        <w:rPr>
          <w:rFonts w:ascii="Arial" w:hAnsi="Arial" w:cs="Arial"/>
        </w:rPr>
        <w:t>s</w:t>
      </w:r>
      <w:r w:rsidRPr="00046381">
        <w:rPr>
          <w:rFonts w:ascii="Arial" w:hAnsi="Arial" w:cs="Arial"/>
        </w:rPr>
        <w:t xml:space="preserve"> on the problem of the negative correlation between gold and equities, especially how it fluctuates within changing macroeconomic environments or regimes.</w:t>
      </w:r>
      <w:r w:rsidRPr="00783FCB">
        <w:rPr>
          <w:rFonts w:ascii="Arial" w:hAnsi="Arial" w:cs="Arial"/>
          <w:color w:val="1F1F1F"/>
          <w:shd w:val="clear" w:color="auto" w:fill="FFFFFF"/>
        </w:rPr>
        <w:t xml:space="preserve"> </w:t>
      </w:r>
      <w:r w:rsidRPr="00783FCB">
        <w:rPr>
          <w:rFonts w:ascii="Arial" w:hAnsi="Arial" w:cs="Arial"/>
        </w:rPr>
        <w:t xml:space="preserve">Consequently, the research finds that gold serves as a </w:t>
      </w:r>
      <w:r>
        <w:rPr>
          <w:rFonts w:ascii="Arial" w:hAnsi="Arial" w:cs="Arial"/>
        </w:rPr>
        <w:t>s</w:t>
      </w:r>
      <w:r w:rsidRPr="00783FCB">
        <w:rPr>
          <w:rFonts w:ascii="Arial" w:hAnsi="Arial" w:cs="Arial"/>
        </w:rPr>
        <w:t xml:space="preserve">afe </w:t>
      </w:r>
      <w:r>
        <w:rPr>
          <w:rFonts w:ascii="Arial" w:hAnsi="Arial" w:cs="Arial"/>
        </w:rPr>
        <w:t>h</w:t>
      </w:r>
      <w:r w:rsidRPr="00783FCB">
        <w:rPr>
          <w:rFonts w:ascii="Arial" w:hAnsi="Arial" w:cs="Arial"/>
        </w:rPr>
        <w:t>aven when interest rates change and markets are volatile.</w:t>
      </w:r>
    </w:p>
    <w:p w14:paraId="7A1CDC24" w14:textId="77777777" w:rsidR="006E2509" w:rsidRDefault="006E2509" w:rsidP="006E2509">
      <w:pPr>
        <w:rPr>
          <w:rFonts w:ascii="Arial" w:hAnsi="Arial" w:cs="Arial"/>
        </w:rPr>
      </w:pPr>
      <w:r w:rsidRPr="004F6B0D">
        <w:rPr>
          <w:rFonts w:ascii="Arial" w:hAnsi="Arial" w:cs="Arial"/>
        </w:rPr>
        <w:t>The analysis in Chapter 4 demonstrates the strong correlation between the Federal Reserve's policy and gold's market behaviour, indicating that shifts in monetary policy serve as a reliable indicator for future price fluctuations.</w:t>
      </w:r>
      <w:r w:rsidRPr="0036351C">
        <w:rPr>
          <w:rFonts w:ascii="Arial" w:hAnsi="Arial" w:cs="Arial"/>
          <w:color w:val="1F1F1F"/>
          <w:shd w:val="clear" w:color="auto" w:fill="FFFFFF"/>
        </w:rPr>
        <w:t xml:space="preserve"> </w:t>
      </w:r>
      <w:r w:rsidRPr="0036351C">
        <w:rPr>
          <w:rFonts w:ascii="Arial" w:hAnsi="Arial" w:cs="Arial"/>
        </w:rPr>
        <w:t>The data confirms that gold acts as a defensive asset specifically when interest rates fall. During these regimes, gold does not only maintain its value; it achieves average returns that are higher than its overall historical trend.</w:t>
      </w:r>
      <w:r w:rsidRPr="00B17601">
        <w:rPr>
          <w:rFonts w:ascii="Arial" w:hAnsi="Arial" w:cs="Arial"/>
          <w:color w:val="1F1F1F"/>
          <w:shd w:val="clear" w:color="auto" w:fill="FFFFFF"/>
        </w:rPr>
        <w:t xml:space="preserve"> </w:t>
      </w:r>
      <w:r w:rsidRPr="00B17601">
        <w:rPr>
          <w:rFonts w:ascii="Arial" w:hAnsi="Arial" w:cs="Arial"/>
        </w:rPr>
        <w:t>In contrast, gold serves as an effective hedge against equity market downturns. During easing cycles, when the S&amp;P 500 shows negative returns, gold maintains positive growth. Consequently, it becomes a valuable diversifier when the market is in decline.</w:t>
      </w:r>
      <w:r>
        <w:rPr>
          <w:rFonts w:ascii="Arial" w:hAnsi="Arial" w:cs="Arial"/>
        </w:rPr>
        <w:t xml:space="preserve"> </w:t>
      </w:r>
      <w:r w:rsidRPr="0074565A">
        <w:rPr>
          <w:rFonts w:ascii="Arial" w:hAnsi="Arial" w:cs="Arial"/>
        </w:rPr>
        <w:t>These findings provide empirical evidence to support the argument that gold's effectiveness as a safe haven is not constant but rather depends on current interest rate levels.</w:t>
      </w:r>
    </w:p>
    <w:p w14:paraId="40364059" w14:textId="77777777" w:rsidR="006E2509" w:rsidRDefault="006E2509" w:rsidP="006E2509">
      <w:pPr>
        <w:rPr>
          <w:rFonts w:ascii="Arial" w:hAnsi="Arial" w:cs="Arial"/>
        </w:rPr>
      </w:pPr>
    </w:p>
    <w:p w14:paraId="7C4F6621" w14:textId="77777777" w:rsidR="006E2509" w:rsidRDefault="006E2509" w:rsidP="006E2509">
      <w:pPr>
        <w:rPr>
          <w:rFonts w:ascii="Arial" w:hAnsi="Arial" w:cs="Arial"/>
          <w:b/>
          <w:bCs/>
          <w:sz w:val="28"/>
          <w:szCs w:val="28"/>
        </w:rPr>
      </w:pPr>
      <w:r w:rsidRPr="00E17DDD">
        <w:rPr>
          <w:rFonts w:ascii="Arial" w:hAnsi="Arial" w:cs="Arial"/>
          <w:b/>
          <w:bCs/>
          <w:sz w:val="28"/>
          <w:szCs w:val="28"/>
        </w:rPr>
        <w:t>5.2 Interpretation of Findings</w:t>
      </w:r>
    </w:p>
    <w:p w14:paraId="0D0DEAFD" w14:textId="77777777" w:rsidR="006E2509" w:rsidRDefault="006E2509" w:rsidP="006E2509">
      <w:pPr>
        <w:rPr>
          <w:rFonts w:ascii="Arial" w:hAnsi="Arial" w:cs="Arial"/>
        </w:rPr>
      </w:pPr>
      <w:r w:rsidRPr="004622C2">
        <w:rPr>
          <w:rFonts w:ascii="Arial" w:hAnsi="Arial" w:cs="Arial"/>
        </w:rPr>
        <w:t>The empirical results from Chapter 4 provide a complex relationship between gold, equity markets and US monetary policy. Rather than gold acting as a constant stabilizer, the data suggests its effectiveness is conditional. This section interprets these findings through established financial theories, focusing on how gold's behaviour shifts response to changing Interest Rates.</w:t>
      </w:r>
    </w:p>
    <w:p w14:paraId="69FCAE12" w14:textId="77777777" w:rsidR="006E2509" w:rsidRDefault="006E2509" w:rsidP="006E2509">
      <w:pPr>
        <w:rPr>
          <w:rFonts w:ascii="Arial" w:hAnsi="Arial" w:cs="Arial"/>
          <w:b/>
          <w:bCs/>
        </w:rPr>
      </w:pPr>
      <w:r w:rsidRPr="00967A36">
        <w:rPr>
          <w:rFonts w:ascii="Arial" w:hAnsi="Arial" w:cs="Arial"/>
          <w:b/>
          <w:bCs/>
        </w:rPr>
        <w:lastRenderedPageBreak/>
        <w:t xml:space="preserve">5.2.1 Gold shines When Interest Rates Decline </w:t>
      </w:r>
    </w:p>
    <w:p w14:paraId="1DAED14B" w14:textId="77777777" w:rsidR="006E2509" w:rsidRDefault="006E2509" w:rsidP="006E2509">
      <w:pPr>
        <w:rPr>
          <w:rFonts w:ascii="Arial" w:hAnsi="Arial" w:cs="Arial"/>
        </w:rPr>
      </w:pPr>
      <w:r w:rsidRPr="000A55F4">
        <w:rPr>
          <w:rFonts w:ascii="Arial" w:hAnsi="Arial" w:cs="Arial"/>
        </w:rPr>
        <w:t>The data suggests that gold becomes more profitable when interest rates fall; its average return increases from 0.01 to a higher average of 0.012 during easing cycles.</w:t>
      </w:r>
      <w:r>
        <w:rPr>
          <w:rFonts w:ascii="Arial" w:hAnsi="Arial" w:cs="Arial"/>
        </w:rPr>
        <w:t xml:space="preserve"> </w:t>
      </w:r>
      <w:r w:rsidRPr="000A55F4">
        <w:rPr>
          <w:rFonts w:ascii="Arial" w:hAnsi="Arial" w:cs="Arial"/>
        </w:rPr>
        <w:t>Gold doesn't pay dividends like the stock market does. When interest rates rise, gold's value often drops because it becomes less attractive to investors.</w:t>
      </w:r>
    </w:p>
    <w:p w14:paraId="569FDB2C" w14:textId="77777777" w:rsidR="006E2509" w:rsidRDefault="006E2509" w:rsidP="006E2509">
      <w:pPr>
        <w:rPr>
          <w:rFonts w:ascii="Arial" w:hAnsi="Arial" w:cs="Arial"/>
        </w:rPr>
      </w:pPr>
      <w:r w:rsidRPr="009132CD">
        <w:rPr>
          <w:rFonts w:ascii="Arial" w:hAnsi="Arial" w:cs="Arial"/>
        </w:rPr>
        <w:t>While gold is often called a 'dead asset', it serves as a hedge whenever the Federal Reserve lowers interest rates.</w:t>
      </w:r>
      <w:r w:rsidRPr="00016CA1">
        <w:rPr>
          <w:rFonts w:ascii="Arial" w:hAnsi="Arial" w:cs="Arial"/>
          <w:color w:val="1F1F1F"/>
          <w:shd w:val="clear" w:color="auto" w:fill="FFFFFF"/>
        </w:rPr>
        <w:t xml:space="preserve"> </w:t>
      </w:r>
      <w:r w:rsidRPr="00016CA1">
        <w:rPr>
          <w:rFonts w:ascii="Arial" w:hAnsi="Arial" w:cs="Arial"/>
        </w:rPr>
        <w:t>When interest rates fall, the relative attractiveness of gold rises as the potential income from 'safe</w:t>
      </w:r>
      <w:r>
        <w:rPr>
          <w:rFonts w:ascii="Arial" w:hAnsi="Arial" w:cs="Arial"/>
        </w:rPr>
        <w:t xml:space="preserve"> haven</w:t>
      </w:r>
      <w:r w:rsidRPr="00016CA1">
        <w:rPr>
          <w:rFonts w:ascii="Arial" w:hAnsi="Arial" w:cs="Arial"/>
        </w:rPr>
        <w:t>' instruments declines.</w:t>
      </w:r>
      <w:r>
        <w:rPr>
          <w:rFonts w:ascii="Arial" w:hAnsi="Arial" w:cs="Arial"/>
        </w:rPr>
        <w:t xml:space="preserve"> </w:t>
      </w:r>
    </w:p>
    <w:p w14:paraId="4DA81847" w14:textId="77777777" w:rsidR="006E2509" w:rsidRPr="00896A11" w:rsidRDefault="006E2509" w:rsidP="006E2509">
      <w:pPr>
        <w:rPr>
          <w:rFonts w:ascii="Arial" w:hAnsi="Arial" w:cs="Arial"/>
          <w:b/>
          <w:bCs/>
        </w:rPr>
      </w:pPr>
    </w:p>
    <w:p w14:paraId="44B827D8" w14:textId="77777777" w:rsidR="006E2509" w:rsidRDefault="006E2509" w:rsidP="006E2509">
      <w:pPr>
        <w:rPr>
          <w:rFonts w:ascii="Arial" w:hAnsi="Arial" w:cs="Arial"/>
          <w:b/>
          <w:bCs/>
        </w:rPr>
      </w:pPr>
      <w:r w:rsidRPr="00896A11">
        <w:rPr>
          <w:rFonts w:ascii="Arial" w:hAnsi="Arial" w:cs="Arial"/>
          <w:b/>
          <w:bCs/>
        </w:rPr>
        <w:t>5.2.2 The significance of the Correlation</w:t>
      </w:r>
    </w:p>
    <w:p w14:paraId="67DD7151" w14:textId="77777777" w:rsidR="006E2509" w:rsidRDefault="006E2509" w:rsidP="006E2509">
      <w:pPr>
        <w:rPr>
          <w:rFonts w:ascii="Arial" w:hAnsi="Arial" w:cs="Arial"/>
        </w:rPr>
      </w:pPr>
      <w:r w:rsidRPr="00896A11">
        <w:rPr>
          <w:rFonts w:ascii="Arial" w:hAnsi="Arial" w:cs="Arial"/>
        </w:rPr>
        <w:t>The 0.020 correlation found in Chapter 4 proves that gold and equities have effectively no relationship during easing periods.</w:t>
      </w:r>
      <w:r>
        <w:rPr>
          <w:rFonts w:ascii="Arial" w:hAnsi="Arial" w:cs="Arial"/>
          <w:color w:val="1F1F1F"/>
          <w:shd w:val="clear" w:color="auto" w:fill="FFFFFF"/>
        </w:rPr>
        <w:t xml:space="preserve"> </w:t>
      </w:r>
      <w:r w:rsidRPr="00624CC3">
        <w:rPr>
          <w:rFonts w:ascii="Arial" w:hAnsi="Arial" w:cs="Arial"/>
          <w:color w:val="1F1F1F"/>
          <w:shd w:val="clear" w:color="auto" w:fill="FFFFFF"/>
        </w:rPr>
        <w:t xml:space="preserve">Hazra and </w:t>
      </w:r>
      <w:proofErr w:type="spellStart"/>
      <w:r w:rsidRPr="00624CC3">
        <w:rPr>
          <w:rFonts w:ascii="Arial" w:hAnsi="Arial" w:cs="Arial"/>
          <w:color w:val="1F1F1F"/>
          <w:shd w:val="clear" w:color="auto" w:fill="FFFFFF"/>
        </w:rPr>
        <w:t>Gogtay</w:t>
      </w:r>
      <w:proofErr w:type="spellEnd"/>
      <w:r w:rsidRPr="00624CC3">
        <w:rPr>
          <w:rFonts w:ascii="Arial" w:hAnsi="Arial" w:cs="Arial"/>
          <w:color w:val="1F1F1F"/>
          <w:shd w:val="clear" w:color="auto" w:fill="FFFFFF"/>
        </w:rPr>
        <w:t xml:space="preserve"> (2016) state that </w:t>
      </w:r>
      <w:r w:rsidRPr="00624CC3">
        <w:rPr>
          <w:rFonts w:ascii="Arial" w:hAnsi="Arial" w:cs="Arial"/>
        </w:rPr>
        <w:t>the correlation between two financial instruments is near zero, the price movements of the assets are statistically independent, indicating that there is no observable linear relationship between their respective returns</w:t>
      </w:r>
      <w:r>
        <w:rPr>
          <w:rFonts w:ascii="Arial" w:hAnsi="Arial" w:cs="Arial"/>
        </w:rPr>
        <w:t>.</w:t>
      </w:r>
      <w:r w:rsidRPr="0066173D">
        <w:rPr>
          <w:rFonts w:ascii="Arial" w:hAnsi="Arial" w:cs="Arial"/>
          <w:color w:val="1F1F1F"/>
          <w:shd w:val="clear" w:color="auto" w:fill="FFFFFF"/>
        </w:rPr>
        <w:t xml:space="preserve"> </w:t>
      </w:r>
      <w:r w:rsidRPr="0066173D">
        <w:rPr>
          <w:rFonts w:ascii="Arial" w:hAnsi="Arial" w:cs="Arial"/>
        </w:rPr>
        <w:t xml:space="preserve">While the S&amp;P 500 faced pressure with mean return of -0.001 during these cycles, gold </w:t>
      </w:r>
      <w:r>
        <w:rPr>
          <w:rFonts w:ascii="Arial" w:hAnsi="Arial" w:cs="Arial"/>
        </w:rPr>
        <w:t xml:space="preserve">outperformed with a mean return of 0.012. </w:t>
      </w:r>
    </w:p>
    <w:p w14:paraId="35512730" w14:textId="77777777" w:rsidR="006E2509" w:rsidRDefault="006E2509" w:rsidP="006E2509">
      <w:pPr>
        <w:rPr>
          <w:rFonts w:ascii="Arial" w:hAnsi="Arial" w:cs="Arial"/>
        </w:rPr>
      </w:pPr>
      <w:r w:rsidRPr="00981F60">
        <w:rPr>
          <w:rFonts w:ascii="Arial" w:hAnsi="Arial" w:cs="Arial"/>
        </w:rPr>
        <w:t>Gold's value does not rely on the performance of the stock market. While stocks prices depend on company's earning, profits and overall economic growth, gold often operates independently.</w:t>
      </w:r>
      <w:r>
        <w:rPr>
          <w:rFonts w:ascii="Arial" w:hAnsi="Arial" w:cs="Arial"/>
        </w:rPr>
        <w:t xml:space="preserve"> This statistical independence is most evident d</w:t>
      </w:r>
      <w:r w:rsidRPr="00981F60">
        <w:rPr>
          <w:rFonts w:ascii="Arial" w:hAnsi="Arial" w:cs="Arial"/>
        </w:rPr>
        <w:t xml:space="preserve">uring </w:t>
      </w:r>
      <w:r>
        <w:rPr>
          <w:rFonts w:ascii="Arial" w:hAnsi="Arial" w:cs="Arial"/>
        </w:rPr>
        <w:t xml:space="preserve">periods of high market stress. During </w:t>
      </w:r>
      <w:r w:rsidRPr="00981F60">
        <w:rPr>
          <w:rFonts w:ascii="Arial" w:hAnsi="Arial" w:cs="Arial"/>
        </w:rPr>
        <w:t>major financial crises, such as the 2008 crash or COVID-19 pandemic. Investors are attracted to gold because its price doesn't drop alongside the stock market. Instead, it serves as a</w:t>
      </w:r>
      <w:r>
        <w:rPr>
          <w:rFonts w:ascii="Arial" w:hAnsi="Arial" w:cs="Arial"/>
        </w:rPr>
        <w:t xml:space="preserve"> diversifier and a</w:t>
      </w:r>
      <w:r w:rsidRPr="00981F60">
        <w:rPr>
          <w:rFonts w:ascii="Arial" w:hAnsi="Arial" w:cs="Arial"/>
        </w:rPr>
        <w:t xml:space="preserve"> hedge against the risk associated with both the stock market and the economy.</w:t>
      </w:r>
    </w:p>
    <w:p w14:paraId="05593276" w14:textId="77777777" w:rsidR="006E2509" w:rsidRDefault="006E2509" w:rsidP="006E2509">
      <w:pPr>
        <w:rPr>
          <w:rFonts w:ascii="Arial" w:hAnsi="Arial" w:cs="Arial"/>
        </w:rPr>
      </w:pPr>
    </w:p>
    <w:p w14:paraId="49F17A0F" w14:textId="77777777" w:rsidR="006E2509" w:rsidRDefault="006E2509" w:rsidP="006E2509">
      <w:pPr>
        <w:rPr>
          <w:rFonts w:ascii="Arial" w:hAnsi="Arial" w:cs="Arial"/>
          <w:b/>
          <w:bCs/>
        </w:rPr>
      </w:pPr>
      <w:r w:rsidRPr="00CA73A6">
        <w:rPr>
          <w:rFonts w:ascii="Arial" w:hAnsi="Arial" w:cs="Arial"/>
          <w:b/>
          <w:bCs/>
        </w:rPr>
        <w:t>5.2.3 Safe Havens: Reality vs. Theory</w:t>
      </w:r>
    </w:p>
    <w:p w14:paraId="4FE47D32" w14:textId="77777777" w:rsidR="006E2509" w:rsidRDefault="006E2509" w:rsidP="006E2509">
      <w:pPr>
        <w:rPr>
          <w:rFonts w:ascii="Arial" w:hAnsi="Arial" w:cs="Arial"/>
        </w:rPr>
      </w:pPr>
      <w:r w:rsidRPr="00E94496">
        <w:rPr>
          <w:rFonts w:ascii="Arial" w:hAnsi="Arial" w:cs="Arial"/>
        </w:rPr>
        <w:t>According to Baur and McDermott (2010), a safe haven is identified by its performance during financial crises; specifically, its ability to remain uncorrelated or negatively correlated when the market is volatile.</w:t>
      </w:r>
      <w:r w:rsidRPr="00AA38D9">
        <w:rPr>
          <w:rFonts w:ascii="Arial" w:hAnsi="Arial" w:cs="Arial"/>
          <w:color w:val="1F1F1F"/>
          <w:shd w:val="clear" w:color="auto" w:fill="FFFFFF"/>
        </w:rPr>
        <w:t xml:space="preserve"> </w:t>
      </w:r>
      <w:r w:rsidRPr="00AA38D9">
        <w:rPr>
          <w:rFonts w:ascii="Arial" w:hAnsi="Arial" w:cs="Arial"/>
        </w:rPr>
        <w:t>Data from 2005 to 2025 confirms this trend, gold acts as a safe haven during crises rather than as a permanent one.</w:t>
      </w:r>
    </w:p>
    <w:p w14:paraId="0BA3C8A6" w14:textId="77777777" w:rsidR="006E2509" w:rsidRDefault="006E2509" w:rsidP="006E2509">
      <w:pPr>
        <w:rPr>
          <w:rFonts w:ascii="Arial" w:hAnsi="Arial" w:cs="Arial"/>
        </w:rPr>
      </w:pPr>
      <w:r w:rsidRPr="0079778F">
        <w:rPr>
          <w:rFonts w:ascii="Arial" w:hAnsi="Arial" w:cs="Arial"/>
        </w:rPr>
        <w:lastRenderedPageBreak/>
        <w:t>Evidence from the 2008 and 2020 crises indicates that gold's status as a safe haven is conditional. While it may fail to protect against immediate shocks, it serves as a hedge against the long-term effects of monetary easing. Consequently, gold is most reliable as a safe haven when investors fear the long-term impacts of extreme monetary expansion.</w:t>
      </w:r>
    </w:p>
    <w:p w14:paraId="255547D9" w14:textId="77777777" w:rsidR="006E2509" w:rsidRPr="005B2081" w:rsidRDefault="006E2509" w:rsidP="006E2509">
      <w:pPr>
        <w:rPr>
          <w:rFonts w:ascii="Arial" w:hAnsi="Arial" w:cs="Arial"/>
          <w:b/>
          <w:bCs/>
        </w:rPr>
      </w:pPr>
    </w:p>
    <w:p w14:paraId="53B20481" w14:textId="77777777" w:rsidR="006E2509" w:rsidRDefault="006E2509" w:rsidP="006E2509">
      <w:pPr>
        <w:rPr>
          <w:rFonts w:ascii="Arial" w:hAnsi="Arial" w:cs="Arial"/>
          <w:b/>
          <w:bCs/>
        </w:rPr>
      </w:pPr>
      <w:r w:rsidRPr="005B2081">
        <w:rPr>
          <w:rFonts w:ascii="Arial" w:hAnsi="Arial" w:cs="Arial"/>
          <w:b/>
          <w:bCs/>
        </w:rPr>
        <w:t>5.2.4</w:t>
      </w:r>
      <w:r>
        <w:rPr>
          <w:rFonts w:ascii="Arial" w:hAnsi="Arial" w:cs="Arial"/>
          <w:b/>
          <w:bCs/>
        </w:rPr>
        <w:t xml:space="preserve"> Conclusion of Interpretation </w:t>
      </w:r>
    </w:p>
    <w:p w14:paraId="6F63BD4D" w14:textId="77777777" w:rsidR="006E2509" w:rsidRDefault="006E2509" w:rsidP="006E2509">
      <w:pPr>
        <w:rPr>
          <w:rFonts w:ascii="Arial" w:hAnsi="Arial" w:cs="Arial"/>
        </w:rPr>
      </w:pPr>
      <w:r w:rsidRPr="009C44EA">
        <w:rPr>
          <w:rFonts w:ascii="Arial" w:hAnsi="Arial" w:cs="Arial"/>
        </w:rPr>
        <w:t>From a portfolio management perspective, the data suggests gold serves as both a hedge and diversifier. Specifically, the findings indicate a 0.020 correlation during periods of monetary easing and a 0.012 increase in returns during periods of financial instability.</w:t>
      </w:r>
      <w:r w:rsidRPr="009421BC">
        <w:rPr>
          <w:rFonts w:ascii="Arial" w:hAnsi="Arial" w:cs="Arial"/>
          <w:color w:val="1F1F1F"/>
          <w:shd w:val="clear" w:color="auto" w:fill="FFFFFF"/>
        </w:rPr>
        <w:t xml:space="preserve"> </w:t>
      </w:r>
      <w:r w:rsidRPr="009421BC">
        <w:rPr>
          <w:rFonts w:ascii="Arial" w:hAnsi="Arial" w:cs="Arial"/>
        </w:rPr>
        <w:t>These results show that gold is not a 'buy and forget' asset; its value depends on constant market monitoring.</w:t>
      </w:r>
      <w:r>
        <w:rPr>
          <w:rFonts w:ascii="Arial" w:hAnsi="Arial" w:cs="Arial"/>
        </w:rPr>
        <w:t xml:space="preserve"> It role is dynamic. </w:t>
      </w:r>
      <w:r w:rsidRPr="004E0AA9">
        <w:rPr>
          <w:rFonts w:ascii="Arial" w:hAnsi="Arial" w:cs="Arial"/>
        </w:rPr>
        <w:t>Gold is not for</w:t>
      </w:r>
      <w:r>
        <w:rPr>
          <w:rFonts w:ascii="Arial" w:hAnsi="Arial" w:cs="Arial"/>
        </w:rPr>
        <w:t xml:space="preserve"> generating large</w:t>
      </w:r>
      <w:r w:rsidRPr="004E0AA9">
        <w:rPr>
          <w:rFonts w:ascii="Arial" w:hAnsi="Arial" w:cs="Arial"/>
        </w:rPr>
        <w:t xml:space="preserve"> profits; </w:t>
      </w:r>
      <w:r>
        <w:rPr>
          <w:rFonts w:ascii="Arial" w:hAnsi="Arial" w:cs="Arial"/>
        </w:rPr>
        <w:t>it acts as</w:t>
      </w:r>
      <w:r w:rsidRPr="004E0AA9">
        <w:rPr>
          <w:rFonts w:ascii="Arial" w:hAnsi="Arial" w:cs="Arial"/>
        </w:rPr>
        <w:t xml:space="preserve"> insurance for a portfolio. The best time is to buy is when </w:t>
      </w:r>
      <w:r>
        <w:rPr>
          <w:rFonts w:ascii="Arial" w:hAnsi="Arial" w:cs="Arial"/>
        </w:rPr>
        <w:t xml:space="preserve">interest </w:t>
      </w:r>
      <w:r w:rsidRPr="004E0AA9">
        <w:rPr>
          <w:rFonts w:ascii="Arial" w:hAnsi="Arial" w:cs="Arial"/>
        </w:rPr>
        <w:t>rates stop increasing and begin to fall.</w:t>
      </w:r>
    </w:p>
    <w:p w14:paraId="60621726" w14:textId="77777777" w:rsidR="006E2509" w:rsidRDefault="006E2509" w:rsidP="006E2509">
      <w:pPr>
        <w:rPr>
          <w:rFonts w:ascii="Arial" w:hAnsi="Arial" w:cs="Arial"/>
        </w:rPr>
      </w:pPr>
    </w:p>
    <w:p w14:paraId="2E1F0777" w14:textId="77777777" w:rsidR="006E2509" w:rsidRDefault="006E2509" w:rsidP="006E2509">
      <w:pPr>
        <w:rPr>
          <w:rFonts w:ascii="Arial" w:hAnsi="Arial" w:cs="Arial"/>
          <w:b/>
          <w:bCs/>
          <w:sz w:val="28"/>
          <w:szCs w:val="28"/>
        </w:rPr>
      </w:pPr>
      <w:r w:rsidRPr="00CD6DA6">
        <w:rPr>
          <w:rFonts w:ascii="Arial" w:hAnsi="Arial" w:cs="Arial"/>
          <w:b/>
          <w:bCs/>
          <w:sz w:val="28"/>
          <w:szCs w:val="28"/>
        </w:rPr>
        <w:t xml:space="preserve">5.3 </w:t>
      </w:r>
      <w:r>
        <w:rPr>
          <w:rFonts w:ascii="Arial" w:hAnsi="Arial" w:cs="Arial"/>
          <w:b/>
          <w:bCs/>
          <w:sz w:val="28"/>
          <w:szCs w:val="28"/>
        </w:rPr>
        <w:t>Alignment with Theoretical Framework</w:t>
      </w:r>
    </w:p>
    <w:p w14:paraId="776E20F7" w14:textId="5292AAFD" w:rsidR="006E2509" w:rsidRDefault="006E2509" w:rsidP="006E2509">
      <w:pPr>
        <w:rPr>
          <w:rFonts w:ascii="Arial" w:hAnsi="Arial" w:cs="Arial"/>
        </w:rPr>
      </w:pPr>
      <w:r w:rsidRPr="00787972">
        <w:rPr>
          <w:rFonts w:ascii="Arial" w:hAnsi="Arial" w:cs="Arial"/>
        </w:rPr>
        <w:t xml:space="preserve">This research aligns with Interest Rate Theory regarding how gold reacts to US monetary policy. </w:t>
      </w:r>
      <w:r w:rsidRPr="00212C0F">
        <w:rPr>
          <w:rFonts w:ascii="Arial" w:hAnsi="Arial" w:cs="Arial"/>
        </w:rPr>
        <w:t xml:space="preserve">Gold has not always been a reliable hedge during the 2005 to 2025 period; its performance depending on the cost of holding it relative to other investments. Therefore, gold's role within an investment portfolio </w:t>
      </w:r>
      <w:r w:rsidR="00023C90" w:rsidRPr="00212C0F">
        <w:rPr>
          <w:rFonts w:ascii="Arial" w:hAnsi="Arial" w:cs="Arial"/>
        </w:rPr>
        <w:t>changes</w:t>
      </w:r>
      <w:r w:rsidRPr="00212C0F">
        <w:rPr>
          <w:rFonts w:ascii="Arial" w:hAnsi="Arial" w:cs="Arial"/>
        </w:rPr>
        <w:t xml:space="preserve"> over time.</w:t>
      </w:r>
    </w:p>
    <w:p w14:paraId="56F3A189" w14:textId="77777777" w:rsidR="006E2509" w:rsidRDefault="006E2509" w:rsidP="006E2509">
      <w:pPr>
        <w:rPr>
          <w:rFonts w:ascii="Arial" w:hAnsi="Arial" w:cs="Arial"/>
        </w:rPr>
      </w:pPr>
    </w:p>
    <w:p w14:paraId="5B88DDB5" w14:textId="77777777" w:rsidR="006E2509" w:rsidRDefault="006E2509" w:rsidP="006E2509">
      <w:pPr>
        <w:rPr>
          <w:rFonts w:ascii="Arial" w:hAnsi="Arial" w:cs="Arial"/>
          <w:b/>
          <w:bCs/>
        </w:rPr>
      </w:pPr>
      <w:r w:rsidRPr="00B86054">
        <w:rPr>
          <w:rFonts w:ascii="Arial" w:hAnsi="Arial" w:cs="Arial"/>
          <w:b/>
          <w:bCs/>
        </w:rPr>
        <w:t xml:space="preserve">5.3.1 Modern Portfolio Theory (MPT) and Diversification </w:t>
      </w:r>
    </w:p>
    <w:p w14:paraId="2CAE59E6" w14:textId="77777777" w:rsidR="006E2509" w:rsidRPr="0041070A" w:rsidRDefault="006E2509" w:rsidP="006E2509">
      <w:pPr>
        <w:rPr>
          <w:rFonts w:ascii="Arial" w:hAnsi="Arial" w:cs="Arial"/>
        </w:rPr>
      </w:pPr>
      <w:r w:rsidRPr="0041070A">
        <w:rPr>
          <w:rFonts w:ascii="Arial" w:hAnsi="Arial" w:cs="Arial"/>
        </w:rPr>
        <w:t>Modern Portfolio theory focuses on diversification by selecting assets with low or negative correlations to reduce overall risk</w:t>
      </w:r>
      <w:r>
        <w:rPr>
          <w:rFonts w:ascii="Arial" w:hAnsi="Arial" w:cs="Arial"/>
        </w:rPr>
        <w:t xml:space="preserve"> (The Investopedia Team, 2025).</w:t>
      </w:r>
      <w:r w:rsidRPr="00036DB5">
        <w:rPr>
          <w:rFonts w:ascii="Arial" w:hAnsi="Arial" w:cs="Arial"/>
          <w:color w:val="1F1F1F"/>
          <w:shd w:val="clear" w:color="auto" w:fill="FFFFFF"/>
        </w:rPr>
        <w:t xml:space="preserve"> </w:t>
      </w:r>
      <w:r w:rsidRPr="00036DB5">
        <w:rPr>
          <w:rFonts w:ascii="Arial" w:hAnsi="Arial" w:cs="Arial"/>
        </w:rPr>
        <w:t xml:space="preserve">This research confirms that gold serves as a diversifier by demonstrating a low or inverse correlation with equity indices. </w:t>
      </w:r>
      <w:r>
        <w:rPr>
          <w:rFonts w:ascii="Arial" w:hAnsi="Arial" w:cs="Arial"/>
        </w:rPr>
        <w:t xml:space="preserve"> </w:t>
      </w:r>
    </w:p>
    <w:p w14:paraId="37BB8AAC" w14:textId="77777777" w:rsidR="006E2509" w:rsidRDefault="006E2509" w:rsidP="006E2509">
      <w:pPr>
        <w:pStyle w:val="ListParagraph"/>
        <w:numPr>
          <w:ilvl w:val="0"/>
          <w:numId w:val="6"/>
        </w:numPr>
        <w:rPr>
          <w:rFonts w:ascii="Arial" w:hAnsi="Arial" w:cs="Arial"/>
        </w:rPr>
      </w:pPr>
      <w:r w:rsidRPr="00BD63D2">
        <w:rPr>
          <w:rFonts w:ascii="Arial" w:hAnsi="Arial" w:cs="Arial"/>
          <w:b/>
          <w:bCs/>
        </w:rPr>
        <w:t>Hedge:</w:t>
      </w:r>
      <w:r w:rsidRPr="00A5478F">
        <w:rPr>
          <w:rFonts w:ascii="Arial" w:hAnsi="Arial" w:cs="Arial"/>
          <w:color w:val="1F1F1F"/>
          <w:shd w:val="clear" w:color="auto" w:fill="FFFFFF"/>
        </w:rPr>
        <w:t xml:space="preserve"> </w:t>
      </w:r>
      <w:r w:rsidRPr="00A5478F">
        <w:rPr>
          <w:rFonts w:ascii="Arial" w:hAnsi="Arial" w:cs="Arial"/>
        </w:rPr>
        <w:t xml:space="preserve">Gold serves as a hedge because its price movements are independent of stock performance. This low correlation with equity markets validates the Modern </w:t>
      </w:r>
      <w:r w:rsidRPr="00A5478F">
        <w:rPr>
          <w:rFonts w:ascii="Arial" w:hAnsi="Arial" w:cs="Arial"/>
        </w:rPr>
        <w:lastRenderedPageBreak/>
        <w:t>Portfolio Theory (MPT) requirement for non-correlated assets that reduce investment risk.</w:t>
      </w:r>
    </w:p>
    <w:p w14:paraId="30C3B237" w14:textId="77777777" w:rsidR="006E2509" w:rsidRDefault="006E2509" w:rsidP="006E2509">
      <w:pPr>
        <w:pStyle w:val="ListParagraph"/>
        <w:numPr>
          <w:ilvl w:val="0"/>
          <w:numId w:val="6"/>
        </w:numPr>
        <w:rPr>
          <w:rFonts w:ascii="Arial" w:hAnsi="Arial" w:cs="Arial"/>
        </w:rPr>
      </w:pPr>
      <w:r w:rsidRPr="00A10A91">
        <w:rPr>
          <w:rFonts w:ascii="Arial" w:hAnsi="Arial" w:cs="Arial"/>
          <w:b/>
          <w:bCs/>
        </w:rPr>
        <w:t xml:space="preserve">Safe-Haven: </w:t>
      </w:r>
      <w:r w:rsidRPr="00D042A0">
        <w:rPr>
          <w:rFonts w:ascii="Arial" w:hAnsi="Arial" w:cs="Arial"/>
        </w:rPr>
        <w:t xml:space="preserve">During extreme financial crises, such as the 2008 crash and COVID19 pandemic, gold's correlation with equities became significant; it demonstrated an inverse relationship, confirming its role as a 'safe haven' asset that protects wealth </w:t>
      </w:r>
      <w:r>
        <w:rPr>
          <w:rFonts w:ascii="Arial" w:hAnsi="Arial" w:cs="Arial"/>
        </w:rPr>
        <w:t xml:space="preserve">during </w:t>
      </w:r>
      <w:r w:rsidRPr="00D042A0">
        <w:rPr>
          <w:rFonts w:ascii="Arial" w:hAnsi="Arial" w:cs="Arial"/>
        </w:rPr>
        <w:t>market crash</w:t>
      </w:r>
      <w:r>
        <w:rPr>
          <w:rFonts w:ascii="Arial" w:hAnsi="Arial" w:cs="Arial"/>
        </w:rPr>
        <w:t>es</w:t>
      </w:r>
      <w:r w:rsidRPr="00D042A0">
        <w:rPr>
          <w:rFonts w:ascii="Arial" w:hAnsi="Arial" w:cs="Arial"/>
        </w:rPr>
        <w:t>.</w:t>
      </w:r>
    </w:p>
    <w:p w14:paraId="5E98B7A1" w14:textId="77777777" w:rsidR="006E2509" w:rsidRDefault="006E2509" w:rsidP="006E2509">
      <w:pPr>
        <w:pStyle w:val="ListParagraph"/>
        <w:numPr>
          <w:ilvl w:val="0"/>
          <w:numId w:val="6"/>
        </w:numPr>
        <w:rPr>
          <w:rFonts w:ascii="Arial" w:hAnsi="Arial" w:cs="Arial"/>
        </w:rPr>
      </w:pPr>
      <w:r w:rsidRPr="00D042A0">
        <w:rPr>
          <w:rFonts w:ascii="Arial" w:hAnsi="Arial" w:cs="Arial"/>
          <w:b/>
          <w:bCs/>
        </w:rPr>
        <w:t>Dynamic Correlation:</w:t>
      </w:r>
      <w:r>
        <w:rPr>
          <w:rFonts w:ascii="Arial" w:hAnsi="Arial" w:cs="Arial"/>
          <w:b/>
          <w:bCs/>
        </w:rPr>
        <w:t xml:space="preserve"> </w:t>
      </w:r>
      <w:r w:rsidRPr="00CB7EEF">
        <w:rPr>
          <w:rFonts w:ascii="Arial" w:hAnsi="Arial" w:cs="Arial"/>
        </w:rPr>
        <w:t>However, the findings challenge the MPT assumption of fixed asset correlations. In this study, gold became less effective as a hedge when interest rates rose, because its correlation with equities increased.</w:t>
      </w:r>
    </w:p>
    <w:p w14:paraId="23C9788D" w14:textId="77777777" w:rsidR="006E2509" w:rsidRDefault="006E2509" w:rsidP="006E2509">
      <w:pPr>
        <w:pStyle w:val="ListParagraph"/>
        <w:ind w:left="360"/>
        <w:rPr>
          <w:rFonts w:ascii="Arial" w:hAnsi="Arial" w:cs="Arial"/>
          <w:b/>
          <w:bCs/>
        </w:rPr>
      </w:pPr>
    </w:p>
    <w:p w14:paraId="032283A1" w14:textId="77777777" w:rsidR="006E2509" w:rsidRDefault="006E2509" w:rsidP="006E2509">
      <w:pPr>
        <w:pStyle w:val="ListParagraph"/>
        <w:ind w:left="0"/>
        <w:rPr>
          <w:rFonts w:ascii="Arial" w:hAnsi="Arial" w:cs="Arial"/>
          <w:b/>
          <w:bCs/>
        </w:rPr>
      </w:pPr>
      <w:r w:rsidRPr="00B41DDD">
        <w:rPr>
          <w:rFonts w:ascii="Arial" w:hAnsi="Arial" w:cs="Arial"/>
          <w:b/>
          <w:bCs/>
        </w:rPr>
        <w:t>5.3.2 Interest Rate Theory and Opportunity Cost</w:t>
      </w:r>
    </w:p>
    <w:p w14:paraId="5E207920" w14:textId="77777777" w:rsidR="006E2509" w:rsidRDefault="006E2509" w:rsidP="006E2509">
      <w:pPr>
        <w:rPr>
          <w:rFonts w:ascii="Arial" w:hAnsi="Arial" w:cs="Arial"/>
        </w:rPr>
      </w:pPr>
      <w:r w:rsidRPr="00133EBD">
        <w:rPr>
          <w:rFonts w:ascii="Arial" w:hAnsi="Arial" w:cs="Arial"/>
        </w:rPr>
        <w:t>The opportunity cost theory is essential for understanding gold price fluctuations.</w:t>
      </w:r>
      <w:r w:rsidRPr="00AC2814">
        <w:rPr>
          <w:rFonts w:ascii="Arial" w:hAnsi="Arial" w:cs="Arial"/>
          <w:color w:val="1F1F1F"/>
          <w:shd w:val="clear" w:color="auto" w:fill="FFFFFF"/>
        </w:rPr>
        <w:t xml:space="preserve"> </w:t>
      </w:r>
      <w:r w:rsidRPr="00AC2814">
        <w:rPr>
          <w:rFonts w:ascii="Arial" w:hAnsi="Arial" w:cs="Arial"/>
        </w:rPr>
        <w:t>Because of gold doesn't pay interest, so investors choose debt-based assets when interest rates rise</w:t>
      </w:r>
      <w:r>
        <w:rPr>
          <w:rFonts w:ascii="Arial" w:hAnsi="Arial" w:cs="Arial"/>
        </w:rPr>
        <w:t xml:space="preserve"> (</w:t>
      </w:r>
      <w:r w:rsidRPr="00AC2814">
        <w:rPr>
          <w:rFonts w:ascii="Arial" w:hAnsi="Arial" w:cs="Arial"/>
        </w:rPr>
        <w:t>World Gold Council, 2023</w:t>
      </w:r>
      <w:r>
        <w:rPr>
          <w:rFonts w:ascii="Arial" w:hAnsi="Arial" w:cs="Arial"/>
        </w:rPr>
        <w:t>).</w:t>
      </w:r>
    </w:p>
    <w:p w14:paraId="1ED39EF7" w14:textId="77777777" w:rsidR="006E2509" w:rsidRDefault="006E2509" w:rsidP="006E2509">
      <w:pPr>
        <w:pStyle w:val="ListParagraph"/>
        <w:numPr>
          <w:ilvl w:val="0"/>
          <w:numId w:val="7"/>
        </w:numPr>
        <w:rPr>
          <w:rFonts w:ascii="Arial" w:hAnsi="Arial" w:cs="Arial"/>
        </w:rPr>
      </w:pPr>
      <w:r w:rsidRPr="00A1666C">
        <w:rPr>
          <w:rFonts w:ascii="Arial" w:hAnsi="Arial" w:cs="Arial"/>
          <w:b/>
          <w:bCs/>
        </w:rPr>
        <w:t xml:space="preserve">Falling Rates: </w:t>
      </w:r>
      <w:r w:rsidRPr="00FD7FF1">
        <w:rPr>
          <w:rFonts w:ascii="Arial" w:hAnsi="Arial" w:cs="Arial"/>
        </w:rPr>
        <w:t>Federal Reserve Rate cuts in 2008 and 2020 which reduced the opportunity cost of non-yielding assets, making gold much more attractive and gold prices to rise.</w:t>
      </w:r>
      <w:r>
        <w:rPr>
          <w:rFonts w:ascii="Arial" w:hAnsi="Arial" w:cs="Arial"/>
        </w:rPr>
        <w:t xml:space="preserve"> </w:t>
      </w:r>
      <w:r w:rsidRPr="00315A9D">
        <w:rPr>
          <w:rFonts w:ascii="Arial" w:hAnsi="Arial" w:cs="Arial"/>
        </w:rPr>
        <w:t>This aligns with interest rate theory, which suggests that gold more effectively as a store of value when equity returns decline</w:t>
      </w:r>
      <w:r>
        <w:rPr>
          <w:rFonts w:ascii="Arial" w:hAnsi="Arial" w:cs="Arial"/>
        </w:rPr>
        <w:t xml:space="preserve"> (</w:t>
      </w:r>
      <w:r w:rsidRPr="00315A9D">
        <w:rPr>
          <w:rFonts w:ascii="Arial" w:hAnsi="Arial" w:cs="Arial"/>
        </w:rPr>
        <w:t>Barsky and Summers, 1988</w:t>
      </w:r>
      <w:r>
        <w:rPr>
          <w:rFonts w:ascii="Arial" w:hAnsi="Arial" w:cs="Arial"/>
        </w:rPr>
        <w:t>).</w:t>
      </w:r>
    </w:p>
    <w:p w14:paraId="37862826" w14:textId="77777777" w:rsidR="006E2509" w:rsidRDefault="006E2509" w:rsidP="006E2509">
      <w:pPr>
        <w:pStyle w:val="ListParagraph"/>
        <w:numPr>
          <w:ilvl w:val="0"/>
          <w:numId w:val="7"/>
        </w:numPr>
        <w:rPr>
          <w:rFonts w:ascii="Arial" w:hAnsi="Arial" w:cs="Arial"/>
        </w:rPr>
      </w:pPr>
      <w:r w:rsidRPr="00DF38B0">
        <w:rPr>
          <w:rFonts w:ascii="Arial" w:hAnsi="Arial" w:cs="Arial"/>
          <w:b/>
          <w:bCs/>
        </w:rPr>
        <w:t xml:space="preserve">Rising Rates: </w:t>
      </w:r>
      <w:r w:rsidRPr="00CB434C">
        <w:rPr>
          <w:rFonts w:ascii="Arial" w:hAnsi="Arial" w:cs="Arial"/>
        </w:rPr>
        <w:t>When interest rates rose in 2022, gold prices decline because investors chose to put their money into interest generating assets.</w:t>
      </w:r>
    </w:p>
    <w:p w14:paraId="30BEF90C" w14:textId="77777777" w:rsidR="006E2509" w:rsidRDefault="006E2509" w:rsidP="006E2509">
      <w:pPr>
        <w:rPr>
          <w:rFonts w:ascii="Arial" w:hAnsi="Arial" w:cs="Arial"/>
        </w:rPr>
      </w:pPr>
    </w:p>
    <w:p w14:paraId="29650087" w14:textId="77777777" w:rsidR="006E2509" w:rsidRDefault="006E2509" w:rsidP="006E2509">
      <w:pPr>
        <w:rPr>
          <w:rFonts w:ascii="Arial" w:hAnsi="Arial" w:cs="Arial"/>
          <w:b/>
          <w:bCs/>
          <w:sz w:val="28"/>
          <w:szCs w:val="28"/>
        </w:rPr>
      </w:pPr>
      <w:r w:rsidRPr="00320F3D">
        <w:rPr>
          <w:rFonts w:ascii="Arial" w:hAnsi="Arial" w:cs="Arial"/>
          <w:b/>
          <w:bCs/>
          <w:sz w:val="28"/>
          <w:szCs w:val="28"/>
        </w:rPr>
        <w:t>5.4 Addressing the Research Gap</w:t>
      </w:r>
    </w:p>
    <w:p w14:paraId="22D1F33E" w14:textId="77777777" w:rsidR="006E2509" w:rsidRDefault="006E2509" w:rsidP="006E2509">
      <w:pPr>
        <w:rPr>
          <w:rFonts w:ascii="Arial" w:hAnsi="Arial" w:cs="Arial"/>
        </w:rPr>
      </w:pPr>
      <w:r w:rsidRPr="00794906">
        <w:rPr>
          <w:rFonts w:ascii="Arial" w:hAnsi="Arial" w:cs="Arial"/>
        </w:rPr>
        <w:t>This research fills a gap in the interest rate cycles between 2005 and 2025; this study offers a new perspective on gold's market behaviour that was missing previously form financial literature.</w:t>
      </w:r>
      <w:r w:rsidRPr="007C371F">
        <w:rPr>
          <w:rFonts w:ascii="Arial" w:hAnsi="Arial" w:cs="Arial"/>
          <w:color w:val="1F1F1F"/>
          <w:shd w:val="clear" w:color="auto" w:fill="FFFFFF"/>
        </w:rPr>
        <w:t xml:space="preserve"> </w:t>
      </w:r>
      <w:r w:rsidRPr="007C371F">
        <w:rPr>
          <w:rFonts w:ascii="Arial" w:hAnsi="Arial" w:cs="Arial"/>
        </w:rPr>
        <w:t>Previous research from Baur and McDermott (2010) Highlights gold's role as a reliable safe haven when markets crash suddenly, specifically during the 2008 financial collapse.</w:t>
      </w:r>
      <w:r w:rsidRPr="00C17CC3">
        <w:rPr>
          <w:rFonts w:ascii="Arial" w:hAnsi="Arial" w:cs="Arial"/>
          <w:color w:val="1F1F1F"/>
          <w:shd w:val="clear" w:color="auto" w:fill="FFFFFF"/>
        </w:rPr>
        <w:t xml:space="preserve"> </w:t>
      </w:r>
      <w:r w:rsidRPr="00C17CC3">
        <w:rPr>
          <w:rFonts w:ascii="Arial" w:hAnsi="Arial" w:cs="Arial"/>
        </w:rPr>
        <w:t>This research addresses the gap by analysing gold's evolving relationship with the S&amp;P 500 and Nasdaq during the COVID 19 pandemic and the 2022-2024 rate hike cycle.</w:t>
      </w:r>
    </w:p>
    <w:p w14:paraId="6B6D4DD7" w14:textId="669B5BB9" w:rsidR="006E2509" w:rsidRDefault="006E2509" w:rsidP="006E2509">
      <w:pPr>
        <w:rPr>
          <w:rFonts w:ascii="Arial" w:hAnsi="Arial" w:cs="Arial"/>
        </w:rPr>
      </w:pPr>
      <w:r w:rsidRPr="009465B2">
        <w:rPr>
          <w:rFonts w:ascii="Arial" w:hAnsi="Arial" w:cs="Arial"/>
        </w:rPr>
        <w:lastRenderedPageBreak/>
        <w:t>While the existing literature establishes gold as a 'zero-beta' asset (Abdullah et al., 2023)</w:t>
      </w:r>
      <w:r>
        <w:rPr>
          <w:rFonts w:ascii="Arial" w:hAnsi="Arial" w:cs="Arial"/>
        </w:rPr>
        <w:t xml:space="preserve">, </w:t>
      </w:r>
      <w:r w:rsidRPr="007C09A1">
        <w:rPr>
          <w:rFonts w:ascii="Arial" w:hAnsi="Arial" w:cs="Arial"/>
        </w:rPr>
        <w:t xml:space="preserve">as per </w:t>
      </w:r>
      <w:r w:rsidR="00E85F34">
        <w:rPr>
          <w:rFonts w:ascii="Arial" w:hAnsi="Arial" w:cs="Arial"/>
        </w:rPr>
        <w:t>this</w:t>
      </w:r>
      <w:r w:rsidRPr="007C09A1">
        <w:rPr>
          <w:rFonts w:ascii="Arial" w:hAnsi="Arial" w:cs="Arial"/>
        </w:rPr>
        <w:t xml:space="preserve"> research, there is a strong inverse correlation; specifically, the hedging effectiveness of the asset increases significantly as interest rates fall.</w:t>
      </w:r>
      <w:r>
        <w:rPr>
          <w:rFonts w:ascii="Arial" w:hAnsi="Arial" w:cs="Arial"/>
        </w:rPr>
        <w:t xml:space="preserve"> </w:t>
      </w:r>
      <w:r w:rsidRPr="00EB7E38">
        <w:rPr>
          <w:rFonts w:ascii="Arial" w:hAnsi="Arial" w:cs="Arial"/>
        </w:rPr>
        <w:t>Analysis of market data from 2005 to 2025 shows that when the FED cuts rates to mitigate instability, gold's correlation with the S&amp;P 500 drops to its lowest point (0.020), suggesting that gold provides a hedge during stable and rising rate environments.</w:t>
      </w:r>
    </w:p>
    <w:p w14:paraId="5B501369" w14:textId="77777777" w:rsidR="006E2509" w:rsidRPr="00581C3D" w:rsidRDefault="006E2509" w:rsidP="006E2509">
      <w:pPr>
        <w:rPr>
          <w:rFonts w:ascii="Arial" w:hAnsi="Arial" w:cs="Arial"/>
          <w:b/>
          <w:bCs/>
          <w:sz w:val="28"/>
          <w:szCs w:val="28"/>
        </w:rPr>
      </w:pPr>
    </w:p>
    <w:p w14:paraId="2A0588F9" w14:textId="77777777" w:rsidR="006E2509" w:rsidRPr="00581C3D" w:rsidRDefault="006E2509" w:rsidP="006E2509">
      <w:pPr>
        <w:rPr>
          <w:rFonts w:ascii="Arial" w:hAnsi="Arial" w:cs="Arial"/>
          <w:b/>
          <w:bCs/>
          <w:sz w:val="28"/>
          <w:szCs w:val="28"/>
        </w:rPr>
      </w:pPr>
      <w:r w:rsidRPr="00581C3D">
        <w:rPr>
          <w:rFonts w:ascii="Arial" w:hAnsi="Arial" w:cs="Arial"/>
          <w:b/>
          <w:bCs/>
          <w:sz w:val="28"/>
          <w:szCs w:val="28"/>
        </w:rPr>
        <w:t xml:space="preserve">5.5 Originality of the Research </w:t>
      </w:r>
    </w:p>
    <w:p w14:paraId="31648C87" w14:textId="77777777" w:rsidR="006E2509" w:rsidRDefault="006E2509" w:rsidP="006E2509">
      <w:pPr>
        <w:rPr>
          <w:rFonts w:ascii="Arial" w:hAnsi="Arial" w:cs="Arial"/>
        </w:rPr>
      </w:pPr>
      <w:r w:rsidRPr="00EC0450">
        <w:rPr>
          <w:rFonts w:ascii="Arial" w:hAnsi="Arial" w:cs="Arial"/>
        </w:rPr>
        <w:t>This research offers a unique systematic classification of interest rate regimes, analysing them to evaluate asset behaviour.</w:t>
      </w:r>
      <w:r>
        <w:rPr>
          <w:rFonts w:ascii="Arial" w:hAnsi="Arial" w:cs="Arial"/>
        </w:rPr>
        <w:t xml:space="preserve"> </w:t>
      </w:r>
      <w:r w:rsidRPr="005711BB">
        <w:rPr>
          <w:rFonts w:ascii="Arial" w:hAnsi="Arial" w:cs="Arial"/>
        </w:rPr>
        <w:t>This research defines gold's defensive role based on market conditions; it acts as a diversifier during rates hikes versus a safe haven during rate cuts.</w:t>
      </w:r>
    </w:p>
    <w:p w14:paraId="796FE93C" w14:textId="77777777" w:rsidR="006E2509" w:rsidRDefault="006E2509" w:rsidP="006E2509">
      <w:pPr>
        <w:rPr>
          <w:rFonts w:ascii="Arial" w:hAnsi="Arial" w:cs="Arial"/>
        </w:rPr>
      </w:pPr>
      <w:r w:rsidRPr="00047BEE">
        <w:rPr>
          <w:rFonts w:ascii="Arial" w:hAnsi="Arial" w:cs="Arial"/>
        </w:rPr>
        <w:t>The data indicates a breakdown in the correlation between gold and the Nasdaq; gold has demonstrated independence from US equity benchmarks</w:t>
      </w:r>
      <w:r>
        <w:rPr>
          <w:rFonts w:ascii="Arial" w:hAnsi="Arial" w:cs="Arial"/>
        </w:rPr>
        <w:t xml:space="preserve">. </w:t>
      </w:r>
      <w:r w:rsidRPr="00D24552">
        <w:rPr>
          <w:rFonts w:ascii="Arial" w:hAnsi="Arial" w:cs="Arial"/>
        </w:rPr>
        <w:t>When interest rates rose between 2022 and 2025, gold showed strong value, which is surprising because gold usually loses its when rates increase.</w:t>
      </w:r>
      <w:r w:rsidRPr="00EE0917">
        <w:rPr>
          <w:rFonts w:ascii="Arial" w:hAnsi="Arial" w:cs="Arial"/>
          <w:color w:val="1F1F1F"/>
          <w:shd w:val="clear" w:color="auto" w:fill="FFFFFF"/>
        </w:rPr>
        <w:t xml:space="preserve"> </w:t>
      </w:r>
      <w:r w:rsidRPr="00816744">
        <w:rPr>
          <w:rFonts w:ascii="Arial" w:hAnsi="Arial" w:cs="Arial"/>
          <w:color w:val="1F1F1F"/>
          <w:shd w:val="clear" w:color="auto" w:fill="FFFFFF"/>
        </w:rPr>
        <w:t>The price of gold has historically moved in opposite to the trend of the real yield. However, since the pandemic, data indicates that this relationship has weakened, marking a notable shift in market behaviour</w:t>
      </w:r>
      <w:r>
        <w:rPr>
          <w:rFonts w:ascii="Arial" w:hAnsi="Arial" w:cs="Arial"/>
          <w:color w:val="1F1F1F"/>
          <w:shd w:val="clear" w:color="auto" w:fill="FFFFFF"/>
        </w:rPr>
        <w:t xml:space="preserve"> (</w:t>
      </w:r>
      <w:proofErr w:type="spellStart"/>
      <w:r w:rsidRPr="00AE19CE">
        <w:rPr>
          <w:rFonts w:ascii="Arial" w:hAnsi="Arial" w:cs="Arial"/>
          <w:color w:val="1F1F1F"/>
          <w:shd w:val="clear" w:color="auto" w:fill="FFFFFF"/>
        </w:rPr>
        <w:t>Demajo</w:t>
      </w:r>
      <w:proofErr w:type="spellEnd"/>
      <w:r w:rsidRPr="00AE19CE">
        <w:rPr>
          <w:rFonts w:ascii="Arial" w:hAnsi="Arial" w:cs="Arial"/>
          <w:color w:val="1F1F1F"/>
          <w:shd w:val="clear" w:color="auto" w:fill="FFFFFF"/>
        </w:rPr>
        <w:t>, 2025</w:t>
      </w:r>
      <w:r>
        <w:rPr>
          <w:rFonts w:ascii="Arial" w:hAnsi="Arial" w:cs="Arial"/>
          <w:color w:val="1F1F1F"/>
          <w:shd w:val="clear" w:color="auto" w:fill="FFFFFF"/>
        </w:rPr>
        <w:t>).</w:t>
      </w:r>
      <w:r w:rsidRPr="00816744">
        <w:rPr>
          <w:rFonts w:ascii="Arial" w:hAnsi="Arial" w:cs="Arial"/>
          <w:color w:val="1F1F1F"/>
          <w:shd w:val="clear" w:color="auto" w:fill="FFFFFF"/>
        </w:rPr>
        <w:t xml:space="preserve"> </w:t>
      </w:r>
      <w:r w:rsidRPr="00EE0917">
        <w:rPr>
          <w:rFonts w:ascii="Arial" w:hAnsi="Arial" w:cs="Arial"/>
        </w:rPr>
        <w:t xml:space="preserve">This research examines portfolio management in a post-pandemic market conditions to establish new risk-mitigation frameworks </w:t>
      </w:r>
      <w:r>
        <w:rPr>
          <w:rFonts w:ascii="Arial" w:hAnsi="Arial" w:cs="Arial"/>
        </w:rPr>
        <w:t xml:space="preserve">that leverage this shifting </w:t>
      </w:r>
      <w:r w:rsidRPr="00EE0917">
        <w:rPr>
          <w:rFonts w:ascii="Arial" w:hAnsi="Arial" w:cs="Arial"/>
        </w:rPr>
        <w:t>market volatility.</w:t>
      </w:r>
    </w:p>
    <w:p w14:paraId="5553ACF7" w14:textId="77777777" w:rsidR="006E2509" w:rsidRPr="0086021F" w:rsidRDefault="006E2509" w:rsidP="006E2509">
      <w:pPr>
        <w:rPr>
          <w:rFonts w:ascii="Arial" w:hAnsi="Arial" w:cs="Arial"/>
          <w:b/>
          <w:bCs/>
          <w:sz w:val="28"/>
          <w:szCs w:val="28"/>
        </w:rPr>
      </w:pPr>
    </w:p>
    <w:p w14:paraId="061F577A" w14:textId="77777777" w:rsidR="006E2509" w:rsidRPr="0086021F" w:rsidRDefault="006E2509" w:rsidP="006E2509">
      <w:pPr>
        <w:rPr>
          <w:rFonts w:ascii="Arial" w:hAnsi="Arial" w:cs="Arial"/>
          <w:b/>
          <w:bCs/>
          <w:sz w:val="28"/>
          <w:szCs w:val="28"/>
        </w:rPr>
      </w:pPr>
      <w:r w:rsidRPr="0086021F">
        <w:rPr>
          <w:rFonts w:ascii="Arial" w:hAnsi="Arial" w:cs="Arial"/>
          <w:b/>
          <w:bCs/>
          <w:sz w:val="28"/>
          <w:szCs w:val="28"/>
        </w:rPr>
        <w:t xml:space="preserve">5.6 Summary of Research Objectives </w:t>
      </w:r>
    </w:p>
    <w:p w14:paraId="41C145D9" w14:textId="5C7C76D6" w:rsidR="006E2509" w:rsidRDefault="006E2509" w:rsidP="006E2509">
      <w:pPr>
        <w:rPr>
          <w:rFonts w:ascii="Arial" w:hAnsi="Arial" w:cs="Arial"/>
        </w:rPr>
      </w:pPr>
      <w:r w:rsidRPr="00971805">
        <w:rPr>
          <w:rFonts w:ascii="Arial" w:hAnsi="Arial" w:cs="Arial"/>
        </w:rPr>
        <w:t>This research investigated how US interest rate fluctuations from 2005-2025 impacted gold's role as a hedge and safe-haven asset against the S&amp;P 500 and Nasdaq indices. Adopting a quantitative methodology through both correlation and regression analyses, the study addressed its research objectives.</w:t>
      </w:r>
    </w:p>
    <w:p w14:paraId="34A53754" w14:textId="77777777" w:rsidR="006E2509" w:rsidRDefault="006E2509" w:rsidP="006E2509">
      <w:pPr>
        <w:rPr>
          <w:rFonts w:ascii="Arial" w:hAnsi="Arial" w:cs="Arial"/>
        </w:rPr>
      </w:pPr>
    </w:p>
    <w:p w14:paraId="13A44437" w14:textId="77777777" w:rsidR="006E2509" w:rsidRPr="006E2509" w:rsidRDefault="006E2509" w:rsidP="006E2509">
      <w:pPr>
        <w:rPr>
          <w:rFonts w:ascii="Arial" w:hAnsi="Arial" w:cs="Arial"/>
        </w:rPr>
      </w:pPr>
    </w:p>
    <w:p w14:paraId="2EA17E6F" w14:textId="77777777" w:rsidR="006E2509" w:rsidRDefault="006E2509" w:rsidP="006E2509">
      <w:pPr>
        <w:rPr>
          <w:rFonts w:ascii="Arial" w:hAnsi="Arial" w:cs="Arial"/>
          <w:b/>
          <w:bCs/>
        </w:rPr>
      </w:pPr>
      <w:r w:rsidRPr="00304B3A">
        <w:rPr>
          <w:rFonts w:ascii="Arial" w:hAnsi="Arial" w:cs="Arial"/>
          <w:b/>
          <w:bCs/>
        </w:rPr>
        <w:lastRenderedPageBreak/>
        <w:t xml:space="preserve">5.6.1 Research Objectives and Findings </w:t>
      </w:r>
    </w:p>
    <w:p w14:paraId="047C31AF" w14:textId="77777777" w:rsidR="006E2509" w:rsidRDefault="006E2509" w:rsidP="006E2509">
      <w:pPr>
        <w:rPr>
          <w:rFonts w:ascii="Arial" w:hAnsi="Arial" w:cs="Arial"/>
        </w:rPr>
      </w:pPr>
      <w:r w:rsidRPr="00496259">
        <w:rPr>
          <w:rFonts w:ascii="Arial" w:hAnsi="Arial" w:cs="Arial"/>
        </w:rPr>
        <w:t>The first objective was to examine how fluctuations in US interest rates influence the overall profitability of gold as an investment.</w:t>
      </w:r>
      <w:r w:rsidRPr="00496259">
        <w:rPr>
          <w:rFonts w:ascii="Arial" w:hAnsi="Arial" w:cs="Arial"/>
          <w:color w:val="1F1F1F"/>
          <w:shd w:val="clear" w:color="auto" w:fill="FFFFFF"/>
        </w:rPr>
        <w:t xml:space="preserve"> </w:t>
      </w:r>
      <w:r w:rsidRPr="00496259">
        <w:rPr>
          <w:rFonts w:ascii="Arial" w:hAnsi="Arial" w:cs="Arial"/>
        </w:rPr>
        <w:t>Gold does not pay dividends or interest. So, when interest rates go up, the gold price goes down.</w:t>
      </w:r>
      <w:r w:rsidRPr="00254651">
        <w:rPr>
          <w:rFonts w:ascii="Arial" w:hAnsi="Arial" w:cs="Arial"/>
          <w:color w:val="1F1F1F"/>
          <w:shd w:val="clear" w:color="auto" w:fill="FFFFFF"/>
        </w:rPr>
        <w:t xml:space="preserve"> </w:t>
      </w:r>
      <w:r w:rsidRPr="00254651">
        <w:rPr>
          <w:rFonts w:ascii="Arial" w:hAnsi="Arial" w:cs="Arial"/>
        </w:rPr>
        <w:t>Conversely, as rates fall, gold becomes a more attractive investment for investors.</w:t>
      </w:r>
    </w:p>
    <w:p w14:paraId="2B8AB362" w14:textId="46EA789C" w:rsidR="006E2509" w:rsidRDefault="006E2509" w:rsidP="006E2509">
      <w:pPr>
        <w:rPr>
          <w:rFonts w:ascii="Arial" w:hAnsi="Arial" w:cs="Arial"/>
        </w:rPr>
      </w:pPr>
      <w:r w:rsidRPr="00A27B18">
        <w:rPr>
          <w:rFonts w:ascii="Arial" w:hAnsi="Arial" w:cs="Arial"/>
        </w:rPr>
        <w:t>The second objective analyses how gold and US equities reacted to changing interest rate environments.</w:t>
      </w:r>
      <w:r w:rsidRPr="00921AF2">
        <w:rPr>
          <w:rFonts w:ascii="Arial" w:hAnsi="Arial" w:cs="Arial"/>
          <w:color w:val="1F1F1F"/>
          <w:shd w:val="clear" w:color="auto" w:fill="FFFFFF"/>
        </w:rPr>
        <w:t xml:space="preserve"> </w:t>
      </w:r>
      <w:r w:rsidRPr="00921AF2">
        <w:rPr>
          <w:rFonts w:ascii="Arial" w:hAnsi="Arial" w:cs="Arial"/>
        </w:rPr>
        <w:t>During interest rate tightening cycles, such as those 2005-2006 and 2016-</w:t>
      </w:r>
      <w:r w:rsidRPr="00881482">
        <w:rPr>
          <w:rFonts w:ascii="Arial" w:hAnsi="Arial" w:cs="Arial"/>
        </w:rPr>
        <w:t>2018 (</w:t>
      </w:r>
      <w:r w:rsidR="005B2ABE">
        <w:rPr>
          <w:rFonts w:ascii="Arial" w:hAnsi="Arial" w:cs="Arial"/>
        </w:rPr>
        <w:t xml:space="preserve">See </w:t>
      </w:r>
      <w:r w:rsidRPr="00881482">
        <w:rPr>
          <w:rFonts w:ascii="Arial" w:hAnsi="Arial" w:cs="Arial"/>
        </w:rPr>
        <w:t xml:space="preserve">Appendix </w:t>
      </w:r>
      <w:r w:rsidR="00881482" w:rsidRPr="00881482">
        <w:rPr>
          <w:rFonts w:ascii="Arial" w:hAnsi="Arial" w:cs="Arial"/>
        </w:rPr>
        <w:t>C</w:t>
      </w:r>
      <w:r w:rsidRPr="00881482">
        <w:rPr>
          <w:rFonts w:ascii="Arial" w:hAnsi="Arial" w:cs="Arial"/>
        </w:rPr>
        <w:t>),</w:t>
      </w:r>
      <w:r w:rsidRPr="00921AF2">
        <w:rPr>
          <w:rFonts w:ascii="Arial" w:hAnsi="Arial" w:cs="Arial"/>
        </w:rPr>
        <w:t xml:space="preserve"> gold failed to provide a reliable hedge as its correlation with the market turned positive.</w:t>
      </w:r>
      <w:r w:rsidRPr="0069576F">
        <w:rPr>
          <w:rFonts w:ascii="Arial" w:hAnsi="Arial" w:cs="Arial"/>
          <w:color w:val="1F1F1F"/>
          <w:shd w:val="clear" w:color="auto" w:fill="FFFFFF"/>
        </w:rPr>
        <w:t xml:space="preserve"> </w:t>
      </w:r>
      <w:r w:rsidRPr="0069576F">
        <w:rPr>
          <w:rFonts w:ascii="Arial" w:hAnsi="Arial" w:cs="Arial"/>
        </w:rPr>
        <w:t>The data suggests that gold is not a permanent hedge; instead, it responds to specific market cycles.</w:t>
      </w:r>
    </w:p>
    <w:p w14:paraId="031081E9" w14:textId="77777777" w:rsidR="006E2509" w:rsidRDefault="006E2509" w:rsidP="006E2509">
      <w:pPr>
        <w:rPr>
          <w:rFonts w:ascii="Arial" w:hAnsi="Arial" w:cs="Arial"/>
        </w:rPr>
      </w:pPr>
      <w:r w:rsidRPr="004D33E1">
        <w:rPr>
          <w:rFonts w:ascii="Arial" w:hAnsi="Arial" w:cs="Arial"/>
        </w:rPr>
        <w:t>The third objective assessed how shifts in interest rates influence gold's effectiveness as a safe-haven asset during periods of economic instability.</w:t>
      </w:r>
      <w:r w:rsidRPr="00DF51BA">
        <w:rPr>
          <w:rFonts w:ascii="Arial" w:hAnsi="Arial" w:cs="Arial"/>
          <w:color w:val="1F1F1F"/>
          <w:shd w:val="clear" w:color="auto" w:fill="FFFFFF"/>
        </w:rPr>
        <w:t xml:space="preserve"> </w:t>
      </w:r>
      <w:r w:rsidRPr="00DF51BA">
        <w:rPr>
          <w:rFonts w:ascii="Arial" w:hAnsi="Arial" w:cs="Arial"/>
        </w:rPr>
        <w:t>Empirical evidence from the 2008 financial crisis and the COVID 19 pandemic suggests that gold serves as a hedging instrument when the market is volatile and interest rates are declining.</w:t>
      </w:r>
    </w:p>
    <w:p w14:paraId="2B5469D0" w14:textId="77777777" w:rsidR="006E2509" w:rsidRDefault="006E2509" w:rsidP="006E2509">
      <w:pPr>
        <w:rPr>
          <w:rFonts w:ascii="Arial" w:hAnsi="Arial" w:cs="Arial"/>
        </w:rPr>
      </w:pPr>
      <w:r w:rsidRPr="00831751">
        <w:rPr>
          <w:rFonts w:ascii="Arial" w:hAnsi="Arial" w:cs="Arial"/>
        </w:rPr>
        <w:t>The fourth objective shifts the focus to how these correlations influence strategies for diversifying portfolios and managing financial risk.</w:t>
      </w:r>
      <w:r w:rsidRPr="00F431FC">
        <w:rPr>
          <w:rFonts w:ascii="Arial" w:hAnsi="Arial" w:cs="Arial"/>
          <w:color w:val="1F1F1F"/>
          <w:shd w:val="clear" w:color="auto" w:fill="FFFFFF"/>
        </w:rPr>
        <w:t xml:space="preserve"> </w:t>
      </w:r>
      <w:r w:rsidRPr="00F431FC">
        <w:rPr>
          <w:rFonts w:ascii="Arial" w:hAnsi="Arial" w:cs="Arial"/>
        </w:rPr>
        <w:t>The research indicates that higher interest rates weaken gold's defensive role, while falling rates strengthen its value as a hedge.</w:t>
      </w:r>
      <w:r w:rsidRPr="00DA10A7">
        <w:rPr>
          <w:rFonts w:ascii="Arial" w:hAnsi="Arial" w:cs="Arial"/>
          <w:color w:val="1F1F1F"/>
          <w:shd w:val="clear" w:color="auto" w:fill="FFFFFF"/>
        </w:rPr>
        <w:t xml:space="preserve"> </w:t>
      </w:r>
      <w:r w:rsidRPr="00DA10A7">
        <w:rPr>
          <w:rFonts w:ascii="Arial" w:hAnsi="Arial" w:cs="Arial"/>
        </w:rPr>
        <w:t>This approach suggests that asset allocation is most effective when investors leverage these insights to respond to evolving federal reserve policy.</w:t>
      </w:r>
    </w:p>
    <w:p w14:paraId="606C23CF" w14:textId="77777777" w:rsidR="006E2509" w:rsidRDefault="006E2509" w:rsidP="006E2509">
      <w:pPr>
        <w:rPr>
          <w:rFonts w:ascii="Arial" w:hAnsi="Arial" w:cs="Arial"/>
        </w:rPr>
      </w:pPr>
    </w:p>
    <w:p w14:paraId="2FA6A57A" w14:textId="77777777" w:rsidR="006E2509" w:rsidRDefault="006E2509" w:rsidP="006E2509">
      <w:pPr>
        <w:rPr>
          <w:rFonts w:ascii="Arial" w:hAnsi="Arial" w:cs="Arial"/>
          <w:b/>
          <w:bCs/>
        </w:rPr>
      </w:pPr>
      <w:r w:rsidRPr="009A7252">
        <w:rPr>
          <w:rFonts w:ascii="Arial" w:hAnsi="Arial" w:cs="Arial"/>
          <w:b/>
          <w:bCs/>
        </w:rPr>
        <w:t>5.6.2 Addressing the research questions</w:t>
      </w:r>
    </w:p>
    <w:p w14:paraId="2726F4AA" w14:textId="77777777" w:rsidR="006E2509" w:rsidRDefault="006E2509" w:rsidP="006E2509">
      <w:pPr>
        <w:rPr>
          <w:rFonts w:ascii="Arial" w:hAnsi="Arial" w:cs="Arial"/>
        </w:rPr>
      </w:pPr>
      <w:r w:rsidRPr="009A7252">
        <w:rPr>
          <w:rFonts w:ascii="Arial" w:hAnsi="Arial" w:cs="Arial"/>
        </w:rPr>
        <w:t>Research data shows that the connection between gold and US stock market performance is conditional. This connection responds to the US interest rate climate, which acts as the primary driver of how these assets move relative to one another.</w:t>
      </w:r>
      <w:r>
        <w:rPr>
          <w:rFonts w:ascii="Arial" w:hAnsi="Arial" w:cs="Arial"/>
        </w:rPr>
        <w:t xml:space="preserve"> </w:t>
      </w:r>
      <w:r w:rsidRPr="009A7252">
        <w:rPr>
          <w:rFonts w:ascii="Arial" w:hAnsi="Arial" w:cs="Arial"/>
        </w:rPr>
        <w:t>while gold as a hedge is highly dependent on the interest rate environment during economic instability, it</w:t>
      </w:r>
      <w:r>
        <w:rPr>
          <w:rFonts w:ascii="Arial" w:hAnsi="Arial" w:cs="Arial"/>
        </w:rPr>
        <w:t>s</w:t>
      </w:r>
      <w:r w:rsidRPr="009A7252">
        <w:rPr>
          <w:rFonts w:ascii="Arial" w:hAnsi="Arial" w:cs="Arial"/>
        </w:rPr>
        <w:t xml:space="preserve"> performance often weakens when interest rates begin to rise.</w:t>
      </w:r>
      <w:r>
        <w:rPr>
          <w:rFonts w:ascii="Arial" w:hAnsi="Arial" w:cs="Arial"/>
        </w:rPr>
        <w:t xml:space="preserve"> </w:t>
      </w:r>
      <w:r w:rsidRPr="006B6D77">
        <w:rPr>
          <w:rFonts w:ascii="Arial" w:hAnsi="Arial" w:cs="Arial"/>
        </w:rPr>
        <w:t>While gold functions as a strategic hedge by moving independently of equity markets, this independence provides meaningful portfolio diversification only under specific monetary conditions.</w:t>
      </w:r>
    </w:p>
    <w:p w14:paraId="1C84F234" w14:textId="77777777" w:rsidR="006E2509" w:rsidRDefault="006E2509" w:rsidP="006E2509">
      <w:pPr>
        <w:rPr>
          <w:rFonts w:ascii="Arial" w:hAnsi="Arial" w:cs="Arial"/>
        </w:rPr>
      </w:pPr>
    </w:p>
    <w:p w14:paraId="334C8391" w14:textId="77777777" w:rsidR="006E2509" w:rsidRPr="004F2B9C" w:rsidRDefault="006E2509" w:rsidP="006E2509">
      <w:pPr>
        <w:rPr>
          <w:rFonts w:ascii="Arial" w:hAnsi="Arial" w:cs="Arial"/>
          <w:b/>
          <w:bCs/>
          <w:sz w:val="28"/>
          <w:szCs w:val="28"/>
        </w:rPr>
      </w:pPr>
      <w:r w:rsidRPr="004F2B9C">
        <w:rPr>
          <w:rFonts w:ascii="Arial" w:hAnsi="Arial" w:cs="Arial"/>
          <w:b/>
          <w:bCs/>
          <w:sz w:val="28"/>
          <w:szCs w:val="28"/>
        </w:rPr>
        <w:lastRenderedPageBreak/>
        <w:t xml:space="preserve">5.7 Contribution to knowledge </w:t>
      </w:r>
    </w:p>
    <w:p w14:paraId="196020E1" w14:textId="77777777" w:rsidR="006E2509" w:rsidRDefault="006E2509" w:rsidP="006E2509">
      <w:pPr>
        <w:rPr>
          <w:rFonts w:ascii="Arial" w:hAnsi="Arial" w:cs="Arial"/>
        </w:rPr>
      </w:pPr>
      <w:r w:rsidRPr="00F13476">
        <w:rPr>
          <w:rFonts w:ascii="Arial" w:hAnsi="Arial" w:cs="Arial"/>
        </w:rPr>
        <w:t>Using data from last 20 years (2005-2025) the study provides an understanding of the relationship of gold prices and interest rates during different cycles of the market. The results fill the gaps in theory and offer practical strategies for investors and financial professionals.</w:t>
      </w:r>
    </w:p>
    <w:p w14:paraId="17DA0AFE" w14:textId="77777777" w:rsidR="006E2509" w:rsidRDefault="006E2509" w:rsidP="006E2509">
      <w:pPr>
        <w:rPr>
          <w:rFonts w:ascii="Arial" w:hAnsi="Arial" w:cs="Arial"/>
        </w:rPr>
      </w:pPr>
    </w:p>
    <w:p w14:paraId="22E46F0B" w14:textId="77777777" w:rsidR="006E2509" w:rsidRPr="00692D5B" w:rsidRDefault="006E2509" w:rsidP="006E2509">
      <w:pPr>
        <w:rPr>
          <w:rFonts w:ascii="Arial" w:hAnsi="Arial" w:cs="Arial"/>
          <w:b/>
          <w:bCs/>
        </w:rPr>
      </w:pPr>
      <w:r w:rsidRPr="00692D5B">
        <w:rPr>
          <w:rFonts w:ascii="Arial" w:hAnsi="Arial" w:cs="Arial"/>
          <w:b/>
          <w:bCs/>
        </w:rPr>
        <w:t>5.7.1 Theoretical contributions</w:t>
      </w:r>
    </w:p>
    <w:p w14:paraId="3084B863" w14:textId="77777777" w:rsidR="006E2509" w:rsidRDefault="006E2509" w:rsidP="006E2509">
      <w:pPr>
        <w:rPr>
          <w:rFonts w:ascii="Arial" w:hAnsi="Arial" w:cs="Arial"/>
        </w:rPr>
      </w:pPr>
      <w:r w:rsidRPr="00692D5B">
        <w:rPr>
          <w:rFonts w:ascii="Arial" w:hAnsi="Arial" w:cs="Arial"/>
        </w:rPr>
        <w:t>This research shows that gold is not always a safe haven. Although many people view gold as a consistent hedge against risk, this study demonstrates that its performance as an asset change based on the monetary policy and interest rate decisions made by the Federal Reserve.</w:t>
      </w:r>
    </w:p>
    <w:p w14:paraId="6EA27B10" w14:textId="77777777" w:rsidR="006E2509" w:rsidRPr="00E94496" w:rsidRDefault="006E2509" w:rsidP="006E2509">
      <w:pPr>
        <w:rPr>
          <w:rFonts w:ascii="Arial" w:hAnsi="Arial" w:cs="Arial"/>
        </w:rPr>
      </w:pPr>
      <w:r w:rsidRPr="00F476B1">
        <w:rPr>
          <w:rFonts w:ascii="Arial" w:hAnsi="Arial" w:cs="Arial"/>
        </w:rPr>
        <w:t>This study builds on Modern Portfolio Theory (MPT) to enhance its practical application.</w:t>
      </w:r>
      <w:r w:rsidRPr="00031274">
        <w:rPr>
          <w:rFonts w:ascii="Arial" w:hAnsi="Arial" w:cs="Arial"/>
          <w:color w:val="1F1F1F"/>
          <w:shd w:val="clear" w:color="auto" w:fill="FFFFFF"/>
        </w:rPr>
        <w:t xml:space="preserve"> </w:t>
      </w:r>
      <w:r w:rsidRPr="00031274">
        <w:rPr>
          <w:rFonts w:ascii="Arial" w:hAnsi="Arial" w:cs="Arial"/>
        </w:rPr>
        <w:t>While MPT uses historical correlation coefficients as a basis for diversification; this research shows that the correlation between gold and equity markets (S&amp;P 500 and Nasdaq) is dynamic and regime dependent.</w:t>
      </w:r>
      <w:r w:rsidRPr="00C72156">
        <w:rPr>
          <w:rFonts w:ascii="Arial" w:hAnsi="Arial" w:cs="Arial"/>
          <w:color w:val="1F1F1F"/>
          <w:shd w:val="clear" w:color="auto" w:fill="FFFFFF"/>
        </w:rPr>
        <w:t xml:space="preserve"> </w:t>
      </w:r>
      <w:r w:rsidRPr="00C72156">
        <w:rPr>
          <w:rFonts w:ascii="Arial" w:hAnsi="Arial" w:cs="Arial"/>
        </w:rPr>
        <w:t>The finding of a near-zero correlation (0.020) during periods of easing provides support for gold's function as a statistically independent investment when interest rates decrease. This supports gold's role as an effective diversifying asset within a low-interest rate environment.</w:t>
      </w:r>
    </w:p>
    <w:p w14:paraId="6A58117E" w14:textId="77777777" w:rsidR="006E2509" w:rsidRDefault="006E2509" w:rsidP="006E2509">
      <w:pPr>
        <w:rPr>
          <w:rFonts w:ascii="Arial" w:hAnsi="Arial" w:cs="Arial"/>
        </w:rPr>
      </w:pPr>
      <w:r w:rsidRPr="00585EC7">
        <w:rPr>
          <w:rFonts w:ascii="Arial" w:hAnsi="Arial" w:cs="Arial"/>
        </w:rPr>
        <w:t>Building on the research of Baur and Lucey (2010), this study refines the safe haven and hedge theory to better understand modern market dynamics.</w:t>
      </w:r>
      <w:r w:rsidRPr="00686FA7">
        <w:rPr>
          <w:rFonts w:ascii="Arial" w:hAnsi="Arial" w:cs="Arial"/>
          <w:color w:val="1F1F1F"/>
          <w:shd w:val="clear" w:color="auto" w:fill="FFFFFF"/>
        </w:rPr>
        <w:t xml:space="preserve"> </w:t>
      </w:r>
      <w:r w:rsidRPr="00686FA7">
        <w:rPr>
          <w:rFonts w:ascii="Arial" w:hAnsi="Arial" w:cs="Arial"/>
        </w:rPr>
        <w:t>Data indicates that gold's ability to protect wealth is not constant, but rather dependent on situation. Historically, the value of gold has risen to its highest levels during crises, including the financial crisis in 2008 when interest rates fell.</w:t>
      </w:r>
      <w:r>
        <w:rPr>
          <w:rFonts w:ascii="Arial" w:hAnsi="Arial" w:cs="Arial"/>
        </w:rPr>
        <w:t xml:space="preserve"> </w:t>
      </w:r>
      <w:r w:rsidRPr="00686FA7">
        <w:rPr>
          <w:rFonts w:ascii="Arial" w:hAnsi="Arial" w:cs="Arial"/>
        </w:rPr>
        <w:t>This research demonstrates that interest rates are essential for maintaining the standards required for effective risk management.</w:t>
      </w:r>
    </w:p>
    <w:p w14:paraId="4FA3F234" w14:textId="77777777" w:rsidR="006E2509" w:rsidRDefault="006E2509" w:rsidP="006E2509">
      <w:pPr>
        <w:rPr>
          <w:rFonts w:ascii="Arial" w:hAnsi="Arial" w:cs="Arial"/>
        </w:rPr>
      </w:pPr>
      <w:r w:rsidRPr="00880019">
        <w:rPr>
          <w:rFonts w:ascii="Arial" w:hAnsi="Arial" w:cs="Arial"/>
        </w:rPr>
        <w:t>This research shows that Interest rates are the bridge between gold and stocks, representing the cost of holding an asset that doesn't earn dividends or interest.</w:t>
      </w:r>
      <w:r w:rsidRPr="00527660">
        <w:rPr>
          <w:rFonts w:ascii="Arial" w:hAnsi="Arial" w:cs="Arial"/>
          <w:color w:val="1F1F1F"/>
          <w:shd w:val="clear" w:color="auto" w:fill="FFFFFF"/>
        </w:rPr>
        <w:t xml:space="preserve"> </w:t>
      </w:r>
      <w:r w:rsidRPr="00527660">
        <w:rPr>
          <w:rFonts w:ascii="Arial" w:hAnsi="Arial" w:cs="Arial"/>
        </w:rPr>
        <w:t xml:space="preserve">According to Erb and Harvey (2013), the idea that asset correlations are stable is incorrect. They demonstrate that gold demand increases during periods of low rates; </w:t>
      </w:r>
      <w:r w:rsidRPr="00527660">
        <w:rPr>
          <w:rFonts w:ascii="Arial" w:hAnsi="Arial" w:cs="Arial"/>
        </w:rPr>
        <w:lastRenderedPageBreak/>
        <w:t>however, they conclude that this behaviour is driven by investors’ expectations for future increases in the value of gold rather than a reliable, historic correlation.</w:t>
      </w:r>
    </w:p>
    <w:p w14:paraId="5F8F9027" w14:textId="77777777" w:rsidR="006E2509" w:rsidRDefault="006E2509" w:rsidP="006E2509">
      <w:pPr>
        <w:rPr>
          <w:rFonts w:ascii="Arial" w:hAnsi="Arial" w:cs="Arial"/>
        </w:rPr>
      </w:pPr>
    </w:p>
    <w:p w14:paraId="219A0B27" w14:textId="77777777" w:rsidR="006E2509" w:rsidRPr="00812866" w:rsidRDefault="006E2509" w:rsidP="006E2509">
      <w:pPr>
        <w:rPr>
          <w:rFonts w:ascii="Arial" w:hAnsi="Arial" w:cs="Arial"/>
          <w:b/>
          <w:bCs/>
        </w:rPr>
      </w:pPr>
      <w:r w:rsidRPr="00812866">
        <w:rPr>
          <w:rFonts w:ascii="Arial" w:hAnsi="Arial" w:cs="Arial"/>
          <w:b/>
          <w:bCs/>
        </w:rPr>
        <w:t xml:space="preserve">5.7.2 Practical Contribution </w:t>
      </w:r>
    </w:p>
    <w:p w14:paraId="2DAA889F" w14:textId="77777777" w:rsidR="006E2509" w:rsidRDefault="006E2509" w:rsidP="006E2509">
      <w:pPr>
        <w:rPr>
          <w:rFonts w:ascii="Arial" w:hAnsi="Arial" w:cs="Arial"/>
        </w:rPr>
      </w:pPr>
      <w:r w:rsidRPr="00184F13">
        <w:rPr>
          <w:rFonts w:ascii="Arial" w:hAnsi="Arial" w:cs="Arial"/>
        </w:rPr>
        <w:t xml:space="preserve">This study provides a practical framework for portfolio managers, private investors and </w:t>
      </w:r>
      <w:r>
        <w:rPr>
          <w:rFonts w:ascii="Arial" w:hAnsi="Arial" w:cs="Arial"/>
        </w:rPr>
        <w:t xml:space="preserve">Asset allocators </w:t>
      </w:r>
      <w:r w:rsidRPr="00184F13">
        <w:rPr>
          <w:rFonts w:ascii="Arial" w:hAnsi="Arial" w:cs="Arial"/>
        </w:rPr>
        <w:t>mitigate the risks associated with volatile market cycles.</w:t>
      </w:r>
    </w:p>
    <w:p w14:paraId="0248111C" w14:textId="77777777" w:rsidR="006E2509" w:rsidRDefault="006E2509" w:rsidP="006E2509">
      <w:pPr>
        <w:rPr>
          <w:rFonts w:ascii="Arial" w:hAnsi="Arial" w:cs="Arial"/>
        </w:rPr>
      </w:pPr>
      <w:r w:rsidRPr="000B4C56">
        <w:rPr>
          <w:rFonts w:ascii="Arial" w:hAnsi="Arial" w:cs="Arial"/>
        </w:rPr>
        <w:t>For portfolio managers, these findings establish a systematic way to use signals in asset distribution.</w:t>
      </w:r>
      <w:r w:rsidRPr="009809F3">
        <w:rPr>
          <w:rFonts w:ascii="Arial" w:hAnsi="Arial" w:cs="Arial"/>
          <w:color w:val="1F1F1F"/>
          <w:shd w:val="clear" w:color="auto" w:fill="FFFFFF"/>
        </w:rPr>
        <w:t xml:space="preserve"> </w:t>
      </w:r>
      <w:r w:rsidRPr="009809F3">
        <w:rPr>
          <w:rFonts w:ascii="Arial" w:hAnsi="Arial" w:cs="Arial"/>
        </w:rPr>
        <w:t>According to data, the mean return on gold rises from 0.01 to 0.012 during easing cycles, while stock return decrease to an average of -0.001.</w:t>
      </w:r>
      <w:r w:rsidRPr="00424267">
        <w:rPr>
          <w:rFonts w:ascii="Arial" w:hAnsi="Arial" w:cs="Arial"/>
          <w:color w:val="1F1F1F"/>
          <w:shd w:val="clear" w:color="auto" w:fill="FFFFFF"/>
        </w:rPr>
        <w:t xml:space="preserve"> </w:t>
      </w:r>
      <w:r w:rsidRPr="00424267">
        <w:rPr>
          <w:rFonts w:ascii="Arial" w:hAnsi="Arial" w:cs="Arial"/>
        </w:rPr>
        <w:t>Therefore, when the FED indicates that it is moving to a low-interest rate environment, managers should increase their weighting of gold holdings in their portfolios relative to other assets.</w:t>
      </w:r>
      <w:r w:rsidRPr="006D44D2">
        <w:rPr>
          <w:rFonts w:ascii="Arial" w:hAnsi="Arial" w:cs="Arial"/>
          <w:color w:val="1F1F1F"/>
          <w:shd w:val="clear" w:color="auto" w:fill="FFFFFF"/>
        </w:rPr>
        <w:t xml:space="preserve"> </w:t>
      </w:r>
      <w:r w:rsidRPr="006D44D2">
        <w:rPr>
          <w:rFonts w:ascii="Arial" w:hAnsi="Arial" w:cs="Arial"/>
        </w:rPr>
        <w:t>This research guides dynamic rebalancing: gold is viewed as a defensive asset because declining rates make this relationship is more reliable. This research uses a quantitative method to help investors decide how much of their portfolio to allocate to gold based on future expected shifts in Fed policy, rather than responding to market crashes after a downturn.</w:t>
      </w:r>
    </w:p>
    <w:p w14:paraId="21C50E61" w14:textId="77777777" w:rsidR="006E2509" w:rsidRDefault="006E2509" w:rsidP="006E2509">
      <w:pPr>
        <w:rPr>
          <w:rFonts w:ascii="Arial" w:hAnsi="Arial" w:cs="Arial"/>
        </w:rPr>
      </w:pPr>
      <w:r w:rsidRPr="001B0BB1">
        <w:rPr>
          <w:rFonts w:ascii="Arial" w:hAnsi="Arial" w:cs="Arial"/>
        </w:rPr>
        <w:t>These results offer risk managers a way to facilitating more robust defensive strategies against extreme market fluctuations.</w:t>
      </w:r>
      <w:r w:rsidRPr="00B62ADA">
        <w:rPr>
          <w:rFonts w:ascii="Arial" w:hAnsi="Arial" w:cs="Arial"/>
          <w:color w:val="1F1F1F"/>
          <w:shd w:val="clear" w:color="auto" w:fill="FFFFFF"/>
        </w:rPr>
        <w:t xml:space="preserve"> </w:t>
      </w:r>
      <w:r w:rsidRPr="00B62ADA">
        <w:rPr>
          <w:rFonts w:ascii="Arial" w:hAnsi="Arial" w:cs="Arial"/>
        </w:rPr>
        <w:t>Gold's variable correlation with equities, its sensitivity to high interest rates suggest that permanent allocations may result in significant opportunity costs</w:t>
      </w:r>
      <w:r>
        <w:rPr>
          <w:rFonts w:ascii="Arial" w:hAnsi="Arial" w:cs="Arial"/>
        </w:rPr>
        <w:t xml:space="preserve"> (</w:t>
      </w:r>
      <w:r w:rsidRPr="00527660">
        <w:rPr>
          <w:rFonts w:ascii="Arial" w:hAnsi="Arial" w:cs="Arial"/>
        </w:rPr>
        <w:t>Erb and Harvey</w:t>
      </w:r>
      <w:r>
        <w:rPr>
          <w:rFonts w:ascii="Arial" w:hAnsi="Arial" w:cs="Arial"/>
        </w:rPr>
        <w:t xml:space="preserve">, </w:t>
      </w:r>
      <w:r w:rsidRPr="00527660">
        <w:rPr>
          <w:rFonts w:ascii="Arial" w:hAnsi="Arial" w:cs="Arial"/>
        </w:rPr>
        <w:t>2013)</w:t>
      </w:r>
      <w:r>
        <w:rPr>
          <w:rFonts w:ascii="Arial" w:hAnsi="Arial" w:cs="Arial"/>
        </w:rPr>
        <w:t xml:space="preserve">. </w:t>
      </w:r>
      <w:r w:rsidRPr="00BB24BB">
        <w:rPr>
          <w:rFonts w:ascii="Arial" w:hAnsi="Arial" w:cs="Arial"/>
        </w:rPr>
        <w:t>Consequently, gold serves as an asset, with its allocation adjusted based on fluctuations in interest rates.</w:t>
      </w:r>
    </w:p>
    <w:p w14:paraId="1FC5635A" w14:textId="77777777" w:rsidR="006E2509" w:rsidRDefault="006E2509" w:rsidP="006E2509">
      <w:pPr>
        <w:rPr>
          <w:rFonts w:ascii="Arial" w:hAnsi="Arial" w:cs="Arial"/>
        </w:rPr>
      </w:pPr>
      <w:r w:rsidRPr="00E653E3">
        <w:rPr>
          <w:rFonts w:ascii="Arial" w:hAnsi="Arial" w:cs="Arial"/>
        </w:rPr>
        <w:t>This research confirms that gold's hedging effectiveness is regime-dependent, not static. For example, Baur and Lucey (2010) describe gold as safe haven during for short term shocks, this study identifies Fed easing cycles as a systematic, long-term signal for rebalancing. With gold's mean return increase to 0.012, these findings define gold allocations based on identifiable regimes.</w:t>
      </w:r>
    </w:p>
    <w:p w14:paraId="7C3D04B5" w14:textId="77777777" w:rsidR="006E2509" w:rsidRDefault="006E2509" w:rsidP="006E2509">
      <w:pPr>
        <w:rPr>
          <w:rFonts w:ascii="Arial" w:hAnsi="Arial" w:cs="Arial"/>
          <w:b/>
          <w:bCs/>
          <w:sz w:val="28"/>
          <w:szCs w:val="28"/>
        </w:rPr>
      </w:pPr>
    </w:p>
    <w:p w14:paraId="7F078918" w14:textId="77777777" w:rsidR="006E2509" w:rsidRDefault="006E2509" w:rsidP="006E2509">
      <w:pPr>
        <w:rPr>
          <w:rFonts w:ascii="Arial" w:hAnsi="Arial" w:cs="Arial"/>
          <w:b/>
          <w:bCs/>
          <w:sz w:val="28"/>
          <w:szCs w:val="28"/>
        </w:rPr>
      </w:pPr>
    </w:p>
    <w:p w14:paraId="6C2189AE" w14:textId="77777777" w:rsidR="006E2509" w:rsidRDefault="006E2509" w:rsidP="006E2509">
      <w:pPr>
        <w:rPr>
          <w:rFonts w:ascii="Arial" w:hAnsi="Arial" w:cs="Arial"/>
          <w:b/>
          <w:bCs/>
          <w:sz w:val="28"/>
          <w:szCs w:val="28"/>
        </w:rPr>
      </w:pPr>
    </w:p>
    <w:p w14:paraId="03192903" w14:textId="5F236689" w:rsidR="006E2509" w:rsidRPr="0023301C" w:rsidRDefault="006E2509" w:rsidP="006E2509">
      <w:pPr>
        <w:rPr>
          <w:rFonts w:ascii="Arial" w:hAnsi="Arial" w:cs="Arial"/>
          <w:b/>
          <w:bCs/>
          <w:sz w:val="28"/>
          <w:szCs w:val="28"/>
        </w:rPr>
      </w:pPr>
      <w:r w:rsidRPr="0023301C">
        <w:rPr>
          <w:rFonts w:ascii="Arial" w:hAnsi="Arial" w:cs="Arial"/>
          <w:b/>
          <w:bCs/>
          <w:sz w:val="28"/>
          <w:szCs w:val="28"/>
        </w:rPr>
        <w:lastRenderedPageBreak/>
        <w:t xml:space="preserve">5.8 Limitations and Future Research </w:t>
      </w:r>
    </w:p>
    <w:p w14:paraId="77470BDD" w14:textId="77777777" w:rsidR="006E2509" w:rsidRDefault="006E2509" w:rsidP="006E2509">
      <w:pPr>
        <w:rPr>
          <w:rFonts w:ascii="Arial" w:hAnsi="Arial" w:cs="Arial"/>
        </w:rPr>
      </w:pPr>
      <w:r w:rsidRPr="00927B39">
        <w:rPr>
          <w:rFonts w:ascii="Arial" w:hAnsi="Arial" w:cs="Arial"/>
        </w:rPr>
        <w:t>This study offers analysis of how gold, equities and interest rates behaved between 2005 to 2025, the findings are limited by this specific timeframe. This twenty-year period was largely defined by a unique economic climate of low interest rates. Consequently, these results may not accurately predict how assets will react during a more aggressive interest rate cycle or during a period of significantly higher than expected inflation.</w:t>
      </w:r>
      <w:r>
        <w:rPr>
          <w:rFonts w:ascii="Arial" w:hAnsi="Arial" w:cs="Arial"/>
        </w:rPr>
        <w:t xml:space="preserve"> </w:t>
      </w:r>
    </w:p>
    <w:p w14:paraId="7B9F0AD4" w14:textId="77777777" w:rsidR="006E2509" w:rsidRDefault="006E2509" w:rsidP="006E2509">
      <w:pPr>
        <w:rPr>
          <w:rFonts w:ascii="Arial" w:hAnsi="Arial" w:cs="Arial"/>
        </w:rPr>
      </w:pPr>
      <w:r w:rsidRPr="00DE4B0C">
        <w:rPr>
          <w:rFonts w:ascii="Arial" w:hAnsi="Arial" w:cs="Arial"/>
        </w:rPr>
        <w:t>Furthermore, the reliance on secondary data from FRED and Yahoo Finance, ensures empirical reliability when analysing historical trends; however, this may limit the capacity for future planning.</w:t>
      </w:r>
      <w:r>
        <w:rPr>
          <w:rFonts w:ascii="Arial" w:hAnsi="Arial" w:cs="Arial"/>
        </w:rPr>
        <w:t xml:space="preserve"> </w:t>
      </w:r>
      <w:r w:rsidRPr="00883F69">
        <w:rPr>
          <w:rFonts w:ascii="Arial" w:hAnsi="Arial" w:cs="Arial"/>
        </w:rPr>
        <w:t>Secondary data may fail to capture the current market sentiment that only real-time qualitative market feedback provides</w:t>
      </w:r>
      <w:r>
        <w:rPr>
          <w:rFonts w:ascii="Arial" w:hAnsi="Arial" w:cs="Arial"/>
        </w:rPr>
        <w:t xml:space="preserve"> (</w:t>
      </w:r>
      <w:r w:rsidRPr="00C66819">
        <w:rPr>
          <w:rFonts w:ascii="Arial" w:hAnsi="Arial" w:cs="Arial"/>
        </w:rPr>
        <w:t>Irwin, 2013)</w:t>
      </w:r>
      <w:r>
        <w:rPr>
          <w:rFonts w:ascii="Arial" w:hAnsi="Arial" w:cs="Arial"/>
        </w:rPr>
        <w:t xml:space="preserve">. </w:t>
      </w:r>
      <w:r w:rsidRPr="00EB7F03">
        <w:rPr>
          <w:rFonts w:ascii="Arial" w:hAnsi="Arial" w:cs="Arial"/>
        </w:rPr>
        <w:t>Additionally, this research examines the S&amp;P 500 and Nasdaq index; therefore, the results may not be applicable to emerging markets where currency fluctuations and different political risk might influence gold's hedging effectiveness differently.</w:t>
      </w:r>
    </w:p>
    <w:p w14:paraId="1F6F6D5D" w14:textId="77777777" w:rsidR="006E2509" w:rsidRDefault="006E2509" w:rsidP="006E2509">
      <w:pPr>
        <w:rPr>
          <w:rFonts w:ascii="Arial" w:hAnsi="Arial" w:cs="Arial"/>
        </w:rPr>
      </w:pPr>
      <w:r w:rsidRPr="001732FE">
        <w:rPr>
          <w:rFonts w:ascii="Arial" w:hAnsi="Arial" w:cs="Arial"/>
          <w:lang w:val="en-IN"/>
        </w:rPr>
        <w:t>Future research should expand into new asset classes, including Bitcoin and other cryptocurrencies as 'digital gold'.</w:t>
      </w:r>
      <w:r>
        <w:rPr>
          <w:rFonts w:ascii="Arial" w:hAnsi="Arial" w:cs="Arial"/>
          <w:lang w:val="en-IN"/>
        </w:rPr>
        <w:t xml:space="preserve"> </w:t>
      </w:r>
      <w:r w:rsidRPr="00D0789B">
        <w:rPr>
          <w:rFonts w:ascii="Arial" w:hAnsi="Arial" w:cs="Arial"/>
        </w:rPr>
        <w:t xml:space="preserve">As the digital economy emerges, using machine learning to determine if Bitcoin </w:t>
      </w:r>
      <w:r>
        <w:rPr>
          <w:rFonts w:ascii="Arial" w:hAnsi="Arial" w:cs="Arial"/>
        </w:rPr>
        <w:t xml:space="preserve">will </w:t>
      </w:r>
      <w:r w:rsidRPr="00D0789B">
        <w:rPr>
          <w:rFonts w:ascii="Arial" w:hAnsi="Arial" w:cs="Arial"/>
        </w:rPr>
        <w:t xml:space="preserve">replace physical gold </w:t>
      </w:r>
      <w:r>
        <w:rPr>
          <w:rFonts w:ascii="Arial" w:hAnsi="Arial" w:cs="Arial"/>
        </w:rPr>
        <w:t xml:space="preserve">and how this affects </w:t>
      </w:r>
      <w:r w:rsidRPr="00D0789B">
        <w:rPr>
          <w:rFonts w:ascii="Arial" w:hAnsi="Arial" w:cs="Arial"/>
        </w:rPr>
        <w:t>the development of portfolio strategies</w:t>
      </w:r>
      <w:r>
        <w:rPr>
          <w:rFonts w:ascii="Arial" w:hAnsi="Arial" w:cs="Arial"/>
        </w:rPr>
        <w:t xml:space="preserve"> </w:t>
      </w:r>
      <w:r w:rsidRPr="00D0789B">
        <w:rPr>
          <w:rFonts w:ascii="Arial" w:hAnsi="Arial" w:cs="Arial"/>
        </w:rPr>
        <w:t>(Li et al., 2022).</w:t>
      </w:r>
      <w:r w:rsidRPr="00D0789B">
        <w:rPr>
          <w:rFonts w:ascii="Arial" w:hAnsi="Arial" w:cs="Arial"/>
          <w:color w:val="1F1F1F"/>
          <w:shd w:val="clear" w:color="auto" w:fill="FFFFFF"/>
        </w:rPr>
        <w:t xml:space="preserve"> </w:t>
      </w:r>
      <w:r>
        <w:rPr>
          <w:rFonts w:ascii="Arial" w:hAnsi="Arial" w:cs="Arial"/>
          <w:color w:val="1F1F1F"/>
          <w:shd w:val="clear" w:color="auto" w:fill="FFFFFF"/>
        </w:rPr>
        <w:t xml:space="preserve">Additionally, </w:t>
      </w:r>
      <w:r w:rsidRPr="00D0789B">
        <w:rPr>
          <w:rFonts w:ascii="Arial" w:hAnsi="Arial" w:cs="Arial"/>
        </w:rPr>
        <w:t>using advanced econometric models like GARCH rather than linear regression model</w:t>
      </w:r>
      <w:r>
        <w:rPr>
          <w:rFonts w:ascii="Arial" w:hAnsi="Arial" w:cs="Arial"/>
        </w:rPr>
        <w:t xml:space="preserve">s </w:t>
      </w:r>
      <w:r w:rsidRPr="00D0789B">
        <w:rPr>
          <w:rFonts w:ascii="Arial" w:hAnsi="Arial" w:cs="Arial"/>
        </w:rPr>
        <w:t>helps capture the non-linear relationship and volatility in today's markets.</w:t>
      </w:r>
    </w:p>
    <w:p w14:paraId="10C3567D" w14:textId="77777777" w:rsidR="006E2509" w:rsidRDefault="006E2509" w:rsidP="006E2509">
      <w:pPr>
        <w:rPr>
          <w:rFonts w:ascii="Arial" w:hAnsi="Arial" w:cs="Arial"/>
        </w:rPr>
      </w:pPr>
    </w:p>
    <w:p w14:paraId="30D9BAC0" w14:textId="77777777" w:rsidR="006E2509" w:rsidRDefault="006E2509" w:rsidP="006E2509">
      <w:pPr>
        <w:rPr>
          <w:rFonts w:ascii="Arial" w:hAnsi="Arial" w:cs="Arial"/>
          <w:b/>
          <w:bCs/>
          <w:sz w:val="28"/>
          <w:szCs w:val="28"/>
        </w:rPr>
      </w:pPr>
      <w:r w:rsidRPr="00A56C28">
        <w:rPr>
          <w:rFonts w:ascii="Arial" w:hAnsi="Arial" w:cs="Arial"/>
          <w:b/>
          <w:bCs/>
          <w:sz w:val="28"/>
          <w:szCs w:val="28"/>
        </w:rPr>
        <w:t xml:space="preserve">5.9 </w:t>
      </w:r>
      <w:r>
        <w:rPr>
          <w:rFonts w:ascii="Arial" w:hAnsi="Arial" w:cs="Arial"/>
          <w:b/>
          <w:bCs/>
          <w:sz w:val="28"/>
          <w:szCs w:val="28"/>
        </w:rPr>
        <w:t xml:space="preserve">Conclusion </w:t>
      </w:r>
    </w:p>
    <w:p w14:paraId="2BDE1A37" w14:textId="77777777" w:rsidR="006E2509" w:rsidRDefault="006E2509" w:rsidP="006E2509">
      <w:pPr>
        <w:rPr>
          <w:rFonts w:ascii="Arial" w:hAnsi="Arial" w:cs="Arial"/>
        </w:rPr>
      </w:pPr>
      <w:r w:rsidRPr="009F2146">
        <w:rPr>
          <w:rFonts w:ascii="Arial" w:hAnsi="Arial" w:cs="Arial"/>
        </w:rPr>
        <w:t>This research provides a comprehensive bridge between theoretical asset pricing and practical worlds of portfolio management. By analysing financial data from 2005 to 2025, the study confirms that gold's role as a defensive asset is dependent on the US monetary policy environment.</w:t>
      </w:r>
      <w:r>
        <w:rPr>
          <w:rFonts w:ascii="Arial" w:hAnsi="Arial" w:cs="Arial"/>
        </w:rPr>
        <w:t xml:space="preserve"> </w:t>
      </w:r>
      <w:r w:rsidRPr="007E661E">
        <w:rPr>
          <w:rFonts w:ascii="Arial" w:hAnsi="Arial" w:cs="Arial"/>
        </w:rPr>
        <w:t>The finding of low correlation (0.020) and a higher average return (0.012) during the periods of rising interest rates provides strategic decision-making insights for investors, financial advisors and portfolio managers. As a results of these findings, gold changes from being a speculative tool an effective instrument for managing risk.</w:t>
      </w:r>
    </w:p>
    <w:p w14:paraId="02A067E2" w14:textId="5E04E455" w:rsidR="006E2509" w:rsidRDefault="006E2509" w:rsidP="006E2509">
      <w:pPr>
        <w:rPr>
          <w:rFonts w:ascii="Arial" w:hAnsi="Arial" w:cs="Arial"/>
        </w:rPr>
      </w:pPr>
      <w:r w:rsidRPr="002C287F">
        <w:rPr>
          <w:rFonts w:ascii="Arial" w:hAnsi="Arial" w:cs="Arial"/>
        </w:rPr>
        <w:lastRenderedPageBreak/>
        <w:t xml:space="preserve">This study challenges the </w:t>
      </w:r>
      <w:r w:rsidR="003A2860">
        <w:rPr>
          <w:rFonts w:ascii="Arial" w:hAnsi="Arial" w:cs="Arial"/>
        </w:rPr>
        <w:t>“</w:t>
      </w:r>
      <w:r w:rsidRPr="002C287F">
        <w:rPr>
          <w:rFonts w:ascii="Arial" w:hAnsi="Arial" w:cs="Arial"/>
        </w:rPr>
        <w:t>Buy and Forget</w:t>
      </w:r>
      <w:r w:rsidR="003A2860">
        <w:rPr>
          <w:rFonts w:ascii="Arial" w:hAnsi="Arial" w:cs="Arial"/>
        </w:rPr>
        <w:t>”</w:t>
      </w:r>
      <w:r w:rsidRPr="002C287F">
        <w:rPr>
          <w:rFonts w:ascii="Arial" w:hAnsi="Arial" w:cs="Arial"/>
        </w:rPr>
        <w:t xml:space="preserve"> approach by showing that gold's effectiveness as a diversifier is dependent on the Federal Reserve Interest rates. Rather than only reacting to market crash it happens, an investor who monitors Federal rate trends can anticipate when to utilize gold for diversification. This makes gold a reliable from of insurance, ensuing your portfolios will protect when the S&amp;P 500 or Nasdaq crash.</w:t>
      </w:r>
    </w:p>
    <w:p w14:paraId="5EBDE98B" w14:textId="77777777" w:rsidR="006E2509" w:rsidRDefault="006E2509" w:rsidP="006E2509">
      <w:pPr>
        <w:rPr>
          <w:rFonts w:ascii="Arial" w:hAnsi="Arial" w:cs="Arial"/>
        </w:rPr>
      </w:pPr>
    </w:p>
    <w:p w14:paraId="4B3AE20A" w14:textId="77777777" w:rsidR="007A46CE" w:rsidRDefault="007A46CE" w:rsidP="006E2509">
      <w:pPr>
        <w:rPr>
          <w:rFonts w:ascii="Arial" w:hAnsi="Arial" w:cs="Arial"/>
        </w:rPr>
      </w:pPr>
    </w:p>
    <w:p w14:paraId="39DA0C88" w14:textId="77777777" w:rsidR="007A46CE" w:rsidRDefault="007A46CE" w:rsidP="006E2509">
      <w:pPr>
        <w:rPr>
          <w:rFonts w:ascii="Arial" w:hAnsi="Arial" w:cs="Arial"/>
        </w:rPr>
      </w:pPr>
    </w:p>
    <w:p w14:paraId="41952B11" w14:textId="77777777" w:rsidR="007A46CE" w:rsidRDefault="007A46CE" w:rsidP="006E2509">
      <w:pPr>
        <w:rPr>
          <w:rFonts w:ascii="Arial" w:hAnsi="Arial" w:cs="Arial"/>
        </w:rPr>
      </w:pPr>
    </w:p>
    <w:p w14:paraId="6A8514B2" w14:textId="77777777" w:rsidR="007A46CE" w:rsidRDefault="007A46CE" w:rsidP="006E2509">
      <w:pPr>
        <w:rPr>
          <w:rFonts w:ascii="Arial" w:hAnsi="Arial" w:cs="Arial"/>
        </w:rPr>
      </w:pPr>
    </w:p>
    <w:p w14:paraId="26EAEE28" w14:textId="77777777" w:rsidR="007A46CE" w:rsidRDefault="007A46CE" w:rsidP="006E2509">
      <w:pPr>
        <w:rPr>
          <w:rFonts w:ascii="Arial" w:hAnsi="Arial" w:cs="Arial"/>
        </w:rPr>
      </w:pPr>
    </w:p>
    <w:p w14:paraId="49DBE17C" w14:textId="77777777" w:rsidR="007A46CE" w:rsidRDefault="007A46CE" w:rsidP="006E2509">
      <w:pPr>
        <w:rPr>
          <w:rFonts w:ascii="Arial" w:hAnsi="Arial" w:cs="Arial"/>
        </w:rPr>
      </w:pPr>
    </w:p>
    <w:p w14:paraId="51247B58" w14:textId="77777777" w:rsidR="007A46CE" w:rsidRDefault="007A46CE" w:rsidP="006E2509">
      <w:pPr>
        <w:rPr>
          <w:rFonts w:ascii="Arial" w:hAnsi="Arial" w:cs="Arial"/>
        </w:rPr>
      </w:pPr>
    </w:p>
    <w:p w14:paraId="3B3F654D" w14:textId="77777777" w:rsidR="007A46CE" w:rsidRDefault="007A46CE" w:rsidP="006E2509">
      <w:pPr>
        <w:rPr>
          <w:rFonts w:ascii="Arial" w:hAnsi="Arial" w:cs="Arial"/>
        </w:rPr>
      </w:pPr>
    </w:p>
    <w:p w14:paraId="3F4ABEA6" w14:textId="77777777" w:rsidR="007A46CE" w:rsidRDefault="007A46CE" w:rsidP="006E2509">
      <w:pPr>
        <w:rPr>
          <w:rFonts w:ascii="Arial" w:hAnsi="Arial" w:cs="Arial"/>
        </w:rPr>
      </w:pPr>
    </w:p>
    <w:p w14:paraId="326C67B8" w14:textId="77777777" w:rsidR="007A46CE" w:rsidRDefault="007A46CE" w:rsidP="006E2509">
      <w:pPr>
        <w:rPr>
          <w:rFonts w:ascii="Arial" w:hAnsi="Arial" w:cs="Arial"/>
        </w:rPr>
      </w:pPr>
    </w:p>
    <w:p w14:paraId="6FDB33B1" w14:textId="77777777" w:rsidR="007A46CE" w:rsidRDefault="007A46CE" w:rsidP="006E2509">
      <w:pPr>
        <w:rPr>
          <w:rFonts w:ascii="Arial" w:hAnsi="Arial" w:cs="Arial"/>
        </w:rPr>
      </w:pPr>
    </w:p>
    <w:p w14:paraId="0C0D9502" w14:textId="77777777" w:rsidR="007A46CE" w:rsidRDefault="007A46CE" w:rsidP="006E2509">
      <w:pPr>
        <w:rPr>
          <w:rFonts w:ascii="Arial" w:hAnsi="Arial" w:cs="Arial"/>
        </w:rPr>
      </w:pPr>
    </w:p>
    <w:p w14:paraId="078C61A4" w14:textId="77777777" w:rsidR="007A46CE" w:rsidRDefault="007A46CE" w:rsidP="006E2509">
      <w:pPr>
        <w:rPr>
          <w:rFonts w:ascii="Arial" w:hAnsi="Arial" w:cs="Arial"/>
        </w:rPr>
      </w:pPr>
    </w:p>
    <w:p w14:paraId="70A28580" w14:textId="77777777" w:rsidR="007A46CE" w:rsidRDefault="007A46CE" w:rsidP="006E2509">
      <w:pPr>
        <w:rPr>
          <w:rFonts w:ascii="Arial" w:hAnsi="Arial" w:cs="Arial"/>
        </w:rPr>
      </w:pPr>
    </w:p>
    <w:p w14:paraId="643435B4" w14:textId="77777777" w:rsidR="007A46CE" w:rsidRDefault="007A46CE" w:rsidP="006E2509">
      <w:pPr>
        <w:rPr>
          <w:rFonts w:ascii="Arial" w:hAnsi="Arial" w:cs="Arial"/>
        </w:rPr>
      </w:pPr>
    </w:p>
    <w:p w14:paraId="26487E3C" w14:textId="77777777" w:rsidR="007A46CE" w:rsidRDefault="007A46CE" w:rsidP="006E2509">
      <w:pPr>
        <w:rPr>
          <w:rFonts w:ascii="Arial" w:hAnsi="Arial" w:cs="Arial"/>
        </w:rPr>
      </w:pPr>
    </w:p>
    <w:p w14:paraId="43D5C012" w14:textId="77777777" w:rsidR="007A46CE" w:rsidRDefault="007A46CE" w:rsidP="006E2509">
      <w:pPr>
        <w:rPr>
          <w:rFonts w:ascii="Arial" w:hAnsi="Arial" w:cs="Arial"/>
        </w:rPr>
      </w:pPr>
    </w:p>
    <w:p w14:paraId="108D11DF" w14:textId="77777777" w:rsidR="007A46CE" w:rsidRDefault="007A46CE" w:rsidP="006E2509">
      <w:pPr>
        <w:rPr>
          <w:rFonts w:ascii="Arial" w:hAnsi="Arial" w:cs="Arial"/>
        </w:rPr>
      </w:pPr>
    </w:p>
    <w:p w14:paraId="71BB5543" w14:textId="77777777" w:rsidR="007A46CE" w:rsidRDefault="007A46CE" w:rsidP="006E2509">
      <w:pPr>
        <w:rPr>
          <w:rFonts w:ascii="Arial" w:hAnsi="Arial" w:cs="Arial"/>
        </w:rPr>
      </w:pPr>
    </w:p>
    <w:p w14:paraId="050BEA0A" w14:textId="77777777" w:rsidR="00E317EF" w:rsidRDefault="00E317EF" w:rsidP="00E317EF">
      <w:pPr>
        <w:rPr>
          <w:rFonts w:ascii="Arial" w:hAnsi="Arial" w:cs="Arial"/>
          <w:b/>
          <w:bCs/>
          <w:sz w:val="28"/>
          <w:szCs w:val="28"/>
        </w:rPr>
      </w:pPr>
      <w:r w:rsidRPr="007A46CE">
        <w:rPr>
          <w:rFonts w:ascii="Arial" w:hAnsi="Arial" w:cs="Arial"/>
          <w:b/>
          <w:bCs/>
          <w:sz w:val="28"/>
          <w:szCs w:val="28"/>
        </w:rPr>
        <w:lastRenderedPageBreak/>
        <w:t>Reference List</w:t>
      </w:r>
    </w:p>
    <w:p w14:paraId="351E45E5" w14:textId="77777777" w:rsidR="00E317EF" w:rsidRDefault="00E317EF" w:rsidP="00E317EF">
      <w:pPr>
        <w:rPr>
          <w:rFonts w:ascii="Arial" w:hAnsi="Arial" w:cs="Arial"/>
        </w:rPr>
      </w:pPr>
      <w:r w:rsidRPr="00B56279">
        <w:rPr>
          <w:rFonts w:ascii="Arial" w:hAnsi="Arial" w:cs="Arial"/>
        </w:rPr>
        <w:t xml:space="preserve">Apergis, N., Cooray, A., </w:t>
      </w:r>
      <w:proofErr w:type="spellStart"/>
      <w:r w:rsidRPr="00B56279">
        <w:rPr>
          <w:rFonts w:ascii="Arial" w:hAnsi="Arial" w:cs="Arial"/>
        </w:rPr>
        <w:t>Khraief</w:t>
      </w:r>
      <w:proofErr w:type="spellEnd"/>
      <w:r w:rsidRPr="00B56279">
        <w:rPr>
          <w:rFonts w:ascii="Arial" w:hAnsi="Arial" w:cs="Arial"/>
        </w:rPr>
        <w:t xml:space="preserve">, N. and Apergis, I. (2019). 'Do gold prices respond to real interest rates? Evidence from the Bayesian Markov Switching VECM model', Journal of International Financial Markets, Institutions &amp; Money, 60, pp. 134-148. </w:t>
      </w:r>
      <w:proofErr w:type="spellStart"/>
      <w:r w:rsidRPr="00B56279">
        <w:rPr>
          <w:rFonts w:ascii="Arial" w:hAnsi="Arial" w:cs="Arial"/>
        </w:rPr>
        <w:t>doi</w:t>
      </w:r>
      <w:proofErr w:type="spellEnd"/>
      <w:r w:rsidRPr="00B56279">
        <w:rPr>
          <w:rFonts w:ascii="Arial" w:hAnsi="Arial" w:cs="Arial"/>
        </w:rPr>
        <w:t>: 10.1016/j.intfin.2018.12.014.</w:t>
      </w:r>
      <w:r>
        <w:rPr>
          <w:rFonts w:ascii="Arial" w:hAnsi="Arial" w:cs="Arial"/>
        </w:rPr>
        <w:t xml:space="preserve"> </w:t>
      </w:r>
      <w:r w:rsidRPr="00E9163D">
        <w:rPr>
          <w:rFonts w:ascii="Arial" w:hAnsi="Arial" w:cs="Arial"/>
        </w:rPr>
        <w:t>Available at:</w:t>
      </w:r>
      <w:r>
        <w:rPr>
          <w:rFonts w:ascii="Arial" w:hAnsi="Arial" w:cs="Arial"/>
        </w:rPr>
        <w:t xml:space="preserve">  </w:t>
      </w:r>
      <w:hyperlink r:id="rId25" w:history="1">
        <w:r w:rsidRPr="003724C6">
          <w:rPr>
            <w:rStyle w:val="Hyperlink"/>
            <w:rFonts w:ascii="Arial" w:hAnsi="Arial" w:cs="Arial"/>
          </w:rPr>
          <w:t>https://www.sciencedirect.com/science/article/pii/S1042443118300167?via%3Dihub</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3</w:t>
      </w:r>
      <w:r w:rsidRPr="003A6BFA">
        <w:rPr>
          <w:rFonts w:ascii="Arial" w:hAnsi="Arial" w:cs="Arial"/>
        </w:rPr>
        <w:t>th December 2025</w:t>
      </w:r>
      <w:r>
        <w:rPr>
          <w:rFonts w:ascii="Arial" w:hAnsi="Arial" w:cs="Arial"/>
        </w:rPr>
        <w:t>].</w:t>
      </w:r>
    </w:p>
    <w:p w14:paraId="656C27DF" w14:textId="77777777" w:rsidR="00E317EF" w:rsidRDefault="00E317EF" w:rsidP="00E317EF">
      <w:pPr>
        <w:rPr>
          <w:rFonts w:ascii="Arial" w:hAnsi="Arial" w:cs="Arial"/>
        </w:rPr>
      </w:pPr>
      <w:r w:rsidRPr="008A037A">
        <w:rPr>
          <w:rFonts w:ascii="Arial" w:hAnsi="Arial" w:cs="Arial"/>
        </w:rPr>
        <w:t xml:space="preserve">Abreu, J.C., Marinho, E. and </w:t>
      </w:r>
      <w:proofErr w:type="spellStart"/>
      <w:r w:rsidRPr="008A037A">
        <w:rPr>
          <w:rFonts w:ascii="Arial" w:hAnsi="Arial" w:cs="Arial"/>
        </w:rPr>
        <w:t>Oliveiras</w:t>
      </w:r>
      <w:proofErr w:type="spellEnd"/>
      <w:r w:rsidRPr="008A037A">
        <w:rPr>
          <w:rFonts w:ascii="Arial" w:hAnsi="Arial" w:cs="Arial"/>
        </w:rPr>
        <w:t>, S. (2025). The Impact of Monetary Policy on Venture Capital Finance. Available at:</w:t>
      </w:r>
      <w:r>
        <w:rPr>
          <w:rFonts w:ascii="Arial" w:hAnsi="Arial" w:cs="Arial"/>
        </w:rPr>
        <w:t xml:space="preserve"> </w:t>
      </w:r>
      <w:hyperlink r:id="rId26" w:history="1">
        <w:r w:rsidRPr="003F3947">
          <w:rPr>
            <w:rStyle w:val="Hyperlink"/>
            <w:rFonts w:ascii="Arial" w:hAnsi="Arial" w:cs="Arial"/>
          </w:rPr>
          <w:t>https://papers.ssrn.com/sol3/papers.cfm?abstract_id=5341200</w:t>
        </w:r>
      </w:hyperlink>
      <w:r>
        <w:rPr>
          <w:rFonts w:ascii="Arial" w:hAnsi="Arial" w:cs="Arial"/>
        </w:rPr>
        <w:t xml:space="preserve"> [Accessed: </w:t>
      </w:r>
      <w:r w:rsidRPr="003A6BFA">
        <w:rPr>
          <w:rFonts w:ascii="Arial" w:hAnsi="Arial" w:cs="Arial"/>
        </w:rPr>
        <w:t>2</w:t>
      </w:r>
      <w:r>
        <w:rPr>
          <w:rFonts w:ascii="Arial" w:hAnsi="Arial" w:cs="Arial"/>
        </w:rPr>
        <w:t>7</w:t>
      </w:r>
      <w:r w:rsidRPr="003A6BFA">
        <w:rPr>
          <w:rFonts w:ascii="Arial" w:hAnsi="Arial" w:cs="Arial"/>
        </w:rPr>
        <w:t xml:space="preserve">th December </w:t>
      </w:r>
      <w:r>
        <w:rPr>
          <w:rFonts w:ascii="Arial" w:hAnsi="Arial" w:cs="Arial"/>
        </w:rPr>
        <w:t>2025].</w:t>
      </w:r>
    </w:p>
    <w:p w14:paraId="0142935F" w14:textId="77777777" w:rsidR="00E317EF" w:rsidRDefault="00E317EF" w:rsidP="00E317EF">
      <w:pPr>
        <w:rPr>
          <w:rFonts w:ascii="Arial" w:hAnsi="Arial" w:cs="Arial"/>
        </w:rPr>
      </w:pPr>
      <w:r w:rsidRPr="008B5B6E">
        <w:rPr>
          <w:rFonts w:ascii="Arial" w:hAnsi="Arial" w:cs="Arial"/>
        </w:rPr>
        <w:t>Alam, M.M. and Uddin, M.G.S. (2009). Relationship between Interest Rate and Stock Price: Empirical Evidence from Developed and Developing Countries. International Journal of Business and Management, 4(3), pp. 43-51. available at:</w:t>
      </w:r>
      <w:r w:rsidRPr="008B5B6E">
        <w:t xml:space="preserve"> </w:t>
      </w:r>
      <w:hyperlink r:id="rId27" w:history="1">
        <w:r w:rsidRPr="003F3947">
          <w:rPr>
            <w:rStyle w:val="Hyperlink"/>
            <w:rFonts w:ascii="Arial" w:hAnsi="Arial" w:cs="Arial"/>
          </w:rPr>
          <w:t>https://papers.ssrn.com/sol3/papers.cfm?abstract_id=2941281</w:t>
        </w:r>
      </w:hyperlink>
      <w:r>
        <w:rPr>
          <w:rFonts w:ascii="Arial" w:hAnsi="Arial" w:cs="Arial"/>
        </w:rPr>
        <w:t xml:space="preserve"> [Accessed: </w:t>
      </w:r>
      <w:r w:rsidRPr="003A6BFA">
        <w:rPr>
          <w:rFonts w:ascii="Arial" w:hAnsi="Arial" w:cs="Arial"/>
        </w:rPr>
        <w:t>2</w:t>
      </w:r>
      <w:r>
        <w:rPr>
          <w:rFonts w:ascii="Arial" w:hAnsi="Arial" w:cs="Arial"/>
        </w:rPr>
        <w:t>7</w:t>
      </w:r>
      <w:r w:rsidRPr="003A6BFA">
        <w:rPr>
          <w:rFonts w:ascii="Arial" w:hAnsi="Arial" w:cs="Arial"/>
        </w:rPr>
        <w:t xml:space="preserve">th December </w:t>
      </w:r>
      <w:r>
        <w:rPr>
          <w:rFonts w:ascii="Arial" w:hAnsi="Arial" w:cs="Arial"/>
        </w:rPr>
        <w:t>2025].</w:t>
      </w:r>
    </w:p>
    <w:p w14:paraId="721C5290" w14:textId="77777777" w:rsidR="00E317EF" w:rsidRDefault="00E317EF" w:rsidP="00E317EF">
      <w:pPr>
        <w:rPr>
          <w:rFonts w:ascii="Arial" w:hAnsi="Arial" w:cs="Arial"/>
        </w:rPr>
      </w:pPr>
      <w:r w:rsidRPr="009465B2">
        <w:rPr>
          <w:rFonts w:ascii="Arial" w:hAnsi="Arial" w:cs="Arial"/>
        </w:rPr>
        <w:t xml:space="preserve">Abdullah, M., Abdou, H. A., Godfrey, C., Elamer, A. A., &amp; Ahmed, Y. (2023). Assessing the Use of Gold as a Zero-Beta Asset in Empirical Asset Pricing: Application to the US Equity Market. Journal of Risk and Financial Management, 16(3), 204. </w:t>
      </w:r>
      <w:r w:rsidRPr="00D93FD8">
        <w:rPr>
          <w:rFonts w:ascii="Arial" w:hAnsi="Arial" w:cs="Arial"/>
        </w:rPr>
        <w:t>Available at:</w:t>
      </w:r>
      <w:r>
        <w:rPr>
          <w:rFonts w:ascii="Arial" w:hAnsi="Arial" w:cs="Arial"/>
        </w:rPr>
        <w:t xml:space="preserve"> </w:t>
      </w:r>
      <w:hyperlink r:id="rId28" w:history="1">
        <w:r w:rsidRPr="00CE2D00">
          <w:rPr>
            <w:rStyle w:val="Hyperlink"/>
            <w:rFonts w:ascii="Arial" w:hAnsi="Arial" w:cs="Arial"/>
          </w:rPr>
          <w:t>https://www.mdpi.com/1911-8074/16/3/204</w:t>
        </w:r>
      </w:hyperlink>
      <w:r>
        <w:rPr>
          <w:rFonts w:ascii="Arial" w:hAnsi="Arial" w:cs="Arial"/>
        </w:rPr>
        <w:t xml:space="preserve"> [Accessed: 26 January 2026].</w:t>
      </w:r>
    </w:p>
    <w:p w14:paraId="43986137" w14:textId="77777777" w:rsidR="00E317EF" w:rsidRDefault="00E317EF" w:rsidP="00E317EF">
      <w:pPr>
        <w:rPr>
          <w:rFonts w:ascii="Arial" w:hAnsi="Arial" w:cs="Arial"/>
        </w:rPr>
      </w:pPr>
      <w:r w:rsidRPr="002D5FB3">
        <w:rPr>
          <w:rFonts w:ascii="Arial" w:hAnsi="Arial" w:cs="Arial"/>
        </w:rPr>
        <w:t xml:space="preserve">Baur, D.G., &amp; McDermott, T. (2010). Is gold a </w:t>
      </w:r>
      <w:r>
        <w:rPr>
          <w:rFonts w:ascii="Arial" w:hAnsi="Arial" w:cs="Arial"/>
        </w:rPr>
        <w:t>S</w:t>
      </w:r>
      <w:r w:rsidRPr="002D5FB3">
        <w:rPr>
          <w:rFonts w:ascii="Arial" w:hAnsi="Arial" w:cs="Arial"/>
        </w:rPr>
        <w:t>afe haven? International evidence. Journal of Banking &amp; Finance, 34 (8), 1886-1898.</w:t>
      </w:r>
      <w:r>
        <w:rPr>
          <w:rFonts w:ascii="Arial" w:hAnsi="Arial" w:cs="Arial"/>
        </w:rPr>
        <w:t xml:space="preserve"> Available at: </w:t>
      </w:r>
      <w:hyperlink r:id="rId29" w:history="1">
        <w:r w:rsidRPr="00CF6897">
          <w:rPr>
            <w:rStyle w:val="Hyperlink"/>
            <w:rFonts w:ascii="Arial" w:hAnsi="Arial" w:cs="Arial"/>
          </w:rPr>
          <w:t>https://www.sciencedirect.com/science/article/pii/S0378426609003343</w:t>
        </w:r>
      </w:hyperlink>
      <w:r>
        <w:rPr>
          <w:rFonts w:ascii="Arial" w:hAnsi="Arial" w:cs="Arial"/>
        </w:rPr>
        <w:t xml:space="preserve"> [Accessed: 30 November 2025].</w:t>
      </w:r>
    </w:p>
    <w:p w14:paraId="47D64695" w14:textId="77777777" w:rsidR="00E317EF" w:rsidRDefault="00E317EF" w:rsidP="00E317EF">
      <w:pPr>
        <w:rPr>
          <w:rFonts w:ascii="Arial" w:hAnsi="Arial" w:cs="Arial"/>
        </w:rPr>
      </w:pPr>
      <w:r w:rsidRPr="00725C90">
        <w:rPr>
          <w:rFonts w:ascii="Arial" w:hAnsi="Arial" w:cs="Arial"/>
        </w:rPr>
        <w:t xml:space="preserve">Beckmann, J., Berger, T. and </w:t>
      </w:r>
      <w:proofErr w:type="spellStart"/>
      <w:r w:rsidRPr="00725C90">
        <w:rPr>
          <w:rFonts w:ascii="Arial" w:hAnsi="Arial" w:cs="Arial"/>
        </w:rPr>
        <w:t>Czudaj</w:t>
      </w:r>
      <w:proofErr w:type="spellEnd"/>
      <w:r w:rsidRPr="00725C90">
        <w:rPr>
          <w:rFonts w:ascii="Arial" w:hAnsi="Arial" w:cs="Arial"/>
        </w:rPr>
        <w:t xml:space="preserve">, R. (2015). Does gold act as a hedge or a </w:t>
      </w:r>
      <w:r>
        <w:rPr>
          <w:rFonts w:ascii="Arial" w:hAnsi="Arial" w:cs="Arial"/>
        </w:rPr>
        <w:t>S</w:t>
      </w:r>
      <w:r w:rsidRPr="00725C90">
        <w:rPr>
          <w:rFonts w:ascii="Arial" w:hAnsi="Arial" w:cs="Arial"/>
        </w:rPr>
        <w:t xml:space="preserve">afe haven for stocks? A smooth transition approach. Economic Modelling, 48, pp. 16-24. </w:t>
      </w:r>
      <w:r>
        <w:rPr>
          <w:rFonts w:ascii="Arial" w:hAnsi="Arial" w:cs="Arial"/>
        </w:rPr>
        <w:t xml:space="preserve">Available at: </w:t>
      </w:r>
      <w:hyperlink r:id="rId30" w:history="1">
        <w:r w:rsidRPr="00E967ED">
          <w:rPr>
            <w:rStyle w:val="Hyperlink"/>
            <w:rFonts w:ascii="Arial" w:hAnsi="Arial" w:cs="Arial"/>
          </w:rPr>
          <w:t>https://www.sciencedirect.com/science/article/pii/S0264999314004015</w:t>
        </w:r>
      </w:hyperlink>
      <w:r>
        <w:rPr>
          <w:rFonts w:ascii="Arial" w:hAnsi="Arial" w:cs="Arial"/>
        </w:rPr>
        <w:t xml:space="preserve">    [Accessed: 30 November 2025].</w:t>
      </w:r>
    </w:p>
    <w:p w14:paraId="025EA689" w14:textId="77777777" w:rsidR="00E317EF" w:rsidRDefault="00E317EF" w:rsidP="00E317EF">
      <w:pPr>
        <w:rPr>
          <w:rFonts w:ascii="Arial" w:hAnsi="Arial" w:cs="Arial"/>
        </w:rPr>
      </w:pPr>
      <w:r w:rsidRPr="007C49DA">
        <w:rPr>
          <w:rFonts w:ascii="Arial" w:hAnsi="Arial" w:cs="Arial"/>
        </w:rPr>
        <w:t>Baccarini, V., Christin, T., Denis, X. and Labat, G. (2024). How can we account for the increase in the price of gold? Available at:</w:t>
      </w:r>
      <w:r>
        <w:rPr>
          <w:rFonts w:ascii="Arial" w:hAnsi="Arial" w:cs="Arial"/>
        </w:rPr>
        <w:t xml:space="preserve"> </w:t>
      </w:r>
      <w:hyperlink r:id="rId31" w:history="1">
        <w:r w:rsidRPr="00FE543F">
          <w:rPr>
            <w:rStyle w:val="Hyperlink"/>
            <w:rFonts w:ascii="Arial" w:hAnsi="Arial" w:cs="Arial"/>
          </w:rPr>
          <w:t>https://www.banque-</w:t>
        </w:r>
        <w:r w:rsidRPr="00FE543F">
          <w:rPr>
            <w:rStyle w:val="Hyperlink"/>
            <w:rFonts w:ascii="Arial" w:hAnsi="Arial" w:cs="Arial"/>
          </w:rPr>
          <w:lastRenderedPageBreak/>
          <w:t>france.fr/en/publications-and-statistics/publications/how-can-we-account-increase-price-gold</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December 2025].</w:t>
      </w:r>
    </w:p>
    <w:p w14:paraId="04279889" w14:textId="4B96C72A" w:rsidR="00E317EF" w:rsidRDefault="00E317EF" w:rsidP="00E317EF">
      <w:pPr>
        <w:rPr>
          <w:rFonts w:ascii="Arial" w:hAnsi="Arial" w:cs="Arial"/>
        </w:rPr>
      </w:pPr>
      <w:r w:rsidRPr="00E41FA1">
        <w:rPr>
          <w:rFonts w:ascii="Arial" w:hAnsi="Arial" w:cs="Arial"/>
        </w:rPr>
        <w:t>Bernanke, B.S. &amp; Kuttner, K.N. (2005) 'What Explains the Stock Market's Reaction to Federal Reserve Policy?', The Journal of Finance, 60(3), pp. 1221-1257.</w:t>
      </w:r>
      <w:r>
        <w:rPr>
          <w:rFonts w:ascii="Arial" w:hAnsi="Arial" w:cs="Arial"/>
        </w:rPr>
        <w:t xml:space="preserve"> Available at: </w:t>
      </w:r>
      <w:hyperlink r:id="rId32" w:history="1">
        <w:r w:rsidR="00C42B6F" w:rsidRPr="00EF0ABD">
          <w:rPr>
            <w:rStyle w:val="Hyperlink"/>
            <w:rFonts w:ascii="Arial" w:hAnsi="Arial" w:cs="Arial"/>
          </w:rPr>
          <w:t>https://onlinelibrary.wiley.com/doi/full/10.1111/j.1540-6261.2005.00760.x</w:t>
        </w:r>
      </w:hyperlink>
      <w:r w:rsidR="00C42B6F">
        <w:rPr>
          <w:rFonts w:ascii="Arial" w:hAnsi="Arial" w:cs="Arial"/>
        </w:rPr>
        <w:t xml:space="preserve"> </w:t>
      </w:r>
      <w:r>
        <w:rPr>
          <w:rFonts w:ascii="Arial" w:hAnsi="Arial" w:cs="Arial"/>
        </w:rPr>
        <w:t>[Accessed: 2</w:t>
      </w:r>
      <w:r w:rsidRPr="008D0631">
        <w:rPr>
          <w:rFonts w:ascii="Arial" w:hAnsi="Arial" w:cs="Arial"/>
          <w:vertAlign w:val="superscript"/>
        </w:rPr>
        <w:t>nd</w:t>
      </w:r>
      <w:r>
        <w:rPr>
          <w:rFonts w:ascii="Arial" w:hAnsi="Arial" w:cs="Arial"/>
        </w:rPr>
        <w:t xml:space="preserve"> December 2025].</w:t>
      </w:r>
    </w:p>
    <w:p w14:paraId="7E136D2D" w14:textId="77777777" w:rsidR="00E317EF" w:rsidRDefault="00E317EF" w:rsidP="00E317EF">
      <w:pPr>
        <w:rPr>
          <w:rFonts w:ascii="Arial" w:hAnsi="Arial" w:cs="Arial"/>
        </w:rPr>
      </w:pPr>
      <w:r w:rsidRPr="004543AC">
        <w:rPr>
          <w:rFonts w:ascii="Arial" w:hAnsi="Arial" w:cs="Arial"/>
        </w:rPr>
        <w:t>Board of Governors of the Federal Reserve System. (2021). Financial Stability Report: May 2021. Washington, DC: Board of Governors of the Federal Reserve System.</w:t>
      </w:r>
      <w:r>
        <w:rPr>
          <w:rFonts w:ascii="Arial" w:hAnsi="Arial" w:cs="Arial"/>
        </w:rPr>
        <w:t xml:space="preserve"> Available at: </w:t>
      </w:r>
      <w:hyperlink r:id="rId33" w:history="1">
        <w:r w:rsidRPr="00777101">
          <w:rPr>
            <w:rStyle w:val="Hyperlink"/>
            <w:rFonts w:ascii="Arial" w:hAnsi="Arial" w:cs="Arial"/>
          </w:rPr>
          <w:t>https://www.federalreserve.gov/publications/files/financial-stability-report-20210506.pdf</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December 2025].</w:t>
      </w:r>
    </w:p>
    <w:p w14:paraId="4A504B07" w14:textId="2CA80100" w:rsidR="00E317EF" w:rsidRDefault="00E317EF" w:rsidP="00E317EF">
      <w:pPr>
        <w:rPr>
          <w:rFonts w:ascii="Arial" w:hAnsi="Arial" w:cs="Arial"/>
        </w:rPr>
      </w:pPr>
      <w:r w:rsidRPr="008D0631">
        <w:rPr>
          <w:rFonts w:ascii="Arial" w:hAnsi="Arial" w:cs="Arial"/>
        </w:rPr>
        <w:t xml:space="preserve">Baur, D. G., &amp; Lucey, B. M. (2010). Is Gold a Hedge or a Safe Haven? An Analysis of Stocks, Bonds and Gold. </w:t>
      </w:r>
      <w:r w:rsidRPr="008D0631">
        <w:rPr>
          <w:rFonts w:ascii="Arial" w:hAnsi="Arial" w:cs="Arial"/>
          <w:i/>
          <w:iCs/>
        </w:rPr>
        <w:t>Financial Review</w:t>
      </w:r>
      <w:r w:rsidRPr="008D0631">
        <w:rPr>
          <w:rFonts w:ascii="Arial" w:hAnsi="Arial" w:cs="Arial"/>
        </w:rPr>
        <w:t xml:space="preserve">, </w:t>
      </w:r>
      <w:r w:rsidRPr="008D0631">
        <w:rPr>
          <w:rFonts w:ascii="Arial" w:hAnsi="Arial" w:cs="Arial"/>
          <w:i/>
          <w:iCs/>
        </w:rPr>
        <w:t>45</w:t>
      </w:r>
      <w:r w:rsidRPr="008D0631">
        <w:rPr>
          <w:rFonts w:ascii="Arial" w:hAnsi="Arial" w:cs="Arial"/>
        </w:rPr>
        <w:t>(2), 217–229.</w:t>
      </w:r>
      <w:r>
        <w:rPr>
          <w:rFonts w:ascii="Arial" w:hAnsi="Arial" w:cs="Arial"/>
        </w:rPr>
        <w:t xml:space="preserve"> Available at: </w:t>
      </w:r>
      <w:hyperlink r:id="rId34" w:history="1">
        <w:r w:rsidR="00042B7E" w:rsidRPr="00EF0ABD">
          <w:rPr>
            <w:rStyle w:val="Hyperlink"/>
            <w:rFonts w:ascii="Arial" w:hAnsi="Arial" w:cs="Arial"/>
          </w:rPr>
          <w:t>https://onlinelibrary.wiley.com/doi/abs/10.1111/j.1540-6288.2010.00244.x</w:t>
        </w:r>
      </w:hyperlink>
      <w:r w:rsidR="00042B7E">
        <w:rPr>
          <w:rFonts w:ascii="Arial" w:hAnsi="Arial" w:cs="Arial"/>
        </w:rPr>
        <w:t xml:space="preserve"> </w:t>
      </w:r>
      <w:r>
        <w:rPr>
          <w:rFonts w:ascii="Arial" w:hAnsi="Arial" w:cs="Arial"/>
        </w:rPr>
        <w:t>[Accessed:</w:t>
      </w:r>
      <w:r w:rsidRPr="00092C44">
        <w:rPr>
          <w:rFonts w:ascii="Arial" w:hAnsi="Arial" w:cs="Arial"/>
        </w:rPr>
        <w:t xml:space="preserve"> </w:t>
      </w:r>
      <w:r w:rsidRPr="003A6BFA">
        <w:rPr>
          <w:rFonts w:ascii="Arial" w:hAnsi="Arial" w:cs="Arial"/>
        </w:rPr>
        <w:t>2</w:t>
      </w:r>
      <w:r>
        <w:rPr>
          <w:rFonts w:ascii="Arial" w:hAnsi="Arial" w:cs="Arial"/>
        </w:rPr>
        <w:t>2</w:t>
      </w:r>
      <w:r w:rsidRPr="003A6BFA">
        <w:rPr>
          <w:rFonts w:ascii="Arial" w:hAnsi="Arial" w:cs="Arial"/>
        </w:rPr>
        <w:t>th December 2025</w:t>
      </w:r>
      <w:r>
        <w:rPr>
          <w:rFonts w:ascii="Arial" w:hAnsi="Arial" w:cs="Arial"/>
        </w:rPr>
        <w:t>].</w:t>
      </w:r>
    </w:p>
    <w:p w14:paraId="055B27A2" w14:textId="77777777" w:rsidR="00E317EF" w:rsidRDefault="00E317EF" w:rsidP="00E317EF">
      <w:pPr>
        <w:rPr>
          <w:rFonts w:ascii="Arial" w:hAnsi="Arial" w:cs="Arial"/>
        </w:rPr>
      </w:pPr>
      <w:r w:rsidRPr="00E9163D">
        <w:rPr>
          <w:rFonts w:ascii="Arial" w:hAnsi="Arial" w:cs="Arial"/>
        </w:rPr>
        <w:t>Barsky, R., Epstein, C., Lafont-Mueller, A. and Yoo, Y. (2021). 'What drives gold prices?', Chicago Fed Letter, No. 464. Available at:</w:t>
      </w:r>
      <w:r>
        <w:rPr>
          <w:rFonts w:ascii="Arial" w:hAnsi="Arial" w:cs="Arial"/>
        </w:rPr>
        <w:t xml:space="preserve"> </w:t>
      </w:r>
      <w:hyperlink r:id="rId35" w:history="1">
        <w:r w:rsidRPr="003724C6">
          <w:rPr>
            <w:rStyle w:val="Hyperlink"/>
            <w:rFonts w:ascii="Arial" w:hAnsi="Arial" w:cs="Arial"/>
          </w:rPr>
          <w:t>https://www.chicagofed.org/publications/chicago-fed-letter/2021/464</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3</w:t>
      </w:r>
      <w:r w:rsidRPr="003A6BFA">
        <w:rPr>
          <w:rFonts w:ascii="Arial" w:hAnsi="Arial" w:cs="Arial"/>
        </w:rPr>
        <w:t>th December 2025</w:t>
      </w:r>
      <w:r>
        <w:rPr>
          <w:rFonts w:ascii="Arial" w:hAnsi="Arial" w:cs="Arial"/>
        </w:rPr>
        <w:t>].</w:t>
      </w:r>
    </w:p>
    <w:p w14:paraId="150C2E66" w14:textId="77777777" w:rsidR="00E317EF" w:rsidRDefault="00E317EF" w:rsidP="00E317EF">
      <w:pPr>
        <w:rPr>
          <w:rFonts w:ascii="Arial" w:hAnsi="Arial" w:cs="Arial"/>
        </w:rPr>
      </w:pPr>
      <w:r w:rsidRPr="00D93FD8">
        <w:rPr>
          <w:rFonts w:ascii="Arial" w:hAnsi="Arial" w:cs="Arial"/>
        </w:rPr>
        <w:t>Barsky, R.B. and Summers, L.H. (1988). 'Gibson's Paradox and the Gold Standard', The Journal of Political Economy, 96(3), pp. 528-550. Available at:</w:t>
      </w:r>
      <w:r w:rsidRPr="00D93FD8">
        <w:t xml:space="preserve"> </w:t>
      </w:r>
      <w:hyperlink r:id="rId36" w:history="1">
        <w:r w:rsidRPr="00BA462C">
          <w:rPr>
            <w:rStyle w:val="Hyperlink"/>
            <w:rFonts w:ascii="Arial" w:hAnsi="Arial" w:cs="Arial"/>
          </w:rPr>
          <w:t>https://www.researchgate.net/publication/24108581_Gibson's_Paradox_and_the_Gold_Standard</w:t>
        </w:r>
      </w:hyperlink>
      <w:r>
        <w:rPr>
          <w:rFonts w:ascii="Arial" w:hAnsi="Arial" w:cs="Arial"/>
        </w:rPr>
        <w:t xml:space="preserve"> [Accessed: 24 January 2026].</w:t>
      </w:r>
    </w:p>
    <w:p w14:paraId="0F5CA98B" w14:textId="77777777" w:rsidR="00E317EF" w:rsidRDefault="00E317EF" w:rsidP="00E317EF">
      <w:pPr>
        <w:rPr>
          <w:rFonts w:ascii="Arial" w:hAnsi="Arial" w:cs="Arial"/>
        </w:rPr>
      </w:pPr>
      <w:r w:rsidRPr="005D64B4">
        <w:rPr>
          <w:rFonts w:ascii="Arial" w:hAnsi="Arial" w:cs="Arial"/>
        </w:rPr>
        <w:t>Chaudhuri, G.P. and Akullian, K. (2025). 2025 Fall Investment Directions: Rethinking diversification. BlackRock. Available at:</w:t>
      </w:r>
      <w:r w:rsidRPr="00D66A2B">
        <w:t xml:space="preserve"> </w:t>
      </w:r>
      <w:hyperlink r:id="rId37" w:history="1">
        <w:r w:rsidRPr="00207143">
          <w:rPr>
            <w:rStyle w:val="Hyperlink"/>
            <w:rFonts w:ascii="Arial" w:hAnsi="Arial" w:cs="Arial"/>
          </w:rPr>
          <w:t>https://www.blackrock.com/us/financial-professionals/insights/investment-directions-fall-2025</w:t>
        </w:r>
      </w:hyperlink>
      <w:r>
        <w:rPr>
          <w:rFonts w:ascii="Arial" w:hAnsi="Arial" w:cs="Arial"/>
        </w:rPr>
        <w:t xml:space="preserve"> [Accessed:</w:t>
      </w:r>
      <w:r w:rsidRPr="00092C44">
        <w:rPr>
          <w:rFonts w:ascii="Arial" w:hAnsi="Arial" w:cs="Arial"/>
        </w:rPr>
        <w:t xml:space="preserve"> </w:t>
      </w:r>
      <w:r>
        <w:rPr>
          <w:rFonts w:ascii="Arial" w:hAnsi="Arial" w:cs="Arial"/>
        </w:rPr>
        <w:t xml:space="preserve">1st January </w:t>
      </w:r>
      <w:r w:rsidRPr="003A6BFA">
        <w:rPr>
          <w:rFonts w:ascii="Arial" w:hAnsi="Arial" w:cs="Arial"/>
        </w:rPr>
        <w:t>202</w:t>
      </w:r>
      <w:r>
        <w:rPr>
          <w:rFonts w:ascii="Arial" w:hAnsi="Arial" w:cs="Arial"/>
        </w:rPr>
        <w:t>6].</w:t>
      </w:r>
    </w:p>
    <w:p w14:paraId="70E0EC98" w14:textId="77777777" w:rsidR="00E317EF" w:rsidRDefault="00E317EF" w:rsidP="00E317EF">
      <w:pPr>
        <w:rPr>
          <w:rFonts w:ascii="Arial" w:hAnsi="Arial" w:cs="Arial"/>
        </w:rPr>
      </w:pPr>
      <w:r w:rsidRPr="00B7062F">
        <w:rPr>
          <w:rFonts w:ascii="Arial" w:hAnsi="Arial" w:cs="Arial"/>
        </w:rPr>
        <w:t>Dee, J., Li, L. and Zheng, Z. (2013) ‘Is gold a hedge or a safe haven</w:t>
      </w:r>
      <w:r w:rsidRPr="00B7062F">
        <w:rPr>
          <w:rFonts w:ascii="MS Gothic" w:eastAsia="MS Gothic" w:hAnsi="MS Gothic" w:cs="MS Gothic" w:hint="eastAsia"/>
        </w:rPr>
        <w:t>？</w:t>
      </w:r>
      <w:r w:rsidRPr="00B7062F">
        <w:rPr>
          <w:rFonts w:ascii="Arial" w:hAnsi="Arial" w:cs="Arial"/>
        </w:rPr>
        <w:t xml:space="preserve">Evidence from inflation and stock market’, </w:t>
      </w:r>
      <w:r w:rsidRPr="00B7062F">
        <w:rPr>
          <w:rFonts w:ascii="Arial" w:hAnsi="Arial" w:cs="Arial"/>
          <w:i/>
          <w:iCs/>
        </w:rPr>
        <w:t>International journal of development and sustainability</w:t>
      </w:r>
      <w:r w:rsidRPr="00B7062F">
        <w:rPr>
          <w:rFonts w:ascii="Arial" w:hAnsi="Arial" w:cs="Arial"/>
        </w:rPr>
        <w:t>, 2(1), pp. 12–27.</w:t>
      </w:r>
      <w:r>
        <w:rPr>
          <w:rFonts w:ascii="Arial" w:hAnsi="Arial" w:cs="Arial"/>
        </w:rPr>
        <w:t xml:space="preserve"> </w:t>
      </w:r>
      <w:r w:rsidRPr="00723017">
        <w:rPr>
          <w:rFonts w:ascii="Arial" w:hAnsi="Arial" w:cs="Arial"/>
        </w:rPr>
        <w:t>Available at:</w:t>
      </w:r>
      <w:r>
        <w:rPr>
          <w:rFonts w:ascii="Arial" w:hAnsi="Arial" w:cs="Arial"/>
        </w:rPr>
        <w:t xml:space="preserve"> </w:t>
      </w:r>
      <w:hyperlink r:id="rId38" w:history="1">
        <w:r w:rsidRPr="007254B3">
          <w:rPr>
            <w:rStyle w:val="Hyperlink"/>
            <w:rFonts w:ascii="Arial" w:hAnsi="Arial" w:cs="Arial"/>
          </w:rPr>
          <w:t>https://doaj.org/article/52c99f180095481c877330a9c97aca64</w:t>
        </w:r>
      </w:hyperlink>
      <w:r>
        <w:rPr>
          <w:rFonts w:ascii="Arial" w:hAnsi="Arial" w:cs="Arial"/>
        </w:rPr>
        <w:t xml:space="preserve"> [Accessed: 13th December 2025].</w:t>
      </w:r>
    </w:p>
    <w:p w14:paraId="7FE17EC6" w14:textId="77777777" w:rsidR="00E317EF" w:rsidRDefault="00E317EF" w:rsidP="00E317EF">
      <w:pPr>
        <w:rPr>
          <w:rFonts w:ascii="Arial" w:hAnsi="Arial" w:cs="Arial"/>
        </w:rPr>
      </w:pPr>
      <w:proofErr w:type="spellStart"/>
      <w:r w:rsidRPr="00DB7421">
        <w:rPr>
          <w:rFonts w:ascii="Arial" w:hAnsi="Arial" w:cs="Arial"/>
        </w:rPr>
        <w:lastRenderedPageBreak/>
        <w:t>Daneshrad</w:t>
      </w:r>
      <w:proofErr w:type="spellEnd"/>
      <w:r w:rsidRPr="00DB7421">
        <w:rPr>
          <w:rFonts w:ascii="Arial" w:hAnsi="Arial" w:cs="Arial"/>
        </w:rPr>
        <w:t>, P. (2024) 'Why productive assets outperform non-productive ones', Forbes. Available at:</w:t>
      </w:r>
      <w:r>
        <w:rPr>
          <w:rFonts w:ascii="Arial" w:hAnsi="Arial" w:cs="Arial"/>
        </w:rPr>
        <w:t xml:space="preserve"> </w:t>
      </w:r>
      <w:hyperlink r:id="rId39" w:history="1">
        <w:r w:rsidRPr="005B32BF">
          <w:rPr>
            <w:rStyle w:val="Hyperlink"/>
            <w:rFonts w:ascii="Arial" w:hAnsi="Arial" w:cs="Arial"/>
          </w:rPr>
          <w:t>https://www.forbes.com/councils/forbesfinancecouncil/2024/01/16/why-productive-assets-outperform-nonproductive-ones/</w:t>
        </w:r>
      </w:hyperlink>
      <w:r>
        <w:rPr>
          <w:rFonts w:ascii="Arial" w:hAnsi="Arial" w:cs="Arial"/>
        </w:rPr>
        <w:t xml:space="preserve"> [Accessed: 20th December 2025].</w:t>
      </w:r>
    </w:p>
    <w:p w14:paraId="08C96001" w14:textId="77777777" w:rsidR="00E317EF" w:rsidRDefault="00E317EF" w:rsidP="00E317EF">
      <w:pPr>
        <w:rPr>
          <w:rFonts w:ascii="Arial" w:hAnsi="Arial" w:cs="Arial"/>
        </w:rPr>
      </w:pPr>
      <w:r w:rsidRPr="00424CE7">
        <w:rPr>
          <w:rFonts w:ascii="Arial" w:hAnsi="Arial" w:cs="Arial"/>
        </w:rPr>
        <w:t>Dasgupta, A. (2025). '3 Gold Stocks to Buy as Bullion Shines in a Low-Rate Environment', Zacks Investment Research. Available at:</w:t>
      </w:r>
      <w:r>
        <w:rPr>
          <w:rFonts w:ascii="Arial" w:hAnsi="Arial" w:cs="Arial"/>
        </w:rPr>
        <w:t xml:space="preserve"> </w:t>
      </w:r>
      <w:hyperlink r:id="rId40" w:history="1">
        <w:r w:rsidRPr="004B3210">
          <w:rPr>
            <w:rStyle w:val="Hyperlink"/>
            <w:rFonts w:ascii="Arial" w:hAnsi="Arial" w:cs="Arial"/>
          </w:rPr>
          <w:t>https://www.zacks.com/stock/news/2805996/3-gold-stocks-to-buy-as-bullion-shines-in-a-low-rate-environment</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3</w:t>
      </w:r>
      <w:r w:rsidRPr="003A6BFA">
        <w:rPr>
          <w:rFonts w:ascii="Arial" w:hAnsi="Arial" w:cs="Arial"/>
        </w:rPr>
        <w:t>th December 2025</w:t>
      </w:r>
      <w:r>
        <w:rPr>
          <w:rFonts w:ascii="Arial" w:hAnsi="Arial" w:cs="Arial"/>
        </w:rPr>
        <w:t>].</w:t>
      </w:r>
    </w:p>
    <w:p w14:paraId="3074B365" w14:textId="77777777" w:rsidR="00E317EF" w:rsidRDefault="00E317EF" w:rsidP="00E317EF">
      <w:pPr>
        <w:rPr>
          <w:rFonts w:ascii="Arial" w:hAnsi="Arial" w:cs="Arial"/>
        </w:rPr>
      </w:pPr>
      <w:proofErr w:type="spellStart"/>
      <w:r w:rsidRPr="00A80310">
        <w:rPr>
          <w:rFonts w:ascii="Arial" w:hAnsi="Arial" w:cs="Arial"/>
        </w:rPr>
        <w:t>Demajo</w:t>
      </w:r>
      <w:proofErr w:type="spellEnd"/>
      <w:r w:rsidRPr="00A80310">
        <w:rPr>
          <w:rFonts w:ascii="Arial" w:hAnsi="Arial" w:cs="Arial"/>
        </w:rPr>
        <w:t>, N. (2025). An Analysis of the Relationship Between Real Yields and Gold Prices: A pre and Post Covid Analysis. University of Malta. Available at:</w:t>
      </w:r>
      <w:r w:rsidRPr="00A80310">
        <w:t xml:space="preserve"> </w:t>
      </w:r>
      <w:hyperlink r:id="rId41" w:history="1">
        <w:r w:rsidRPr="00600EE3">
          <w:rPr>
            <w:rStyle w:val="Hyperlink"/>
            <w:rFonts w:ascii="Arial" w:hAnsi="Arial" w:cs="Arial"/>
          </w:rPr>
          <w:t>https://www.um.edu.mt/library/oar/handle/123456789/140667</w:t>
        </w:r>
      </w:hyperlink>
      <w:r>
        <w:rPr>
          <w:rFonts w:ascii="Arial" w:hAnsi="Arial" w:cs="Arial"/>
        </w:rPr>
        <w:t xml:space="preserve"> [Accessed: 26 January 2026].</w:t>
      </w:r>
    </w:p>
    <w:p w14:paraId="081309E7" w14:textId="77777777" w:rsidR="00E317EF" w:rsidRDefault="00E317EF" w:rsidP="00E317EF">
      <w:pPr>
        <w:rPr>
          <w:rFonts w:ascii="Arial" w:hAnsi="Arial" w:cs="Arial"/>
        </w:rPr>
      </w:pPr>
      <w:r w:rsidRPr="00610DB9">
        <w:rPr>
          <w:rFonts w:ascii="Arial" w:hAnsi="Arial" w:cs="Arial"/>
        </w:rPr>
        <w:t>Engle, R. (2002) ‘Dynamic Conditional Correlation: A Simple Class of Multivariate Generalized Autoregressive Conditional Heteroskedasticity Models’, </w:t>
      </w:r>
      <w:r w:rsidRPr="00610DB9">
        <w:rPr>
          <w:rFonts w:ascii="Arial" w:hAnsi="Arial" w:cs="Arial"/>
          <w:i/>
          <w:iCs/>
        </w:rPr>
        <w:t>Journal of Business &amp;amp; Economic Statistics</w:t>
      </w:r>
      <w:r w:rsidRPr="00610DB9">
        <w:rPr>
          <w:rFonts w:ascii="Arial" w:hAnsi="Arial" w:cs="Arial"/>
        </w:rPr>
        <w:t xml:space="preserve">, 20(3), pp. 339–350. </w:t>
      </w:r>
      <w:proofErr w:type="spellStart"/>
      <w:r w:rsidRPr="00610DB9">
        <w:rPr>
          <w:rFonts w:ascii="Arial" w:hAnsi="Arial" w:cs="Arial"/>
        </w:rPr>
        <w:t>doi</w:t>
      </w:r>
      <w:proofErr w:type="spellEnd"/>
      <w:r w:rsidRPr="00610DB9">
        <w:rPr>
          <w:rFonts w:ascii="Arial" w:hAnsi="Arial" w:cs="Arial"/>
        </w:rPr>
        <w:t>: 10.1198/073500102288618487.</w:t>
      </w:r>
      <w:r>
        <w:rPr>
          <w:rFonts w:ascii="Arial" w:hAnsi="Arial" w:cs="Arial"/>
        </w:rPr>
        <w:t xml:space="preserve"> </w:t>
      </w:r>
      <w:r w:rsidRPr="00E9163D">
        <w:rPr>
          <w:rFonts w:ascii="Arial" w:hAnsi="Arial" w:cs="Arial"/>
        </w:rPr>
        <w:t>Available at:</w:t>
      </w:r>
      <w:r>
        <w:rPr>
          <w:rFonts w:ascii="Arial" w:hAnsi="Arial" w:cs="Arial"/>
        </w:rPr>
        <w:t xml:space="preserve">  </w:t>
      </w:r>
      <w:hyperlink r:id="rId42" w:history="1">
        <w:r w:rsidRPr="003724C6">
          <w:rPr>
            <w:rStyle w:val="Hyperlink"/>
            <w:rFonts w:ascii="Arial" w:hAnsi="Arial" w:cs="Arial"/>
          </w:rPr>
          <w:t>https://www.tandfonline.com/doi/citedby/10.1198/073500102288618487?scroll=top&amp;needAccess=true</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3</w:t>
      </w:r>
      <w:r w:rsidRPr="003A6BFA">
        <w:rPr>
          <w:rFonts w:ascii="Arial" w:hAnsi="Arial" w:cs="Arial"/>
        </w:rPr>
        <w:t>th December 2025</w:t>
      </w:r>
      <w:r>
        <w:rPr>
          <w:rFonts w:ascii="Arial" w:hAnsi="Arial" w:cs="Arial"/>
        </w:rPr>
        <w:t>].</w:t>
      </w:r>
    </w:p>
    <w:p w14:paraId="5D6F9F15" w14:textId="77777777" w:rsidR="00E317EF" w:rsidRDefault="00E317EF" w:rsidP="00E317EF">
      <w:pPr>
        <w:rPr>
          <w:rFonts w:ascii="Arial" w:hAnsi="Arial" w:cs="Arial"/>
        </w:rPr>
      </w:pPr>
      <w:r w:rsidRPr="004F7896">
        <w:rPr>
          <w:rFonts w:ascii="Arial" w:hAnsi="Arial" w:cs="Arial"/>
        </w:rPr>
        <w:t>Erb, C.B. and Harvey, C.R. (2013). The Golden Dilemma. SSRN. Available at:</w:t>
      </w:r>
      <w:r w:rsidRPr="004F7896">
        <w:t xml:space="preserve"> </w:t>
      </w:r>
      <w:hyperlink r:id="rId43" w:history="1">
        <w:r w:rsidRPr="009C37C9">
          <w:rPr>
            <w:rStyle w:val="Hyperlink"/>
            <w:rFonts w:ascii="Arial" w:hAnsi="Arial" w:cs="Arial"/>
          </w:rPr>
          <w:t>https://papers.ssrn.com/sol3/papers.cfm?abstract_id=2078535</w:t>
        </w:r>
      </w:hyperlink>
      <w:r>
        <w:rPr>
          <w:rFonts w:ascii="Arial" w:hAnsi="Arial" w:cs="Arial"/>
        </w:rPr>
        <w:t xml:space="preserve"> [Accessed: 26 January 2026].</w:t>
      </w:r>
    </w:p>
    <w:p w14:paraId="1E36E35D" w14:textId="77777777" w:rsidR="00E317EF" w:rsidRDefault="00E317EF" w:rsidP="00E317EF">
      <w:pPr>
        <w:rPr>
          <w:rFonts w:ascii="Arial" w:hAnsi="Arial" w:cs="Arial"/>
        </w:rPr>
      </w:pPr>
      <w:r w:rsidRPr="00A67926">
        <w:rPr>
          <w:rFonts w:ascii="Arial" w:hAnsi="Arial" w:cs="Arial"/>
        </w:rPr>
        <w:t>Federal Reserve Bank of New York (n.d.) Effective Funds Rate (EFFR). Available at:</w:t>
      </w:r>
      <w:r>
        <w:rPr>
          <w:rFonts w:ascii="Arial" w:hAnsi="Arial" w:cs="Arial"/>
        </w:rPr>
        <w:t xml:space="preserve"> </w:t>
      </w:r>
      <w:hyperlink r:id="rId44" w:history="1">
        <w:r w:rsidRPr="00EC0AC1">
          <w:rPr>
            <w:rStyle w:val="Hyperlink"/>
            <w:rFonts w:ascii="Arial" w:hAnsi="Arial" w:cs="Arial"/>
          </w:rPr>
          <w:t>https://www.newyorkfed.org/markets/reference-rates/effr</w:t>
        </w:r>
      </w:hyperlink>
      <w:r>
        <w:rPr>
          <w:rFonts w:ascii="Arial" w:hAnsi="Arial" w:cs="Arial"/>
        </w:rPr>
        <w:t xml:space="preserve"> [Accessed: 30 November 2025].</w:t>
      </w:r>
    </w:p>
    <w:p w14:paraId="3ABD2E7E" w14:textId="77777777" w:rsidR="00E317EF" w:rsidRDefault="00E317EF" w:rsidP="00E317EF">
      <w:pPr>
        <w:rPr>
          <w:rFonts w:ascii="Arial" w:hAnsi="Arial" w:cs="Arial"/>
        </w:rPr>
      </w:pPr>
      <w:r w:rsidRPr="00962991">
        <w:rPr>
          <w:rFonts w:ascii="Arial" w:hAnsi="Arial" w:cs="Arial"/>
        </w:rPr>
        <w:t>Faraj, H., McMillan, D. and AI-Sabah, M. (2025) 'The diminishing lustre: Gold's market volatility and the fading safe haven effect', Global Finance Journal, 67,101145</w:t>
      </w:r>
      <w:r>
        <w:rPr>
          <w:rFonts w:ascii="Arial" w:hAnsi="Arial" w:cs="Arial"/>
        </w:rPr>
        <w:t xml:space="preserve">. </w:t>
      </w:r>
      <w:r w:rsidRPr="00735324">
        <w:rPr>
          <w:rFonts w:ascii="Arial" w:hAnsi="Arial" w:cs="Arial"/>
        </w:rPr>
        <w:t>Available at:</w:t>
      </w:r>
      <w:r>
        <w:rPr>
          <w:rFonts w:ascii="Arial" w:hAnsi="Arial" w:cs="Arial"/>
        </w:rPr>
        <w:t xml:space="preserve"> </w:t>
      </w:r>
      <w:hyperlink r:id="rId45" w:history="1">
        <w:r w:rsidRPr="00021AE2">
          <w:rPr>
            <w:rStyle w:val="Hyperlink"/>
            <w:rFonts w:ascii="Arial" w:hAnsi="Arial" w:cs="Arial"/>
          </w:rPr>
          <w:t>https://www.sciencedirect.com/science/article/pii/S1044028325000729</w:t>
        </w:r>
      </w:hyperlink>
      <w:r>
        <w:rPr>
          <w:rFonts w:ascii="Arial" w:hAnsi="Arial" w:cs="Arial"/>
        </w:rPr>
        <w:t xml:space="preserve"> [Accessed: 9</w:t>
      </w:r>
      <w:r w:rsidRPr="00E53C04">
        <w:rPr>
          <w:rFonts w:ascii="Arial" w:hAnsi="Arial" w:cs="Arial"/>
          <w:vertAlign w:val="superscript"/>
        </w:rPr>
        <w:t>th</w:t>
      </w:r>
      <w:r>
        <w:rPr>
          <w:rFonts w:ascii="Arial" w:hAnsi="Arial" w:cs="Arial"/>
        </w:rPr>
        <w:t xml:space="preserve"> December 2025].</w:t>
      </w:r>
    </w:p>
    <w:p w14:paraId="06AD6B19" w14:textId="77777777" w:rsidR="00E317EF" w:rsidRDefault="00E317EF" w:rsidP="00E317EF">
      <w:pPr>
        <w:rPr>
          <w:rFonts w:ascii="Arial" w:hAnsi="Arial" w:cs="Arial"/>
        </w:rPr>
      </w:pPr>
      <w:r w:rsidRPr="00F95C3B">
        <w:rPr>
          <w:rFonts w:ascii="Arial" w:hAnsi="Arial" w:cs="Arial"/>
        </w:rPr>
        <w:t>Federal Reserve Bank of St. Louis (n.d.) Federal Funds Effective Rate (FEDFUNDS). Available at:</w:t>
      </w:r>
      <w:r>
        <w:rPr>
          <w:rFonts w:ascii="Arial" w:hAnsi="Arial" w:cs="Arial"/>
        </w:rPr>
        <w:t xml:space="preserve"> </w:t>
      </w:r>
      <w:hyperlink r:id="rId46" w:history="1">
        <w:r w:rsidRPr="00725C7F">
          <w:rPr>
            <w:rStyle w:val="Hyperlink"/>
            <w:rFonts w:ascii="Arial" w:hAnsi="Arial" w:cs="Arial"/>
          </w:rPr>
          <w:t>https://fred.stlouisfed.org/series/FEDFUNDS#</w:t>
        </w:r>
      </w:hyperlink>
      <w:r>
        <w:rPr>
          <w:rFonts w:ascii="Arial" w:hAnsi="Arial" w:cs="Arial"/>
        </w:rPr>
        <w:t xml:space="preserve"> [Accessed: 6th January 2026].</w:t>
      </w:r>
    </w:p>
    <w:p w14:paraId="45F250F5" w14:textId="77777777" w:rsidR="00E317EF" w:rsidRDefault="00E317EF" w:rsidP="00E317EF">
      <w:pPr>
        <w:rPr>
          <w:rFonts w:ascii="Arial" w:hAnsi="Arial" w:cs="Arial"/>
        </w:rPr>
      </w:pPr>
      <w:r w:rsidRPr="002A5EEA">
        <w:rPr>
          <w:rFonts w:ascii="Arial" w:hAnsi="Arial" w:cs="Arial"/>
        </w:rPr>
        <w:lastRenderedPageBreak/>
        <w:t xml:space="preserve">He, Z., O'Connor, F., &amp; </w:t>
      </w:r>
      <w:proofErr w:type="spellStart"/>
      <w:r w:rsidRPr="002A5EEA">
        <w:rPr>
          <w:rFonts w:ascii="Arial" w:hAnsi="Arial" w:cs="Arial"/>
        </w:rPr>
        <w:t>Thijssen</w:t>
      </w:r>
      <w:proofErr w:type="spellEnd"/>
      <w:r w:rsidRPr="002A5EEA">
        <w:rPr>
          <w:rFonts w:ascii="Arial" w:hAnsi="Arial" w:cs="Arial"/>
        </w:rPr>
        <w:t>, J. (2018). Is gold a Sometime Safe Haven or an Always Hedge for equity investors? A Markov- Switching CAPM approach for US and UK stock indices. International Review of Financial Analysis, 60, 30-37.</w:t>
      </w:r>
      <w:r>
        <w:rPr>
          <w:rFonts w:ascii="Arial" w:hAnsi="Arial" w:cs="Arial"/>
        </w:rPr>
        <w:t xml:space="preserve"> </w:t>
      </w:r>
      <w:r w:rsidRPr="00A67926">
        <w:rPr>
          <w:rFonts w:ascii="Arial" w:hAnsi="Arial" w:cs="Arial"/>
        </w:rPr>
        <w:t>Available at:</w:t>
      </w:r>
      <w:r w:rsidRPr="00224898">
        <w:t xml:space="preserve"> </w:t>
      </w:r>
      <w:hyperlink r:id="rId47" w:history="1">
        <w:r w:rsidRPr="00EC0AC1">
          <w:rPr>
            <w:rStyle w:val="Hyperlink"/>
          </w:rPr>
          <w:t>https://www.sciencedirect.com/science/article/pii/S105752191830526X?via%3Dihub</w:t>
        </w:r>
      </w:hyperlink>
      <w:r>
        <w:t xml:space="preserve">    </w:t>
      </w:r>
      <w:r>
        <w:rPr>
          <w:rFonts w:ascii="Arial" w:hAnsi="Arial" w:cs="Arial"/>
        </w:rPr>
        <w:t>[Accessed: 30 November 2025].</w:t>
      </w:r>
    </w:p>
    <w:p w14:paraId="7C18ADA7" w14:textId="77777777" w:rsidR="00E317EF" w:rsidRDefault="00E317EF" w:rsidP="00E317EF">
      <w:pPr>
        <w:rPr>
          <w:rFonts w:ascii="Arial" w:hAnsi="Arial" w:cs="Arial"/>
        </w:rPr>
      </w:pPr>
      <w:r w:rsidRPr="00811199">
        <w:rPr>
          <w:rFonts w:ascii="Arial" w:hAnsi="Arial" w:cs="Arial"/>
        </w:rPr>
        <w:t>Hood, M. and Malik, F.</w:t>
      </w:r>
      <w:r>
        <w:rPr>
          <w:rFonts w:ascii="Arial" w:hAnsi="Arial" w:cs="Arial"/>
        </w:rPr>
        <w:t xml:space="preserve"> </w:t>
      </w:r>
      <w:r w:rsidRPr="00811199">
        <w:rPr>
          <w:rFonts w:ascii="Arial" w:hAnsi="Arial" w:cs="Arial"/>
        </w:rPr>
        <w:t>(2013). 'Is gold the best hedge and a Safe haven under changing stock market volatility?', Review of Financial Economics, 22(1), pp. 47-52. Available at:</w:t>
      </w:r>
      <w:r w:rsidRPr="00811199">
        <w:t xml:space="preserve"> </w:t>
      </w:r>
      <w:hyperlink r:id="rId48" w:history="1">
        <w:r w:rsidRPr="00DD628F">
          <w:rPr>
            <w:rStyle w:val="Hyperlink"/>
            <w:rFonts w:ascii="Arial" w:hAnsi="Arial" w:cs="Arial"/>
          </w:rPr>
          <w:t>https://www.sciencedirect.com/science/article/pii/S1058330013000219</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December 2025].</w:t>
      </w:r>
    </w:p>
    <w:p w14:paraId="59CADA06" w14:textId="77777777" w:rsidR="00E317EF" w:rsidRDefault="00E317EF" w:rsidP="00E317EF">
      <w:pPr>
        <w:rPr>
          <w:rFonts w:ascii="Arial" w:hAnsi="Arial" w:cs="Arial"/>
        </w:rPr>
      </w:pPr>
      <w:proofErr w:type="spellStart"/>
      <w:r w:rsidRPr="00886C2D">
        <w:rPr>
          <w:rFonts w:ascii="Arial" w:hAnsi="Arial" w:cs="Arial"/>
        </w:rPr>
        <w:t>Havakhor</w:t>
      </w:r>
      <w:proofErr w:type="spellEnd"/>
      <w:r w:rsidRPr="00886C2D">
        <w:rPr>
          <w:rFonts w:ascii="Arial" w:hAnsi="Arial" w:cs="Arial"/>
        </w:rPr>
        <w:t xml:space="preserve">, T., Rahman, M.S., Zhang, T. and Zhu, C. (2025). Tech-Enabled Financial Data Access, Retail Investors and Gambling-Like Behaviour in the Stock Market, Management Science, 71(2), pp. 1646-1670. </w:t>
      </w:r>
      <w:r w:rsidRPr="00D274D9">
        <w:rPr>
          <w:rFonts w:ascii="Arial" w:hAnsi="Arial" w:cs="Arial"/>
        </w:rPr>
        <w:t>Available at:</w:t>
      </w:r>
      <w:r w:rsidRPr="00886C2D">
        <w:t xml:space="preserve"> </w:t>
      </w:r>
      <w:hyperlink r:id="rId49" w:history="1">
        <w:r w:rsidRPr="00867091">
          <w:rPr>
            <w:rStyle w:val="Hyperlink"/>
            <w:rFonts w:ascii="Arial" w:hAnsi="Arial" w:cs="Arial"/>
          </w:rPr>
          <w:t>https://pubsonline.informs.org/doi/10.1287/mnsc.2021.01379</w:t>
        </w:r>
      </w:hyperlink>
      <w:r>
        <w:rPr>
          <w:rFonts w:ascii="Arial" w:hAnsi="Arial" w:cs="Arial"/>
        </w:rPr>
        <w:t xml:space="preserve"> [Accessed: 6th January 2026].</w:t>
      </w:r>
    </w:p>
    <w:p w14:paraId="561B09D8" w14:textId="77777777" w:rsidR="00E317EF" w:rsidRDefault="00E317EF" w:rsidP="00E317EF">
      <w:pPr>
        <w:rPr>
          <w:rFonts w:ascii="Arial" w:hAnsi="Arial" w:cs="Arial"/>
        </w:rPr>
      </w:pPr>
      <w:r w:rsidRPr="009902A6">
        <w:rPr>
          <w:rFonts w:ascii="Arial" w:hAnsi="Arial" w:cs="Arial"/>
        </w:rPr>
        <w:t xml:space="preserve">Hazra, A. and </w:t>
      </w:r>
      <w:proofErr w:type="spellStart"/>
      <w:r w:rsidRPr="009902A6">
        <w:rPr>
          <w:rFonts w:ascii="Arial" w:hAnsi="Arial" w:cs="Arial"/>
        </w:rPr>
        <w:t>Gogtay</w:t>
      </w:r>
      <w:proofErr w:type="spellEnd"/>
      <w:r w:rsidRPr="009902A6">
        <w:rPr>
          <w:rFonts w:ascii="Arial" w:hAnsi="Arial" w:cs="Arial"/>
        </w:rPr>
        <w:t>, N. (2016). ' Biostatistics series module 6: Correlation and linear regression', Indian Journal of Dermatology, 61(6), pp. 593-601. Available at:</w:t>
      </w:r>
      <w:r w:rsidRPr="009902A6">
        <w:t xml:space="preserve"> </w:t>
      </w:r>
      <w:hyperlink r:id="rId50" w:history="1">
        <w:r w:rsidRPr="0020206C">
          <w:rPr>
            <w:rStyle w:val="Hyperlink"/>
            <w:rFonts w:ascii="Arial" w:hAnsi="Arial" w:cs="Arial"/>
          </w:rPr>
          <w:t>https://www.researchgate.net/publication/309893046_Biostatistics_Series_Module_6_Correlation_and_Linear_Regression</w:t>
        </w:r>
      </w:hyperlink>
      <w:r>
        <w:rPr>
          <w:rFonts w:ascii="Arial" w:hAnsi="Arial" w:cs="Arial"/>
        </w:rPr>
        <w:t xml:space="preserve"> [Accessed: 21 January 2026].</w:t>
      </w:r>
    </w:p>
    <w:p w14:paraId="6655925C" w14:textId="77777777" w:rsidR="00E317EF" w:rsidRDefault="00E317EF" w:rsidP="00E317EF">
      <w:pPr>
        <w:rPr>
          <w:rFonts w:ascii="Arial" w:hAnsi="Arial" w:cs="Arial"/>
        </w:rPr>
      </w:pPr>
      <w:r w:rsidRPr="003A7604">
        <w:rPr>
          <w:rFonts w:ascii="Arial" w:hAnsi="Arial" w:cs="Arial"/>
        </w:rPr>
        <w:t xml:space="preserve">Ishtiaq, M. (2019). 'Book Review: Creswell, J.W. (2014). Research Design: Qualitative, Quantitative and Mixed Methods Approaches (4th ed.)', English Language Teaching, 12(5), pp. 40-41. </w:t>
      </w:r>
      <w:r>
        <w:rPr>
          <w:rFonts w:ascii="Arial" w:hAnsi="Arial" w:cs="Arial"/>
        </w:rPr>
        <w:t xml:space="preserve">Available at: </w:t>
      </w:r>
      <w:hyperlink r:id="rId51" w:history="1">
        <w:r w:rsidRPr="00A41041">
          <w:rPr>
            <w:rStyle w:val="Hyperlink"/>
            <w:rFonts w:ascii="Arial" w:hAnsi="Arial" w:cs="Arial"/>
          </w:rPr>
          <w:t>https://www.researchgate.net/publication/332246566_Book_Review_Creswell_J_W_2014_Research_Design_Qualitative_Quantitative_and_Mixed_Methods_Approaches_4th_ed_Thousand_Oaks_CA_Sage</w:t>
        </w:r>
      </w:hyperlink>
      <w:r>
        <w:rPr>
          <w:rFonts w:ascii="Arial" w:hAnsi="Arial" w:cs="Arial"/>
        </w:rPr>
        <w:t xml:space="preserve"> [Accessed Date: 29th November 2025].</w:t>
      </w:r>
    </w:p>
    <w:p w14:paraId="7BDCCD07" w14:textId="77777777" w:rsidR="00E317EF" w:rsidRDefault="00E317EF" w:rsidP="00E317EF">
      <w:pPr>
        <w:rPr>
          <w:rFonts w:ascii="Arial" w:hAnsi="Arial" w:cs="Arial"/>
        </w:rPr>
      </w:pPr>
      <w:r w:rsidRPr="00CD7700">
        <w:rPr>
          <w:rFonts w:ascii="Arial" w:hAnsi="Arial" w:cs="Arial"/>
        </w:rPr>
        <w:t xml:space="preserve">Ihrig, J.E., Weinbach, G. and </w:t>
      </w:r>
      <w:proofErr w:type="spellStart"/>
      <w:r w:rsidRPr="00CD7700">
        <w:rPr>
          <w:rFonts w:ascii="Arial" w:hAnsi="Arial" w:cs="Arial"/>
        </w:rPr>
        <w:t>Wolla</w:t>
      </w:r>
      <w:proofErr w:type="spellEnd"/>
      <w:r w:rsidRPr="00CD7700">
        <w:rPr>
          <w:rFonts w:ascii="Arial" w:hAnsi="Arial" w:cs="Arial"/>
        </w:rPr>
        <w:t>, S.A. (2020). How the Fed Has Responded to the COVID-19 Pandemic.</w:t>
      </w:r>
      <w:r w:rsidRPr="002646F9">
        <w:rPr>
          <w:rFonts w:ascii="Arial" w:hAnsi="Arial" w:cs="Arial"/>
        </w:rPr>
        <w:t xml:space="preserve"> </w:t>
      </w:r>
      <w:r w:rsidRPr="00D93E44">
        <w:rPr>
          <w:rFonts w:ascii="Arial" w:hAnsi="Arial" w:cs="Arial"/>
        </w:rPr>
        <w:t>Available at:</w:t>
      </w:r>
      <w:r w:rsidRPr="002646F9">
        <w:t xml:space="preserve"> </w:t>
      </w:r>
      <w:hyperlink r:id="rId52" w:history="1">
        <w:r w:rsidRPr="00126551">
          <w:rPr>
            <w:rStyle w:val="Hyperlink"/>
            <w:rFonts w:ascii="Arial" w:hAnsi="Arial" w:cs="Arial"/>
          </w:rPr>
          <w:t>https://www.stlouisfed.org/open-vault/2020/august/fed-response-covid19-pandemic</w:t>
        </w:r>
      </w:hyperlink>
      <w:r>
        <w:rPr>
          <w:rFonts w:ascii="Arial" w:hAnsi="Arial" w:cs="Arial"/>
        </w:rPr>
        <w:t xml:space="preserve"> [Accessed: 17 January 2026].</w:t>
      </w:r>
    </w:p>
    <w:p w14:paraId="60B27E2D" w14:textId="77777777" w:rsidR="00E317EF" w:rsidRDefault="00E317EF" w:rsidP="00E317EF">
      <w:pPr>
        <w:rPr>
          <w:rFonts w:ascii="Arial" w:hAnsi="Arial" w:cs="Arial"/>
        </w:rPr>
      </w:pPr>
      <w:r w:rsidRPr="00883F69">
        <w:rPr>
          <w:rFonts w:ascii="Arial" w:hAnsi="Arial" w:cs="Arial"/>
          <w:lang w:val="en-IN"/>
        </w:rPr>
        <w:t xml:space="preserve">Irwin, S. (2013). Qualitative secondary data analysis: Ethics, epistemology and context. Progress in Development Studies, 13(4), 295-306. </w:t>
      </w:r>
      <w:r w:rsidRPr="004F7896">
        <w:rPr>
          <w:rFonts w:ascii="Arial" w:hAnsi="Arial" w:cs="Arial"/>
        </w:rPr>
        <w:t>Available at:</w:t>
      </w:r>
      <w:r w:rsidRPr="004F7896">
        <w:t xml:space="preserve"> </w:t>
      </w:r>
      <w:hyperlink r:id="rId53" w:history="1">
        <w:r w:rsidRPr="00883F69">
          <w:rPr>
            <w:rStyle w:val="Hyperlink"/>
            <w:rFonts w:ascii="Arial" w:hAnsi="Arial" w:cs="Arial"/>
            <w:lang w:val="en-IN"/>
          </w:rPr>
          <w:t>https://doi.org/10.1177/1464993413490479</w:t>
        </w:r>
      </w:hyperlink>
      <w:r w:rsidRPr="00883F69">
        <w:rPr>
          <w:rFonts w:ascii="Arial" w:hAnsi="Arial" w:cs="Arial"/>
          <w:lang w:val="en-IN"/>
        </w:rPr>
        <w:t xml:space="preserve"> </w:t>
      </w:r>
      <w:r>
        <w:rPr>
          <w:rFonts w:ascii="Arial" w:hAnsi="Arial" w:cs="Arial"/>
        </w:rPr>
        <w:t>[Accessed: 27 January 2026].</w:t>
      </w:r>
    </w:p>
    <w:p w14:paraId="3A9F6F45" w14:textId="77777777" w:rsidR="00E317EF" w:rsidRDefault="00E317EF" w:rsidP="00E317EF">
      <w:pPr>
        <w:rPr>
          <w:rFonts w:ascii="Arial" w:hAnsi="Arial" w:cs="Arial"/>
        </w:rPr>
      </w:pPr>
      <w:r w:rsidRPr="003A1C7E">
        <w:rPr>
          <w:rFonts w:ascii="Arial" w:hAnsi="Arial" w:cs="Arial"/>
        </w:rPr>
        <w:lastRenderedPageBreak/>
        <w:t>Jones, S (2023). Gold Price Action: Relative Lows and the Role of Interest Rates, The Royal Mint.</w:t>
      </w:r>
      <w:r>
        <w:rPr>
          <w:rFonts w:ascii="Arial" w:hAnsi="Arial" w:cs="Arial"/>
        </w:rPr>
        <w:t xml:space="preserve"> </w:t>
      </w:r>
      <w:r w:rsidRPr="00C65F6A">
        <w:rPr>
          <w:rFonts w:ascii="Arial" w:hAnsi="Arial" w:cs="Arial"/>
        </w:rPr>
        <w:t>Available at:</w:t>
      </w:r>
      <w:r w:rsidRPr="003A1C7E">
        <w:t xml:space="preserve"> </w:t>
      </w:r>
      <w:hyperlink r:id="rId54" w:history="1">
        <w:r w:rsidRPr="004B3210">
          <w:rPr>
            <w:rStyle w:val="Hyperlink"/>
            <w:rFonts w:ascii="Arial" w:hAnsi="Arial" w:cs="Arial"/>
          </w:rPr>
          <w:t>https://www.royalmint.com/invest/discover/gold-market/Gold-Price-Action-Relative-Lows-and-the-Role-of-Interest-Rates/</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3</w:t>
      </w:r>
      <w:r w:rsidRPr="003A6BFA">
        <w:rPr>
          <w:rFonts w:ascii="Arial" w:hAnsi="Arial" w:cs="Arial"/>
        </w:rPr>
        <w:t>th December 2025</w:t>
      </w:r>
      <w:r>
        <w:rPr>
          <w:rFonts w:ascii="Arial" w:hAnsi="Arial" w:cs="Arial"/>
        </w:rPr>
        <w:t>].</w:t>
      </w:r>
    </w:p>
    <w:p w14:paraId="117C8BA0" w14:textId="77777777" w:rsidR="00E317EF" w:rsidRDefault="00E317EF" w:rsidP="00E317EF">
      <w:pPr>
        <w:rPr>
          <w:rFonts w:ascii="Arial" w:hAnsi="Arial" w:cs="Arial"/>
        </w:rPr>
      </w:pPr>
      <w:proofErr w:type="spellStart"/>
      <w:r w:rsidRPr="0089528A">
        <w:rPr>
          <w:rFonts w:ascii="Arial" w:hAnsi="Arial" w:cs="Arial"/>
        </w:rPr>
        <w:t>Kangalli</w:t>
      </w:r>
      <w:proofErr w:type="spellEnd"/>
      <w:r w:rsidRPr="0089528A">
        <w:rPr>
          <w:rFonts w:ascii="Arial" w:hAnsi="Arial" w:cs="Arial"/>
        </w:rPr>
        <w:t xml:space="preserve"> Uyar, S.G., Uyar, U. and Balkan, E. (2022) ‘The role of precious metals in extreme market conditions: evidence from stock markets’, </w:t>
      </w:r>
      <w:r w:rsidRPr="0089528A">
        <w:rPr>
          <w:rFonts w:ascii="Arial" w:hAnsi="Arial" w:cs="Arial"/>
          <w:i/>
          <w:iCs/>
        </w:rPr>
        <w:t>Studies in economics and finance (Charlotte, N.C.)</w:t>
      </w:r>
      <w:r w:rsidRPr="0089528A">
        <w:rPr>
          <w:rFonts w:ascii="Arial" w:hAnsi="Arial" w:cs="Arial"/>
        </w:rPr>
        <w:t>, 39(1), pp. 63–78. Available at:</w:t>
      </w:r>
      <w:r>
        <w:rPr>
          <w:rFonts w:ascii="Arial" w:hAnsi="Arial" w:cs="Arial"/>
        </w:rPr>
        <w:t xml:space="preserve"> </w:t>
      </w:r>
      <w:hyperlink r:id="rId55" w:history="1">
        <w:r w:rsidRPr="00021AE2">
          <w:rPr>
            <w:rStyle w:val="Hyperlink"/>
            <w:rFonts w:ascii="Arial" w:hAnsi="Arial" w:cs="Arial"/>
          </w:rPr>
          <w:t>https://www.proquest.com/docview/2618811097?accountid=130472&amp;parentSessionId=kP7LpTwoh%2F8z45n67Xi4lw9qhrtPIGdDozgQHYmpa3w%3D&amp;pq-origsite=primo&amp;sourcetype=Scholarly%20Journals</w:t>
        </w:r>
      </w:hyperlink>
      <w:r>
        <w:rPr>
          <w:rFonts w:ascii="Arial" w:hAnsi="Arial" w:cs="Arial"/>
        </w:rPr>
        <w:t xml:space="preserve"> [Accessed: 9</w:t>
      </w:r>
      <w:r w:rsidRPr="00E53C04">
        <w:rPr>
          <w:rFonts w:ascii="Arial" w:hAnsi="Arial" w:cs="Arial"/>
          <w:vertAlign w:val="superscript"/>
        </w:rPr>
        <w:t>th</w:t>
      </w:r>
      <w:r>
        <w:rPr>
          <w:rFonts w:ascii="Arial" w:hAnsi="Arial" w:cs="Arial"/>
        </w:rPr>
        <w:t xml:space="preserve"> December 2025].</w:t>
      </w:r>
    </w:p>
    <w:p w14:paraId="72053FA1" w14:textId="77777777" w:rsidR="00E317EF" w:rsidRDefault="00E317EF" w:rsidP="00E317EF">
      <w:pPr>
        <w:rPr>
          <w:rFonts w:ascii="Arial" w:hAnsi="Arial" w:cs="Arial"/>
        </w:rPr>
      </w:pPr>
      <w:r w:rsidRPr="00723017">
        <w:rPr>
          <w:rFonts w:ascii="Arial" w:hAnsi="Arial" w:cs="Arial"/>
        </w:rPr>
        <w:t xml:space="preserve">Liu, Z., Zhang, J., Gu, R., Hu, Q., &amp; He, S. (2025). Driving effects of US monetary policy and geopolitical risks on gold reserve share. International Review of Financial Analysis, 105. Available at: </w:t>
      </w:r>
      <w:hyperlink r:id="rId56" w:history="1">
        <w:r w:rsidRPr="007254B3">
          <w:rPr>
            <w:rStyle w:val="Hyperlink"/>
            <w:rFonts w:ascii="Arial" w:hAnsi="Arial" w:cs="Arial"/>
          </w:rPr>
          <w:t>https://www.sciencedirect.com/science/article/abs/pii/S1057521925004788?via%3Dihub</w:t>
        </w:r>
      </w:hyperlink>
      <w:r>
        <w:rPr>
          <w:rFonts w:ascii="Arial" w:hAnsi="Arial" w:cs="Arial"/>
        </w:rPr>
        <w:t xml:space="preserve"> [Accessed: 13th December 2025].</w:t>
      </w:r>
    </w:p>
    <w:p w14:paraId="4E6700C5" w14:textId="77777777" w:rsidR="00E317EF" w:rsidRDefault="00E317EF" w:rsidP="00E317EF">
      <w:pPr>
        <w:rPr>
          <w:rFonts w:ascii="Arial" w:hAnsi="Arial" w:cs="Arial"/>
        </w:rPr>
      </w:pPr>
      <w:r w:rsidRPr="00BE5AA8">
        <w:rPr>
          <w:rFonts w:ascii="Arial" w:hAnsi="Arial" w:cs="Arial"/>
        </w:rPr>
        <w:t>Lamont, D. (2024). 'How do stocks, bonds and cash perform when the Fed starts cutting rates?' Schroders. Available at:</w:t>
      </w:r>
      <w:r w:rsidRPr="00BE5AA8">
        <w:t xml:space="preserve"> </w:t>
      </w:r>
      <w:hyperlink r:id="rId57" w:history="1">
        <w:r w:rsidRPr="007E7F21">
          <w:rPr>
            <w:rStyle w:val="Hyperlink"/>
            <w:rFonts w:ascii="Arial" w:hAnsi="Arial" w:cs="Arial"/>
          </w:rPr>
          <w:t>https://www.schroders.com/en-gb/uk/individual/insights/how-do-stocks-bonds-and-cash-perform-when-the-fed-starts-cutting-rates-/</w:t>
        </w:r>
      </w:hyperlink>
      <w:r>
        <w:rPr>
          <w:rFonts w:ascii="Arial" w:hAnsi="Arial" w:cs="Arial"/>
        </w:rPr>
        <w:t xml:space="preserve"> [Accessed: 30</w:t>
      </w:r>
      <w:r w:rsidRPr="003A6BFA">
        <w:rPr>
          <w:rFonts w:ascii="Arial" w:hAnsi="Arial" w:cs="Arial"/>
        </w:rPr>
        <w:t xml:space="preserve">th December </w:t>
      </w:r>
      <w:r>
        <w:rPr>
          <w:rFonts w:ascii="Arial" w:hAnsi="Arial" w:cs="Arial"/>
        </w:rPr>
        <w:t>2025].</w:t>
      </w:r>
    </w:p>
    <w:p w14:paraId="60955404" w14:textId="77777777" w:rsidR="00E317EF" w:rsidRDefault="00E317EF" w:rsidP="00E317EF">
      <w:pPr>
        <w:rPr>
          <w:rFonts w:ascii="Arial" w:hAnsi="Arial" w:cs="Arial"/>
        </w:rPr>
      </w:pPr>
      <w:r w:rsidRPr="0061343E">
        <w:rPr>
          <w:rFonts w:ascii="Arial" w:hAnsi="Arial" w:cs="Arial"/>
        </w:rPr>
        <w:t xml:space="preserve">Lopes, IT (2015). 'Research methods and methodology towards knowledge creation in accounting', Vol. 60, no. S1, pp. 9-30. </w:t>
      </w:r>
      <w:r w:rsidRPr="00E85AE6">
        <w:rPr>
          <w:rFonts w:ascii="Arial" w:hAnsi="Arial" w:cs="Arial"/>
        </w:rPr>
        <w:t>Available at:</w:t>
      </w:r>
      <w:r w:rsidRPr="004C0B5C">
        <w:t xml:space="preserve"> </w:t>
      </w:r>
      <w:hyperlink r:id="rId58" w:history="1">
        <w:r w:rsidRPr="00D77EEF">
          <w:rPr>
            <w:rStyle w:val="Hyperlink"/>
            <w:rFonts w:ascii="Arial" w:hAnsi="Arial" w:cs="Arial"/>
          </w:rPr>
          <w:t>https://www.sciencedirect.com/science/article/pii/S0186104215000522</w:t>
        </w:r>
      </w:hyperlink>
      <w:r>
        <w:rPr>
          <w:rFonts w:ascii="Arial" w:hAnsi="Arial" w:cs="Arial"/>
        </w:rPr>
        <w:t xml:space="preserve"> [Accessed Date: 1st January 2026].</w:t>
      </w:r>
    </w:p>
    <w:p w14:paraId="5BC4FE1C" w14:textId="77777777" w:rsidR="00E317EF" w:rsidRDefault="00E317EF" w:rsidP="00E317EF">
      <w:pPr>
        <w:rPr>
          <w:rFonts w:ascii="Arial" w:hAnsi="Arial" w:cs="Arial"/>
        </w:rPr>
      </w:pPr>
      <w:r w:rsidRPr="009F5824">
        <w:rPr>
          <w:rFonts w:ascii="Arial" w:hAnsi="Arial" w:cs="Arial"/>
        </w:rPr>
        <w:t>Levin, E.J. and Wright, R.E. (2006) Short-run and Long-run Determinants of the Price of Gold. Research Study No.32. London: World Gold Council. Available at:</w:t>
      </w:r>
      <w:r w:rsidRPr="009F5824">
        <w:t xml:space="preserve"> </w:t>
      </w:r>
      <w:hyperlink r:id="rId59" w:history="1">
        <w:r w:rsidRPr="00465694">
          <w:rPr>
            <w:rStyle w:val="Hyperlink"/>
            <w:rFonts w:ascii="Arial" w:hAnsi="Arial" w:cs="Arial"/>
          </w:rPr>
          <w:t>https://www.gold.org/goldhub/research/short-run-and-long-run-determinants-price-gold</w:t>
        </w:r>
      </w:hyperlink>
      <w:r>
        <w:rPr>
          <w:rFonts w:ascii="Arial" w:hAnsi="Arial" w:cs="Arial"/>
        </w:rPr>
        <w:t xml:space="preserve"> [Accessed: 24 January 2026].</w:t>
      </w:r>
    </w:p>
    <w:p w14:paraId="2F555E27" w14:textId="77777777" w:rsidR="00E317EF" w:rsidRDefault="00E317EF" w:rsidP="00E317EF">
      <w:pPr>
        <w:rPr>
          <w:rFonts w:ascii="Arial" w:hAnsi="Arial" w:cs="Arial"/>
        </w:rPr>
      </w:pPr>
      <w:r w:rsidRPr="00607F0B">
        <w:rPr>
          <w:rFonts w:ascii="Arial" w:hAnsi="Arial" w:cs="Arial"/>
        </w:rPr>
        <w:t>Li, J., Rao., X., Li, X. and Guan, S., (2022). Gold and Bitcoin Optimal Portfolio Research and Analysis Based on Machine-Learning Methods. Sustainability, 14(21), p.14659.</w:t>
      </w:r>
      <w:r>
        <w:rPr>
          <w:rFonts w:ascii="Arial" w:hAnsi="Arial" w:cs="Arial"/>
        </w:rPr>
        <w:t xml:space="preserve"> </w:t>
      </w:r>
      <w:r w:rsidRPr="004F7896">
        <w:rPr>
          <w:rFonts w:ascii="Arial" w:hAnsi="Arial" w:cs="Arial"/>
        </w:rPr>
        <w:t>Available at:</w:t>
      </w:r>
      <w:r>
        <w:rPr>
          <w:rFonts w:ascii="Arial" w:hAnsi="Arial" w:cs="Arial"/>
        </w:rPr>
        <w:t xml:space="preserve"> </w:t>
      </w:r>
      <w:hyperlink r:id="rId60" w:history="1">
        <w:r w:rsidRPr="000D37A6">
          <w:rPr>
            <w:rStyle w:val="Hyperlink"/>
            <w:rFonts w:ascii="Arial" w:hAnsi="Arial" w:cs="Arial"/>
          </w:rPr>
          <w:t>https://www.mdpi.com/2071-1050/14/21/14659</w:t>
        </w:r>
      </w:hyperlink>
      <w:r>
        <w:rPr>
          <w:rFonts w:ascii="Arial" w:hAnsi="Arial" w:cs="Arial"/>
        </w:rPr>
        <w:t xml:space="preserve"> [Accessed: 27 January 2026].</w:t>
      </w:r>
    </w:p>
    <w:p w14:paraId="7909B9CF" w14:textId="77777777" w:rsidR="00E317EF" w:rsidRDefault="00E317EF" w:rsidP="00E317EF">
      <w:pPr>
        <w:rPr>
          <w:rFonts w:ascii="Arial" w:hAnsi="Arial" w:cs="Arial"/>
        </w:rPr>
      </w:pPr>
      <w:r w:rsidRPr="0099056F">
        <w:rPr>
          <w:rFonts w:ascii="Arial" w:hAnsi="Arial" w:cs="Arial"/>
        </w:rPr>
        <w:lastRenderedPageBreak/>
        <w:t>McCown, J.R. and Zimmerman, J.R. (2006). Is Gold a Zero-Beta Asset? Analysis of the Investment Potential of Precious Metals. Available at:</w:t>
      </w:r>
      <w:r w:rsidRPr="0099056F">
        <w:t xml:space="preserve"> </w:t>
      </w:r>
      <w:hyperlink r:id="rId61" w:history="1">
        <w:r w:rsidRPr="0045092F">
          <w:rPr>
            <w:rStyle w:val="Hyperlink"/>
            <w:rFonts w:ascii="Arial" w:hAnsi="Arial" w:cs="Arial"/>
          </w:rPr>
          <w:t>https://papers.ssrn.com/sol3/papers.cfm?abstract_id=920496</w:t>
        </w:r>
      </w:hyperlink>
      <w:r>
        <w:rPr>
          <w:rFonts w:ascii="Arial" w:hAnsi="Arial" w:cs="Arial"/>
        </w:rPr>
        <w:t xml:space="preserve"> [Accessed: 31</w:t>
      </w:r>
      <w:r w:rsidRPr="003A6BFA">
        <w:rPr>
          <w:rFonts w:ascii="Arial" w:hAnsi="Arial" w:cs="Arial"/>
        </w:rPr>
        <w:t xml:space="preserve">th December </w:t>
      </w:r>
      <w:r>
        <w:rPr>
          <w:rFonts w:ascii="Arial" w:hAnsi="Arial" w:cs="Arial"/>
        </w:rPr>
        <w:t>2025].</w:t>
      </w:r>
    </w:p>
    <w:p w14:paraId="052A2A85" w14:textId="77777777" w:rsidR="00E317EF" w:rsidRDefault="00E317EF" w:rsidP="00E317EF">
      <w:pPr>
        <w:rPr>
          <w:rFonts w:ascii="Arial" w:hAnsi="Arial" w:cs="Arial"/>
        </w:rPr>
      </w:pPr>
      <w:r w:rsidRPr="00D274D9">
        <w:rPr>
          <w:rFonts w:ascii="Arial" w:hAnsi="Arial" w:cs="Arial"/>
        </w:rPr>
        <w:t>Mendez-Carbajo</w:t>
      </w:r>
      <w:r>
        <w:rPr>
          <w:rFonts w:ascii="Arial" w:hAnsi="Arial" w:cs="Arial"/>
        </w:rPr>
        <w:t xml:space="preserve">, D. </w:t>
      </w:r>
      <w:r w:rsidRPr="00D274D9">
        <w:rPr>
          <w:rFonts w:ascii="Arial" w:hAnsi="Arial" w:cs="Arial"/>
        </w:rPr>
        <w:t>(2021). Ethical Use of Data with FRED. Available at:</w:t>
      </w:r>
      <w:r w:rsidRPr="002C45DB">
        <w:t xml:space="preserve"> </w:t>
      </w:r>
      <w:hyperlink r:id="rId62" w:history="1">
        <w:r w:rsidRPr="00867091">
          <w:rPr>
            <w:rStyle w:val="Hyperlink"/>
            <w:rFonts w:ascii="Arial" w:hAnsi="Arial" w:cs="Arial"/>
          </w:rPr>
          <w:t>https://www.stlouisfed.org/publications/page-one-economics/2021/10/15/ethical-use-of-data-with-fred</w:t>
        </w:r>
      </w:hyperlink>
      <w:r>
        <w:rPr>
          <w:rFonts w:ascii="Arial" w:hAnsi="Arial" w:cs="Arial"/>
        </w:rPr>
        <w:t xml:space="preserve"> [Accessed: 6th January 2026].</w:t>
      </w:r>
    </w:p>
    <w:p w14:paraId="3DADEE95" w14:textId="77777777" w:rsidR="00E317EF" w:rsidRDefault="00E317EF" w:rsidP="00E317EF">
      <w:pPr>
        <w:rPr>
          <w:rFonts w:ascii="Arial" w:hAnsi="Arial" w:cs="Arial"/>
        </w:rPr>
      </w:pPr>
      <w:proofErr w:type="spellStart"/>
      <w:r w:rsidRPr="009431DF">
        <w:rPr>
          <w:rFonts w:ascii="Arial" w:hAnsi="Arial" w:cs="Arial"/>
        </w:rPr>
        <w:t>Michis</w:t>
      </w:r>
      <w:proofErr w:type="spellEnd"/>
      <w:r w:rsidRPr="009431DF">
        <w:rPr>
          <w:rFonts w:ascii="Arial" w:hAnsi="Arial" w:cs="Arial"/>
        </w:rPr>
        <w:t>, A. A. (2022). Multiscale Partial Correlation Clustering of Stock Market Returns. Journal of Risk and Financial Management, 15(1), 24.</w:t>
      </w:r>
      <w:r>
        <w:rPr>
          <w:rFonts w:ascii="Arial" w:hAnsi="Arial" w:cs="Arial"/>
        </w:rPr>
        <w:t xml:space="preserve"> </w:t>
      </w:r>
      <w:r w:rsidRPr="00D93E44">
        <w:rPr>
          <w:rFonts w:ascii="Arial" w:hAnsi="Arial" w:cs="Arial"/>
        </w:rPr>
        <w:t>Available at:</w:t>
      </w:r>
      <w:r>
        <w:rPr>
          <w:rFonts w:ascii="Arial" w:hAnsi="Arial" w:cs="Arial"/>
        </w:rPr>
        <w:t xml:space="preserve"> </w:t>
      </w:r>
      <w:hyperlink r:id="rId63" w:history="1">
        <w:r w:rsidRPr="007E725E">
          <w:rPr>
            <w:rStyle w:val="Hyperlink"/>
            <w:rFonts w:ascii="Arial" w:hAnsi="Arial" w:cs="Arial"/>
          </w:rPr>
          <w:t>https://www.mdpi.com/1911-8074/15/1/24</w:t>
        </w:r>
      </w:hyperlink>
      <w:r>
        <w:rPr>
          <w:rFonts w:ascii="Arial" w:hAnsi="Arial" w:cs="Arial"/>
        </w:rPr>
        <w:t xml:space="preserve"> [Accessed: 17 January 2026].</w:t>
      </w:r>
    </w:p>
    <w:p w14:paraId="54A6A1CB" w14:textId="77777777" w:rsidR="00E317EF" w:rsidRDefault="00E317EF" w:rsidP="00E317EF">
      <w:pPr>
        <w:rPr>
          <w:rFonts w:ascii="Arial" w:hAnsi="Arial" w:cs="Arial"/>
        </w:rPr>
      </w:pPr>
      <w:r w:rsidRPr="00C65F6A">
        <w:rPr>
          <w:rFonts w:ascii="Arial" w:hAnsi="Arial" w:cs="Arial"/>
        </w:rPr>
        <w:t>Norland, Erik (2024). Gold’s Performance Against U.S., Asian Equities the Past Century. CME Group. Available at:</w:t>
      </w:r>
      <w:r>
        <w:rPr>
          <w:rFonts w:ascii="Arial" w:hAnsi="Arial" w:cs="Arial"/>
        </w:rPr>
        <w:t xml:space="preserve"> </w:t>
      </w:r>
      <w:hyperlink r:id="rId64" w:history="1">
        <w:r w:rsidRPr="0042747D">
          <w:rPr>
            <w:rStyle w:val="Hyperlink"/>
            <w:rFonts w:ascii="Arial" w:hAnsi="Arial" w:cs="Arial"/>
          </w:rPr>
          <w:t>https://www.cmegroup.com/insights/economic-research/2024/golds-performance-against-us-asian-equities-the-past-century.html</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2</w:t>
      </w:r>
      <w:r w:rsidRPr="003A6BFA">
        <w:rPr>
          <w:rFonts w:ascii="Arial" w:hAnsi="Arial" w:cs="Arial"/>
        </w:rPr>
        <w:t>th December 2025</w:t>
      </w:r>
      <w:r>
        <w:rPr>
          <w:rFonts w:ascii="Arial" w:hAnsi="Arial" w:cs="Arial"/>
        </w:rPr>
        <w:t>].</w:t>
      </w:r>
    </w:p>
    <w:p w14:paraId="1799D685" w14:textId="77777777" w:rsidR="00E317EF" w:rsidRDefault="00E317EF" w:rsidP="00E317EF">
      <w:pPr>
        <w:rPr>
          <w:rFonts w:ascii="Arial" w:hAnsi="Arial" w:cs="Arial"/>
        </w:rPr>
      </w:pPr>
      <w:proofErr w:type="spellStart"/>
      <w:r w:rsidRPr="003A6BFA">
        <w:rPr>
          <w:rFonts w:ascii="Arial" w:hAnsi="Arial" w:cs="Arial"/>
        </w:rPr>
        <w:t>Ourir</w:t>
      </w:r>
      <w:proofErr w:type="spellEnd"/>
      <w:r w:rsidRPr="003A6BFA">
        <w:rPr>
          <w:rFonts w:ascii="Arial" w:hAnsi="Arial" w:cs="Arial"/>
        </w:rPr>
        <w:t xml:space="preserve">, A., Bouri, E. &amp; </w:t>
      </w:r>
      <w:proofErr w:type="spellStart"/>
      <w:r w:rsidRPr="003A6BFA">
        <w:rPr>
          <w:rFonts w:ascii="Arial" w:hAnsi="Arial" w:cs="Arial"/>
        </w:rPr>
        <w:t>Essaadi</w:t>
      </w:r>
      <w:proofErr w:type="spellEnd"/>
      <w:r w:rsidRPr="003A6BFA">
        <w:rPr>
          <w:rFonts w:ascii="Arial" w:hAnsi="Arial" w:cs="Arial"/>
        </w:rPr>
        <w:t>, E. Hedging the Risks of MENA Stock Markets with Gold: Evidence from the Spectral Approach. </w:t>
      </w:r>
      <w:proofErr w:type="spellStart"/>
      <w:r w:rsidRPr="003A6BFA">
        <w:rPr>
          <w:rFonts w:ascii="Arial" w:hAnsi="Arial" w:cs="Arial"/>
        </w:rPr>
        <w:t>Comput</w:t>
      </w:r>
      <w:proofErr w:type="spellEnd"/>
      <w:r w:rsidRPr="003A6BFA">
        <w:rPr>
          <w:rFonts w:ascii="Arial" w:hAnsi="Arial" w:cs="Arial"/>
        </w:rPr>
        <w:t xml:space="preserve"> Econ 61, 197–231 (2023). Available at:</w:t>
      </w:r>
      <w:r>
        <w:rPr>
          <w:rFonts w:ascii="Arial" w:hAnsi="Arial" w:cs="Arial"/>
        </w:rPr>
        <w:t xml:space="preserve"> </w:t>
      </w:r>
      <w:hyperlink r:id="rId65" w:history="1">
        <w:r w:rsidRPr="005B32BF">
          <w:rPr>
            <w:rStyle w:val="Hyperlink"/>
            <w:rFonts w:ascii="Arial" w:hAnsi="Arial" w:cs="Arial"/>
          </w:rPr>
          <w:t>https://link.springer.com/article/10.1007/s10614-021-10204-8</w:t>
        </w:r>
      </w:hyperlink>
      <w:r>
        <w:rPr>
          <w:rFonts w:ascii="Arial" w:hAnsi="Arial" w:cs="Arial"/>
        </w:rPr>
        <w:t xml:space="preserve"> </w:t>
      </w:r>
      <w:r w:rsidRPr="003A6BFA">
        <w:rPr>
          <w:rFonts w:ascii="Arial" w:hAnsi="Arial" w:cs="Arial"/>
        </w:rPr>
        <w:t>[Accessed: 20th December 2025].</w:t>
      </w:r>
    </w:p>
    <w:p w14:paraId="03C763C4" w14:textId="77777777" w:rsidR="00E317EF" w:rsidRDefault="00E317EF" w:rsidP="00E317EF">
      <w:pPr>
        <w:rPr>
          <w:rFonts w:ascii="Arial" w:hAnsi="Arial" w:cs="Arial"/>
        </w:rPr>
      </w:pPr>
      <w:r w:rsidRPr="00CA3C08">
        <w:rPr>
          <w:rFonts w:ascii="Arial" w:hAnsi="Arial" w:cs="Arial"/>
        </w:rPr>
        <w:t>PIMCO (2025). Understanding Gold Prices. Available at:</w:t>
      </w:r>
      <w:r>
        <w:rPr>
          <w:rFonts w:ascii="Arial" w:hAnsi="Arial" w:cs="Arial"/>
        </w:rPr>
        <w:t xml:space="preserve"> </w:t>
      </w:r>
      <w:hyperlink r:id="rId66" w:history="1">
        <w:r w:rsidRPr="00830247">
          <w:rPr>
            <w:rStyle w:val="Hyperlink"/>
            <w:rFonts w:ascii="Arial" w:hAnsi="Arial" w:cs="Arial"/>
          </w:rPr>
          <w:t>https://www.pimco.com/gbl/en/resources/education/understanding-gold-prices</w:t>
        </w:r>
      </w:hyperlink>
      <w:r>
        <w:rPr>
          <w:rFonts w:ascii="Arial" w:hAnsi="Arial" w:cs="Arial"/>
        </w:rPr>
        <w:t xml:space="preserve"> [Accessed: 13th December 2025].</w:t>
      </w:r>
    </w:p>
    <w:p w14:paraId="134B1991" w14:textId="77777777" w:rsidR="00E317EF" w:rsidRDefault="00E317EF" w:rsidP="00E317EF">
      <w:pPr>
        <w:rPr>
          <w:rFonts w:ascii="Arial" w:hAnsi="Arial" w:cs="Arial"/>
        </w:rPr>
      </w:pPr>
      <w:proofErr w:type="spellStart"/>
      <w:r w:rsidRPr="00C314B8">
        <w:rPr>
          <w:rFonts w:ascii="Arial" w:hAnsi="Arial" w:cs="Arial"/>
        </w:rPr>
        <w:t>Popatlal</w:t>
      </w:r>
      <w:proofErr w:type="spellEnd"/>
      <w:r w:rsidRPr="00C314B8">
        <w:rPr>
          <w:rFonts w:ascii="Arial" w:hAnsi="Arial" w:cs="Arial"/>
        </w:rPr>
        <w:t>, B. and Chen, X. (2022). 'Has gold's relationship with interest rates changed? Schroders. Available at:</w:t>
      </w:r>
      <w:r w:rsidRPr="00C314B8">
        <w:t xml:space="preserve"> </w:t>
      </w:r>
      <w:hyperlink r:id="rId67" w:history="1">
        <w:r w:rsidRPr="00890325">
          <w:rPr>
            <w:rStyle w:val="Hyperlink"/>
            <w:rFonts w:ascii="Arial" w:hAnsi="Arial" w:cs="Arial"/>
          </w:rPr>
          <w:t>https://www.schroders.com/en-us/us/institutional/insights/has-golds-relationship-with-interest-rates-changed/</w:t>
        </w:r>
      </w:hyperlink>
      <w:r>
        <w:rPr>
          <w:rFonts w:ascii="Arial" w:hAnsi="Arial" w:cs="Arial"/>
        </w:rPr>
        <w:t xml:space="preserve"> [Accessed: 31</w:t>
      </w:r>
      <w:r w:rsidRPr="003A6BFA">
        <w:rPr>
          <w:rFonts w:ascii="Arial" w:hAnsi="Arial" w:cs="Arial"/>
        </w:rPr>
        <w:t xml:space="preserve">th December </w:t>
      </w:r>
      <w:r>
        <w:rPr>
          <w:rFonts w:ascii="Arial" w:hAnsi="Arial" w:cs="Arial"/>
        </w:rPr>
        <w:t>2025].</w:t>
      </w:r>
    </w:p>
    <w:p w14:paraId="25B4B11E" w14:textId="77777777" w:rsidR="00E317EF" w:rsidRDefault="00E317EF" w:rsidP="00E317EF">
      <w:pPr>
        <w:rPr>
          <w:rFonts w:ascii="Arial" w:hAnsi="Arial" w:cs="Arial"/>
        </w:rPr>
      </w:pPr>
      <w:r w:rsidRPr="00992E6F">
        <w:rPr>
          <w:rFonts w:ascii="Arial" w:hAnsi="Arial" w:cs="Arial"/>
        </w:rPr>
        <w:t>Ross, S. (2022) Correlation and Modern Portfolio Theory. Available at:</w:t>
      </w:r>
      <w:r w:rsidRPr="00DD25EF">
        <w:t xml:space="preserve"> </w:t>
      </w:r>
      <w:hyperlink r:id="rId68" w:history="1">
        <w:r w:rsidRPr="00D77EEF">
          <w:rPr>
            <w:rStyle w:val="Hyperlink"/>
            <w:rFonts w:ascii="Arial" w:hAnsi="Arial" w:cs="Arial"/>
          </w:rPr>
          <w:t>https://www.investopedia.com/ask/answers/030515/how-correlation-used-modern-portfolio-theory.asp</w:t>
        </w:r>
      </w:hyperlink>
      <w:r>
        <w:rPr>
          <w:rFonts w:ascii="Arial" w:hAnsi="Arial" w:cs="Arial"/>
        </w:rPr>
        <w:t xml:space="preserve"> [Accessed Date: 1st January 2026].</w:t>
      </w:r>
    </w:p>
    <w:p w14:paraId="32587B42" w14:textId="77777777" w:rsidR="00E317EF" w:rsidRDefault="00E317EF" w:rsidP="00E317EF">
      <w:pPr>
        <w:rPr>
          <w:rFonts w:ascii="Arial" w:hAnsi="Arial" w:cs="Arial"/>
        </w:rPr>
      </w:pPr>
      <w:r w:rsidRPr="00320F45">
        <w:rPr>
          <w:rFonts w:ascii="Arial" w:hAnsi="Arial" w:cs="Arial"/>
        </w:rPr>
        <w:t xml:space="preserve">S., S.K., Vinod, R.M. and Jose, J.T. (2025). The Role of Gold as a Safe Haven asset during financial crises: evidence from the Covid-19 Pandemic &amp; The 2008 Global </w:t>
      </w:r>
      <w:r w:rsidRPr="00320F45">
        <w:rPr>
          <w:rFonts w:ascii="Arial" w:hAnsi="Arial" w:cs="Arial"/>
        </w:rPr>
        <w:lastRenderedPageBreak/>
        <w:t>Financial Crises. Journal of Asia Entrepreneurship and Sustainability, 21(2), pp.19-24. Available at:</w:t>
      </w:r>
      <w:r>
        <w:rPr>
          <w:rFonts w:ascii="Arial" w:hAnsi="Arial" w:cs="Arial"/>
        </w:rPr>
        <w:t xml:space="preserve"> </w:t>
      </w:r>
      <w:hyperlink r:id="rId69" w:history="1">
        <w:r w:rsidRPr="007254B3">
          <w:rPr>
            <w:rStyle w:val="Hyperlink"/>
            <w:rFonts w:ascii="Arial" w:hAnsi="Arial" w:cs="Arial"/>
          </w:rPr>
          <w:t>https://asiaentrepreneurshipjournal.com/index.php/jaes/article/view/23</w:t>
        </w:r>
      </w:hyperlink>
      <w:r>
        <w:rPr>
          <w:rFonts w:ascii="Arial" w:hAnsi="Arial" w:cs="Arial"/>
        </w:rPr>
        <w:t xml:space="preserve"> [Accessed: 13th December 2025].</w:t>
      </w:r>
    </w:p>
    <w:p w14:paraId="648B31B9" w14:textId="77777777" w:rsidR="00E317EF" w:rsidRDefault="00E317EF" w:rsidP="00E317EF">
      <w:pPr>
        <w:rPr>
          <w:rFonts w:ascii="Arial" w:hAnsi="Arial" w:cs="Arial"/>
        </w:rPr>
      </w:pPr>
      <w:r w:rsidRPr="002D1765">
        <w:rPr>
          <w:rFonts w:ascii="Arial" w:hAnsi="Arial" w:cs="Arial"/>
        </w:rPr>
        <w:t xml:space="preserve">S, D. K., Vinod, R.M., &amp; Jose, J. T. (2025). The Role of Gold as a Safe Haven asset during Financial Crises: Evidence From the COVID-19 Pandemic &amp; The 2008 Global Financial Crises. The Journal of Asia Entrepreneurship and Sustainability, 21(2). Available at: </w:t>
      </w:r>
      <w:hyperlink r:id="rId70" w:history="1">
        <w:r w:rsidRPr="00F85950">
          <w:rPr>
            <w:rStyle w:val="Hyperlink"/>
            <w:rFonts w:ascii="Arial" w:hAnsi="Arial" w:cs="Arial"/>
          </w:rPr>
          <w:t>https://asiaentrepreneurshipjournal.com/index.php/jaes/article/view/23</w:t>
        </w:r>
      </w:hyperlink>
      <w:r>
        <w:rPr>
          <w:rFonts w:ascii="Arial" w:hAnsi="Arial" w:cs="Arial"/>
        </w:rPr>
        <w:t xml:space="preserve"> [Accessed: 16th December 2025].</w:t>
      </w:r>
    </w:p>
    <w:p w14:paraId="5F49E694" w14:textId="77777777" w:rsidR="008D5CA8" w:rsidRDefault="008D5CA8" w:rsidP="008D5CA8">
      <w:pPr>
        <w:rPr>
          <w:rFonts w:ascii="Arial" w:hAnsi="Arial" w:cs="Arial"/>
        </w:rPr>
      </w:pPr>
      <w:r w:rsidRPr="00E85AE6">
        <w:rPr>
          <w:rFonts w:ascii="Arial" w:hAnsi="Arial" w:cs="Arial"/>
        </w:rPr>
        <w:t xml:space="preserve">Saunders, M.N.K., Lewis, P. and Thornhill, A. (2023). Research methods for business Students. 9th </w:t>
      </w:r>
      <w:proofErr w:type="spellStart"/>
      <w:r w:rsidRPr="00E85AE6">
        <w:rPr>
          <w:rFonts w:ascii="Arial" w:hAnsi="Arial" w:cs="Arial"/>
        </w:rPr>
        <w:t>edn</w:t>
      </w:r>
      <w:proofErr w:type="spellEnd"/>
      <w:r w:rsidRPr="00E85AE6">
        <w:rPr>
          <w:rFonts w:ascii="Arial" w:hAnsi="Arial" w:cs="Arial"/>
        </w:rPr>
        <w:t>. Harlow: Pearson Education. Available at:</w:t>
      </w:r>
      <w:r w:rsidRPr="00E85AE6">
        <w:t xml:space="preserve"> </w:t>
      </w:r>
      <w:hyperlink r:id="rId71" w:history="1">
        <w:r w:rsidRPr="00E85AE6">
          <w:rPr>
            <w:rStyle w:val="Hyperlink"/>
            <w:rFonts w:ascii="Arial" w:hAnsi="Arial" w:cs="Arial"/>
          </w:rPr>
          <w:t>https://www.researchgate.net/publication/240218229_Research_Methods_for_Business_Students</w:t>
        </w:r>
      </w:hyperlink>
      <w:r>
        <w:rPr>
          <w:rFonts w:ascii="Arial" w:hAnsi="Arial" w:cs="Arial"/>
        </w:rPr>
        <w:t xml:space="preserve"> [Accessed Date: 29th November 2025].</w:t>
      </w:r>
    </w:p>
    <w:p w14:paraId="7A2FF9BC" w14:textId="77777777" w:rsidR="008D5CA8" w:rsidRDefault="008D5CA8" w:rsidP="008D5CA8">
      <w:pPr>
        <w:rPr>
          <w:rFonts w:ascii="Arial" w:hAnsi="Arial" w:cs="Arial"/>
        </w:rPr>
      </w:pPr>
      <w:r w:rsidRPr="005405EC">
        <w:rPr>
          <w:rFonts w:ascii="Arial" w:hAnsi="Arial" w:cs="Arial"/>
        </w:rPr>
        <w:t>Tepper, T. and Powell, F. (2025). Federal Funds Rate History 1990 to 2026. Forbes Advisor. Available at:</w:t>
      </w:r>
      <w:r w:rsidRPr="005405EC">
        <w:t xml:space="preserve"> </w:t>
      </w:r>
      <w:hyperlink r:id="rId72" w:history="1">
        <w:r w:rsidRPr="00890325">
          <w:rPr>
            <w:rStyle w:val="Hyperlink"/>
            <w:rFonts w:ascii="Arial" w:hAnsi="Arial" w:cs="Arial"/>
          </w:rPr>
          <w:t>https://www.forbes.com/advisor/investing/fed-funds-rate-history/</w:t>
        </w:r>
      </w:hyperlink>
      <w:r>
        <w:rPr>
          <w:rFonts w:ascii="Arial" w:hAnsi="Arial" w:cs="Arial"/>
        </w:rPr>
        <w:t xml:space="preserve"> [Accessed: 30</w:t>
      </w:r>
      <w:r w:rsidRPr="003A6BFA">
        <w:rPr>
          <w:rFonts w:ascii="Arial" w:hAnsi="Arial" w:cs="Arial"/>
        </w:rPr>
        <w:t xml:space="preserve">th December </w:t>
      </w:r>
      <w:r>
        <w:rPr>
          <w:rFonts w:ascii="Arial" w:hAnsi="Arial" w:cs="Arial"/>
        </w:rPr>
        <w:t>2025].</w:t>
      </w:r>
    </w:p>
    <w:p w14:paraId="4B1FFFB8" w14:textId="77777777" w:rsidR="008D5CA8" w:rsidRDefault="008D5CA8" w:rsidP="008D5CA8">
      <w:pPr>
        <w:rPr>
          <w:rFonts w:ascii="Arial" w:hAnsi="Arial" w:cs="Arial"/>
        </w:rPr>
      </w:pPr>
      <w:r w:rsidRPr="00074582">
        <w:rPr>
          <w:rFonts w:ascii="Arial" w:hAnsi="Arial" w:cs="Arial"/>
        </w:rPr>
        <w:t>The Investopedia Team (2025). Modern Portfolio Theory: What MPT Is and How Investors</w:t>
      </w:r>
      <w:r>
        <w:rPr>
          <w:rFonts w:ascii="Arial" w:hAnsi="Arial" w:cs="Arial"/>
        </w:rPr>
        <w:t xml:space="preserve"> </w:t>
      </w:r>
      <w:r w:rsidRPr="00074582">
        <w:rPr>
          <w:rFonts w:ascii="Arial" w:hAnsi="Arial" w:cs="Arial"/>
        </w:rPr>
        <w:t>Use It. Available at:</w:t>
      </w:r>
      <w:r>
        <w:rPr>
          <w:rFonts w:ascii="Arial" w:hAnsi="Arial" w:cs="Arial"/>
        </w:rPr>
        <w:t xml:space="preserve">  </w:t>
      </w:r>
      <w:hyperlink r:id="rId73" w:history="1">
        <w:r w:rsidRPr="00BA462C">
          <w:rPr>
            <w:rStyle w:val="Hyperlink"/>
            <w:rFonts w:ascii="Arial" w:hAnsi="Arial" w:cs="Arial"/>
          </w:rPr>
          <w:t>https://www.investopedia.com/terms/m/modernportfoliotheory.asp</w:t>
        </w:r>
      </w:hyperlink>
      <w:r>
        <w:rPr>
          <w:rFonts w:ascii="Arial" w:hAnsi="Arial" w:cs="Arial"/>
        </w:rPr>
        <w:t xml:space="preserve"> [Accessed: 24 January 2026].</w:t>
      </w:r>
    </w:p>
    <w:p w14:paraId="56C57DFA" w14:textId="77777777" w:rsidR="008D5CA8" w:rsidRDefault="008D5CA8" w:rsidP="008D5CA8">
      <w:pPr>
        <w:rPr>
          <w:rFonts w:ascii="Arial" w:hAnsi="Arial" w:cs="Arial"/>
        </w:rPr>
      </w:pPr>
      <w:r w:rsidRPr="00A72D68">
        <w:rPr>
          <w:rFonts w:ascii="Arial" w:hAnsi="Arial" w:cs="Arial"/>
        </w:rPr>
        <w:t>UBS (2025). House view daily</w:t>
      </w:r>
      <w:r>
        <w:rPr>
          <w:rFonts w:ascii="Arial" w:hAnsi="Arial" w:cs="Arial"/>
        </w:rPr>
        <w:t xml:space="preserve">: </w:t>
      </w:r>
      <w:r w:rsidRPr="00A72D68">
        <w:rPr>
          <w:rFonts w:ascii="Arial" w:hAnsi="Arial" w:cs="Arial"/>
        </w:rPr>
        <w:t>Equities rally on tech earnings and tame inflation data. Available at:</w:t>
      </w:r>
      <w:r>
        <w:rPr>
          <w:rFonts w:ascii="Arial" w:hAnsi="Arial" w:cs="Arial"/>
        </w:rPr>
        <w:t xml:space="preserve"> </w:t>
      </w:r>
      <w:hyperlink r:id="rId74" w:history="1">
        <w:r w:rsidRPr="0042747D">
          <w:rPr>
            <w:rStyle w:val="Hyperlink"/>
            <w:rFonts w:ascii="Arial" w:hAnsi="Arial" w:cs="Arial"/>
          </w:rPr>
          <w:t>https://www.ubs.com/global/en/wealthmanagement/insights/chief-investment-office/house-view/daily/2025/latest-19122025.html</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2</w:t>
      </w:r>
      <w:r w:rsidRPr="003A6BFA">
        <w:rPr>
          <w:rFonts w:ascii="Arial" w:hAnsi="Arial" w:cs="Arial"/>
        </w:rPr>
        <w:t>th December 2025</w:t>
      </w:r>
      <w:r>
        <w:rPr>
          <w:rFonts w:ascii="Arial" w:hAnsi="Arial" w:cs="Arial"/>
        </w:rPr>
        <w:t>].</w:t>
      </w:r>
    </w:p>
    <w:p w14:paraId="139C653B" w14:textId="77777777" w:rsidR="008D5CA8" w:rsidRDefault="008D5CA8" w:rsidP="008D5CA8">
      <w:pPr>
        <w:rPr>
          <w:rFonts w:ascii="Arial" w:hAnsi="Arial" w:cs="Arial"/>
        </w:rPr>
      </w:pPr>
      <w:r w:rsidRPr="00E21C71">
        <w:rPr>
          <w:rFonts w:ascii="Arial" w:hAnsi="Arial" w:cs="Arial"/>
        </w:rPr>
        <w:t>U.S. Bank (2025) How do changing interest rates affect the stock market? U.S. Bank Financial Perspectives, Available at:</w:t>
      </w:r>
      <w:r>
        <w:rPr>
          <w:rFonts w:ascii="Arial" w:hAnsi="Arial" w:cs="Arial"/>
        </w:rPr>
        <w:t xml:space="preserve"> </w:t>
      </w:r>
      <w:hyperlink r:id="rId75" w:history="1">
        <w:r w:rsidRPr="007A430A">
          <w:rPr>
            <w:rStyle w:val="Hyperlink"/>
            <w:rFonts w:ascii="Arial" w:hAnsi="Arial" w:cs="Arial"/>
          </w:rPr>
          <w:t>https://www.usbank.com/investing/financial-perspectives/market-news/how-do-rising-interest-rates-affect-the-stock-market.html</w:t>
        </w:r>
      </w:hyperlink>
    </w:p>
    <w:p w14:paraId="71E45156" w14:textId="77777777" w:rsidR="008D5CA8" w:rsidRDefault="008D5CA8" w:rsidP="008D5CA8">
      <w:pPr>
        <w:rPr>
          <w:rFonts w:ascii="Arial" w:hAnsi="Arial" w:cs="Arial"/>
        </w:rPr>
      </w:pPr>
      <w:r>
        <w:rPr>
          <w:rFonts w:ascii="Arial" w:hAnsi="Arial" w:cs="Arial"/>
        </w:rPr>
        <w:t>[Accessed: 13th December 2025].</w:t>
      </w:r>
    </w:p>
    <w:p w14:paraId="7E463B16" w14:textId="77777777" w:rsidR="0091205D" w:rsidRDefault="0091205D" w:rsidP="0091205D">
      <w:pPr>
        <w:rPr>
          <w:rFonts w:ascii="Arial" w:hAnsi="Arial" w:cs="Arial"/>
        </w:rPr>
      </w:pPr>
      <w:r w:rsidRPr="005B58D0">
        <w:rPr>
          <w:rFonts w:ascii="Arial" w:hAnsi="Arial" w:cs="Arial"/>
        </w:rPr>
        <w:t>World Gold Council. (2019). Outlook 2019. Available at:</w:t>
      </w:r>
      <w:r>
        <w:rPr>
          <w:rFonts w:ascii="Arial" w:hAnsi="Arial" w:cs="Arial"/>
        </w:rPr>
        <w:t xml:space="preserve"> </w:t>
      </w:r>
      <w:hyperlink r:id="rId76" w:history="1">
        <w:r w:rsidRPr="00FE543F">
          <w:rPr>
            <w:rStyle w:val="Hyperlink"/>
            <w:rFonts w:ascii="Arial" w:hAnsi="Arial" w:cs="Arial"/>
          </w:rPr>
          <w:t>https://www.gold.org/goldhub/research/outlook-2019</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December 2025].</w:t>
      </w:r>
    </w:p>
    <w:p w14:paraId="12F075E7" w14:textId="77777777" w:rsidR="0091205D" w:rsidRDefault="0091205D" w:rsidP="0091205D">
      <w:pPr>
        <w:rPr>
          <w:rFonts w:ascii="Arial" w:hAnsi="Arial" w:cs="Arial"/>
        </w:rPr>
      </w:pPr>
      <w:r w:rsidRPr="0075447A">
        <w:rPr>
          <w:rFonts w:ascii="Arial" w:hAnsi="Arial" w:cs="Arial"/>
        </w:rPr>
        <w:lastRenderedPageBreak/>
        <w:t>World Gold Council (2025)</w:t>
      </w:r>
      <w:r>
        <w:rPr>
          <w:rFonts w:ascii="Arial" w:hAnsi="Arial" w:cs="Arial"/>
        </w:rPr>
        <w:t xml:space="preserve">. </w:t>
      </w:r>
      <w:r w:rsidRPr="0075447A">
        <w:rPr>
          <w:rFonts w:ascii="Arial" w:hAnsi="Arial" w:cs="Arial"/>
        </w:rPr>
        <w:t>US gold demand trends Q3 2025. Available at:</w:t>
      </w:r>
      <w:r>
        <w:rPr>
          <w:rFonts w:ascii="Arial" w:hAnsi="Arial" w:cs="Arial"/>
        </w:rPr>
        <w:t xml:space="preserve"> </w:t>
      </w:r>
      <w:hyperlink r:id="rId77" w:history="1">
        <w:r w:rsidRPr="0042747D">
          <w:rPr>
            <w:rStyle w:val="Hyperlink"/>
            <w:rFonts w:ascii="Arial" w:hAnsi="Arial" w:cs="Arial"/>
          </w:rPr>
          <w:t>https://www.gold.org/goldhub/research/gold-demand-trends/us-gold-demand-trends-q3-2025</w:t>
        </w:r>
      </w:hyperlink>
      <w:r>
        <w:rPr>
          <w:rFonts w:ascii="Arial" w:hAnsi="Arial" w:cs="Arial"/>
        </w:rPr>
        <w:t xml:space="preserve"> [Accessed:</w:t>
      </w:r>
      <w:r w:rsidRPr="00092C44">
        <w:rPr>
          <w:rFonts w:ascii="Arial" w:hAnsi="Arial" w:cs="Arial"/>
        </w:rPr>
        <w:t xml:space="preserve"> </w:t>
      </w:r>
      <w:r w:rsidRPr="003A6BFA">
        <w:rPr>
          <w:rFonts w:ascii="Arial" w:hAnsi="Arial" w:cs="Arial"/>
        </w:rPr>
        <w:t>2</w:t>
      </w:r>
      <w:r>
        <w:rPr>
          <w:rFonts w:ascii="Arial" w:hAnsi="Arial" w:cs="Arial"/>
        </w:rPr>
        <w:t>2</w:t>
      </w:r>
      <w:r w:rsidRPr="003A6BFA">
        <w:rPr>
          <w:rFonts w:ascii="Arial" w:hAnsi="Arial" w:cs="Arial"/>
        </w:rPr>
        <w:t>th December 2025</w:t>
      </w:r>
      <w:r>
        <w:rPr>
          <w:rFonts w:ascii="Arial" w:hAnsi="Arial" w:cs="Arial"/>
        </w:rPr>
        <w:t>].</w:t>
      </w:r>
    </w:p>
    <w:p w14:paraId="1484F600" w14:textId="77777777" w:rsidR="0091205D" w:rsidRDefault="0091205D" w:rsidP="0091205D">
      <w:pPr>
        <w:rPr>
          <w:rFonts w:ascii="Arial" w:hAnsi="Arial" w:cs="Arial"/>
        </w:rPr>
      </w:pPr>
      <w:r w:rsidRPr="001168F9">
        <w:rPr>
          <w:rFonts w:ascii="Arial" w:hAnsi="Arial" w:cs="Arial"/>
        </w:rPr>
        <w:t>World Gold Council (2020) Investment Update: Gold prices swing as markets sell off. World Gold Council. Available at:</w:t>
      </w:r>
      <w:r>
        <w:rPr>
          <w:rFonts w:ascii="Arial" w:hAnsi="Arial" w:cs="Arial"/>
        </w:rPr>
        <w:t xml:space="preserve"> </w:t>
      </w:r>
      <w:hyperlink r:id="rId78" w:history="1">
        <w:r w:rsidRPr="00F85950">
          <w:rPr>
            <w:rStyle w:val="Hyperlink"/>
            <w:rFonts w:ascii="Arial" w:hAnsi="Arial" w:cs="Arial"/>
          </w:rPr>
          <w:t>https://www.gold.org/goldhub/research/gold-prices-swing-as-markets-sell-off</w:t>
        </w:r>
      </w:hyperlink>
      <w:r>
        <w:rPr>
          <w:rFonts w:ascii="Arial" w:hAnsi="Arial" w:cs="Arial"/>
        </w:rPr>
        <w:t xml:space="preserve"> [Accessed: 16th December 2025].</w:t>
      </w:r>
    </w:p>
    <w:p w14:paraId="22FE51AF" w14:textId="77777777" w:rsidR="0091205D" w:rsidRDefault="0091205D" w:rsidP="0091205D">
      <w:pPr>
        <w:rPr>
          <w:rFonts w:ascii="Arial" w:hAnsi="Arial" w:cs="Arial"/>
        </w:rPr>
      </w:pPr>
      <w:r w:rsidRPr="00D93E44">
        <w:rPr>
          <w:rFonts w:ascii="Arial" w:hAnsi="Arial" w:cs="Arial"/>
        </w:rPr>
        <w:t>Weinberg, J. (2013). The Great Recession and Its Aftermath. Available at:</w:t>
      </w:r>
      <w:r>
        <w:rPr>
          <w:rFonts w:ascii="Arial" w:hAnsi="Arial" w:cs="Arial"/>
        </w:rPr>
        <w:t xml:space="preserve"> </w:t>
      </w:r>
      <w:hyperlink r:id="rId79" w:history="1">
        <w:r w:rsidRPr="00DE10CB">
          <w:rPr>
            <w:rStyle w:val="Hyperlink"/>
            <w:rFonts w:ascii="Arial" w:hAnsi="Arial" w:cs="Arial"/>
          </w:rPr>
          <w:t>https://www.federalreservehistory.org/essays/great-recession-and-its-aftermath</w:t>
        </w:r>
      </w:hyperlink>
      <w:r>
        <w:rPr>
          <w:rFonts w:ascii="Arial" w:hAnsi="Arial" w:cs="Arial"/>
        </w:rPr>
        <w:t xml:space="preserve"> [Accessed: 12 January 2026].</w:t>
      </w:r>
    </w:p>
    <w:p w14:paraId="61FCD2D9" w14:textId="77777777" w:rsidR="0091205D" w:rsidRDefault="0091205D" w:rsidP="0091205D">
      <w:pPr>
        <w:rPr>
          <w:rFonts w:ascii="Arial" w:hAnsi="Arial" w:cs="Arial"/>
        </w:rPr>
      </w:pPr>
      <w:r w:rsidRPr="00B578BD">
        <w:rPr>
          <w:rFonts w:ascii="Arial" w:hAnsi="Arial" w:cs="Arial"/>
        </w:rPr>
        <w:t>World Gold Council (2023). Gold Outlook 2024: Where do we land from here? Available at:</w:t>
      </w:r>
      <w:r w:rsidRPr="00B578BD">
        <w:t xml:space="preserve"> </w:t>
      </w:r>
      <w:hyperlink r:id="rId80" w:history="1">
        <w:r w:rsidRPr="00BA462C">
          <w:rPr>
            <w:rStyle w:val="Hyperlink"/>
            <w:rFonts w:ascii="Arial" w:hAnsi="Arial" w:cs="Arial"/>
          </w:rPr>
          <w:t>https://www.gold.org/goldhub/research/gold-outlook-2024</w:t>
        </w:r>
      </w:hyperlink>
      <w:r>
        <w:rPr>
          <w:rFonts w:ascii="Arial" w:hAnsi="Arial" w:cs="Arial"/>
        </w:rPr>
        <w:t xml:space="preserve"> [Accessed: 24 January 2026].</w:t>
      </w:r>
    </w:p>
    <w:p w14:paraId="3C5B373C" w14:textId="37BA7C08" w:rsidR="0091205D" w:rsidRDefault="0091205D" w:rsidP="0091205D">
      <w:pPr>
        <w:rPr>
          <w:rFonts w:ascii="Arial" w:hAnsi="Arial" w:cs="Arial"/>
        </w:rPr>
      </w:pPr>
      <w:proofErr w:type="spellStart"/>
      <w:r w:rsidRPr="00CB2184">
        <w:rPr>
          <w:rFonts w:ascii="Arial" w:hAnsi="Arial" w:cs="Arial"/>
        </w:rPr>
        <w:t>Youvan</w:t>
      </w:r>
      <w:proofErr w:type="spellEnd"/>
      <w:r w:rsidRPr="00CB2184">
        <w:rPr>
          <w:rFonts w:ascii="Arial" w:hAnsi="Arial" w:cs="Arial"/>
        </w:rPr>
        <w:t>, D. C. (2024) The Impact of Federal Reserve Interest Rate Decisions on gold Prices: A Safe Haven Amidst Economic Uncertainty, Research Gate preprint. Available at:</w:t>
      </w:r>
      <w:hyperlink r:id="rId81" w:history="1">
        <w:r w:rsidR="00C85999" w:rsidRPr="00B43E55">
          <w:rPr>
            <w:rStyle w:val="Hyperlink"/>
            <w:rFonts w:ascii="Arial" w:hAnsi="Arial" w:cs="Arial"/>
          </w:rPr>
          <w:t>https://www.researchgate.net/publication/384016555_The_Impact_of_Federal_Reserve_Interest_Rate_Decisions_on_Gold_Prices_A_Safe_Haven_Amidst_Economic_Uncertainty</w:t>
        </w:r>
      </w:hyperlink>
      <w:r>
        <w:rPr>
          <w:rFonts w:ascii="Arial" w:hAnsi="Arial" w:cs="Arial"/>
        </w:rPr>
        <w:t xml:space="preserve"> [Accessed: 13th December 2025].</w:t>
      </w:r>
    </w:p>
    <w:p w14:paraId="02FDC000" w14:textId="77777777" w:rsidR="00C85999" w:rsidRDefault="00C85999" w:rsidP="00C85999">
      <w:pPr>
        <w:rPr>
          <w:rFonts w:ascii="Arial" w:hAnsi="Arial" w:cs="Arial"/>
        </w:rPr>
      </w:pPr>
      <w:r w:rsidRPr="008F3B57">
        <w:rPr>
          <w:rFonts w:ascii="Arial" w:hAnsi="Arial" w:cs="Arial"/>
        </w:rPr>
        <w:t xml:space="preserve">Yahoo Finance (n.d.) Gold </w:t>
      </w:r>
      <w:r>
        <w:rPr>
          <w:rFonts w:ascii="Arial" w:hAnsi="Arial" w:cs="Arial"/>
        </w:rPr>
        <w:t xml:space="preserve">Feb </w:t>
      </w:r>
      <w:r w:rsidRPr="008F3B57">
        <w:rPr>
          <w:rFonts w:ascii="Arial" w:hAnsi="Arial" w:cs="Arial"/>
        </w:rPr>
        <w:t>(GC=F) historical data. Available at:</w:t>
      </w:r>
      <w:r>
        <w:rPr>
          <w:rFonts w:ascii="Arial" w:hAnsi="Arial" w:cs="Arial"/>
        </w:rPr>
        <w:t xml:space="preserve"> </w:t>
      </w:r>
      <w:hyperlink r:id="rId82" w:history="1">
        <w:r w:rsidRPr="00725C7F">
          <w:rPr>
            <w:rStyle w:val="Hyperlink"/>
            <w:rFonts w:ascii="Arial" w:hAnsi="Arial" w:cs="Arial"/>
          </w:rPr>
          <w:t>https://uk.finance.yahoo.com/quote/GC%3DF/history/?frequency=1d&amp;period1=1104537600&amp;period2=1761868800&amp;guccounter=2</w:t>
        </w:r>
      </w:hyperlink>
      <w:r>
        <w:rPr>
          <w:rFonts w:ascii="Arial" w:hAnsi="Arial" w:cs="Arial"/>
        </w:rPr>
        <w:t xml:space="preserve"> [Accessed: 6th January 2026].</w:t>
      </w:r>
    </w:p>
    <w:p w14:paraId="5BBB66E3" w14:textId="77777777" w:rsidR="00C85999" w:rsidRDefault="00C85999" w:rsidP="00C85999">
      <w:pPr>
        <w:rPr>
          <w:rFonts w:ascii="Arial" w:hAnsi="Arial" w:cs="Arial"/>
        </w:rPr>
      </w:pPr>
      <w:r w:rsidRPr="002E6FBA">
        <w:rPr>
          <w:rFonts w:ascii="Arial" w:hAnsi="Arial" w:cs="Arial"/>
        </w:rPr>
        <w:t>Yahoo Finance (2025) NASDAQ 100 (^NDX) historical data. Available at:</w:t>
      </w:r>
      <w:r>
        <w:rPr>
          <w:rFonts w:ascii="Arial" w:hAnsi="Arial" w:cs="Arial"/>
        </w:rPr>
        <w:t xml:space="preserve"> </w:t>
      </w:r>
      <w:hyperlink r:id="rId83" w:history="1">
        <w:r w:rsidRPr="00725C7F">
          <w:rPr>
            <w:rStyle w:val="Hyperlink"/>
            <w:rFonts w:ascii="Arial" w:hAnsi="Arial" w:cs="Arial"/>
          </w:rPr>
          <w:t>https://uk.finance.yahoo.com/quote/%5ENDX/history/?frequency=1mo&amp;period1=1104537600&amp;period2=1764460800</w:t>
        </w:r>
      </w:hyperlink>
      <w:r>
        <w:rPr>
          <w:rFonts w:ascii="Arial" w:hAnsi="Arial" w:cs="Arial"/>
        </w:rPr>
        <w:t xml:space="preserve"> [Accessed: 6th January 2026].</w:t>
      </w:r>
    </w:p>
    <w:p w14:paraId="3F66F6B9" w14:textId="77777777" w:rsidR="00C85999" w:rsidRDefault="00C85999" w:rsidP="00C85999">
      <w:pPr>
        <w:rPr>
          <w:rFonts w:ascii="Arial" w:hAnsi="Arial" w:cs="Arial"/>
        </w:rPr>
      </w:pPr>
      <w:r w:rsidRPr="00CC5C84">
        <w:rPr>
          <w:rFonts w:ascii="Arial" w:hAnsi="Arial" w:cs="Arial"/>
        </w:rPr>
        <w:t>Yahoo Finance (2025) S&amp;P 500 (^GSPC) historical data. Available at:</w:t>
      </w:r>
      <w:r>
        <w:rPr>
          <w:rFonts w:ascii="Arial" w:hAnsi="Arial" w:cs="Arial"/>
        </w:rPr>
        <w:t xml:space="preserve"> </w:t>
      </w:r>
      <w:hyperlink r:id="rId84" w:history="1">
        <w:r w:rsidRPr="00725C7F">
          <w:rPr>
            <w:rStyle w:val="Hyperlink"/>
            <w:rFonts w:ascii="Arial" w:hAnsi="Arial" w:cs="Arial"/>
          </w:rPr>
          <w:t>https://finance.yahoo.com/quote/%5EGSPC/history/?frequency=1mo&amp;period1=1104537600&amp;period2=1761868800</w:t>
        </w:r>
      </w:hyperlink>
      <w:r>
        <w:rPr>
          <w:rFonts w:ascii="Arial" w:hAnsi="Arial" w:cs="Arial"/>
        </w:rPr>
        <w:t xml:space="preserve"> [Accessed: 6th January 2026].</w:t>
      </w:r>
    </w:p>
    <w:p w14:paraId="21F4E6E5" w14:textId="77777777" w:rsidR="001A04F9" w:rsidRDefault="001A04F9" w:rsidP="001A04F9">
      <w:pPr>
        <w:rPr>
          <w:rFonts w:ascii="Arial" w:hAnsi="Arial" w:cs="Arial"/>
        </w:rPr>
      </w:pPr>
      <w:r w:rsidRPr="00735324">
        <w:rPr>
          <w:rFonts w:ascii="Arial" w:hAnsi="Arial" w:cs="Arial"/>
        </w:rPr>
        <w:t xml:space="preserve">Zhang, Y., Li, X. and Guo, S. (2018) ‘Portfolio selection problems with Markowitz’s mean–variance framework: a review of literature’, </w:t>
      </w:r>
      <w:r w:rsidRPr="00735324">
        <w:rPr>
          <w:rFonts w:ascii="Arial" w:hAnsi="Arial" w:cs="Arial"/>
          <w:i/>
          <w:iCs/>
        </w:rPr>
        <w:t>Fuzzy optimization and decision making</w:t>
      </w:r>
      <w:r w:rsidRPr="00735324">
        <w:rPr>
          <w:rFonts w:ascii="Arial" w:hAnsi="Arial" w:cs="Arial"/>
        </w:rPr>
        <w:t xml:space="preserve">, 17(2), pp. 125–158. Available at: </w:t>
      </w:r>
      <w:hyperlink r:id="rId85" w:history="1">
        <w:r w:rsidRPr="00021AE2">
          <w:rPr>
            <w:rStyle w:val="Hyperlink"/>
            <w:rFonts w:ascii="Arial" w:hAnsi="Arial" w:cs="Arial"/>
          </w:rPr>
          <w:t>https://librarysearch.uwtsd.ac.uk/discovery/fulldisplay?docid=cdi_proquest_journals_</w:t>
        </w:r>
        <w:r w:rsidRPr="00021AE2">
          <w:rPr>
            <w:rStyle w:val="Hyperlink"/>
            <w:rFonts w:ascii="Arial" w:hAnsi="Arial" w:cs="Arial"/>
          </w:rPr>
          <w:lastRenderedPageBreak/>
          <w:t>2034153544&amp;context=PC&amp;vid=44WHELF_UWTSD:44WHELF_UWTSD_VU1&amp;lang=en</w:t>
        </w:r>
      </w:hyperlink>
      <w:r>
        <w:rPr>
          <w:rFonts w:ascii="Arial" w:hAnsi="Arial" w:cs="Arial"/>
        </w:rPr>
        <w:t xml:space="preserve"> [Accessed: 9</w:t>
      </w:r>
      <w:r w:rsidRPr="00E53C04">
        <w:rPr>
          <w:rFonts w:ascii="Arial" w:hAnsi="Arial" w:cs="Arial"/>
          <w:vertAlign w:val="superscript"/>
        </w:rPr>
        <w:t>th</w:t>
      </w:r>
      <w:r>
        <w:rPr>
          <w:rFonts w:ascii="Arial" w:hAnsi="Arial" w:cs="Arial"/>
        </w:rPr>
        <w:t xml:space="preserve"> December 2025].</w:t>
      </w:r>
    </w:p>
    <w:p w14:paraId="6088356C" w14:textId="77777777" w:rsidR="001A04F9" w:rsidRDefault="001A04F9" w:rsidP="001A04F9">
      <w:pPr>
        <w:rPr>
          <w:rFonts w:ascii="Arial" w:hAnsi="Arial" w:cs="Arial"/>
        </w:rPr>
      </w:pPr>
      <w:r w:rsidRPr="0013337A">
        <w:rPr>
          <w:rFonts w:ascii="Arial" w:hAnsi="Arial" w:cs="Arial"/>
        </w:rPr>
        <w:t>Zhang, Z. (2021). Stock Returns and Inflation Redux: An Explanation from Monetary Policy in Advanced and Emerging Markets. IMF Working Pape</w:t>
      </w:r>
      <w:r>
        <w:rPr>
          <w:rFonts w:ascii="Arial" w:hAnsi="Arial" w:cs="Arial"/>
        </w:rPr>
        <w:t>r No. 21/</w:t>
      </w:r>
      <w:r w:rsidRPr="0013337A">
        <w:rPr>
          <w:rFonts w:ascii="Arial" w:hAnsi="Arial" w:cs="Arial"/>
        </w:rPr>
        <w:t>219</w:t>
      </w:r>
      <w:r>
        <w:rPr>
          <w:rFonts w:ascii="Arial" w:hAnsi="Arial" w:cs="Arial"/>
        </w:rPr>
        <w:t>. Washington, DC: International Monetary Fund. Available at:</w:t>
      </w:r>
      <w:r w:rsidRPr="0013337A">
        <w:rPr>
          <w:rFonts w:ascii="Arial" w:hAnsi="Arial" w:cs="Arial"/>
        </w:rPr>
        <w:t> </w:t>
      </w:r>
      <w:hyperlink r:id="rId86" w:history="1">
        <w:r w:rsidRPr="007E7F21">
          <w:rPr>
            <w:rStyle w:val="Hyperlink"/>
            <w:rFonts w:ascii="Arial" w:hAnsi="Arial" w:cs="Arial"/>
          </w:rPr>
          <w:t>https://www.elibrary.imf.org/view/journals/001/2021/219/article-A001-en.xml</w:t>
        </w:r>
      </w:hyperlink>
      <w:r>
        <w:rPr>
          <w:rFonts w:ascii="Arial" w:hAnsi="Arial" w:cs="Arial"/>
        </w:rPr>
        <w:t xml:space="preserve">  [Accessed: 30</w:t>
      </w:r>
      <w:r w:rsidRPr="003A6BFA">
        <w:rPr>
          <w:rFonts w:ascii="Arial" w:hAnsi="Arial" w:cs="Arial"/>
        </w:rPr>
        <w:t xml:space="preserve">th December </w:t>
      </w:r>
      <w:r>
        <w:rPr>
          <w:rFonts w:ascii="Arial" w:hAnsi="Arial" w:cs="Arial"/>
        </w:rPr>
        <w:t>2025].</w:t>
      </w:r>
    </w:p>
    <w:p w14:paraId="6733D615" w14:textId="77777777" w:rsidR="00C85999" w:rsidRDefault="00C85999" w:rsidP="0091205D">
      <w:pPr>
        <w:rPr>
          <w:rFonts w:ascii="Arial" w:hAnsi="Arial" w:cs="Arial"/>
        </w:rPr>
      </w:pPr>
    </w:p>
    <w:p w14:paraId="40C0E332" w14:textId="77777777" w:rsidR="00A858C6" w:rsidRDefault="00A858C6" w:rsidP="0091205D">
      <w:pPr>
        <w:rPr>
          <w:rFonts w:ascii="Arial" w:hAnsi="Arial" w:cs="Arial"/>
        </w:rPr>
      </w:pPr>
    </w:p>
    <w:p w14:paraId="10064802" w14:textId="77777777" w:rsidR="00A858C6" w:rsidRDefault="00A858C6" w:rsidP="0091205D">
      <w:pPr>
        <w:rPr>
          <w:rFonts w:ascii="Arial" w:hAnsi="Arial" w:cs="Arial"/>
        </w:rPr>
      </w:pPr>
    </w:p>
    <w:p w14:paraId="4D2EE133" w14:textId="77777777" w:rsidR="00A858C6" w:rsidRDefault="00A858C6" w:rsidP="0091205D">
      <w:pPr>
        <w:rPr>
          <w:rFonts w:ascii="Arial" w:hAnsi="Arial" w:cs="Arial"/>
        </w:rPr>
      </w:pPr>
    </w:p>
    <w:p w14:paraId="124BC9E4" w14:textId="77777777" w:rsidR="00A858C6" w:rsidRDefault="00A858C6" w:rsidP="0091205D">
      <w:pPr>
        <w:rPr>
          <w:rFonts w:ascii="Arial" w:hAnsi="Arial" w:cs="Arial"/>
        </w:rPr>
      </w:pPr>
    </w:p>
    <w:p w14:paraId="396328B7" w14:textId="77777777" w:rsidR="00A858C6" w:rsidRDefault="00A858C6" w:rsidP="0091205D">
      <w:pPr>
        <w:rPr>
          <w:rFonts w:ascii="Arial" w:hAnsi="Arial" w:cs="Arial"/>
        </w:rPr>
      </w:pPr>
    </w:p>
    <w:p w14:paraId="0B5C2124" w14:textId="77777777" w:rsidR="00A858C6" w:rsidRDefault="00A858C6" w:rsidP="0091205D">
      <w:pPr>
        <w:rPr>
          <w:rFonts w:ascii="Arial" w:hAnsi="Arial" w:cs="Arial"/>
        </w:rPr>
      </w:pPr>
    </w:p>
    <w:p w14:paraId="2E25E3B3" w14:textId="77777777" w:rsidR="00A858C6" w:rsidRDefault="00A858C6" w:rsidP="0091205D">
      <w:pPr>
        <w:rPr>
          <w:rFonts w:ascii="Arial" w:hAnsi="Arial" w:cs="Arial"/>
        </w:rPr>
      </w:pPr>
    </w:p>
    <w:p w14:paraId="6C7BB892" w14:textId="77777777" w:rsidR="00A858C6" w:rsidRDefault="00A858C6" w:rsidP="0091205D">
      <w:pPr>
        <w:rPr>
          <w:rFonts w:ascii="Arial" w:hAnsi="Arial" w:cs="Arial"/>
        </w:rPr>
      </w:pPr>
    </w:p>
    <w:p w14:paraId="6C51FD3D" w14:textId="77777777" w:rsidR="00A858C6" w:rsidRDefault="00A858C6" w:rsidP="0091205D">
      <w:pPr>
        <w:rPr>
          <w:rFonts w:ascii="Arial" w:hAnsi="Arial" w:cs="Arial"/>
        </w:rPr>
      </w:pPr>
    </w:p>
    <w:p w14:paraId="10E32EEA" w14:textId="77777777" w:rsidR="00A858C6" w:rsidRDefault="00A858C6" w:rsidP="0091205D">
      <w:pPr>
        <w:rPr>
          <w:rFonts w:ascii="Arial" w:hAnsi="Arial" w:cs="Arial"/>
        </w:rPr>
      </w:pPr>
    </w:p>
    <w:p w14:paraId="6125CA5D" w14:textId="77777777" w:rsidR="00A858C6" w:rsidRDefault="00A858C6" w:rsidP="0091205D">
      <w:pPr>
        <w:rPr>
          <w:rFonts w:ascii="Arial" w:hAnsi="Arial" w:cs="Arial"/>
        </w:rPr>
      </w:pPr>
    </w:p>
    <w:p w14:paraId="50E52666" w14:textId="77777777" w:rsidR="00A858C6" w:rsidRDefault="00A858C6" w:rsidP="0091205D">
      <w:pPr>
        <w:rPr>
          <w:rFonts w:ascii="Arial" w:hAnsi="Arial" w:cs="Arial"/>
        </w:rPr>
      </w:pPr>
    </w:p>
    <w:p w14:paraId="2E5AD3A0" w14:textId="77777777" w:rsidR="00A858C6" w:rsidRDefault="00A858C6" w:rsidP="0091205D">
      <w:pPr>
        <w:rPr>
          <w:rFonts w:ascii="Arial" w:hAnsi="Arial" w:cs="Arial"/>
        </w:rPr>
      </w:pPr>
    </w:p>
    <w:p w14:paraId="4AD0CE63" w14:textId="77777777" w:rsidR="00A858C6" w:rsidRDefault="00A858C6" w:rsidP="0091205D">
      <w:pPr>
        <w:rPr>
          <w:rFonts w:ascii="Arial" w:hAnsi="Arial" w:cs="Arial"/>
        </w:rPr>
      </w:pPr>
    </w:p>
    <w:p w14:paraId="25FD1B60" w14:textId="77777777" w:rsidR="00A858C6" w:rsidRDefault="00A858C6" w:rsidP="0091205D">
      <w:pPr>
        <w:rPr>
          <w:rFonts w:ascii="Arial" w:hAnsi="Arial" w:cs="Arial"/>
        </w:rPr>
      </w:pPr>
    </w:p>
    <w:p w14:paraId="51962012" w14:textId="77777777" w:rsidR="00A858C6" w:rsidRDefault="00A858C6" w:rsidP="0091205D">
      <w:pPr>
        <w:rPr>
          <w:rFonts w:ascii="Arial" w:hAnsi="Arial" w:cs="Arial"/>
        </w:rPr>
      </w:pPr>
    </w:p>
    <w:p w14:paraId="02FCD76E" w14:textId="77777777" w:rsidR="00A858C6" w:rsidRDefault="00A858C6" w:rsidP="0091205D">
      <w:pPr>
        <w:rPr>
          <w:rFonts w:ascii="Arial" w:hAnsi="Arial" w:cs="Arial"/>
        </w:rPr>
      </w:pPr>
    </w:p>
    <w:p w14:paraId="7AB83AEB" w14:textId="77777777" w:rsidR="00A858C6" w:rsidRDefault="00A858C6" w:rsidP="0091205D">
      <w:pPr>
        <w:rPr>
          <w:rFonts w:ascii="Arial" w:hAnsi="Arial" w:cs="Arial"/>
        </w:rPr>
      </w:pPr>
    </w:p>
    <w:p w14:paraId="741D1755" w14:textId="6A96D2F4" w:rsidR="00A858C6" w:rsidRDefault="00A858C6" w:rsidP="00A858C6">
      <w:pPr>
        <w:rPr>
          <w:rFonts w:ascii="Arial" w:hAnsi="Arial" w:cs="Arial"/>
          <w:b/>
          <w:bCs/>
          <w:sz w:val="28"/>
          <w:szCs w:val="28"/>
        </w:rPr>
      </w:pPr>
      <w:r w:rsidRPr="00A858C6">
        <w:rPr>
          <w:rFonts w:ascii="Arial" w:hAnsi="Arial" w:cs="Arial"/>
          <w:b/>
          <w:bCs/>
          <w:sz w:val="28"/>
          <w:szCs w:val="28"/>
        </w:rPr>
        <w:lastRenderedPageBreak/>
        <w:t>Appendices</w:t>
      </w:r>
    </w:p>
    <w:p w14:paraId="1B150401" w14:textId="77777777" w:rsidR="00A858C6" w:rsidRPr="009A0B5F" w:rsidRDefault="00A858C6" w:rsidP="00A858C6">
      <w:pPr>
        <w:pStyle w:val="ListParagraph"/>
        <w:numPr>
          <w:ilvl w:val="0"/>
          <w:numId w:val="8"/>
        </w:numPr>
        <w:jc w:val="left"/>
        <w:rPr>
          <w:rFonts w:ascii="Arial" w:hAnsi="Arial" w:cs="Arial"/>
          <w:b/>
          <w:bCs/>
          <w:sz w:val="28"/>
          <w:szCs w:val="28"/>
        </w:rPr>
      </w:pPr>
      <w:r w:rsidRPr="009A0B5F">
        <w:rPr>
          <w:rFonts w:ascii="Arial" w:hAnsi="Arial" w:cs="Arial"/>
          <w:b/>
          <w:bCs/>
          <w:sz w:val="28"/>
          <w:szCs w:val="28"/>
        </w:rPr>
        <w:t xml:space="preserve"> Federal Funds Effective Rate (2005 - Present)</w:t>
      </w:r>
    </w:p>
    <w:p w14:paraId="1047520A" w14:textId="77777777" w:rsidR="00A858C6" w:rsidRDefault="00A858C6" w:rsidP="00A858C6">
      <w:pPr>
        <w:pStyle w:val="ListParagraph"/>
        <w:ind w:left="360"/>
        <w:jc w:val="left"/>
        <w:rPr>
          <w:rFonts w:ascii="Arial" w:hAnsi="Arial" w:cs="Arial"/>
          <w:b/>
          <w:bCs/>
        </w:rPr>
      </w:pPr>
    </w:p>
    <w:p w14:paraId="1B22FB8A" w14:textId="77777777" w:rsidR="00A858C6" w:rsidRPr="001B71BF" w:rsidRDefault="00A858C6" w:rsidP="00A858C6">
      <w:pPr>
        <w:pStyle w:val="ListParagraph"/>
        <w:ind w:left="360"/>
        <w:jc w:val="left"/>
        <w:rPr>
          <w:rFonts w:ascii="Arial" w:hAnsi="Arial" w:cs="Arial"/>
          <w:b/>
          <w:bCs/>
        </w:rPr>
      </w:pPr>
      <w:r>
        <w:rPr>
          <w:rFonts w:ascii="Arial" w:hAnsi="Arial" w:cs="Arial"/>
          <w:b/>
          <w:bCs/>
          <w:noProof/>
        </w:rPr>
        <w:drawing>
          <wp:inline distT="0" distB="0" distL="0" distR="0" wp14:anchorId="28188F90" wp14:editId="46B479CF">
            <wp:extent cx="5722620" cy="3436620"/>
            <wp:effectExtent l="0" t="0" r="0" b="0"/>
            <wp:docPr id="875852641" name="Picture 2"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52641" name="Picture 2" descr="A graph with a line going up&#10;&#10;AI-generated content may be incorrect."/>
                    <pic:cNvPicPr/>
                  </pic:nvPicPr>
                  <pic:blipFill>
                    <a:blip r:embed="rId87">
                      <a:extLst>
                        <a:ext uri="{28A0092B-C50C-407E-A947-70E740481C1C}">
                          <a14:useLocalDpi xmlns:a14="http://schemas.microsoft.com/office/drawing/2010/main" val="0"/>
                        </a:ext>
                      </a:extLst>
                    </a:blip>
                    <a:stretch>
                      <a:fillRect/>
                    </a:stretch>
                  </pic:blipFill>
                  <pic:spPr>
                    <a:xfrm>
                      <a:off x="0" y="0"/>
                      <a:ext cx="5722620" cy="3436620"/>
                    </a:xfrm>
                    <a:prstGeom prst="rect">
                      <a:avLst/>
                    </a:prstGeom>
                  </pic:spPr>
                </pic:pic>
              </a:graphicData>
            </a:graphic>
          </wp:inline>
        </w:drawing>
      </w:r>
    </w:p>
    <w:p w14:paraId="0E4B6A6C" w14:textId="39E134D8" w:rsidR="00A858C6" w:rsidRDefault="00A858C6" w:rsidP="0091205D">
      <w:pPr>
        <w:rPr>
          <w:rFonts w:ascii="Arial" w:hAnsi="Arial" w:cs="Arial"/>
          <w:b/>
          <w:bCs/>
          <w:sz w:val="28"/>
          <w:szCs w:val="28"/>
        </w:rPr>
      </w:pPr>
    </w:p>
    <w:p w14:paraId="2F3774F6" w14:textId="2B5D0A56" w:rsidR="00A858C6" w:rsidRPr="00A858C6" w:rsidRDefault="00A858C6" w:rsidP="0091205D">
      <w:pPr>
        <w:rPr>
          <w:rFonts w:ascii="Arial" w:hAnsi="Arial" w:cs="Arial"/>
          <w:b/>
          <w:bCs/>
          <w:sz w:val="28"/>
          <w:szCs w:val="28"/>
        </w:rPr>
      </w:pPr>
    </w:p>
    <w:p w14:paraId="53064D50" w14:textId="77777777" w:rsidR="00E317EF" w:rsidRDefault="00E317EF" w:rsidP="00E317EF">
      <w:pPr>
        <w:rPr>
          <w:rFonts w:ascii="Arial" w:hAnsi="Arial" w:cs="Arial"/>
        </w:rPr>
      </w:pPr>
    </w:p>
    <w:p w14:paraId="33D0C6FC" w14:textId="77777777" w:rsidR="00E317EF" w:rsidRPr="007A46CE" w:rsidRDefault="00E317EF" w:rsidP="00E317EF">
      <w:pPr>
        <w:rPr>
          <w:rFonts w:ascii="Arial" w:hAnsi="Arial" w:cs="Arial"/>
          <w:b/>
          <w:bCs/>
          <w:sz w:val="28"/>
          <w:szCs w:val="28"/>
        </w:rPr>
      </w:pPr>
    </w:p>
    <w:p w14:paraId="6B6E91FA" w14:textId="77777777" w:rsidR="00E317EF" w:rsidRPr="009F2146" w:rsidRDefault="00E317EF" w:rsidP="00E317EF">
      <w:pPr>
        <w:rPr>
          <w:rFonts w:ascii="Arial" w:hAnsi="Arial" w:cs="Arial"/>
        </w:rPr>
      </w:pPr>
    </w:p>
    <w:p w14:paraId="0BE31B42" w14:textId="77777777" w:rsidR="00E317EF" w:rsidRPr="000D5022" w:rsidRDefault="00E317EF" w:rsidP="00E317EF">
      <w:pPr>
        <w:rPr>
          <w:rFonts w:ascii="Arial" w:hAnsi="Arial" w:cs="Arial"/>
        </w:rPr>
      </w:pPr>
    </w:p>
    <w:p w14:paraId="22997B22" w14:textId="77777777" w:rsidR="00E317EF" w:rsidRPr="008477D0" w:rsidRDefault="00E317EF" w:rsidP="00E317EF">
      <w:pPr>
        <w:rPr>
          <w:rFonts w:ascii="Arial" w:hAnsi="Arial" w:cs="Arial"/>
        </w:rPr>
      </w:pPr>
    </w:p>
    <w:p w14:paraId="75159E1E" w14:textId="77777777" w:rsidR="00E317EF" w:rsidRPr="008477D0" w:rsidRDefault="00E317EF" w:rsidP="00E317EF">
      <w:pPr>
        <w:rPr>
          <w:rFonts w:ascii="Arial" w:hAnsi="Arial" w:cs="Arial"/>
        </w:rPr>
      </w:pPr>
    </w:p>
    <w:p w14:paraId="595FCBC6" w14:textId="77777777" w:rsidR="00E317EF" w:rsidRPr="008477D0" w:rsidRDefault="00E317EF" w:rsidP="00E317EF">
      <w:pPr>
        <w:rPr>
          <w:rFonts w:ascii="Arial" w:hAnsi="Arial" w:cs="Arial"/>
        </w:rPr>
      </w:pPr>
    </w:p>
    <w:p w14:paraId="2C0D3A31" w14:textId="77777777" w:rsidR="00FD5EAE" w:rsidRPr="008477D0" w:rsidRDefault="00FD5EAE" w:rsidP="00414ADF">
      <w:pPr>
        <w:rPr>
          <w:rFonts w:ascii="Arial" w:hAnsi="Arial" w:cs="Arial"/>
        </w:rPr>
      </w:pPr>
    </w:p>
    <w:p w14:paraId="42E91EB1" w14:textId="77777777" w:rsidR="00414ADF" w:rsidRPr="008477D0" w:rsidRDefault="00414ADF" w:rsidP="0013147B">
      <w:pPr>
        <w:rPr>
          <w:rFonts w:ascii="Arial" w:hAnsi="Arial" w:cs="Arial"/>
        </w:rPr>
      </w:pPr>
    </w:p>
    <w:p w14:paraId="22710C46" w14:textId="1DBF756A" w:rsidR="00A858C6" w:rsidRPr="00F915E7" w:rsidRDefault="00A858C6" w:rsidP="00F915E7">
      <w:pPr>
        <w:jc w:val="left"/>
        <w:rPr>
          <w:rFonts w:ascii="Arial" w:hAnsi="Arial" w:cs="Arial"/>
          <w:b/>
          <w:bCs/>
        </w:rPr>
      </w:pPr>
      <w:r w:rsidRPr="00115C5C">
        <w:rPr>
          <w:rFonts w:ascii="Arial" w:hAnsi="Arial" w:cs="Arial"/>
          <w:b/>
          <w:bCs/>
          <w:sz w:val="28"/>
          <w:szCs w:val="28"/>
        </w:rPr>
        <w:lastRenderedPageBreak/>
        <w:t xml:space="preserve">B) Historical </w:t>
      </w:r>
      <w:r w:rsidR="00A87B6C" w:rsidRPr="00115C5C">
        <w:rPr>
          <w:rFonts w:ascii="Arial" w:hAnsi="Arial" w:cs="Arial"/>
          <w:b/>
          <w:bCs/>
          <w:sz w:val="28"/>
          <w:szCs w:val="28"/>
        </w:rPr>
        <w:t xml:space="preserve">2005 to 2025 </w:t>
      </w:r>
      <w:r w:rsidRPr="00115C5C">
        <w:rPr>
          <w:rFonts w:ascii="Arial" w:hAnsi="Arial" w:cs="Arial"/>
          <w:b/>
          <w:bCs/>
          <w:sz w:val="28"/>
          <w:szCs w:val="28"/>
        </w:rPr>
        <w:t>Market Data and Variable Observations</w:t>
      </w:r>
      <w:r w:rsidRPr="00DD31CA">
        <w:rPr>
          <w:rFonts w:ascii="Arial" w:hAnsi="Arial" w:cs="Arial"/>
          <w:noProof/>
        </w:rPr>
        <w:drawing>
          <wp:inline distT="0" distB="0" distL="0" distR="0" wp14:anchorId="51160E13" wp14:editId="414FAD10">
            <wp:extent cx="5951220" cy="8412480"/>
            <wp:effectExtent l="0" t="0" r="0" b="0"/>
            <wp:docPr id="112217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51220" cy="8412480"/>
                    </a:xfrm>
                    <a:prstGeom prst="rect">
                      <a:avLst/>
                    </a:prstGeom>
                    <a:noFill/>
                    <a:ln>
                      <a:noFill/>
                    </a:ln>
                  </pic:spPr>
                </pic:pic>
              </a:graphicData>
            </a:graphic>
          </wp:inline>
        </w:drawing>
      </w:r>
    </w:p>
    <w:p w14:paraId="65F096A5" w14:textId="77777777" w:rsidR="00A858C6" w:rsidRDefault="00A858C6" w:rsidP="00A858C6">
      <w:pPr>
        <w:rPr>
          <w:rFonts w:ascii="Arial" w:hAnsi="Arial" w:cs="Arial"/>
        </w:rPr>
      </w:pPr>
      <w:r w:rsidRPr="00DD31CA">
        <w:rPr>
          <w:rFonts w:ascii="Arial" w:hAnsi="Arial" w:cs="Arial"/>
          <w:noProof/>
        </w:rPr>
        <w:lastRenderedPageBreak/>
        <w:drawing>
          <wp:inline distT="0" distB="0" distL="0" distR="0" wp14:anchorId="27E1BEDB" wp14:editId="1A638E55">
            <wp:extent cx="6042074" cy="9185910"/>
            <wp:effectExtent l="0" t="0" r="0" b="0"/>
            <wp:docPr id="1778457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105236" cy="9281936"/>
                    </a:xfrm>
                    <a:prstGeom prst="rect">
                      <a:avLst/>
                    </a:prstGeom>
                    <a:noFill/>
                    <a:ln>
                      <a:noFill/>
                    </a:ln>
                  </pic:spPr>
                </pic:pic>
              </a:graphicData>
            </a:graphic>
          </wp:inline>
        </w:drawing>
      </w:r>
    </w:p>
    <w:p w14:paraId="59D02124" w14:textId="77777777" w:rsidR="00A858C6" w:rsidRDefault="00A858C6" w:rsidP="00A858C6">
      <w:pPr>
        <w:rPr>
          <w:rFonts w:ascii="Arial" w:hAnsi="Arial" w:cs="Arial"/>
        </w:rPr>
      </w:pPr>
      <w:r w:rsidRPr="00DD31CA">
        <w:rPr>
          <w:rFonts w:ascii="Arial" w:hAnsi="Arial" w:cs="Arial"/>
          <w:noProof/>
        </w:rPr>
        <w:lastRenderedPageBreak/>
        <w:drawing>
          <wp:inline distT="0" distB="0" distL="0" distR="0" wp14:anchorId="7858243F" wp14:editId="68738F21">
            <wp:extent cx="6091311" cy="9242425"/>
            <wp:effectExtent l="0" t="0" r="5080" b="0"/>
            <wp:docPr id="13639879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26417" cy="9295692"/>
                    </a:xfrm>
                    <a:prstGeom prst="rect">
                      <a:avLst/>
                    </a:prstGeom>
                    <a:noFill/>
                    <a:ln>
                      <a:noFill/>
                    </a:ln>
                  </pic:spPr>
                </pic:pic>
              </a:graphicData>
            </a:graphic>
          </wp:inline>
        </w:drawing>
      </w:r>
    </w:p>
    <w:p w14:paraId="20943CD2" w14:textId="77777777" w:rsidR="00A858C6" w:rsidRDefault="00A858C6" w:rsidP="00A858C6">
      <w:pPr>
        <w:rPr>
          <w:rFonts w:ascii="Arial" w:hAnsi="Arial" w:cs="Arial"/>
        </w:rPr>
      </w:pPr>
      <w:r w:rsidRPr="00DD31CA">
        <w:rPr>
          <w:rFonts w:ascii="Arial" w:hAnsi="Arial" w:cs="Arial"/>
          <w:noProof/>
        </w:rPr>
        <w:lastRenderedPageBreak/>
        <w:drawing>
          <wp:inline distT="0" distB="0" distL="0" distR="0" wp14:anchorId="3446C3C6" wp14:editId="19D15428">
            <wp:extent cx="6069965" cy="9305778"/>
            <wp:effectExtent l="0" t="0" r="6985" b="0"/>
            <wp:docPr id="136540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96999" cy="9347223"/>
                    </a:xfrm>
                    <a:prstGeom prst="rect">
                      <a:avLst/>
                    </a:prstGeom>
                    <a:noFill/>
                    <a:ln>
                      <a:noFill/>
                    </a:ln>
                  </pic:spPr>
                </pic:pic>
              </a:graphicData>
            </a:graphic>
          </wp:inline>
        </w:drawing>
      </w:r>
    </w:p>
    <w:p w14:paraId="71EDF67D" w14:textId="77777777" w:rsidR="00A858C6" w:rsidRPr="00F72AEA" w:rsidRDefault="00A858C6" w:rsidP="00A858C6">
      <w:pPr>
        <w:rPr>
          <w:rFonts w:ascii="Arial" w:hAnsi="Arial" w:cs="Arial"/>
        </w:rPr>
      </w:pPr>
      <w:r w:rsidRPr="00DD31CA">
        <w:rPr>
          <w:rFonts w:ascii="Arial" w:hAnsi="Arial" w:cs="Arial"/>
          <w:noProof/>
        </w:rPr>
        <w:lastRenderedPageBreak/>
        <w:drawing>
          <wp:inline distT="0" distB="0" distL="0" distR="0" wp14:anchorId="0E96321D" wp14:editId="48096EBC">
            <wp:extent cx="6012180" cy="8968740"/>
            <wp:effectExtent l="0" t="0" r="7620" b="3810"/>
            <wp:docPr id="20856312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22349" cy="8983910"/>
                    </a:xfrm>
                    <a:prstGeom prst="rect">
                      <a:avLst/>
                    </a:prstGeom>
                    <a:noFill/>
                    <a:ln>
                      <a:noFill/>
                    </a:ln>
                  </pic:spPr>
                </pic:pic>
              </a:graphicData>
            </a:graphic>
          </wp:inline>
        </w:drawing>
      </w:r>
    </w:p>
    <w:p w14:paraId="79507A9D" w14:textId="00145579" w:rsidR="00784698" w:rsidRPr="00115C5C" w:rsidRDefault="001E6B1E" w:rsidP="007D3A99">
      <w:pPr>
        <w:rPr>
          <w:rFonts w:ascii="Arial" w:hAnsi="Arial" w:cs="Arial"/>
          <w:sz w:val="28"/>
          <w:szCs w:val="28"/>
        </w:rPr>
      </w:pPr>
      <w:r w:rsidRPr="00115C5C">
        <w:rPr>
          <w:rFonts w:ascii="Arial" w:hAnsi="Arial" w:cs="Arial"/>
          <w:b/>
          <w:bCs/>
          <w:sz w:val="28"/>
          <w:szCs w:val="28"/>
        </w:rPr>
        <w:lastRenderedPageBreak/>
        <w:t xml:space="preserve">C) </w:t>
      </w:r>
      <w:r w:rsidR="00A87B6C" w:rsidRPr="00115C5C">
        <w:rPr>
          <w:rFonts w:ascii="Arial" w:hAnsi="Arial" w:cs="Arial"/>
          <w:b/>
          <w:bCs/>
          <w:sz w:val="28"/>
          <w:szCs w:val="28"/>
        </w:rPr>
        <w:t>Rising Rate</w:t>
      </w:r>
      <w:r w:rsidR="00A87B6C" w:rsidRPr="00115C5C">
        <w:rPr>
          <w:rFonts w:ascii="Arial" w:hAnsi="Arial" w:cs="Arial"/>
          <w:sz w:val="28"/>
          <w:szCs w:val="28"/>
        </w:rPr>
        <w:t xml:space="preserve"> </w:t>
      </w:r>
      <w:r w:rsidR="00115C5C" w:rsidRPr="00115C5C">
        <w:rPr>
          <w:rFonts w:ascii="Arial" w:hAnsi="Arial" w:cs="Arial"/>
          <w:b/>
          <w:bCs/>
          <w:sz w:val="28"/>
          <w:szCs w:val="28"/>
        </w:rPr>
        <w:t>2005 to 2025 Market Data and Variable Observations</w:t>
      </w:r>
    </w:p>
    <w:p w14:paraId="21979F4C" w14:textId="40735D5A" w:rsidR="009373D1" w:rsidRPr="009373D1" w:rsidRDefault="0038581C" w:rsidP="009373D1">
      <w:pPr>
        <w:rPr>
          <w:rFonts w:ascii="Arial" w:hAnsi="Arial" w:cs="Arial"/>
          <w:b/>
          <w:bCs/>
        </w:rPr>
      </w:pPr>
      <w:r w:rsidRPr="0038581C">
        <w:rPr>
          <w:rFonts w:ascii="Arial" w:hAnsi="Arial" w:cs="Arial"/>
          <w:b/>
          <w:bCs/>
          <w:noProof/>
        </w:rPr>
        <w:drawing>
          <wp:inline distT="0" distB="0" distL="0" distR="0" wp14:anchorId="36BADF5F" wp14:editId="5487EA3E">
            <wp:extent cx="5882640" cy="8404860"/>
            <wp:effectExtent l="0" t="0" r="3810" b="0"/>
            <wp:docPr id="18870554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882640" cy="8404860"/>
                    </a:xfrm>
                    <a:prstGeom prst="rect">
                      <a:avLst/>
                    </a:prstGeom>
                    <a:noFill/>
                    <a:ln>
                      <a:noFill/>
                    </a:ln>
                  </pic:spPr>
                </pic:pic>
              </a:graphicData>
            </a:graphic>
          </wp:inline>
        </w:drawing>
      </w:r>
    </w:p>
    <w:p w14:paraId="27906E8B" w14:textId="5F98A672" w:rsidR="009373D1" w:rsidRPr="0039115F" w:rsidRDefault="0038581C" w:rsidP="009373D1">
      <w:pPr>
        <w:rPr>
          <w:rFonts w:ascii="Arial" w:hAnsi="Arial" w:cs="Arial"/>
          <w:b/>
          <w:bCs/>
        </w:rPr>
      </w:pPr>
      <w:r w:rsidRPr="0038581C">
        <w:rPr>
          <w:rFonts w:ascii="Arial" w:hAnsi="Arial" w:cs="Arial"/>
          <w:b/>
          <w:bCs/>
          <w:noProof/>
        </w:rPr>
        <w:lastRenderedPageBreak/>
        <w:drawing>
          <wp:inline distT="0" distB="0" distL="0" distR="0" wp14:anchorId="5430E89D" wp14:editId="1D7E2242">
            <wp:extent cx="5859780" cy="8823960"/>
            <wp:effectExtent l="0" t="0" r="7620" b="0"/>
            <wp:docPr id="14342772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859780" cy="8823960"/>
                    </a:xfrm>
                    <a:prstGeom prst="rect">
                      <a:avLst/>
                    </a:prstGeom>
                    <a:noFill/>
                    <a:ln>
                      <a:noFill/>
                    </a:ln>
                  </pic:spPr>
                </pic:pic>
              </a:graphicData>
            </a:graphic>
          </wp:inline>
        </w:drawing>
      </w:r>
    </w:p>
    <w:p w14:paraId="5D20DD6B" w14:textId="02232BBC" w:rsidR="00877543" w:rsidRDefault="007B68B7">
      <w:pPr>
        <w:rPr>
          <w:rFonts w:ascii="Arial" w:hAnsi="Arial" w:cs="Arial"/>
          <w:b/>
          <w:bCs/>
          <w:sz w:val="28"/>
          <w:szCs w:val="28"/>
        </w:rPr>
      </w:pPr>
      <w:r>
        <w:rPr>
          <w:rFonts w:ascii="Arial" w:hAnsi="Arial" w:cs="Arial"/>
          <w:b/>
          <w:bCs/>
          <w:sz w:val="28"/>
          <w:szCs w:val="28"/>
        </w:rPr>
        <w:lastRenderedPageBreak/>
        <w:t>D</w:t>
      </w:r>
      <w:r w:rsidRPr="00115C5C">
        <w:rPr>
          <w:rFonts w:ascii="Arial" w:hAnsi="Arial" w:cs="Arial"/>
          <w:b/>
          <w:bCs/>
          <w:sz w:val="28"/>
          <w:szCs w:val="28"/>
        </w:rPr>
        <w:t xml:space="preserve">) </w:t>
      </w:r>
      <w:r w:rsidR="00A12634">
        <w:rPr>
          <w:rFonts w:ascii="Arial" w:hAnsi="Arial" w:cs="Arial"/>
          <w:b/>
          <w:bCs/>
          <w:sz w:val="28"/>
          <w:szCs w:val="28"/>
        </w:rPr>
        <w:t>Falling</w:t>
      </w:r>
      <w:r w:rsidRPr="00115C5C">
        <w:rPr>
          <w:rFonts w:ascii="Arial" w:hAnsi="Arial" w:cs="Arial"/>
          <w:b/>
          <w:bCs/>
          <w:sz w:val="28"/>
          <w:szCs w:val="28"/>
        </w:rPr>
        <w:t xml:space="preserve"> Rate</w:t>
      </w:r>
      <w:r w:rsidRPr="00115C5C">
        <w:rPr>
          <w:rFonts w:ascii="Arial" w:hAnsi="Arial" w:cs="Arial"/>
          <w:sz w:val="28"/>
          <w:szCs w:val="28"/>
        </w:rPr>
        <w:t xml:space="preserve"> </w:t>
      </w:r>
      <w:r w:rsidRPr="00115C5C">
        <w:rPr>
          <w:rFonts w:ascii="Arial" w:hAnsi="Arial" w:cs="Arial"/>
          <w:b/>
          <w:bCs/>
          <w:sz w:val="28"/>
          <w:szCs w:val="28"/>
        </w:rPr>
        <w:t>2005 to 2025 Market Data and Variable Observations</w:t>
      </w:r>
      <w:r w:rsidR="008A76A3" w:rsidRPr="008A76A3">
        <w:rPr>
          <w:rFonts w:ascii="Arial" w:hAnsi="Arial" w:cs="Arial"/>
          <w:noProof/>
        </w:rPr>
        <w:drawing>
          <wp:inline distT="0" distB="0" distL="0" distR="0" wp14:anchorId="3475A6CC" wp14:editId="78C15228">
            <wp:extent cx="5844540" cy="8450580"/>
            <wp:effectExtent l="0" t="0" r="3810" b="7620"/>
            <wp:docPr id="10600909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844540" cy="8450580"/>
                    </a:xfrm>
                    <a:prstGeom prst="rect">
                      <a:avLst/>
                    </a:prstGeom>
                    <a:noFill/>
                    <a:ln>
                      <a:noFill/>
                    </a:ln>
                  </pic:spPr>
                </pic:pic>
              </a:graphicData>
            </a:graphic>
          </wp:inline>
        </w:drawing>
      </w:r>
    </w:p>
    <w:p w14:paraId="24085FCA" w14:textId="7042E5C7" w:rsidR="00980C5D" w:rsidRDefault="000F33C3">
      <w:pPr>
        <w:rPr>
          <w:rFonts w:ascii="Arial" w:hAnsi="Arial" w:cs="Arial"/>
          <w:b/>
          <w:bCs/>
          <w:sz w:val="28"/>
          <w:szCs w:val="28"/>
        </w:rPr>
      </w:pPr>
      <w:r w:rsidRPr="000F33C3">
        <w:rPr>
          <w:rFonts w:ascii="Arial" w:hAnsi="Arial" w:cs="Arial"/>
          <w:b/>
          <w:bCs/>
          <w:sz w:val="28"/>
          <w:szCs w:val="28"/>
        </w:rPr>
        <w:lastRenderedPageBreak/>
        <w:t>E) Descriptive Statistics</w:t>
      </w:r>
      <w:r w:rsidR="004928F3">
        <w:rPr>
          <w:rFonts w:ascii="Arial" w:hAnsi="Arial" w:cs="Arial"/>
          <w:b/>
          <w:bCs/>
          <w:sz w:val="28"/>
          <w:szCs w:val="28"/>
        </w:rPr>
        <w:t xml:space="preserve"> Analysis</w:t>
      </w:r>
      <w:r w:rsidRPr="000F33C3">
        <w:rPr>
          <w:rFonts w:ascii="Arial" w:hAnsi="Arial" w:cs="Arial"/>
          <w:b/>
          <w:bCs/>
          <w:sz w:val="28"/>
          <w:szCs w:val="28"/>
        </w:rPr>
        <w:t xml:space="preserve"> for the Full Period (2005-2025)</w:t>
      </w:r>
    </w:p>
    <w:p w14:paraId="4482C172" w14:textId="4FC9AB5C" w:rsidR="000F33C3" w:rsidRDefault="000F33C3">
      <w:pPr>
        <w:rPr>
          <w:rFonts w:ascii="Arial" w:hAnsi="Arial" w:cs="Arial"/>
          <w:b/>
          <w:bCs/>
          <w:sz w:val="28"/>
          <w:szCs w:val="28"/>
        </w:rPr>
      </w:pPr>
      <w:r>
        <w:rPr>
          <w:rFonts w:ascii="Arial" w:hAnsi="Arial" w:cs="Arial"/>
          <w:b/>
          <w:bCs/>
          <w:sz w:val="28"/>
          <w:szCs w:val="28"/>
        </w:rPr>
        <w:t>Table E1: Gold</w:t>
      </w:r>
    </w:p>
    <w:p w14:paraId="3301167A" w14:textId="2069281E" w:rsidR="000F33C3" w:rsidRDefault="00DA4F66" w:rsidP="000F33C3">
      <w:pPr>
        <w:jc w:val="center"/>
        <w:rPr>
          <w:rFonts w:ascii="Arial" w:hAnsi="Arial" w:cs="Arial"/>
          <w:b/>
          <w:bCs/>
          <w:sz w:val="28"/>
          <w:szCs w:val="28"/>
        </w:rPr>
      </w:pPr>
      <w:r w:rsidRPr="00DA4F66">
        <w:rPr>
          <w:rFonts w:ascii="Arial" w:hAnsi="Arial" w:cs="Arial"/>
          <w:b/>
          <w:bCs/>
          <w:noProof/>
          <w:sz w:val="28"/>
          <w:szCs w:val="28"/>
        </w:rPr>
        <w:drawing>
          <wp:inline distT="0" distB="0" distL="0" distR="0" wp14:anchorId="3D2E9206" wp14:editId="370F19AA">
            <wp:extent cx="3467100" cy="3329940"/>
            <wp:effectExtent l="0" t="0" r="0" b="3810"/>
            <wp:docPr id="12525034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467100" cy="3329940"/>
                    </a:xfrm>
                    <a:prstGeom prst="rect">
                      <a:avLst/>
                    </a:prstGeom>
                    <a:noFill/>
                    <a:ln>
                      <a:noFill/>
                    </a:ln>
                  </pic:spPr>
                </pic:pic>
              </a:graphicData>
            </a:graphic>
          </wp:inline>
        </w:drawing>
      </w:r>
    </w:p>
    <w:p w14:paraId="4A182155" w14:textId="2536BA9C" w:rsidR="00DA4F66" w:rsidRDefault="00DA4F66" w:rsidP="00DA4F66">
      <w:pPr>
        <w:rPr>
          <w:rFonts w:ascii="Arial" w:hAnsi="Arial" w:cs="Arial"/>
          <w:b/>
          <w:bCs/>
          <w:sz w:val="28"/>
          <w:szCs w:val="28"/>
        </w:rPr>
      </w:pPr>
      <w:r>
        <w:rPr>
          <w:rFonts w:ascii="Arial" w:hAnsi="Arial" w:cs="Arial"/>
          <w:b/>
          <w:bCs/>
          <w:sz w:val="28"/>
          <w:szCs w:val="28"/>
        </w:rPr>
        <w:t>Table E2: S&amp;P 500</w:t>
      </w:r>
    </w:p>
    <w:p w14:paraId="394CFC02" w14:textId="6D66C024" w:rsidR="00DA4F66" w:rsidRDefault="00DA4F66" w:rsidP="00DA4F66">
      <w:pPr>
        <w:jc w:val="center"/>
        <w:rPr>
          <w:rFonts w:ascii="Arial" w:hAnsi="Arial" w:cs="Arial"/>
          <w:b/>
          <w:bCs/>
          <w:sz w:val="28"/>
          <w:szCs w:val="28"/>
        </w:rPr>
      </w:pPr>
      <w:r w:rsidRPr="00DA4F66">
        <w:rPr>
          <w:rFonts w:ascii="Arial" w:hAnsi="Arial" w:cs="Arial"/>
          <w:b/>
          <w:bCs/>
          <w:noProof/>
          <w:sz w:val="28"/>
          <w:szCs w:val="28"/>
        </w:rPr>
        <w:drawing>
          <wp:inline distT="0" distB="0" distL="0" distR="0" wp14:anchorId="022A10A8" wp14:editId="16A78068">
            <wp:extent cx="3550920" cy="3916680"/>
            <wp:effectExtent l="0" t="0" r="0" b="7620"/>
            <wp:docPr id="16541134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50920" cy="3916680"/>
                    </a:xfrm>
                    <a:prstGeom prst="rect">
                      <a:avLst/>
                    </a:prstGeom>
                    <a:noFill/>
                    <a:ln>
                      <a:noFill/>
                    </a:ln>
                  </pic:spPr>
                </pic:pic>
              </a:graphicData>
            </a:graphic>
          </wp:inline>
        </w:drawing>
      </w:r>
    </w:p>
    <w:p w14:paraId="3ED0C852" w14:textId="12107F30" w:rsidR="00DA4F66" w:rsidRDefault="00DA4F66" w:rsidP="00DA4F66">
      <w:pPr>
        <w:rPr>
          <w:rFonts w:ascii="Arial" w:hAnsi="Arial" w:cs="Arial"/>
          <w:b/>
          <w:bCs/>
          <w:sz w:val="28"/>
          <w:szCs w:val="28"/>
        </w:rPr>
      </w:pPr>
      <w:r>
        <w:rPr>
          <w:rFonts w:ascii="Arial" w:hAnsi="Arial" w:cs="Arial"/>
          <w:b/>
          <w:bCs/>
          <w:sz w:val="28"/>
          <w:szCs w:val="28"/>
        </w:rPr>
        <w:lastRenderedPageBreak/>
        <w:t>Table E3: Nasdaq</w:t>
      </w:r>
    </w:p>
    <w:p w14:paraId="02B370CA" w14:textId="7D4A0D1C" w:rsidR="00DA4F66" w:rsidRDefault="000004C8" w:rsidP="000004C8">
      <w:pPr>
        <w:jc w:val="center"/>
        <w:rPr>
          <w:rFonts w:ascii="Arial" w:hAnsi="Arial" w:cs="Arial"/>
          <w:b/>
          <w:bCs/>
          <w:sz w:val="28"/>
          <w:szCs w:val="28"/>
        </w:rPr>
      </w:pPr>
      <w:r w:rsidRPr="000004C8">
        <w:rPr>
          <w:rFonts w:ascii="Arial" w:hAnsi="Arial" w:cs="Arial"/>
          <w:b/>
          <w:bCs/>
          <w:noProof/>
          <w:sz w:val="28"/>
          <w:szCs w:val="28"/>
        </w:rPr>
        <w:drawing>
          <wp:inline distT="0" distB="0" distL="0" distR="0" wp14:anchorId="4BA5397C" wp14:editId="420DB65E">
            <wp:extent cx="3429000" cy="3482340"/>
            <wp:effectExtent l="0" t="0" r="0" b="3810"/>
            <wp:docPr id="7391302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429000" cy="3482340"/>
                    </a:xfrm>
                    <a:prstGeom prst="rect">
                      <a:avLst/>
                    </a:prstGeom>
                    <a:noFill/>
                    <a:ln>
                      <a:noFill/>
                    </a:ln>
                  </pic:spPr>
                </pic:pic>
              </a:graphicData>
            </a:graphic>
          </wp:inline>
        </w:drawing>
      </w:r>
    </w:p>
    <w:p w14:paraId="22A4CD8C" w14:textId="1789C4D0" w:rsidR="000004C8" w:rsidRDefault="000004C8" w:rsidP="000004C8">
      <w:pPr>
        <w:rPr>
          <w:rFonts w:ascii="Arial" w:hAnsi="Arial" w:cs="Arial"/>
          <w:b/>
          <w:bCs/>
          <w:sz w:val="28"/>
          <w:szCs w:val="28"/>
        </w:rPr>
      </w:pPr>
      <w:r>
        <w:rPr>
          <w:rFonts w:ascii="Arial" w:hAnsi="Arial" w:cs="Arial"/>
          <w:b/>
          <w:bCs/>
          <w:sz w:val="28"/>
          <w:szCs w:val="28"/>
        </w:rPr>
        <w:t>Table E4: Interest Rate</w:t>
      </w:r>
    </w:p>
    <w:p w14:paraId="6D69B099" w14:textId="0FB50C11" w:rsidR="000004C8" w:rsidRDefault="000004C8" w:rsidP="000004C8">
      <w:pPr>
        <w:jc w:val="center"/>
        <w:rPr>
          <w:rFonts w:ascii="Arial" w:hAnsi="Arial" w:cs="Arial"/>
          <w:b/>
          <w:bCs/>
          <w:sz w:val="28"/>
          <w:szCs w:val="28"/>
        </w:rPr>
      </w:pPr>
      <w:r w:rsidRPr="000004C8">
        <w:rPr>
          <w:rFonts w:ascii="Arial" w:hAnsi="Arial" w:cs="Arial"/>
          <w:b/>
          <w:bCs/>
          <w:noProof/>
          <w:sz w:val="28"/>
          <w:szCs w:val="28"/>
        </w:rPr>
        <w:drawing>
          <wp:inline distT="0" distB="0" distL="0" distR="0" wp14:anchorId="6D7F2624" wp14:editId="5396AAC7">
            <wp:extent cx="3459480" cy="4114800"/>
            <wp:effectExtent l="0" t="0" r="7620" b="0"/>
            <wp:docPr id="8386317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459480" cy="4114800"/>
                    </a:xfrm>
                    <a:prstGeom prst="rect">
                      <a:avLst/>
                    </a:prstGeom>
                    <a:noFill/>
                    <a:ln>
                      <a:noFill/>
                    </a:ln>
                  </pic:spPr>
                </pic:pic>
              </a:graphicData>
            </a:graphic>
          </wp:inline>
        </w:drawing>
      </w:r>
    </w:p>
    <w:p w14:paraId="16ED14B5" w14:textId="6E4B840B" w:rsidR="000004C8" w:rsidRDefault="000004C8" w:rsidP="000004C8">
      <w:pPr>
        <w:rPr>
          <w:rFonts w:ascii="Arial" w:hAnsi="Arial" w:cs="Arial"/>
          <w:b/>
          <w:bCs/>
          <w:sz w:val="28"/>
          <w:szCs w:val="28"/>
        </w:rPr>
      </w:pPr>
      <w:r>
        <w:rPr>
          <w:rFonts w:ascii="Arial" w:hAnsi="Arial" w:cs="Arial"/>
          <w:b/>
          <w:bCs/>
          <w:sz w:val="28"/>
          <w:szCs w:val="28"/>
        </w:rPr>
        <w:lastRenderedPageBreak/>
        <w:t>F</w:t>
      </w:r>
      <w:r w:rsidRPr="000F33C3">
        <w:rPr>
          <w:rFonts w:ascii="Arial" w:hAnsi="Arial" w:cs="Arial"/>
          <w:b/>
          <w:bCs/>
          <w:sz w:val="28"/>
          <w:szCs w:val="28"/>
        </w:rPr>
        <w:t xml:space="preserve">) Descriptive Statistics for the </w:t>
      </w:r>
      <w:r>
        <w:rPr>
          <w:rFonts w:ascii="Arial" w:hAnsi="Arial" w:cs="Arial"/>
          <w:b/>
          <w:bCs/>
          <w:sz w:val="28"/>
          <w:szCs w:val="28"/>
        </w:rPr>
        <w:t xml:space="preserve">Rising Rate Cycle </w:t>
      </w:r>
      <w:r w:rsidRPr="000F33C3">
        <w:rPr>
          <w:rFonts w:ascii="Arial" w:hAnsi="Arial" w:cs="Arial"/>
          <w:b/>
          <w:bCs/>
          <w:sz w:val="28"/>
          <w:szCs w:val="28"/>
        </w:rPr>
        <w:t>(2005-2025)</w:t>
      </w:r>
    </w:p>
    <w:p w14:paraId="05ECF1BB" w14:textId="65FD6593" w:rsidR="000004C8" w:rsidRDefault="008F76FA" w:rsidP="000004C8">
      <w:pPr>
        <w:rPr>
          <w:rFonts w:ascii="Arial" w:hAnsi="Arial" w:cs="Arial"/>
          <w:b/>
          <w:bCs/>
          <w:sz w:val="28"/>
          <w:szCs w:val="28"/>
        </w:rPr>
      </w:pPr>
      <w:r w:rsidRPr="008F76FA">
        <w:rPr>
          <w:rFonts w:ascii="Arial" w:hAnsi="Arial" w:cs="Arial"/>
          <w:b/>
          <w:bCs/>
          <w:noProof/>
          <w:sz w:val="28"/>
          <w:szCs w:val="28"/>
        </w:rPr>
        <w:drawing>
          <wp:inline distT="0" distB="0" distL="0" distR="0" wp14:anchorId="5414469B" wp14:editId="58227C87">
            <wp:extent cx="6083300" cy="2800350"/>
            <wp:effectExtent l="0" t="0" r="0" b="0"/>
            <wp:docPr id="11777620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083300" cy="2800350"/>
                    </a:xfrm>
                    <a:prstGeom prst="rect">
                      <a:avLst/>
                    </a:prstGeom>
                    <a:noFill/>
                    <a:ln>
                      <a:noFill/>
                    </a:ln>
                  </pic:spPr>
                </pic:pic>
              </a:graphicData>
            </a:graphic>
          </wp:inline>
        </w:drawing>
      </w:r>
    </w:p>
    <w:p w14:paraId="77978395" w14:textId="77777777" w:rsidR="0099013C" w:rsidRDefault="0099013C" w:rsidP="000004C8">
      <w:pPr>
        <w:rPr>
          <w:rFonts w:ascii="Arial" w:hAnsi="Arial" w:cs="Arial"/>
          <w:b/>
          <w:bCs/>
          <w:sz w:val="28"/>
          <w:szCs w:val="28"/>
        </w:rPr>
      </w:pPr>
    </w:p>
    <w:p w14:paraId="04DCDD88" w14:textId="0EE76359" w:rsidR="008F76FA" w:rsidRDefault="00D7638C" w:rsidP="008F76FA">
      <w:pPr>
        <w:rPr>
          <w:rFonts w:ascii="Arial" w:hAnsi="Arial" w:cs="Arial"/>
          <w:b/>
          <w:bCs/>
          <w:sz w:val="28"/>
          <w:szCs w:val="28"/>
        </w:rPr>
      </w:pPr>
      <w:r>
        <w:rPr>
          <w:rFonts w:ascii="Arial" w:hAnsi="Arial" w:cs="Arial"/>
          <w:b/>
          <w:bCs/>
          <w:sz w:val="28"/>
          <w:szCs w:val="28"/>
        </w:rPr>
        <w:t>G</w:t>
      </w:r>
      <w:r w:rsidR="008F76FA" w:rsidRPr="000F33C3">
        <w:rPr>
          <w:rFonts w:ascii="Arial" w:hAnsi="Arial" w:cs="Arial"/>
          <w:b/>
          <w:bCs/>
          <w:sz w:val="28"/>
          <w:szCs w:val="28"/>
        </w:rPr>
        <w:t xml:space="preserve">) Descriptive Statistics for the </w:t>
      </w:r>
      <w:r w:rsidR="008F76FA">
        <w:rPr>
          <w:rFonts w:ascii="Arial" w:hAnsi="Arial" w:cs="Arial"/>
          <w:b/>
          <w:bCs/>
          <w:sz w:val="28"/>
          <w:szCs w:val="28"/>
        </w:rPr>
        <w:t xml:space="preserve">Falling Rate Cycle </w:t>
      </w:r>
      <w:r w:rsidR="008F76FA" w:rsidRPr="000F33C3">
        <w:rPr>
          <w:rFonts w:ascii="Arial" w:hAnsi="Arial" w:cs="Arial"/>
          <w:b/>
          <w:bCs/>
          <w:sz w:val="28"/>
          <w:szCs w:val="28"/>
        </w:rPr>
        <w:t>(2005-2025)</w:t>
      </w:r>
    </w:p>
    <w:p w14:paraId="5DADE288" w14:textId="24E58476" w:rsidR="008F76FA" w:rsidRDefault="0099013C" w:rsidP="008F76FA">
      <w:pPr>
        <w:rPr>
          <w:rFonts w:ascii="Arial" w:hAnsi="Arial" w:cs="Arial"/>
          <w:b/>
          <w:bCs/>
          <w:sz w:val="28"/>
          <w:szCs w:val="28"/>
        </w:rPr>
      </w:pPr>
      <w:r w:rsidRPr="0099013C">
        <w:rPr>
          <w:rFonts w:ascii="Arial" w:hAnsi="Arial" w:cs="Arial"/>
          <w:b/>
          <w:bCs/>
          <w:noProof/>
          <w:sz w:val="28"/>
          <w:szCs w:val="28"/>
        </w:rPr>
        <w:drawing>
          <wp:inline distT="0" distB="0" distL="0" distR="0" wp14:anchorId="07A60B56" wp14:editId="5826C275">
            <wp:extent cx="6115050" cy="2914650"/>
            <wp:effectExtent l="0" t="0" r="0" b="0"/>
            <wp:docPr id="15659480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115050" cy="2914650"/>
                    </a:xfrm>
                    <a:prstGeom prst="rect">
                      <a:avLst/>
                    </a:prstGeom>
                    <a:noFill/>
                    <a:ln>
                      <a:noFill/>
                    </a:ln>
                  </pic:spPr>
                </pic:pic>
              </a:graphicData>
            </a:graphic>
          </wp:inline>
        </w:drawing>
      </w:r>
    </w:p>
    <w:p w14:paraId="372A9084" w14:textId="77777777" w:rsidR="000004C8" w:rsidRDefault="000004C8" w:rsidP="000004C8">
      <w:pPr>
        <w:rPr>
          <w:rFonts w:ascii="Arial" w:hAnsi="Arial" w:cs="Arial"/>
          <w:b/>
          <w:bCs/>
          <w:sz w:val="28"/>
          <w:szCs w:val="28"/>
        </w:rPr>
      </w:pPr>
    </w:p>
    <w:p w14:paraId="2B89F71B" w14:textId="77777777" w:rsidR="00DA4F66" w:rsidRDefault="00DA4F66" w:rsidP="00DA4F66">
      <w:pPr>
        <w:rPr>
          <w:rFonts w:ascii="Arial" w:hAnsi="Arial" w:cs="Arial"/>
          <w:b/>
          <w:bCs/>
          <w:sz w:val="28"/>
          <w:szCs w:val="28"/>
        </w:rPr>
      </w:pPr>
    </w:p>
    <w:p w14:paraId="388C5669" w14:textId="77777777" w:rsidR="00D7638C" w:rsidRDefault="00D7638C" w:rsidP="00DA4F66">
      <w:pPr>
        <w:rPr>
          <w:rFonts w:ascii="Arial" w:hAnsi="Arial" w:cs="Arial"/>
          <w:b/>
          <w:bCs/>
          <w:sz w:val="28"/>
          <w:szCs w:val="28"/>
        </w:rPr>
      </w:pPr>
    </w:p>
    <w:p w14:paraId="4C51FB4A" w14:textId="77777777" w:rsidR="00D7638C" w:rsidRDefault="00D7638C" w:rsidP="00DA4F66">
      <w:pPr>
        <w:rPr>
          <w:rFonts w:ascii="Arial" w:hAnsi="Arial" w:cs="Arial"/>
          <w:b/>
          <w:bCs/>
          <w:sz w:val="28"/>
          <w:szCs w:val="28"/>
        </w:rPr>
      </w:pPr>
    </w:p>
    <w:p w14:paraId="36955FFC" w14:textId="49C9F24B" w:rsidR="00D7638C" w:rsidRDefault="00D7638C" w:rsidP="00DA4F66">
      <w:pPr>
        <w:rPr>
          <w:rFonts w:ascii="Arial" w:hAnsi="Arial" w:cs="Arial"/>
          <w:b/>
          <w:bCs/>
          <w:sz w:val="28"/>
          <w:szCs w:val="28"/>
        </w:rPr>
      </w:pPr>
      <w:r>
        <w:rPr>
          <w:rFonts w:ascii="Arial" w:hAnsi="Arial" w:cs="Arial"/>
          <w:b/>
          <w:bCs/>
          <w:sz w:val="28"/>
          <w:szCs w:val="28"/>
        </w:rPr>
        <w:lastRenderedPageBreak/>
        <w:t>H) Regression Analysis</w:t>
      </w:r>
      <w:r w:rsidRPr="000F33C3">
        <w:rPr>
          <w:rFonts w:ascii="Arial" w:hAnsi="Arial" w:cs="Arial"/>
          <w:b/>
          <w:bCs/>
          <w:sz w:val="28"/>
          <w:szCs w:val="28"/>
        </w:rPr>
        <w:t xml:space="preserve"> for the Full Period (2005-2025)</w:t>
      </w:r>
    </w:p>
    <w:p w14:paraId="79EE829E" w14:textId="3F3C5A3B" w:rsidR="00D7638C" w:rsidRDefault="00D7638C" w:rsidP="00DA4F66">
      <w:pPr>
        <w:rPr>
          <w:rFonts w:ascii="Arial" w:hAnsi="Arial" w:cs="Arial"/>
          <w:b/>
          <w:bCs/>
          <w:sz w:val="28"/>
          <w:szCs w:val="28"/>
        </w:rPr>
      </w:pPr>
      <w:r>
        <w:rPr>
          <w:rFonts w:ascii="Arial" w:hAnsi="Arial" w:cs="Arial"/>
          <w:b/>
          <w:bCs/>
          <w:sz w:val="28"/>
          <w:szCs w:val="28"/>
        </w:rPr>
        <w:t>Tab</w:t>
      </w:r>
      <w:r w:rsidR="00B91A91">
        <w:rPr>
          <w:rFonts w:ascii="Arial" w:hAnsi="Arial" w:cs="Arial"/>
          <w:b/>
          <w:bCs/>
          <w:sz w:val="28"/>
          <w:szCs w:val="28"/>
        </w:rPr>
        <w:t>le</w:t>
      </w:r>
      <w:r>
        <w:rPr>
          <w:rFonts w:ascii="Arial" w:hAnsi="Arial" w:cs="Arial"/>
          <w:b/>
          <w:bCs/>
          <w:sz w:val="28"/>
          <w:szCs w:val="28"/>
        </w:rPr>
        <w:t xml:space="preserve"> H1: Gold and Interest Rate </w:t>
      </w:r>
    </w:p>
    <w:p w14:paraId="5CD5B811" w14:textId="3E7FA140" w:rsidR="006A1D3B" w:rsidRDefault="006A1D3B" w:rsidP="00DA4F66">
      <w:pPr>
        <w:rPr>
          <w:rFonts w:ascii="Arial" w:hAnsi="Arial" w:cs="Arial"/>
          <w:b/>
          <w:bCs/>
          <w:sz w:val="28"/>
          <w:szCs w:val="28"/>
        </w:rPr>
      </w:pPr>
      <w:r w:rsidRPr="006A1D3B">
        <w:rPr>
          <w:rFonts w:ascii="Arial" w:hAnsi="Arial" w:cs="Arial"/>
          <w:b/>
          <w:bCs/>
          <w:noProof/>
          <w:sz w:val="28"/>
          <w:szCs w:val="28"/>
        </w:rPr>
        <w:drawing>
          <wp:inline distT="0" distB="0" distL="0" distR="0" wp14:anchorId="687E010C" wp14:editId="5C6C58E6">
            <wp:extent cx="6080760" cy="2750127"/>
            <wp:effectExtent l="0" t="0" r="0" b="0"/>
            <wp:docPr id="3971776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088633" cy="2753688"/>
                    </a:xfrm>
                    <a:prstGeom prst="rect">
                      <a:avLst/>
                    </a:prstGeom>
                    <a:noFill/>
                    <a:ln>
                      <a:noFill/>
                    </a:ln>
                  </pic:spPr>
                </pic:pic>
              </a:graphicData>
            </a:graphic>
          </wp:inline>
        </w:drawing>
      </w:r>
    </w:p>
    <w:p w14:paraId="201A3414" w14:textId="77777777" w:rsidR="006A1D3B" w:rsidRDefault="006A1D3B" w:rsidP="00DA4F66">
      <w:pPr>
        <w:rPr>
          <w:rFonts w:ascii="Arial" w:hAnsi="Arial" w:cs="Arial"/>
          <w:b/>
          <w:bCs/>
          <w:sz w:val="28"/>
          <w:szCs w:val="28"/>
        </w:rPr>
      </w:pPr>
    </w:p>
    <w:p w14:paraId="72DFC7BD" w14:textId="5BCB44C6" w:rsidR="006A1D3B" w:rsidRDefault="006A1D3B" w:rsidP="00DA4F66">
      <w:pPr>
        <w:rPr>
          <w:rFonts w:ascii="Arial" w:hAnsi="Arial" w:cs="Arial"/>
          <w:b/>
          <w:bCs/>
          <w:sz w:val="28"/>
          <w:szCs w:val="28"/>
        </w:rPr>
      </w:pPr>
      <w:r>
        <w:rPr>
          <w:rFonts w:ascii="Arial" w:hAnsi="Arial" w:cs="Arial"/>
          <w:b/>
          <w:bCs/>
          <w:sz w:val="28"/>
          <w:szCs w:val="28"/>
        </w:rPr>
        <w:t>Table H2: Gold, Interest Rate and S&amp;P 500</w:t>
      </w:r>
    </w:p>
    <w:p w14:paraId="1EDB3AC7" w14:textId="01CCDAED" w:rsidR="006A1D3B" w:rsidRDefault="006A1D3B" w:rsidP="00DA4F66">
      <w:pPr>
        <w:rPr>
          <w:rFonts w:ascii="Arial" w:hAnsi="Arial" w:cs="Arial"/>
          <w:b/>
          <w:bCs/>
          <w:sz w:val="28"/>
          <w:szCs w:val="28"/>
        </w:rPr>
      </w:pPr>
      <w:r w:rsidRPr="006A1D3B">
        <w:rPr>
          <w:rFonts w:ascii="Arial" w:hAnsi="Arial" w:cs="Arial"/>
          <w:b/>
          <w:bCs/>
          <w:noProof/>
          <w:sz w:val="28"/>
          <w:szCs w:val="28"/>
        </w:rPr>
        <w:drawing>
          <wp:inline distT="0" distB="0" distL="0" distR="0" wp14:anchorId="4CA68A56" wp14:editId="6D2E7911">
            <wp:extent cx="6079998" cy="3026814"/>
            <wp:effectExtent l="0" t="0" r="0" b="2540"/>
            <wp:docPr id="156435808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092837" cy="3033206"/>
                    </a:xfrm>
                    <a:prstGeom prst="rect">
                      <a:avLst/>
                    </a:prstGeom>
                    <a:noFill/>
                    <a:ln>
                      <a:noFill/>
                    </a:ln>
                  </pic:spPr>
                </pic:pic>
              </a:graphicData>
            </a:graphic>
          </wp:inline>
        </w:drawing>
      </w:r>
    </w:p>
    <w:p w14:paraId="372A9B90" w14:textId="77777777" w:rsidR="006A1D3B" w:rsidRDefault="006A1D3B" w:rsidP="00DA4F66">
      <w:pPr>
        <w:rPr>
          <w:rFonts w:ascii="Arial" w:hAnsi="Arial" w:cs="Arial"/>
          <w:b/>
          <w:bCs/>
          <w:sz w:val="28"/>
          <w:szCs w:val="28"/>
        </w:rPr>
      </w:pPr>
    </w:p>
    <w:p w14:paraId="7BBA3F1F" w14:textId="77777777" w:rsidR="006A1D3B" w:rsidRDefault="006A1D3B" w:rsidP="00DA4F66">
      <w:pPr>
        <w:rPr>
          <w:rFonts w:ascii="Arial" w:hAnsi="Arial" w:cs="Arial"/>
          <w:b/>
          <w:bCs/>
          <w:sz w:val="28"/>
          <w:szCs w:val="28"/>
        </w:rPr>
      </w:pPr>
    </w:p>
    <w:p w14:paraId="36E3820C" w14:textId="77777777" w:rsidR="006A1D3B" w:rsidRDefault="006A1D3B" w:rsidP="00DA4F66">
      <w:pPr>
        <w:rPr>
          <w:rFonts w:ascii="Arial" w:hAnsi="Arial" w:cs="Arial"/>
          <w:b/>
          <w:bCs/>
          <w:sz w:val="28"/>
          <w:szCs w:val="28"/>
        </w:rPr>
      </w:pPr>
    </w:p>
    <w:p w14:paraId="265B9C18" w14:textId="6FADEF8C" w:rsidR="006A1D3B" w:rsidRDefault="006A1D3B" w:rsidP="00DA4F66">
      <w:pPr>
        <w:rPr>
          <w:rFonts w:ascii="Arial" w:hAnsi="Arial" w:cs="Arial"/>
          <w:b/>
          <w:bCs/>
          <w:sz w:val="28"/>
          <w:szCs w:val="28"/>
        </w:rPr>
      </w:pPr>
      <w:r>
        <w:rPr>
          <w:rFonts w:ascii="Arial" w:hAnsi="Arial" w:cs="Arial"/>
          <w:b/>
          <w:bCs/>
          <w:sz w:val="28"/>
          <w:szCs w:val="28"/>
        </w:rPr>
        <w:lastRenderedPageBreak/>
        <w:t>Table H3: Gold, Interest Rate and Nasdaq</w:t>
      </w:r>
    </w:p>
    <w:p w14:paraId="17A6F078" w14:textId="53E8E052" w:rsidR="006A1D3B" w:rsidRDefault="006A1D3B" w:rsidP="00DA4F66">
      <w:pPr>
        <w:rPr>
          <w:rFonts w:ascii="Arial" w:hAnsi="Arial" w:cs="Arial"/>
          <w:b/>
          <w:bCs/>
          <w:sz w:val="28"/>
          <w:szCs w:val="28"/>
        </w:rPr>
      </w:pPr>
      <w:r w:rsidRPr="006A1D3B">
        <w:rPr>
          <w:rFonts w:ascii="Arial" w:hAnsi="Arial" w:cs="Arial"/>
          <w:b/>
          <w:bCs/>
          <w:noProof/>
          <w:sz w:val="28"/>
          <w:szCs w:val="28"/>
        </w:rPr>
        <w:drawing>
          <wp:inline distT="0" distB="0" distL="0" distR="0" wp14:anchorId="64D72CF6" wp14:editId="0B686D39">
            <wp:extent cx="5887720" cy="2722418"/>
            <wp:effectExtent l="0" t="0" r="0" b="1905"/>
            <wp:docPr id="10188843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907633" cy="2731626"/>
                    </a:xfrm>
                    <a:prstGeom prst="rect">
                      <a:avLst/>
                    </a:prstGeom>
                    <a:noFill/>
                    <a:ln>
                      <a:noFill/>
                    </a:ln>
                  </pic:spPr>
                </pic:pic>
              </a:graphicData>
            </a:graphic>
          </wp:inline>
        </w:drawing>
      </w:r>
    </w:p>
    <w:p w14:paraId="7C3ED7AB" w14:textId="77777777" w:rsidR="006A1D3B" w:rsidRDefault="006A1D3B" w:rsidP="00DA4F66">
      <w:pPr>
        <w:rPr>
          <w:rFonts w:ascii="Arial" w:hAnsi="Arial" w:cs="Arial"/>
          <w:b/>
          <w:bCs/>
          <w:sz w:val="28"/>
          <w:szCs w:val="28"/>
        </w:rPr>
      </w:pPr>
    </w:p>
    <w:p w14:paraId="10F2D9E2" w14:textId="050BF96E" w:rsidR="006A1D3B" w:rsidRDefault="006A1D3B" w:rsidP="00DA4F66">
      <w:pPr>
        <w:rPr>
          <w:rFonts w:ascii="Arial" w:hAnsi="Arial" w:cs="Arial"/>
          <w:b/>
          <w:bCs/>
          <w:sz w:val="28"/>
          <w:szCs w:val="28"/>
        </w:rPr>
      </w:pPr>
      <w:r>
        <w:rPr>
          <w:rFonts w:ascii="Arial" w:hAnsi="Arial" w:cs="Arial"/>
          <w:b/>
          <w:bCs/>
          <w:sz w:val="28"/>
          <w:szCs w:val="28"/>
        </w:rPr>
        <w:t>I) Regression Analysis</w:t>
      </w:r>
      <w:r w:rsidRPr="000F33C3">
        <w:rPr>
          <w:rFonts w:ascii="Arial" w:hAnsi="Arial" w:cs="Arial"/>
          <w:b/>
          <w:bCs/>
          <w:sz w:val="28"/>
          <w:szCs w:val="28"/>
        </w:rPr>
        <w:t xml:space="preserve"> for the </w:t>
      </w:r>
      <w:r>
        <w:rPr>
          <w:rFonts w:ascii="Arial" w:hAnsi="Arial" w:cs="Arial"/>
          <w:b/>
          <w:bCs/>
          <w:sz w:val="28"/>
          <w:szCs w:val="28"/>
        </w:rPr>
        <w:t xml:space="preserve">Rising Rate Cycle </w:t>
      </w:r>
      <w:r w:rsidRPr="000F33C3">
        <w:rPr>
          <w:rFonts w:ascii="Arial" w:hAnsi="Arial" w:cs="Arial"/>
          <w:b/>
          <w:bCs/>
          <w:sz w:val="28"/>
          <w:szCs w:val="28"/>
        </w:rPr>
        <w:t>(2005-2025)</w:t>
      </w:r>
    </w:p>
    <w:p w14:paraId="5D3536A2" w14:textId="24F7658E" w:rsidR="006A1D3B" w:rsidRDefault="00F5324F" w:rsidP="00DA4F66">
      <w:pPr>
        <w:rPr>
          <w:rFonts w:ascii="Arial" w:hAnsi="Arial" w:cs="Arial"/>
          <w:b/>
          <w:bCs/>
          <w:sz w:val="28"/>
          <w:szCs w:val="28"/>
        </w:rPr>
      </w:pPr>
      <w:r w:rsidRPr="00F5324F">
        <w:rPr>
          <w:rFonts w:ascii="Arial" w:hAnsi="Arial" w:cs="Arial"/>
          <w:b/>
          <w:bCs/>
          <w:noProof/>
          <w:sz w:val="28"/>
          <w:szCs w:val="28"/>
        </w:rPr>
        <w:drawing>
          <wp:inline distT="0" distB="0" distL="0" distR="0" wp14:anchorId="31958A33" wp14:editId="7B278612">
            <wp:extent cx="6054436" cy="3324860"/>
            <wp:effectExtent l="0" t="0" r="3810" b="8890"/>
            <wp:docPr id="17192702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067579" cy="3332077"/>
                    </a:xfrm>
                    <a:prstGeom prst="rect">
                      <a:avLst/>
                    </a:prstGeom>
                    <a:noFill/>
                    <a:ln>
                      <a:noFill/>
                    </a:ln>
                  </pic:spPr>
                </pic:pic>
              </a:graphicData>
            </a:graphic>
          </wp:inline>
        </w:drawing>
      </w:r>
    </w:p>
    <w:p w14:paraId="1C620BC8" w14:textId="77777777" w:rsidR="00F5324F" w:rsidRDefault="00F5324F" w:rsidP="00DA4F66">
      <w:pPr>
        <w:rPr>
          <w:rFonts w:ascii="Arial" w:hAnsi="Arial" w:cs="Arial"/>
          <w:b/>
          <w:bCs/>
          <w:sz w:val="28"/>
          <w:szCs w:val="28"/>
        </w:rPr>
      </w:pPr>
    </w:p>
    <w:p w14:paraId="2F0EAAB5" w14:textId="77777777" w:rsidR="00F5324F" w:rsidRDefault="00F5324F" w:rsidP="00DA4F66">
      <w:pPr>
        <w:rPr>
          <w:rFonts w:ascii="Arial" w:hAnsi="Arial" w:cs="Arial"/>
          <w:b/>
          <w:bCs/>
          <w:sz w:val="28"/>
          <w:szCs w:val="28"/>
        </w:rPr>
      </w:pPr>
    </w:p>
    <w:p w14:paraId="001DF081" w14:textId="77777777" w:rsidR="00F5324F" w:rsidRDefault="00F5324F" w:rsidP="00DA4F66">
      <w:pPr>
        <w:rPr>
          <w:rFonts w:ascii="Arial" w:hAnsi="Arial" w:cs="Arial"/>
          <w:b/>
          <w:bCs/>
          <w:sz w:val="28"/>
          <w:szCs w:val="28"/>
        </w:rPr>
      </w:pPr>
    </w:p>
    <w:p w14:paraId="770045E6" w14:textId="65676C34" w:rsidR="00F5324F" w:rsidRDefault="00F5324F" w:rsidP="00DA4F66">
      <w:pPr>
        <w:rPr>
          <w:rFonts w:ascii="Arial" w:hAnsi="Arial" w:cs="Arial"/>
          <w:b/>
          <w:bCs/>
          <w:sz w:val="28"/>
          <w:szCs w:val="28"/>
        </w:rPr>
      </w:pPr>
      <w:r>
        <w:rPr>
          <w:rFonts w:ascii="Arial" w:hAnsi="Arial" w:cs="Arial"/>
          <w:b/>
          <w:bCs/>
          <w:sz w:val="28"/>
          <w:szCs w:val="28"/>
        </w:rPr>
        <w:lastRenderedPageBreak/>
        <w:t>J) Regression Analysis</w:t>
      </w:r>
      <w:r w:rsidRPr="000F33C3">
        <w:rPr>
          <w:rFonts w:ascii="Arial" w:hAnsi="Arial" w:cs="Arial"/>
          <w:b/>
          <w:bCs/>
          <w:sz w:val="28"/>
          <w:szCs w:val="28"/>
        </w:rPr>
        <w:t xml:space="preserve"> for the</w:t>
      </w:r>
      <w:r>
        <w:rPr>
          <w:rFonts w:ascii="Arial" w:hAnsi="Arial" w:cs="Arial"/>
          <w:b/>
          <w:bCs/>
          <w:sz w:val="28"/>
          <w:szCs w:val="28"/>
        </w:rPr>
        <w:t xml:space="preserve"> Falling Rate Cycle </w:t>
      </w:r>
      <w:r w:rsidRPr="000F33C3">
        <w:rPr>
          <w:rFonts w:ascii="Arial" w:hAnsi="Arial" w:cs="Arial"/>
          <w:b/>
          <w:bCs/>
          <w:sz w:val="28"/>
          <w:szCs w:val="28"/>
        </w:rPr>
        <w:t>(2005-2025)</w:t>
      </w:r>
    </w:p>
    <w:p w14:paraId="0F5A92D3" w14:textId="2C6F8045" w:rsidR="00F5324F" w:rsidRDefault="00F5324F" w:rsidP="00DA4F66">
      <w:pPr>
        <w:rPr>
          <w:rFonts w:ascii="Arial" w:hAnsi="Arial" w:cs="Arial"/>
          <w:b/>
          <w:bCs/>
          <w:sz w:val="28"/>
          <w:szCs w:val="28"/>
        </w:rPr>
      </w:pPr>
      <w:r w:rsidRPr="00F5324F">
        <w:rPr>
          <w:rFonts w:ascii="Arial" w:hAnsi="Arial" w:cs="Arial"/>
          <w:b/>
          <w:bCs/>
          <w:noProof/>
          <w:sz w:val="28"/>
          <w:szCs w:val="28"/>
        </w:rPr>
        <w:drawing>
          <wp:inline distT="0" distB="0" distL="0" distR="0" wp14:anchorId="0C2D01AB" wp14:editId="4D9C9A2A">
            <wp:extent cx="5929630" cy="3124200"/>
            <wp:effectExtent l="0" t="0" r="0" b="0"/>
            <wp:docPr id="79062279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50775" cy="3135341"/>
                    </a:xfrm>
                    <a:prstGeom prst="rect">
                      <a:avLst/>
                    </a:prstGeom>
                    <a:noFill/>
                    <a:ln>
                      <a:noFill/>
                    </a:ln>
                  </pic:spPr>
                </pic:pic>
              </a:graphicData>
            </a:graphic>
          </wp:inline>
        </w:drawing>
      </w:r>
    </w:p>
    <w:p w14:paraId="01866470" w14:textId="3A224437" w:rsidR="00F5324F" w:rsidRPr="000F33C3" w:rsidRDefault="00F5324F" w:rsidP="00DA4F66">
      <w:pPr>
        <w:rPr>
          <w:rFonts w:ascii="Arial" w:hAnsi="Arial" w:cs="Arial"/>
          <w:b/>
          <w:bCs/>
          <w:sz w:val="28"/>
          <w:szCs w:val="28"/>
        </w:rPr>
      </w:pPr>
    </w:p>
    <w:sectPr w:rsidR="00F5324F" w:rsidRPr="000F33C3" w:rsidSect="00165C03">
      <w:footerReference w:type="default" r:id="rId107"/>
      <w:footerReference w:type="first" r:id="rId10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081F7" w14:textId="77777777" w:rsidR="005053AE" w:rsidRDefault="005053AE" w:rsidP="00165C03">
      <w:pPr>
        <w:spacing w:after="0" w:line="240" w:lineRule="auto"/>
      </w:pPr>
      <w:r>
        <w:separator/>
      </w:r>
    </w:p>
  </w:endnote>
  <w:endnote w:type="continuationSeparator" w:id="0">
    <w:p w14:paraId="47AF30FF" w14:textId="77777777" w:rsidR="005053AE" w:rsidRDefault="005053AE" w:rsidP="0016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0918133"/>
      <w:docPartObj>
        <w:docPartGallery w:val="Page Numbers (Bottom of Page)"/>
        <w:docPartUnique/>
      </w:docPartObj>
    </w:sdtPr>
    <w:sdtEndPr>
      <w:rPr>
        <w:noProof/>
      </w:rPr>
    </w:sdtEndPr>
    <w:sdtContent>
      <w:p w14:paraId="27D6566C" w14:textId="6025E15A" w:rsidR="00165C03" w:rsidRDefault="00165C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D2B385" w14:textId="66EE251C" w:rsidR="00165C03" w:rsidRDefault="00165C03" w:rsidP="00165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27770"/>
      <w:docPartObj>
        <w:docPartGallery w:val="Page Numbers (Bottom of Page)"/>
        <w:docPartUnique/>
      </w:docPartObj>
    </w:sdtPr>
    <w:sdtEndPr>
      <w:rPr>
        <w:noProof/>
      </w:rPr>
    </w:sdtEndPr>
    <w:sdtContent>
      <w:p w14:paraId="554951B8" w14:textId="002429A2" w:rsidR="00165C03" w:rsidRDefault="00165C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683B41" w14:textId="3356D8E5" w:rsidR="00165C03" w:rsidRDefault="00165C03" w:rsidP="00165C0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7E949" w14:textId="77777777" w:rsidR="005053AE" w:rsidRDefault="005053AE" w:rsidP="00165C03">
      <w:pPr>
        <w:spacing w:after="0" w:line="240" w:lineRule="auto"/>
      </w:pPr>
      <w:r>
        <w:separator/>
      </w:r>
    </w:p>
  </w:footnote>
  <w:footnote w:type="continuationSeparator" w:id="0">
    <w:p w14:paraId="1B733396" w14:textId="77777777" w:rsidR="005053AE" w:rsidRDefault="005053AE" w:rsidP="00165C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529"/>
    <w:multiLevelType w:val="hybridMultilevel"/>
    <w:tmpl w:val="646AC56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7AF6FA2"/>
    <w:multiLevelType w:val="hybridMultilevel"/>
    <w:tmpl w:val="B4909B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9FF0399"/>
    <w:multiLevelType w:val="hybridMultilevel"/>
    <w:tmpl w:val="6F70A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6A54C5"/>
    <w:multiLevelType w:val="hybridMultilevel"/>
    <w:tmpl w:val="A966634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62C7B8C"/>
    <w:multiLevelType w:val="hybridMultilevel"/>
    <w:tmpl w:val="0FFA436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8BC366D"/>
    <w:multiLevelType w:val="hybridMultilevel"/>
    <w:tmpl w:val="568ED9F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F616F75"/>
    <w:multiLevelType w:val="hybridMultilevel"/>
    <w:tmpl w:val="B2DAD9AE"/>
    <w:lvl w:ilvl="0" w:tplc="4FE6898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74C39B0"/>
    <w:multiLevelType w:val="multilevel"/>
    <w:tmpl w:val="335CAE5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B6664E"/>
    <w:multiLevelType w:val="hybridMultilevel"/>
    <w:tmpl w:val="C92E9408"/>
    <w:lvl w:ilvl="0" w:tplc="751C4FC0">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24435571">
    <w:abstractNumId w:val="7"/>
  </w:num>
  <w:num w:numId="2" w16cid:durableId="1371026623">
    <w:abstractNumId w:val="8"/>
  </w:num>
  <w:num w:numId="3" w16cid:durableId="471102598">
    <w:abstractNumId w:val="3"/>
  </w:num>
  <w:num w:numId="4" w16cid:durableId="952857437">
    <w:abstractNumId w:val="0"/>
  </w:num>
  <w:num w:numId="5" w16cid:durableId="1112553362">
    <w:abstractNumId w:val="1"/>
  </w:num>
  <w:num w:numId="6" w16cid:durableId="546374877">
    <w:abstractNumId w:val="4"/>
  </w:num>
  <w:num w:numId="7" w16cid:durableId="1670981575">
    <w:abstractNumId w:val="5"/>
  </w:num>
  <w:num w:numId="8" w16cid:durableId="265845161">
    <w:abstractNumId w:val="6"/>
  </w:num>
  <w:num w:numId="9" w16cid:durableId="200948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0F9"/>
    <w:rsid w:val="000004C8"/>
    <w:rsid w:val="00003F97"/>
    <w:rsid w:val="00014865"/>
    <w:rsid w:val="00023C90"/>
    <w:rsid w:val="00031E5D"/>
    <w:rsid w:val="00042B7E"/>
    <w:rsid w:val="00050A0F"/>
    <w:rsid w:val="00064EDE"/>
    <w:rsid w:val="00067492"/>
    <w:rsid w:val="000D5022"/>
    <w:rsid w:val="000F33C3"/>
    <w:rsid w:val="00102F7D"/>
    <w:rsid w:val="00115C5C"/>
    <w:rsid w:val="0013147B"/>
    <w:rsid w:val="001477B2"/>
    <w:rsid w:val="0016014E"/>
    <w:rsid w:val="00165C03"/>
    <w:rsid w:val="00196EC9"/>
    <w:rsid w:val="001A04F9"/>
    <w:rsid w:val="001D6FC0"/>
    <w:rsid w:val="001E6B1E"/>
    <w:rsid w:val="0022341D"/>
    <w:rsid w:val="00233783"/>
    <w:rsid w:val="00243046"/>
    <w:rsid w:val="00244957"/>
    <w:rsid w:val="0027354E"/>
    <w:rsid w:val="002A333A"/>
    <w:rsid w:val="002A6565"/>
    <w:rsid w:val="002F403D"/>
    <w:rsid w:val="002F540C"/>
    <w:rsid w:val="00316BC7"/>
    <w:rsid w:val="003175D9"/>
    <w:rsid w:val="003839F1"/>
    <w:rsid w:val="0038581C"/>
    <w:rsid w:val="0039115F"/>
    <w:rsid w:val="003A2860"/>
    <w:rsid w:val="003A47BE"/>
    <w:rsid w:val="003D5F71"/>
    <w:rsid w:val="00414ADF"/>
    <w:rsid w:val="0043322E"/>
    <w:rsid w:val="0043741E"/>
    <w:rsid w:val="004928F3"/>
    <w:rsid w:val="004C18ED"/>
    <w:rsid w:val="004C5033"/>
    <w:rsid w:val="004D14B7"/>
    <w:rsid w:val="00501A8A"/>
    <w:rsid w:val="005053AE"/>
    <w:rsid w:val="0054394F"/>
    <w:rsid w:val="00550A64"/>
    <w:rsid w:val="0058001E"/>
    <w:rsid w:val="005A7D57"/>
    <w:rsid w:val="005B2ABE"/>
    <w:rsid w:val="005D2638"/>
    <w:rsid w:val="005D4FA4"/>
    <w:rsid w:val="005F1EE9"/>
    <w:rsid w:val="00645852"/>
    <w:rsid w:val="006A1D3B"/>
    <w:rsid w:val="006D5AC4"/>
    <w:rsid w:val="006D6F37"/>
    <w:rsid w:val="006D7F4B"/>
    <w:rsid w:val="006E2509"/>
    <w:rsid w:val="006F7632"/>
    <w:rsid w:val="00714C82"/>
    <w:rsid w:val="00724DF5"/>
    <w:rsid w:val="00727F9C"/>
    <w:rsid w:val="00780045"/>
    <w:rsid w:val="00784698"/>
    <w:rsid w:val="007A3DD9"/>
    <w:rsid w:val="007A46CE"/>
    <w:rsid w:val="007B1FA8"/>
    <w:rsid w:val="007B68B7"/>
    <w:rsid w:val="007C20F9"/>
    <w:rsid w:val="007C3897"/>
    <w:rsid w:val="007D3A99"/>
    <w:rsid w:val="007D5408"/>
    <w:rsid w:val="007E5AA2"/>
    <w:rsid w:val="0080148D"/>
    <w:rsid w:val="00805CE8"/>
    <w:rsid w:val="00825AB9"/>
    <w:rsid w:val="008477D0"/>
    <w:rsid w:val="0085717C"/>
    <w:rsid w:val="0087680E"/>
    <w:rsid w:val="00877543"/>
    <w:rsid w:val="00881482"/>
    <w:rsid w:val="00881708"/>
    <w:rsid w:val="008A0685"/>
    <w:rsid w:val="008A76A3"/>
    <w:rsid w:val="008D2EAB"/>
    <w:rsid w:val="008D4CFB"/>
    <w:rsid w:val="008D5CA8"/>
    <w:rsid w:val="008F76FA"/>
    <w:rsid w:val="009044CE"/>
    <w:rsid w:val="0091205D"/>
    <w:rsid w:val="0091278B"/>
    <w:rsid w:val="0091789D"/>
    <w:rsid w:val="0093157B"/>
    <w:rsid w:val="009373D1"/>
    <w:rsid w:val="00951F2C"/>
    <w:rsid w:val="0095621C"/>
    <w:rsid w:val="00973DB5"/>
    <w:rsid w:val="00980C5D"/>
    <w:rsid w:val="0099013C"/>
    <w:rsid w:val="009A4418"/>
    <w:rsid w:val="009A663B"/>
    <w:rsid w:val="00A02A72"/>
    <w:rsid w:val="00A12634"/>
    <w:rsid w:val="00A20620"/>
    <w:rsid w:val="00A32C4C"/>
    <w:rsid w:val="00A7110D"/>
    <w:rsid w:val="00A77B94"/>
    <w:rsid w:val="00A858C6"/>
    <w:rsid w:val="00A87B6C"/>
    <w:rsid w:val="00AD0DFE"/>
    <w:rsid w:val="00AE4CDA"/>
    <w:rsid w:val="00AE75AC"/>
    <w:rsid w:val="00B02615"/>
    <w:rsid w:val="00B05A2D"/>
    <w:rsid w:val="00B36E28"/>
    <w:rsid w:val="00B50373"/>
    <w:rsid w:val="00B91A91"/>
    <w:rsid w:val="00C24CCA"/>
    <w:rsid w:val="00C3599B"/>
    <w:rsid w:val="00C42B6F"/>
    <w:rsid w:val="00C65F5C"/>
    <w:rsid w:val="00C7148E"/>
    <w:rsid w:val="00C85999"/>
    <w:rsid w:val="00CA1F84"/>
    <w:rsid w:val="00CB2D68"/>
    <w:rsid w:val="00CD2BA2"/>
    <w:rsid w:val="00D10C7C"/>
    <w:rsid w:val="00D1474C"/>
    <w:rsid w:val="00D171DB"/>
    <w:rsid w:val="00D330B1"/>
    <w:rsid w:val="00D561D9"/>
    <w:rsid w:val="00D7638C"/>
    <w:rsid w:val="00DA4F66"/>
    <w:rsid w:val="00DB0B8B"/>
    <w:rsid w:val="00DF4B32"/>
    <w:rsid w:val="00E04963"/>
    <w:rsid w:val="00E11265"/>
    <w:rsid w:val="00E163D7"/>
    <w:rsid w:val="00E317EF"/>
    <w:rsid w:val="00E33D83"/>
    <w:rsid w:val="00E451B8"/>
    <w:rsid w:val="00E51048"/>
    <w:rsid w:val="00E533CD"/>
    <w:rsid w:val="00E77A76"/>
    <w:rsid w:val="00E85F34"/>
    <w:rsid w:val="00EB7329"/>
    <w:rsid w:val="00EE4105"/>
    <w:rsid w:val="00EF669D"/>
    <w:rsid w:val="00F5324F"/>
    <w:rsid w:val="00F54BA0"/>
    <w:rsid w:val="00F739CF"/>
    <w:rsid w:val="00F90313"/>
    <w:rsid w:val="00F915E7"/>
    <w:rsid w:val="00FD2260"/>
    <w:rsid w:val="00FD5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3C00E"/>
  <w15:chartTrackingRefBased/>
  <w15:docId w15:val="{D1D316B9-4B6F-4DA6-82B7-875D777B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543"/>
    <w:pPr>
      <w:jc w:val="both"/>
    </w:pPr>
  </w:style>
  <w:style w:type="paragraph" w:styleId="Heading1">
    <w:name w:val="heading 1"/>
    <w:basedOn w:val="Normal"/>
    <w:next w:val="Normal"/>
    <w:link w:val="Heading1Char"/>
    <w:uiPriority w:val="9"/>
    <w:qFormat/>
    <w:rsid w:val="004D14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14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4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4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4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4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4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4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4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4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4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4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4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4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4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4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4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4B7"/>
    <w:rPr>
      <w:rFonts w:eastAsiaTheme="majorEastAsia" w:cstheme="majorBidi"/>
      <w:color w:val="272727" w:themeColor="text1" w:themeTint="D8"/>
    </w:rPr>
  </w:style>
  <w:style w:type="paragraph" w:styleId="Title">
    <w:name w:val="Title"/>
    <w:basedOn w:val="Normal"/>
    <w:next w:val="Normal"/>
    <w:link w:val="TitleChar"/>
    <w:uiPriority w:val="10"/>
    <w:qFormat/>
    <w:rsid w:val="004D14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4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4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4B7"/>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4D14B7"/>
    <w:pPr>
      <w:ind w:left="720"/>
      <w:contextualSpacing/>
    </w:pPr>
  </w:style>
  <w:style w:type="paragraph" w:styleId="Quote">
    <w:name w:val="Quote"/>
    <w:basedOn w:val="Normal"/>
    <w:next w:val="Normal"/>
    <w:link w:val="QuoteChar"/>
    <w:uiPriority w:val="29"/>
    <w:qFormat/>
    <w:rsid w:val="004D14B7"/>
    <w:pPr>
      <w:spacing w:before="160"/>
      <w:jc w:val="center"/>
    </w:pPr>
    <w:rPr>
      <w:i/>
      <w:iCs/>
      <w:color w:val="404040" w:themeColor="text1" w:themeTint="BF"/>
    </w:rPr>
  </w:style>
  <w:style w:type="character" w:customStyle="1" w:styleId="QuoteChar">
    <w:name w:val="Quote Char"/>
    <w:basedOn w:val="DefaultParagraphFont"/>
    <w:link w:val="Quote"/>
    <w:uiPriority w:val="29"/>
    <w:rsid w:val="004D14B7"/>
    <w:rPr>
      <w:i/>
      <w:iCs/>
      <w:color w:val="404040" w:themeColor="text1" w:themeTint="BF"/>
    </w:rPr>
  </w:style>
  <w:style w:type="paragraph" w:styleId="IntenseQuote">
    <w:name w:val="Intense Quote"/>
    <w:basedOn w:val="Normal"/>
    <w:next w:val="Normal"/>
    <w:link w:val="IntenseQuoteChar"/>
    <w:uiPriority w:val="30"/>
    <w:qFormat/>
    <w:rsid w:val="004D14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4B7"/>
    <w:rPr>
      <w:i/>
      <w:iCs/>
      <w:color w:val="0F4761" w:themeColor="accent1" w:themeShade="BF"/>
    </w:rPr>
  </w:style>
  <w:style w:type="character" w:styleId="IntenseEmphasis">
    <w:name w:val="Intense Emphasis"/>
    <w:basedOn w:val="DefaultParagraphFont"/>
    <w:uiPriority w:val="21"/>
    <w:qFormat/>
    <w:rsid w:val="004D14B7"/>
    <w:rPr>
      <w:i/>
      <w:iCs/>
      <w:color w:val="0F4761" w:themeColor="accent1" w:themeShade="BF"/>
    </w:rPr>
  </w:style>
  <w:style w:type="character" w:styleId="IntenseReference">
    <w:name w:val="Intense Reference"/>
    <w:basedOn w:val="DefaultParagraphFont"/>
    <w:uiPriority w:val="32"/>
    <w:qFormat/>
    <w:rsid w:val="004D14B7"/>
    <w:rPr>
      <w:b/>
      <w:bCs/>
      <w:smallCaps/>
      <w:color w:val="0F4761" w:themeColor="accent1" w:themeShade="BF"/>
      <w:spacing w:val="5"/>
    </w:rPr>
  </w:style>
  <w:style w:type="paragraph" w:styleId="NoSpacing">
    <w:name w:val="No Spacing"/>
    <w:link w:val="NoSpacingChar"/>
    <w:uiPriority w:val="1"/>
    <w:qFormat/>
    <w:rsid w:val="005D4FA4"/>
    <w:pPr>
      <w:spacing w:after="0" w:line="240" w:lineRule="auto"/>
      <w:ind w:left="714" w:hanging="357"/>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D4FA4"/>
    <w:rPr>
      <w:rFonts w:eastAsiaTheme="minorEastAsia"/>
      <w:kern w:val="0"/>
      <w:sz w:val="22"/>
      <w:szCs w:val="22"/>
      <w:lang w:val="en-US"/>
      <w14:ligatures w14:val="none"/>
    </w:rPr>
  </w:style>
  <w:style w:type="paragraph" w:styleId="Header">
    <w:name w:val="header"/>
    <w:basedOn w:val="Normal"/>
    <w:link w:val="HeaderChar"/>
    <w:uiPriority w:val="99"/>
    <w:unhideWhenUsed/>
    <w:rsid w:val="00165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C03"/>
  </w:style>
  <w:style w:type="paragraph" w:styleId="Footer">
    <w:name w:val="footer"/>
    <w:basedOn w:val="Normal"/>
    <w:link w:val="FooterChar"/>
    <w:uiPriority w:val="99"/>
    <w:unhideWhenUsed/>
    <w:rsid w:val="00165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C03"/>
  </w:style>
  <w:style w:type="character" w:styleId="Hyperlink">
    <w:name w:val="Hyperlink"/>
    <w:basedOn w:val="DefaultParagraphFont"/>
    <w:uiPriority w:val="99"/>
    <w:unhideWhenUsed/>
    <w:rsid w:val="00E533CD"/>
    <w:rPr>
      <w:color w:val="467886" w:themeColor="hyperlink"/>
      <w:u w:val="single"/>
    </w:rPr>
  </w:style>
  <w:style w:type="character" w:styleId="UnresolvedMention">
    <w:name w:val="Unresolved Mention"/>
    <w:basedOn w:val="DefaultParagraphFont"/>
    <w:uiPriority w:val="99"/>
    <w:semiHidden/>
    <w:unhideWhenUsed/>
    <w:rsid w:val="0091205D"/>
    <w:rPr>
      <w:color w:val="605E5C"/>
      <w:shd w:val="clear" w:color="auto" w:fill="E1DFDD"/>
    </w:rPr>
  </w:style>
  <w:style w:type="paragraph" w:styleId="TOCHeading">
    <w:name w:val="TOC Heading"/>
    <w:basedOn w:val="Heading1"/>
    <w:next w:val="Normal"/>
    <w:uiPriority w:val="39"/>
    <w:unhideWhenUsed/>
    <w:qFormat/>
    <w:rsid w:val="0091278B"/>
    <w:pPr>
      <w:spacing w:before="240" w:after="0" w:line="259" w:lineRule="auto"/>
      <w:jc w:val="left"/>
      <w:outlineLvl w:val="9"/>
    </w:pPr>
    <w:rPr>
      <w:kern w:val="0"/>
      <w:sz w:val="32"/>
      <w:szCs w:val="32"/>
      <w:lang w:val="en-US"/>
      <w14:ligatures w14:val="none"/>
    </w:rPr>
  </w:style>
  <w:style w:type="paragraph" w:styleId="TOC2">
    <w:name w:val="toc 2"/>
    <w:basedOn w:val="Normal"/>
    <w:next w:val="Normal"/>
    <w:autoRedefine/>
    <w:uiPriority w:val="39"/>
    <w:unhideWhenUsed/>
    <w:rsid w:val="0091278B"/>
    <w:pPr>
      <w:spacing w:after="100" w:line="259" w:lineRule="auto"/>
      <w:ind w:left="220"/>
      <w:jc w:val="left"/>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91278B"/>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1278B"/>
    <w:pPr>
      <w:spacing w:after="100"/>
      <w:ind w:left="448"/>
      <w:jc w:val="left"/>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pers.ssrn.com/sol3/papers.cfm?abstract_id=5341200" TargetMode="External"/><Relationship Id="rId21" Type="http://schemas.openxmlformats.org/officeDocument/2006/relationships/image" Target="media/image4.emf"/><Relationship Id="rId42" Type="http://schemas.openxmlformats.org/officeDocument/2006/relationships/hyperlink" Target="https://www.tandfonline.com/doi/citedby/10.1198/073500102288618487?scroll=top&amp;needAccess=true" TargetMode="External"/><Relationship Id="rId47" Type="http://schemas.openxmlformats.org/officeDocument/2006/relationships/hyperlink" Target="https://www.sciencedirect.com/science/article/pii/S105752191830526X?via%3Dihub" TargetMode="External"/><Relationship Id="rId63" Type="http://schemas.openxmlformats.org/officeDocument/2006/relationships/hyperlink" Target="https://www.mdpi.com/1911-8074/15/1/24" TargetMode="External"/><Relationship Id="rId68" Type="http://schemas.openxmlformats.org/officeDocument/2006/relationships/hyperlink" Target="https://www.investopedia.com/ask/answers/030515/how-correlation-used-modern-portfolio-theory.asp" TargetMode="External"/><Relationship Id="rId84" Type="http://schemas.openxmlformats.org/officeDocument/2006/relationships/hyperlink" Target="https://finance.yahoo.com/quote/%5EGSPC/history/?frequency=1mo&amp;period1=1104537600&amp;period2=1761868800" TargetMode="External"/><Relationship Id="rId89" Type="http://schemas.openxmlformats.org/officeDocument/2006/relationships/image" Target="media/image10.emf"/><Relationship Id="rId16" Type="http://schemas.openxmlformats.org/officeDocument/2006/relationships/diagramLayout" Target="diagrams/layout2.xml"/><Relationship Id="rId107" Type="http://schemas.openxmlformats.org/officeDocument/2006/relationships/footer" Target="footer1.xml"/><Relationship Id="rId11" Type="http://schemas.openxmlformats.org/officeDocument/2006/relationships/diagramLayout" Target="diagrams/layout1.xml"/><Relationship Id="rId32" Type="http://schemas.openxmlformats.org/officeDocument/2006/relationships/hyperlink" Target="https://onlinelibrary.wiley.com/doi/full/10.1111/j.1540-6261.2005.00760.x" TargetMode="External"/><Relationship Id="rId37" Type="http://schemas.openxmlformats.org/officeDocument/2006/relationships/hyperlink" Target="https://www.blackrock.com/us/financial-professionals/insights/investment-directions-fall-2025" TargetMode="External"/><Relationship Id="rId53" Type="http://schemas.openxmlformats.org/officeDocument/2006/relationships/hyperlink" Target="https://doi.org/10.1177/1464993413490479" TargetMode="External"/><Relationship Id="rId58" Type="http://schemas.openxmlformats.org/officeDocument/2006/relationships/hyperlink" Target="https://www.sciencedirect.com/science/article/pii/S0186104215000522" TargetMode="External"/><Relationship Id="rId74" Type="http://schemas.openxmlformats.org/officeDocument/2006/relationships/hyperlink" Target="https://www.ubs.com/global/en/wealthmanagement/insights/chief-investment-office/house-view/daily/2025/latest-19122025.html" TargetMode="External"/><Relationship Id="rId79" Type="http://schemas.openxmlformats.org/officeDocument/2006/relationships/hyperlink" Target="https://www.federalreservehistory.org/essays/great-recession-and-its-aftermath" TargetMode="External"/><Relationship Id="rId102" Type="http://schemas.openxmlformats.org/officeDocument/2006/relationships/image" Target="media/image23.emf"/><Relationship Id="rId5" Type="http://schemas.openxmlformats.org/officeDocument/2006/relationships/webSettings" Target="webSettings.xml"/><Relationship Id="rId90" Type="http://schemas.openxmlformats.org/officeDocument/2006/relationships/image" Target="media/image11.emf"/><Relationship Id="rId95" Type="http://schemas.openxmlformats.org/officeDocument/2006/relationships/image" Target="media/image16.emf"/><Relationship Id="rId22" Type="http://schemas.openxmlformats.org/officeDocument/2006/relationships/image" Target="media/image5.emf"/><Relationship Id="rId27" Type="http://schemas.openxmlformats.org/officeDocument/2006/relationships/hyperlink" Target="https://papers.ssrn.com/sol3/papers.cfm?abstract_id=2941281" TargetMode="External"/><Relationship Id="rId43" Type="http://schemas.openxmlformats.org/officeDocument/2006/relationships/hyperlink" Target="https://papers.ssrn.com/sol3/papers.cfm?abstract_id=2078535" TargetMode="External"/><Relationship Id="rId48" Type="http://schemas.openxmlformats.org/officeDocument/2006/relationships/hyperlink" Target="https://www.sciencedirect.com/science/article/pii/S1058330013000219" TargetMode="External"/><Relationship Id="rId64" Type="http://schemas.openxmlformats.org/officeDocument/2006/relationships/hyperlink" Target="https://www.cmegroup.com/insights/economic-research/2024/golds-performance-against-us-asian-equities-the-past-century.html" TargetMode="External"/><Relationship Id="rId69" Type="http://schemas.openxmlformats.org/officeDocument/2006/relationships/hyperlink" Target="https://asiaentrepreneurshipjournal.com/index.php/jaes/article/view/23" TargetMode="External"/><Relationship Id="rId80" Type="http://schemas.openxmlformats.org/officeDocument/2006/relationships/hyperlink" Target="https://www.gold.org/goldhub/research/gold-outlook-2024" TargetMode="External"/><Relationship Id="rId85" Type="http://schemas.openxmlformats.org/officeDocument/2006/relationships/hyperlink" Target="https://librarysearch.uwtsd.ac.uk/discovery/fulldisplay?docid=cdi_proquest_journals_2034153544&amp;context=PC&amp;vid=44WHELF_UWTSD:44WHELF_UWTSD_VU1&amp;lang=en"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33" Type="http://schemas.openxmlformats.org/officeDocument/2006/relationships/hyperlink" Target="https://www.federalreserve.gov/publications/files/financial-stability-report-20210506.pdf" TargetMode="External"/><Relationship Id="rId38" Type="http://schemas.openxmlformats.org/officeDocument/2006/relationships/hyperlink" Target="https://doaj.org/article/52c99f180095481c877330a9c97aca64" TargetMode="External"/><Relationship Id="rId59" Type="http://schemas.openxmlformats.org/officeDocument/2006/relationships/hyperlink" Target="https://www.gold.org/goldhub/research/short-run-and-long-run-determinants-price-gold" TargetMode="External"/><Relationship Id="rId103" Type="http://schemas.openxmlformats.org/officeDocument/2006/relationships/image" Target="media/image24.emf"/><Relationship Id="rId108" Type="http://schemas.openxmlformats.org/officeDocument/2006/relationships/footer" Target="footer2.xml"/><Relationship Id="rId54" Type="http://schemas.openxmlformats.org/officeDocument/2006/relationships/hyperlink" Target="https://www.royalmint.com/invest/discover/gold-market/Gold-Price-Action-Relative-Lows-and-the-Role-of-Interest-Rates/" TargetMode="External"/><Relationship Id="rId70" Type="http://schemas.openxmlformats.org/officeDocument/2006/relationships/hyperlink" Target="https://asiaentrepreneurshipjournal.com/index.php/jaes/article/view/23" TargetMode="External"/><Relationship Id="rId75" Type="http://schemas.openxmlformats.org/officeDocument/2006/relationships/hyperlink" Target="https://www.usbank.com/investing/financial-perspectives/market-news/how-do-rising-interest-rates-affect-the-stock-market.html" TargetMode="External"/><Relationship Id="rId91" Type="http://schemas.openxmlformats.org/officeDocument/2006/relationships/image" Target="media/image12.emf"/><Relationship Id="rId96"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image" Target="media/image6.emf"/><Relationship Id="rId28" Type="http://schemas.openxmlformats.org/officeDocument/2006/relationships/hyperlink" Target="https://www.mdpi.com/1911-8074/16/3/204" TargetMode="External"/><Relationship Id="rId36" Type="http://schemas.openxmlformats.org/officeDocument/2006/relationships/hyperlink" Target="https://www.researchgate.net/publication/24108581_Gibson's_Paradox_and_the_Gold_Standard" TargetMode="External"/><Relationship Id="rId49" Type="http://schemas.openxmlformats.org/officeDocument/2006/relationships/hyperlink" Target="https://pubsonline.informs.org/doi/10.1287/mnsc.2021.01379" TargetMode="External"/><Relationship Id="rId57" Type="http://schemas.openxmlformats.org/officeDocument/2006/relationships/hyperlink" Target="https://www.schroders.com/en-gb/uk/individual/insights/how-do-stocks-bonds-and-cash-perform-when-the-fed-starts-cutting-rates-/" TargetMode="External"/><Relationship Id="rId106" Type="http://schemas.openxmlformats.org/officeDocument/2006/relationships/image" Target="media/image27.emf"/><Relationship Id="rId10" Type="http://schemas.openxmlformats.org/officeDocument/2006/relationships/diagramData" Target="diagrams/data1.xml"/><Relationship Id="rId31" Type="http://schemas.openxmlformats.org/officeDocument/2006/relationships/hyperlink" Target="https://www.banque-france.fr/en/publications-and-statistics/publications/how-can-we-account-increase-price-gold" TargetMode="External"/><Relationship Id="rId44" Type="http://schemas.openxmlformats.org/officeDocument/2006/relationships/hyperlink" Target="https://www.newyorkfed.org/markets/reference-rates/effr" TargetMode="External"/><Relationship Id="rId52" Type="http://schemas.openxmlformats.org/officeDocument/2006/relationships/hyperlink" Target="https://www.stlouisfed.org/open-vault/2020/august/fed-response-covid19-pandemic" TargetMode="External"/><Relationship Id="rId60" Type="http://schemas.openxmlformats.org/officeDocument/2006/relationships/hyperlink" Target="https://www.mdpi.com/2071-1050/14/21/14659" TargetMode="External"/><Relationship Id="rId65" Type="http://schemas.openxmlformats.org/officeDocument/2006/relationships/hyperlink" Target="https://link.springer.com/article/10.1007/s10614-021-10204-8" TargetMode="External"/><Relationship Id="rId73" Type="http://schemas.openxmlformats.org/officeDocument/2006/relationships/hyperlink" Target="https://www.investopedia.com/terms/m/modernportfoliotheory.asp" TargetMode="External"/><Relationship Id="rId78" Type="http://schemas.openxmlformats.org/officeDocument/2006/relationships/hyperlink" Target="https://www.gold.org/goldhub/research/gold-prices-swing-as-markets-sell-off" TargetMode="External"/><Relationship Id="rId81" Type="http://schemas.openxmlformats.org/officeDocument/2006/relationships/hyperlink" Target="https://www.researchgate.net/publication/384016555_The_Impact_of_Federal_Reserve_Interest_Rate_Decisions_on_Gold_Prices_A_Safe_Haven_Amidst_Economic_Uncertainty" TargetMode="External"/><Relationship Id="rId86" Type="http://schemas.openxmlformats.org/officeDocument/2006/relationships/hyperlink" Target="https://www.elibrary.imf.org/view/journals/001/2021/219/article-A001-en.xml" TargetMode="External"/><Relationship Id="rId94" Type="http://schemas.openxmlformats.org/officeDocument/2006/relationships/image" Target="media/image15.emf"/><Relationship Id="rId99" Type="http://schemas.openxmlformats.org/officeDocument/2006/relationships/image" Target="media/image20.emf"/><Relationship Id="rId101" Type="http://schemas.openxmlformats.org/officeDocument/2006/relationships/image" Target="media/image22.em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hyperlink" Target="https://www.forbes.com/councils/forbesfinancecouncil/2024/01/16/why-productive-assets-outperform-nonproductive-ones/" TargetMode="External"/><Relationship Id="rId109" Type="http://schemas.openxmlformats.org/officeDocument/2006/relationships/fontTable" Target="fontTable.xml"/><Relationship Id="rId34" Type="http://schemas.openxmlformats.org/officeDocument/2006/relationships/hyperlink" Target="https://onlinelibrary.wiley.com/doi/abs/10.1111/j.1540-6288.2010.00244.x" TargetMode="External"/><Relationship Id="rId50" Type="http://schemas.openxmlformats.org/officeDocument/2006/relationships/hyperlink" Target="https://www.researchgate.net/publication/309893046_Biostatistics_Series_Module_6_Correlation_and_Linear_Regression" TargetMode="External"/><Relationship Id="rId55" Type="http://schemas.openxmlformats.org/officeDocument/2006/relationships/hyperlink" Target="https://www.proquest.com/docview/2618811097?accountid=130472&amp;parentSessionId=kP7LpTwoh%2F8z45n67Xi4lw9qhrtPIGdDozgQHYmpa3w%3D&amp;pq-origsite=primo&amp;sourcetype=Scholarly%20Journals" TargetMode="External"/><Relationship Id="rId76" Type="http://schemas.openxmlformats.org/officeDocument/2006/relationships/hyperlink" Target="https://www.gold.org/goldhub/research/outlook-2019" TargetMode="External"/><Relationship Id="rId97" Type="http://schemas.openxmlformats.org/officeDocument/2006/relationships/image" Target="media/image18.emf"/><Relationship Id="rId104" Type="http://schemas.openxmlformats.org/officeDocument/2006/relationships/image" Target="media/image25.emf"/><Relationship Id="rId7" Type="http://schemas.openxmlformats.org/officeDocument/2006/relationships/endnotes" Target="endnotes.xml"/><Relationship Id="rId71" Type="http://schemas.openxmlformats.org/officeDocument/2006/relationships/hyperlink" Target="https://www.researchgate.net/publication/240218229_Research_Methods_for_Business_Students" TargetMode="External"/><Relationship Id="rId92" Type="http://schemas.openxmlformats.org/officeDocument/2006/relationships/image" Target="media/image13.emf"/><Relationship Id="rId2" Type="http://schemas.openxmlformats.org/officeDocument/2006/relationships/numbering" Target="numbering.xml"/><Relationship Id="rId29" Type="http://schemas.openxmlformats.org/officeDocument/2006/relationships/hyperlink" Target="https://www.sciencedirect.com/science/article/pii/S0378426609003343" TargetMode="External"/><Relationship Id="rId24" Type="http://schemas.openxmlformats.org/officeDocument/2006/relationships/image" Target="media/image7.emf"/><Relationship Id="rId40" Type="http://schemas.openxmlformats.org/officeDocument/2006/relationships/hyperlink" Target="https://www.zacks.com/stock/news/2805996/3-gold-stocks-to-buy-as-bullion-shines-in-a-low-rate-environment" TargetMode="External"/><Relationship Id="rId45" Type="http://schemas.openxmlformats.org/officeDocument/2006/relationships/hyperlink" Target="https://www.sciencedirect.com/science/article/pii/S1044028325000729" TargetMode="External"/><Relationship Id="rId66" Type="http://schemas.openxmlformats.org/officeDocument/2006/relationships/hyperlink" Target="https://www.pimco.com/gbl/en/resources/education/understanding-gold-prices" TargetMode="External"/><Relationship Id="rId87" Type="http://schemas.openxmlformats.org/officeDocument/2006/relationships/image" Target="media/image8.png"/><Relationship Id="rId110" Type="http://schemas.openxmlformats.org/officeDocument/2006/relationships/theme" Target="theme/theme1.xml"/><Relationship Id="rId61" Type="http://schemas.openxmlformats.org/officeDocument/2006/relationships/hyperlink" Target="https://papers.ssrn.com/sol3/papers.cfm?abstract_id=920496" TargetMode="External"/><Relationship Id="rId82" Type="http://schemas.openxmlformats.org/officeDocument/2006/relationships/hyperlink" Target="https://uk.finance.yahoo.com/quote/GC%3DF/history/?frequency=1d&amp;period1=1104537600&amp;period2=1761868800&amp;guccounter=2" TargetMode="External"/><Relationship Id="rId19" Type="http://schemas.microsoft.com/office/2007/relationships/diagramDrawing" Target="diagrams/drawing2.xml"/><Relationship Id="rId14" Type="http://schemas.microsoft.com/office/2007/relationships/diagramDrawing" Target="diagrams/drawing1.xml"/><Relationship Id="rId30" Type="http://schemas.openxmlformats.org/officeDocument/2006/relationships/hyperlink" Target="https://www.sciencedirect.com/science/article/pii/S0264999314004015" TargetMode="External"/><Relationship Id="rId35" Type="http://schemas.openxmlformats.org/officeDocument/2006/relationships/hyperlink" Target="https://www.chicagofed.org/publications/chicago-fed-letter/2021/464" TargetMode="External"/><Relationship Id="rId56" Type="http://schemas.openxmlformats.org/officeDocument/2006/relationships/hyperlink" Target="https://www.sciencedirect.com/science/article/abs/pii/S1057521925004788?via%3Dihub" TargetMode="External"/><Relationship Id="rId77" Type="http://schemas.openxmlformats.org/officeDocument/2006/relationships/hyperlink" Target="https://www.gold.org/goldhub/research/gold-demand-trends/us-gold-demand-trends-q3-2025" TargetMode="External"/><Relationship Id="rId100" Type="http://schemas.openxmlformats.org/officeDocument/2006/relationships/image" Target="media/image21.emf"/><Relationship Id="rId105" Type="http://schemas.openxmlformats.org/officeDocument/2006/relationships/image" Target="media/image26.emf"/><Relationship Id="rId8" Type="http://schemas.openxmlformats.org/officeDocument/2006/relationships/image" Target="media/image1.jpg"/><Relationship Id="rId51" Type="http://schemas.openxmlformats.org/officeDocument/2006/relationships/hyperlink" Target="https://www.researchgate.net/publication/332246566_Book_Review_Creswell_J_W_2014_Research_Design_Qualitative_Quantitative_and_Mixed_Methods_Approaches_4th_ed_Thousand_Oaks_CA_Sage" TargetMode="External"/><Relationship Id="rId72" Type="http://schemas.openxmlformats.org/officeDocument/2006/relationships/hyperlink" Target="https://www.forbes.com/advisor/investing/fed-funds-rate-history/" TargetMode="External"/><Relationship Id="rId93" Type="http://schemas.openxmlformats.org/officeDocument/2006/relationships/image" Target="media/image14.emf"/><Relationship Id="rId98" Type="http://schemas.openxmlformats.org/officeDocument/2006/relationships/image" Target="media/image19.emf"/><Relationship Id="rId3" Type="http://schemas.openxmlformats.org/officeDocument/2006/relationships/styles" Target="styles.xml"/><Relationship Id="rId25" Type="http://schemas.openxmlformats.org/officeDocument/2006/relationships/hyperlink" Target="https://www.sciencedirect.com/science/article/pii/S1042443118300167?via%3Dihub" TargetMode="External"/><Relationship Id="rId46" Type="http://schemas.openxmlformats.org/officeDocument/2006/relationships/hyperlink" Target="https://fred.stlouisfed.org/series/FEDFUNDS" TargetMode="External"/><Relationship Id="rId67" Type="http://schemas.openxmlformats.org/officeDocument/2006/relationships/hyperlink" Target="https://www.schroders.com/en-us/us/institutional/insights/has-golds-relationship-with-interest-rates-changed/" TargetMode="External"/><Relationship Id="rId20" Type="http://schemas.openxmlformats.org/officeDocument/2006/relationships/image" Target="media/image3.emf"/><Relationship Id="rId41" Type="http://schemas.openxmlformats.org/officeDocument/2006/relationships/hyperlink" Target="https://www.um.edu.mt/library/oar/handle/123456789/140667" TargetMode="External"/><Relationship Id="rId62" Type="http://schemas.openxmlformats.org/officeDocument/2006/relationships/hyperlink" Target="https://www.stlouisfed.org/publications/page-one-economics/2021/10/15/ethical-use-of-data-with-fred" TargetMode="External"/><Relationship Id="rId83" Type="http://schemas.openxmlformats.org/officeDocument/2006/relationships/hyperlink" Target="https://uk.finance.yahoo.com/quote/%5ENDX/history/?frequency=1mo&amp;period1=1104537600&amp;period2=1764460800" TargetMode="External"/><Relationship Id="rId88" Type="http://schemas.openxmlformats.org/officeDocument/2006/relationships/image" Target="media/image9.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5C6A04-D6E2-4953-9803-CF1BB484999C}"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9EBB5E82-9A4D-4F26-AB3F-15E6513C71E7}">
      <dgm:prSet phldrT="[Text]" custT="1"/>
      <dgm:spPr>
        <a:solidFill>
          <a:schemeClr val="accent6"/>
        </a:solidFill>
      </dgm:spPr>
      <dgm:t>
        <a:bodyPr/>
        <a:lstStyle/>
        <a:p>
          <a:pPr>
            <a:buNone/>
          </a:pPr>
          <a:r>
            <a:rPr lang="en-GB" sz="1400" b="1">
              <a:solidFill>
                <a:schemeClr val="tx1"/>
              </a:solidFill>
              <a:latin typeface="Arial" panose="020B0604020202020204" pitchFamily="34" charset="0"/>
              <a:cs typeface="Arial" panose="020B0604020202020204" pitchFamily="34" charset="0"/>
            </a:rPr>
            <a:t>CHAPTER ONE: INTRODUCTION</a:t>
          </a:r>
        </a:p>
      </dgm:t>
    </dgm:pt>
    <dgm:pt modelId="{4F96230E-F3DC-4AFE-9669-7F9963BE8D07}" type="parTrans" cxnId="{26BBE6F5-F632-4574-A93D-24D915538B76}">
      <dgm:prSet/>
      <dgm:spPr/>
      <dgm:t>
        <a:bodyPr/>
        <a:lstStyle/>
        <a:p>
          <a:endParaRPr lang="en-GB"/>
        </a:p>
      </dgm:t>
    </dgm:pt>
    <dgm:pt modelId="{139BDBE1-8EFF-4498-9AF5-09EB7C0C5542}" type="sibTrans" cxnId="{26BBE6F5-F632-4574-A93D-24D915538B76}">
      <dgm:prSet/>
      <dgm:spPr>
        <a:ln>
          <a:solidFill>
            <a:schemeClr val="tx1"/>
          </a:solidFill>
        </a:ln>
      </dgm:spPr>
      <dgm:t>
        <a:bodyPr/>
        <a:lstStyle/>
        <a:p>
          <a:endParaRPr lang="en-GB"/>
        </a:p>
      </dgm:t>
    </dgm:pt>
    <dgm:pt modelId="{58C8E138-878F-4E1F-9193-CFA850C40DB6}">
      <dgm:prSet phldrT="[Text]" custT="1"/>
      <dgm:spPr>
        <a:solidFill>
          <a:srgbClr val="FFFF00"/>
        </a:solidFill>
      </dgm:spPr>
      <dgm:t>
        <a:bodyPr/>
        <a:lstStyle/>
        <a:p>
          <a:pPr>
            <a:buNone/>
          </a:pPr>
          <a:r>
            <a:rPr lang="en-GB" sz="1400" b="1">
              <a:solidFill>
                <a:schemeClr val="tx1"/>
              </a:solidFill>
              <a:latin typeface="Arial" panose="020B0604020202020204" pitchFamily="34" charset="0"/>
              <a:cs typeface="Arial" panose="020B0604020202020204" pitchFamily="34" charset="0"/>
            </a:rPr>
            <a:t>CHAPTER TWO: LITERATURE REVIEW </a:t>
          </a:r>
        </a:p>
      </dgm:t>
    </dgm:pt>
    <dgm:pt modelId="{F7814442-F689-4C5C-AC54-0A5FD293F103}" type="parTrans" cxnId="{C260BEFA-7AAC-4203-8150-AD70AD8352AE}">
      <dgm:prSet/>
      <dgm:spPr/>
      <dgm:t>
        <a:bodyPr/>
        <a:lstStyle/>
        <a:p>
          <a:endParaRPr lang="en-GB"/>
        </a:p>
      </dgm:t>
    </dgm:pt>
    <dgm:pt modelId="{C56A9994-8169-4C00-A72F-B12246A72912}" type="sibTrans" cxnId="{C260BEFA-7AAC-4203-8150-AD70AD8352AE}">
      <dgm:prSet/>
      <dgm:spPr>
        <a:ln>
          <a:solidFill>
            <a:schemeClr val="tx1"/>
          </a:solidFill>
        </a:ln>
      </dgm:spPr>
      <dgm:t>
        <a:bodyPr/>
        <a:lstStyle/>
        <a:p>
          <a:endParaRPr lang="en-GB"/>
        </a:p>
      </dgm:t>
    </dgm:pt>
    <dgm:pt modelId="{26C75539-FFFA-4DA9-AF99-6880155DCD69}">
      <dgm:prSet phldrT="[Text]" custT="1"/>
      <dgm:spPr>
        <a:solidFill>
          <a:srgbClr val="FFC000"/>
        </a:solidFill>
      </dgm:spPr>
      <dgm:t>
        <a:bodyPr/>
        <a:lstStyle/>
        <a:p>
          <a:pPr>
            <a:buNone/>
          </a:pPr>
          <a:r>
            <a:rPr lang="en-GB" sz="1400" b="1">
              <a:solidFill>
                <a:schemeClr val="tx1"/>
              </a:solidFill>
              <a:latin typeface="Arial" panose="020B0604020202020204" pitchFamily="34" charset="0"/>
              <a:cs typeface="Arial" panose="020B0604020202020204" pitchFamily="34" charset="0"/>
            </a:rPr>
            <a:t>CHAPTER THREE: METHODOLOGY</a:t>
          </a:r>
        </a:p>
      </dgm:t>
    </dgm:pt>
    <dgm:pt modelId="{DDCB6B77-F196-4D5F-AE61-1DC6AA16E5D2}" type="parTrans" cxnId="{F1194ED2-EBD2-4069-BA69-3354150AC41D}">
      <dgm:prSet/>
      <dgm:spPr/>
      <dgm:t>
        <a:bodyPr/>
        <a:lstStyle/>
        <a:p>
          <a:endParaRPr lang="en-GB"/>
        </a:p>
      </dgm:t>
    </dgm:pt>
    <dgm:pt modelId="{E651251A-7FB1-426E-B7D8-88605CD5FA25}" type="sibTrans" cxnId="{F1194ED2-EBD2-4069-BA69-3354150AC41D}">
      <dgm:prSet/>
      <dgm:spPr>
        <a:solidFill>
          <a:schemeClr val="tx1">
            <a:lumMod val="95000"/>
            <a:lumOff val="5000"/>
          </a:schemeClr>
        </a:solidFill>
        <a:ln>
          <a:solidFill>
            <a:schemeClr val="tx1"/>
          </a:solidFill>
        </a:ln>
      </dgm:spPr>
      <dgm:t>
        <a:bodyPr/>
        <a:lstStyle/>
        <a:p>
          <a:endParaRPr lang="en-GB"/>
        </a:p>
      </dgm:t>
    </dgm:pt>
    <dgm:pt modelId="{A38B969C-1C60-41FC-9964-0A1159CA11D8}">
      <dgm:prSet phldrT="[Text]" custT="1"/>
      <dgm:spPr>
        <a:solidFill>
          <a:schemeClr val="accent2">
            <a:lumMod val="75000"/>
          </a:schemeClr>
        </a:solidFill>
      </dgm:spPr>
      <dgm:t>
        <a:bodyPr/>
        <a:lstStyle/>
        <a:p>
          <a:pPr>
            <a:buNone/>
          </a:pPr>
          <a:r>
            <a:rPr lang="en-GB" sz="1400" b="1">
              <a:solidFill>
                <a:schemeClr val="tx1"/>
              </a:solidFill>
              <a:latin typeface="Arial" panose="020B0604020202020204" pitchFamily="34" charset="0"/>
              <a:cs typeface="Arial" panose="020B0604020202020204" pitchFamily="34" charset="0"/>
            </a:rPr>
            <a:t>CHAPTER FOUR: DATA ANALYSIS </a:t>
          </a:r>
        </a:p>
      </dgm:t>
    </dgm:pt>
    <dgm:pt modelId="{A56A589C-85EE-441D-AB3F-878F78E65C31}" type="parTrans" cxnId="{0BDF9BD3-EB3E-4F50-80B2-6B15750AE947}">
      <dgm:prSet/>
      <dgm:spPr/>
      <dgm:t>
        <a:bodyPr/>
        <a:lstStyle/>
        <a:p>
          <a:endParaRPr lang="en-GB"/>
        </a:p>
      </dgm:t>
    </dgm:pt>
    <dgm:pt modelId="{6554E0E9-0E0A-4896-A70F-F6A3DF3EBA78}" type="sibTrans" cxnId="{0BDF9BD3-EB3E-4F50-80B2-6B15750AE947}">
      <dgm:prSet/>
      <dgm:spPr>
        <a:ln>
          <a:solidFill>
            <a:schemeClr val="tx1"/>
          </a:solidFill>
        </a:ln>
      </dgm:spPr>
      <dgm:t>
        <a:bodyPr/>
        <a:lstStyle/>
        <a:p>
          <a:endParaRPr lang="en-GB"/>
        </a:p>
      </dgm:t>
    </dgm:pt>
    <dgm:pt modelId="{FEB66CAD-66AF-4C08-8B3D-7CB0CE31490C}">
      <dgm:prSet phldrT="[Text]" custT="1"/>
      <dgm:spPr>
        <a:solidFill>
          <a:srgbClr val="C00000"/>
        </a:solidFill>
      </dgm:spPr>
      <dgm:t>
        <a:bodyPr/>
        <a:lstStyle/>
        <a:p>
          <a:pPr>
            <a:buNone/>
          </a:pPr>
          <a:r>
            <a:rPr lang="en-GB" sz="1400" b="1">
              <a:solidFill>
                <a:schemeClr val="tx1"/>
              </a:solidFill>
              <a:latin typeface="Arial" panose="020B0604020202020204" pitchFamily="34" charset="0"/>
              <a:cs typeface="Arial" panose="020B0604020202020204" pitchFamily="34" charset="0"/>
            </a:rPr>
            <a:t>CHAPTER FIVE: DISCUSSION &amp; CONCLUSION</a:t>
          </a:r>
        </a:p>
      </dgm:t>
    </dgm:pt>
    <dgm:pt modelId="{924BEB96-5618-4375-9B50-B2C892CD9DB4}" type="parTrans" cxnId="{83BBCA0C-EEFE-498F-84DF-F90252A59E8B}">
      <dgm:prSet/>
      <dgm:spPr/>
      <dgm:t>
        <a:bodyPr/>
        <a:lstStyle/>
        <a:p>
          <a:endParaRPr lang="en-GB"/>
        </a:p>
      </dgm:t>
    </dgm:pt>
    <dgm:pt modelId="{564E6C6F-9818-4E46-9C09-A88E58F7962E}" type="sibTrans" cxnId="{83BBCA0C-EEFE-498F-84DF-F90252A59E8B}">
      <dgm:prSet/>
      <dgm:spPr/>
      <dgm:t>
        <a:bodyPr/>
        <a:lstStyle/>
        <a:p>
          <a:endParaRPr lang="en-GB"/>
        </a:p>
      </dgm:t>
    </dgm:pt>
    <dgm:pt modelId="{7AAA3226-E2FF-4EC5-BAA0-D70DEEC6DF99}" type="pres">
      <dgm:prSet presAssocID="{115C6A04-D6E2-4953-9803-CF1BB484999C}" presName="Name0" presStyleCnt="0">
        <dgm:presLayoutVars>
          <dgm:dir/>
          <dgm:resizeHandles val="exact"/>
        </dgm:presLayoutVars>
      </dgm:prSet>
      <dgm:spPr/>
    </dgm:pt>
    <dgm:pt modelId="{640FDC87-E0E6-4FB3-A60B-83719EF4C0D0}" type="pres">
      <dgm:prSet presAssocID="{9EBB5E82-9A4D-4F26-AB3F-15E6513C71E7}" presName="node" presStyleLbl="node1" presStyleIdx="0" presStyleCnt="5">
        <dgm:presLayoutVars>
          <dgm:bulletEnabled val="1"/>
        </dgm:presLayoutVars>
      </dgm:prSet>
      <dgm:spPr/>
    </dgm:pt>
    <dgm:pt modelId="{4EB8ACDE-8323-40AB-975D-45974C261F07}" type="pres">
      <dgm:prSet presAssocID="{139BDBE1-8EFF-4498-9AF5-09EB7C0C5542}" presName="sibTrans" presStyleLbl="sibTrans1D1" presStyleIdx="0" presStyleCnt="4"/>
      <dgm:spPr/>
    </dgm:pt>
    <dgm:pt modelId="{FB88206E-3575-4E16-8C53-EC5C37390BB6}" type="pres">
      <dgm:prSet presAssocID="{139BDBE1-8EFF-4498-9AF5-09EB7C0C5542}" presName="connectorText" presStyleLbl="sibTrans1D1" presStyleIdx="0" presStyleCnt="4"/>
      <dgm:spPr/>
    </dgm:pt>
    <dgm:pt modelId="{2DAD4067-EDB5-49C0-A862-8FE5518B1F37}" type="pres">
      <dgm:prSet presAssocID="{58C8E138-878F-4E1F-9193-CFA850C40DB6}" presName="node" presStyleLbl="node1" presStyleIdx="1" presStyleCnt="5">
        <dgm:presLayoutVars>
          <dgm:bulletEnabled val="1"/>
        </dgm:presLayoutVars>
      </dgm:prSet>
      <dgm:spPr/>
    </dgm:pt>
    <dgm:pt modelId="{933EEA29-A64E-4033-864E-5142555B8494}" type="pres">
      <dgm:prSet presAssocID="{C56A9994-8169-4C00-A72F-B12246A72912}" presName="sibTrans" presStyleLbl="sibTrans1D1" presStyleIdx="1" presStyleCnt="4"/>
      <dgm:spPr/>
    </dgm:pt>
    <dgm:pt modelId="{49B78DBE-6A03-4E82-A11E-F55069FBEC6B}" type="pres">
      <dgm:prSet presAssocID="{C56A9994-8169-4C00-A72F-B12246A72912}" presName="connectorText" presStyleLbl="sibTrans1D1" presStyleIdx="1" presStyleCnt="4"/>
      <dgm:spPr/>
    </dgm:pt>
    <dgm:pt modelId="{6813E36A-EB23-4FB1-927D-81F90A7F6666}" type="pres">
      <dgm:prSet presAssocID="{26C75539-FFFA-4DA9-AF99-6880155DCD69}" presName="node" presStyleLbl="node1" presStyleIdx="2" presStyleCnt="5">
        <dgm:presLayoutVars>
          <dgm:bulletEnabled val="1"/>
        </dgm:presLayoutVars>
      </dgm:prSet>
      <dgm:spPr/>
    </dgm:pt>
    <dgm:pt modelId="{E85CEAFE-23C2-4E76-9307-F4B14118AA15}" type="pres">
      <dgm:prSet presAssocID="{E651251A-7FB1-426E-B7D8-88605CD5FA25}" presName="sibTrans" presStyleLbl="sibTrans1D1" presStyleIdx="2" presStyleCnt="4"/>
      <dgm:spPr/>
    </dgm:pt>
    <dgm:pt modelId="{9263CC31-6DA9-4392-9B14-686E815828BE}" type="pres">
      <dgm:prSet presAssocID="{E651251A-7FB1-426E-B7D8-88605CD5FA25}" presName="connectorText" presStyleLbl="sibTrans1D1" presStyleIdx="2" presStyleCnt="4"/>
      <dgm:spPr/>
    </dgm:pt>
    <dgm:pt modelId="{E048C689-C9B1-4C3A-9449-A6C76629F1F7}" type="pres">
      <dgm:prSet presAssocID="{A38B969C-1C60-41FC-9964-0A1159CA11D8}" presName="node" presStyleLbl="node1" presStyleIdx="3" presStyleCnt="5">
        <dgm:presLayoutVars>
          <dgm:bulletEnabled val="1"/>
        </dgm:presLayoutVars>
      </dgm:prSet>
      <dgm:spPr/>
    </dgm:pt>
    <dgm:pt modelId="{E2ACB7E1-16F7-4310-A2F6-489088D350AF}" type="pres">
      <dgm:prSet presAssocID="{6554E0E9-0E0A-4896-A70F-F6A3DF3EBA78}" presName="sibTrans" presStyleLbl="sibTrans1D1" presStyleIdx="3" presStyleCnt="4"/>
      <dgm:spPr/>
    </dgm:pt>
    <dgm:pt modelId="{9CD9E0D3-692C-4C70-8A77-F01F3970B40C}" type="pres">
      <dgm:prSet presAssocID="{6554E0E9-0E0A-4896-A70F-F6A3DF3EBA78}" presName="connectorText" presStyleLbl="sibTrans1D1" presStyleIdx="3" presStyleCnt="4"/>
      <dgm:spPr/>
    </dgm:pt>
    <dgm:pt modelId="{FF4AB272-0FB2-4157-AD95-F419D7CE8648}" type="pres">
      <dgm:prSet presAssocID="{FEB66CAD-66AF-4C08-8B3D-7CB0CE31490C}" presName="node" presStyleLbl="node1" presStyleIdx="4" presStyleCnt="5">
        <dgm:presLayoutVars>
          <dgm:bulletEnabled val="1"/>
        </dgm:presLayoutVars>
      </dgm:prSet>
      <dgm:spPr/>
    </dgm:pt>
  </dgm:ptLst>
  <dgm:cxnLst>
    <dgm:cxn modelId="{D3002B04-8AAB-4F23-831B-471E0385B281}" type="presOf" srcId="{139BDBE1-8EFF-4498-9AF5-09EB7C0C5542}" destId="{FB88206E-3575-4E16-8C53-EC5C37390BB6}" srcOrd="1" destOrd="0" presId="urn:microsoft.com/office/officeart/2005/8/layout/bProcess3"/>
    <dgm:cxn modelId="{58E62C06-3B09-4EFD-AB53-E8BCB43EF2F4}" type="presOf" srcId="{FEB66CAD-66AF-4C08-8B3D-7CB0CE31490C}" destId="{FF4AB272-0FB2-4157-AD95-F419D7CE8648}" srcOrd="0" destOrd="0" presId="urn:microsoft.com/office/officeart/2005/8/layout/bProcess3"/>
    <dgm:cxn modelId="{83BBCA0C-EEFE-498F-84DF-F90252A59E8B}" srcId="{115C6A04-D6E2-4953-9803-CF1BB484999C}" destId="{FEB66CAD-66AF-4C08-8B3D-7CB0CE31490C}" srcOrd="4" destOrd="0" parTransId="{924BEB96-5618-4375-9B50-B2C892CD9DB4}" sibTransId="{564E6C6F-9818-4E46-9C09-A88E58F7962E}"/>
    <dgm:cxn modelId="{3E41C431-26F6-487D-B900-00081043BA45}" type="presOf" srcId="{58C8E138-878F-4E1F-9193-CFA850C40DB6}" destId="{2DAD4067-EDB5-49C0-A862-8FE5518B1F37}" srcOrd="0" destOrd="0" presId="urn:microsoft.com/office/officeart/2005/8/layout/bProcess3"/>
    <dgm:cxn modelId="{092B7B4B-F935-4E8A-8321-10FBB7B7FA8D}" type="presOf" srcId="{26C75539-FFFA-4DA9-AF99-6880155DCD69}" destId="{6813E36A-EB23-4FB1-927D-81F90A7F6666}" srcOrd="0" destOrd="0" presId="urn:microsoft.com/office/officeart/2005/8/layout/bProcess3"/>
    <dgm:cxn modelId="{73C97D50-4F76-4859-9780-CD1098AD2D01}" type="presOf" srcId="{9EBB5E82-9A4D-4F26-AB3F-15E6513C71E7}" destId="{640FDC87-E0E6-4FB3-A60B-83719EF4C0D0}" srcOrd="0" destOrd="0" presId="urn:microsoft.com/office/officeart/2005/8/layout/bProcess3"/>
    <dgm:cxn modelId="{A8E7199D-4F9E-4335-8D50-DB0692AA2853}" type="presOf" srcId="{115C6A04-D6E2-4953-9803-CF1BB484999C}" destId="{7AAA3226-E2FF-4EC5-BAA0-D70DEEC6DF99}" srcOrd="0" destOrd="0" presId="urn:microsoft.com/office/officeart/2005/8/layout/bProcess3"/>
    <dgm:cxn modelId="{18BCF0A6-50E4-45C0-883D-9D3B6494B4C7}" type="presOf" srcId="{C56A9994-8169-4C00-A72F-B12246A72912}" destId="{933EEA29-A64E-4033-864E-5142555B8494}" srcOrd="0" destOrd="0" presId="urn:microsoft.com/office/officeart/2005/8/layout/bProcess3"/>
    <dgm:cxn modelId="{A65E7EA7-B998-42C2-B692-BEE4F7BF0E7D}" type="presOf" srcId="{A38B969C-1C60-41FC-9964-0A1159CA11D8}" destId="{E048C689-C9B1-4C3A-9449-A6C76629F1F7}" srcOrd="0" destOrd="0" presId="urn:microsoft.com/office/officeart/2005/8/layout/bProcess3"/>
    <dgm:cxn modelId="{A71E49C9-604E-45C1-BA76-17BECD5B60A1}" type="presOf" srcId="{E651251A-7FB1-426E-B7D8-88605CD5FA25}" destId="{9263CC31-6DA9-4392-9B14-686E815828BE}" srcOrd="1" destOrd="0" presId="urn:microsoft.com/office/officeart/2005/8/layout/bProcess3"/>
    <dgm:cxn modelId="{F1194ED2-EBD2-4069-BA69-3354150AC41D}" srcId="{115C6A04-D6E2-4953-9803-CF1BB484999C}" destId="{26C75539-FFFA-4DA9-AF99-6880155DCD69}" srcOrd="2" destOrd="0" parTransId="{DDCB6B77-F196-4D5F-AE61-1DC6AA16E5D2}" sibTransId="{E651251A-7FB1-426E-B7D8-88605CD5FA25}"/>
    <dgm:cxn modelId="{0BDF9BD3-EB3E-4F50-80B2-6B15750AE947}" srcId="{115C6A04-D6E2-4953-9803-CF1BB484999C}" destId="{A38B969C-1C60-41FC-9964-0A1159CA11D8}" srcOrd="3" destOrd="0" parTransId="{A56A589C-85EE-441D-AB3F-878F78E65C31}" sibTransId="{6554E0E9-0E0A-4896-A70F-F6A3DF3EBA78}"/>
    <dgm:cxn modelId="{CC64C7D5-440F-4372-8F72-ACA1E63D9218}" type="presOf" srcId="{E651251A-7FB1-426E-B7D8-88605CD5FA25}" destId="{E85CEAFE-23C2-4E76-9307-F4B14118AA15}" srcOrd="0" destOrd="0" presId="urn:microsoft.com/office/officeart/2005/8/layout/bProcess3"/>
    <dgm:cxn modelId="{D5140FE3-3BE7-4BE5-A923-213748759D74}" type="presOf" srcId="{6554E0E9-0E0A-4896-A70F-F6A3DF3EBA78}" destId="{E2ACB7E1-16F7-4310-A2F6-489088D350AF}" srcOrd="0" destOrd="0" presId="urn:microsoft.com/office/officeart/2005/8/layout/bProcess3"/>
    <dgm:cxn modelId="{7010BCEB-683B-4702-B863-E1AFF5E77463}" type="presOf" srcId="{6554E0E9-0E0A-4896-A70F-F6A3DF3EBA78}" destId="{9CD9E0D3-692C-4C70-8A77-F01F3970B40C}" srcOrd="1" destOrd="0" presId="urn:microsoft.com/office/officeart/2005/8/layout/bProcess3"/>
    <dgm:cxn modelId="{F7BD38F5-9F27-48C8-988B-3D54D795E528}" type="presOf" srcId="{C56A9994-8169-4C00-A72F-B12246A72912}" destId="{49B78DBE-6A03-4E82-A11E-F55069FBEC6B}" srcOrd="1" destOrd="0" presId="urn:microsoft.com/office/officeart/2005/8/layout/bProcess3"/>
    <dgm:cxn modelId="{26BBE6F5-F632-4574-A93D-24D915538B76}" srcId="{115C6A04-D6E2-4953-9803-CF1BB484999C}" destId="{9EBB5E82-9A4D-4F26-AB3F-15E6513C71E7}" srcOrd="0" destOrd="0" parTransId="{4F96230E-F3DC-4AFE-9669-7F9963BE8D07}" sibTransId="{139BDBE1-8EFF-4498-9AF5-09EB7C0C5542}"/>
    <dgm:cxn modelId="{C260BEFA-7AAC-4203-8150-AD70AD8352AE}" srcId="{115C6A04-D6E2-4953-9803-CF1BB484999C}" destId="{58C8E138-878F-4E1F-9193-CFA850C40DB6}" srcOrd="1" destOrd="0" parTransId="{F7814442-F689-4C5C-AC54-0A5FD293F103}" sibTransId="{C56A9994-8169-4C00-A72F-B12246A72912}"/>
    <dgm:cxn modelId="{C40343FE-DDB1-483E-9160-34BBC050F7B2}" type="presOf" srcId="{139BDBE1-8EFF-4498-9AF5-09EB7C0C5542}" destId="{4EB8ACDE-8323-40AB-975D-45974C261F07}" srcOrd="0" destOrd="0" presId="urn:microsoft.com/office/officeart/2005/8/layout/bProcess3"/>
    <dgm:cxn modelId="{26647341-FA04-4B75-AADC-863C1022E49B}" type="presParOf" srcId="{7AAA3226-E2FF-4EC5-BAA0-D70DEEC6DF99}" destId="{640FDC87-E0E6-4FB3-A60B-83719EF4C0D0}" srcOrd="0" destOrd="0" presId="urn:microsoft.com/office/officeart/2005/8/layout/bProcess3"/>
    <dgm:cxn modelId="{F2B81086-0360-4B85-8F4E-BBD48CACC79F}" type="presParOf" srcId="{7AAA3226-E2FF-4EC5-BAA0-D70DEEC6DF99}" destId="{4EB8ACDE-8323-40AB-975D-45974C261F07}" srcOrd="1" destOrd="0" presId="urn:microsoft.com/office/officeart/2005/8/layout/bProcess3"/>
    <dgm:cxn modelId="{2AF46FD0-4726-4FA2-A6A4-3D5F180A75B8}" type="presParOf" srcId="{4EB8ACDE-8323-40AB-975D-45974C261F07}" destId="{FB88206E-3575-4E16-8C53-EC5C37390BB6}" srcOrd="0" destOrd="0" presId="urn:microsoft.com/office/officeart/2005/8/layout/bProcess3"/>
    <dgm:cxn modelId="{3D3D809D-510B-491A-A67B-9B6B9926A451}" type="presParOf" srcId="{7AAA3226-E2FF-4EC5-BAA0-D70DEEC6DF99}" destId="{2DAD4067-EDB5-49C0-A862-8FE5518B1F37}" srcOrd="2" destOrd="0" presId="urn:microsoft.com/office/officeart/2005/8/layout/bProcess3"/>
    <dgm:cxn modelId="{7C4C3F85-5BB3-4DC7-A917-4DA1CBE2CE10}" type="presParOf" srcId="{7AAA3226-E2FF-4EC5-BAA0-D70DEEC6DF99}" destId="{933EEA29-A64E-4033-864E-5142555B8494}" srcOrd="3" destOrd="0" presId="urn:microsoft.com/office/officeart/2005/8/layout/bProcess3"/>
    <dgm:cxn modelId="{F5CE535D-62A7-4AC5-8F0A-765844663365}" type="presParOf" srcId="{933EEA29-A64E-4033-864E-5142555B8494}" destId="{49B78DBE-6A03-4E82-A11E-F55069FBEC6B}" srcOrd="0" destOrd="0" presId="urn:microsoft.com/office/officeart/2005/8/layout/bProcess3"/>
    <dgm:cxn modelId="{B132768A-F35E-4448-9B01-C6ACC52F8058}" type="presParOf" srcId="{7AAA3226-E2FF-4EC5-BAA0-D70DEEC6DF99}" destId="{6813E36A-EB23-4FB1-927D-81F90A7F6666}" srcOrd="4" destOrd="0" presId="urn:microsoft.com/office/officeart/2005/8/layout/bProcess3"/>
    <dgm:cxn modelId="{898C77E0-F9C2-427A-B785-8180EBCEA9C3}" type="presParOf" srcId="{7AAA3226-E2FF-4EC5-BAA0-D70DEEC6DF99}" destId="{E85CEAFE-23C2-4E76-9307-F4B14118AA15}" srcOrd="5" destOrd="0" presId="urn:microsoft.com/office/officeart/2005/8/layout/bProcess3"/>
    <dgm:cxn modelId="{829CF9C8-F449-4B00-95CE-4372CB5C7C11}" type="presParOf" srcId="{E85CEAFE-23C2-4E76-9307-F4B14118AA15}" destId="{9263CC31-6DA9-4392-9B14-686E815828BE}" srcOrd="0" destOrd="0" presId="urn:microsoft.com/office/officeart/2005/8/layout/bProcess3"/>
    <dgm:cxn modelId="{961BBBBC-6DEC-476E-951D-365EB1951A18}" type="presParOf" srcId="{7AAA3226-E2FF-4EC5-BAA0-D70DEEC6DF99}" destId="{E048C689-C9B1-4C3A-9449-A6C76629F1F7}" srcOrd="6" destOrd="0" presId="urn:microsoft.com/office/officeart/2005/8/layout/bProcess3"/>
    <dgm:cxn modelId="{C92FD115-5982-43E6-891C-0342738B8DC4}" type="presParOf" srcId="{7AAA3226-E2FF-4EC5-BAA0-D70DEEC6DF99}" destId="{E2ACB7E1-16F7-4310-A2F6-489088D350AF}" srcOrd="7" destOrd="0" presId="urn:microsoft.com/office/officeart/2005/8/layout/bProcess3"/>
    <dgm:cxn modelId="{788C3692-AB84-41DE-A496-14F0F1C3F081}" type="presParOf" srcId="{E2ACB7E1-16F7-4310-A2F6-489088D350AF}" destId="{9CD9E0D3-692C-4C70-8A77-F01F3970B40C}" srcOrd="0" destOrd="0" presId="urn:microsoft.com/office/officeart/2005/8/layout/bProcess3"/>
    <dgm:cxn modelId="{F5352C84-0D57-44E3-AF3C-E0C88E1B5651}" type="presParOf" srcId="{7AAA3226-E2FF-4EC5-BAA0-D70DEEC6DF99}" destId="{FF4AB272-0FB2-4157-AD95-F419D7CE8648}" srcOrd="8" destOrd="0" presId="urn:microsoft.com/office/officeart/2005/8/layout/b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028276-96CB-48D1-8F4F-5E1A3346AD26}" type="doc">
      <dgm:prSet loTypeId="urn:microsoft.com/office/officeart/2005/8/layout/process5" loCatId="process" qsTypeId="urn:microsoft.com/office/officeart/2005/8/quickstyle/simple1" qsCatId="simple" csTypeId="urn:microsoft.com/office/officeart/2005/8/colors/accent0_1" csCatId="mainScheme" phldr="1"/>
      <dgm:spPr/>
      <dgm:t>
        <a:bodyPr/>
        <a:lstStyle/>
        <a:p>
          <a:endParaRPr lang="en-GB"/>
        </a:p>
      </dgm:t>
    </dgm:pt>
    <dgm:pt modelId="{25714680-90AC-49A6-81AD-5C84B45C7D04}">
      <dgm:prSet phldrT="[Text]" custT="1"/>
      <dgm:spPr/>
      <dgm:t>
        <a:bodyPr/>
        <a:lstStyle/>
        <a:p>
          <a:pPr algn="ctr"/>
          <a:r>
            <a:rPr lang="en-GB" sz="1200">
              <a:latin typeface="Arial" panose="020B0604020202020204" pitchFamily="34" charset="0"/>
              <a:cs typeface="Arial" panose="020B0604020202020204" pitchFamily="34" charset="0"/>
            </a:rPr>
            <a:t>US Interest Rates</a:t>
          </a:r>
        </a:p>
      </dgm:t>
    </dgm:pt>
    <dgm:pt modelId="{837A955A-518D-4653-B637-326A88B478F2}" type="parTrans" cxnId="{1FE28F21-FF68-4374-B4F6-8D9249BF2076}">
      <dgm:prSet/>
      <dgm:spPr/>
      <dgm:t>
        <a:bodyPr/>
        <a:lstStyle/>
        <a:p>
          <a:pPr algn="just"/>
          <a:endParaRPr lang="en-GB"/>
        </a:p>
      </dgm:t>
    </dgm:pt>
    <dgm:pt modelId="{C4AD6581-1304-4DA3-B264-8BF2E748C6DB}" type="sibTrans" cxnId="{1FE28F21-FF68-4374-B4F6-8D9249BF2076}">
      <dgm:prSet/>
      <dgm:spPr/>
      <dgm:t>
        <a:bodyPr/>
        <a:lstStyle/>
        <a:p>
          <a:pPr algn="just"/>
          <a:endParaRPr lang="en-GB"/>
        </a:p>
      </dgm:t>
    </dgm:pt>
    <dgm:pt modelId="{DA10CE9B-4C31-48CD-A376-A74E52D5718E}">
      <dgm:prSet phldrT="[Text]" custT="1"/>
      <dgm:spPr/>
      <dgm:t>
        <a:bodyPr/>
        <a:lstStyle/>
        <a:p>
          <a:pPr algn="ctr"/>
          <a:r>
            <a:rPr lang="en-GB" sz="1200">
              <a:latin typeface="Arial" panose="020B0604020202020204" pitchFamily="34" charset="0"/>
              <a:cs typeface="Arial" panose="020B0604020202020204" pitchFamily="34" charset="0"/>
            </a:rPr>
            <a:t>Gold Returns </a:t>
          </a:r>
        </a:p>
      </dgm:t>
    </dgm:pt>
    <dgm:pt modelId="{87E6B1C0-9BB8-4E82-981B-40AF11F32078}" type="parTrans" cxnId="{4631F222-DE38-40CB-B273-F3B4B507BBC5}">
      <dgm:prSet/>
      <dgm:spPr/>
      <dgm:t>
        <a:bodyPr/>
        <a:lstStyle/>
        <a:p>
          <a:pPr algn="just"/>
          <a:endParaRPr lang="en-GB"/>
        </a:p>
      </dgm:t>
    </dgm:pt>
    <dgm:pt modelId="{CC94426B-CC40-489A-9E48-53154398693E}" type="sibTrans" cxnId="{4631F222-DE38-40CB-B273-F3B4B507BBC5}">
      <dgm:prSet/>
      <dgm:spPr/>
      <dgm:t>
        <a:bodyPr/>
        <a:lstStyle/>
        <a:p>
          <a:pPr algn="just"/>
          <a:endParaRPr lang="en-GB"/>
        </a:p>
      </dgm:t>
    </dgm:pt>
    <dgm:pt modelId="{907D63D8-CA60-4FB0-BC32-C310538E1B30}">
      <dgm:prSet phldrT="[Text]" custT="1"/>
      <dgm:spPr/>
      <dgm:t>
        <a:bodyPr/>
        <a:lstStyle/>
        <a:p>
          <a:pPr algn="ctr"/>
          <a:r>
            <a:rPr lang="en-GB" sz="1200">
              <a:latin typeface="Arial" panose="020B0604020202020204" pitchFamily="34" charset="0"/>
              <a:cs typeface="Arial" panose="020B0604020202020204" pitchFamily="34" charset="0"/>
            </a:rPr>
            <a:t>US Equity Returns (S&amp;P 500, Nasdaq)</a:t>
          </a:r>
        </a:p>
      </dgm:t>
    </dgm:pt>
    <dgm:pt modelId="{E56351A0-C62C-45CF-9B58-46C6B2B01C09}" type="parTrans" cxnId="{FB91E2AD-F468-4E6F-BBF4-EB75F0B6F251}">
      <dgm:prSet/>
      <dgm:spPr/>
      <dgm:t>
        <a:bodyPr/>
        <a:lstStyle/>
        <a:p>
          <a:pPr algn="just"/>
          <a:endParaRPr lang="en-GB"/>
        </a:p>
      </dgm:t>
    </dgm:pt>
    <dgm:pt modelId="{80EB569E-7782-45C4-A508-D6E3C60BE1A4}" type="sibTrans" cxnId="{FB91E2AD-F468-4E6F-BBF4-EB75F0B6F251}">
      <dgm:prSet/>
      <dgm:spPr/>
      <dgm:t>
        <a:bodyPr/>
        <a:lstStyle/>
        <a:p>
          <a:pPr algn="just"/>
          <a:endParaRPr lang="en-GB"/>
        </a:p>
      </dgm:t>
    </dgm:pt>
    <dgm:pt modelId="{5F6452DC-28E3-4D2D-AC8B-408124FCAC3A}">
      <dgm:prSet phldrT="[Text]" custT="1"/>
      <dgm:spPr/>
      <dgm:t>
        <a:bodyPr/>
        <a:lstStyle/>
        <a:p>
          <a:pPr algn="ctr"/>
          <a:r>
            <a:rPr lang="en-GB" sz="1200">
              <a:latin typeface="Arial" panose="020B0604020202020204" pitchFamily="34" charset="0"/>
              <a:cs typeface="Arial" panose="020B0604020202020204" pitchFamily="34" charset="0"/>
            </a:rPr>
            <a:t>Hedging Effectiveness and Portfolio Diversification</a:t>
          </a:r>
        </a:p>
      </dgm:t>
    </dgm:pt>
    <dgm:pt modelId="{0EFA74C5-83C7-4C04-AA91-6F9ADC7B31BE}" type="parTrans" cxnId="{902FD96C-638B-431F-B8D6-37E1712E43E4}">
      <dgm:prSet/>
      <dgm:spPr/>
      <dgm:t>
        <a:bodyPr/>
        <a:lstStyle/>
        <a:p>
          <a:pPr algn="just"/>
          <a:endParaRPr lang="en-GB"/>
        </a:p>
      </dgm:t>
    </dgm:pt>
    <dgm:pt modelId="{6E94B2E6-68F1-4165-AE2C-363CD155F820}" type="sibTrans" cxnId="{902FD96C-638B-431F-B8D6-37E1712E43E4}">
      <dgm:prSet/>
      <dgm:spPr/>
      <dgm:t>
        <a:bodyPr/>
        <a:lstStyle/>
        <a:p>
          <a:pPr algn="just"/>
          <a:endParaRPr lang="en-GB"/>
        </a:p>
      </dgm:t>
    </dgm:pt>
    <dgm:pt modelId="{F913157C-410E-49A9-B71C-C83B49ECBB13}" type="pres">
      <dgm:prSet presAssocID="{5E028276-96CB-48D1-8F4F-5E1A3346AD26}" presName="diagram" presStyleCnt="0">
        <dgm:presLayoutVars>
          <dgm:dir/>
          <dgm:resizeHandles val="exact"/>
        </dgm:presLayoutVars>
      </dgm:prSet>
      <dgm:spPr/>
    </dgm:pt>
    <dgm:pt modelId="{6D061839-EBD2-4335-9429-847F631CB97F}" type="pres">
      <dgm:prSet presAssocID="{25714680-90AC-49A6-81AD-5C84B45C7D04}" presName="node" presStyleLbl="node1" presStyleIdx="0" presStyleCnt="4" custScaleX="40552" custScaleY="29381" custLinFactNeighborX="1024" custLinFactNeighborY="-33965">
        <dgm:presLayoutVars>
          <dgm:bulletEnabled val="1"/>
        </dgm:presLayoutVars>
      </dgm:prSet>
      <dgm:spPr/>
    </dgm:pt>
    <dgm:pt modelId="{8E406EFE-9D93-4B0B-A685-87E2DD08382C}" type="pres">
      <dgm:prSet presAssocID="{C4AD6581-1304-4DA3-B264-8BF2E748C6DB}" presName="sibTrans" presStyleLbl="sibTrans2D1" presStyleIdx="0" presStyleCnt="3" custAng="60076" custScaleX="158393" custScaleY="52925"/>
      <dgm:spPr/>
    </dgm:pt>
    <dgm:pt modelId="{2DFAD1E7-1440-4A64-9AD4-A9AECD7F30D9}" type="pres">
      <dgm:prSet presAssocID="{C4AD6581-1304-4DA3-B264-8BF2E748C6DB}" presName="connectorText" presStyleLbl="sibTrans2D1" presStyleIdx="0" presStyleCnt="3"/>
      <dgm:spPr/>
    </dgm:pt>
    <dgm:pt modelId="{8D23B626-E435-4EFD-8B00-969CD17803CE}" type="pres">
      <dgm:prSet presAssocID="{DA10CE9B-4C31-48CD-A376-A74E52D5718E}" presName="node" presStyleLbl="node1" presStyleIdx="1" presStyleCnt="4" custAng="0" custScaleX="41442" custScaleY="28821" custLinFactNeighborX="-79527" custLinFactNeighborY="47350">
        <dgm:presLayoutVars>
          <dgm:bulletEnabled val="1"/>
        </dgm:presLayoutVars>
      </dgm:prSet>
      <dgm:spPr/>
    </dgm:pt>
    <dgm:pt modelId="{33B33661-1409-4DAF-9039-81526C578BE1}" type="pres">
      <dgm:prSet presAssocID="{CC94426B-CC40-489A-9E48-53154398693E}" presName="sibTrans" presStyleLbl="sibTrans2D1" presStyleIdx="1" presStyleCnt="3" custAng="28543" custScaleX="129587" custScaleY="46975" custLinFactNeighborX="1257" custLinFactNeighborY="2734"/>
      <dgm:spPr/>
    </dgm:pt>
    <dgm:pt modelId="{A7B70960-25F7-4460-A811-369173A5A90F}" type="pres">
      <dgm:prSet presAssocID="{CC94426B-CC40-489A-9E48-53154398693E}" presName="connectorText" presStyleLbl="sibTrans2D1" presStyleIdx="1" presStyleCnt="3"/>
      <dgm:spPr/>
    </dgm:pt>
    <dgm:pt modelId="{AD80CE68-F7F6-4262-96A8-3C9DCC80522F}" type="pres">
      <dgm:prSet presAssocID="{907D63D8-CA60-4FB0-BC32-C310538E1B30}" presName="node" presStyleLbl="node1" presStyleIdx="2" presStyleCnt="4" custScaleX="39749" custScaleY="26796" custLinFactNeighborX="-4263" custLinFactNeighborY="-62306">
        <dgm:presLayoutVars>
          <dgm:bulletEnabled val="1"/>
        </dgm:presLayoutVars>
      </dgm:prSet>
      <dgm:spPr/>
    </dgm:pt>
    <dgm:pt modelId="{557EA96F-E86A-435F-B6A4-1C43D8EE5C79}" type="pres">
      <dgm:prSet presAssocID="{80EB569E-7782-45C4-A508-D6E3C60BE1A4}" presName="sibTrans" presStyleLbl="sibTrans2D1" presStyleIdx="2" presStyleCnt="3" custAng="17740505" custScaleX="60768" custScaleY="51619" custLinFactX="-91733" custLinFactNeighborX="-100000" custLinFactNeighborY="5356"/>
      <dgm:spPr/>
    </dgm:pt>
    <dgm:pt modelId="{17322209-66AD-4CC1-B5AE-E3676EE87352}" type="pres">
      <dgm:prSet presAssocID="{80EB569E-7782-45C4-A508-D6E3C60BE1A4}" presName="connectorText" presStyleLbl="sibTrans2D1" presStyleIdx="2" presStyleCnt="3"/>
      <dgm:spPr/>
    </dgm:pt>
    <dgm:pt modelId="{8CCC0FB8-A0FA-4008-9B6F-FE5735595E34}" type="pres">
      <dgm:prSet presAssocID="{5F6452DC-28E3-4D2D-AC8B-408124FCAC3A}" presName="node" presStyleLbl="node1" presStyleIdx="3" presStyleCnt="4" custScaleX="45687" custScaleY="34543" custLinFactNeighborX="3533" custLinFactNeighborY="-2277">
        <dgm:presLayoutVars>
          <dgm:bulletEnabled val="1"/>
        </dgm:presLayoutVars>
      </dgm:prSet>
      <dgm:spPr/>
    </dgm:pt>
  </dgm:ptLst>
  <dgm:cxnLst>
    <dgm:cxn modelId="{13842008-65A9-483A-BEEA-976B3DE8EFA9}" type="presOf" srcId="{C4AD6581-1304-4DA3-B264-8BF2E748C6DB}" destId="{2DFAD1E7-1440-4A64-9AD4-A9AECD7F30D9}" srcOrd="1" destOrd="0" presId="urn:microsoft.com/office/officeart/2005/8/layout/process5"/>
    <dgm:cxn modelId="{5CD3F718-380E-4245-8791-8D58EE2EEE4D}" type="presOf" srcId="{907D63D8-CA60-4FB0-BC32-C310538E1B30}" destId="{AD80CE68-F7F6-4262-96A8-3C9DCC80522F}" srcOrd="0" destOrd="0" presId="urn:microsoft.com/office/officeart/2005/8/layout/process5"/>
    <dgm:cxn modelId="{83F9311A-0CEE-4C98-97BE-FADB9713A099}" type="presOf" srcId="{25714680-90AC-49A6-81AD-5C84B45C7D04}" destId="{6D061839-EBD2-4335-9429-847F631CB97F}" srcOrd="0" destOrd="0" presId="urn:microsoft.com/office/officeart/2005/8/layout/process5"/>
    <dgm:cxn modelId="{1FE28F21-FF68-4374-B4F6-8D9249BF2076}" srcId="{5E028276-96CB-48D1-8F4F-5E1A3346AD26}" destId="{25714680-90AC-49A6-81AD-5C84B45C7D04}" srcOrd="0" destOrd="0" parTransId="{837A955A-518D-4653-B637-326A88B478F2}" sibTransId="{C4AD6581-1304-4DA3-B264-8BF2E748C6DB}"/>
    <dgm:cxn modelId="{4631F222-DE38-40CB-B273-F3B4B507BBC5}" srcId="{5E028276-96CB-48D1-8F4F-5E1A3346AD26}" destId="{DA10CE9B-4C31-48CD-A376-A74E52D5718E}" srcOrd="1" destOrd="0" parTransId="{87E6B1C0-9BB8-4E82-981B-40AF11F32078}" sibTransId="{CC94426B-CC40-489A-9E48-53154398693E}"/>
    <dgm:cxn modelId="{D6290964-9D81-4453-AB66-6B99AF56CC90}" type="presOf" srcId="{DA10CE9B-4C31-48CD-A376-A74E52D5718E}" destId="{8D23B626-E435-4EFD-8B00-969CD17803CE}" srcOrd="0" destOrd="0" presId="urn:microsoft.com/office/officeart/2005/8/layout/process5"/>
    <dgm:cxn modelId="{902FD96C-638B-431F-B8D6-37E1712E43E4}" srcId="{5E028276-96CB-48D1-8F4F-5E1A3346AD26}" destId="{5F6452DC-28E3-4D2D-AC8B-408124FCAC3A}" srcOrd="3" destOrd="0" parTransId="{0EFA74C5-83C7-4C04-AA91-6F9ADC7B31BE}" sibTransId="{6E94B2E6-68F1-4165-AE2C-363CD155F820}"/>
    <dgm:cxn modelId="{1858FB6E-44E9-4B8E-AB02-22287BD47B52}" type="presOf" srcId="{5F6452DC-28E3-4D2D-AC8B-408124FCAC3A}" destId="{8CCC0FB8-A0FA-4008-9B6F-FE5735595E34}" srcOrd="0" destOrd="0" presId="urn:microsoft.com/office/officeart/2005/8/layout/process5"/>
    <dgm:cxn modelId="{6B9B3F79-96FB-4B55-A506-1133E3484FF6}" type="presOf" srcId="{C4AD6581-1304-4DA3-B264-8BF2E748C6DB}" destId="{8E406EFE-9D93-4B0B-A685-87E2DD08382C}" srcOrd="0" destOrd="0" presId="urn:microsoft.com/office/officeart/2005/8/layout/process5"/>
    <dgm:cxn modelId="{98AB8F87-3A78-4A0F-B375-2A3B0C7F52B9}" type="presOf" srcId="{80EB569E-7782-45C4-A508-D6E3C60BE1A4}" destId="{557EA96F-E86A-435F-B6A4-1C43D8EE5C79}" srcOrd="0" destOrd="0" presId="urn:microsoft.com/office/officeart/2005/8/layout/process5"/>
    <dgm:cxn modelId="{7B576892-01A9-48B9-833F-11DAD368FF2A}" type="presOf" srcId="{CC94426B-CC40-489A-9E48-53154398693E}" destId="{A7B70960-25F7-4460-A811-369173A5A90F}" srcOrd="1" destOrd="0" presId="urn:microsoft.com/office/officeart/2005/8/layout/process5"/>
    <dgm:cxn modelId="{FB91E2AD-F468-4E6F-BBF4-EB75F0B6F251}" srcId="{5E028276-96CB-48D1-8F4F-5E1A3346AD26}" destId="{907D63D8-CA60-4FB0-BC32-C310538E1B30}" srcOrd="2" destOrd="0" parTransId="{E56351A0-C62C-45CF-9B58-46C6B2B01C09}" sibTransId="{80EB569E-7782-45C4-A508-D6E3C60BE1A4}"/>
    <dgm:cxn modelId="{70DBBAD3-5C89-4D5E-B9AA-D5D688DD7F21}" type="presOf" srcId="{CC94426B-CC40-489A-9E48-53154398693E}" destId="{33B33661-1409-4DAF-9039-81526C578BE1}" srcOrd="0" destOrd="0" presId="urn:microsoft.com/office/officeart/2005/8/layout/process5"/>
    <dgm:cxn modelId="{952454D4-7CD0-4753-B7E9-D57C1306E6C8}" type="presOf" srcId="{5E028276-96CB-48D1-8F4F-5E1A3346AD26}" destId="{F913157C-410E-49A9-B71C-C83B49ECBB13}" srcOrd="0" destOrd="0" presId="urn:microsoft.com/office/officeart/2005/8/layout/process5"/>
    <dgm:cxn modelId="{F719B0EB-1D90-4675-8A94-72DCF6A4CB49}" type="presOf" srcId="{80EB569E-7782-45C4-A508-D6E3C60BE1A4}" destId="{17322209-66AD-4CC1-B5AE-E3676EE87352}" srcOrd="1" destOrd="0" presId="urn:microsoft.com/office/officeart/2005/8/layout/process5"/>
    <dgm:cxn modelId="{AF75FBEF-DA5D-42F2-BF59-E732BC3C2FC4}" type="presParOf" srcId="{F913157C-410E-49A9-B71C-C83B49ECBB13}" destId="{6D061839-EBD2-4335-9429-847F631CB97F}" srcOrd="0" destOrd="0" presId="urn:microsoft.com/office/officeart/2005/8/layout/process5"/>
    <dgm:cxn modelId="{FDDC6013-0A3C-464E-BD2B-8F6DD486CE94}" type="presParOf" srcId="{F913157C-410E-49A9-B71C-C83B49ECBB13}" destId="{8E406EFE-9D93-4B0B-A685-87E2DD08382C}" srcOrd="1" destOrd="0" presId="urn:microsoft.com/office/officeart/2005/8/layout/process5"/>
    <dgm:cxn modelId="{BE06DD12-61DB-4033-9435-998D2B3FE868}" type="presParOf" srcId="{8E406EFE-9D93-4B0B-A685-87E2DD08382C}" destId="{2DFAD1E7-1440-4A64-9AD4-A9AECD7F30D9}" srcOrd="0" destOrd="0" presId="urn:microsoft.com/office/officeart/2005/8/layout/process5"/>
    <dgm:cxn modelId="{7128091B-BB70-4663-B32C-645E0A2C2B10}" type="presParOf" srcId="{F913157C-410E-49A9-B71C-C83B49ECBB13}" destId="{8D23B626-E435-4EFD-8B00-969CD17803CE}" srcOrd="2" destOrd="0" presId="urn:microsoft.com/office/officeart/2005/8/layout/process5"/>
    <dgm:cxn modelId="{C99066E6-AD51-44A6-8BD5-ACAAF297C00C}" type="presParOf" srcId="{F913157C-410E-49A9-B71C-C83B49ECBB13}" destId="{33B33661-1409-4DAF-9039-81526C578BE1}" srcOrd="3" destOrd="0" presId="urn:microsoft.com/office/officeart/2005/8/layout/process5"/>
    <dgm:cxn modelId="{5B7166D3-2081-4D7B-9B60-A92A399D248A}" type="presParOf" srcId="{33B33661-1409-4DAF-9039-81526C578BE1}" destId="{A7B70960-25F7-4460-A811-369173A5A90F}" srcOrd="0" destOrd="0" presId="urn:microsoft.com/office/officeart/2005/8/layout/process5"/>
    <dgm:cxn modelId="{F9EAC141-B9F6-4058-98AF-11550A091647}" type="presParOf" srcId="{F913157C-410E-49A9-B71C-C83B49ECBB13}" destId="{AD80CE68-F7F6-4262-96A8-3C9DCC80522F}" srcOrd="4" destOrd="0" presId="urn:microsoft.com/office/officeart/2005/8/layout/process5"/>
    <dgm:cxn modelId="{C5809655-325D-42BC-870C-4A898F7C19C0}" type="presParOf" srcId="{F913157C-410E-49A9-B71C-C83B49ECBB13}" destId="{557EA96F-E86A-435F-B6A4-1C43D8EE5C79}" srcOrd="5" destOrd="0" presId="urn:microsoft.com/office/officeart/2005/8/layout/process5"/>
    <dgm:cxn modelId="{55708B88-35B9-4D85-A25E-A368385B7B77}" type="presParOf" srcId="{557EA96F-E86A-435F-B6A4-1C43D8EE5C79}" destId="{17322209-66AD-4CC1-B5AE-E3676EE87352}" srcOrd="0" destOrd="0" presId="urn:microsoft.com/office/officeart/2005/8/layout/process5"/>
    <dgm:cxn modelId="{EF81219B-1EE5-41F0-8A04-94218855066B}" type="presParOf" srcId="{F913157C-410E-49A9-B71C-C83B49ECBB13}" destId="{8CCC0FB8-A0FA-4008-9B6F-FE5735595E34}" srcOrd="6" destOrd="0" presId="urn:microsoft.com/office/officeart/2005/8/layout/process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B8ACDE-8323-40AB-975D-45974C261F07}">
      <dsp:nvSpPr>
        <dsp:cNvPr id="0" name=""/>
        <dsp:cNvSpPr/>
      </dsp:nvSpPr>
      <dsp:spPr>
        <a:xfrm>
          <a:off x="1681179" y="899168"/>
          <a:ext cx="355459" cy="91440"/>
        </a:xfrm>
        <a:custGeom>
          <a:avLst/>
          <a:gdLst/>
          <a:ahLst/>
          <a:cxnLst/>
          <a:rect l="0" t="0" r="0" b="0"/>
          <a:pathLst>
            <a:path>
              <a:moveTo>
                <a:pt x="0" y="45720"/>
              </a:moveTo>
              <a:lnTo>
                <a:pt x="355459" y="45720"/>
              </a:lnTo>
            </a:path>
          </a:pathLst>
        </a:custGeom>
        <a:noFill/>
        <a:ln w="1270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49258" y="942958"/>
        <a:ext cx="19302" cy="3860"/>
      </dsp:txXfrm>
    </dsp:sp>
    <dsp:sp modelId="{640FDC87-E0E6-4FB3-A60B-83719EF4C0D0}">
      <dsp:nvSpPr>
        <dsp:cNvPr id="0" name=""/>
        <dsp:cNvSpPr/>
      </dsp:nvSpPr>
      <dsp:spPr>
        <a:xfrm>
          <a:off x="4459" y="441332"/>
          <a:ext cx="1678520" cy="1007112"/>
        </a:xfrm>
        <a:prstGeom prst="rect">
          <a:avLst/>
        </a:prstGeom>
        <a:solidFill>
          <a:schemeClr val="accent6"/>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latin typeface="Arial" panose="020B0604020202020204" pitchFamily="34" charset="0"/>
              <a:cs typeface="Arial" panose="020B0604020202020204" pitchFamily="34" charset="0"/>
            </a:rPr>
            <a:t>CHAPTER ONE: INTRODUCTION</a:t>
          </a:r>
        </a:p>
      </dsp:txBody>
      <dsp:txXfrm>
        <a:off x="4459" y="441332"/>
        <a:ext cx="1678520" cy="1007112"/>
      </dsp:txXfrm>
    </dsp:sp>
    <dsp:sp modelId="{933EEA29-A64E-4033-864E-5142555B8494}">
      <dsp:nvSpPr>
        <dsp:cNvPr id="0" name=""/>
        <dsp:cNvSpPr/>
      </dsp:nvSpPr>
      <dsp:spPr>
        <a:xfrm>
          <a:off x="3745760" y="899168"/>
          <a:ext cx="355459" cy="91440"/>
        </a:xfrm>
        <a:custGeom>
          <a:avLst/>
          <a:gdLst/>
          <a:ahLst/>
          <a:cxnLst/>
          <a:rect l="0" t="0" r="0" b="0"/>
          <a:pathLst>
            <a:path>
              <a:moveTo>
                <a:pt x="0" y="45720"/>
              </a:moveTo>
              <a:lnTo>
                <a:pt x="355459" y="45720"/>
              </a:lnTo>
            </a:path>
          </a:pathLst>
        </a:custGeom>
        <a:noFill/>
        <a:ln w="1270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13838" y="942958"/>
        <a:ext cx="19302" cy="3860"/>
      </dsp:txXfrm>
    </dsp:sp>
    <dsp:sp modelId="{2DAD4067-EDB5-49C0-A862-8FE5518B1F37}">
      <dsp:nvSpPr>
        <dsp:cNvPr id="0" name=""/>
        <dsp:cNvSpPr/>
      </dsp:nvSpPr>
      <dsp:spPr>
        <a:xfrm>
          <a:off x="2069039" y="441332"/>
          <a:ext cx="1678520" cy="1007112"/>
        </a:xfrm>
        <a:prstGeom prst="rect">
          <a:avLst/>
        </a:prstGeom>
        <a:solidFill>
          <a:srgbClr val="FFFF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latin typeface="Arial" panose="020B0604020202020204" pitchFamily="34" charset="0"/>
              <a:cs typeface="Arial" panose="020B0604020202020204" pitchFamily="34" charset="0"/>
            </a:rPr>
            <a:t>CHAPTER TWO: LITERATURE REVIEW </a:t>
          </a:r>
        </a:p>
      </dsp:txBody>
      <dsp:txXfrm>
        <a:off x="2069039" y="441332"/>
        <a:ext cx="1678520" cy="1007112"/>
      </dsp:txXfrm>
    </dsp:sp>
    <dsp:sp modelId="{E85CEAFE-23C2-4E76-9307-F4B14118AA15}">
      <dsp:nvSpPr>
        <dsp:cNvPr id="0" name=""/>
        <dsp:cNvSpPr/>
      </dsp:nvSpPr>
      <dsp:spPr>
        <a:xfrm>
          <a:off x="843719" y="1446645"/>
          <a:ext cx="4129161" cy="355459"/>
        </a:xfrm>
        <a:custGeom>
          <a:avLst/>
          <a:gdLst/>
          <a:ahLst/>
          <a:cxnLst/>
          <a:rect l="0" t="0" r="0" b="0"/>
          <a:pathLst>
            <a:path>
              <a:moveTo>
                <a:pt x="4129161" y="0"/>
              </a:moveTo>
              <a:lnTo>
                <a:pt x="4129161" y="194829"/>
              </a:lnTo>
              <a:lnTo>
                <a:pt x="0" y="194829"/>
              </a:lnTo>
              <a:lnTo>
                <a:pt x="0" y="355459"/>
              </a:lnTo>
            </a:path>
          </a:pathLst>
        </a:custGeom>
        <a:noFill/>
        <a:ln w="1270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04620" y="1622444"/>
        <a:ext cx="207358" cy="3860"/>
      </dsp:txXfrm>
    </dsp:sp>
    <dsp:sp modelId="{6813E36A-EB23-4FB1-927D-81F90A7F6666}">
      <dsp:nvSpPr>
        <dsp:cNvPr id="0" name=""/>
        <dsp:cNvSpPr/>
      </dsp:nvSpPr>
      <dsp:spPr>
        <a:xfrm>
          <a:off x="4133620" y="441332"/>
          <a:ext cx="1678520" cy="1007112"/>
        </a:xfrm>
        <a:prstGeom prst="rect">
          <a:avLst/>
        </a:prstGeom>
        <a:solidFill>
          <a:srgbClr val="FFC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latin typeface="Arial" panose="020B0604020202020204" pitchFamily="34" charset="0"/>
              <a:cs typeface="Arial" panose="020B0604020202020204" pitchFamily="34" charset="0"/>
            </a:rPr>
            <a:t>CHAPTER THREE: METHODOLOGY</a:t>
          </a:r>
        </a:p>
      </dsp:txBody>
      <dsp:txXfrm>
        <a:off x="4133620" y="441332"/>
        <a:ext cx="1678520" cy="1007112"/>
      </dsp:txXfrm>
    </dsp:sp>
    <dsp:sp modelId="{E2ACB7E1-16F7-4310-A2F6-489088D350AF}">
      <dsp:nvSpPr>
        <dsp:cNvPr id="0" name=""/>
        <dsp:cNvSpPr/>
      </dsp:nvSpPr>
      <dsp:spPr>
        <a:xfrm>
          <a:off x="1681179" y="2292341"/>
          <a:ext cx="355459" cy="91440"/>
        </a:xfrm>
        <a:custGeom>
          <a:avLst/>
          <a:gdLst/>
          <a:ahLst/>
          <a:cxnLst/>
          <a:rect l="0" t="0" r="0" b="0"/>
          <a:pathLst>
            <a:path>
              <a:moveTo>
                <a:pt x="0" y="45720"/>
              </a:moveTo>
              <a:lnTo>
                <a:pt x="355459" y="45720"/>
              </a:lnTo>
            </a:path>
          </a:pathLst>
        </a:custGeom>
        <a:noFill/>
        <a:ln w="1270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49258" y="2336130"/>
        <a:ext cx="19302" cy="3860"/>
      </dsp:txXfrm>
    </dsp:sp>
    <dsp:sp modelId="{E048C689-C9B1-4C3A-9449-A6C76629F1F7}">
      <dsp:nvSpPr>
        <dsp:cNvPr id="0" name=""/>
        <dsp:cNvSpPr/>
      </dsp:nvSpPr>
      <dsp:spPr>
        <a:xfrm>
          <a:off x="4459" y="1834504"/>
          <a:ext cx="1678520" cy="1007112"/>
        </a:xfrm>
        <a:prstGeom prst="rect">
          <a:avLst/>
        </a:prstGeom>
        <a:solidFill>
          <a:schemeClr val="accent2">
            <a:lumMod val="75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latin typeface="Arial" panose="020B0604020202020204" pitchFamily="34" charset="0"/>
              <a:cs typeface="Arial" panose="020B0604020202020204" pitchFamily="34" charset="0"/>
            </a:rPr>
            <a:t>CHAPTER FOUR: DATA ANALYSIS </a:t>
          </a:r>
        </a:p>
      </dsp:txBody>
      <dsp:txXfrm>
        <a:off x="4459" y="1834504"/>
        <a:ext cx="1678520" cy="1007112"/>
      </dsp:txXfrm>
    </dsp:sp>
    <dsp:sp modelId="{FF4AB272-0FB2-4157-AD95-F419D7CE8648}">
      <dsp:nvSpPr>
        <dsp:cNvPr id="0" name=""/>
        <dsp:cNvSpPr/>
      </dsp:nvSpPr>
      <dsp:spPr>
        <a:xfrm>
          <a:off x="2069039" y="1834504"/>
          <a:ext cx="1678520" cy="1007112"/>
        </a:xfrm>
        <a:prstGeom prst="rect">
          <a:avLst/>
        </a:prstGeom>
        <a:solidFill>
          <a:srgbClr val="C0000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latin typeface="Arial" panose="020B0604020202020204" pitchFamily="34" charset="0"/>
              <a:cs typeface="Arial" panose="020B0604020202020204" pitchFamily="34" charset="0"/>
            </a:rPr>
            <a:t>CHAPTER FIVE: DISCUSSION &amp; CONCLUSION</a:t>
          </a:r>
        </a:p>
      </dsp:txBody>
      <dsp:txXfrm>
        <a:off x="2069039" y="1834504"/>
        <a:ext cx="1678520" cy="10071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061839-EBD2-4335-9429-847F631CB97F}">
      <dsp:nvSpPr>
        <dsp:cNvPr id="0" name=""/>
        <dsp:cNvSpPr/>
      </dsp:nvSpPr>
      <dsp:spPr>
        <a:xfrm>
          <a:off x="227902" y="0"/>
          <a:ext cx="1653766" cy="718918"/>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US Interest Rates</a:t>
          </a:r>
        </a:p>
      </dsp:txBody>
      <dsp:txXfrm>
        <a:off x="248958" y="21056"/>
        <a:ext cx="1611654" cy="676806"/>
      </dsp:txXfrm>
    </dsp:sp>
    <dsp:sp modelId="{8E406EFE-9D93-4B0B-A685-87E2DD08382C}">
      <dsp:nvSpPr>
        <dsp:cNvPr id="0" name=""/>
        <dsp:cNvSpPr/>
      </dsp:nvSpPr>
      <dsp:spPr>
        <a:xfrm rot="5411040">
          <a:off x="827479" y="724327"/>
          <a:ext cx="472658" cy="53527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1022350">
            <a:lnSpc>
              <a:spcPct val="90000"/>
            </a:lnSpc>
            <a:spcBef>
              <a:spcPct val="0"/>
            </a:spcBef>
            <a:spcAft>
              <a:spcPct val="35000"/>
            </a:spcAft>
            <a:buNone/>
          </a:pPr>
          <a:endParaRPr lang="en-GB" sz="2300" kern="1200"/>
        </a:p>
      </dsp:txBody>
      <dsp:txXfrm rot="-5400000">
        <a:off x="903453" y="755635"/>
        <a:ext cx="321164" cy="330861"/>
      </dsp:txXfrm>
    </dsp:sp>
    <dsp:sp modelId="{8D23B626-E435-4EFD-8B00-969CD17803CE}">
      <dsp:nvSpPr>
        <dsp:cNvPr id="0" name=""/>
        <dsp:cNvSpPr/>
      </dsp:nvSpPr>
      <dsp:spPr>
        <a:xfrm>
          <a:off x="227943" y="1281897"/>
          <a:ext cx="1690062" cy="70521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Gold Returns </a:t>
          </a:r>
        </a:p>
      </dsp:txBody>
      <dsp:txXfrm>
        <a:off x="248598" y="1302552"/>
        <a:ext cx="1648752" cy="663906"/>
      </dsp:txXfrm>
    </dsp:sp>
    <dsp:sp modelId="{33B33661-1409-4DAF-9039-81526C578BE1}">
      <dsp:nvSpPr>
        <dsp:cNvPr id="0" name=""/>
        <dsp:cNvSpPr/>
      </dsp:nvSpPr>
      <dsp:spPr>
        <a:xfrm rot="21583667">
          <a:off x="2132691" y="1404406"/>
          <a:ext cx="994828" cy="47509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889000">
            <a:lnSpc>
              <a:spcPct val="90000"/>
            </a:lnSpc>
            <a:spcBef>
              <a:spcPct val="0"/>
            </a:spcBef>
            <a:spcAft>
              <a:spcPct val="35000"/>
            </a:spcAft>
            <a:buNone/>
          </a:pPr>
          <a:endParaRPr lang="en-GB" sz="2000" kern="1200"/>
        </a:p>
      </dsp:txBody>
      <dsp:txXfrm>
        <a:off x="2132692" y="1499764"/>
        <a:ext cx="852300" cy="285056"/>
      </dsp:txXfrm>
    </dsp:sp>
    <dsp:sp modelId="{AD80CE68-F7F6-4262-96A8-3C9DCC80522F}">
      <dsp:nvSpPr>
        <dsp:cNvPr id="0" name=""/>
        <dsp:cNvSpPr/>
      </dsp:nvSpPr>
      <dsp:spPr>
        <a:xfrm>
          <a:off x="3366356" y="1266151"/>
          <a:ext cx="1621019" cy="65566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US Equity Returns (S&amp;P 500, Nasdaq)</a:t>
          </a:r>
        </a:p>
      </dsp:txBody>
      <dsp:txXfrm>
        <a:off x="3385560" y="1285355"/>
        <a:ext cx="1582611" cy="617258"/>
      </dsp:txXfrm>
    </dsp:sp>
    <dsp:sp modelId="{557EA96F-E86A-435F-B6A4-1C43D8EE5C79}">
      <dsp:nvSpPr>
        <dsp:cNvPr id="0" name=""/>
        <dsp:cNvSpPr/>
      </dsp:nvSpPr>
      <dsp:spPr>
        <a:xfrm rot="5400000">
          <a:off x="818221" y="2063376"/>
          <a:ext cx="534019" cy="52206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977900">
            <a:lnSpc>
              <a:spcPct val="90000"/>
            </a:lnSpc>
            <a:spcBef>
              <a:spcPct val="0"/>
            </a:spcBef>
            <a:spcAft>
              <a:spcPct val="35000"/>
            </a:spcAft>
            <a:buNone/>
          </a:pPr>
          <a:endParaRPr lang="en-GB" sz="2200" kern="1200"/>
        </a:p>
      </dsp:txBody>
      <dsp:txXfrm rot="10800000">
        <a:off x="896531" y="2089480"/>
        <a:ext cx="377400" cy="313237"/>
      </dsp:txXfrm>
    </dsp:sp>
    <dsp:sp modelId="{8CCC0FB8-A0FA-4008-9B6F-FE5735595E34}">
      <dsp:nvSpPr>
        <dsp:cNvPr id="0" name=""/>
        <dsp:cNvSpPr/>
      </dsp:nvSpPr>
      <dsp:spPr>
        <a:xfrm>
          <a:off x="189853" y="2640210"/>
          <a:ext cx="1863179" cy="84522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Hedging Effectiveness and Portfolio Diversification</a:t>
          </a:r>
        </a:p>
      </dsp:txBody>
      <dsp:txXfrm>
        <a:off x="214609" y="2664966"/>
        <a:ext cx="1813667" cy="795714"/>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88133-93BC-4B62-97B1-D32E32B59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86</Pages>
  <Words>19037</Words>
  <Characters>108514</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 Mevalkumar Patel (2428324)</dc:creator>
  <cp:keywords/>
  <dc:description/>
  <cp:lastModifiedBy>Ravikumar Pankajkumar Valand (2421255)</cp:lastModifiedBy>
  <cp:revision>136</cp:revision>
  <dcterms:created xsi:type="dcterms:W3CDTF">2026-01-22T11:30:00Z</dcterms:created>
  <dcterms:modified xsi:type="dcterms:W3CDTF">2026-01-29T13:13:00Z</dcterms:modified>
</cp:coreProperties>
</file>