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A62F5" w:rsidRDefault="00AA62F5">
      <w:pPr>
        <w:pStyle w:val="Normal1"/>
        <w:jc w:val="center"/>
        <w:rPr>
          <w:b/>
          <w:sz w:val="32"/>
          <w:szCs w:val="32"/>
        </w:rPr>
      </w:pPr>
    </w:p>
    <w:p w:rsidR="00AA62F5" w:rsidRDefault="00AA62F5">
      <w:pPr>
        <w:pStyle w:val="Normal1"/>
        <w:jc w:val="center"/>
        <w:rPr>
          <w:b/>
          <w:sz w:val="32"/>
          <w:szCs w:val="32"/>
        </w:rPr>
      </w:pPr>
    </w:p>
    <w:p w:rsidR="00AA62F5" w:rsidRDefault="00AA62F5">
      <w:pPr>
        <w:pStyle w:val="Normal1"/>
        <w:jc w:val="center"/>
        <w:rPr>
          <w:b/>
          <w:sz w:val="32"/>
          <w:szCs w:val="32"/>
        </w:rPr>
      </w:pPr>
    </w:p>
    <w:p w:rsidR="00AA62F5" w:rsidRDefault="00AA62F5">
      <w:pPr>
        <w:pStyle w:val="Normal1"/>
        <w:jc w:val="center"/>
        <w:rPr>
          <w:b/>
          <w:sz w:val="32"/>
          <w:szCs w:val="32"/>
        </w:rPr>
      </w:pPr>
    </w:p>
    <w:p w:rsidR="00017261" w:rsidRDefault="00017261">
      <w:pPr>
        <w:pStyle w:val="Normal1"/>
        <w:jc w:val="center"/>
        <w:rPr>
          <w:b/>
          <w:sz w:val="32"/>
          <w:szCs w:val="32"/>
        </w:rPr>
      </w:pPr>
    </w:p>
    <w:p w:rsidR="00017261" w:rsidRDefault="001F67E2" w:rsidP="001F67E2">
      <w:pPr>
        <w:pStyle w:val="Normal1"/>
        <w:rPr>
          <w:b/>
          <w:sz w:val="32"/>
          <w:szCs w:val="32"/>
        </w:rPr>
      </w:pPr>
      <w:r>
        <w:rPr>
          <w:b/>
          <w:sz w:val="32"/>
          <w:szCs w:val="32"/>
        </w:rPr>
        <w:t xml:space="preserve">      </w:t>
      </w:r>
    </w:p>
    <w:p w:rsidR="00017261" w:rsidRDefault="001F67E2" w:rsidP="001F67E2">
      <w:pPr>
        <w:pStyle w:val="Normal1"/>
        <w:rPr>
          <w:b/>
          <w:sz w:val="32"/>
          <w:szCs w:val="32"/>
        </w:rPr>
      </w:pPr>
      <w:r>
        <w:rPr>
          <w:b/>
          <w:sz w:val="32"/>
          <w:szCs w:val="32"/>
        </w:rPr>
        <w:t xml:space="preserve">            Programme: </w:t>
      </w:r>
      <w:r w:rsidR="00E6738D">
        <w:rPr>
          <w:b/>
          <w:sz w:val="32"/>
          <w:szCs w:val="32"/>
        </w:rPr>
        <w:t xml:space="preserve">BA Business Management </w:t>
      </w:r>
    </w:p>
    <w:p w:rsidR="00017261" w:rsidRDefault="00E6738D" w:rsidP="00B8430A">
      <w:pPr>
        <w:pStyle w:val="Normal1"/>
        <w:rPr>
          <w:b/>
          <w:sz w:val="32"/>
          <w:szCs w:val="32"/>
        </w:rPr>
      </w:pPr>
      <w:r>
        <w:rPr>
          <w:b/>
          <w:sz w:val="32"/>
          <w:szCs w:val="32"/>
        </w:rPr>
        <w:t xml:space="preserve">            </w:t>
      </w:r>
      <w:r w:rsidR="00B8430A">
        <w:rPr>
          <w:b/>
          <w:sz w:val="32"/>
          <w:szCs w:val="32"/>
        </w:rPr>
        <w:t xml:space="preserve">Module: </w:t>
      </w:r>
      <w:r w:rsidR="000E3B16">
        <w:rPr>
          <w:b/>
          <w:sz w:val="32"/>
          <w:szCs w:val="32"/>
        </w:rPr>
        <w:t xml:space="preserve">International Financial Management </w:t>
      </w:r>
    </w:p>
    <w:p w:rsidR="000E3B16" w:rsidRDefault="000E3B16" w:rsidP="00B8430A">
      <w:pPr>
        <w:pStyle w:val="Normal1"/>
        <w:rPr>
          <w:b/>
          <w:sz w:val="32"/>
          <w:szCs w:val="32"/>
        </w:rPr>
      </w:pPr>
      <w:r>
        <w:rPr>
          <w:b/>
          <w:sz w:val="32"/>
          <w:szCs w:val="32"/>
        </w:rPr>
        <w:t xml:space="preserve">            Module Code: </w:t>
      </w:r>
      <w:r w:rsidR="00EB714B">
        <w:rPr>
          <w:b/>
          <w:sz w:val="32"/>
          <w:szCs w:val="32"/>
        </w:rPr>
        <w:t>LCBB6002</w:t>
      </w:r>
    </w:p>
    <w:p w:rsidR="00017261" w:rsidRDefault="00EB714B" w:rsidP="00E34998">
      <w:pPr>
        <w:pStyle w:val="Normal1"/>
        <w:rPr>
          <w:b/>
          <w:sz w:val="32"/>
          <w:szCs w:val="32"/>
        </w:rPr>
      </w:pPr>
      <w:r>
        <w:rPr>
          <w:b/>
          <w:sz w:val="32"/>
          <w:szCs w:val="32"/>
        </w:rPr>
        <w:t xml:space="preserve">            </w:t>
      </w:r>
      <w:r w:rsidR="00506015">
        <w:rPr>
          <w:b/>
          <w:sz w:val="32"/>
          <w:szCs w:val="32"/>
        </w:rPr>
        <w:t>Assignment Title: Assessment 1 – written report</w:t>
      </w:r>
    </w:p>
    <w:p w:rsidR="00CF72CB" w:rsidRDefault="00CF72CB" w:rsidP="00E34998">
      <w:pPr>
        <w:pStyle w:val="Normal1"/>
        <w:rPr>
          <w:b/>
          <w:sz w:val="32"/>
          <w:szCs w:val="32"/>
        </w:rPr>
      </w:pPr>
      <w:r>
        <w:rPr>
          <w:b/>
          <w:sz w:val="32"/>
          <w:szCs w:val="32"/>
        </w:rPr>
        <w:t xml:space="preserve">            Student Name: </w:t>
      </w:r>
      <w:proofErr w:type="spellStart"/>
      <w:r>
        <w:rPr>
          <w:b/>
          <w:sz w:val="32"/>
          <w:szCs w:val="32"/>
        </w:rPr>
        <w:t>Loredana</w:t>
      </w:r>
      <w:proofErr w:type="spellEnd"/>
      <w:r>
        <w:rPr>
          <w:b/>
          <w:sz w:val="32"/>
          <w:szCs w:val="32"/>
        </w:rPr>
        <w:t xml:space="preserve"> Aurora </w:t>
      </w:r>
      <w:proofErr w:type="spellStart"/>
      <w:r>
        <w:rPr>
          <w:b/>
          <w:sz w:val="32"/>
          <w:szCs w:val="32"/>
        </w:rPr>
        <w:t>Padure</w:t>
      </w:r>
      <w:proofErr w:type="spellEnd"/>
      <w:r>
        <w:rPr>
          <w:b/>
          <w:sz w:val="32"/>
          <w:szCs w:val="32"/>
        </w:rPr>
        <w:t xml:space="preserve"> </w:t>
      </w:r>
    </w:p>
    <w:p w:rsidR="00CF72CB" w:rsidRDefault="00CF72CB" w:rsidP="00E34998">
      <w:pPr>
        <w:pStyle w:val="Normal1"/>
        <w:rPr>
          <w:b/>
          <w:sz w:val="32"/>
          <w:szCs w:val="32"/>
        </w:rPr>
      </w:pPr>
      <w:r>
        <w:rPr>
          <w:b/>
          <w:sz w:val="32"/>
          <w:szCs w:val="32"/>
        </w:rPr>
        <w:t xml:space="preserve">            </w:t>
      </w:r>
      <w:r w:rsidR="007A69A5">
        <w:rPr>
          <w:b/>
          <w:sz w:val="32"/>
          <w:szCs w:val="32"/>
        </w:rPr>
        <w:t>Student ID: 2019942</w:t>
      </w: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017261" w:rsidRDefault="00017261">
      <w:pPr>
        <w:pStyle w:val="Normal1"/>
        <w:jc w:val="center"/>
        <w:rPr>
          <w:b/>
          <w:sz w:val="32"/>
          <w:szCs w:val="32"/>
        </w:rPr>
      </w:pPr>
    </w:p>
    <w:p w:rsidR="00785B79" w:rsidRDefault="00785B79">
      <w:pPr>
        <w:pStyle w:val="Normal1"/>
        <w:jc w:val="center"/>
        <w:rPr>
          <w:b/>
          <w:sz w:val="32"/>
          <w:szCs w:val="32"/>
        </w:rPr>
      </w:pPr>
    </w:p>
    <w:p w:rsidR="00785B79" w:rsidRDefault="00785B79">
      <w:pPr>
        <w:pStyle w:val="Normal1"/>
        <w:jc w:val="center"/>
        <w:rPr>
          <w:b/>
          <w:sz w:val="32"/>
          <w:szCs w:val="32"/>
        </w:rPr>
      </w:pPr>
    </w:p>
    <w:p w:rsidR="00785B79" w:rsidRDefault="00785B79">
      <w:pPr>
        <w:pStyle w:val="Normal1"/>
        <w:jc w:val="center"/>
        <w:rPr>
          <w:b/>
          <w:sz w:val="32"/>
          <w:szCs w:val="32"/>
        </w:rPr>
      </w:pPr>
    </w:p>
    <w:p w:rsidR="00AA62F5" w:rsidRDefault="00AA62F5">
      <w:pPr>
        <w:pStyle w:val="Normal1"/>
        <w:jc w:val="center"/>
        <w:rPr>
          <w:b/>
          <w:sz w:val="32"/>
          <w:szCs w:val="32"/>
        </w:rPr>
      </w:pPr>
    </w:p>
    <w:p w:rsidR="00AA62F5" w:rsidRDefault="00AA62F5">
      <w:pPr>
        <w:pStyle w:val="Normal1"/>
        <w:jc w:val="center"/>
        <w:rPr>
          <w:b/>
          <w:sz w:val="32"/>
          <w:szCs w:val="32"/>
        </w:rPr>
      </w:pPr>
    </w:p>
    <w:p w:rsidR="00AA62F5" w:rsidRDefault="00AA62F5">
      <w:pPr>
        <w:pStyle w:val="Normal1"/>
        <w:jc w:val="center"/>
        <w:rPr>
          <w:b/>
          <w:sz w:val="32"/>
          <w:szCs w:val="32"/>
        </w:rPr>
      </w:pPr>
    </w:p>
    <w:p w:rsidR="00AA62F5" w:rsidRDefault="00AA62F5">
      <w:pPr>
        <w:pStyle w:val="Normal1"/>
        <w:jc w:val="center"/>
        <w:rPr>
          <w:b/>
          <w:sz w:val="32"/>
          <w:szCs w:val="32"/>
        </w:rPr>
      </w:pPr>
    </w:p>
    <w:p w:rsidR="00AA62F5" w:rsidRDefault="00AA62F5">
      <w:pPr>
        <w:pStyle w:val="Normal1"/>
        <w:jc w:val="center"/>
        <w:rPr>
          <w:b/>
          <w:sz w:val="32"/>
          <w:szCs w:val="32"/>
        </w:rPr>
      </w:pPr>
    </w:p>
    <w:p w:rsidR="00AA62F5" w:rsidRDefault="00AA62F5">
      <w:pPr>
        <w:pStyle w:val="Normal1"/>
        <w:jc w:val="center"/>
        <w:rPr>
          <w:b/>
          <w:sz w:val="32"/>
          <w:szCs w:val="32"/>
        </w:rPr>
      </w:pPr>
    </w:p>
    <w:p w:rsidR="00AA62F5" w:rsidRDefault="00B53AEA">
      <w:pPr>
        <w:pStyle w:val="Normal1"/>
        <w:jc w:val="center"/>
        <w:rPr>
          <w:b/>
          <w:sz w:val="32"/>
          <w:szCs w:val="32"/>
        </w:rPr>
      </w:pPr>
      <w:r>
        <w:rPr>
          <w:b/>
          <w:sz w:val="32"/>
          <w:szCs w:val="32"/>
        </w:rPr>
        <w:t>International Financial Management</w:t>
      </w:r>
    </w:p>
    <w:p w:rsidR="00AA62F5" w:rsidRDefault="00B53AEA">
      <w:pPr>
        <w:pStyle w:val="Normal1"/>
        <w:jc w:val="center"/>
        <w:rPr>
          <w:b/>
          <w:sz w:val="32"/>
          <w:szCs w:val="32"/>
        </w:rPr>
      </w:pPr>
      <w:r>
        <w:rPr>
          <w:b/>
          <w:sz w:val="32"/>
          <w:szCs w:val="32"/>
        </w:rPr>
        <w:t>Module code: LCBB6002</w:t>
      </w:r>
    </w:p>
    <w:p w:rsidR="00AA62F5" w:rsidRDefault="00B53AEA">
      <w:pPr>
        <w:pStyle w:val="Normal1"/>
        <w:jc w:val="center"/>
        <w:rPr>
          <w:b/>
          <w:sz w:val="32"/>
          <w:szCs w:val="32"/>
        </w:rPr>
      </w:pPr>
      <w:r>
        <w:br w:type="page"/>
      </w:r>
    </w:p>
    <w:p w:rsidR="00AA62F5" w:rsidRDefault="00B53AEA">
      <w:pPr>
        <w:pStyle w:val="Normal1"/>
        <w:jc w:val="center"/>
      </w:pPr>
      <w:r>
        <w:rPr>
          <w:b/>
          <w:sz w:val="32"/>
          <w:szCs w:val="32"/>
        </w:rPr>
        <w:lastRenderedPageBreak/>
        <w:t>Table of contents</w:t>
      </w:r>
    </w:p>
    <w:sdt>
      <w:sdtPr>
        <w:id w:val="65244628"/>
        <w:docPartObj>
          <w:docPartGallery w:val="Table of Contents"/>
          <w:docPartUnique/>
        </w:docPartObj>
      </w:sdtPr>
      <w:sdtEndPr/>
      <w:sdtContent>
        <w:p w:rsidR="00AA62F5" w:rsidRDefault="00AA62F5">
          <w:pPr>
            <w:pStyle w:val="Normal1"/>
            <w:widowControl w:val="0"/>
            <w:tabs>
              <w:tab w:val="right" w:leader="dot" w:pos="9025"/>
            </w:tabs>
            <w:spacing w:before="60"/>
            <w:jc w:val="left"/>
            <w:rPr>
              <w:b/>
              <w:color w:val="000000"/>
            </w:rPr>
          </w:pPr>
          <w:r>
            <w:fldChar w:fldCharType="begin"/>
          </w:r>
          <w:r w:rsidR="00B53AEA">
            <w:instrText xml:space="preserve"> TOC \h \u \z \t "Heading 1,1,Heading 2,2,Heading 3,3,Heading 4,4,Heading 5,5,Heading 6,6,"</w:instrText>
          </w:r>
          <w:r>
            <w:fldChar w:fldCharType="separate"/>
          </w:r>
          <w:hyperlink w:anchor="_yho9qdhthbac">
            <w:r w:rsidR="00B53AEA">
              <w:rPr>
                <w:b/>
                <w:color w:val="000000"/>
              </w:rPr>
              <w:t>Introduction</w:t>
            </w:r>
            <w:r w:rsidR="00B53AEA">
              <w:rPr>
                <w:b/>
                <w:color w:val="000000"/>
              </w:rPr>
              <w:tab/>
            </w:r>
          </w:hyperlink>
          <w:r>
            <w:fldChar w:fldCharType="begin"/>
          </w:r>
          <w:r w:rsidR="00B53AEA">
            <w:instrText xml:space="preserve"> PAGEREF _yho9qdhthbac \h </w:instrText>
          </w:r>
          <w:r>
            <w:fldChar w:fldCharType="separate"/>
          </w:r>
          <w:r w:rsidR="00B53AEA">
            <w:rPr>
              <w:b/>
            </w:rPr>
            <w:t>2</w:t>
          </w:r>
          <w:r>
            <w:fldChar w:fldCharType="end"/>
          </w:r>
        </w:p>
        <w:p w:rsidR="00AA62F5" w:rsidRDefault="00E874EE">
          <w:pPr>
            <w:pStyle w:val="Normal1"/>
            <w:widowControl w:val="0"/>
            <w:tabs>
              <w:tab w:val="right" w:leader="dot" w:pos="9025"/>
            </w:tabs>
            <w:spacing w:before="60"/>
            <w:jc w:val="left"/>
            <w:rPr>
              <w:b/>
              <w:color w:val="000000"/>
            </w:rPr>
          </w:pPr>
          <w:hyperlink w:anchor="_qv0qf8gcwm1v">
            <w:r w:rsidR="00B53AEA">
              <w:rPr>
                <w:b/>
                <w:color w:val="000000"/>
              </w:rPr>
              <w:t>Dividend distribution policy of Tesco</w:t>
            </w:r>
            <w:r w:rsidR="00B53AEA">
              <w:rPr>
                <w:b/>
                <w:color w:val="000000"/>
              </w:rPr>
              <w:tab/>
            </w:r>
          </w:hyperlink>
          <w:r w:rsidR="00AA62F5">
            <w:fldChar w:fldCharType="begin"/>
          </w:r>
          <w:r w:rsidR="00B53AEA">
            <w:instrText xml:space="preserve"> PAGEREF _qv0qf8gcwm1v \h </w:instrText>
          </w:r>
          <w:r w:rsidR="00AA62F5">
            <w:fldChar w:fldCharType="separate"/>
          </w:r>
          <w:r w:rsidR="00B53AEA">
            <w:rPr>
              <w:b/>
            </w:rPr>
            <w:t>2</w:t>
          </w:r>
          <w:r w:rsidR="00AA62F5">
            <w:fldChar w:fldCharType="end"/>
          </w:r>
        </w:p>
        <w:p w:rsidR="00AA62F5" w:rsidRDefault="00E874EE">
          <w:pPr>
            <w:pStyle w:val="Normal1"/>
            <w:widowControl w:val="0"/>
            <w:tabs>
              <w:tab w:val="right" w:leader="dot" w:pos="9025"/>
            </w:tabs>
            <w:spacing w:before="60"/>
            <w:jc w:val="left"/>
            <w:rPr>
              <w:b/>
              <w:color w:val="000000"/>
            </w:rPr>
          </w:pPr>
          <w:hyperlink w:anchor="_pvjidqfj3rls">
            <w:r w:rsidR="00B53AEA">
              <w:rPr>
                <w:b/>
                <w:color w:val="000000"/>
              </w:rPr>
              <w:t>Efficient market hypothesis theory of Tesco</w:t>
            </w:r>
            <w:r w:rsidR="00B53AEA">
              <w:rPr>
                <w:b/>
                <w:color w:val="000000"/>
              </w:rPr>
              <w:tab/>
            </w:r>
          </w:hyperlink>
          <w:r w:rsidR="00AA62F5">
            <w:fldChar w:fldCharType="begin"/>
          </w:r>
          <w:r w:rsidR="00B53AEA">
            <w:instrText xml:space="preserve"> PAGEREF _pvjidqfj3rls \h </w:instrText>
          </w:r>
          <w:r w:rsidR="00AA62F5">
            <w:fldChar w:fldCharType="separate"/>
          </w:r>
          <w:r w:rsidR="00B53AEA">
            <w:rPr>
              <w:b/>
            </w:rPr>
            <w:t>3</w:t>
          </w:r>
          <w:r w:rsidR="00AA62F5">
            <w:fldChar w:fldCharType="end"/>
          </w:r>
        </w:p>
        <w:p w:rsidR="00AA62F5" w:rsidRDefault="00E874EE">
          <w:pPr>
            <w:pStyle w:val="Normal1"/>
            <w:widowControl w:val="0"/>
            <w:tabs>
              <w:tab w:val="right" w:leader="dot" w:pos="9025"/>
            </w:tabs>
            <w:spacing w:before="60"/>
            <w:jc w:val="left"/>
            <w:rPr>
              <w:b/>
              <w:color w:val="000000"/>
            </w:rPr>
          </w:pPr>
          <w:hyperlink w:anchor="_4gp1u6jbla3j">
            <w:r w:rsidR="00B53AEA">
              <w:rPr>
                <w:b/>
                <w:color w:val="000000"/>
              </w:rPr>
              <w:t xml:space="preserve">Tesco's </w:t>
            </w:r>
            <w:r w:rsidR="00D9004D">
              <w:rPr>
                <w:b/>
                <w:color w:val="000000"/>
              </w:rPr>
              <w:t>process</w:t>
            </w:r>
            <w:r w:rsidR="00B53AEA">
              <w:rPr>
                <w:b/>
                <w:color w:val="000000"/>
              </w:rPr>
              <w:t>s of appraising Projects</w:t>
            </w:r>
            <w:r w:rsidR="00B53AEA">
              <w:rPr>
                <w:b/>
                <w:color w:val="000000"/>
              </w:rPr>
              <w:tab/>
            </w:r>
          </w:hyperlink>
          <w:r w:rsidR="00AA62F5">
            <w:fldChar w:fldCharType="begin"/>
          </w:r>
          <w:r w:rsidR="00B53AEA">
            <w:instrText xml:space="preserve"> PAGEREF _4gp1u6jbla3j \h </w:instrText>
          </w:r>
          <w:r w:rsidR="00AA62F5">
            <w:fldChar w:fldCharType="separate"/>
          </w:r>
          <w:r w:rsidR="00B53AEA">
            <w:rPr>
              <w:b/>
            </w:rPr>
            <w:t>4</w:t>
          </w:r>
          <w:r w:rsidR="00AA62F5">
            <w:fldChar w:fldCharType="end"/>
          </w:r>
        </w:p>
        <w:p w:rsidR="00AA62F5" w:rsidRDefault="00E874EE">
          <w:pPr>
            <w:pStyle w:val="Normal1"/>
            <w:widowControl w:val="0"/>
            <w:tabs>
              <w:tab w:val="right" w:leader="dot" w:pos="9025"/>
            </w:tabs>
            <w:spacing w:before="60"/>
            <w:jc w:val="left"/>
            <w:rPr>
              <w:b/>
              <w:color w:val="000000"/>
            </w:rPr>
          </w:pPr>
          <w:hyperlink w:anchor="_mdj3vloe8m6y">
            <w:r w:rsidR="00B53AEA">
              <w:rPr>
                <w:b/>
                <w:color w:val="000000"/>
              </w:rPr>
              <w:t>Conclusion</w:t>
            </w:r>
            <w:r w:rsidR="00B53AEA">
              <w:rPr>
                <w:b/>
                <w:color w:val="000000"/>
              </w:rPr>
              <w:tab/>
            </w:r>
          </w:hyperlink>
          <w:r w:rsidR="00AA62F5">
            <w:fldChar w:fldCharType="begin"/>
          </w:r>
          <w:r w:rsidR="00B53AEA">
            <w:instrText xml:space="preserve"> PAGEREF _mdj3vloe8m6y \h </w:instrText>
          </w:r>
          <w:r w:rsidR="00AA62F5">
            <w:fldChar w:fldCharType="separate"/>
          </w:r>
          <w:r w:rsidR="00B53AEA">
            <w:rPr>
              <w:b/>
            </w:rPr>
            <w:t>6</w:t>
          </w:r>
          <w:r w:rsidR="00AA62F5">
            <w:fldChar w:fldCharType="end"/>
          </w:r>
        </w:p>
        <w:p w:rsidR="00AA62F5" w:rsidRDefault="00E874EE">
          <w:pPr>
            <w:pStyle w:val="Normal1"/>
            <w:widowControl w:val="0"/>
            <w:tabs>
              <w:tab w:val="right" w:leader="dot" w:pos="9025"/>
            </w:tabs>
            <w:spacing w:before="60"/>
            <w:jc w:val="left"/>
            <w:rPr>
              <w:b/>
              <w:color w:val="000000"/>
            </w:rPr>
          </w:pPr>
          <w:hyperlink w:anchor="_4sbm1d8oc037">
            <w:r w:rsidR="00B53AEA">
              <w:rPr>
                <w:b/>
                <w:color w:val="000000"/>
              </w:rPr>
              <w:t>Reference</w:t>
            </w:r>
            <w:r w:rsidR="00B53AEA">
              <w:rPr>
                <w:b/>
                <w:color w:val="000000"/>
              </w:rPr>
              <w:tab/>
            </w:r>
          </w:hyperlink>
          <w:r w:rsidR="00AA62F5">
            <w:fldChar w:fldCharType="begin"/>
          </w:r>
          <w:r w:rsidR="00B53AEA">
            <w:instrText xml:space="preserve"> PAGEREF _4sbm1d8oc037 \h </w:instrText>
          </w:r>
          <w:r w:rsidR="00AA62F5">
            <w:fldChar w:fldCharType="separate"/>
          </w:r>
          <w:r w:rsidR="00B53AEA">
            <w:rPr>
              <w:b/>
            </w:rPr>
            <w:t>7</w:t>
          </w:r>
          <w:r w:rsidR="00AA62F5">
            <w:fldChar w:fldCharType="end"/>
          </w:r>
          <w:r w:rsidR="00AA62F5">
            <w:fldChar w:fldCharType="end"/>
          </w:r>
        </w:p>
      </w:sdtContent>
    </w:sdt>
    <w:p w:rsidR="00AA62F5" w:rsidRDefault="00AA62F5">
      <w:pPr>
        <w:pStyle w:val="Normal1"/>
      </w:pPr>
    </w:p>
    <w:p w:rsidR="00AA62F5" w:rsidRDefault="00AA62F5">
      <w:pPr>
        <w:pStyle w:val="Normal1"/>
      </w:pPr>
    </w:p>
    <w:p w:rsidR="00AA62F5" w:rsidRDefault="00B53AEA">
      <w:pPr>
        <w:pStyle w:val="Heading1"/>
      </w:pPr>
      <w:bookmarkStart w:id="0" w:name="_1lzqz7ew1bly" w:colFirst="0" w:colLast="0"/>
      <w:bookmarkEnd w:id="0"/>
      <w:r>
        <w:br w:type="page"/>
      </w:r>
    </w:p>
    <w:p w:rsidR="00AA62F5" w:rsidRDefault="00B53AEA">
      <w:pPr>
        <w:pStyle w:val="Heading1"/>
      </w:pPr>
      <w:bookmarkStart w:id="1" w:name="_yho9qdhthbac" w:colFirst="0" w:colLast="0"/>
      <w:bookmarkEnd w:id="1"/>
      <w:r>
        <w:lastRenderedPageBreak/>
        <w:t>Introduction</w:t>
      </w:r>
    </w:p>
    <w:p w:rsidR="00AA62F5" w:rsidRDefault="00B53AEA">
      <w:pPr>
        <w:pStyle w:val="Normal1"/>
      </w:pPr>
      <w:r>
        <w:t xml:space="preserve">The process of the </w:t>
      </w:r>
      <w:proofErr w:type="spellStart"/>
      <w:r>
        <w:t>analysation</w:t>
      </w:r>
      <w:proofErr w:type="spellEnd"/>
      <w:r>
        <w:t xml:space="preserve"> is </w:t>
      </w:r>
      <w:r w:rsidR="00D9004D">
        <w:t>on the basis</w:t>
      </w:r>
      <w:r>
        <w:t xml:space="preserve"> a multinational company that has been chosen </w:t>
      </w:r>
      <w:r w:rsidR="00D9004D">
        <w:t>in</w:t>
      </w:r>
      <w:r>
        <w:t xml:space="preserve"> this analysis. A critical </w:t>
      </w:r>
      <w:proofErr w:type="spellStart"/>
      <w:r>
        <w:t>analysation</w:t>
      </w:r>
      <w:proofErr w:type="spellEnd"/>
      <w:r>
        <w:t xml:space="preserve"> and the importance of the evaluation of the internal financial management system to the company is also going to be discussed. The process of the discussion is divided into three stages. In the first stage, the analysis and evaluation of the chosen multinational company's dividend distribution policy is going to be discussed. In the second stage, a critical discussion about the critical analysis and the efficient market hypothesis theory in the process of the operations in the selected company is also going to be discussed. In the final part, a critical </w:t>
      </w:r>
      <w:proofErr w:type="spellStart"/>
      <w:r>
        <w:t>analysation</w:t>
      </w:r>
      <w:proofErr w:type="spellEnd"/>
      <w:r>
        <w:t xml:space="preserve"> and the evaluation of the selected company's appraising project </w:t>
      </w:r>
      <w:r w:rsidR="00D9004D">
        <w:t>process</w:t>
      </w:r>
      <w:r>
        <w:t xml:space="preserve"> is also needed to be discussed. The company Tesco was selected </w:t>
      </w:r>
      <w:r w:rsidR="00D9004D">
        <w:t>in</w:t>
      </w:r>
      <w:r>
        <w:t xml:space="preserve"> this process of analysis. </w:t>
      </w:r>
    </w:p>
    <w:p w:rsidR="00AA62F5" w:rsidRDefault="00B53AEA">
      <w:pPr>
        <w:pStyle w:val="Heading1"/>
      </w:pPr>
      <w:bookmarkStart w:id="2" w:name="_qv0qf8gcwm1v" w:colFirst="0" w:colLast="0"/>
      <w:bookmarkEnd w:id="2"/>
      <w:r>
        <w:t>Dividend distribution policy of Tesco</w:t>
      </w:r>
    </w:p>
    <w:p w:rsidR="00AA62F5" w:rsidRDefault="00B53AEA">
      <w:pPr>
        <w:pStyle w:val="Normal1"/>
      </w:pPr>
      <w:r>
        <w:t xml:space="preserve">The dividends are the payment out of the company profits which is mainly made </w:t>
      </w:r>
      <w:r w:rsidR="00D9004D">
        <w:t>in</w:t>
      </w:r>
      <w:r>
        <w:t xml:space="preserve"> each of the candidates who have been hiding a payment on the recorded date. Frequently, the dividend payments are also determined by the </w:t>
      </w:r>
      <w:r w:rsidR="00D9004D">
        <w:t>dividend based policy</w:t>
      </w:r>
      <w:r>
        <w:t xml:space="preserve"> of the company and the amount paid per share </w:t>
      </w:r>
      <w:r w:rsidR="00D9004D">
        <w:t>on the basis</w:t>
      </w:r>
      <w:r>
        <w:t xml:space="preserve"> the jumble of shares by the shareholders on a needed date. The </w:t>
      </w:r>
      <w:r w:rsidR="00D9004D">
        <w:t>dividend based policy</w:t>
      </w:r>
      <w:r>
        <w:t xml:space="preserve"> and the amount being paid per share are </w:t>
      </w:r>
      <w:r w:rsidR="00D9004D">
        <w:t>on the basis</w:t>
      </w:r>
      <w:r>
        <w:t xml:space="preserve"> the overall number of </w:t>
      </w:r>
      <w:r w:rsidR="00D9004D">
        <w:t>shares been held</w:t>
      </w:r>
      <w:r>
        <w:t xml:space="preserve"> at a recorded date. The dividend </w:t>
      </w:r>
      <w:r w:rsidR="00D9004D">
        <w:t>been paid</w:t>
      </w:r>
      <w:r>
        <w:t xml:space="preserve"> in cash or these are going to be used </w:t>
      </w:r>
      <w:r w:rsidR="00D9004D">
        <w:t>in</w:t>
      </w:r>
      <w:r>
        <w:t xml:space="preserve"> purchasing the shares from Tesco PLC (</w:t>
      </w:r>
      <w:proofErr w:type="spellStart"/>
      <w:r>
        <w:t>Tescoplc</w:t>
      </w:r>
      <w:proofErr w:type="spellEnd"/>
      <w:r>
        <w:t xml:space="preserve">, 2023). </w:t>
      </w:r>
    </w:p>
    <w:p w:rsidR="00AA62F5" w:rsidRDefault="00B53AEA">
      <w:pPr>
        <w:pStyle w:val="Normal1"/>
      </w:pPr>
      <w:r>
        <w:t xml:space="preserve">The company Tesco PLC mainly operates in the retailing and retail banking sectors. The company operates in most of the UK and many other nations. </w:t>
      </w:r>
      <w:r w:rsidR="00D9004D">
        <w:t>On the basis</w:t>
      </w:r>
      <w:r>
        <w:t xml:space="preserve"> the most recent data the company Tesco paid its dividends totalling 0.15 USD per share in the last year. As compared with the recent price of the stock which is 3.49 USD. the correspondence with the dividend yield is about 4.15%. The dividend yield of Tesco has been calculated by using the </w:t>
      </w:r>
      <w:proofErr w:type="spellStart"/>
      <w:r w:rsidR="00D9004D">
        <w:t>in</w:t>
      </w:r>
      <w:r>
        <w:t>mula</w:t>
      </w:r>
      <w:proofErr w:type="spellEnd"/>
      <w:r>
        <w:t xml:space="preserve"> as </w:t>
      </w:r>
    </w:p>
    <w:p w:rsidR="00AA62F5" w:rsidRDefault="00B53AEA">
      <w:pPr>
        <w:pStyle w:val="Normal1"/>
      </w:pPr>
      <w:r>
        <w:t>= 0.15 USD / 3.49 USD * 100</w:t>
      </w:r>
    </w:p>
    <w:p w:rsidR="00AA62F5" w:rsidRDefault="00B53AEA">
      <w:pPr>
        <w:pStyle w:val="Normal1"/>
      </w:pPr>
      <w:r>
        <w:t xml:space="preserve">= 4.15%. </w:t>
      </w:r>
    </w:p>
    <w:p w:rsidR="00AA62F5" w:rsidRDefault="00B53AEA">
      <w:pPr>
        <w:pStyle w:val="Normal1"/>
      </w:pPr>
      <w:r>
        <w:rPr>
          <w:noProof/>
          <w:lang w:val="en-US"/>
        </w:rPr>
        <w:lastRenderedPageBreak/>
        <w:drawing>
          <wp:inline distT="114300" distB="114300" distL="114300" distR="114300">
            <wp:extent cx="5731200" cy="24130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a:stretch>
                      <a:fillRect/>
                    </a:stretch>
                  </pic:blipFill>
                  <pic:spPr>
                    <a:xfrm>
                      <a:off x="0" y="0"/>
                      <a:ext cx="5731200" cy="2413000"/>
                    </a:xfrm>
                    <a:prstGeom prst="rect">
                      <a:avLst/>
                    </a:prstGeom>
                    <a:ln w="12700">
                      <a:solidFill>
                        <a:srgbClr val="000000"/>
                      </a:solidFill>
                      <a:prstDash val="solid"/>
                    </a:ln>
                  </pic:spPr>
                </pic:pic>
              </a:graphicData>
            </a:graphic>
          </wp:inline>
        </w:drawing>
      </w:r>
    </w:p>
    <w:p w:rsidR="00AA62F5" w:rsidRDefault="00B53AEA">
      <w:pPr>
        <w:pStyle w:val="Normal1"/>
        <w:jc w:val="center"/>
        <w:rPr>
          <w:b/>
        </w:rPr>
      </w:pPr>
      <w:r>
        <w:rPr>
          <w:b/>
        </w:rPr>
        <w:t>Figure 1: Dividend history of Tesco</w:t>
      </w:r>
    </w:p>
    <w:p w:rsidR="00AA62F5" w:rsidRDefault="00B53AEA">
      <w:pPr>
        <w:pStyle w:val="Normal1"/>
        <w:jc w:val="center"/>
      </w:pPr>
      <w:r>
        <w:t xml:space="preserve">(Source: </w:t>
      </w:r>
      <w:proofErr w:type="spellStart"/>
      <w:r>
        <w:t>Tescoplc</w:t>
      </w:r>
      <w:proofErr w:type="spellEnd"/>
      <w:r>
        <w:t>, 2023)</w:t>
      </w:r>
    </w:p>
    <w:p w:rsidR="00AA62F5" w:rsidRDefault="00B53AEA">
      <w:pPr>
        <w:pStyle w:val="Normal1"/>
      </w:pPr>
      <w:r>
        <w:t xml:space="preserve">The company Tesco is not increasing its dividend. In the continuous ten years the company </w:t>
      </w:r>
      <w:proofErr w:type="spellStart"/>
      <w:r>
        <w:t>tesco</w:t>
      </w:r>
      <w:proofErr w:type="spellEnd"/>
      <w:r>
        <w:t xml:space="preserve"> flowers by -2.79% in a yearly transactional process. In the five years, the </w:t>
      </w:r>
      <w:proofErr w:type="spellStart"/>
      <w:r>
        <w:t>payout</w:t>
      </w:r>
      <w:proofErr w:type="spellEnd"/>
      <w:r>
        <w:t xml:space="preserve"> has increased by 29.75%. </w:t>
      </w:r>
    </w:p>
    <w:p w:rsidR="00AA62F5" w:rsidRDefault="00B53AEA">
      <w:pPr>
        <w:pStyle w:val="Normal1"/>
      </w:pPr>
      <w:r>
        <w:t xml:space="preserve">The </w:t>
      </w:r>
      <w:proofErr w:type="spellStart"/>
      <w:r>
        <w:t>payout</w:t>
      </w:r>
      <w:proofErr w:type="spellEnd"/>
      <w:r>
        <w:t xml:space="preserve"> ratio is mainly </w:t>
      </w:r>
      <w:r w:rsidR="00D9004D">
        <w:t>on the basis</w:t>
      </w:r>
      <w:r>
        <w:t xml:space="preserve"> the free cash flow of 31.6%. This is </w:t>
      </w:r>
      <w:r w:rsidR="00D9004D">
        <w:t>on the basis</w:t>
      </w:r>
      <w:r>
        <w:t xml:space="preserve"> the adjusted earnings. The company Tesco distributed to its shareholders 54.5%. The data indicate the reliability of the minimum value which is -0.12 and the maximum value which is 1.0. These values indicated the non-reliable dividend payment in the previous time. Though the analyst was anticipating that, a reduction at -8.33% in the dividend section in the recent ongoing year. In the next analysis, it can be said that the yield of the high dividend of 4.15% can be one of the major periods to negotiate (dividend-stocks, 2023). </w:t>
      </w:r>
    </w:p>
    <w:p w:rsidR="00AA62F5" w:rsidRDefault="00B53AEA">
      <w:pPr>
        <w:pStyle w:val="Normal1"/>
      </w:pPr>
      <w:r>
        <w:t xml:space="preserve">In visualising this stage this can be concluded that the company Tesco have some defending plans </w:t>
      </w:r>
      <w:r w:rsidR="00D9004D">
        <w:t>in</w:t>
      </w:r>
      <w:r>
        <w:t xml:space="preserve"> making a payment of the dividend of 315 million with the shareholders </w:t>
      </w:r>
      <w:r w:rsidR="00D9004D">
        <w:t xml:space="preserve">in a </w:t>
      </w:r>
      <w:proofErr w:type="spellStart"/>
      <w:r w:rsidR="00D9004D">
        <w:t>time</w:t>
      </w:r>
      <w:r>
        <w:t>e</w:t>
      </w:r>
      <w:proofErr w:type="spellEnd"/>
      <w:r>
        <w:t xml:space="preserve"> when the chain of the supermarket is </w:t>
      </w:r>
      <w:r w:rsidR="00D9004D">
        <w:t>profit</w:t>
      </w:r>
      <w:r>
        <w:t xml:space="preserve">ing from the rate of the holidays that was worth 249m. As Tesco is one of the biggest retailers in the UK, they have reported an improvement of 4% in operating profits to 1.2 billion dollars in the </w:t>
      </w:r>
      <w:r w:rsidR="00D9004D">
        <w:t>6</w:t>
      </w:r>
      <w:r>
        <w:t xml:space="preserve"> months to 29 August (</w:t>
      </w:r>
      <w:proofErr w:type="spellStart"/>
      <w:r>
        <w:t>Theguardian</w:t>
      </w:r>
      <w:proofErr w:type="spellEnd"/>
      <w:r>
        <w:t xml:space="preserve">, 2020). </w:t>
      </w:r>
    </w:p>
    <w:p w:rsidR="00AA62F5" w:rsidRDefault="00B53AEA">
      <w:pPr>
        <w:pStyle w:val="Heading1"/>
      </w:pPr>
      <w:bookmarkStart w:id="3" w:name="_pvjidqfj3rls" w:colFirst="0" w:colLast="0"/>
      <w:bookmarkEnd w:id="3"/>
      <w:r>
        <w:t>Efficient market hypothesis theory of Tesco</w:t>
      </w:r>
    </w:p>
    <w:p w:rsidR="00AA62F5" w:rsidRDefault="00B53AEA">
      <w:pPr>
        <w:pStyle w:val="Normal1"/>
      </w:pPr>
      <w:r>
        <w:t xml:space="preserve">The efficient market hypothesis is also known as the efficient market theory. This is a hypothesis which has been </w:t>
      </w:r>
      <w:r w:rsidR="00D9004D">
        <w:t>discussed</w:t>
      </w:r>
      <w:r>
        <w:t xml:space="preserve"> about the price of shares which is going to be reflected in each of the needed </w:t>
      </w:r>
      <w:proofErr w:type="spellStart"/>
      <w:r>
        <w:t>in</w:t>
      </w:r>
      <w:r w:rsidR="00D9004D">
        <w:t>in</w:t>
      </w:r>
      <w:r>
        <w:t>mation</w:t>
      </w:r>
      <w:proofErr w:type="spellEnd"/>
      <w:r>
        <w:t xml:space="preserve"> and make it much more consistent. The EMH </w:t>
      </w:r>
      <w:proofErr w:type="spellStart"/>
      <w:r>
        <w:t>isan</w:t>
      </w:r>
      <w:proofErr w:type="spellEnd"/>
      <w:r>
        <w:t xml:space="preserve"> investment theory which carries their needs and the same application towards its investors as the theory of random walk. This process is </w:t>
      </w:r>
      <w:r w:rsidR="00D9004D">
        <w:t>on the basis</w:t>
      </w:r>
      <w:r>
        <w:t xml:space="preserve"> a random walk theory. The assumption process includes the critical; validity of the efficient markets. The beliefs of each of the </w:t>
      </w:r>
      <w:proofErr w:type="spellStart"/>
      <w:r>
        <w:t>in</w:t>
      </w:r>
      <w:r w:rsidR="00D9004D">
        <w:t>in</w:t>
      </w:r>
      <w:r>
        <w:t>mation</w:t>
      </w:r>
      <w:proofErr w:type="spellEnd"/>
      <w:r>
        <w:t xml:space="preserve"> is </w:t>
      </w:r>
      <w:r>
        <w:lastRenderedPageBreak/>
        <w:t>very relevant to the stock prices which are freely and widely available (</w:t>
      </w:r>
      <w:r>
        <w:rPr>
          <w:i/>
        </w:rPr>
        <w:t xml:space="preserve">Efficient Markets hypothesis, </w:t>
      </w:r>
      <w:r>
        <w:t xml:space="preserve">2023). </w:t>
      </w:r>
    </w:p>
    <w:p w:rsidR="00AA62F5" w:rsidRDefault="00B53AEA">
      <w:pPr>
        <w:pStyle w:val="Normal1"/>
        <w:rPr>
          <w:b/>
        </w:rPr>
      </w:pPr>
      <w:r>
        <w:rPr>
          <w:b/>
        </w:rPr>
        <w:t xml:space="preserve">The efficient market hypothesis is divided into three stages </w:t>
      </w:r>
    </w:p>
    <w:p w:rsidR="00AA62F5" w:rsidRDefault="00B53AEA">
      <w:pPr>
        <w:pStyle w:val="Normal1"/>
        <w:rPr>
          <w:b/>
        </w:rPr>
      </w:pPr>
      <w:r>
        <w:rPr>
          <w:b/>
        </w:rPr>
        <w:t xml:space="preserve">Weak </w:t>
      </w:r>
      <w:proofErr w:type="spellStart"/>
      <w:r w:rsidR="00D9004D">
        <w:rPr>
          <w:b/>
        </w:rPr>
        <w:t>in</w:t>
      </w:r>
      <w:r>
        <w:rPr>
          <w:b/>
        </w:rPr>
        <w:t>m</w:t>
      </w:r>
      <w:proofErr w:type="spellEnd"/>
    </w:p>
    <w:p w:rsidR="00AA62F5" w:rsidRDefault="00B53AEA">
      <w:pPr>
        <w:pStyle w:val="Normal1"/>
      </w:pPr>
      <w:r>
        <w:t xml:space="preserve">Though the investor in the company is abiding by the effect of the belief of the market details. The weak </w:t>
      </w:r>
      <w:proofErr w:type="spellStart"/>
      <w:r w:rsidR="00D9004D">
        <w:t>in</w:t>
      </w:r>
      <w:r>
        <w:t>m</w:t>
      </w:r>
      <w:proofErr w:type="spellEnd"/>
      <w:r>
        <w:t xml:space="preserve"> is assuming that the price is not going to reflect each of the availability in the public market </w:t>
      </w:r>
      <w:proofErr w:type="spellStart"/>
      <w:r>
        <w:t>in</w:t>
      </w:r>
      <w:r w:rsidR="00D9004D">
        <w:t>in</w:t>
      </w:r>
      <w:r>
        <w:t>mation</w:t>
      </w:r>
      <w:proofErr w:type="spellEnd"/>
      <w:r>
        <w:t xml:space="preserve">. The weak </w:t>
      </w:r>
      <w:proofErr w:type="spellStart"/>
      <w:r w:rsidR="00D9004D">
        <w:t>in</w:t>
      </w:r>
      <w:r>
        <w:t>m</w:t>
      </w:r>
      <w:proofErr w:type="spellEnd"/>
      <w:r>
        <w:t xml:space="preserve"> is also estimated by the past </w:t>
      </w:r>
      <w:proofErr w:type="spellStart"/>
      <w:r w:rsidR="00D9004D">
        <w:t>in</w:t>
      </w:r>
      <w:r>
        <w:t>ms</w:t>
      </w:r>
      <w:proofErr w:type="spellEnd"/>
      <w:r>
        <w:t xml:space="preserve"> that do not interfere with the upcoming prices that are going to be </w:t>
      </w:r>
      <w:proofErr w:type="spellStart"/>
      <w:r w:rsidR="00D9004D">
        <w:t>in</w:t>
      </w:r>
      <w:r>
        <w:t>med</w:t>
      </w:r>
      <w:proofErr w:type="spellEnd"/>
      <w:r>
        <w:t xml:space="preserve"> with the new details. The company Tesco has been gaining the ability </w:t>
      </w:r>
      <w:r w:rsidR="00D9004D">
        <w:t>in</w:t>
      </w:r>
      <w:r>
        <w:t xml:space="preserve"> improving growth in the pandemic. This motion in growth is affecting online sales. In the Pandemic The company Tesco has improved at a rate of 10.5%. On the other hand, the rate of employability is increased to 16000 in an expansion (</w:t>
      </w:r>
      <w:proofErr w:type="spellStart"/>
      <w:r>
        <w:t>Baldridge</w:t>
      </w:r>
      <w:proofErr w:type="spellEnd"/>
      <w:r>
        <w:t xml:space="preserve">, 2022). </w:t>
      </w:r>
    </w:p>
    <w:p w:rsidR="00AA62F5" w:rsidRDefault="00B53AEA">
      <w:pPr>
        <w:pStyle w:val="Normal1"/>
        <w:rPr>
          <w:b/>
        </w:rPr>
      </w:pPr>
      <w:r>
        <w:rPr>
          <w:b/>
        </w:rPr>
        <w:t xml:space="preserve">Semi-strong </w:t>
      </w:r>
      <w:proofErr w:type="spellStart"/>
      <w:r w:rsidR="00D9004D">
        <w:rPr>
          <w:b/>
        </w:rPr>
        <w:t>in</w:t>
      </w:r>
      <w:r>
        <w:rPr>
          <w:b/>
        </w:rPr>
        <w:t>m</w:t>
      </w:r>
      <w:proofErr w:type="spellEnd"/>
    </w:p>
    <w:p w:rsidR="00AA62F5" w:rsidRDefault="00B53AEA">
      <w:pPr>
        <w:pStyle w:val="Normal1"/>
      </w:pPr>
      <w:r>
        <w:t xml:space="preserve">The semi-strong </w:t>
      </w:r>
      <w:proofErr w:type="spellStart"/>
      <w:r w:rsidR="00D9004D">
        <w:t>in</w:t>
      </w:r>
      <w:r>
        <w:t>m</w:t>
      </w:r>
      <w:proofErr w:type="spellEnd"/>
      <w:r>
        <w:t xml:space="preserve"> some of the assertions in a weaker </w:t>
      </w:r>
      <w:proofErr w:type="spellStart"/>
      <w:r w:rsidR="00D9004D">
        <w:t>in</w:t>
      </w:r>
      <w:r>
        <w:t>m</w:t>
      </w:r>
      <w:proofErr w:type="spellEnd"/>
      <w:r>
        <w:t xml:space="preserve"> that included the needed assumption when each of the new public baked </w:t>
      </w:r>
      <w:proofErr w:type="spellStart"/>
      <w:r>
        <w:t>in</w:t>
      </w:r>
      <w:r w:rsidR="00D9004D">
        <w:t>in</w:t>
      </w:r>
      <w:r>
        <w:t>mation</w:t>
      </w:r>
      <w:proofErr w:type="spellEnd"/>
      <w:r>
        <w:t xml:space="preserve"> is going to be priced up in an instant. In following this manner not any fundamentals or not technical analysis is going to be used </w:t>
      </w:r>
      <w:r w:rsidR="00D9004D">
        <w:t>in</w:t>
      </w:r>
      <w:r>
        <w:t xml:space="preserve"> making some of the excess returns. As an example, the company Tesco is making changes in the habit of the candidate during the time of the pandemic (</w:t>
      </w:r>
      <w:r>
        <w:rPr>
          <w:i/>
        </w:rPr>
        <w:t>Tesco SWOT analysis</w:t>
      </w:r>
      <w:r>
        <w:t xml:space="preserve">, 2023). </w:t>
      </w:r>
    </w:p>
    <w:p w:rsidR="00AA62F5" w:rsidRDefault="00B53AEA">
      <w:pPr>
        <w:pStyle w:val="Normal1"/>
        <w:rPr>
          <w:b/>
        </w:rPr>
      </w:pPr>
      <w:r>
        <w:rPr>
          <w:b/>
        </w:rPr>
        <w:t xml:space="preserve">Strong </w:t>
      </w:r>
      <w:proofErr w:type="spellStart"/>
      <w:r w:rsidR="00D9004D">
        <w:rPr>
          <w:b/>
        </w:rPr>
        <w:t>in</w:t>
      </w:r>
      <w:r>
        <w:rPr>
          <w:b/>
        </w:rPr>
        <w:t>m</w:t>
      </w:r>
      <w:proofErr w:type="spellEnd"/>
    </w:p>
    <w:p w:rsidR="00AA62F5" w:rsidRDefault="00B53AEA">
      <w:pPr>
        <w:pStyle w:val="Normal1"/>
      </w:pPr>
      <w:r>
        <w:t xml:space="preserve">The stronger </w:t>
      </w:r>
      <w:proofErr w:type="spellStart"/>
      <w:r w:rsidR="00D9004D">
        <w:t>in</w:t>
      </w:r>
      <w:r>
        <w:t>m</w:t>
      </w:r>
      <w:proofErr w:type="spellEnd"/>
      <w:r>
        <w:t xml:space="preserve"> in the efficient market followers believes that each of the </w:t>
      </w:r>
      <w:proofErr w:type="spellStart"/>
      <w:r>
        <w:t>in</w:t>
      </w:r>
      <w:r w:rsidR="00D9004D">
        <w:t>in</w:t>
      </w:r>
      <w:r>
        <w:t>mation</w:t>
      </w:r>
      <w:proofErr w:type="spellEnd"/>
      <w:r>
        <w:t xml:space="preserve"> that can be public or private is mostly incorporated into the current price of the security. In this scene not even the </w:t>
      </w:r>
      <w:proofErr w:type="spellStart"/>
      <w:r>
        <w:t>in</w:t>
      </w:r>
      <w:r w:rsidR="00D9004D">
        <w:t>in</w:t>
      </w:r>
      <w:r>
        <w:t>mation</w:t>
      </w:r>
      <w:proofErr w:type="spellEnd"/>
      <w:r>
        <w:t xml:space="preserve"> bed on the insider gets any opportunities in having some of the excess return. </w:t>
      </w:r>
    </w:p>
    <w:p w:rsidR="00AA62F5" w:rsidRDefault="00B53AEA">
      <w:pPr>
        <w:pStyle w:val="Heading1"/>
      </w:pPr>
      <w:bookmarkStart w:id="4" w:name="_4gp1u6jbla3j" w:colFirst="0" w:colLast="0"/>
      <w:bookmarkEnd w:id="4"/>
      <w:r>
        <w:t xml:space="preserve">Tesco’s </w:t>
      </w:r>
      <w:proofErr w:type="spellStart"/>
      <w:r w:rsidR="00D9004D">
        <w:t>process</w:t>
      </w:r>
      <w:r>
        <w:t>s</w:t>
      </w:r>
      <w:proofErr w:type="spellEnd"/>
      <w:r>
        <w:t xml:space="preserve"> of appraising projects</w:t>
      </w:r>
    </w:p>
    <w:p w:rsidR="00AA62F5" w:rsidRDefault="00B53AEA">
      <w:pPr>
        <w:pStyle w:val="Normal1"/>
      </w:pPr>
      <w:r>
        <w:t xml:space="preserve">The </w:t>
      </w:r>
      <w:r w:rsidR="00D9004D">
        <w:t>process</w:t>
      </w:r>
      <w:r>
        <w:t xml:space="preserve"> of project Appraisal is mainly the </w:t>
      </w:r>
      <w:r w:rsidR="00D9004D">
        <w:t>process</w:t>
      </w:r>
      <w:r>
        <w:t xml:space="preserve"> that has been used in the process of accessing the potential proposal of the project and the viability of the project. These processes have been checking on the </w:t>
      </w:r>
      <w:r w:rsidR="00D9004D">
        <w:t>proper</w:t>
      </w:r>
      <w:r>
        <w:t xml:space="preserve"> of the project considering things like the availability of funds and the economic </w:t>
      </w:r>
      <w:r w:rsidR="00D9004D">
        <w:t>moment</w:t>
      </w:r>
      <w:r>
        <w:t xml:space="preserve">. A proper project is servicing debt and improving the wealth of the shareholders. The analytical </w:t>
      </w:r>
      <w:proofErr w:type="spellStart"/>
      <w:r w:rsidR="00D9004D">
        <w:t>process</w:t>
      </w:r>
      <w:r>
        <w:t>s</w:t>
      </w:r>
      <w:proofErr w:type="spellEnd"/>
      <w:r>
        <w:t xml:space="preserve"> </w:t>
      </w:r>
      <w:r w:rsidR="00D9004D">
        <w:t>in</w:t>
      </w:r>
      <w:r>
        <w:t xml:space="preserve"> the appraisal </w:t>
      </w:r>
      <w:proofErr w:type="spellStart"/>
      <w:r w:rsidR="00D9004D">
        <w:t>process</w:t>
      </w:r>
      <w:r>
        <w:t>s</w:t>
      </w:r>
      <w:proofErr w:type="spellEnd"/>
      <w:r>
        <w:t xml:space="preserve"> are mainly discounting the cash flows with the time value of money. The candidates mainly prefer receiving some of its </w:t>
      </w:r>
      <w:r w:rsidR="00D9004D">
        <w:t>profit</w:t>
      </w:r>
      <w:r>
        <w:t xml:space="preserve">s as early as possible while providing payment costs as late as they can be. The costs and the </w:t>
      </w:r>
      <w:r w:rsidR="00D9004D">
        <w:t>profit</w:t>
      </w:r>
      <w:r>
        <w:t xml:space="preserve">s can be occurring in various ways. The revenue and cost are projected into the estimation and then it is going to be discounted and compared with the initial investment of the company. The company Tesco is using the </w:t>
      </w:r>
      <w:r w:rsidR="00D9004D">
        <w:t>process</w:t>
      </w:r>
      <w:r>
        <w:t xml:space="preserve"> of appraising projects in three </w:t>
      </w:r>
      <w:proofErr w:type="spellStart"/>
      <w:r w:rsidR="00D9004D">
        <w:t>process</w:t>
      </w:r>
      <w:r>
        <w:t>s</w:t>
      </w:r>
      <w:proofErr w:type="spellEnd"/>
      <w:r>
        <w:t xml:space="preserve"> those are NPV </w:t>
      </w:r>
      <w:r>
        <w:lastRenderedPageBreak/>
        <w:t>which is also known as net present value, the payback period and IRR which is also known as Internal rate of Return (</w:t>
      </w:r>
      <w:proofErr w:type="spellStart"/>
      <w:r>
        <w:t>Theintactone</w:t>
      </w:r>
      <w:proofErr w:type="spellEnd"/>
      <w:r>
        <w:t xml:space="preserve">, 2019). </w:t>
      </w:r>
    </w:p>
    <w:p w:rsidR="00AA62F5" w:rsidRDefault="00B53AEA">
      <w:pPr>
        <w:pStyle w:val="Normal1"/>
        <w:rPr>
          <w:b/>
        </w:rPr>
      </w:pPr>
      <w:r>
        <w:rPr>
          <w:b/>
        </w:rPr>
        <w:t>NPV</w:t>
      </w:r>
    </w:p>
    <w:p w:rsidR="00AA62F5" w:rsidRDefault="00B53AEA">
      <w:pPr>
        <w:pStyle w:val="Normal1"/>
      </w:pPr>
      <w:r>
        <w:t xml:space="preserve">The net present value is known as the tool of net cash flow in the investment proposal. This is the value of the future cash flows </w:t>
      </w:r>
      <w:r w:rsidR="00D9004D">
        <w:t>in</w:t>
      </w:r>
      <w:r>
        <w:t xml:space="preserve"> the overall discount rate with the present. </w:t>
      </w:r>
      <w:r w:rsidR="00D9004D">
        <w:t>In</w:t>
      </w:r>
      <w:r>
        <w:t xml:space="preserve"> maximising the effectiveness the company is using this process. The NPV provides them with better visuals about their investments (Accounting, 2019). </w:t>
      </w:r>
    </w:p>
    <w:p w:rsidR="00AA62F5" w:rsidRDefault="00B53AEA">
      <w:pPr>
        <w:pStyle w:val="Normal1"/>
      </w:pPr>
      <w:r>
        <w:rPr>
          <w:noProof/>
          <w:lang w:val="en-US"/>
        </w:rPr>
        <w:drawing>
          <wp:inline distT="114300" distB="114300" distL="114300" distR="114300">
            <wp:extent cx="5481638" cy="3387324"/>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5481638" cy="3387324"/>
                    </a:xfrm>
                    <a:prstGeom prst="rect">
                      <a:avLst/>
                    </a:prstGeom>
                    <a:ln w="12700">
                      <a:solidFill>
                        <a:srgbClr val="000000"/>
                      </a:solidFill>
                      <a:prstDash val="solid"/>
                    </a:ln>
                  </pic:spPr>
                </pic:pic>
              </a:graphicData>
            </a:graphic>
          </wp:inline>
        </w:drawing>
      </w:r>
    </w:p>
    <w:p w:rsidR="00AA62F5" w:rsidRDefault="00B53AEA">
      <w:pPr>
        <w:pStyle w:val="Normal1"/>
        <w:jc w:val="center"/>
        <w:rPr>
          <w:b/>
        </w:rPr>
      </w:pPr>
      <w:r>
        <w:rPr>
          <w:b/>
        </w:rPr>
        <w:t>Figure 2: NPV of Tesco</w:t>
      </w:r>
    </w:p>
    <w:p w:rsidR="00AA62F5" w:rsidRDefault="00B53AEA">
      <w:pPr>
        <w:pStyle w:val="Normal1"/>
        <w:jc w:val="center"/>
      </w:pPr>
      <w:r>
        <w:t>(Source: Accounting, 2023)</w:t>
      </w:r>
    </w:p>
    <w:p w:rsidR="00AA62F5" w:rsidRDefault="00B53AEA">
      <w:pPr>
        <w:pStyle w:val="Normal1"/>
        <w:rPr>
          <w:b/>
        </w:rPr>
      </w:pPr>
      <w:r>
        <w:rPr>
          <w:b/>
        </w:rPr>
        <w:t>Payback period</w:t>
      </w:r>
    </w:p>
    <w:p w:rsidR="00AA62F5" w:rsidRDefault="00B53AEA">
      <w:pPr>
        <w:pStyle w:val="Normal1"/>
      </w:pPr>
      <w:r>
        <w:t xml:space="preserve">The payback period is </w:t>
      </w:r>
      <w:r w:rsidR="00D9004D">
        <w:t>state</w:t>
      </w:r>
      <w:r>
        <w:t xml:space="preserve">d as the number of overall years that have been needed </w:t>
      </w:r>
      <w:r w:rsidR="00D9004D">
        <w:t>in</w:t>
      </w:r>
      <w:r>
        <w:t xml:space="preserve"> covering the investment. This is the time that a facility or any other investment has been produced to cover the cost. The company Tesco uses this process </w:t>
      </w:r>
      <w:r w:rsidR="00D9004D">
        <w:t>in</w:t>
      </w:r>
      <w:r>
        <w:t xml:space="preserve"> getting better visuals about the investment. The company Tesco has been using this process because this process is much easier to evaluate. The simplicity level of this procedure is not involving much complexity which is helping the company in analysing the reliability of the projects (</w:t>
      </w:r>
      <w:proofErr w:type="spellStart"/>
      <w:r>
        <w:t>Srivastav</w:t>
      </w:r>
      <w:proofErr w:type="spellEnd"/>
      <w:r>
        <w:t xml:space="preserve">, 2022).  </w:t>
      </w:r>
    </w:p>
    <w:p w:rsidR="00AA62F5" w:rsidRDefault="00B53AEA">
      <w:pPr>
        <w:pStyle w:val="Normal1"/>
        <w:rPr>
          <w:b/>
        </w:rPr>
      </w:pPr>
      <w:r>
        <w:rPr>
          <w:b/>
        </w:rPr>
        <w:t xml:space="preserve">IRR </w:t>
      </w:r>
    </w:p>
    <w:p w:rsidR="00AA62F5" w:rsidRDefault="00B53AEA">
      <w:pPr>
        <w:pStyle w:val="Normal1"/>
      </w:pPr>
      <w:r>
        <w:t xml:space="preserve">The internal rate of return is a matrix that has been used in financial analysis </w:t>
      </w:r>
      <w:r w:rsidR="00D9004D">
        <w:t>in</w:t>
      </w:r>
      <w:r>
        <w:t xml:space="preserve"> calculating the rate of the </w:t>
      </w:r>
      <w:r w:rsidR="00D9004D">
        <w:t xml:space="preserve">investment </w:t>
      </w:r>
      <w:proofErr w:type="spellStart"/>
      <w:r w:rsidR="00D9004D">
        <w:t>prrofitability</w:t>
      </w:r>
      <w:r>
        <w:t>s</w:t>
      </w:r>
      <w:proofErr w:type="spellEnd"/>
      <w:r>
        <w:t xml:space="preserve">. The internal rate of return is known as a rate of discount which makes the net present value of each of the cash flows the same as zero in a discounting cash flow. The IRR is dependable on the exact </w:t>
      </w:r>
      <w:proofErr w:type="spellStart"/>
      <w:r w:rsidR="00D9004D">
        <w:t>in</w:t>
      </w:r>
      <w:r>
        <w:t>mula</w:t>
      </w:r>
      <w:proofErr w:type="spellEnd"/>
      <w:r>
        <w:t xml:space="preserve"> that has been followed by the net Present </w:t>
      </w:r>
      <w:r>
        <w:lastRenderedPageBreak/>
        <w:t xml:space="preserve">value. The </w:t>
      </w:r>
      <w:r w:rsidR="00D9004D">
        <w:t>process</w:t>
      </w:r>
      <w:r>
        <w:t xml:space="preserve"> of the IRR is much clearer and this is much easier to understand. The </w:t>
      </w:r>
      <w:r w:rsidR="00D9004D">
        <w:t>process</w:t>
      </w:r>
      <w:r>
        <w:t xml:space="preserve"> of IRR also uses cash flows and the recognition of the time value of money (Saylor, 2023). </w:t>
      </w:r>
    </w:p>
    <w:p w:rsidR="00AA62F5" w:rsidRDefault="00B53AEA">
      <w:pPr>
        <w:pStyle w:val="Heading1"/>
      </w:pPr>
      <w:bookmarkStart w:id="5" w:name="_mdj3vloe8m6y" w:colFirst="0" w:colLast="0"/>
      <w:bookmarkEnd w:id="5"/>
      <w:r>
        <w:t>Conclusion</w:t>
      </w:r>
    </w:p>
    <w:p w:rsidR="00AA62F5" w:rsidRDefault="00B53AEA">
      <w:pPr>
        <w:pStyle w:val="Normal1"/>
      </w:pPr>
      <w:r>
        <w:t xml:space="preserve">The company Tesco was selected </w:t>
      </w:r>
      <w:r w:rsidR="00D9004D">
        <w:t>in</w:t>
      </w:r>
      <w:r>
        <w:t xml:space="preserve"> this process of analysis. A critical </w:t>
      </w:r>
      <w:proofErr w:type="spellStart"/>
      <w:r>
        <w:t>analysation</w:t>
      </w:r>
      <w:proofErr w:type="spellEnd"/>
      <w:r>
        <w:t xml:space="preserve"> and the importance of the evaluation of the internal financial management system to the company are discussed. The process of the discussion is divided into three stages. In the first stage, analysis and evaluation of the chosen multinational company dividend distribution policy are discussed appropriately. In the second stage, a critical discussion about the critical analysis and the efficient market hypothesis theory in the process of the operations in the selected company is also discussed </w:t>
      </w:r>
      <w:r w:rsidR="00D9004D">
        <w:t>in</w:t>
      </w:r>
      <w:r>
        <w:t xml:space="preserve"> getting an idea about it. In the final part, a critical </w:t>
      </w:r>
      <w:proofErr w:type="spellStart"/>
      <w:r>
        <w:t>analysation</w:t>
      </w:r>
      <w:proofErr w:type="spellEnd"/>
      <w:r>
        <w:t xml:space="preserve"> and the evaluation of the selected company's appraising project </w:t>
      </w:r>
      <w:r w:rsidR="00D9004D">
        <w:t>process</w:t>
      </w:r>
      <w:r>
        <w:t xml:space="preserve"> are also discussed. </w:t>
      </w:r>
      <w:r>
        <w:br w:type="page"/>
      </w:r>
    </w:p>
    <w:p w:rsidR="00AA62F5" w:rsidRDefault="00B53AEA">
      <w:pPr>
        <w:pStyle w:val="Heading1"/>
      </w:pPr>
      <w:bookmarkStart w:id="6" w:name="_4sbm1d8oc037" w:colFirst="0" w:colLast="0"/>
      <w:bookmarkEnd w:id="6"/>
      <w:r>
        <w:lastRenderedPageBreak/>
        <w:t>Reference</w:t>
      </w:r>
    </w:p>
    <w:p w:rsidR="00071009" w:rsidRDefault="00071009">
      <w:pPr>
        <w:pStyle w:val="Normal1"/>
        <w:spacing w:before="240" w:after="240"/>
      </w:pPr>
      <w:r>
        <w:t xml:space="preserve">Accounting, (2019). </w:t>
      </w:r>
      <w:r>
        <w:rPr>
          <w:i/>
        </w:rPr>
        <w:t>Net present value (NPV): Tesco Group Food Net Present Value (NPV) case study solution &amp; analysis, net present value, NPV, internal rate of return, profitability index, payback period, Discount Rate, hurdle rate analysis of Tesco Food</w:t>
      </w:r>
      <w:r>
        <w:t xml:space="preserve">, </w:t>
      </w:r>
      <w:r>
        <w:rPr>
          <w:i/>
        </w:rPr>
        <w:t>Oak Spring University in Executive MBA, Business Professionals</w:t>
      </w:r>
      <w:r>
        <w:t xml:space="preserve">. Oak Spring University. Available at: https://oakspringuniversity.com/frontpage/npvcase/13853-tesco-food (Accessed: April 27, 2023). </w:t>
      </w:r>
    </w:p>
    <w:p w:rsidR="00071009" w:rsidRDefault="00071009">
      <w:pPr>
        <w:pStyle w:val="Normal1"/>
        <w:spacing w:before="240" w:after="240"/>
      </w:pPr>
      <w:proofErr w:type="spellStart"/>
      <w:r>
        <w:t>Baldridge</w:t>
      </w:r>
      <w:proofErr w:type="spellEnd"/>
      <w:r>
        <w:t xml:space="preserve">, R. (2022). </w:t>
      </w:r>
      <w:r>
        <w:rPr>
          <w:i/>
        </w:rPr>
        <w:t xml:space="preserve">What is the efficient market </w:t>
      </w:r>
      <w:proofErr w:type="spellStart"/>
      <w:r>
        <w:rPr>
          <w:i/>
        </w:rPr>
        <w:t>hypothesis?Inbes</w:t>
      </w:r>
      <w:proofErr w:type="spellEnd"/>
      <w:r>
        <w:t xml:space="preserve">. </w:t>
      </w:r>
      <w:proofErr w:type="spellStart"/>
      <w:r>
        <w:t>Inbes</w:t>
      </w:r>
      <w:proofErr w:type="spellEnd"/>
      <w:r>
        <w:t xml:space="preserve"> Magazine. Available at: https://www.inbes.com/advisor/investing/efficient-market-hypothesis/ (Accessed: April 27, 2023). </w:t>
      </w:r>
    </w:p>
    <w:p w:rsidR="00071009" w:rsidRDefault="00071009">
      <w:pPr>
        <w:pStyle w:val="Normal1"/>
        <w:spacing w:before="240" w:after="240"/>
      </w:pPr>
      <w:r>
        <w:t xml:space="preserve">dividend stocks. (2023). </w:t>
      </w:r>
      <w:proofErr w:type="spellStart"/>
      <w:r>
        <w:rPr>
          <w:i/>
        </w:rPr>
        <w:t>DividendStocks.Cash</w:t>
      </w:r>
      <w:proofErr w:type="spellEnd"/>
      <w:r>
        <w:t xml:space="preserve">. Available at: https://dividendstocks.cash/dividend-profile/Tesco-Dividend#:~:text=Tesco%20pays%20a%20dividend%202,income%20in%20the%20whole%20year (Accessed: April 27, 2023). </w:t>
      </w:r>
    </w:p>
    <w:p w:rsidR="00071009" w:rsidRDefault="00071009">
      <w:pPr>
        <w:pStyle w:val="Normal1"/>
        <w:spacing w:before="240" w:after="240"/>
      </w:pPr>
      <w:r>
        <w:rPr>
          <w:i/>
        </w:rPr>
        <w:t>Efficient Markets hypothesis.</w:t>
      </w:r>
      <w:r>
        <w:t xml:space="preserve"> (2023). </w:t>
      </w:r>
      <w:r>
        <w:rPr>
          <w:i/>
        </w:rPr>
        <w:t>Corporate Finance Institute</w:t>
      </w:r>
      <w:r>
        <w:t xml:space="preserve">. Available at: https://corporatefinanceinstitute.com/resources/capital-markets/efficient-markets-hypothesis/ (Accessed: April 27, 2023). </w:t>
      </w:r>
    </w:p>
    <w:p w:rsidR="00071009" w:rsidRDefault="00071009">
      <w:pPr>
        <w:pStyle w:val="Normal1"/>
        <w:spacing w:before="240" w:after="240"/>
      </w:pPr>
      <w:r>
        <w:t xml:space="preserve">Saylor. 2023. </w:t>
      </w:r>
      <w:r>
        <w:rPr>
          <w:i/>
        </w:rPr>
        <w:t>Internal rate of return: Advantages of the IRR process</w:t>
      </w:r>
      <w:r>
        <w:t xml:space="preserve"> (2023) </w:t>
      </w:r>
      <w:r>
        <w:rPr>
          <w:i/>
        </w:rPr>
        <w:t>Saylor Academy</w:t>
      </w:r>
      <w:r>
        <w:t xml:space="preserve">. Available at: https://learn.saylor.org/mod/book/view.php?id=53748&amp;chapterid=37879 (Accessed: April 27, 2023). </w:t>
      </w:r>
    </w:p>
    <w:p w:rsidR="00071009" w:rsidRDefault="00071009">
      <w:pPr>
        <w:pStyle w:val="Normal1"/>
        <w:spacing w:before="240" w:after="240"/>
      </w:pPr>
      <w:proofErr w:type="spellStart"/>
      <w:r>
        <w:t>Srivastav</w:t>
      </w:r>
      <w:proofErr w:type="spellEnd"/>
      <w:r>
        <w:t xml:space="preserve">, A.K. (2022). </w:t>
      </w:r>
      <w:r>
        <w:rPr>
          <w:i/>
        </w:rPr>
        <w:t>Payback period advantages and disadvantages</w:t>
      </w:r>
      <w:r>
        <w:t xml:space="preserve">, </w:t>
      </w:r>
      <w:proofErr w:type="spellStart"/>
      <w:r>
        <w:rPr>
          <w:i/>
        </w:rPr>
        <w:t>WallStreetMojo</w:t>
      </w:r>
      <w:proofErr w:type="spellEnd"/>
      <w:r>
        <w:t xml:space="preserve">. Available at: https://www.wallstreetmojo.com/payback-period-advantages-and-disadvantages/#:~:text=Payback%20period%20advantages%20include%20the,ignores%20the%20time%20value%20of (Accessed: April 27, 2023). </w:t>
      </w:r>
    </w:p>
    <w:p w:rsidR="00071009" w:rsidRDefault="00071009">
      <w:pPr>
        <w:pStyle w:val="Normal1"/>
        <w:spacing w:before="240" w:after="240"/>
      </w:pPr>
      <w:r>
        <w:t xml:space="preserve">Tesco plc. (2023).  </w:t>
      </w:r>
      <w:r>
        <w:rPr>
          <w:i/>
        </w:rPr>
        <w:t>Home</w:t>
      </w:r>
      <w:r>
        <w:t xml:space="preserve">. Available at: https://www.tescoplc.com/investors/shareholder-centre/dividends/ (Accessed: April 27, 2023). </w:t>
      </w:r>
    </w:p>
    <w:p w:rsidR="00071009" w:rsidRDefault="00071009">
      <w:pPr>
        <w:pStyle w:val="Normal1"/>
        <w:spacing w:before="240" w:after="240"/>
      </w:pPr>
      <w:r>
        <w:rPr>
          <w:i/>
        </w:rPr>
        <w:t>Tesco SWOT analysis</w:t>
      </w:r>
      <w:r>
        <w:t xml:space="preserve">,(2023). </w:t>
      </w:r>
      <w:proofErr w:type="spellStart"/>
      <w:r>
        <w:rPr>
          <w:i/>
        </w:rPr>
        <w:t>StudySmarter</w:t>
      </w:r>
      <w:proofErr w:type="spellEnd"/>
      <w:r>
        <w:rPr>
          <w:i/>
        </w:rPr>
        <w:t xml:space="preserve"> US</w:t>
      </w:r>
      <w:r>
        <w:t xml:space="preserve">. Available at: https://www.studysmarter.us/explanations/business-studies/business-case-studies/tesco-swot-analysis/ (Accessed: April 27, 2023). </w:t>
      </w:r>
    </w:p>
    <w:p w:rsidR="00071009" w:rsidRDefault="00071009">
      <w:pPr>
        <w:pStyle w:val="Normal1"/>
        <w:spacing w:before="240" w:after="240"/>
      </w:pPr>
      <w:proofErr w:type="spellStart"/>
      <w:r>
        <w:lastRenderedPageBreak/>
        <w:t>Theguardian</w:t>
      </w:r>
      <w:proofErr w:type="spellEnd"/>
      <w:r>
        <w:t xml:space="preserve">. 2020. </w:t>
      </w:r>
      <w:r>
        <w:rPr>
          <w:i/>
        </w:rPr>
        <w:t>Tesco defends £315m dividend plan despite business rates holiday</w:t>
      </w:r>
      <w:r>
        <w:t xml:space="preserve"> (2020) </w:t>
      </w:r>
      <w:r>
        <w:rPr>
          <w:i/>
        </w:rPr>
        <w:t>The Guardian</w:t>
      </w:r>
      <w:r>
        <w:t xml:space="preserve">. Guardian News and Media. Available at: https://www.theguardian.com/business/2020/oct/07/tesco-hit-by-533m-covid-costs-but-sales-jump-during-pandemic (Accessed: April 27, 2023). </w:t>
      </w:r>
    </w:p>
    <w:p w:rsidR="00071009" w:rsidRDefault="00071009">
      <w:pPr>
        <w:pStyle w:val="Normal1"/>
        <w:spacing w:before="240" w:after="240"/>
      </w:pPr>
      <w:proofErr w:type="spellStart"/>
      <w:r>
        <w:t>Theintactone</w:t>
      </w:r>
      <w:proofErr w:type="spellEnd"/>
      <w:r>
        <w:t xml:space="preserve">. 2019. </w:t>
      </w:r>
      <w:proofErr w:type="spellStart"/>
      <w:r>
        <w:rPr>
          <w:i/>
        </w:rPr>
        <w:t>Processs</w:t>
      </w:r>
      <w:proofErr w:type="spellEnd"/>
      <w:r>
        <w:rPr>
          <w:i/>
        </w:rPr>
        <w:t xml:space="preserve"> of project appraisal</w:t>
      </w:r>
      <w:r>
        <w:t xml:space="preserve"> (2019) </w:t>
      </w:r>
      <w:r>
        <w:rPr>
          <w:i/>
        </w:rPr>
        <w:t>the intact one</w:t>
      </w:r>
      <w:r>
        <w:t xml:space="preserve">. Available at: https://theintactone.com/2018/10/25/ed-u3-topic-6-processs-of-project-appraisal/#:~:text=Appraisal%20Process%3A%20Payback%20period%2C%20Accounting,Internal%20Rate%20of%20Return%20(IRR) (Accessed: April 27, 2023). </w:t>
      </w:r>
    </w:p>
    <w:p w:rsidR="00AA62F5" w:rsidRDefault="00AA62F5">
      <w:pPr>
        <w:pStyle w:val="Normal1"/>
      </w:pPr>
    </w:p>
    <w:sectPr w:rsidR="00AA62F5" w:rsidSect="00071009">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3AEA" w:rsidRDefault="00B53AEA" w:rsidP="00071009">
      <w:pPr>
        <w:spacing w:line="240" w:lineRule="auto"/>
      </w:pPr>
      <w:r>
        <w:separator/>
      </w:r>
    </w:p>
  </w:endnote>
  <w:endnote w:type="continuationSeparator" w:id="0">
    <w:p w:rsidR="00B53AEA" w:rsidRDefault="00B53AEA" w:rsidP="000710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6391"/>
      <w:docPartObj>
        <w:docPartGallery w:val="Page Numbers (Bottom of Page)"/>
        <w:docPartUnique/>
      </w:docPartObj>
    </w:sdtPr>
    <w:sdtEndPr/>
    <w:sdtContent>
      <w:p w:rsidR="00071009" w:rsidRDefault="00E874EE">
        <w:pPr>
          <w:pStyle w:val="Footer"/>
          <w:jc w:val="right"/>
        </w:pPr>
        <w:r>
          <w:fldChar w:fldCharType="begin"/>
        </w:r>
        <w:r>
          <w:instrText xml:space="preserve"> PAGE   \* MERGEFORMAT </w:instrText>
        </w:r>
        <w:r>
          <w:fldChar w:fldCharType="separate"/>
        </w:r>
        <w:r w:rsidR="00071009">
          <w:rPr>
            <w:noProof/>
          </w:rPr>
          <w:t>2</w:t>
        </w:r>
        <w:r>
          <w:rPr>
            <w:noProof/>
          </w:rPr>
          <w:fldChar w:fldCharType="end"/>
        </w:r>
      </w:p>
    </w:sdtContent>
  </w:sdt>
  <w:p w:rsidR="00071009" w:rsidRDefault="00071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3AEA" w:rsidRDefault="00B53AEA" w:rsidP="00071009">
      <w:pPr>
        <w:spacing w:line="240" w:lineRule="auto"/>
      </w:pPr>
      <w:r>
        <w:separator/>
      </w:r>
    </w:p>
  </w:footnote>
  <w:footnote w:type="continuationSeparator" w:id="0">
    <w:p w:rsidR="00B53AEA" w:rsidRDefault="00B53AEA" w:rsidP="000710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2F5"/>
    <w:rsid w:val="00017261"/>
    <w:rsid w:val="00071009"/>
    <w:rsid w:val="000E3B16"/>
    <w:rsid w:val="001F67E2"/>
    <w:rsid w:val="002D3324"/>
    <w:rsid w:val="00506015"/>
    <w:rsid w:val="00785B79"/>
    <w:rsid w:val="007A69A5"/>
    <w:rsid w:val="00AA62F5"/>
    <w:rsid w:val="00AE5CCE"/>
    <w:rsid w:val="00B53AEA"/>
    <w:rsid w:val="00B8430A"/>
    <w:rsid w:val="00CF72CB"/>
    <w:rsid w:val="00D9004D"/>
    <w:rsid w:val="00E34998"/>
    <w:rsid w:val="00E6738D"/>
    <w:rsid w:val="00E874EE"/>
    <w:rsid w:val="00EB7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5BA80"/>
  <w15:docId w15:val="{E6079962-4AAF-9E4F-9251-5A2302EED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A62F5"/>
    <w:pPr>
      <w:keepNext/>
      <w:keepLines/>
      <w:outlineLvl w:val="0"/>
    </w:pPr>
    <w:rPr>
      <w:b/>
    </w:rPr>
  </w:style>
  <w:style w:type="paragraph" w:styleId="Heading2">
    <w:name w:val="heading 2"/>
    <w:basedOn w:val="Normal1"/>
    <w:next w:val="Normal1"/>
    <w:rsid w:val="00AA62F5"/>
    <w:pPr>
      <w:keepNext/>
      <w:keepLines/>
      <w:spacing w:before="360" w:after="120"/>
      <w:outlineLvl w:val="1"/>
    </w:pPr>
    <w:rPr>
      <w:sz w:val="32"/>
      <w:szCs w:val="32"/>
    </w:rPr>
  </w:style>
  <w:style w:type="paragraph" w:styleId="Heading3">
    <w:name w:val="heading 3"/>
    <w:basedOn w:val="Normal1"/>
    <w:next w:val="Normal1"/>
    <w:rsid w:val="00AA62F5"/>
    <w:pPr>
      <w:keepNext/>
      <w:keepLines/>
      <w:spacing w:before="320" w:after="80"/>
      <w:outlineLvl w:val="2"/>
    </w:pPr>
    <w:rPr>
      <w:color w:val="434343"/>
      <w:sz w:val="28"/>
      <w:szCs w:val="28"/>
    </w:rPr>
  </w:style>
  <w:style w:type="paragraph" w:styleId="Heading4">
    <w:name w:val="heading 4"/>
    <w:basedOn w:val="Normal1"/>
    <w:next w:val="Normal1"/>
    <w:rsid w:val="00AA62F5"/>
    <w:pPr>
      <w:keepNext/>
      <w:keepLines/>
      <w:spacing w:before="280" w:after="80"/>
      <w:outlineLvl w:val="3"/>
    </w:pPr>
    <w:rPr>
      <w:color w:val="666666"/>
    </w:rPr>
  </w:style>
  <w:style w:type="paragraph" w:styleId="Heading5">
    <w:name w:val="heading 5"/>
    <w:basedOn w:val="Normal1"/>
    <w:next w:val="Normal1"/>
    <w:rsid w:val="00AA62F5"/>
    <w:pPr>
      <w:keepNext/>
      <w:keepLines/>
      <w:spacing w:before="240" w:after="80"/>
      <w:outlineLvl w:val="4"/>
    </w:pPr>
    <w:rPr>
      <w:color w:val="666666"/>
      <w:sz w:val="22"/>
      <w:szCs w:val="22"/>
    </w:rPr>
  </w:style>
  <w:style w:type="paragraph" w:styleId="Heading6">
    <w:name w:val="heading 6"/>
    <w:basedOn w:val="Normal1"/>
    <w:next w:val="Normal1"/>
    <w:rsid w:val="00AA62F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A62F5"/>
  </w:style>
  <w:style w:type="table" w:customStyle="1" w:styleId="TableNormal1">
    <w:name w:val="Table Normal1"/>
    <w:rsid w:val="00AA62F5"/>
    <w:tblPr>
      <w:tblCellMar>
        <w:top w:w="0" w:type="dxa"/>
        <w:left w:w="0" w:type="dxa"/>
        <w:bottom w:w="0" w:type="dxa"/>
        <w:right w:w="0" w:type="dxa"/>
      </w:tblCellMar>
    </w:tblPr>
  </w:style>
  <w:style w:type="paragraph" w:styleId="Title">
    <w:name w:val="Title"/>
    <w:basedOn w:val="Normal1"/>
    <w:next w:val="Normal1"/>
    <w:rsid w:val="00AA62F5"/>
    <w:pPr>
      <w:keepNext/>
      <w:keepLines/>
      <w:spacing w:after="60"/>
    </w:pPr>
    <w:rPr>
      <w:sz w:val="52"/>
      <w:szCs w:val="52"/>
    </w:rPr>
  </w:style>
  <w:style w:type="paragraph" w:styleId="Subtitle">
    <w:name w:val="Subtitle"/>
    <w:basedOn w:val="Normal1"/>
    <w:next w:val="Normal1"/>
    <w:rsid w:val="00AA62F5"/>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D900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004D"/>
    <w:rPr>
      <w:rFonts w:ascii="Tahoma" w:hAnsi="Tahoma" w:cs="Tahoma"/>
      <w:sz w:val="16"/>
      <w:szCs w:val="16"/>
    </w:rPr>
  </w:style>
  <w:style w:type="paragraph" w:styleId="Header">
    <w:name w:val="header"/>
    <w:basedOn w:val="Normal"/>
    <w:link w:val="HeaderChar"/>
    <w:uiPriority w:val="99"/>
    <w:semiHidden/>
    <w:unhideWhenUsed/>
    <w:rsid w:val="0007100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71009"/>
  </w:style>
  <w:style w:type="paragraph" w:styleId="Footer">
    <w:name w:val="footer"/>
    <w:basedOn w:val="Normal"/>
    <w:link w:val="FooterChar"/>
    <w:uiPriority w:val="99"/>
    <w:unhideWhenUsed/>
    <w:rsid w:val="00071009"/>
    <w:pPr>
      <w:tabs>
        <w:tab w:val="center" w:pos="4680"/>
        <w:tab w:val="right" w:pos="9360"/>
      </w:tabs>
      <w:spacing w:line="240" w:lineRule="auto"/>
    </w:pPr>
  </w:style>
  <w:style w:type="character" w:customStyle="1" w:styleId="FooterChar">
    <w:name w:val="Footer Char"/>
    <w:basedOn w:val="DefaultParagraphFont"/>
    <w:link w:val="Footer"/>
    <w:uiPriority w:val="99"/>
    <w:rsid w:val="00071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1877</Words>
  <Characters>10703</Characters>
  <Application>Microsoft Office Word</Application>
  <DocSecurity>0</DocSecurity>
  <Lines>89</Lines>
  <Paragraphs>25</Paragraphs>
  <ScaleCrop>false</ScaleCrop>
  <Company/>
  <LinksUpToDate>false</LinksUpToDate>
  <CharactersWithSpaces>12555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2023-05-05T17:42:00Z</dcterms:created>
  <dcterms:modified xsi:type="dcterms:W3CDTF">2023-05-05T17:42:00Z</dcterms:modified>
</cp:coreProperties>
</file>