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A6288" w14:textId="1B8B5CC7" w:rsidR="0052005B" w:rsidRPr="00B0177F" w:rsidRDefault="0052005B" w:rsidP="008F631A">
      <w:pPr>
        <w:spacing w:line="360" w:lineRule="auto"/>
        <w:jc w:val="both"/>
        <w:rPr>
          <w:rFonts w:ascii="Times New Roman" w:hAnsi="Times New Roman" w:cs="Times New Roman"/>
          <w:sz w:val="24"/>
          <w:szCs w:val="24"/>
          <w:u w:val="single"/>
          <w:lang w:val="en-GB"/>
        </w:rPr>
      </w:pPr>
      <w:r w:rsidRPr="00B0177F">
        <w:rPr>
          <w:rFonts w:ascii="Times New Roman" w:hAnsi="Times New Roman" w:cs="Times New Roman"/>
          <w:b/>
          <w:bCs/>
          <w:sz w:val="24"/>
          <w:szCs w:val="24"/>
          <w:u w:val="single"/>
          <w:lang w:val="en-GB"/>
        </w:rPr>
        <w:t>Question 1</w:t>
      </w:r>
    </w:p>
    <w:p w14:paraId="0ECAA671" w14:textId="7E190E70"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An easement refers to the legal right granted to one landowner to utilise another's property for a particular purpose, such as accessing a pathway or obtaining natural light.   An easement must provide an advantage to the dominant property and impose a burden on the servient land (Thompson and George, 2017).   </w:t>
      </w:r>
      <w:r w:rsidR="00A5784D" w:rsidRPr="00A5784D">
        <w:rPr>
          <w:rFonts w:ascii="Times New Roman" w:hAnsi="Times New Roman" w:cs="Times New Roman"/>
          <w:sz w:val="24"/>
          <w:szCs w:val="24"/>
          <w:lang w:val="en-GB"/>
        </w:rPr>
        <w:t>It is necessary for an easement to have the quality of being able to be the subject of a grant, which means that it must be precisely defined and must not result in the complete control of the land on which it is imposed</w:t>
      </w:r>
      <w:r w:rsidR="00A5784D">
        <w:rPr>
          <w:rFonts w:ascii="Times New Roman" w:hAnsi="Times New Roman" w:cs="Times New Roman"/>
          <w:sz w:val="24"/>
          <w:szCs w:val="24"/>
          <w:lang w:val="en-GB"/>
        </w:rPr>
        <w:t xml:space="preserve"> </w:t>
      </w:r>
      <w:r w:rsidRPr="008F631A">
        <w:rPr>
          <w:rFonts w:ascii="Times New Roman" w:hAnsi="Times New Roman" w:cs="Times New Roman"/>
          <w:sz w:val="24"/>
          <w:szCs w:val="24"/>
          <w:lang w:val="en-GB"/>
        </w:rPr>
        <w:t xml:space="preserve">(Clarke and Greer, 2022). </w:t>
      </w:r>
    </w:p>
    <w:p w14:paraId="4E24D425" w14:textId="6FE75289"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The issue of whether it is possible for an easement to be granted for parking a vehicle on a piece of land has been the subject of controversy in various UK property law issues.</w:t>
      </w:r>
      <w:r w:rsidR="00E074CB">
        <w:rPr>
          <w:rFonts w:ascii="Times New Roman" w:hAnsi="Times New Roman" w:cs="Times New Roman"/>
          <w:sz w:val="24"/>
          <w:szCs w:val="24"/>
          <w:lang w:val="en-GB"/>
        </w:rPr>
        <w:t xml:space="preserve"> </w:t>
      </w:r>
      <w:r w:rsidR="00984A2D" w:rsidRPr="00984A2D">
        <w:rPr>
          <w:rFonts w:ascii="Times New Roman" w:hAnsi="Times New Roman" w:cs="Times New Roman"/>
          <w:sz w:val="24"/>
          <w:szCs w:val="24"/>
          <w:lang w:val="en-GB"/>
        </w:rPr>
        <w:t>According to the general concept, a right to park can be considered an easement, provided that it does not hinder the owner of the land that is being leased from having any reasonable use of his land or that it does not deprive him of possession and control of the land that is being leased</w:t>
      </w:r>
      <w:r w:rsidR="00984A2D">
        <w:rPr>
          <w:rFonts w:ascii="Times New Roman" w:hAnsi="Times New Roman" w:cs="Times New Roman"/>
          <w:sz w:val="24"/>
          <w:szCs w:val="24"/>
          <w:lang w:val="en-GB"/>
        </w:rPr>
        <w:t xml:space="preserve"> </w:t>
      </w:r>
      <w:r w:rsidRPr="008F631A">
        <w:rPr>
          <w:rFonts w:ascii="Times New Roman" w:hAnsi="Times New Roman" w:cs="Times New Roman"/>
          <w:sz w:val="24"/>
          <w:szCs w:val="24"/>
          <w:lang w:val="en-GB"/>
        </w:rPr>
        <w:t xml:space="preserve">(Bogusz and Sexton, 2019).   Nevertheless, the implementation of this principle relies on the specific details and conditions of each situation, including factors such as the dimensions, position, and quantity of parking spaces, the regularity and length of parking, and the type and degree of infringement on the rights of the owner of the property being used. </w:t>
      </w:r>
    </w:p>
    <w:p w14:paraId="16BB2F37" w14:textId="710B00A6"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Some of the leading cases on this issue are:</w:t>
      </w:r>
    </w:p>
    <w:p w14:paraId="260F1C36" w14:textId="26133BF2" w:rsidR="0052005B" w:rsidRPr="008F631A" w:rsidRDefault="0052005B" w:rsidP="008F631A">
      <w:pPr>
        <w:numPr>
          <w:ilvl w:val="0"/>
          <w:numId w:val="1"/>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London &amp; Blenheim Estates Ltd v Ladbroke Retail Parks Ltd [1994] 1 WLR 31: </w:t>
      </w:r>
      <w:r w:rsidR="00A5784D" w:rsidRPr="00A5784D">
        <w:rPr>
          <w:rFonts w:ascii="Times New Roman" w:hAnsi="Times New Roman" w:cs="Times New Roman"/>
          <w:sz w:val="24"/>
          <w:szCs w:val="24"/>
          <w:lang w:val="en-GB"/>
        </w:rPr>
        <w:t>In the case of London and Blenheim Estates v. Ladbroke Retail Parks, the concept that an easement to park vehicles may be recognised provided the servient land was sufficiently vast was presented for the first time. As part of his obiter dictum, the judge acknowledged the potential, but emphasised the significance of ensuring that the landowner of the servient is not denied the opportunity to make acceptable use of their property</w:t>
      </w:r>
      <w:r w:rsidR="00A5784D">
        <w:rPr>
          <w:rFonts w:ascii="Times New Roman" w:hAnsi="Times New Roman" w:cs="Times New Roman"/>
          <w:sz w:val="24"/>
          <w:szCs w:val="24"/>
          <w:lang w:val="en-GB"/>
        </w:rPr>
        <w:t xml:space="preserve"> </w:t>
      </w:r>
      <w:r w:rsidRPr="008F631A">
        <w:rPr>
          <w:rFonts w:ascii="Times New Roman" w:hAnsi="Times New Roman" w:cs="Times New Roman"/>
          <w:sz w:val="24"/>
          <w:szCs w:val="24"/>
          <w:lang w:val="en-GB"/>
        </w:rPr>
        <w:t>(Lees, 2020). This case established that the acceptability of parking easements is contingent on the size of the servient land.</w:t>
      </w:r>
    </w:p>
    <w:p w14:paraId="2CBA052E" w14:textId="3DF6B06E" w:rsidR="0052005B" w:rsidRPr="008F631A" w:rsidRDefault="0052005B" w:rsidP="008F631A">
      <w:pPr>
        <w:numPr>
          <w:ilvl w:val="0"/>
          <w:numId w:val="1"/>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Copeland v </w:t>
      </w:r>
      <w:proofErr w:type="spellStart"/>
      <w:r w:rsidRPr="008F631A">
        <w:rPr>
          <w:rFonts w:ascii="Times New Roman" w:hAnsi="Times New Roman" w:cs="Times New Roman"/>
          <w:sz w:val="24"/>
          <w:szCs w:val="24"/>
          <w:lang w:val="en-GB"/>
        </w:rPr>
        <w:t>Greenhalf</w:t>
      </w:r>
      <w:proofErr w:type="spellEnd"/>
      <w:r w:rsidRPr="008F631A">
        <w:rPr>
          <w:rFonts w:ascii="Times New Roman" w:hAnsi="Times New Roman" w:cs="Times New Roman"/>
          <w:sz w:val="24"/>
          <w:szCs w:val="24"/>
          <w:lang w:val="en-GB"/>
        </w:rPr>
        <w:t xml:space="preserve"> [1952] 1 Ch. 488: </w:t>
      </w:r>
      <w:r w:rsidR="00A5784D" w:rsidRPr="00A5784D">
        <w:rPr>
          <w:rFonts w:ascii="Times New Roman" w:hAnsi="Times New Roman" w:cs="Times New Roman"/>
          <w:sz w:val="24"/>
          <w:szCs w:val="24"/>
          <w:lang w:val="en-GB"/>
        </w:rPr>
        <w:t xml:space="preserve">In the case of Copeland v. </w:t>
      </w:r>
      <w:proofErr w:type="spellStart"/>
      <w:r w:rsidR="00A5784D" w:rsidRPr="00A5784D">
        <w:rPr>
          <w:rFonts w:ascii="Times New Roman" w:hAnsi="Times New Roman" w:cs="Times New Roman"/>
          <w:sz w:val="24"/>
          <w:szCs w:val="24"/>
          <w:lang w:val="en-GB"/>
        </w:rPr>
        <w:t>Greenhalf</w:t>
      </w:r>
      <w:proofErr w:type="spellEnd"/>
      <w:r w:rsidR="00A5784D" w:rsidRPr="00A5784D">
        <w:rPr>
          <w:rFonts w:ascii="Times New Roman" w:hAnsi="Times New Roman" w:cs="Times New Roman"/>
          <w:sz w:val="24"/>
          <w:szCs w:val="24"/>
          <w:lang w:val="en-GB"/>
        </w:rPr>
        <w:t xml:space="preserve">, the court denied the petition for an easement that would allow the land to be used for the storage and maintenance of </w:t>
      </w:r>
      <w:r w:rsidR="00A5784D">
        <w:rPr>
          <w:rFonts w:ascii="Times New Roman" w:hAnsi="Times New Roman" w:cs="Times New Roman"/>
          <w:sz w:val="24"/>
          <w:szCs w:val="24"/>
          <w:lang w:val="en-GB"/>
        </w:rPr>
        <w:t>transports</w:t>
      </w:r>
      <w:r w:rsidR="00A5784D" w:rsidRPr="00A5784D">
        <w:rPr>
          <w:rFonts w:ascii="Times New Roman" w:hAnsi="Times New Roman" w:cs="Times New Roman"/>
          <w:sz w:val="24"/>
          <w:szCs w:val="24"/>
          <w:lang w:val="en-GB"/>
        </w:rPr>
        <w:t xml:space="preserve">. </w:t>
      </w:r>
      <w:r w:rsidR="002A264B" w:rsidRPr="002A264B">
        <w:rPr>
          <w:rFonts w:ascii="Times New Roman" w:hAnsi="Times New Roman" w:cs="Times New Roman"/>
          <w:sz w:val="24"/>
          <w:szCs w:val="24"/>
          <w:lang w:val="en-GB"/>
        </w:rPr>
        <w:t xml:space="preserve">This denial was mostly because there were no limits on the number of cars or the amount of time they could be stored. The court thought the claim </w:t>
      </w:r>
      <w:r w:rsidR="002A264B" w:rsidRPr="002A264B">
        <w:rPr>
          <w:rFonts w:ascii="Times New Roman" w:hAnsi="Times New Roman" w:cs="Times New Roman"/>
          <w:sz w:val="24"/>
          <w:szCs w:val="24"/>
          <w:lang w:val="en-GB"/>
        </w:rPr>
        <w:lastRenderedPageBreak/>
        <w:t>was the same as asking for shared beneficial use, which goes against what an easement is all about (Mackenzie and Aruna Nair, 2018). This ruling set a standard that made it clear that claims for parking easements need to clearly state the types of uses that are allowed.</w:t>
      </w:r>
    </w:p>
    <w:p w14:paraId="77658D13" w14:textId="2592FE32" w:rsidR="0052005B" w:rsidRPr="008F631A" w:rsidRDefault="0052005B" w:rsidP="008F631A">
      <w:pPr>
        <w:numPr>
          <w:ilvl w:val="0"/>
          <w:numId w:val="1"/>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Batchelor v Marlow [2003] 1 WLR 764: </w:t>
      </w:r>
      <w:r w:rsidR="00A5784D" w:rsidRPr="00A5784D">
        <w:rPr>
          <w:rFonts w:ascii="Times New Roman" w:hAnsi="Times New Roman" w:cs="Times New Roman"/>
          <w:sz w:val="24"/>
          <w:szCs w:val="24"/>
          <w:lang w:val="en-GB"/>
        </w:rPr>
        <w:t>In the case of Batchelor v. Marlow, the significance of making appropriate use of the land that is under servient status was reaffirmed. According to the decision of the Court of Appeal, the appellant's ownership was seen as illusory because of a claimed right to park six cars on the full servient land from 8:30 in the morning until 6:00 in the evening (Nair, 2023). This ruling emphasised that an easement must not extinguish the reasonable use of the land by the owner of the servient property, which helps to maintain the equilibrium of interests between the parties participating in the transaction.</w:t>
      </w:r>
    </w:p>
    <w:p w14:paraId="33ACB544" w14:textId="52A11916" w:rsidR="0052005B" w:rsidRPr="0051411A" w:rsidRDefault="0052005B" w:rsidP="0051411A">
      <w:pPr>
        <w:numPr>
          <w:ilvl w:val="0"/>
          <w:numId w:val="1"/>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Moncrieff v Jamieson [2007] UKHL 42: </w:t>
      </w:r>
      <w:r w:rsidR="002A264B" w:rsidRPr="002A264B">
        <w:rPr>
          <w:rFonts w:ascii="Times New Roman" w:hAnsi="Times New Roman" w:cs="Times New Roman"/>
          <w:sz w:val="24"/>
          <w:szCs w:val="24"/>
          <w:lang w:val="en-GB"/>
        </w:rPr>
        <w:t>The method used in Moncrieff v. Jamieson was different from that used in Batchelor v. Marlow. Lord Scott disagreed with the test set up in Batchelor and said that the most important thing is not the reasonable use of land but the servient owner's ability to keep ownership and control (Bray, 2016). With this more complex view, it became easier to recognise parking easements, even if they seem to give the dominant owner exclusive use.</w:t>
      </w:r>
    </w:p>
    <w:p w14:paraId="3EBBA59D" w14:textId="77777777"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The instances demonstrate the delicate balance needed to determine whether a car parking easement is viable. The underlying principle is </w:t>
      </w:r>
      <w:proofErr w:type="gramStart"/>
      <w:r w:rsidRPr="008F631A">
        <w:rPr>
          <w:rFonts w:ascii="Times New Roman" w:hAnsi="Times New Roman" w:cs="Times New Roman"/>
          <w:sz w:val="24"/>
          <w:szCs w:val="24"/>
          <w:lang w:val="en-GB"/>
        </w:rPr>
        <w:t>use</w:t>
      </w:r>
      <w:proofErr w:type="gramEnd"/>
      <w:r w:rsidRPr="008F631A">
        <w:rPr>
          <w:rFonts w:ascii="Times New Roman" w:hAnsi="Times New Roman" w:cs="Times New Roman"/>
          <w:sz w:val="24"/>
          <w:szCs w:val="24"/>
          <w:lang w:val="en-GB"/>
        </w:rPr>
        <w:t xml:space="preserve"> limits, as shown in Copeland v </w:t>
      </w:r>
      <w:proofErr w:type="spellStart"/>
      <w:r w:rsidRPr="008F631A">
        <w:rPr>
          <w:rFonts w:ascii="Times New Roman" w:hAnsi="Times New Roman" w:cs="Times New Roman"/>
          <w:sz w:val="24"/>
          <w:szCs w:val="24"/>
          <w:lang w:val="en-GB"/>
        </w:rPr>
        <w:t>Greenhalf</w:t>
      </w:r>
      <w:proofErr w:type="spellEnd"/>
      <w:r w:rsidRPr="008F631A">
        <w:rPr>
          <w:rFonts w:ascii="Times New Roman" w:hAnsi="Times New Roman" w:cs="Times New Roman"/>
          <w:sz w:val="24"/>
          <w:szCs w:val="24"/>
          <w:lang w:val="en-GB"/>
        </w:rPr>
        <w:t>. This prevents the dominant owner from seeking joint beneficial use, which is not allowed by easement law. The conflict between Batchelor v Marlow and Moncrieff v Jamieson raises important questions about parking easement standards. Batchelor emphasises the servient owner's appropriate land usage; Moncrieff emphasises possession and control. This move expands parking easements, allowing dominant owners to occupy exclusively as long as the servient owner controls the site. London and Blenheim Estates v Ladbroke Retail Parks adds to the discussion by claiming that servient land size matters. This criterion recognises parking easements' utility but emphasises not burdening the servient owner.</w:t>
      </w:r>
    </w:p>
    <w:p w14:paraId="08C116D5" w14:textId="3D8D23F7"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Hence, the feasibility of establishing an easement for parking a car on a piece of land is contingent upon the equilibrium between the privileges of the dominant and servient owners, as well as the level of disruption it causes to the servient owner's utilisation and pleasure of the land (Malcolm, </w:t>
      </w:r>
      <w:r w:rsidRPr="008F631A">
        <w:rPr>
          <w:rFonts w:ascii="Times New Roman" w:hAnsi="Times New Roman" w:cs="Times New Roman"/>
          <w:sz w:val="24"/>
          <w:szCs w:val="24"/>
          <w:lang w:val="en-GB"/>
        </w:rPr>
        <w:lastRenderedPageBreak/>
        <w:t>2020).   If a right to park meets the criteria of being clearly defined, not granting exclusive possession, and not depriving the owner of the land from any reasonable usage, it might be considered an easement.   Nevertheless, the determination of the validity of an easement relies on the specific facts and circumstances of each instance, and there is no definitive criterion or guideline to establish its legitimacy.</w:t>
      </w:r>
    </w:p>
    <w:p w14:paraId="73782F28" w14:textId="584DE197" w:rsidR="0052005B" w:rsidRPr="00AA643A" w:rsidRDefault="0052005B" w:rsidP="008F631A">
      <w:pPr>
        <w:spacing w:line="360" w:lineRule="auto"/>
        <w:jc w:val="both"/>
        <w:rPr>
          <w:rFonts w:ascii="Times New Roman" w:hAnsi="Times New Roman" w:cs="Times New Roman"/>
          <w:sz w:val="24"/>
          <w:szCs w:val="24"/>
          <w:u w:val="single"/>
          <w:lang w:val="en-GB"/>
        </w:rPr>
      </w:pPr>
      <w:r w:rsidRPr="00AA643A">
        <w:rPr>
          <w:rFonts w:ascii="Times New Roman" w:hAnsi="Times New Roman" w:cs="Times New Roman"/>
          <w:b/>
          <w:bCs/>
          <w:sz w:val="24"/>
          <w:szCs w:val="24"/>
          <w:u w:val="single"/>
          <w:lang w:val="en-GB"/>
        </w:rPr>
        <w:t>Question 2</w:t>
      </w:r>
    </w:p>
    <w:p w14:paraId="64B5F8DB" w14:textId="3837599B"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The central question in this situation pertains to whether Harrison has the right to take away the specified objects from Primrose Cottage prior to its completion. These goods include the statue, terracotta pots, summerhouse, hot tub, tapestries, and kitchen equipment along with integrated appliances.   The answer hinges on whether these objects are categorised as fixtures or chattels.  Fixtures are objects that are affixed to land or a building, so constituting an integral component of the immovable property.  Chattels refer to movable personal property that is not affixed to land or a structure and can be readily detached without causing harm (Luther, 2010).</w:t>
      </w:r>
      <w:r w:rsidR="00473121">
        <w:rPr>
          <w:rFonts w:ascii="Times New Roman" w:hAnsi="Times New Roman" w:cs="Times New Roman"/>
          <w:sz w:val="24"/>
          <w:szCs w:val="24"/>
          <w:lang w:val="en-GB"/>
        </w:rPr>
        <w:t xml:space="preserve"> </w:t>
      </w:r>
      <w:r w:rsidRPr="008F631A">
        <w:rPr>
          <w:rFonts w:ascii="Times New Roman" w:hAnsi="Times New Roman" w:cs="Times New Roman"/>
          <w:sz w:val="24"/>
          <w:szCs w:val="24"/>
          <w:lang w:val="en-GB"/>
        </w:rPr>
        <w:t>A fixture is permanently attached to the land and is therefore owned by the landowner, while a chattel is movable and may be owned by someone else.   It is crucial to differentiate between fixtures and chattels, particularly when there is a change in property ownership.   All fittings shall be owned by the transferee.   For land sales, the fixtures become the property of the buyer once the sales contract is legally binding</w:t>
      </w:r>
      <w:r w:rsidR="0023259B">
        <w:rPr>
          <w:rFonts w:ascii="Times New Roman" w:hAnsi="Times New Roman" w:cs="Times New Roman"/>
          <w:sz w:val="24"/>
          <w:szCs w:val="24"/>
          <w:lang w:val="en-GB"/>
        </w:rPr>
        <w:t xml:space="preserve"> according to </w:t>
      </w:r>
      <w:r w:rsidR="00102EF2">
        <w:rPr>
          <w:rFonts w:ascii="Times New Roman" w:hAnsi="Times New Roman" w:cs="Times New Roman"/>
          <w:sz w:val="24"/>
          <w:szCs w:val="24"/>
          <w:lang w:val="en-GB"/>
        </w:rPr>
        <w:t>s.62 of the law of Property Act 1925</w:t>
      </w:r>
      <w:r w:rsidRPr="008F631A">
        <w:rPr>
          <w:rFonts w:ascii="Times New Roman" w:hAnsi="Times New Roman" w:cs="Times New Roman"/>
          <w:sz w:val="24"/>
          <w:szCs w:val="24"/>
          <w:lang w:val="en-GB"/>
        </w:rPr>
        <w:t>, and the seller is prohibited from removing them from the property (</w:t>
      </w:r>
      <w:proofErr w:type="spellStart"/>
      <w:r w:rsidRPr="008F631A">
        <w:rPr>
          <w:rFonts w:ascii="Times New Roman" w:hAnsi="Times New Roman" w:cs="Times New Roman"/>
          <w:sz w:val="24"/>
          <w:szCs w:val="24"/>
          <w:lang w:val="en-GB"/>
        </w:rPr>
        <w:t>Purssord</w:t>
      </w:r>
      <w:proofErr w:type="spellEnd"/>
      <w:r w:rsidRPr="008F631A">
        <w:rPr>
          <w:rFonts w:ascii="Times New Roman" w:hAnsi="Times New Roman" w:cs="Times New Roman"/>
          <w:sz w:val="24"/>
          <w:szCs w:val="24"/>
          <w:lang w:val="en-GB"/>
        </w:rPr>
        <w:t>, 2019).</w:t>
      </w:r>
    </w:p>
    <w:p w14:paraId="368C201F" w14:textId="487394D1" w:rsidR="0052005B" w:rsidRPr="008F631A" w:rsidRDefault="00E52060" w:rsidP="008F631A">
      <w:pPr>
        <w:spacing w:line="360" w:lineRule="auto"/>
        <w:jc w:val="both"/>
        <w:rPr>
          <w:rFonts w:ascii="Times New Roman" w:hAnsi="Times New Roman" w:cs="Times New Roman"/>
          <w:sz w:val="24"/>
          <w:szCs w:val="24"/>
          <w:lang w:val="en-GB"/>
        </w:rPr>
      </w:pPr>
      <w:r w:rsidRPr="00E52060">
        <w:rPr>
          <w:rFonts w:ascii="Times New Roman" w:hAnsi="Times New Roman" w:cs="Times New Roman"/>
          <w:sz w:val="24"/>
          <w:szCs w:val="24"/>
          <w:lang w:val="en-GB"/>
        </w:rPr>
        <w:t>When deciding whether an object is a fixture or chattel, the courts consider both the degree of attachment and the purpose of the attachment.  The possibility of safely removing an object from the site is proportional to the degree of annexation.  The purpose of annexation depends on the will of the person who fastened the item and whether it was meant to be permanent or temporary.</w:t>
      </w:r>
      <w:r w:rsidR="009B36BE">
        <w:rPr>
          <w:rFonts w:ascii="Times New Roman" w:hAnsi="Times New Roman" w:cs="Times New Roman"/>
          <w:sz w:val="24"/>
          <w:szCs w:val="24"/>
          <w:lang w:val="en-GB"/>
        </w:rPr>
        <w:t xml:space="preserve"> </w:t>
      </w:r>
      <w:r w:rsidR="0052005B" w:rsidRPr="008F631A">
        <w:rPr>
          <w:rFonts w:ascii="Times New Roman" w:hAnsi="Times New Roman" w:cs="Times New Roman"/>
          <w:sz w:val="24"/>
          <w:szCs w:val="24"/>
          <w:lang w:val="en-GB"/>
        </w:rPr>
        <w:t xml:space="preserve">The test was established in the prominent case of Holland v Hodgson [1872] LR 7 CP 328, in which Blackburn J asserted that the prevailing principle of the law is that anything attached to the land becomes an integral part of it. However, determining what qualifies as a sufficient attachment for this purpose is a complex matter.   </w:t>
      </w:r>
      <w:r w:rsidR="00A5784D" w:rsidRPr="00A5784D">
        <w:rPr>
          <w:rFonts w:ascii="Times New Roman" w:hAnsi="Times New Roman" w:cs="Times New Roman"/>
          <w:sz w:val="24"/>
          <w:szCs w:val="24"/>
          <w:lang w:val="en-GB"/>
        </w:rPr>
        <w:t>Both the degree of connection and its intended use are indicators of purpose, which means that the solution to this problem depends on the details of each individual case</w:t>
      </w:r>
      <w:r w:rsidR="00A5784D">
        <w:rPr>
          <w:rFonts w:ascii="Times New Roman" w:hAnsi="Times New Roman" w:cs="Times New Roman"/>
          <w:sz w:val="24"/>
          <w:szCs w:val="24"/>
          <w:lang w:val="en-GB"/>
        </w:rPr>
        <w:t xml:space="preserve"> </w:t>
      </w:r>
      <w:r w:rsidR="0052005B" w:rsidRPr="008F631A">
        <w:rPr>
          <w:rFonts w:ascii="Times New Roman" w:hAnsi="Times New Roman" w:cs="Times New Roman"/>
          <w:sz w:val="24"/>
          <w:szCs w:val="24"/>
          <w:lang w:val="en-GB"/>
        </w:rPr>
        <w:t>(King, 2015).</w:t>
      </w:r>
    </w:p>
    <w:p w14:paraId="37D5D1A8" w14:textId="21EA5A04"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Applying this test to the items in the scenario, the following conclusions can be drawn:</w:t>
      </w:r>
    </w:p>
    <w:p w14:paraId="20D8DAD9" w14:textId="3C3A5E33" w:rsidR="0052005B" w:rsidRPr="008F631A" w:rsidRDefault="0052005B" w:rsidP="008F631A">
      <w:pPr>
        <w:numPr>
          <w:ilvl w:val="0"/>
          <w:numId w:val="2"/>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lastRenderedPageBreak/>
        <w:t xml:space="preserve">The statue: This is likely to be a fixture, as it is cemented by its base to the ground and intended to be permanent. The degree and purpose of annexation are both high. </w:t>
      </w:r>
      <w:proofErr w:type="spellStart"/>
      <w:r w:rsidR="00A5784D" w:rsidRPr="00A5784D">
        <w:rPr>
          <w:rFonts w:ascii="Times New Roman" w:hAnsi="Times New Roman" w:cs="Times New Roman"/>
          <w:sz w:val="24"/>
          <w:szCs w:val="24"/>
          <w:lang w:val="en-GB"/>
        </w:rPr>
        <w:t>Elitestone</w:t>
      </w:r>
      <w:proofErr w:type="spellEnd"/>
      <w:r w:rsidR="00A5784D" w:rsidRPr="00A5784D">
        <w:rPr>
          <w:rFonts w:ascii="Times New Roman" w:hAnsi="Times New Roman" w:cs="Times New Roman"/>
          <w:sz w:val="24"/>
          <w:szCs w:val="24"/>
          <w:lang w:val="en-GB"/>
        </w:rPr>
        <w:t xml:space="preserve"> Ltd. v. Morris [1997] 1 WLR 687 involved comparable objects; the House of Lords ruled that a bungalow supported by concrete blocks constituted a fixture because its removal would result in its destruction (Shaw, 2010). Furthermore, the statue bears a striking resemblance to the artefacts in the case of Berkley v Poulett [1977] 1 EGLR 86. In that particular case, the Court of Appeal determined that a sundial and a statue resting on stone plinths were fixtures because they were both permanently attached to the ground and meant to serve as garden ornaments.</w:t>
      </w:r>
    </w:p>
    <w:p w14:paraId="6E222E8E" w14:textId="2BA3EAE4" w:rsidR="00D80EB6" w:rsidRPr="00CE2A6F" w:rsidRDefault="0052005B" w:rsidP="00CE2A6F">
      <w:pPr>
        <w:numPr>
          <w:ilvl w:val="0"/>
          <w:numId w:val="2"/>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The terracotta pots: These items are most likely considered chattels because they are not physically connected to the land or structure and can be easily relocated.  The level and intent of annexation are both minimal.   In the case of Leigh v Taylor [1902] AC 157, the House of Lords determined that tapestries hanging on walls by hooks were considered chattels because they were not permanently attached to the walls and were designed to be transportable.</w:t>
      </w:r>
      <w:r w:rsidR="0062110C">
        <w:rPr>
          <w:rFonts w:ascii="Times New Roman" w:hAnsi="Times New Roman" w:cs="Times New Roman"/>
          <w:sz w:val="24"/>
          <w:szCs w:val="24"/>
          <w:lang w:val="en-GB"/>
        </w:rPr>
        <w:t xml:space="preserve"> Furthermore, </w:t>
      </w:r>
      <w:r w:rsidR="00D750C9" w:rsidRPr="0062110C">
        <w:rPr>
          <w:rFonts w:ascii="Times New Roman" w:hAnsi="Times New Roman" w:cs="Times New Roman"/>
          <w:sz w:val="24"/>
          <w:szCs w:val="24"/>
          <w:lang w:val="en-GB"/>
        </w:rPr>
        <w:t>even</w:t>
      </w:r>
      <w:r w:rsidR="0062110C" w:rsidRPr="0062110C">
        <w:rPr>
          <w:rFonts w:ascii="Times New Roman" w:hAnsi="Times New Roman" w:cs="Times New Roman"/>
          <w:sz w:val="24"/>
          <w:szCs w:val="24"/>
          <w:lang w:val="en-GB"/>
        </w:rPr>
        <w:t xml:space="preserve"> if an item is attached to a surface, it is not necessarily a fixture. Because it was the only way the object could be enjoyed, it was attached to the land.</w:t>
      </w:r>
      <w:r w:rsidRPr="008F631A">
        <w:rPr>
          <w:rFonts w:ascii="Times New Roman" w:hAnsi="Times New Roman" w:cs="Times New Roman"/>
          <w:sz w:val="24"/>
          <w:szCs w:val="24"/>
          <w:lang w:val="en-GB"/>
        </w:rPr>
        <w:t xml:space="preserve"> The pots in question have a resemblance to the articles discussed in this case</w:t>
      </w:r>
      <w:r w:rsidR="001B0009">
        <w:rPr>
          <w:rFonts w:ascii="Times New Roman" w:hAnsi="Times New Roman" w:cs="Times New Roman"/>
          <w:sz w:val="24"/>
          <w:szCs w:val="24"/>
          <w:lang w:val="en-GB"/>
        </w:rPr>
        <w:t xml:space="preserve"> </w:t>
      </w:r>
      <w:r w:rsidRPr="008F631A">
        <w:rPr>
          <w:rFonts w:ascii="Times New Roman" w:hAnsi="Times New Roman" w:cs="Times New Roman"/>
          <w:sz w:val="24"/>
          <w:szCs w:val="24"/>
          <w:lang w:val="en-GB"/>
        </w:rPr>
        <w:t>(</w:t>
      </w:r>
      <w:proofErr w:type="spellStart"/>
      <w:r w:rsidRPr="008F631A">
        <w:rPr>
          <w:rFonts w:ascii="Times New Roman" w:hAnsi="Times New Roman" w:cs="Times New Roman"/>
          <w:sz w:val="24"/>
          <w:szCs w:val="24"/>
          <w:lang w:val="en-GB"/>
        </w:rPr>
        <w:t>Megarry</w:t>
      </w:r>
      <w:proofErr w:type="spellEnd"/>
      <w:r w:rsidRPr="008F631A">
        <w:rPr>
          <w:rFonts w:ascii="Times New Roman" w:hAnsi="Times New Roman" w:cs="Times New Roman"/>
          <w:sz w:val="24"/>
          <w:szCs w:val="24"/>
          <w:lang w:val="en-GB"/>
        </w:rPr>
        <w:t xml:space="preserve"> et al., 2012). </w:t>
      </w:r>
    </w:p>
    <w:p w14:paraId="3ABA827C" w14:textId="77777777" w:rsidR="0052005B" w:rsidRPr="008F631A" w:rsidRDefault="0052005B" w:rsidP="008F631A">
      <w:pPr>
        <w:numPr>
          <w:ilvl w:val="0"/>
          <w:numId w:val="2"/>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The summerhouse: The degree and purpose of annexation are both high. The summerhouse is similar to the items in </w:t>
      </w:r>
      <w:proofErr w:type="spellStart"/>
      <w:r w:rsidRPr="008F631A">
        <w:rPr>
          <w:rFonts w:ascii="Times New Roman" w:hAnsi="Times New Roman" w:cs="Times New Roman"/>
          <w:sz w:val="24"/>
          <w:szCs w:val="24"/>
          <w:lang w:val="en-GB"/>
        </w:rPr>
        <w:t>D’Eyncourt</w:t>
      </w:r>
      <w:proofErr w:type="spellEnd"/>
      <w:r w:rsidRPr="008F631A">
        <w:rPr>
          <w:rFonts w:ascii="Times New Roman" w:hAnsi="Times New Roman" w:cs="Times New Roman"/>
          <w:sz w:val="24"/>
          <w:szCs w:val="24"/>
          <w:lang w:val="en-GB"/>
        </w:rPr>
        <w:t xml:space="preserve"> v Gregory (1866) LR 3 </w:t>
      </w:r>
      <w:proofErr w:type="spellStart"/>
      <w:r w:rsidRPr="008F631A">
        <w:rPr>
          <w:rFonts w:ascii="Times New Roman" w:hAnsi="Times New Roman" w:cs="Times New Roman"/>
          <w:sz w:val="24"/>
          <w:szCs w:val="24"/>
          <w:lang w:val="en-GB"/>
        </w:rPr>
        <w:t>Eq</w:t>
      </w:r>
      <w:proofErr w:type="spellEnd"/>
      <w:r w:rsidRPr="008F631A">
        <w:rPr>
          <w:rFonts w:ascii="Times New Roman" w:hAnsi="Times New Roman" w:cs="Times New Roman"/>
          <w:sz w:val="24"/>
          <w:szCs w:val="24"/>
          <w:lang w:val="en-GB"/>
        </w:rPr>
        <w:t xml:space="preserve"> 382, where the Court of Chancery held that things like stone garden seats were fixtures, as they were firmly fixed to the ground and intended to be permanent improvements of the land (Clarke and Greer, 2012). This is likely to be a fixture, as it is anchored by bolts onto a concrete base and intended to be permanent.</w:t>
      </w:r>
    </w:p>
    <w:p w14:paraId="202C933C" w14:textId="77777777" w:rsidR="0052005B" w:rsidRPr="008F631A" w:rsidRDefault="0052005B" w:rsidP="008F631A">
      <w:pPr>
        <w:numPr>
          <w:ilvl w:val="0"/>
          <w:numId w:val="2"/>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The hot tub: This is likely to be a chattel, as it is inflatable and can be easily moved. The degree and purpose of annexation are both low. The hot tub is similar to the items in Chelsea Yacht and Boat Company v Pope 2 All ER 409, where the Court of Appeal held that a houseboat resting on wooden piles was a chattel, as it was not fixed to the land and intended to be movable (Card, </w:t>
      </w:r>
      <w:proofErr w:type="gramStart"/>
      <w:r w:rsidRPr="008F631A">
        <w:rPr>
          <w:rFonts w:ascii="Times New Roman" w:hAnsi="Times New Roman" w:cs="Times New Roman"/>
          <w:sz w:val="24"/>
          <w:szCs w:val="24"/>
          <w:lang w:val="en-GB"/>
        </w:rPr>
        <w:t>Murdoch</w:t>
      </w:r>
      <w:proofErr w:type="gramEnd"/>
      <w:r w:rsidRPr="008F631A">
        <w:rPr>
          <w:rFonts w:ascii="Times New Roman" w:hAnsi="Times New Roman" w:cs="Times New Roman"/>
          <w:sz w:val="24"/>
          <w:szCs w:val="24"/>
          <w:lang w:val="en-GB"/>
        </w:rPr>
        <w:t xml:space="preserve"> and Murdoch, 2011). </w:t>
      </w:r>
    </w:p>
    <w:p w14:paraId="69192382" w14:textId="3CF45F24" w:rsidR="0052005B" w:rsidRPr="008F631A" w:rsidRDefault="0052005B" w:rsidP="008F631A">
      <w:pPr>
        <w:numPr>
          <w:ilvl w:val="0"/>
          <w:numId w:val="2"/>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lastRenderedPageBreak/>
        <w:t>The tapestries: These items are most likely considered chattels because they are enclosed in frames and can be readily transported and cleaned.   The level of annexation is minimal, and the objective of annexation is not to improve the land or structure, but rather to save the tapestry.   In Leigh v Taylor [1902] AC 157, the House of Lords determined that tapestries hanging on walls using hooks were considered chattels. This classification was based on the fact that the tapestries were not permanently attached to the walls and were designed to be transportable (Bevan, 2022).   The tapestries bear resemblance to the objects in Berkley v Poulett [1977] 1 EGLR 86, where the Court of Appeal determined that paintings affixed to walls using screws were considered personal property, as they were not permanently attached to the walls and were intended to be transportable.</w:t>
      </w:r>
    </w:p>
    <w:p w14:paraId="047433B5" w14:textId="77777777" w:rsidR="0052005B" w:rsidRPr="008F631A" w:rsidRDefault="0052005B" w:rsidP="008F631A">
      <w:pPr>
        <w:numPr>
          <w:ilvl w:val="0"/>
          <w:numId w:val="2"/>
        </w:num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The kitchen units and integrated appliances: These are likely to be fixtures, as they are bolted to the walls and intended to be permanent. The degree and purpose of annexation are both high. The kitchen units and appliances are similar to the items in Botham v TSB Bank plc [1997] 73 P &amp; CR 99, where the Court of Appeal held that fitted kitchen units and appliances were fixtures, as they were firmly fixed to the walls and intended to be permanent fittings (</w:t>
      </w:r>
      <w:proofErr w:type="spellStart"/>
      <w:r w:rsidRPr="008F631A">
        <w:rPr>
          <w:rFonts w:ascii="Times New Roman" w:hAnsi="Times New Roman" w:cs="Times New Roman"/>
          <w:sz w:val="24"/>
          <w:szCs w:val="24"/>
          <w:lang w:val="en-GB"/>
        </w:rPr>
        <w:t>Duddington</w:t>
      </w:r>
      <w:proofErr w:type="spellEnd"/>
      <w:r w:rsidRPr="008F631A">
        <w:rPr>
          <w:rFonts w:ascii="Times New Roman" w:hAnsi="Times New Roman" w:cs="Times New Roman"/>
          <w:sz w:val="24"/>
          <w:szCs w:val="24"/>
          <w:lang w:val="en-GB"/>
        </w:rPr>
        <w:t xml:space="preserve">, 2019). The kitchen units and appliances are also similar to the items in </w:t>
      </w:r>
      <w:proofErr w:type="spellStart"/>
      <w:r w:rsidRPr="008F631A">
        <w:rPr>
          <w:rFonts w:ascii="Times New Roman" w:hAnsi="Times New Roman" w:cs="Times New Roman"/>
          <w:sz w:val="24"/>
          <w:szCs w:val="24"/>
          <w:lang w:val="en-GB"/>
        </w:rPr>
        <w:t>D’Eyncourt</w:t>
      </w:r>
      <w:proofErr w:type="spellEnd"/>
      <w:r w:rsidRPr="008F631A">
        <w:rPr>
          <w:rFonts w:ascii="Times New Roman" w:hAnsi="Times New Roman" w:cs="Times New Roman"/>
          <w:sz w:val="24"/>
          <w:szCs w:val="24"/>
          <w:lang w:val="en-GB"/>
        </w:rPr>
        <w:t xml:space="preserve"> v Gregory (1866) LR 3 </w:t>
      </w:r>
      <w:proofErr w:type="spellStart"/>
      <w:r w:rsidRPr="008F631A">
        <w:rPr>
          <w:rFonts w:ascii="Times New Roman" w:hAnsi="Times New Roman" w:cs="Times New Roman"/>
          <w:sz w:val="24"/>
          <w:szCs w:val="24"/>
          <w:lang w:val="en-GB"/>
        </w:rPr>
        <w:t>Eq</w:t>
      </w:r>
      <w:proofErr w:type="spellEnd"/>
      <w:r w:rsidRPr="008F631A">
        <w:rPr>
          <w:rFonts w:ascii="Times New Roman" w:hAnsi="Times New Roman" w:cs="Times New Roman"/>
          <w:sz w:val="24"/>
          <w:szCs w:val="24"/>
          <w:lang w:val="en-GB"/>
        </w:rPr>
        <w:t xml:space="preserve"> 382, where the Court of Chancery held that a marble structures even though they rested on their own weight were fixtures, as they were firmly fixed to the walls and intended to be permanent ornaments of the house.</w:t>
      </w:r>
    </w:p>
    <w:p w14:paraId="78F0556E" w14:textId="77777777"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In conclusion, Harrison is only entitled to remove the terracotta pots, the hot tub, and the tapestries from Primrose Cottage before completion. He is not entitled to remove the statue, the summerhouse, and the kitchen units and integrated appliances, as they are fixtures and belong to the transferee. The contract is silent on these items, but the legal test of fixtures and chattels applies. Harrison should have specified in the contract if he wanted to retain any of these items or reserve a right to sever them.</w:t>
      </w:r>
    </w:p>
    <w:p w14:paraId="370A6362" w14:textId="77777777" w:rsidR="0052005B" w:rsidRPr="008F631A" w:rsidRDefault="0052005B" w:rsidP="008F631A">
      <w:pPr>
        <w:spacing w:line="36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br w:type="page"/>
      </w:r>
    </w:p>
    <w:p w14:paraId="24937B59" w14:textId="0773EC2D" w:rsidR="0052005B" w:rsidRPr="008F631A" w:rsidRDefault="0052005B" w:rsidP="008F631A">
      <w:pPr>
        <w:spacing w:line="360" w:lineRule="auto"/>
        <w:jc w:val="both"/>
        <w:rPr>
          <w:rFonts w:ascii="Times New Roman" w:hAnsi="Times New Roman" w:cs="Times New Roman"/>
          <w:b/>
          <w:bCs/>
          <w:sz w:val="24"/>
          <w:szCs w:val="24"/>
          <w:lang w:val="en-GB"/>
        </w:rPr>
      </w:pPr>
      <w:r w:rsidRPr="008F631A">
        <w:rPr>
          <w:rFonts w:ascii="Times New Roman" w:hAnsi="Times New Roman" w:cs="Times New Roman"/>
          <w:b/>
          <w:bCs/>
          <w:sz w:val="24"/>
          <w:szCs w:val="24"/>
          <w:lang w:val="en-GB"/>
        </w:rPr>
        <w:lastRenderedPageBreak/>
        <w:t>References</w:t>
      </w:r>
    </w:p>
    <w:p w14:paraId="48EFC984"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Bevan, C. (2022). </w:t>
      </w:r>
      <w:r w:rsidRPr="008F631A">
        <w:rPr>
          <w:rFonts w:ascii="Times New Roman" w:hAnsi="Times New Roman" w:cs="Times New Roman"/>
          <w:i/>
          <w:iCs/>
          <w:sz w:val="24"/>
          <w:szCs w:val="24"/>
          <w:lang w:val="en-GB"/>
        </w:rPr>
        <w:t>Land Law.</w:t>
      </w:r>
      <w:r w:rsidRPr="008F631A">
        <w:rPr>
          <w:rFonts w:ascii="Times New Roman" w:hAnsi="Times New Roman" w:cs="Times New Roman"/>
          <w:sz w:val="24"/>
          <w:szCs w:val="24"/>
          <w:lang w:val="en-GB"/>
        </w:rPr>
        <w:t xml:space="preserve"> 3rd ed. S.L.: Oxford </w:t>
      </w:r>
      <w:proofErr w:type="spellStart"/>
      <w:r w:rsidRPr="008F631A">
        <w:rPr>
          <w:rFonts w:ascii="Times New Roman" w:hAnsi="Times New Roman" w:cs="Times New Roman"/>
          <w:sz w:val="24"/>
          <w:szCs w:val="24"/>
          <w:lang w:val="en-GB"/>
        </w:rPr>
        <w:t>Univ</w:t>
      </w:r>
      <w:proofErr w:type="spellEnd"/>
      <w:r w:rsidRPr="008F631A">
        <w:rPr>
          <w:rFonts w:ascii="Times New Roman" w:hAnsi="Times New Roman" w:cs="Times New Roman"/>
          <w:sz w:val="24"/>
          <w:szCs w:val="24"/>
          <w:lang w:val="en-GB"/>
        </w:rPr>
        <w:t xml:space="preserve"> Press.</w:t>
      </w:r>
    </w:p>
    <w:p w14:paraId="7611F1B5"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3212B208"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Bogusz, B. and Sexton, R. (2019). </w:t>
      </w:r>
      <w:r w:rsidRPr="008F631A">
        <w:rPr>
          <w:rFonts w:ascii="Times New Roman" w:hAnsi="Times New Roman" w:cs="Times New Roman"/>
          <w:i/>
          <w:iCs/>
          <w:sz w:val="24"/>
          <w:szCs w:val="24"/>
          <w:lang w:val="en-GB"/>
        </w:rPr>
        <w:t xml:space="preserve">COMPLETE LAND </w:t>
      </w:r>
      <w:proofErr w:type="gramStart"/>
      <w:r w:rsidRPr="008F631A">
        <w:rPr>
          <w:rFonts w:ascii="Times New Roman" w:hAnsi="Times New Roman" w:cs="Times New Roman"/>
          <w:i/>
          <w:iCs/>
          <w:sz w:val="24"/>
          <w:szCs w:val="24"/>
          <w:lang w:val="en-GB"/>
        </w:rPr>
        <w:t>LAW :</w:t>
      </w:r>
      <w:proofErr w:type="gramEnd"/>
      <w:r w:rsidRPr="008F631A">
        <w:rPr>
          <w:rFonts w:ascii="Times New Roman" w:hAnsi="Times New Roman" w:cs="Times New Roman"/>
          <w:i/>
          <w:iCs/>
          <w:sz w:val="24"/>
          <w:szCs w:val="24"/>
          <w:lang w:val="en-GB"/>
        </w:rPr>
        <w:t xml:space="preserve"> Text, Cases, and Materials.</w:t>
      </w:r>
      <w:r w:rsidRPr="008F631A">
        <w:rPr>
          <w:rFonts w:ascii="Times New Roman" w:hAnsi="Times New Roman" w:cs="Times New Roman"/>
          <w:sz w:val="24"/>
          <w:szCs w:val="24"/>
          <w:lang w:val="en-GB"/>
        </w:rPr>
        <w:t xml:space="preserve"> S.L.: Oxford </w:t>
      </w:r>
      <w:proofErr w:type="spellStart"/>
      <w:r w:rsidRPr="008F631A">
        <w:rPr>
          <w:rFonts w:ascii="Times New Roman" w:hAnsi="Times New Roman" w:cs="Times New Roman"/>
          <w:sz w:val="24"/>
          <w:szCs w:val="24"/>
          <w:lang w:val="en-GB"/>
        </w:rPr>
        <w:t>Univ</w:t>
      </w:r>
      <w:proofErr w:type="spellEnd"/>
      <w:r w:rsidRPr="008F631A">
        <w:rPr>
          <w:rFonts w:ascii="Times New Roman" w:hAnsi="Times New Roman" w:cs="Times New Roman"/>
          <w:sz w:val="24"/>
          <w:szCs w:val="24"/>
          <w:lang w:val="en-GB"/>
        </w:rPr>
        <w:t xml:space="preserve"> Press.</w:t>
      </w:r>
    </w:p>
    <w:p w14:paraId="2D0C1FA7"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1244B806"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Bray, J. (2016). </w:t>
      </w:r>
      <w:r w:rsidRPr="008F631A">
        <w:rPr>
          <w:rFonts w:ascii="Times New Roman" w:hAnsi="Times New Roman" w:cs="Times New Roman"/>
          <w:i/>
          <w:iCs/>
          <w:sz w:val="24"/>
          <w:szCs w:val="24"/>
          <w:lang w:val="en-GB"/>
        </w:rPr>
        <w:t>Unlocking Land Law.</w:t>
      </w:r>
      <w:r w:rsidRPr="008F631A">
        <w:rPr>
          <w:rFonts w:ascii="Times New Roman" w:hAnsi="Times New Roman" w:cs="Times New Roman"/>
          <w:sz w:val="24"/>
          <w:szCs w:val="24"/>
          <w:lang w:val="en-GB"/>
        </w:rPr>
        <w:t xml:space="preserve"> Taylor And Francis.</w:t>
      </w:r>
    </w:p>
    <w:p w14:paraId="06BE441B"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71546CDB"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Card, R., Murdoch, J. and Murdoch, S. (2011). </w:t>
      </w:r>
      <w:r w:rsidRPr="008F631A">
        <w:rPr>
          <w:rFonts w:ascii="Times New Roman" w:hAnsi="Times New Roman" w:cs="Times New Roman"/>
          <w:i/>
          <w:iCs/>
          <w:sz w:val="24"/>
          <w:szCs w:val="24"/>
          <w:lang w:val="en-GB"/>
        </w:rPr>
        <w:t>Real estate management law</w:t>
      </w:r>
      <w:r w:rsidRPr="008F631A">
        <w:rPr>
          <w:rFonts w:ascii="Times New Roman" w:hAnsi="Times New Roman" w:cs="Times New Roman"/>
          <w:sz w:val="24"/>
          <w:szCs w:val="24"/>
          <w:lang w:val="en-GB"/>
        </w:rPr>
        <w:t>. Oxford: Oxford University Press.</w:t>
      </w:r>
    </w:p>
    <w:p w14:paraId="6A9A7AA6"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4EE113FB"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Clarke, S. and Greer, S. (2012). </w:t>
      </w:r>
      <w:r w:rsidRPr="008F631A">
        <w:rPr>
          <w:rFonts w:ascii="Times New Roman" w:hAnsi="Times New Roman" w:cs="Times New Roman"/>
          <w:i/>
          <w:iCs/>
          <w:sz w:val="24"/>
          <w:szCs w:val="24"/>
          <w:lang w:val="en-GB"/>
        </w:rPr>
        <w:t>Land law</w:t>
      </w:r>
      <w:r w:rsidRPr="008F631A">
        <w:rPr>
          <w:rFonts w:ascii="Times New Roman" w:hAnsi="Times New Roman" w:cs="Times New Roman"/>
          <w:sz w:val="24"/>
          <w:szCs w:val="24"/>
          <w:lang w:val="en-GB"/>
        </w:rPr>
        <w:t>. Oxford, U.K.: Oxford University Press.</w:t>
      </w:r>
    </w:p>
    <w:p w14:paraId="599038A7"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2BC858EE"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Clarke, S. and Greer, S. (2022). </w:t>
      </w:r>
      <w:r w:rsidRPr="008F631A">
        <w:rPr>
          <w:rFonts w:ascii="Times New Roman" w:hAnsi="Times New Roman" w:cs="Times New Roman"/>
          <w:i/>
          <w:iCs/>
          <w:sz w:val="24"/>
          <w:szCs w:val="24"/>
          <w:lang w:val="en-GB"/>
        </w:rPr>
        <w:t>Land Law Directions.</w:t>
      </w:r>
      <w:r w:rsidRPr="008F631A">
        <w:rPr>
          <w:rFonts w:ascii="Times New Roman" w:hAnsi="Times New Roman" w:cs="Times New Roman"/>
          <w:sz w:val="24"/>
          <w:szCs w:val="24"/>
          <w:lang w:val="en-GB"/>
        </w:rPr>
        <w:t xml:space="preserve"> S.L.: Oxford </w:t>
      </w:r>
      <w:proofErr w:type="spellStart"/>
      <w:r w:rsidRPr="008F631A">
        <w:rPr>
          <w:rFonts w:ascii="Times New Roman" w:hAnsi="Times New Roman" w:cs="Times New Roman"/>
          <w:sz w:val="24"/>
          <w:szCs w:val="24"/>
          <w:lang w:val="en-GB"/>
        </w:rPr>
        <w:t>Univ</w:t>
      </w:r>
      <w:proofErr w:type="spellEnd"/>
      <w:r w:rsidRPr="008F631A">
        <w:rPr>
          <w:rFonts w:ascii="Times New Roman" w:hAnsi="Times New Roman" w:cs="Times New Roman"/>
          <w:sz w:val="24"/>
          <w:szCs w:val="24"/>
          <w:lang w:val="en-GB"/>
        </w:rPr>
        <w:t xml:space="preserve"> Press.</w:t>
      </w:r>
    </w:p>
    <w:p w14:paraId="2ADC0338"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400866A5" w14:textId="77777777" w:rsidR="0052005B" w:rsidRDefault="0052005B" w:rsidP="00C64A30">
      <w:pPr>
        <w:spacing w:after="0" w:line="240" w:lineRule="auto"/>
        <w:jc w:val="both"/>
        <w:rPr>
          <w:rFonts w:ascii="Times New Roman" w:hAnsi="Times New Roman" w:cs="Times New Roman"/>
          <w:sz w:val="24"/>
          <w:szCs w:val="24"/>
          <w:lang w:val="en-GB"/>
        </w:rPr>
      </w:pPr>
      <w:proofErr w:type="spellStart"/>
      <w:r w:rsidRPr="008F631A">
        <w:rPr>
          <w:rFonts w:ascii="Times New Roman" w:hAnsi="Times New Roman" w:cs="Times New Roman"/>
          <w:sz w:val="24"/>
          <w:szCs w:val="24"/>
          <w:lang w:val="en-GB"/>
        </w:rPr>
        <w:t>Duddington</w:t>
      </w:r>
      <w:proofErr w:type="spellEnd"/>
      <w:r w:rsidRPr="008F631A">
        <w:rPr>
          <w:rFonts w:ascii="Times New Roman" w:hAnsi="Times New Roman" w:cs="Times New Roman"/>
          <w:sz w:val="24"/>
          <w:szCs w:val="24"/>
          <w:lang w:val="en-GB"/>
        </w:rPr>
        <w:t xml:space="preserve">, J. (2019). </w:t>
      </w:r>
      <w:r w:rsidRPr="008F631A">
        <w:rPr>
          <w:rFonts w:ascii="Times New Roman" w:hAnsi="Times New Roman" w:cs="Times New Roman"/>
          <w:i/>
          <w:iCs/>
          <w:sz w:val="24"/>
          <w:szCs w:val="24"/>
          <w:lang w:val="en-GB"/>
        </w:rPr>
        <w:t>Land Law</w:t>
      </w:r>
      <w:r w:rsidRPr="008F631A">
        <w:rPr>
          <w:rFonts w:ascii="Times New Roman" w:hAnsi="Times New Roman" w:cs="Times New Roman"/>
          <w:sz w:val="24"/>
          <w:szCs w:val="24"/>
          <w:lang w:val="en-GB"/>
        </w:rPr>
        <w:t>. Pearson UK.</w:t>
      </w:r>
    </w:p>
    <w:p w14:paraId="689BF8C6"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1D56AD06"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King, S. (2015). </w:t>
      </w:r>
      <w:r w:rsidRPr="008F631A">
        <w:rPr>
          <w:rFonts w:ascii="Times New Roman" w:hAnsi="Times New Roman" w:cs="Times New Roman"/>
          <w:i/>
          <w:iCs/>
          <w:sz w:val="24"/>
          <w:szCs w:val="24"/>
          <w:lang w:val="en-GB"/>
        </w:rPr>
        <w:t>Beginning Land Law</w:t>
      </w:r>
      <w:r w:rsidRPr="008F631A">
        <w:rPr>
          <w:rFonts w:ascii="Times New Roman" w:hAnsi="Times New Roman" w:cs="Times New Roman"/>
          <w:sz w:val="24"/>
          <w:szCs w:val="24"/>
          <w:lang w:val="en-GB"/>
        </w:rPr>
        <w:t>. Routledge.</w:t>
      </w:r>
    </w:p>
    <w:p w14:paraId="1C6F2324"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213873EE"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Lees, E. (2020). </w:t>
      </w:r>
      <w:r w:rsidRPr="008F631A">
        <w:rPr>
          <w:rFonts w:ascii="Times New Roman" w:hAnsi="Times New Roman" w:cs="Times New Roman"/>
          <w:i/>
          <w:iCs/>
          <w:sz w:val="24"/>
          <w:szCs w:val="24"/>
          <w:lang w:val="en-GB"/>
        </w:rPr>
        <w:t>The principles of land law</w:t>
      </w:r>
      <w:r w:rsidRPr="008F631A">
        <w:rPr>
          <w:rFonts w:ascii="Times New Roman" w:hAnsi="Times New Roman" w:cs="Times New Roman"/>
          <w:sz w:val="24"/>
          <w:szCs w:val="24"/>
          <w:lang w:val="en-GB"/>
        </w:rPr>
        <w:t>. Oxford: Oxford University Press.</w:t>
      </w:r>
    </w:p>
    <w:p w14:paraId="2212B613"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0DC44682"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Luther, P. (2010). </w:t>
      </w:r>
      <w:r w:rsidRPr="008F631A">
        <w:rPr>
          <w:rFonts w:ascii="Times New Roman" w:hAnsi="Times New Roman" w:cs="Times New Roman"/>
          <w:i/>
          <w:iCs/>
          <w:sz w:val="24"/>
          <w:szCs w:val="24"/>
          <w:lang w:val="en-GB"/>
        </w:rPr>
        <w:t>Fixtures and Chattels: A Question of More or Less</w:t>
      </w:r>
      <w:r w:rsidRPr="008F631A">
        <w:rPr>
          <w:rFonts w:ascii="Times New Roman" w:hAnsi="Times New Roman" w:cs="Times New Roman"/>
          <w:sz w:val="24"/>
          <w:szCs w:val="24"/>
          <w:lang w:val="en-GB"/>
        </w:rPr>
        <w:t>. SSRN.</w:t>
      </w:r>
    </w:p>
    <w:p w14:paraId="197B5E35"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3DD1A2EC"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Mackenzie, J.-A. and Aruna Nair (2018). </w:t>
      </w:r>
      <w:r w:rsidRPr="008F631A">
        <w:rPr>
          <w:rFonts w:ascii="Times New Roman" w:hAnsi="Times New Roman" w:cs="Times New Roman"/>
          <w:i/>
          <w:iCs/>
          <w:sz w:val="24"/>
          <w:szCs w:val="24"/>
          <w:lang w:val="en-GB"/>
        </w:rPr>
        <w:t>Textbook on land law.</w:t>
      </w:r>
      <w:r w:rsidRPr="008F631A">
        <w:rPr>
          <w:rFonts w:ascii="Times New Roman" w:hAnsi="Times New Roman" w:cs="Times New Roman"/>
          <w:sz w:val="24"/>
          <w:szCs w:val="24"/>
          <w:lang w:val="en-GB"/>
        </w:rPr>
        <w:t xml:space="preserve"> Oxford: Oxford University Press.</w:t>
      </w:r>
    </w:p>
    <w:p w14:paraId="3A9F3578"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2E640C54"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Malcolm, R. (2020). </w:t>
      </w:r>
      <w:r w:rsidRPr="008F631A">
        <w:rPr>
          <w:rFonts w:ascii="Times New Roman" w:hAnsi="Times New Roman" w:cs="Times New Roman"/>
          <w:i/>
          <w:iCs/>
          <w:sz w:val="24"/>
          <w:szCs w:val="24"/>
          <w:lang w:val="en-GB"/>
        </w:rPr>
        <w:t>Concentrate Questions and Answers Land Law: Law Q&amp;A Revision and Study Guide</w:t>
      </w:r>
      <w:r w:rsidRPr="008F631A">
        <w:rPr>
          <w:rFonts w:ascii="Times New Roman" w:hAnsi="Times New Roman" w:cs="Times New Roman"/>
          <w:sz w:val="24"/>
          <w:szCs w:val="24"/>
          <w:lang w:val="en-GB"/>
        </w:rPr>
        <w:t>. Oxford University Press.</w:t>
      </w:r>
    </w:p>
    <w:p w14:paraId="227B4FBE"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4F39CF20" w14:textId="77777777" w:rsidR="0052005B" w:rsidRDefault="0052005B" w:rsidP="00C64A30">
      <w:pPr>
        <w:spacing w:after="0" w:line="240" w:lineRule="auto"/>
        <w:jc w:val="both"/>
        <w:rPr>
          <w:rFonts w:ascii="Times New Roman" w:hAnsi="Times New Roman" w:cs="Times New Roman"/>
          <w:sz w:val="24"/>
          <w:szCs w:val="24"/>
          <w:lang w:val="en-GB"/>
        </w:rPr>
      </w:pPr>
      <w:proofErr w:type="spellStart"/>
      <w:r w:rsidRPr="008F631A">
        <w:rPr>
          <w:rFonts w:ascii="Times New Roman" w:hAnsi="Times New Roman" w:cs="Times New Roman"/>
          <w:sz w:val="24"/>
          <w:szCs w:val="24"/>
          <w:lang w:val="en-GB"/>
        </w:rPr>
        <w:t>Megarry</w:t>
      </w:r>
      <w:proofErr w:type="spellEnd"/>
      <w:r w:rsidRPr="008F631A">
        <w:rPr>
          <w:rFonts w:ascii="Times New Roman" w:hAnsi="Times New Roman" w:cs="Times New Roman"/>
          <w:sz w:val="24"/>
          <w:szCs w:val="24"/>
          <w:lang w:val="en-GB"/>
        </w:rPr>
        <w:t xml:space="preserve">, R., Wade, W., </w:t>
      </w:r>
      <w:proofErr w:type="spellStart"/>
      <w:r w:rsidRPr="008F631A">
        <w:rPr>
          <w:rFonts w:ascii="Times New Roman" w:hAnsi="Times New Roman" w:cs="Times New Roman"/>
          <w:sz w:val="24"/>
          <w:szCs w:val="24"/>
          <w:lang w:val="en-GB"/>
        </w:rPr>
        <w:t>Harpum</w:t>
      </w:r>
      <w:proofErr w:type="spellEnd"/>
      <w:r w:rsidRPr="008F631A">
        <w:rPr>
          <w:rFonts w:ascii="Times New Roman" w:hAnsi="Times New Roman" w:cs="Times New Roman"/>
          <w:sz w:val="24"/>
          <w:szCs w:val="24"/>
          <w:lang w:val="en-GB"/>
        </w:rPr>
        <w:t xml:space="preserve">, C., Bridge, S. and Dixon, M. (2012). </w:t>
      </w:r>
      <w:r w:rsidRPr="008F631A">
        <w:rPr>
          <w:rFonts w:ascii="Times New Roman" w:hAnsi="Times New Roman" w:cs="Times New Roman"/>
          <w:i/>
          <w:iCs/>
          <w:sz w:val="24"/>
          <w:szCs w:val="24"/>
          <w:lang w:val="en-GB"/>
        </w:rPr>
        <w:t>The law of real property</w:t>
      </w:r>
      <w:r w:rsidRPr="008F631A">
        <w:rPr>
          <w:rFonts w:ascii="Times New Roman" w:hAnsi="Times New Roman" w:cs="Times New Roman"/>
          <w:sz w:val="24"/>
          <w:szCs w:val="24"/>
          <w:lang w:val="en-GB"/>
        </w:rPr>
        <w:t>. London: Sweet &amp; Maxwell.</w:t>
      </w:r>
    </w:p>
    <w:p w14:paraId="26C05522"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77CBEBF1"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Nair, A. (2023). </w:t>
      </w:r>
      <w:r w:rsidRPr="008F631A">
        <w:rPr>
          <w:rFonts w:ascii="Times New Roman" w:hAnsi="Times New Roman" w:cs="Times New Roman"/>
          <w:i/>
          <w:iCs/>
          <w:sz w:val="24"/>
          <w:szCs w:val="24"/>
          <w:lang w:val="en-GB"/>
        </w:rPr>
        <w:t>Textbook on Land Law</w:t>
      </w:r>
      <w:r w:rsidRPr="008F631A">
        <w:rPr>
          <w:rFonts w:ascii="Times New Roman" w:hAnsi="Times New Roman" w:cs="Times New Roman"/>
          <w:sz w:val="24"/>
          <w:szCs w:val="24"/>
          <w:lang w:val="en-GB"/>
        </w:rPr>
        <w:t>. Oxford University Press.</w:t>
      </w:r>
    </w:p>
    <w:p w14:paraId="6FD8E106"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65277D47" w14:textId="77777777" w:rsidR="0052005B" w:rsidRPr="008F631A" w:rsidRDefault="0052005B" w:rsidP="00C64A30">
      <w:pPr>
        <w:spacing w:after="0" w:line="240" w:lineRule="auto"/>
        <w:jc w:val="both"/>
        <w:rPr>
          <w:rFonts w:ascii="Times New Roman" w:hAnsi="Times New Roman" w:cs="Times New Roman"/>
          <w:sz w:val="24"/>
          <w:szCs w:val="24"/>
          <w:lang w:val="en-GB"/>
        </w:rPr>
      </w:pPr>
      <w:proofErr w:type="spellStart"/>
      <w:r w:rsidRPr="008F631A">
        <w:rPr>
          <w:rFonts w:ascii="Times New Roman" w:hAnsi="Times New Roman" w:cs="Times New Roman"/>
          <w:sz w:val="24"/>
          <w:szCs w:val="24"/>
          <w:lang w:val="en-GB"/>
        </w:rPr>
        <w:t>Purssord</w:t>
      </w:r>
      <w:proofErr w:type="spellEnd"/>
      <w:r w:rsidRPr="008F631A">
        <w:rPr>
          <w:rFonts w:ascii="Times New Roman" w:hAnsi="Times New Roman" w:cs="Times New Roman"/>
          <w:sz w:val="24"/>
          <w:szCs w:val="24"/>
          <w:lang w:val="en-GB"/>
        </w:rPr>
        <w:t xml:space="preserve">, R. (2019). </w:t>
      </w:r>
      <w:r w:rsidRPr="008F631A">
        <w:rPr>
          <w:rFonts w:ascii="Times New Roman" w:hAnsi="Times New Roman" w:cs="Times New Roman"/>
          <w:i/>
          <w:iCs/>
          <w:sz w:val="24"/>
          <w:szCs w:val="24"/>
          <w:lang w:val="en-GB"/>
        </w:rPr>
        <w:t>Difference between fixtures and fittings (chattels) | Express Conveyancing</w:t>
      </w:r>
      <w:r w:rsidRPr="008F631A">
        <w:rPr>
          <w:rFonts w:ascii="Times New Roman" w:hAnsi="Times New Roman" w:cs="Times New Roman"/>
          <w:sz w:val="24"/>
          <w:szCs w:val="24"/>
          <w:lang w:val="en-GB"/>
        </w:rPr>
        <w:t>. [online] Express Conveyancing - Conveyancing Solicitors and Property Lawyers in London, Manchester &amp; Birmingham. Available at: https://express-conveyancing.co.uk/difference-between-fixtures-and-fittings-and-chattels/ [Accessed 28 Nov. 2023].</w:t>
      </w:r>
    </w:p>
    <w:p w14:paraId="36FDE908" w14:textId="77777777" w:rsidR="0052005B"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Shaw, K. (2010). </w:t>
      </w:r>
      <w:r w:rsidRPr="008F631A">
        <w:rPr>
          <w:rFonts w:ascii="Times New Roman" w:hAnsi="Times New Roman" w:cs="Times New Roman"/>
          <w:i/>
          <w:iCs/>
          <w:sz w:val="24"/>
          <w:szCs w:val="24"/>
          <w:lang w:val="en-GB"/>
        </w:rPr>
        <w:t>Vacant Possession</w:t>
      </w:r>
      <w:r w:rsidRPr="008F631A">
        <w:rPr>
          <w:rFonts w:ascii="Times New Roman" w:hAnsi="Times New Roman" w:cs="Times New Roman"/>
          <w:sz w:val="24"/>
          <w:szCs w:val="24"/>
          <w:lang w:val="en-GB"/>
        </w:rPr>
        <w:t>. Routledge.</w:t>
      </w:r>
    </w:p>
    <w:p w14:paraId="4C3089AD" w14:textId="77777777" w:rsidR="00C64A30" w:rsidRPr="008F631A" w:rsidRDefault="00C64A30" w:rsidP="00C64A30">
      <w:pPr>
        <w:spacing w:after="0" w:line="240" w:lineRule="auto"/>
        <w:jc w:val="both"/>
        <w:rPr>
          <w:rFonts w:ascii="Times New Roman" w:hAnsi="Times New Roman" w:cs="Times New Roman"/>
          <w:sz w:val="24"/>
          <w:szCs w:val="24"/>
          <w:lang w:val="en-GB"/>
        </w:rPr>
      </w:pPr>
    </w:p>
    <w:p w14:paraId="6DF3FE11" w14:textId="26DE8A9F" w:rsidR="00C91708" w:rsidRDefault="0052005B" w:rsidP="00C64A30">
      <w:pPr>
        <w:spacing w:after="0" w:line="240" w:lineRule="auto"/>
        <w:jc w:val="both"/>
        <w:rPr>
          <w:rFonts w:ascii="Times New Roman" w:hAnsi="Times New Roman" w:cs="Times New Roman"/>
          <w:sz w:val="24"/>
          <w:szCs w:val="24"/>
          <w:lang w:val="en-GB"/>
        </w:rPr>
      </w:pPr>
      <w:r w:rsidRPr="008F631A">
        <w:rPr>
          <w:rFonts w:ascii="Times New Roman" w:hAnsi="Times New Roman" w:cs="Times New Roman"/>
          <w:sz w:val="24"/>
          <w:szCs w:val="24"/>
          <w:lang w:val="en-GB"/>
        </w:rPr>
        <w:t xml:space="preserve">Thompson, M.P. and George, M. (2017). </w:t>
      </w:r>
      <w:r w:rsidRPr="008F631A">
        <w:rPr>
          <w:rFonts w:ascii="Times New Roman" w:hAnsi="Times New Roman" w:cs="Times New Roman"/>
          <w:i/>
          <w:iCs/>
          <w:sz w:val="24"/>
          <w:szCs w:val="24"/>
          <w:lang w:val="en-GB"/>
        </w:rPr>
        <w:t>Modern land law</w:t>
      </w:r>
      <w:r w:rsidRPr="008F631A">
        <w:rPr>
          <w:rFonts w:ascii="Times New Roman" w:hAnsi="Times New Roman" w:cs="Times New Roman"/>
          <w:sz w:val="24"/>
          <w:szCs w:val="24"/>
          <w:lang w:val="en-GB"/>
        </w:rPr>
        <w:t>. Oxford: Oxford University Press</w:t>
      </w:r>
    </w:p>
    <w:p w14:paraId="494BA487" w14:textId="77777777" w:rsidR="00E145AA" w:rsidRDefault="00E145AA" w:rsidP="00C64A30">
      <w:pPr>
        <w:spacing w:after="0" w:line="240" w:lineRule="auto"/>
        <w:jc w:val="both"/>
        <w:rPr>
          <w:rFonts w:ascii="Times New Roman" w:hAnsi="Times New Roman" w:cs="Times New Roman"/>
          <w:sz w:val="24"/>
          <w:szCs w:val="24"/>
          <w:lang w:val="en-GB"/>
        </w:rPr>
      </w:pPr>
    </w:p>
    <w:p w14:paraId="6AACA826" w14:textId="77777777" w:rsidR="00CA63BB" w:rsidRDefault="00CA63BB" w:rsidP="00C64A30">
      <w:pPr>
        <w:spacing w:after="0" w:line="240" w:lineRule="auto"/>
        <w:jc w:val="both"/>
        <w:rPr>
          <w:rFonts w:ascii="Times New Roman" w:hAnsi="Times New Roman" w:cs="Times New Roman"/>
          <w:sz w:val="24"/>
          <w:szCs w:val="24"/>
          <w:lang w:val="en-GB"/>
        </w:rPr>
      </w:pPr>
    </w:p>
    <w:p w14:paraId="76CB36B4" w14:textId="77777777" w:rsidR="00CA63BB" w:rsidRDefault="00CA63BB" w:rsidP="00CA63BB">
      <w:pPr>
        <w:spacing w:after="0"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s.62 of the law of Property Act 1925 – available at: </w:t>
      </w:r>
    </w:p>
    <w:p w14:paraId="6CFE8070" w14:textId="77777777" w:rsidR="00CA63BB" w:rsidRDefault="00CA63BB" w:rsidP="00CA63BB">
      <w:pPr>
        <w:spacing w:after="0" w:line="240" w:lineRule="auto"/>
        <w:jc w:val="both"/>
        <w:rPr>
          <w:rFonts w:ascii="Times New Roman" w:hAnsi="Times New Roman" w:cs="Times New Roman"/>
          <w:sz w:val="24"/>
          <w:szCs w:val="24"/>
          <w:lang w:val="en-GB"/>
        </w:rPr>
      </w:pPr>
      <w:hyperlink r:id="rId5" w:history="1">
        <w:r w:rsidRPr="00E87000">
          <w:rPr>
            <w:rStyle w:val="Hyperlink"/>
            <w:rFonts w:ascii="Times New Roman" w:hAnsi="Times New Roman" w:cs="Times New Roman"/>
            <w:sz w:val="24"/>
            <w:szCs w:val="24"/>
            <w:lang w:val="en-GB"/>
          </w:rPr>
          <w:t>https://www.legislation.gov.uk/ukpga/Geo5/15-16/20/section/62</w:t>
        </w:r>
      </w:hyperlink>
    </w:p>
    <w:p w14:paraId="43B44BC2" w14:textId="77777777" w:rsidR="00CA63BB" w:rsidRDefault="00CA63BB" w:rsidP="00C64A30">
      <w:pPr>
        <w:spacing w:after="0" w:line="240" w:lineRule="auto"/>
        <w:jc w:val="both"/>
        <w:rPr>
          <w:rFonts w:ascii="Times New Roman" w:hAnsi="Times New Roman" w:cs="Times New Roman"/>
          <w:sz w:val="24"/>
          <w:szCs w:val="24"/>
          <w:lang w:val="en-GB"/>
        </w:rPr>
      </w:pPr>
    </w:p>
    <w:p w14:paraId="1B234B1B" w14:textId="77777777" w:rsidR="00C64A30" w:rsidRDefault="00C64A30" w:rsidP="00C64A30">
      <w:pPr>
        <w:spacing w:after="0" w:line="240" w:lineRule="auto"/>
        <w:jc w:val="both"/>
        <w:rPr>
          <w:rFonts w:ascii="Times New Roman" w:hAnsi="Times New Roman" w:cs="Times New Roman"/>
          <w:sz w:val="24"/>
          <w:szCs w:val="24"/>
          <w:lang w:val="en-GB"/>
        </w:rPr>
      </w:pPr>
    </w:p>
    <w:p w14:paraId="436A50D7" w14:textId="77777777" w:rsidR="00C64A30" w:rsidRDefault="00C64A30" w:rsidP="00C64A30">
      <w:pPr>
        <w:spacing w:after="0" w:line="240" w:lineRule="auto"/>
        <w:jc w:val="both"/>
        <w:rPr>
          <w:rFonts w:ascii="Times New Roman" w:hAnsi="Times New Roman" w:cs="Times New Roman"/>
          <w:sz w:val="24"/>
          <w:szCs w:val="24"/>
          <w:lang w:val="en-GB"/>
        </w:rPr>
      </w:pPr>
    </w:p>
    <w:p w14:paraId="49B77708"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Berkley v Poulett [1977] 1 EGLR 86</w:t>
      </w:r>
    </w:p>
    <w:p w14:paraId="1E5E4AF8"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Batchelor v Marlow [2003] 1 WLR 764</w:t>
      </w:r>
    </w:p>
    <w:p w14:paraId="226ED680" w14:textId="77777777" w:rsidR="00C64A30" w:rsidRDefault="00C64A30" w:rsidP="00C64A30">
      <w:r w:rsidRPr="008F631A">
        <w:rPr>
          <w:rFonts w:ascii="Times New Roman" w:hAnsi="Times New Roman" w:cs="Times New Roman"/>
          <w:sz w:val="24"/>
          <w:szCs w:val="24"/>
          <w:lang w:val="en-GB"/>
        </w:rPr>
        <w:t>Botham v TSB Bank plc [1997] 73 P &amp; CR 99</w:t>
      </w:r>
    </w:p>
    <w:p w14:paraId="1127AE24"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Chelsea Yacht and Boat Company v Pope 2 All ER 409</w:t>
      </w:r>
    </w:p>
    <w:p w14:paraId="3A50530D"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 xml:space="preserve">Copeland v </w:t>
      </w:r>
      <w:proofErr w:type="spellStart"/>
      <w:r w:rsidRPr="008F631A">
        <w:rPr>
          <w:rFonts w:ascii="Times New Roman" w:hAnsi="Times New Roman" w:cs="Times New Roman"/>
          <w:sz w:val="24"/>
          <w:szCs w:val="24"/>
          <w:lang w:val="en-GB"/>
        </w:rPr>
        <w:t>Greenhalf</w:t>
      </w:r>
      <w:proofErr w:type="spellEnd"/>
      <w:r w:rsidRPr="008F631A">
        <w:rPr>
          <w:rFonts w:ascii="Times New Roman" w:hAnsi="Times New Roman" w:cs="Times New Roman"/>
          <w:sz w:val="24"/>
          <w:szCs w:val="24"/>
          <w:lang w:val="en-GB"/>
        </w:rPr>
        <w:t xml:space="preserve"> [1952] 1 Ch. 488</w:t>
      </w:r>
    </w:p>
    <w:p w14:paraId="368EE780" w14:textId="77777777" w:rsidR="00C64A30" w:rsidRDefault="00C64A30" w:rsidP="00C64A30">
      <w:pPr>
        <w:rPr>
          <w:rFonts w:ascii="Times New Roman" w:hAnsi="Times New Roman" w:cs="Times New Roman"/>
          <w:sz w:val="24"/>
          <w:szCs w:val="24"/>
        </w:rPr>
      </w:pPr>
      <w:proofErr w:type="spellStart"/>
      <w:r w:rsidRPr="008F631A">
        <w:rPr>
          <w:rFonts w:ascii="Times New Roman" w:hAnsi="Times New Roman" w:cs="Times New Roman"/>
          <w:sz w:val="24"/>
          <w:szCs w:val="24"/>
          <w:lang w:val="en-GB"/>
        </w:rPr>
        <w:t>D’Eyncourt</w:t>
      </w:r>
      <w:proofErr w:type="spellEnd"/>
      <w:r w:rsidRPr="008F631A">
        <w:rPr>
          <w:rFonts w:ascii="Times New Roman" w:hAnsi="Times New Roman" w:cs="Times New Roman"/>
          <w:sz w:val="24"/>
          <w:szCs w:val="24"/>
          <w:lang w:val="en-GB"/>
        </w:rPr>
        <w:t xml:space="preserve"> v Gregory (1866) LR 3 </w:t>
      </w:r>
      <w:proofErr w:type="spellStart"/>
      <w:r w:rsidRPr="008F631A">
        <w:rPr>
          <w:rFonts w:ascii="Times New Roman" w:hAnsi="Times New Roman" w:cs="Times New Roman"/>
          <w:sz w:val="24"/>
          <w:szCs w:val="24"/>
          <w:lang w:val="en-GB"/>
        </w:rPr>
        <w:t>Eq</w:t>
      </w:r>
      <w:proofErr w:type="spellEnd"/>
      <w:r w:rsidRPr="008F631A">
        <w:rPr>
          <w:rFonts w:ascii="Times New Roman" w:hAnsi="Times New Roman" w:cs="Times New Roman"/>
          <w:sz w:val="24"/>
          <w:szCs w:val="24"/>
          <w:lang w:val="en-GB"/>
        </w:rPr>
        <w:t xml:space="preserve"> 382</w:t>
      </w:r>
    </w:p>
    <w:p w14:paraId="2353E1CF" w14:textId="77777777" w:rsidR="00C64A30" w:rsidRDefault="00C64A30" w:rsidP="00C64A30">
      <w:pPr>
        <w:rPr>
          <w:rFonts w:ascii="Times New Roman" w:hAnsi="Times New Roman" w:cs="Times New Roman"/>
          <w:sz w:val="24"/>
          <w:szCs w:val="24"/>
        </w:rPr>
      </w:pPr>
      <w:proofErr w:type="spellStart"/>
      <w:r w:rsidRPr="00A5784D">
        <w:rPr>
          <w:rFonts w:ascii="Times New Roman" w:hAnsi="Times New Roman" w:cs="Times New Roman"/>
          <w:sz w:val="24"/>
          <w:szCs w:val="24"/>
          <w:lang w:val="en-GB"/>
        </w:rPr>
        <w:t>Elitestone</w:t>
      </w:r>
      <w:proofErr w:type="spellEnd"/>
      <w:r w:rsidRPr="00A5784D">
        <w:rPr>
          <w:rFonts w:ascii="Times New Roman" w:hAnsi="Times New Roman" w:cs="Times New Roman"/>
          <w:sz w:val="24"/>
          <w:szCs w:val="24"/>
          <w:lang w:val="en-GB"/>
        </w:rPr>
        <w:t xml:space="preserve"> Ltd. v. Morris [1997] 1 WLR 687</w:t>
      </w:r>
    </w:p>
    <w:p w14:paraId="640A808A"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Holland v Hodgson [1872] LR 7 CP 328</w:t>
      </w:r>
    </w:p>
    <w:p w14:paraId="01F20CC5"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Leigh v Taylor [1902] AC 157</w:t>
      </w:r>
    </w:p>
    <w:p w14:paraId="3DE0A4DA"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London &amp; Blenheim Estates Ltd v Ladbroke Retail Parks Ltd [1994] 1 WLR 31</w:t>
      </w:r>
    </w:p>
    <w:p w14:paraId="6E211D61" w14:textId="77777777" w:rsidR="00C64A30" w:rsidRDefault="00C64A30" w:rsidP="00C64A30">
      <w:pPr>
        <w:rPr>
          <w:rFonts w:ascii="Times New Roman" w:hAnsi="Times New Roman" w:cs="Times New Roman"/>
          <w:sz w:val="24"/>
          <w:szCs w:val="24"/>
        </w:rPr>
      </w:pPr>
      <w:r w:rsidRPr="008F631A">
        <w:rPr>
          <w:rFonts w:ascii="Times New Roman" w:hAnsi="Times New Roman" w:cs="Times New Roman"/>
          <w:sz w:val="24"/>
          <w:szCs w:val="24"/>
          <w:lang w:val="en-GB"/>
        </w:rPr>
        <w:t>Moncrieff v Jamieson [2007] UKHL 42</w:t>
      </w:r>
    </w:p>
    <w:p w14:paraId="5EF3CAC9" w14:textId="77777777" w:rsidR="00C64A30" w:rsidRPr="00436C53" w:rsidRDefault="00C64A30" w:rsidP="008F631A">
      <w:pPr>
        <w:spacing w:line="360" w:lineRule="auto"/>
        <w:jc w:val="both"/>
        <w:rPr>
          <w:rFonts w:ascii="Times New Roman" w:hAnsi="Times New Roman" w:cs="Times New Roman"/>
          <w:sz w:val="24"/>
          <w:szCs w:val="24"/>
          <w:lang w:val="en-GB"/>
        </w:rPr>
      </w:pPr>
    </w:p>
    <w:sectPr w:rsidR="00C64A30" w:rsidRPr="00436C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77669"/>
    <w:multiLevelType w:val="multilevel"/>
    <w:tmpl w:val="EDBE1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9802D4"/>
    <w:multiLevelType w:val="multilevel"/>
    <w:tmpl w:val="456E0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1527374">
    <w:abstractNumId w:val="1"/>
  </w:num>
  <w:num w:numId="2" w16cid:durableId="266742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096"/>
    <w:rsid w:val="00016C9E"/>
    <w:rsid w:val="000A128E"/>
    <w:rsid w:val="000A4E0D"/>
    <w:rsid w:val="00102EF2"/>
    <w:rsid w:val="00132096"/>
    <w:rsid w:val="001414C8"/>
    <w:rsid w:val="001871F5"/>
    <w:rsid w:val="001A4AA9"/>
    <w:rsid w:val="001B0009"/>
    <w:rsid w:val="0023259B"/>
    <w:rsid w:val="00245FE9"/>
    <w:rsid w:val="002A264B"/>
    <w:rsid w:val="002B5971"/>
    <w:rsid w:val="002C492A"/>
    <w:rsid w:val="00364462"/>
    <w:rsid w:val="003854CC"/>
    <w:rsid w:val="003C1D88"/>
    <w:rsid w:val="00436C53"/>
    <w:rsid w:val="00473121"/>
    <w:rsid w:val="0051411A"/>
    <w:rsid w:val="0052005B"/>
    <w:rsid w:val="005B3163"/>
    <w:rsid w:val="0062110C"/>
    <w:rsid w:val="00707F03"/>
    <w:rsid w:val="00785567"/>
    <w:rsid w:val="0084177F"/>
    <w:rsid w:val="008F631A"/>
    <w:rsid w:val="00984A2D"/>
    <w:rsid w:val="009B36BE"/>
    <w:rsid w:val="009D6176"/>
    <w:rsid w:val="00A030D1"/>
    <w:rsid w:val="00A5784D"/>
    <w:rsid w:val="00AA643A"/>
    <w:rsid w:val="00AC635E"/>
    <w:rsid w:val="00B0177F"/>
    <w:rsid w:val="00B306D5"/>
    <w:rsid w:val="00BD0153"/>
    <w:rsid w:val="00C64A30"/>
    <w:rsid w:val="00C91708"/>
    <w:rsid w:val="00CA63BB"/>
    <w:rsid w:val="00CE2A6F"/>
    <w:rsid w:val="00D750C9"/>
    <w:rsid w:val="00D80EB6"/>
    <w:rsid w:val="00D97C03"/>
    <w:rsid w:val="00DB2296"/>
    <w:rsid w:val="00E074CB"/>
    <w:rsid w:val="00E145AA"/>
    <w:rsid w:val="00E52060"/>
    <w:rsid w:val="00E56D06"/>
    <w:rsid w:val="00F72433"/>
    <w:rsid w:val="00FF0C3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AEEA9"/>
  <w15:chartTrackingRefBased/>
  <w15:docId w15:val="{43D9F020-1A57-4241-85D7-1051C9F68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005B"/>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7F03"/>
    <w:rPr>
      <w:color w:val="0563C1" w:themeColor="hyperlink"/>
      <w:u w:val="single"/>
    </w:rPr>
  </w:style>
  <w:style w:type="character" w:styleId="UnresolvedMention">
    <w:name w:val="Unresolved Mention"/>
    <w:basedOn w:val="DefaultParagraphFont"/>
    <w:uiPriority w:val="99"/>
    <w:semiHidden/>
    <w:unhideWhenUsed/>
    <w:rsid w:val="00707F03"/>
    <w:rPr>
      <w:color w:val="605E5C"/>
      <w:shd w:val="clear" w:color="auto" w:fill="E1DFDD"/>
    </w:rPr>
  </w:style>
  <w:style w:type="paragraph" w:customStyle="1" w:styleId="pb-2">
    <w:name w:val="pb-2"/>
    <w:basedOn w:val="Normal"/>
    <w:rsid w:val="00D80EB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issue-underline">
    <w:name w:val="issue-underline"/>
    <w:basedOn w:val="DefaultParagraphFont"/>
    <w:rsid w:val="00D80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89558">
      <w:bodyDiv w:val="1"/>
      <w:marLeft w:val="0"/>
      <w:marRight w:val="0"/>
      <w:marTop w:val="0"/>
      <w:marBottom w:val="0"/>
      <w:divBdr>
        <w:top w:val="none" w:sz="0" w:space="0" w:color="auto"/>
        <w:left w:val="none" w:sz="0" w:space="0" w:color="auto"/>
        <w:bottom w:val="none" w:sz="0" w:space="0" w:color="auto"/>
        <w:right w:val="none" w:sz="0" w:space="0" w:color="auto"/>
      </w:divBdr>
    </w:div>
    <w:div w:id="20371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egislation.gov.uk/ukpga/Geo5/15-16/20/section/6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7</Pages>
  <Words>2165</Words>
  <Characters>12345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 Raihan</dc:creator>
  <cp:keywords/>
  <dc:description/>
  <cp:lastModifiedBy>Mukta Khan</cp:lastModifiedBy>
  <cp:revision>2</cp:revision>
  <dcterms:created xsi:type="dcterms:W3CDTF">2023-12-15T10:46:00Z</dcterms:created>
  <dcterms:modified xsi:type="dcterms:W3CDTF">2023-12-15T10:46:00Z</dcterms:modified>
</cp:coreProperties>
</file>