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77F15" w14:textId="4AC9CBF0" w:rsidR="00133168" w:rsidRPr="003A1FCA" w:rsidRDefault="00974EB4" w:rsidP="00974EB4">
      <w:pPr>
        <w:rPr>
          <w:lang w:val="en-IN"/>
        </w:rPr>
      </w:pPr>
      <w:r>
        <w:rPr>
          <w:noProof/>
        </w:rPr>
        <w:drawing>
          <wp:anchor distT="0" distB="0" distL="114300" distR="114300" simplePos="0" relativeHeight="251659264" behindDoc="0" locked="0" layoutInCell="1" allowOverlap="1" wp14:anchorId="3AA1A455" wp14:editId="7D9CBD57">
            <wp:simplePos x="0" y="0"/>
            <wp:positionH relativeFrom="column">
              <wp:posOffset>1203960</wp:posOffset>
            </wp:positionH>
            <wp:positionV relativeFrom="paragraph">
              <wp:posOffset>167640</wp:posOffset>
            </wp:positionV>
            <wp:extent cx="3017520" cy="1259205"/>
            <wp:effectExtent l="0" t="0" r="0" b="0"/>
            <wp:wrapNone/>
            <wp:docPr id="1169455976"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5976" name="Picture 1" descr="A logo with text on it&#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1259205"/>
                    </a:xfrm>
                    <a:prstGeom prst="rect">
                      <a:avLst/>
                    </a:prstGeom>
                    <a:noFill/>
                    <a:ln>
                      <a:noFill/>
                    </a:ln>
                  </pic:spPr>
                </pic:pic>
              </a:graphicData>
            </a:graphic>
          </wp:anchor>
        </w:drawing>
      </w:r>
    </w:p>
    <w:p w14:paraId="179138CD" w14:textId="77777777" w:rsidR="00133168" w:rsidRPr="003A1FCA" w:rsidRDefault="00133168" w:rsidP="00133168">
      <w:pPr>
        <w:spacing w:after="160" w:line="278" w:lineRule="auto"/>
        <w:jc w:val="center"/>
        <w:rPr>
          <w:rFonts w:ascii="Times New Roman" w:hAnsi="Times New Roman" w:cs="Times New Roman"/>
          <w:lang w:val="en-IN"/>
        </w:rPr>
      </w:pPr>
    </w:p>
    <w:p w14:paraId="6BF6C149" w14:textId="77777777" w:rsidR="00133168" w:rsidRPr="003A1FCA" w:rsidRDefault="00133168" w:rsidP="00133168">
      <w:pPr>
        <w:spacing w:after="160" w:line="278" w:lineRule="auto"/>
        <w:jc w:val="center"/>
        <w:rPr>
          <w:rFonts w:ascii="Times New Roman" w:hAnsi="Times New Roman" w:cs="Times New Roman"/>
          <w:lang w:val="en-IN"/>
        </w:rPr>
      </w:pPr>
    </w:p>
    <w:p w14:paraId="6E25E170" w14:textId="77777777" w:rsidR="00133168" w:rsidRPr="003A1FCA" w:rsidRDefault="00133168" w:rsidP="00133168">
      <w:pPr>
        <w:spacing w:after="160" w:line="278" w:lineRule="auto"/>
        <w:jc w:val="center"/>
        <w:rPr>
          <w:rFonts w:ascii="Times New Roman" w:hAnsi="Times New Roman" w:cs="Times New Roman"/>
          <w:lang w:val="en-IN"/>
        </w:rPr>
      </w:pPr>
    </w:p>
    <w:p w14:paraId="014BA4D7" w14:textId="77777777" w:rsidR="00D64422" w:rsidRPr="003A1FCA" w:rsidRDefault="00D64422" w:rsidP="00133168">
      <w:pPr>
        <w:spacing w:after="160" w:line="278" w:lineRule="auto"/>
        <w:jc w:val="center"/>
        <w:rPr>
          <w:rFonts w:ascii="Times New Roman" w:hAnsi="Times New Roman" w:cs="Times New Roman"/>
          <w:lang w:val="en-IN"/>
        </w:rPr>
      </w:pPr>
    </w:p>
    <w:p w14:paraId="393EFD0E" w14:textId="3295FCB1" w:rsidR="00AF2481" w:rsidRDefault="00AF2481" w:rsidP="00D64422">
      <w:pPr>
        <w:spacing w:after="160" w:line="278" w:lineRule="auto"/>
        <w:rPr>
          <w:rFonts w:ascii="Times New Roman" w:hAnsi="Times New Roman" w:cs="Times New Roman"/>
          <w:b/>
          <w:bCs/>
          <w:sz w:val="36"/>
          <w:szCs w:val="36"/>
          <w:lang w:val="en-IN"/>
        </w:rPr>
      </w:pPr>
    </w:p>
    <w:p w14:paraId="3F0BDF11" w14:textId="273F2A36" w:rsidR="00AF2481" w:rsidRDefault="00AF2481" w:rsidP="00D64422">
      <w:pPr>
        <w:spacing w:after="160" w:line="278" w:lineRule="auto"/>
        <w:rPr>
          <w:rFonts w:ascii="Times New Roman" w:hAnsi="Times New Roman" w:cs="Times New Roman"/>
          <w:b/>
          <w:bCs/>
          <w:sz w:val="36"/>
          <w:szCs w:val="36"/>
          <w:lang w:val="en-IN"/>
        </w:rPr>
      </w:pPr>
    </w:p>
    <w:p w14:paraId="305702D5" w14:textId="77777777" w:rsidR="00AF2481" w:rsidRPr="003A1FCA" w:rsidRDefault="00AF2481" w:rsidP="00D64422">
      <w:pPr>
        <w:spacing w:after="160" w:line="278" w:lineRule="auto"/>
        <w:rPr>
          <w:rFonts w:ascii="Times New Roman" w:hAnsi="Times New Roman" w:cs="Times New Roman"/>
          <w:b/>
          <w:bCs/>
          <w:sz w:val="36"/>
          <w:szCs w:val="36"/>
          <w:lang w:val="en-IN"/>
        </w:rPr>
      </w:pPr>
    </w:p>
    <w:p w14:paraId="26156482" w14:textId="657AEE6A" w:rsidR="00133168" w:rsidRPr="00C25EF0" w:rsidRDefault="00133168" w:rsidP="00133168">
      <w:pPr>
        <w:spacing w:after="160"/>
        <w:jc w:val="center"/>
        <w:rPr>
          <w:rFonts w:ascii="Times New Roman" w:hAnsi="Times New Roman" w:cs="Times New Roman"/>
          <w:b/>
          <w:bCs/>
          <w:sz w:val="32"/>
          <w:szCs w:val="36"/>
          <w:lang w:val="en-IN"/>
        </w:rPr>
      </w:pPr>
      <w:r w:rsidRPr="00C25EF0">
        <w:rPr>
          <w:rFonts w:ascii="Times New Roman" w:hAnsi="Times New Roman" w:cs="Times New Roman"/>
          <w:b/>
          <w:bCs/>
          <w:sz w:val="32"/>
          <w:szCs w:val="36"/>
          <w:lang w:val="en-IN"/>
        </w:rPr>
        <w:t>FROM CUSTOMER ACQUISITION TO RETENTION: A STRATEGIC MARKETING ANALYSIS OF LOYALTY- DRIVEN GROWTH IN THE UK QUICK-SERVICE RESTAURANT SECTOR</w:t>
      </w:r>
    </w:p>
    <w:p w14:paraId="56DD5D85" w14:textId="77777777" w:rsidR="00133168" w:rsidRPr="003A1FCA" w:rsidRDefault="00133168" w:rsidP="00133168">
      <w:pPr>
        <w:spacing w:after="160" w:line="278" w:lineRule="auto"/>
        <w:jc w:val="center"/>
        <w:rPr>
          <w:rFonts w:ascii="Times New Roman" w:hAnsi="Times New Roman" w:cs="Times New Roman"/>
          <w:lang w:val="en-IN"/>
        </w:rPr>
      </w:pPr>
    </w:p>
    <w:p w14:paraId="59982C64" w14:textId="77777777" w:rsidR="00133168" w:rsidRPr="003A1FCA" w:rsidRDefault="00133168" w:rsidP="00133168">
      <w:pPr>
        <w:spacing w:after="160" w:line="278" w:lineRule="auto"/>
        <w:jc w:val="center"/>
        <w:rPr>
          <w:rFonts w:ascii="Times New Roman" w:hAnsi="Times New Roman" w:cs="Times New Roman"/>
          <w:lang w:val="en-IN"/>
        </w:rPr>
      </w:pPr>
    </w:p>
    <w:p w14:paraId="1B0D0BBE" w14:textId="76FA1698" w:rsidR="00133168" w:rsidRDefault="00133168" w:rsidP="00133168">
      <w:pPr>
        <w:spacing w:after="160" w:line="278" w:lineRule="auto"/>
        <w:jc w:val="center"/>
        <w:rPr>
          <w:rFonts w:ascii="Times New Roman" w:hAnsi="Times New Roman" w:cs="Times New Roman"/>
          <w:lang w:val="en-IN"/>
        </w:rPr>
      </w:pPr>
    </w:p>
    <w:p w14:paraId="098E9BEF" w14:textId="77777777" w:rsidR="00974EB4" w:rsidRPr="003A1FCA" w:rsidRDefault="00974EB4" w:rsidP="00974EB4">
      <w:pPr>
        <w:spacing w:after="160" w:line="278" w:lineRule="auto"/>
        <w:jc w:val="center"/>
        <w:rPr>
          <w:rFonts w:ascii="Times New Roman" w:hAnsi="Times New Roman" w:cs="Times New Roman"/>
          <w:lang w:val="en-IN"/>
        </w:rPr>
      </w:pPr>
    </w:p>
    <w:p w14:paraId="3F00DF4A" w14:textId="77777777" w:rsidR="00974EB4" w:rsidRPr="00B27B32" w:rsidRDefault="00974EB4" w:rsidP="00974EB4">
      <w:pPr>
        <w:spacing w:after="160" w:line="278" w:lineRule="auto"/>
        <w:jc w:val="center"/>
        <w:rPr>
          <w:rFonts w:ascii="Times New Roman" w:hAnsi="Times New Roman" w:cs="Times New Roman"/>
          <w:b/>
          <w:bCs/>
        </w:rPr>
      </w:pPr>
      <w:r w:rsidRPr="00B27B32">
        <w:rPr>
          <w:rFonts w:ascii="Times New Roman" w:hAnsi="Times New Roman" w:cs="Times New Roman"/>
          <w:b/>
          <w:bCs/>
        </w:rPr>
        <w:t>Programme: Master of Business Administration</w:t>
      </w:r>
    </w:p>
    <w:p w14:paraId="1F82EDF4" w14:textId="77777777" w:rsidR="00974EB4" w:rsidRPr="00AF2481" w:rsidRDefault="00974EB4" w:rsidP="00974EB4">
      <w:pPr>
        <w:spacing w:after="0"/>
        <w:jc w:val="center"/>
        <w:rPr>
          <w:rFonts w:ascii="Times New Roman" w:hAnsi="Times New Roman" w:cs="Times New Roman"/>
          <w:b/>
          <w:bCs/>
          <w:szCs w:val="30"/>
          <w:lang w:val="en-IN"/>
        </w:rPr>
      </w:pPr>
      <w:r w:rsidRPr="00AF2481">
        <w:rPr>
          <w:rFonts w:ascii="Times New Roman" w:hAnsi="Times New Roman" w:cs="Times New Roman"/>
          <w:b/>
          <w:bCs/>
          <w:szCs w:val="30"/>
          <w:lang w:val="en-IN"/>
        </w:rPr>
        <w:t xml:space="preserve">Student Name: </w:t>
      </w:r>
      <w:r w:rsidRPr="0083604C">
        <w:rPr>
          <w:rFonts w:ascii="Times New Roman" w:hAnsi="Times New Roman" w:cs="Times New Roman"/>
          <w:b/>
          <w:bCs/>
          <w:szCs w:val="30"/>
          <w:lang w:val="en-IN"/>
        </w:rPr>
        <w:t xml:space="preserve">Patel Nishit </w:t>
      </w:r>
      <w:proofErr w:type="spellStart"/>
      <w:r w:rsidRPr="0083604C">
        <w:rPr>
          <w:rFonts w:ascii="Times New Roman" w:hAnsi="Times New Roman" w:cs="Times New Roman"/>
          <w:b/>
          <w:bCs/>
          <w:szCs w:val="30"/>
          <w:lang w:val="en-IN"/>
        </w:rPr>
        <w:t>Jagdishbhai</w:t>
      </w:r>
      <w:proofErr w:type="spellEnd"/>
    </w:p>
    <w:p w14:paraId="7CEF7BD5" w14:textId="77777777" w:rsidR="00974EB4" w:rsidRPr="00AF2481" w:rsidRDefault="00974EB4" w:rsidP="00974EB4">
      <w:pPr>
        <w:spacing w:after="0"/>
        <w:jc w:val="center"/>
        <w:rPr>
          <w:rFonts w:ascii="Times New Roman" w:hAnsi="Times New Roman" w:cs="Times New Roman"/>
          <w:b/>
          <w:bCs/>
          <w:szCs w:val="30"/>
          <w:lang w:val="en-IN"/>
        </w:rPr>
      </w:pPr>
      <w:r w:rsidRPr="00AF2481">
        <w:rPr>
          <w:rFonts w:ascii="Times New Roman" w:hAnsi="Times New Roman" w:cs="Times New Roman"/>
          <w:b/>
          <w:bCs/>
          <w:szCs w:val="30"/>
          <w:lang w:val="en-IN"/>
        </w:rPr>
        <w:t>Student ID:</w:t>
      </w:r>
      <w:r>
        <w:rPr>
          <w:rFonts w:ascii="Times New Roman" w:hAnsi="Times New Roman" w:cs="Times New Roman"/>
          <w:b/>
          <w:bCs/>
          <w:szCs w:val="30"/>
          <w:lang w:val="en-IN"/>
        </w:rPr>
        <w:t xml:space="preserve"> </w:t>
      </w:r>
      <w:r w:rsidRPr="0083604C">
        <w:rPr>
          <w:rFonts w:ascii="Times New Roman" w:hAnsi="Times New Roman" w:cs="Times New Roman"/>
          <w:b/>
          <w:bCs/>
          <w:szCs w:val="30"/>
          <w:lang w:val="en-IN"/>
        </w:rPr>
        <w:t>2433620</w:t>
      </w:r>
    </w:p>
    <w:p w14:paraId="0A6EA48D" w14:textId="77777777" w:rsidR="00974EB4" w:rsidRDefault="00974EB4" w:rsidP="00974EB4">
      <w:pPr>
        <w:spacing w:after="160"/>
        <w:jc w:val="center"/>
        <w:rPr>
          <w:rFonts w:ascii="Times New Roman" w:hAnsi="Times New Roman" w:cs="Times New Roman"/>
          <w:b/>
          <w:bCs/>
          <w:szCs w:val="30"/>
          <w:lang w:val="en-IN"/>
        </w:rPr>
      </w:pPr>
      <w:r w:rsidRPr="00AF2481">
        <w:rPr>
          <w:rFonts w:ascii="Times New Roman" w:hAnsi="Times New Roman" w:cs="Times New Roman"/>
          <w:b/>
          <w:bCs/>
          <w:szCs w:val="30"/>
          <w:lang w:val="en-IN"/>
        </w:rPr>
        <w:t xml:space="preserve">Word Count: </w:t>
      </w:r>
      <w:r>
        <w:rPr>
          <w:rFonts w:ascii="Times New Roman" w:hAnsi="Times New Roman" w:cs="Times New Roman"/>
          <w:b/>
          <w:bCs/>
          <w:szCs w:val="30"/>
          <w:lang w:val="en-IN"/>
        </w:rPr>
        <w:t>1522</w:t>
      </w:r>
    </w:p>
    <w:p w14:paraId="0D251DD0" w14:textId="51AB669A" w:rsidR="009D2C58" w:rsidRPr="003A1FCA" w:rsidRDefault="00974EB4" w:rsidP="00974EB4">
      <w:pPr>
        <w:spacing w:after="160"/>
        <w:jc w:val="center"/>
        <w:rPr>
          <w:rFonts w:ascii="Times New Roman" w:eastAsiaTheme="majorEastAsia" w:hAnsi="Times New Roman" w:cs="Times New Roman"/>
          <w:b/>
          <w:color w:val="215E99" w:themeColor="text2" w:themeTint="BF"/>
          <w:sz w:val="28"/>
          <w:szCs w:val="40"/>
          <w:lang w:val="en-IN"/>
        </w:rPr>
      </w:pPr>
      <w:r>
        <w:rPr>
          <w:rFonts w:ascii="Times New Roman" w:hAnsi="Times New Roman" w:cs="Times New Roman"/>
          <w:lang w:val="en-IN"/>
        </w:rPr>
        <w:t>Submission Date- 18/02/2026</w:t>
      </w:r>
      <w:r w:rsidR="009D2C58" w:rsidRPr="003A1FCA">
        <w:rPr>
          <w:rFonts w:ascii="Times New Roman" w:hAnsi="Times New Roman" w:cs="Times New Roman"/>
          <w:lang w:val="en-IN"/>
        </w:rPr>
        <w:br w:type="page"/>
      </w:r>
    </w:p>
    <w:sdt>
      <w:sdtPr>
        <w:rPr>
          <w:rFonts w:ascii="Times New Roman" w:eastAsiaTheme="minorHAnsi" w:hAnsi="Times New Roman" w:cs="Times New Roman"/>
          <w:color w:val="auto"/>
          <w:kern w:val="2"/>
          <w:sz w:val="24"/>
          <w:szCs w:val="24"/>
          <w:lang w:val="en-GB"/>
          <w14:ligatures w14:val="standardContextual"/>
        </w:rPr>
        <w:id w:val="218943150"/>
        <w:docPartObj>
          <w:docPartGallery w:val="Table of Contents"/>
          <w:docPartUnique/>
        </w:docPartObj>
      </w:sdtPr>
      <w:sdtEndPr>
        <w:rPr>
          <w:b/>
          <w:bCs/>
          <w:noProof/>
        </w:rPr>
      </w:sdtEndPr>
      <w:sdtContent>
        <w:p w14:paraId="7752E9D7" w14:textId="20B9057D" w:rsidR="0025399D" w:rsidRPr="003A1FCA" w:rsidRDefault="0025399D" w:rsidP="0025399D">
          <w:pPr>
            <w:pStyle w:val="TOCHeading"/>
            <w:jc w:val="center"/>
            <w:rPr>
              <w:rFonts w:ascii="Times New Roman" w:hAnsi="Times New Roman" w:cs="Times New Roman"/>
              <w:b/>
              <w:bCs/>
              <w:color w:val="000000" w:themeColor="text1"/>
              <w:sz w:val="28"/>
              <w:szCs w:val="28"/>
            </w:rPr>
          </w:pPr>
          <w:r w:rsidRPr="003A1FCA">
            <w:rPr>
              <w:rFonts w:ascii="Times New Roman" w:hAnsi="Times New Roman" w:cs="Times New Roman"/>
              <w:b/>
              <w:bCs/>
              <w:color w:val="000000" w:themeColor="text1"/>
              <w:sz w:val="28"/>
              <w:szCs w:val="28"/>
            </w:rPr>
            <w:t>Table of Contents</w:t>
          </w:r>
        </w:p>
        <w:p w14:paraId="325E365E" w14:textId="64DC88ED" w:rsidR="0025399D" w:rsidRPr="003A1FCA" w:rsidRDefault="0025399D">
          <w:pPr>
            <w:pStyle w:val="TOC1"/>
            <w:tabs>
              <w:tab w:val="right" w:leader="dot" w:pos="9016"/>
            </w:tabs>
            <w:rPr>
              <w:rFonts w:ascii="Times New Roman" w:hAnsi="Times New Roman" w:cs="Times New Roman"/>
              <w:noProof/>
            </w:rPr>
          </w:pPr>
          <w:r w:rsidRPr="003A1FCA">
            <w:rPr>
              <w:rFonts w:ascii="Times New Roman" w:hAnsi="Times New Roman" w:cs="Times New Roman"/>
            </w:rPr>
            <w:fldChar w:fldCharType="begin"/>
          </w:r>
          <w:r w:rsidRPr="003A1FCA">
            <w:rPr>
              <w:rFonts w:ascii="Times New Roman" w:hAnsi="Times New Roman" w:cs="Times New Roman"/>
            </w:rPr>
            <w:instrText xml:space="preserve"> TOC \o "1-3" \h \z \u </w:instrText>
          </w:r>
          <w:r w:rsidRPr="003A1FCA">
            <w:rPr>
              <w:rFonts w:ascii="Times New Roman" w:hAnsi="Times New Roman" w:cs="Times New Roman"/>
            </w:rPr>
            <w:fldChar w:fldCharType="separate"/>
          </w:r>
          <w:hyperlink w:anchor="_Toc221742608" w:history="1">
            <w:r w:rsidRPr="003A1FCA">
              <w:rPr>
                <w:rStyle w:val="Hyperlink"/>
                <w:rFonts w:ascii="Times New Roman" w:hAnsi="Times New Roman" w:cs="Times New Roman"/>
                <w:noProof/>
                <w:lang w:val="en-IN"/>
              </w:rPr>
              <w:t xml:space="preserve">1. </w:t>
            </w:r>
            <w:r w:rsidRPr="003A1FCA">
              <w:rPr>
                <w:rStyle w:val="Hyperlink"/>
                <w:rFonts w:ascii="Times New Roman" w:hAnsi="Times New Roman" w:cs="Times New Roman"/>
                <w:noProof/>
              </w:rPr>
              <w:t>Introduction</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_Toc221742608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3</w:t>
            </w:r>
            <w:r w:rsidRPr="003A1FCA">
              <w:rPr>
                <w:rFonts w:ascii="Times New Roman" w:hAnsi="Times New Roman" w:cs="Times New Roman"/>
                <w:noProof/>
                <w:webHidden/>
              </w:rPr>
              <w:fldChar w:fldCharType="end"/>
            </w:r>
          </w:hyperlink>
        </w:p>
        <w:p w14:paraId="63587AF4" w14:textId="26BFD017" w:rsidR="0025399D" w:rsidRPr="003A1FCA" w:rsidRDefault="0025399D">
          <w:pPr>
            <w:pStyle w:val="TOC2"/>
            <w:tabs>
              <w:tab w:val="right" w:leader="dot" w:pos="9016"/>
            </w:tabs>
            <w:rPr>
              <w:rFonts w:ascii="Times New Roman" w:hAnsi="Times New Roman" w:cs="Times New Roman"/>
              <w:noProof/>
            </w:rPr>
          </w:pPr>
          <w:hyperlink w:anchor="_Toc221742609" w:history="1">
            <w:r w:rsidRPr="003A1FCA">
              <w:rPr>
                <w:rStyle w:val="Hyperlink"/>
                <w:rFonts w:ascii="Times New Roman" w:hAnsi="Times New Roman" w:cs="Times New Roman"/>
                <w:noProof/>
                <w:lang w:val="en-IN"/>
              </w:rPr>
              <w:t>1.1 Background of the Study</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_Toc221742609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3</w:t>
            </w:r>
            <w:r w:rsidRPr="003A1FCA">
              <w:rPr>
                <w:rFonts w:ascii="Times New Roman" w:hAnsi="Times New Roman" w:cs="Times New Roman"/>
                <w:noProof/>
                <w:webHidden/>
              </w:rPr>
              <w:fldChar w:fldCharType="end"/>
            </w:r>
          </w:hyperlink>
        </w:p>
        <w:p w14:paraId="5471D56E" w14:textId="1061AAA8" w:rsidR="0025399D" w:rsidRPr="003A1FCA" w:rsidRDefault="0025399D">
          <w:pPr>
            <w:pStyle w:val="TOC2"/>
            <w:tabs>
              <w:tab w:val="right" w:leader="dot" w:pos="9016"/>
            </w:tabs>
            <w:rPr>
              <w:rFonts w:ascii="Times New Roman" w:hAnsi="Times New Roman" w:cs="Times New Roman"/>
              <w:noProof/>
            </w:rPr>
          </w:pPr>
          <w:hyperlink w:anchor="_Toc221742610" w:history="1">
            <w:r w:rsidRPr="003A1FCA">
              <w:rPr>
                <w:rStyle w:val="Hyperlink"/>
                <w:rFonts w:ascii="Times New Roman" w:hAnsi="Times New Roman" w:cs="Times New Roman"/>
                <w:noProof/>
                <w:lang w:val="en-IN"/>
              </w:rPr>
              <w:t>1.2. Problem Statement</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_Toc221742610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4</w:t>
            </w:r>
            <w:r w:rsidRPr="003A1FCA">
              <w:rPr>
                <w:rFonts w:ascii="Times New Roman" w:hAnsi="Times New Roman" w:cs="Times New Roman"/>
                <w:noProof/>
                <w:webHidden/>
              </w:rPr>
              <w:fldChar w:fldCharType="end"/>
            </w:r>
          </w:hyperlink>
        </w:p>
        <w:p w14:paraId="2E15C14B" w14:textId="639B2F2C" w:rsidR="0025399D" w:rsidRPr="003A1FCA" w:rsidRDefault="0025399D">
          <w:pPr>
            <w:pStyle w:val="TOC1"/>
            <w:tabs>
              <w:tab w:val="right" w:leader="dot" w:pos="9016"/>
            </w:tabs>
            <w:rPr>
              <w:rFonts w:ascii="Times New Roman" w:hAnsi="Times New Roman" w:cs="Times New Roman"/>
              <w:noProof/>
            </w:rPr>
          </w:pPr>
          <w:hyperlink w:anchor="_Toc221742611" w:history="1">
            <w:r w:rsidRPr="003A1FCA">
              <w:rPr>
                <w:rStyle w:val="Hyperlink"/>
                <w:rFonts w:ascii="Times New Roman" w:hAnsi="Times New Roman" w:cs="Times New Roman"/>
                <w:noProof/>
              </w:rPr>
              <w:t>2. Research Aim, Objectives and Research Question</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_Toc221742611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4</w:t>
            </w:r>
            <w:r w:rsidRPr="003A1FCA">
              <w:rPr>
                <w:rFonts w:ascii="Times New Roman" w:hAnsi="Times New Roman" w:cs="Times New Roman"/>
                <w:noProof/>
                <w:webHidden/>
              </w:rPr>
              <w:fldChar w:fldCharType="end"/>
            </w:r>
          </w:hyperlink>
        </w:p>
        <w:p w14:paraId="13A5160B" w14:textId="3083EB2A" w:rsidR="0025399D" w:rsidRPr="003A1FCA" w:rsidRDefault="0025399D">
          <w:pPr>
            <w:pStyle w:val="TOC1"/>
            <w:tabs>
              <w:tab w:val="right" w:leader="dot" w:pos="9016"/>
            </w:tabs>
            <w:rPr>
              <w:rFonts w:ascii="Times New Roman" w:hAnsi="Times New Roman" w:cs="Times New Roman"/>
              <w:noProof/>
            </w:rPr>
          </w:pPr>
          <w:hyperlink w:anchor="_Toc221742612" w:history="1">
            <w:r w:rsidRPr="003A1FCA">
              <w:rPr>
                <w:rStyle w:val="Hyperlink"/>
                <w:rFonts w:ascii="Times New Roman" w:hAnsi="Times New Roman" w:cs="Times New Roman"/>
                <w:noProof/>
              </w:rPr>
              <w:t>3. Preliminary Literature Review</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_Toc221742612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5</w:t>
            </w:r>
            <w:r w:rsidRPr="003A1FCA">
              <w:rPr>
                <w:rFonts w:ascii="Times New Roman" w:hAnsi="Times New Roman" w:cs="Times New Roman"/>
                <w:noProof/>
                <w:webHidden/>
              </w:rPr>
              <w:fldChar w:fldCharType="end"/>
            </w:r>
          </w:hyperlink>
        </w:p>
        <w:p w14:paraId="3F4B5586" w14:textId="16C12559" w:rsidR="0025399D" w:rsidRPr="003A1FCA" w:rsidRDefault="0025399D">
          <w:pPr>
            <w:pStyle w:val="TOC1"/>
            <w:tabs>
              <w:tab w:val="right" w:leader="dot" w:pos="9016"/>
            </w:tabs>
            <w:rPr>
              <w:rFonts w:ascii="Times New Roman" w:hAnsi="Times New Roman" w:cs="Times New Roman"/>
              <w:noProof/>
            </w:rPr>
          </w:pPr>
          <w:hyperlink w:anchor="_Toc221742613" w:history="1">
            <w:r w:rsidRPr="003A1FCA">
              <w:rPr>
                <w:rStyle w:val="Hyperlink"/>
                <w:rFonts w:ascii="Times New Roman" w:hAnsi="Times New Roman" w:cs="Times New Roman"/>
                <w:noProof/>
              </w:rPr>
              <w:t>4. Research Methodology</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_Toc221742613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6</w:t>
            </w:r>
            <w:r w:rsidRPr="003A1FCA">
              <w:rPr>
                <w:rFonts w:ascii="Times New Roman" w:hAnsi="Times New Roman" w:cs="Times New Roman"/>
                <w:noProof/>
                <w:webHidden/>
              </w:rPr>
              <w:fldChar w:fldCharType="end"/>
            </w:r>
          </w:hyperlink>
        </w:p>
        <w:p w14:paraId="481CD1FE" w14:textId="624464FD" w:rsidR="0025399D" w:rsidRPr="003A1FCA" w:rsidRDefault="0025399D">
          <w:pPr>
            <w:pStyle w:val="TOC1"/>
            <w:tabs>
              <w:tab w:val="right" w:leader="dot" w:pos="9016"/>
            </w:tabs>
            <w:rPr>
              <w:rFonts w:ascii="Times New Roman" w:hAnsi="Times New Roman" w:cs="Times New Roman"/>
              <w:noProof/>
            </w:rPr>
          </w:pPr>
          <w:hyperlink w:anchor="_Toc221742614" w:history="1">
            <w:r w:rsidRPr="003A1FCA">
              <w:rPr>
                <w:rStyle w:val="Hyperlink"/>
                <w:rFonts w:ascii="Times New Roman" w:hAnsi="Times New Roman" w:cs="Times New Roman"/>
                <w:noProof/>
              </w:rPr>
              <w:t>5. Risks</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_Toc221742614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7</w:t>
            </w:r>
            <w:r w:rsidRPr="003A1FCA">
              <w:rPr>
                <w:rFonts w:ascii="Times New Roman" w:hAnsi="Times New Roman" w:cs="Times New Roman"/>
                <w:noProof/>
                <w:webHidden/>
              </w:rPr>
              <w:fldChar w:fldCharType="end"/>
            </w:r>
          </w:hyperlink>
        </w:p>
        <w:p w14:paraId="14B0CEB9" w14:textId="4B79BFBA" w:rsidR="0025399D" w:rsidRPr="003A1FCA" w:rsidRDefault="0025399D">
          <w:pPr>
            <w:pStyle w:val="TOC1"/>
            <w:tabs>
              <w:tab w:val="right" w:leader="dot" w:pos="9016"/>
            </w:tabs>
            <w:rPr>
              <w:rFonts w:ascii="Times New Roman" w:hAnsi="Times New Roman" w:cs="Times New Roman"/>
              <w:noProof/>
            </w:rPr>
          </w:pPr>
          <w:hyperlink w:anchor="_Toc221742615" w:history="1">
            <w:r w:rsidRPr="003A1FCA">
              <w:rPr>
                <w:rStyle w:val="Hyperlink"/>
                <w:rFonts w:ascii="Times New Roman" w:hAnsi="Times New Roman" w:cs="Times New Roman"/>
                <w:noProof/>
              </w:rPr>
              <w:t>7. Timeline (Gantt Chart)</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_Toc221742615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8</w:t>
            </w:r>
            <w:r w:rsidRPr="003A1FCA">
              <w:rPr>
                <w:rFonts w:ascii="Times New Roman" w:hAnsi="Times New Roman" w:cs="Times New Roman"/>
                <w:noProof/>
                <w:webHidden/>
              </w:rPr>
              <w:fldChar w:fldCharType="end"/>
            </w:r>
          </w:hyperlink>
        </w:p>
        <w:p w14:paraId="5DF753B1" w14:textId="294B4194" w:rsidR="0025399D" w:rsidRPr="003A1FCA" w:rsidRDefault="0025399D">
          <w:pPr>
            <w:pStyle w:val="TOC1"/>
            <w:tabs>
              <w:tab w:val="right" w:leader="dot" w:pos="9016"/>
            </w:tabs>
            <w:rPr>
              <w:rFonts w:ascii="Times New Roman" w:hAnsi="Times New Roman" w:cs="Times New Roman"/>
              <w:noProof/>
            </w:rPr>
          </w:pPr>
          <w:hyperlink w:anchor="_Toc221742616" w:history="1">
            <w:r w:rsidRPr="003A1FCA">
              <w:rPr>
                <w:rStyle w:val="Hyperlink"/>
                <w:rFonts w:ascii="Times New Roman" w:hAnsi="Times New Roman" w:cs="Times New Roman"/>
                <w:noProof/>
                <w:lang w:val="en-IN"/>
              </w:rPr>
              <w:t>Reference List</w:t>
            </w:r>
            <w:r w:rsidRPr="003A1FCA">
              <w:rPr>
                <w:rFonts w:ascii="Times New Roman" w:hAnsi="Times New Roman" w:cs="Times New Roman"/>
                <w:noProof/>
                <w:webHidden/>
              </w:rPr>
              <w:tab/>
            </w:r>
            <w:r w:rsidRPr="003A1FCA">
              <w:rPr>
                <w:rFonts w:ascii="Times New Roman" w:hAnsi="Times New Roman" w:cs="Times New Roman"/>
                <w:noProof/>
                <w:webHidden/>
              </w:rPr>
              <w:fldChar w:fldCharType="begin"/>
            </w:r>
            <w:r w:rsidRPr="003A1FCA">
              <w:rPr>
                <w:rFonts w:ascii="Times New Roman" w:hAnsi="Times New Roman" w:cs="Times New Roman"/>
                <w:noProof/>
                <w:webHidden/>
              </w:rPr>
              <w:instrText xml:space="preserve"> PAGEREF _Toc221742616 \h </w:instrText>
            </w:r>
            <w:r w:rsidRPr="003A1FCA">
              <w:rPr>
                <w:rFonts w:ascii="Times New Roman" w:hAnsi="Times New Roman" w:cs="Times New Roman"/>
                <w:noProof/>
                <w:webHidden/>
              </w:rPr>
            </w:r>
            <w:r w:rsidRPr="003A1FCA">
              <w:rPr>
                <w:rFonts w:ascii="Times New Roman" w:hAnsi="Times New Roman" w:cs="Times New Roman"/>
                <w:noProof/>
                <w:webHidden/>
              </w:rPr>
              <w:fldChar w:fldCharType="separate"/>
            </w:r>
            <w:r w:rsidRPr="003A1FCA">
              <w:rPr>
                <w:rFonts w:ascii="Times New Roman" w:hAnsi="Times New Roman" w:cs="Times New Roman"/>
                <w:noProof/>
                <w:webHidden/>
              </w:rPr>
              <w:t>9</w:t>
            </w:r>
            <w:r w:rsidRPr="003A1FCA">
              <w:rPr>
                <w:rFonts w:ascii="Times New Roman" w:hAnsi="Times New Roman" w:cs="Times New Roman"/>
                <w:noProof/>
                <w:webHidden/>
              </w:rPr>
              <w:fldChar w:fldCharType="end"/>
            </w:r>
          </w:hyperlink>
        </w:p>
        <w:p w14:paraId="42E1C628" w14:textId="471F8EE0" w:rsidR="0025399D" w:rsidRPr="003A1FCA" w:rsidRDefault="0025399D">
          <w:pPr>
            <w:rPr>
              <w:rFonts w:ascii="Times New Roman" w:hAnsi="Times New Roman" w:cs="Times New Roman"/>
            </w:rPr>
          </w:pPr>
          <w:r w:rsidRPr="003A1FCA">
            <w:rPr>
              <w:rFonts w:ascii="Times New Roman" w:hAnsi="Times New Roman" w:cs="Times New Roman"/>
              <w:b/>
              <w:bCs/>
              <w:noProof/>
            </w:rPr>
            <w:fldChar w:fldCharType="end"/>
          </w:r>
        </w:p>
      </w:sdtContent>
    </w:sdt>
    <w:p w14:paraId="5BC9F518" w14:textId="77777777" w:rsidR="009D2C58" w:rsidRPr="003A1FCA" w:rsidRDefault="009D2C58">
      <w:pPr>
        <w:spacing w:after="160" w:line="278" w:lineRule="auto"/>
        <w:jc w:val="left"/>
        <w:rPr>
          <w:rFonts w:ascii="Times New Roman" w:eastAsiaTheme="majorEastAsia" w:hAnsi="Times New Roman" w:cs="Times New Roman"/>
          <w:b/>
          <w:color w:val="215E99" w:themeColor="text2" w:themeTint="BF"/>
          <w:sz w:val="28"/>
          <w:szCs w:val="40"/>
          <w:lang w:val="en-IN"/>
        </w:rPr>
      </w:pPr>
      <w:r w:rsidRPr="003A1FCA">
        <w:rPr>
          <w:rFonts w:ascii="Times New Roman" w:hAnsi="Times New Roman" w:cs="Times New Roman"/>
          <w:lang w:val="en-IN"/>
        </w:rPr>
        <w:br w:type="page"/>
      </w:r>
    </w:p>
    <w:p w14:paraId="2247351E" w14:textId="63F57D04" w:rsidR="003570CE" w:rsidRPr="00AF2481" w:rsidRDefault="000F0B1B" w:rsidP="00B94447">
      <w:pPr>
        <w:pStyle w:val="Heading1"/>
        <w:rPr>
          <w:rFonts w:ascii="Times New Roman" w:hAnsi="Times New Roman" w:cs="Times New Roman"/>
          <w:sz w:val="24"/>
          <w:szCs w:val="24"/>
        </w:rPr>
      </w:pPr>
      <w:bookmarkStart w:id="0" w:name="_Toc221742608"/>
      <w:r w:rsidRPr="00AF2481">
        <w:rPr>
          <w:rFonts w:ascii="Times New Roman" w:hAnsi="Times New Roman" w:cs="Times New Roman"/>
          <w:sz w:val="24"/>
          <w:szCs w:val="24"/>
          <w:lang w:val="en-IN"/>
        </w:rPr>
        <w:lastRenderedPageBreak/>
        <w:t xml:space="preserve">1. </w:t>
      </w:r>
      <w:r w:rsidRPr="00AF2481">
        <w:rPr>
          <w:rFonts w:ascii="Times New Roman" w:hAnsi="Times New Roman" w:cs="Times New Roman"/>
          <w:sz w:val="24"/>
          <w:szCs w:val="24"/>
        </w:rPr>
        <w:t>Introduction</w:t>
      </w:r>
      <w:bookmarkEnd w:id="0"/>
    </w:p>
    <w:p w14:paraId="20CD8775" w14:textId="77777777" w:rsidR="00B94447" w:rsidRPr="00AF2481" w:rsidRDefault="000F0B1B" w:rsidP="00B94447">
      <w:pPr>
        <w:pStyle w:val="Heading2"/>
        <w:rPr>
          <w:rFonts w:ascii="Times New Roman" w:hAnsi="Times New Roman" w:cs="Times New Roman"/>
          <w:sz w:val="24"/>
          <w:szCs w:val="24"/>
          <w:lang w:val="en-IN"/>
        </w:rPr>
      </w:pPr>
      <w:bookmarkStart w:id="1" w:name="_Toc221742609"/>
      <w:r w:rsidRPr="00AF2481">
        <w:rPr>
          <w:rFonts w:ascii="Times New Roman" w:hAnsi="Times New Roman" w:cs="Times New Roman"/>
          <w:sz w:val="24"/>
          <w:szCs w:val="24"/>
          <w:lang w:val="en-IN"/>
        </w:rPr>
        <w:t>1.1 Background of the Study</w:t>
      </w:r>
      <w:bookmarkEnd w:id="1"/>
    </w:p>
    <w:p w14:paraId="07D258E4" w14:textId="77777777" w:rsidR="00566547" w:rsidRPr="00AF2481" w:rsidRDefault="000F0B1B" w:rsidP="00566547">
      <w:pPr>
        <w:rPr>
          <w:rFonts w:ascii="Times New Roman" w:hAnsi="Times New Roman" w:cs="Times New Roman"/>
          <w:lang w:val="en-IN"/>
        </w:rPr>
      </w:pPr>
      <w:r w:rsidRPr="00AF2481">
        <w:rPr>
          <w:rFonts w:ascii="Times New Roman" w:hAnsi="Times New Roman" w:cs="Times New Roman"/>
          <w:lang w:val="en-IN"/>
        </w:rPr>
        <w:t xml:space="preserve">The QSR sector in the United Kingdom has emerged as a key force in the country's foodservice industry, driven by continued growth and shifting consumer preferences. The UK QSR market is currently worth USD 37.64 billion. It is predicted to rise to around USD 48.56 billion by the year 2031, with an annual growth rate </w:t>
      </w:r>
      <w:r w:rsidR="00B15F63" w:rsidRPr="00AF2481">
        <w:rPr>
          <w:rFonts w:ascii="Times New Roman" w:hAnsi="Times New Roman" w:cs="Times New Roman"/>
          <w:lang w:val="en-IN"/>
        </w:rPr>
        <w:t>of</w:t>
      </w:r>
      <w:r w:rsidRPr="00AF2481">
        <w:rPr>
          <w:rFonts w:ascii="Times New Roman" w:hAnsi="Times New Roman" w:cs="Times New Roman"/>
          <w:lang w:val="en-IN"/>
        </w:rPr>
        <w:t xml:space="preserve"> 5</w:t>
      </w:r>
      <w:r w:rsidR="00B15F63" w:rsidRPr="00AF2481">
        <w:rPr>
          <w:rFonts w:ascii="Times New Roman" w:hAnsi="Times New Roman" w:cs="Times New Roman"/>
          <w:lang w:val="en-IN"/>
        </w:rPr>
        <w:t>.23</w:t>
      </w:r>
      <w:r w:rsidRPr="00AF2481">
        <w:rPr>
          <w:rFonts w:ascii="Times New Roman" w:hAnsi="Times New Roman" w:cs="Times New Roman"/>
          <w:lang w:val="en-IN"/>
        </w:rPr>
        <w:t>%, as the convenience and technological integration of technologies transform the dining behaviour</w:t>
      </w:r>
      <w:r w:rsidR="00B15F63" w:rsidRPr="00AF2481">
        <w:rPr>
          <w:rFonts w:ascii="Times New Roman" w:hAnsi="Times New Roman" w:cs="Times New Roman"/>
          <w:lang w:val="en-IN"/>
        </w:rPr>
        <w:t xml:space="preserve"> (Mordor Intelligence, 2024)</w:t>
      </w:r>
      <w:r w:rsidRPr="00AF2481">
        <w:rPr>
          <w:rFonts w:ascii="Times New Roman" w:hAnsi="Times New Roman" w:cs="Times New Roman"/>
          <w:lang w:val="en-IN"/>
        </w:rPr>
        <w:t>. Branded QSRs still represent over a third of all foodservice expenditure in the UK, as part of the long-term popularity of fast and convenient food in urban living.</w:t>
      </w:r>
    </w:p>
    <w:p w14:paraId="2BA8DDF3" w14:textId="77777777" w:rsidR="00566547" w:rsidRPr="00AF2481" w:rsidRDefault="000F0B1B" w:rsidP="00FD5311">
      <w:pPr>
        <w:spacing w:after="0"/>
        <w:jc w:val="center"/>
        <w:rPr>
          <w:rFonts w:ascii="Times New Roman" w:hAnsi="Times New Roman" w:cs="Times New Roman"/>
          <w:lang w:val="en-IN"/>
        </w:rPr>
      </w:pPr>
      <w:r w:rsidRPr="00AF2481">
        <w:rPr>
          <w:rFonts w:ascii="Times New Roman" w:hAnsi="Times New Roman" w:cs="Times New Roman"/>
          <w:noProof/>
          <w:lang w:val="en-US"/>
        </w:rPr>
        <w:drawing>
          <wp:inline distT="0" distB="0" distL="0" distR="0" wp14:anchorId="72EAD57A" wp14:editId="360C9405">
            <wp:extent cx="4206240" cy="2790825"/>
            <wp:effectExtent l="19050" t="19050" r="22860" b="28575"/>
            <wp:docPr id="547990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90134" name=""/>
                    <pic:cNvPicPr/>
                  </pic:nvPicPr>
                  <pic:blipFill>
                    <a:blip r:embed="rId9"/>
                    <a:srcRect t="26010"/>
                    <a:stretch>
                      <a:fillRect/>
                    </a:stretch>
                  </pic:blipFill>
                  <pic:spPr bwMode="auto">
                    <a:xfrm>
                      <a:off x="0" y="0"/>
                      <a:ext cx="4206605" cy="279106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85772D2" w14:textId="77777777" w:rsidR="00566547" w:rsidRPr="00AF2481" w:rsidRDefault="000F0B1B" w:rsidP="00FD5311">
      <w:pPr>
        <w:spacing w:after="0"/>
        <w:jc w:val="center"/>
        <w:rPr>
          <w:rFonts w:ascii="Times New Roman" w:hAnsi="Times New Roman" w:cs="Times New Roman"/>
          <w:b/>
          <w:bCs/>
        </w:rPr>
      </w:pPr>
      <w:r w:rsidRPr="00AF2481">
        <w:rPr>
          <w:rFonts w:ascii="Times New Roman" w:hAnsi="Times New Roman" w:cs="Times New Roman"/>
          <w:b/>
          <w:bCs/>
          <w:lang w:val="en-IN"/>
        </w:rPr>
        <w:t xml:space="preserve">Figure 1: </w:t>
      </w:r>
      <w:r w:rsidRPr="00AF2481">
        <w:rPr>
          <w:rFonts w:ascii="Times New Roman" w:hAnsi="Times New Roman" w:cs="Times New Roman"/>
          <w:b/>
          <w:bCs/>
        </w:rPr>
        <w:t>United Kingdom Quick Service Restaurant Market Size</w:t>
      </w:r>
    </w:p>
    <w:p w14:paraId="1DDC96F7" w14:textId="77777777" w:rsidR="00566547" w:rsidRPr="00AF2481" w:rsidRDefault="000F0B1B" w:rsidP="00566547">
      <w:pPr>
        <w:jc w:val="center"/>
        <w:rPr>
          <w:rFonts w:ascii="Times New Roman" w:hAnsi="Times New Roman" w:cs="Times New Roman"/>
          <w:lang w:val="en-IN"/>
        </w:rPr>
      </w:pPr>
      <w:r w:rsidRPr="00AF2481">
        <w:rPr>
          <w:rFonts w:ascii="Times New Roman" w:hAnsi="Times New Roman" w:cs="Times New Roman"/>
        </w:rPr>
        <w:t xml:space="preserve">(Source: </w:t>
      </w:r>
      <w:r w:rsidR="00FD5311" w:rsidRPr="00AF2481">
        <w:rPr>
          <w:rFonts w:ascii="Times New Roman" w:hAnsi="Times New Roman" w:cs="Times New Roman"/>
          <w:lang w:val="en-IN"/>
        </w:rPr>
        <w:t>Mordor Intelligence, 2024)</w:t>
      </w:r>
    </w:p>
    <w:p w14:paraId="32984FCF" w14:textId="3EB22F41" w:rsidR="00566547" w:rsidRPr="00AF2481" w:rsidRDefault="000F0B1B" w:rsidP="00566547">
      <w:pPr>
        <w:rPr>
          <w:rFonts w:ascii="Times New Roman" w:hAnsi="Times New Roman" w:cs="Times New Roman"/>
          <w:lang w:val="en-IN"/>
        </w:rPr>
      </w:pPr>
      <w:r w:rsidRPr="00AF2481">
        <w:rPr>
          <w:rFonts w:ascii="Times New Roman" w:hAnsi="Times New Roman" w:cs="Times New Roman"/>
          <w:lang w:val="en-IN"/>
        </w:rPr>
        <w:t>This expansion has made competition tougher as international competitors and local service providers compete to make a share in an industry with low barriers to customers switching. The consumer has become demanding with a requirement of choice, whether in the dine-in, takeaway, delivery</w:t>
      </w:r>
      <w:r w:rsidR="00185453" w:rsidRPr="00AF2481">
        <w:rPr>
          <w:rFonts w:ascii="Times New Roman" w:hAnsi="Times New Roman" w:cs="Times New Roman"/>
          <w:lang w:val="en-IN"/>
        </w:rPr>
        <w:t xml:space="preserve"> and</w:t>
      </w:r>
      <w:r w:rsidRPr="00AF2481">
        <w:rPr>
          <w:rFonts w:ascii="Times New Roman" w:hAnsi="Times New Roman" w:cs="Times New Roman"/>
          <w:lang w:val="en-IN"/>
        </w:rPr>
        <w:t xml:space="preserve"> digital channels and strategic interaction is the only way to differentiate</w:t>
      </w:r>
      <w:r w:rsidR="00FD5311" w:rsidRPr="00AF2481">
        <w:rPr>
          <w:rFonts w:ascii="Times New Roman" w:hAnsi="Times New Roman" w:cs="Times New Roman"/>
          <w:lang w:val="en-IN"/>
        </w:rPr>
        <w:t xml:space="preserve"> (</w:t>
      </w:r>
      <w:r w:rsidR="00FD5311" w:rsidRPr="00AF2481">
        <w:rPr>
          <w:rFonts w:ascii="Times New Roman" w:hAnsi="Times New Roman" w:cs="Times New Roman"/>
        </w:rPr>
        <w:t>Tariq and Khan, 2025</w:t>
      </w:r>
      <w:r w:rsidR="00FD5311" w:rsidRPr="00AF2481">
        <w:rPr>
          <w:rFonts w:ascii="Times New Roman" w:hAnsi="Times New Roman" w:cs="Times New Roman"/>
          <w:lang w:val="en-IN"/>
        </w:rPr>
        <w:t>)</w:t>
      </w:r>
      <w:r w:rsidRPr="00AF2481">
        <w:rPr>
          <w:rFonts w:ascii="Times New Roman" w:hAnsi="Times New Roman" w:cs="Times New Roman"/>
          <w:lang w:val="en-IN"/>
        </w:rPr>
        <w:t>. Simultaneously, digital platforms and mobile apps are changing the way customers contact brands. Personalisation, app ordering</w:t>
      </w:r>
      <w:r w:rsidR="00185453" w:rsidRPr="00AF2481">
        <w:rPr>
          <w:rFonts w:ascii="Times New Roman" w:hAnsi="Times New Roman" w:cs="Times New Roman"/>
          <w:lang w:val="en-IN"/>
        </w:rPr>
        <w:t xml:space="preserve"> and</w:t>
      </w:r>
      <w:r w:rsidRPr="00AF2481">
        <w:rPr>
          <w:rFonts w:ascii="Times New Roman" w:hAnsi="Times New Roman" w:cs="Times New Roman"/>
          <w:lang w:val="en-IN"/>
        </w:rPr>
        <w:t xml:space="preserve"> data-driven loyalty incentives have become the core components of operations of many operators and about 83% of UK restaurant leaders said that loyalty programmes increased repeat ordering and average spend</w:t>
      </w:r>
      <w:r w:rsidR="0008176D" w:rsidRPr="00AF2481">
        <w:rPr>
          <w:rFonts w:ascii="Times New Roman" w:hAnsi="Times New Roman" w:cs="Times New Roman"/>
          <w:lang w:val="en-IN"/>
        </w:rPr>
        <w:t xml:space="preserve"> (Fletcher, 2025)</w:t>
      </w:r>
      <w:r w:rsidRPr="00AF2481">
        <w:rPr>
          <w:rFonts w:ascii="Times New Roman" w:hAnsi="Times New Roman" w:cs="Times New Roman"/>
          <w:lang w:val="en-IN"/>
        </w:rPr>
        <w:t xml:space="preserve">. </w:t>
      </w:r>
      <w:r w:rsidR="0008176D" w:rsidRPr="00AF2481">
        <w:rPr>
          <w:rFonts w:ascii="Times New Roman" w:hAnsi="Times New Roman" w:cs="Times New Roman"/>
          <w:lang w:val="en-IN"/>
        </w:rPr>
        <w:t>P</w:t>
      </w:r>
      <w:r w:rsidRPr="00AF2481">
        <w:rPr>
          <w:rFonts w:ascii="Times New Roman" w:hAnsi="Times New Roman" w:cs="Times New Roman"/>
          <w:lang w:val="en-IN"/>
        </w:rPr>
        <w:t>roperly developed loyalty programmes can result in a significant number of visits from consumers, confirming that they visit more frequently due to rewards programmes.</w:t>
      </w:r>
    </w:p>
    <w:p w14:paraId="183A7605" w14:textId="77777777" w:rsidR="00566547" w:rsidRPr="00AF2481" w:rsidRDefault="000F0B1B" w:rsidP="00566547">
      <w:pPr>
        <w:pStyle w:val="Heading2"/>
        <w:rPr>
          <w:rFonts w:ascii="Times New Roman" w:hAnsi="Times New Roman" w:cs="Times New Roman"/>
          <w:sz w:val="24"/>
          <w:szCs w:val="24"/>
          <w:lang w:val="en-IN"/>
        </w:rPr>
      </w:pPr>
      <w:bookmarkStart w:id="2" w:name="_Toc221742610"/>
      <w:r w:rsidRPr="00AF2481">
        <w:rPr>
          <w:rFonts w:ascii="Times New Roman" w:hAnsi="Times New Roman" w:cs="Times New Roman"/>
          <w:sz w:val="24"/>
          <w:szCs w:val="24"/>
          <w:lang w:val="en-IN"/>
        </w:rPr>
        <w:lastRenderedPageBreak/>
        <w:t>1.2. Problem Statement</w:t>
      </w:r>
      <w:bookmarkEnd w:id="2"/>
    </w:p>
    <w:p w14:paraId="15CE4BAD" w14:textId="77777777" w:rsidR="00970ABB" w:rsidRPr="00AF2481" w:rsidRDefault="000F0B1B" w:rsidP="00566547">
      <w:pPr>
        <w:rPr>
          <w:rFonts w:ascii="Times New Roman" w:hAnsi="Times New Roman" w:cs="Times New Roman"/>
          <w:lang w:val="en-IN"/>
        </w:rPr>
      </w:pPr>
      <w:r w:rsidRPr="00AF2481">
        <w:rPr>
          <w:rFonts w:ascii="Times New Roman" w:hAnsi="Times New Roman" w:cs="Times New Roman"/>
          <w:lang w:val="en-IN"/>
        </w:rPr>
        <w:t xml:space="preserve">Even though the operators of quick-service restaurants in the UK are gradually implementing loyalty programmes and digital engagement tools to stimulate repeat business, little empirical research exists on how the two concepts can be combined to increase their long-term profitability and client retention. </w:t>
      </w:r>
      <w:r w:rsidR="00664926" w:rsidRPr="00AF2481">
        <w:rPr>
          <w:rFonts w:ascii="Times New Roman" w:hAnsi="Times New Roman" w:cs="Times New Roman"/>
        </w:rPr>
        <w:t>Ali-Alsaadi</w:t>
      </w:r>
      <w:r w:rsidR="00664926" w:rsidRPr="00AF2481">
        <w:rPr>
          <w:rFonts w:ascii="Times New Roman" w:hAnsi="Times New Roman" w:cs="Times New Roman"/>
          <w:lang w:val="en-IN"/>
        </w:rPr>
        <w:t xml:space="preserve"> </w:t>
      </w:r>
      <w:r w:rsidR="00664926" w:rsidRPr="00AF2481">
        <w:rPr>
          <w:rFonts w:ascii="Times New Roman" w:hAnsi="Times New Roman" w:cs="Times New Roman"/>
          <w:i/>
          <w:iCs/>
          <w:lang w:val="en-IN"/>
        </w:rPr>
        <w:t xml:space="preserve">et al., </w:t>
      </w:r>
      <w:r w:rsidR="00664926" w:rsidRPr="00AF2481">
        <w:rPr>
          <w:rFonts w:ascii="Times New Roman" w:hAnsi="Times New Roman" w:cs="Times New Roman"/>
          <w:lang w:val="en-IN"/>
        </w:rPr>
        <w:t xml:space="preserve">(2025) </w:t>
      </w:r>
      <w:r w:rsidRPr="00AF2481">
        <w:rPr>
          <w:rFonts w:ascii="Times New Roman" w:hAnsi="Times New Roman" w:cs="Times New Roman"/>
          <w:lang w:val="en-IN"/>
        </w:rPr>
        <w:t>point</w:t>
      </w:r>
      <w:r w:rsidR="00664926" w:rsidRPr="00AF2481">
        <w:rPr>
          <w:rFonts w:ascii="Times New Roman" w:hAnsi="Times New Roman" w:cs="Times New Roman"/>
          <w:lang w:val="en-IN"/>
        </w:rPr>
        <w:t>ed</w:t>
      </w:r>
      <w:r w:rsidRPr="00AF2481">
        <w:rPr>
          <w:rFonts w:ascii="Times New Roman" w:hAnsi="Times New Roman" w:cs="Times New Roman"/>
          <w:lang w:val="en-IN"/>
        </w:rPr>
        <w:t xml:space="preserve"> out the relevance of relational benefits and service quality as the factors that influence customer lifetime value in the fast-food setting, but few studies introduce the digital engagement, relationship marketing</w:t>
      </w:r>
      <w:r w:rsidR="00185453" w:rsidRPr="00AF2481">
        <w:rPr>
          <w:rFonts w:ascii="Times New Roman" w:hAnsi="Times New Roman" w:cs="Times New Roman"/>
          <w:lang w:val="en-IN"/>
        </w:rPr>
        <w:t xml:space="preserve"> and</w:t>
      </w:r>
      <w:r w:rsidRPr="00AF2481">
        <w:rPr>
          <w:rFonts w:ascii="Times New Roman" w:hAnsi="Times New Roman" w:cs="Times New Roman"/>
          <w:lang w:val="en-IN"/>
        </w:rPr>
        <w:t xml:space="preserve"> CLV constructs into a consistent framework of the UK market. </w:t>
      </w:r>
      <w:r w:rsidR="00952471" w:rsidRPr="00AF2481">
        <w:rPr>
          <w:rFonts w:ascii="Times New Roman" w:hAnsi="Times New Roman" w:cs="Times New Roman"/>
          <w:lang w:val="en-IN"/>
        </w:rPr>
        <w:t xml:space="preserve">Ramos, (2026) </w:t>
      </w:r>
      <w:r w:rsidRPr="00AF2481">
        <w:rPr>
          <w:rFonts w:ascii="Times New Roman" w:hAnsi="Times New Roman" w:cs="Times New Roman"/>
          <w:lang w:val="en-IN"/>
        </w:rPr>
        <w:t>indicate</w:t>
      </w:r>
      <w:r w:rsidR="00952471" w:rsidRPr="00AF2481">
        <w:rPr>
          <w:rFonts w:ascii="Times New Roman" w:hAnsi="Times New Roman" w:cs="Times New Roman"/>
          <w:lang w:val="en-IN"/>
        </w:rPr>
        <w:t>d</w:t>
      </w:r>
      <w:r w:rsidRPr="00AF2481">
        <w:rPr>
          <w:rFonts w:ascii="Times New Roman" w:hAnsi="Times New Roman" w:cs="Times New Roman"/>
          <w:lang w:val="en-IN"/>
        </w:rPr>
        <w:t xml:space="preserve"> that acquisition costs are significantly higher than the retention returns, so loyalty should be favoured as opposed to a single-time promotion. </w:t>
      </w:r>
      <w:r w:rsidR="00B15F63" w:rsidRPr="00AF2481">
        <w:rPr>
          <w:rFonts w:ascii="Times New Roman" w:hAnsi="Times New Roman" w:cs="Times New Roman"/>
          <w:lang w:val="en-IN"/>
        </w:rPr>
        <w:t>This</w:t>
      </w:r>
      <w:r w:rsidRPr="00AF2481">
        <w:rPr>
          <w:rFonts w:ascii="Times New Roman" w:hAnsi="Times New Roman" w:cs="Times New Roman"/>
          <w:lang w:val="en-IN"/>
        </w:rPr>
        <w:t xml:space="preserve"> gap restricts academic understanding and puts managers with no sound models on how to maximise integrated approaches to loyalty that would turn the first-time customers into long-term sources of revenue</w:t>
      </w:r>
      <w:r w:rsidR="00B32A38" w:rsidRPr="00AF2481">
        <w:rPr>
          <w:rFonts w:ascii="Times New Roman" w:hAnsi="Times New Roman" w:cs="Times New Roman"/>
          <w:lang w:val="en-IN"/>
        </w:rPr>
        <w:t xml:space="preserve"> for </w:t>
      </w:r>
      <w:r w:rsidR="00B32A38" w:rsidRPr="00AF2481">
        <w:rPr>
          <w:rFonts w:ascii="Times New Roman" w:hAnsi="Times New Roman" w:cs="Times New Roman"/>
          <w:b/>
          <w:bCs/>
          <w:i/>
          <w:iCs/>
          <w:lang w:val="en-IN"/>
        </w:rPr>
        <w:t>Shree Krishna Vada Pav</w:t>
      </w:r>
      <w:r w:rsidRPr="00AF2481">
        <w:rPr>
          <w:rFonts w:ascii="Times New Roman" w:hAnsi="Times New Roman" w:cs="Times New Roman"/>
          <w:lang w:val="en-IN"/>
        </w:rPr>
        <w:t>, so it is essential to explore this further</w:t>
      </w:r>
      <w:r w:rsidRPr="00AF2481">
        <w:rPr>
          <w:rFonts w:ascii="Times New Roman" w:hAnsi="Times New Roman" w:cs="Times New Roman"/>
        </w:rPr>
        <w:t>.</w:t>
      </w:r>
    </w:p>
    <w:p w14:paraId="2639E59F" w14:textId="77777777" w:rsidR="00AA3353" w:rsidRPr="00AF2481" w:rsidRDefault="000F0B1B" w:rsidP="00E51887">
      <w:pPr>
        <w:pStyle w:val="Heading1"/>
        <w:rPr>
          <w:rFonts w:ascii="Times New Roman" w:hAnsi="Times New Roman" w:cs="Times New Roman"/>
          <w:sz w:val="24"/>
          <w:szCs w:val="24"/>
        </w:rPr>
      </w:pPr>
      <w:bookmarkStart w:id="3" w:name="_Toc221742611"/>
      <w:r w:rsidRPr="00AF2481">
        <w:rPr>
          <w:rFonts w:ascii="Times New Roman" w:hAnsi="Times New Roman" w:cs="Times New Roman"/>
          <w:sz w:val="24"/>
          <w:szCs w:val="24"/>
        </w:rPr>
        <w:t>2. Research Aim, Objectives and Research Question</w:t>
      </w:r>
      <w:bookmarkEnd w:id="3"/>
    </w:p>
    <w:p w14:paraId="162AB9F7" w14:textId="77777777" w:rsidR="00DD764F" w:rsidRPr="00AF2481" w:rsidRDefault="000F0B1B" w:rsidP="00BD7684">
      <w:pPr>
        <w:spacing w:after="0"/>
        <w:rPr>
          <w:rFonts w:ascii="Times New Roman" w:hAnsi="Times New Roman" w:cs="Times New Roman"/>
          <w:b/>
          <w:bCs/>
          <w:u w:val="single"/>
          <w:lang w:val="en-IN"/>
        </w:rPr>
      </w:pPr>
      <w:r w:rsidRPr="00AF2481">
        <w:rPr>
          <w:rFonts w:ascii="Times New Roman" w:hAnsi="Times New Roman" w:cs="Times New Roman"/>
          <w:b/>
          <w:bCs/>
          <w:u w:val="single"/>
          <w:lang w:val="en-IN"/>
        </w:rPr>
        <w:t>Research Aim</w:t>
      </w:r>
    </w:p>
    <w:p w14:paraId="002CEADD" w14:textId="77777777" w:rsidR="00DD764F" w:rsidRPr="00AF2481" w:rsidRDefault="000F0B1B" w:rsidP="00DD764F">
      <w:pPr>
        <w:rPr>
          <w:rFonts w:ascii="Times New Roman" w:hAnsi="Times New Roman" w:cs="Times New Roman"/>
          <w:lang w:val="en-IN"/>
        </w:rPr>
      </w:pPr>
      <w:r w:rsidRPr="00AF2481">
        <w:rPr>
          <w:rFonts w:ascii="Times New Roman" w:hAnsi="Times New Roman" w:cs="Times New Roman"/>
          <w:lang w:val="en-IN"/>
        </w:rPr>
        <w:t>The study aims to</w:t>
      </w:r>
      <w:r w:rsidRPr="00AF2481">
        <w:rPr>
          <w:rFonts w:ascii="Times New Roman" w:hAnsi="Times New Roman" w:cs="Times New Roman"/>
          <w:i/>
          <w:iCs/>
          <w:lang w:val="en-IN"/>
        </w:rPr>
        <w:t xml:space="preserve"> “Investigate how loyalty-oriented marketing strategies influence long-term profitability and customer retention within the UK quick-service restaurant sector”.</w:t>
      </w:r>
    </w:p>
    <w:p w14:paraId="563AC141" w14:textId="77777777" w:rsidR="009563BA" w:rsidRPr="00AF2481" w:rsidRDefault="000F0B1B" w:rsidP="00BD7684">
      <w:pPr>
        <w:spacing w:after="0"/>
        <w:rPr>
          <w:rFonts w:ascii="Times New Roman" w:hAnsi="Times New Roman" w:cs="Times New Roman"/>
          <w:b/>
          <w:bCs/>
          <w:u w:val="single"/>
          <w:lang w:val="en-IN"/>
        </w:rPr>
      </w:pPr>
      <w:r w:rsidRPr="00AF2481">
        <w:rPr>
          <w:rFonts w:ascii="Times New Roman" w:hAnsi="Times New Roman" w:cs="Times New Roman"/>
          <w:b/>
          <w:bCs/>
          <w:u w:val="single"/>
          <w:lang w:val="en-IN"/>
        </w:rPr>
        <w:t>Research Objectives</w:t>
      </w:r>
    </w:p>
    <w:p w14:paraId="2714B175" w14:textId="77777777" w:rsidR="00BD7684" w:rsidRPr="00AF2481" w:rsidRDefault="000F0B1B" w:rsidP="00BD7684">
      <w:pPr>
        <w:pStyle w:val="ListParagraph"/>
        <w:numPr>
          <w:ilvl w:val="0"/>
          <w:numId w:val="1"/>
        </w:numPr>
        <w:rPr>
          <w:rFonts w:ascii="Times New Roman" w:hAnsi="Times New Roman" w:cs="Times New Roman"/>
          <w:lang w:val="en-IN"/>
        </w:rPr>
      </w:pPr>
      <w:r w:rsidRPr="00AF2481">
        <w:rPr>
          <w:rFonts w:ascii="Times New Roman" w:hAnsi="Times New Roman" w:cs="Times New Roman"/>
          <w:lang w:val="en-IN"/>
        </w:rPr>
        <w:t>To evaluate the significance of Customer Lifetime Value (CLV) in assessing retention effectiveness in UK QSRs</w:t>
      </w:r>
    </w:p>
    <w:p w14:paraId="5FE8AB5F" w14:textId="77777777" w:rsidR="00BD7684" w:rsidRPr="00AF2481" w:rsidRDefault="000F0B1B" w:rsidP="00BD7684">
      <w:pPr>
        <w:pStyle w:val="ListParagraph"/>
        <w:numPr>
          <w:ilvl w:val="0"/>
          <w:numId w:val="1"/>
        </w:numPr>
        <w:rPr>
          <w:rFonts w:ascii="Times New Roman" w:hAnsi="Times New Roman" w:cs="Times New Roman"/>
          <w:lang w:val="en-IN"/>
        </w:rPr>
      </w:pPr>
      <w:r w:rsidRPr="00AF2481">
        <w:rPr>
          <w:rFonts w:ascii="Times New Roman" w:hAnsi="Times New Roman" w:cs="Times New Roman"/>
          <w:lang w:val="en-IN"/>
        </w:rPr>
        <w:t>To examine how relationship marketing practices shape customer loyalty and repeat purchasing behaviour</w:t>
      </w:r>
    </w:p>
    <w:p w14:paraId="7C033B7E" w14:textId="77777777" w:rsidR="00BD7684" w:rsidRPr="00AF2481" w:rsidRDefault="000F0B1B" w:rsidP="00BD7684">
      <w:pPr>
        <w:pStyle w:val="ListParagraph"/>
        <w:numPr>
          <w:ilvl w:val="0"/>
          <w:numId w:val="1"/>
        </w:numPr>
        <w:rPr>
          <w:rFonts w:ascii="Times New Roman" w:hAnsi="Times New Roman" w:cs="Times New Roman"/>
          <w:lang w:val="en-IN"/>
        </w:rPr>
      </w:pPr>
      <w:r w:rsidRPr="00AF2481">
        <w:rPr>
          <w:rFonts w:ascii="Times New Roman" w:hAnsi="Times New Roman" w:cs="Times New Roman"/>
          <w:lang w:val="en-IN"/>
        </w:rPr>
        <w:t>To analyse the role of digital touchpoints and loyalty programmes in encouraging repeat patronage</w:t>
      </w:r>
    </w:p>
    <w:p w14:paraId="230E44C4" w14:textId="77777777" w:rsidR="00DD764F" w:rsidRPr="00AF2481" w:rsidRDefault="000F0B1B" w:rsidP="00BD7684">
      <w:pPr>
        <w:pStyle w:val="ListParagraph"/>
        <w:numPr>
          <w:ilvl w:val="0"/>
          <w:numId w:val="1"/>
        </w:numPr>
        <w:rPr>
          <w:rFonts w:ascii="Times New Roman" w:hAnsi="Times New Roman" w:cs="Times New Roman"/>
          <w:lang w:val="en-IN"/>
        </w:rPr>
      </w:pPr>
      <w:r w:rsidRPr="00AF2481">
        <w:rPr>
          <w:rFonts w:ascii="Times New Roman" w:hAnsi="Times New Roman" w:cs="Times New Roman"/>
          <w:lang w:val="en-IN"/>
        </w:rPr>
        <w:t>To assess the impact of retention strategies on competitive advantage and sustainable profitability</w:t>
      </w:r>
    </w:p>
    <w:p w14:paraId="7570CD92" w14:textId="1852E41B" w:rsidR="00DD764F" w:rsidRDefault="000F0B1B" w:rsidP="00BD7684">
      <w:pPr>
        <w:spacing w:after="0"/>
        <w:rPr>
          <w:rFonts w:ascii="Times New Roman" w:hAnsi="Times New Roman" w:cs="Times New Roman"/>
          <w:b/>
          <w:bCs/>
          <w:u w:val="single"/>
          <w:lang w:val="en-IN"/>
        </w:rPr>
      </w:pPr>
      <w:r w:rsidRPr="00AF2481">
        <w:rPr>
          <w:rFonts w:ascii="Times New Roman" w:hAnsi="Times New Roman" w:cs="Times New Roman"/>
          <w:b/>
          <w:bCs/>
          <w:u w:val="single"/>
          <w:lang w:val="en-IN"/>
        </w:rPr>
        <w:t>Research Question</w:t>
      </w:r>
    </w:p>
    <w:p w14:paraId="578F040C" w14:textId="77777777" w:rsidR="00D82021" w:rsidRPr="00D82021" w:rsidRDefault="00D82021" w:rsidP="00D82021">
      <w:pPr>
        <w:rPr>
          <w:rFonts w:ascii="Times New Roman" w:hAnsi="Times New Roman" w:cs="Times New Roman"/>
        </w:rPr>
      </w:pPr>
      <w:r w:rsidRPr="00D82021">
        <w:rPr>
          <w:rFonts w:ascii="Times New Roman" w:hAnsi="Times New Roman" w:cs="Times New Roman"/>
        </w:rPr>
        <w:t xml:space="preserve">RQ1) How do digital consumer engagement strategies influence consumer retention and profitability within the UK’s quick-service restaurant industry? </w:t>
      </w:r>
    </w:p>
    <w:p w14:paraId="3F05A498" w14:textId="6EF4B846" w:rsidR="00D82021" w:rsidRPr="00D82021" w:rsidRDefault="00D82021" w:rsidP="00D82021">
      <w:pPr>
        <w:rPr>
          <w:rFonts w:ascii="Times New Roman" w:hAnsi="Times New Roman" w:cs="Times New Roman"/>
        </w:rPr>
      </w:pPr>
      <w:r w:rsidRPr="00D82021">
        <w:rPr>
          <w:rFonts w:ascii="Times New Roman" w:hAnsi="Times New Roman" w:cs="Times New Roman"/>
        </w:rPr>
        <w:t xml:space="preserve">RQ2) How do loyalty programme impact consumer retention and profitability within the UK’s quick-service restaurant industry? </w:t>
      </w:r>
    </w:p>
    <w:p w14:paraId="112F0F96" w14:textId="77777777" w:rsidR="00203980" w:rsidRPr="00AF2481" w:rsidRDefault="000F0B1B" w:rsidP="00203980">
      <w:pPr>
        <w:pStyle w:val="Heading1"/>
        <w:rPr>
          <w:rFonts w:ascii="Times New Roman" w:hAnsi="Times New Roman" w:cs="Times New Roman"/>
          <w:sz w:val="24"/>
          <w:szCs w:val="24"/>
        </w:rPr>
      </w:pPr>
      <w:bookmarkStart w:id="4" w:name="_Toc221742612"/>
      <w:r w:rsidRPr="00AF2481">
        <w:rPr>
          <w:rFonts w:ascii="Times New Roman" w:hAnsi="Times New Roman" w:cs="Times New Roman"/>
          <w:sz w:val="24"/>
          <w:szCs w:val="24"/>
        </w:rPr>
        <w:lastRenderedPageBreak/>
        <w:t>3. Preliminary Literature Review</w:t>
      </w:r>
      <w:bookmarkEnd w:id="4"/>
    </w:p>
    <w:p w14:paraId="55759F65" w14:textId="77777777" w:rsidR="00203980" w:rsidRPr="00AF2481" w:rsidRDefault="000F0B1B" w:rsidP="00203980">
      <w:pPr>
        <w:rPr>
          <w:rFonts w:ascii="Times New Roman" w:hAnsi="Times New Roman" w:cs="Times New Roman"/>
        </w:rPr>
      </w:pPr>
      <w:r w:rsidRPr="00AF2481">
        <w:rPr>
          <w:rFonts w:ascii="Times New Roman" w:hAnsi="Times New Roman" w:cs="Times New Roman"/>
        </w:rPr>
        <w:t xml:space="preserve">Customer Lifetime Value (CLV) is the estimated income a customer will bring during the entire time spent with a company and puts a spin on single transactions to profitability. According to </w:t>
      </w:r>
      <w:r w:rsidR="007071FD" w:rsidRPr="00AF2481">
        <w:rPr>
          <w:rFonts w:ascii="Times New Roman" w:hAnsi="Times New Roman" w:cs="Times New Roman"/>
        </w:rPr>
        <w:t>Ali and Shabn (2024)</w:t>
      </w:r>
      <w:r w:rsidRPr="00AF2481">
        <w:rPr>
          <w:rFonts w:ascii="Times New Roman" w:hAnsi="Times New Roman" w:cs="Times New Roman"/>
        </w:rPr>
        <w:t xml:space="preserve">, CLV has a high level of correlation with retention and subsequent revenue increase instead of acquisition in isolation, highlighting relational over transactional marketing. </w:t>
      </w:r>
      <w:r w:rsidR="00876E96" w:rsidRPr="00AF2481">
        <w:rPr>
          <w:rFonts w:ascii="Times New Roman" w:hAnsi="Times New Roman" w:cs="Times New Roman"/>
        </w:rPr>
        <w:t xml:space="preserve">As per Dandis </w:t>
      </w:r>
      <w:r w:rsidR="00876E96" w:rsidRPr="00AF2481">
        <w:rPr>
          <w:rFonts w:ascii="Times New Roman" w:hAnsi="Times New Roman" w:cs="Times New Roman"/>
          <w:i/>
          <w:iCs/>
        </w:rPr>
        <w:t>et al.</w:t>
      </w:r>
      <w:r w:rsidR="00876E96" w:rsidRPr="00AF2481">
        <w:rPr>
          <w:rFonts w:ascii="Times New Roman" w:hAnsi="Times New Roman" w:cs="Times New Roman"/>
        </w:rPr>
        <w:t xml:space="preserve"> (202</w:t>
      </w:r>
      <w:r w:rsidR="00BC1EA9" w:rsidRPr="00AF2481">
        <w:rPr>
          <w:rFonts w:ascii="Times New Roman" w:hAnsi="Times New Roman" w:cs="Times New Roman"/>
        </w:rPr>
        <w:t>3</w:t>
      </w:r>
      <w:r w:rsidR="00876E96" w:rsidRPr="00AF2481">
        <w:rPr>
          <w:rFonts w:ascii="Times New Roman" w:hAnsi="Times New Roman" w:cs="Times New Roman"/>
        </w:rPr>
        <w:t xml:space="preserve">), </w:t>
      </w:r>
      <w:r w:rsidRPr="00AF2481">
        <w:rPr>
          <w:rFonts w:ascii="Times New Roman" w:hAnsi="Times New Roman" w:cs="Times New Roman"/>
        </w:rPr>
        <w:t>relational benefits associated with CLV in fast-food situations have been found to include trust and commitment, meaning that quality experiences are maintained over time. Nevertheless, few empirical studies have used CLV frameworks in mid-sized UK QSR settings in which digital touchpoints and loyalty integration may have an additional positive effect on profitability frameworks.</w:t>
      </w:r>
    </w:p>
    <w:p w14:paraId="1C70BE7C" w14:textId="77777777" w:rsidR="00203980" w:rsidRPr="00AF2481" w:rsidRDefault="000F0B1B" w:rsidP="00203980">
      <w:pPr>
        <w:rPr>
          <w:rFonts w:ascii="Times New Roman" w:hAnsi="Times New Roman" w:cs="Times New Roman"/>
        </w:rPr>
      </w:pPr>
      <w:r w:rsidRPr="00AF2481">
        <w:rPr>
          <w:rFonts w:ascii="Times New Roman" w:hAnsi="Times New Roman" w:cs="Times New Roman"/>
        </w:rPr>
        <w:t>The Relationship Marketing Theory describes the role played by trust, commitment</w:t>
      </w:r>
      <w:r w:rsidR="00185453" w:rsidRPr="00AF2481">
        <w:rPr>
          <w:rFonts w:ascii="Times New Roman" w:hAnsi="Times New Roman" w:cs="Times New Roman"/>
        </w:rPr>
        <w:t xml:space="preserve"> and</w:t>
      </w:r>
      <w:r w:rsidRPr="00AF2481">
        <w:rPr>
          <w:rFonts w:ascii="Times New Roman" w:hAnsi="Times New Roman" w:cs="Times New Roman"/>
        </w:rPr>
        <w:t xml:space="preserve"> emotional ties in determining loyalty and repeat behaviour. </w:t>
      </w:r>
      <w:r w:rsidR="00BC1EA9" w:rsidRPr="00AF2481">
        <w:rPr>
          <w:rFonts w:ascii="Times New Roman" w:hAnsi="Times New Roman" w:cs="Times New Roman"/>
        </w:rPr>
        <w:t xml:space="preserve">Ali-Alsaadi </w:t>
      </w:r>
      <w:r w:rsidR="00BC1EA9" w:rsidRPr="00AF2481">
        <w:rPr>
          <w:rFonts w:ascii="Times New Roman" w:hAnsi="Times New Roman" w:cs="Times New Roman"/>
          <w:i/>
          <w:iCs/>
        </w:rPr>
        <w:t>et al.,</w:t>
      </w:r>
      <w:r w:rsidR="00BC1EA9" w:rsidRPr="00AF2481">
        <w:rPr>
          <w:rFonts w:ascii="Times New Roman" w:hAnsi="Times New Roman" w:cs="Times New Roman"/>
        </w:rPr>
        <w:t xml:space="preserve"> (2025)</w:t>
      </w:r>
      <w:r w:rsidRPr="00AF2481">
        <w:rPr>
          <w:rFonts w:ascii="Times New Roman" w:hAnsi="Times New Roman" w:cs="Times New Roman"/>
        </w:rPr>
        <w:t xml:space="preserve"> indicate</w:t>
      </w:r>
      <w:r w:rsidR="00BC1EA9" w:rsidRPr="00AF2481">
        <w:rPr>
          <w:rFonts w:ascii="Times New Roman" w:hAnsi="Times New Roman" w:cs="Times New Roman"/>
        </w:rPr>
        <w:t>d</w:t>
      </w:r>
      <w:r w:rsidRPr="00AF2481">
        <w:rPr>
          <w:rFonts w:ascii="Times New Roman" w:hAnsi="Times New Roman" w:cs="Times New Roman"/>
        </w:rPr>
        <w:t xml:space="preserve"> that personalised communication and customer-centric engagement, as some of the relational practices, have a positive impact on loyalty in service industries. </w:t>
      </w:r>
      <w:r w:rsidR="009D1BF3" w:rsidRPr="00AF2481">
        <w:rPr>
          <w:rFonts w:ascii="Times New Roman" w:hAnsi="Times New Roman" w:cs="Times New Roman"/>
        </w:rPr>
        <w:t xml:space="preserve">Doğan, (2023) </w:t>
      </w:r>
      <w:r w:rsidRPr="00AF2481">
        <w:rPr>
          <w:rFonts w:ascii="Times New Roman" w:hAnsi="Times New Roman" w:cs="Times New Roman"/>
        </w:rPr>
        <w:t>demonstrate</w:t>
      </w:r>
      <w:r w:rsidR="009D1BF3" w:rsidRPr="00AF2481">
        <w:rPr>
          <w:rFonts w:ascii="Times New Roman" w:hAnsi="Times New Roman" w:cs="Times New Roman"/>
        </w:rPr>
        <w:t>d</w:t>
      </w:r>
      <w:r w:rsidRPr="00AF2481">
        <w:rPr>
          <w:rFonts w:ascii="Times New Roman" w:hAnsi="Times New Roman" w:cs="Times New Roman"/>
        </w:rPr>
        <w:t xml:space="preserve"> that communication based on interaction and customer focus enhances loyalty based on trust and customer satisfaction. </w:t>
      </w:r>
      <w:r w:rsidR="00347C12" w:rsidRPr="00AF2481">
        <w:rPr>
          <w:rFonts w:ascii="Times New Roman" w:hAnsi="Times New Roman" w:cs="Times New Roman"/>
        </w:rPr>
        <w:t xml:space="preserve">According to Croitoru </w:t>
      </w:r>
      <w:r w:rsidR="00347C12" w:rsidRPr="00AF2481">
        <w:rPr>
          <w:rFonts w:ascii="Times New Roman" w:hAnsi="Times New Roman" w:cs="Times New Roman"/>
          <w:i/>
          <w:iCs/>
        </w:rPr>
        <w:t xml:space="preserve">et al. </w:t>
      </w:r>
      <w:r w:rsidR="00347C12" w:rsidRPr="00AF2481">
        <w:rPr>
          <w:rFonts w:ascii="Times New Roman" w:hAnsi="Times New Roman" w:cs="Times New Roman"/>
        </w:rPr>
        <w:t>(2024), e</w:t>
      </w:r>
      <w:r w:rsidRPr="00AF2481">
        <w:rPr>
          <w:rFonts w:ascii="Times New Roman" w:hAnsi="Times New Roman" w:cs="Times New Roman"/>
        </w:rPr>
        <w:t>mployee affect and relational returns improve retention more than functional factors such as price or quality, indicating that strong connections have a tendency to be significant over the long run. However, most of these works respond to the general service setting instead of the competitive UK QSR market, where transactional disruption and adoption of technologies complicate the conventional motivators of loyalty.</w:t>
      </w:r>
    </w:p>
    <w:p w14:paraId="2C4857E4" w14:textId="77777777" w:rsidR="00203980" w:rsidRPr="00AF2481" w:rsidRDefault="000F0B1B" w:rsidP="00203980">
      <w:pPr>
        <w:rPr>
          <w:rFonts w:ascii="Times New Roman" w:hAnsi="Times New Roman" w:cs="Times New Roman"/>
        </w:rPr>
      </w:pPr>
      <w:r w:rsidRPr="00AF2481">
        <w:rPr>
          <w:rFonts w:ascii="Times New Roman" w:hAnsi="Times New Roman" w:cs="Times New Roman"/>
        </w:rPr>
        <w:t>The loyalty programmes reward frequent buying by giving them points, individuali</w:t>
      </w:r>
      <w:r w:rsidR="00697994" w:rsidRPr="00AF2481">
        <w:rPr>
          <w:rFonts w:ascii="Times New Roman" w:hAnsi="Times New Roman" w:cs="Times New Roman"/>
        </w:rPr>
        <w:t>s</w:t>
      </w:r>
      <w:r w:rsidRPr="00AF2481">
        <w:rPr>
          <w:rFonts w:ascii="Times New Roman" w:hAnsi="Times New Roman" w:cs="Times New Roman"/>
        </w:rPr>
        <w:t xml:space="preserve">ed incentives and behavioural confirmation. </w:t>
      </w:r>
      <w:r w:rsidR="002972ED" w:rsidRPr="00AF2481">
        <w:rPr>
          <w:rFonts w:ascii="Times New Roman" w:hAnsi="Times New Roman" w:cs="Times New Roman"/>
        </w:rPr>
        <w:t xml:space="preserve">Catalán and Marchan, (2024) </w:t>
      </w:r>
      <w:r w:rsidRPr="00AF2481">
        <w:rPr>
          <w:rFonts w:ascii="Times New Roman" w:hAnsi="Times New Roman" w:cs="Times New Roman"/>
        </w:rPr>
        <w:t>indicate</w:t>
      </w:r>
      <w:r w:rsidR="002972ED" w:rsidRPr="00AF2481">
        <w:rPr>
          <w:rFonts w:ascii="Times New Roman" w:hAnsi="Times New Roman" w:cs="Times New Roman"/>
        </w:rPr>
        <w:t>d</w:t>
      </w:r>
      <w:r w:rsidRPr="00AF2481">
        <w:rPr>
          <w:rFonts w:ascii="Times New Roman" w:hAnsi="Times New Roman" w:cs="Times New Roman"/>
        </w:rPr>
        <w:t xml:space="preserve"> that the gamified programmes and value-based ones greatly determine the engagement and satisfaction, which, respectively, affect the loyalty behaviour. </w:t>
      </w:r>
      <w:r w:rsidR="000B71AC" w:rsidRPr="00AF2481">
        <w:rPr>
          <w:rFonts w:ascii="Times New Roman" w:hAnsi="Times New Roman" w:cs="Times New Roman"/>
        </w:rPr>
        <w:t xml:space="preserve">According to Crouch </w:t>
      </w:r>
      <w:r w:rsidR="000B71AC" w:rsidRPr="00AF2481">
        <w:rPr>
          <w:rFonts w:ascii="Times New Roman" w:hAnsi="Times New Roman" w:cs="Times New Roman"/>
          <w:i/>
          <w:iCs/>
        </w:rPr>
        <w:t xml:space="preserve">et al. </w:t>
      </w:r>
      <w:r w:rsidR="000B71AC" w:rsidRPr="00AF2481">
        <w:rPr>
          <w:rFonts w:ascii="Times New Roman" w:hAnsi="Times New Roman" w:cs="Times New Roman"/>
        </w:rPr>
        <w:t>(2024), t</w:t>
      </w:r>
      <w:r w:rsidRPr="00AF2481">
        <w:rPr>
          <w:rFonts w:ascii="Times New Roman" w:hAnsi="Times New Roman" w:cs="Times New Roman"/>
        </w:rPr>
        <w:t>he use of digital loyalty schemes in service sectors has been associated with higher purchase frequency and perceived value, especially in digitally active cohorts</w:t>
      </w:r>
      <w:r w:rsidR="00185453" w:rsidRPr="00AF2481">
        <w:rPr>
          <w:rFonts w:ascii="Times New Roman" w:hAnsi="Times New Roman" w:cs="Times New Roman"/>
        </w:rPr>
        <w:t xml:space="preserve"> and</w:t>
      </w:r>
      <w:r w:rsidRPr="00AF2481">
        <w:rPr>
          <w:rFonts w:ascii="Times New Roman" w:hAnsi="Times New Roman" w:cs="Times New Roman"/>
        </w:rPr>
        <w:t xml:space="preserve"> the impact may level off when rewards turn into a norm. Notably, the literature highlights that the majority of programme assessments are centred on the short-term response rates, but not the long-term effects of profitability, which leaves a void in the long-term financial effects of the loyalty programs.</w:t>
      </w:r>
    </w:p>
    <w:p w14:paraId="6E608C2F" w14:textId="218ABC32" w:rsidR="00203980" w:rsidRPr="00AF2481" w:rsidRDefault="000F0B1B" w:rsidP="00203980">
      <w:pPr>
        <w:rPr>
          <w:rFonts w:ascii="Times New Roman" w:hAnsi="Times New Roman" w:cs="Times New Roman"/>
        </w:rPr>
      </w:pPr>
      <w:r w:rsidRPr="00AF2481">
        <w:rPr>
          <w:rFonts w:ascii="Times New Roman" w:hAnsi="Times New Roman" w:cs="Times New Roman"/>
        </w:rPr>
        <w:t xml:space="preserve">Digital touch points, including mobile apps, online ordering systems and personalised notifications, provide additional points of engagement that allow creating convenience and continuous interactions. </w:t>
      </w:r>
      <w:r w:rsidR="00E81324" w:rsidRPr="00AF2481">
        <w:rPr>
          <w:rFonts w:ascii="Times New Roman" w:hAnsi="Times New Roman" w:cs="Times New Roman"/>
        </w:rPr>
        <w:t xml:space="preserve">Nanta </w:t>
      </w:r>
      <w:r w:rsidR="00E81324" w:rsidRPr="00AF2481">
        <w:rPr>
          <w:rFonts w:ascii="Times New Roman" w:hAnsi="Times New Roman" w:cs="Times New Roman"/>
          <w:i/>
          <w:iCs/>
        </w:rPr>
        <w:t>et al.,</w:t>
      </w:r>
      <w:r w:rsidR="00E81324" w:rsidRPr="00AF2481">
        <w:rPr>
          <w:rFonts w:ascii="Times New Roman" w:hAnsi="Times New Roman" w:cs="Times New Roman"/>
        </w:rPr>
        <w:t xml:space="preserve"> (2025) </w:t>
      </w:r>
      <w:r w:rsidRPr="00AF2481">
        <w:rPr>
          <w:rFonts w:ascii="Times New Roman" w:hAnsi="Times New Roman" w:cs="Times New Roman"/>
        </w:rPr>
        <w:t xml:space="preserve">demonstrated that favourable online touchpoint </w:t>
      </w:r>
      <w:r w:rsidRPr="00AF2481">
        <w:rPr>
          <w:rFonts w:ascii="Times New Roman" w:hAnsi="Times New Roman" w:cs="Times New Roman"/>
        </w:rPr>
        <w:lastRenderedPageBreak/>
        <w:t>experiences improve the results of engagement, satisfaction</w:t>
      </w:r>
      <w:r w:rsidR="00185453" w:rsidRPr="00AF2481">
        <w:rPr>
          <w:rFonts w:ascii="Times New Roman" w:hAnsi="Times New Roman" w:cs="Times New Roman"/>
        </w:rPr>
        <w:t xml:space="preserve"> and</w:t>
      </w:r>
      <w:r w:rsidRPr="00AF2481">
        <w:rPr>
          <w:rFonts w:ascii="Times New Roman" w:hAnsi="Times New Roman" w:cs="Times New Roman"/>
        </w:rPr>
        <w:t xml:space="preserve"> loyalty in any industry. </w:t>
      </w:r>
      <w:r w:rsidR="00B6682D" w:rsidRPr="00AF2481">
        <w:rPr>
          <w:rFonts w:ascii="Times New Roman" w:hAnsi="Times New Roman" w:cs="Times New Roman"/>
        </w:rPr>
        <w:t xml:space="preserve">As discussed by Venugopal and Baskaran (2026), </w:t>
      </w:r>
      <w:r w:rsidRPr="00AF2481">
        <w:rPr>
          <w:rFonts w:ascii="Times New Roman" w:hAnsi="Times New Roman" w:cs="Times New Roman"/>
        </w:rPr>
        <w:t>digital engagement tools, such as apps and interactive features, assist in communicating and building relationships on a larger scale with the brands. Nevertheless, studies tend to focus on digital aspects individually</w:t>
      </w:r>
      <w:r w:rsidR="00185453" w:rsidRPr="00AF2481">
        <w:rPr>
          <w:rFonts w:ascii="Times New Roman" w:hAnsi="Times New Roman" w:cs="Times New Roman"/>
        </w:rPr>
        <w:t xml:space="preserve"> and</w:t>
      </w:r>
      <w:r w:rsidRPr="00AF2481">
        <w:rPr>
          <w:rFonts w:ascii="Times New Roman" w:hAnsi="Times New Roman" w:cs="Times New Roman"/>
        </w:rPr>
        <w:t xml:space="preserve"> there is very little concerted evaluation of the interactions between these touchpoints and loyalty programmes and CLV mechanisms to enhance competitive strength, particularly in UK QSR companies.</w:t>
      </w:r>
    </w:p>
    <w:p w14:paraId="08EED66C" w14:textId="77777777" w:rsidR="009C3922" w:rsidRPr="00AF2481" w:rsidRDefault="000F0B1B" w:rsidP="00203980">
      <w:pPr>
        <w:rPr>
          <w:rFonts w:ascii="Times New Roman" w:hAnsi="Times New Roman" w:cs="Times New Roman"/>
        </w:rPr>
      </w:pPr>
      <w:r w:rsidRPr="00AF2481">
        <w:rPr>
          <w:rFonts w:ascii="Times New Roman" w:hAnsi="Times New Roman" w:cs="Times New Roman"/>
        </w:rPr>
        <w:t>Although there are improvements in the areas of CLV, relationship marketing, loyalty programs and studies examining the digital touchpoints, the lack of integrated studies examining the overall impact of loyalty-based digital strategy on customer retention and profitability in the UK quick-service restaurant setting is observed. Research often addresses these factors as isolated factors without offering a unified model that managers can use to maximise strategic retention investments. The current paper will attempt to fill this gap.</w:t>
      </w:r>
    </w:p>
    <w:p w14:paraId="4DA49DB6" w14:textId="77777777" w:rsidR="00AA3353" w:rsidRPr="00AF2481" w:rsidRDefault="000F0B1B" w:rsidP="00F00DE2">
      <w:pPr>
        <w:pStyle w:val="Heading1"/>
        <w:rPr>
          <w:rFonts w:ascii="Times New Roman" w:hAnsi="Times New Roman" w:cs="Times New Roman"/>
          <w:sz w:val="24"/>
          <w:szCs w:val="24"/>
        </w:rPr>
      </w:pPr>
      <w:bookmarkStart w:id="5" w:name="_Toc221742613"/>
      <w:r w:rsidRPr="00AF2481">
        <w:rPr>
          <w:rFonts w:ascii="Times New Roman" w:hAnsi="Times New Roman" w:cs="Times New Roman"/>
          <w:sz w:val="24"/>
          <w:szCs w:val="24"/>
        </w:rPr>
        <w:t>4. Research Methodology</w:t>
      </w:r>
      <w:bookmarkEnd w:id="5"/>
    </w:p>
    <w:p w14:paraId="3F433CF6" w14:textId="77777777" w:rsidR="00183AB1" w:rsidRPr="00AF2481" w:rsidRDefault="000F0B1B" w:rsidP="00183AB1">
      <w:pPr>
        <w:rPr>
          <w:rFonts w:ascii="Times New Roman" w:hAnsi="Times New Roman" w:cs="Times New Roman"/>
        </w:rPr>
      </w:pPr>
      <w:r w:rsidRPr="00AF2481">
        <w:rPr>
          <w:rFonts w:ascii="Times New Roman" w:hAnsi="Times New Roman" w:cs="Times New Roman"/>
        </w:rPr>
        <w:t xml:space="preserve">The research philosophy </w:t>
      </w:r>
      <w:r w:rsidR="0003497F" w:rsidRPr="00AF2481">
        <w:rPr>
          <w:rFonts w:ascii="Times New Roman" w:hAnsi="Times New Roman" w:cs="Times New Roman"/>
        </w:rPr>
        <w:t xml:space="preserve">will be </w:t>
      </w:r>
      <w:r w:rsidRPr="00AF2481">
        <w:rPr>
          <w:rFonts w:ascii="Times New Roman" w:hAnsi="Times New Roman" w:cs="Times New Roman"/>
        </w:rPr>
        <w:t xml:space="preserve">an interpretivism in nature for this study, whereby customer retention, loyalty and digital engagement are social constructs affected by consumer perceptions, experiences and contextual meaning of customer retention, loyalty and digital engagement in the UK quick-service restaurant market. The </w:t>
      </w:r>
      <w:r w:rsidR="00E74E8E" w:rsidRPr="00AF2481">
        <w:rPr>
          <w:rFonts w:ascii="Times New Roman" w:hAnsi="Times New Roman" w:cs="Times New Roman"/>
        </w:rPr>
        <w:t>interpretivism philosophy</w:t>
      </w:r>
      <w:r w:rsidRPr="00AF2481">
        <w:rPr>
          <w:rFonts w:ascii="Times New Roman" w:hAnsi="Times New Roman" w:cs="Times New Roman"/>
        </w:rPr>
        <w:t xml:space="preserve"> is suitable because the study aims to comprehend the position of loyalty-driven strategies in the academic and industry discourse instead of quantifying them in numerical tests</w:t>
      </w:r>
      <w:r w:rsidR="009E701D" w:rsidRPr="00AF2481">
        <w:rPr>
          <w:rFonts w:ascii="Times New Roman" w:hAnsi="Times New Roman" w:cs="Times New Roman"/>
        </w:rPr>
        <w:t xml:space="preserve"> (Junjie and Yingxin, 2022)</w:t>
      </w:r>
      <w:r w:rsidRPr="00AF2481">
        <w:rPr>
          <w:rFonts w:ascii="Times New Roman" w:hAnsi="Times New Roman" w:cs="Times New Roman"/>
        </w:rPr>
        <w:t>.</w:t>
      </w:r>
    </w:p>
    <w:p w14:paraId="11868E26" w14:textId="77777777" w:rsidR="00183AB1" w:rsidRPr="00AF2481" w:rsidRDefault="000F0B1B" w:rsidP="00183AB1">
      <w:pPr>
        <w:rPr>
          <w:rFonts w:ascii="Times New Roman" w:hAnsi="Times New Roman" w:cs="Times New Roman"/>
        </w:rPr>
      </w:pPr>
      <w:r w:rsidRPr="00AF2481">
        <w:rPr>
          <w:rFonts w:ascii="Times New Roman" w:hAnsi="Times New Roman" w:cs="Times New Roman"/>
        </w:rPr>
        <w:t xml:space="preserve">The research </w:t>
      </w:r>
      <w:r w:rsidR="00D13EED" w:rsidRPr="00AF2481">
        <w:rPr>
          <w:rFonts w:ascii="Times New Roman" w:hAnsi="Times New Roman" w:cs="Times New Roman"/>
        </w:rPr>
        <w:t>approach</w:t>
      </w:r>
      <w:r w:rsidRPr="00AF2481">
        <w:rPr>
          <w:rFonts w:ascii="Times New Roman" w:hAnsi="Times New Roman" w:cs="Times New Roman"/>
        </w:rPr>
        <w:t xml:space="preserve"> </w:t>
      </w:r>
      <w:r w:rsidR="00FE072F" w:rsidRPr="00AF2481">
        <w:rPr>
          <w:rFonts w:ascii="Times New Roman" w:hAnsi="Times New Roman" w:cs="Times New Roman"/>
        </w:rPr>
        <w:t>will be adopted</w:t>
      </w:r>
      <w:r w:rsidRPr="00AF2481">
        <w:rPr>
          <w:rFonts w:ascii="Times New Roman" w:hAnsi="Times New Roman" w:cs="Times New Roman"/>
        </w:rPr>
        <w:t xml:space="preserve"> is inductive to enable patterns, themes and theoretical understandings to come out of the data collected</w:t>
      </w:r>
      <w:r w:rsidR="00C00D56" w:rsidRPr="00AF2481">
        <w:rPr>
          <w:rFonts w:ascii="Times New Roman" w:hAnsi="Times New Roman" w:cs="Times New Roman"/>
        </w:rPr>
        <w:t xml:space="preserve"> (Autenrieth and Costa, 2023)</w:t>
      </w:r>
      <w:r w:rsidRPr="00AF2481">
        <w:rPr>
          <w:rFonts w:ascii="Times New Roman" w:hAnsi="Times New Roman" w:cs="Times New Roman"/>
        </w:rPr>
        <w:t xml:space="preserve">. The study instead constructs conceptual knowledge based on the existing literature and documented evidence as opposed to testing pre-existing hypotheses. The </w:t>
      </w:r>
      <w:r w:rsidR="00FE072F" w:rsidRPr="00AF2481">
        <w:rPr>
          <w:rFonts w:ascii="Times New Roman" w:hAnsi="Times New Roman" w:cs="Times New Roman"/>
        </w:rPr>
        <w:t>study will use</w:t>
      </w:r>
      <w:r w:rsidRPr="00AF2481">
        <w:rPr>
          <w:rFonts w:ascii="Times New Roman" w:hAnsi="Times New Roman" w:cs="Times New Roman"/>
        </w:rPr>
        <w:t xml:space="preserve"> an exploratory</w:t>
      </w:r>
      <w:r w:rsidR="00FE072F" w:rsidRPr="00AF2481">
        <w:rPr>
          <w:rFonts w:ascii="Times New Roman" w:hAnsi="Times New Roman" w:cs="Times New Roman"/>
        </w:rPr>
        <w:t xml:space="preserve"> research design</w:t>
      </w:r>
      <w:r w:rsidRPr="00AF2481">
        <w:rPr>
          <w:rFonts w:ascii="Times New Roman" w:hAnsi="Times New Roman" w:cs="Times New Roman"/>
        </w:rPr>
        <w:t xml:space="preserve"> as there were few integrated frameworks of Customer Lifetime Value, relationship marketing</w:t>
      </w:r>
      <w:r w:rsidR="00185453" w:rsidRPr="00AF2481">
        <w:rPr>
          <w:rFonts w:ascii="Times New Roman" w:hAnsi="Times New Roman" w:cs="Times New Roman"/>
        </w:rPr>
        <w:t xml:space="preserve"> and</w:t>
      </w:r>
      <w:r w:rsidRPr="00AF2481">
        <w:rPr>
          <w:rFonts w:ascii="Times New Roman" w:hAnsi="Times New Roman" w:cs="Times New Roman"/>
        </w:rPr>
        <w:t xml:space="preserve"> online interaction in the UK QSR setting.</w:t>
      </w:r>
    </w:p>
    <w:p w14:paraId="7208070B" w14:textId="77777777" w:rsidR="00183AB1" w:rsidRPr="00AF2481" w:rsidRDefault="000F0B1B" w:rsidP="00183AB1">
      <w:pPr>
        <w:rPr>
          <w:rFonts w:ascii="Times New Roman" w:hAnsi="Times New Roman" w:cs="Times New Roman"/>
        </w:rPr>
      </w:pPr>
      <w:r w:rsidRPr="00AF2481">
        <w:rPr>
          <w:rFonts w:ascii="Times New Roman" w:hAnsi="Times New Roman" w:cs="Times New Roman"/>
        </w:rPr>
        <w:t xml:space="preserve">The research </w:t>
      </w:r>
      <w:r w:rsidR="00EB6E4A" w:rsidRPr="00AF2481">
        <w:rPr>
          <w:rFonts w:ascii="Times New Roman" w:hAnsi="Times New Roman" w:cs="Times New Roman"/>
        </w:rPr>
        <w:t>will use</w:t>
      </w:r>
      <w:r w:rsidRPr="00AF2481">
        <w:rPr>
          <w:rFonts w:ascii="Times New Roman" w:hAnsi="Times New Roman" w:cs="Times New Roman"/>
        </w:rPr>
        <w:t xml:space="preserve"> secondary qualitative data, which is obtained through peer-reviewed journal articles, industry reports</w:t>
      </w:r>
      <w:r w:rsidR="00185453" w:rsidRPr="00AF2481">
        <w:rPr>
          <w:rFonts w:ascii="Times New Roman" w:hAnsi="Times New Roman" w:cs="Times New Roman"/>
        </w:rPr>
        <w:t xml:space="preserve"> and</w:t>
      </w:r>
      <w:r w:rsidRPr="00AF2481">
        <w:rPr>
          <w:rFonts w:ascii="Times New Roman" w:hAnsi="Times New Roman" w:cs="Times New Roman"/>
        </w:rPr>
        <w:t xml:space="preserve"> viable organisational publications.</w:t>
      </w:r>
      <w:r w:rsidR="00EB6E4A" w:rsidRPr="00AF2481">
        <w:rPr>
          <w:rFonts w:ascii="Times New Roman" w:hAnsi="Times New Roman" w:cs="Times New Roman"/>
        </w:rPr>
        <w:t xml:space="preserve"> </w:t>
      </w:r>
      <w:r w:rsidRPr="00AF2481">
        <w:rPr>
          <w:rFonts w:ascii="Times New Roman" w:hAnsi="Times New Roman" w:cs="Times New Roman"/>
        </w:rPr>
        <w:t xml:space="preserve">PRISMA framework </w:t>
      </w:r>
      <w:r w:rsidR="00567F06" w:rsidRPr="00AF2481">
        <w:rPr>
          <w:rFonts w:ascii="Times New Roman" w:hAnsi="Times New Roman" w:cs="Times New Roman"/>
        </w:rPr>
        <w:t>will be</w:t>
      </w:r>
      <w:r w:rsidRPr="00AF2481">
        <w:rPr>
          <w:rFonts w:ascii="Times New Roman" w:hAnsi="Times New Roman" w:cs="Times New Roman"/>
        </w:rPr>
        <w:t xml:space="preserve"> applied to a structured search strategy, alongside the use of Boolean operators, pre-established inclusion and exclusion criteria to achieve transparency and rigour of source selection</w:t>
      </w:r>
      <w:r w:rsidR="00EB6E4A" w:rsidRPr="00AF2481">
        <w:rPr>
          <w:rFonts w:ascii="Times New Roman" w:hAnsi="Times New Roman" w:cs="Times New Roman"/>
        </w:rPr>
        <w:t xml:space="preserve"> to achieve standard searches</w:t>
      </w:r>
      <w:r w:rsidR="0003026F" w:rsidRPr="00AF2481">
        <w:rPr>
          <w:rFonts w:ascii="Times New Roman" w:hAnsi="Times New Roman" w:cs="Times New Roman"/>
        </w:rPr>
        <w:t xml:space="preserve"> (Costa, Mendes and Freitas, 2025)</w:t>
      </w:r>
      <w:r w:rsidRPr="00AF2481">
        <w:rPr>
          <w:rFonts w:ascii="Times New Roman" w:hAnsi="Times New Roman" w:cs="Times New Roman"/>
        </w:rPr>
        <w:t xml:space="preserve">. There </w:t>
      </w:r>
      <w:r w:rsidR="00F14335" w:rsidRPr="00AF2481">
        <w:rPr>
          <w:rFonts w:ascii="Times New Roman" w:hAnsi="Times New Roman" w:cs="Times New Roman"/>
        </w:rPr>
        <w:t xml:space="preserve">will </w:t>
      </w:r>
      <w:r w:rsidRPr="00AF2481">
        <w:rPr>
          <w:rFonts w:ascii="Times New Roman" w:hAnsi="Times New Roman" w:cs="Times New Roman"/>
        </w:rPr>
        <w:t xml:space="preserve">also be a </w:t>
      </w:r>
      <w:r w:rsidRPr="00AF2481">
        <w:rPr>
          <w:rFonts w:ascii="Times New Roman" w:hAnsi="Times New Roman" w:cs="Times New Roman"/>
        </w:rPr>
        <w:lastRenderedPageBreak/>
        <w:t>spider search strategy whereby the additional relevant studies are identified by reference tracking.</w:t>
      </w:r>
      <w:r w:rsidR="0094322F" w:rsidRPr="00AF2481">
        <w:rPr>
          <w:rFonts w:ascii="Times New Roman" w:hAnsi="Times New Roman" w:cs="Times New Roman"/>
        </w:rPr>
        <w:t xml:space="preserve"> </w:t>
      </w:r>
      <w:r w:rsidR="00562BE3" w:rsidRPr="00AF2481">
        <w:rPr>
          <w:rFonts w:ascii="Times New Roman" w:hAnsi="Times New Roman" w:cs="Times New Roman"/>
        </w:rPr>
        <w:t>T</w:t>
      </w:r>
      <w:r w:rsidRPr="00AF2481">
        <w:rPr>
          <w:rFonts w:ascii="Times New Roman" w:hAnsi="Times New Roman" w:cs="Times New Roman"/>
        </w:rPr>
        <w:t xml:space="preserve">he snowball sampling </w:t>
      </w:r>
      <w:r w:rsidR="00567F06" w:rsidRPr="00AF2481">
        <w:rPr>
          <w:rFonts w:ascii="Times New Roman" w:hAnsi="Times New Roman" w:cs="Times New Roman"/>
        </w:rPr>
        <w:t>will be</w:t>
      </w:r>
      <w:r w:rsidRPr="00AF2481">
        <w:rPr>
          <w:rFonts w:ascii="Times New Roman" w:hAnsi="Times New Roman" w:cs="Times New Roman"/>
        </w:rPr>
        <w:t xml:space="preserve"> used in a documentary manner, where the citations of the most important academic sources are traced to develop the literature base</w:t>
      </w:r>
      <w:r w:rsidR="004663EC" w:rsidRPr="00AF2481">
        <w:rPr>
          <w:rFonts w:ascii="Times New Roman" w:hAnsi="Times New Roman" w:cs="Times New Roman"/>
        </w:rPr>
        <w:t xml:space="preserve"> (bin Ali and Tanveer, 2022)</w:t>
      </w:r>
      <w:r w:rsidRPr="00AF2481">
        <w:rPr>
          <w:rFonts w:ascii="Times New Roman" w:hAnsi="Times New Roman" w:cs="Times New Roman"/>
        </w:rPr>
        <w:t>.</w:t>
      </w:r>
    </w:p>
    <w:p w14:paraId="39031686" w14:textId="77777777" w:rsidR="00B32A38" w:rsidRPr="00AF2481" w:rsidRDefault="000F0B1B" w:rsidP="00183AB1">
      <w:pPr>
        <w:rPr>
          <w:rFonts w:ascii="Times New Roman" w:hAnsi="Times New Roman" w:cs="Times New Roman"/>
        </w:rPr>
      </w:pPr>
      <w:r w:rsidRPr="00AF2481">
        <w:rPr>
          <w:rFonts w:ascii="Times New Roman" w:hAnsi="Times New Roman" w:cs="Times New Roman"/>
        </w:rPr>
        <w:t xml:space="preserve">The analysis of the data </w:t>
      </w:r>
      <w:r w:rsidR="00567F06" w:rsidRPr="00AF2481">
        <w:rPr>
          <w:rFonts w:ascii="Times New Roman" w:hAnsi="Times New Roman" w:cs="Times New Roman"/>
        </w:rPr>
        <w:t>will be</w:t>
      </w:r>
      <w:r w:rsidRPr="00AF2481">
        <w:rPr>
          <w:rFonts w:ascii="Times New Roman" w:hAnsi="Times New Roman" w:cs="Times New Roman"/>
        </w:rPr>
        <w:t xml:space="preserve"> based on the thematic analysis by Braun and Clarke, which allows systemati</w:t>
      </w:r>
      <w:r w:rsidR="00697994" w:rsidRPr="00AF2481">
        <w:rPr>
          <w:rFonts w:ascii="Times New Roman" w:hAnsi="Times New Roman" w:cs="Times New Roman"/>
        </w:rPr>
        <w:t>s</w:t>
      </w:r>
      <w:r w:rsidRPr="00AF2481">
        <w:rPr>
          <w:rFonts w:ascii="Times New Roman" w:hAnsi="Times New Roman" w:cs="Times New Roman"/>
        </w:rPr>
        <w:t>ing the coding process, constructing themes and interpreting repeated patterns, which refer to the growth of loyalty</w:t>
      </w:r>
      <w:r w:rsidR="00006964" w:rsidRPr="00AF2481">
        <w:rPr>
          <w:rFonts w:ascii="Times New Roman" w:hAnsi="Times New Roman" w:cs="Times New Roman"/>
        </w:rPr>
        <w:t xml:space="preserve"> (Ahmed </w:t>
      </w:r>
      <w:r w:rsidR="00006964" w:rsidRPr="00AF2481">
        <w:rPr>
          <w:rFonts w:ascii="Times New Roman" w:hAnsi="Times New Roman" w:cs="Times New Roman"/>
          <w:i/>
          <w:iCs/>
        </w:rPr>
        <w:t xml:space="preserve">et al., </w:t>
      </w:r>
      <w:r w:rsidR="00006964" w:rsidRPr="00AF2481">
        <w:rPr>
          <w:rFonts w:ascii="Times New Roman" w:hAnsi="Times New Roman" w:cs="Times New Roman"/>
        </w:rPr>
        <w:t>2025)</w:t>
      </w:r>
      <w:r w:rsidRPr="00AF2481">
        <w:rPr>
          <w:rFonts w:ascii="Times New Roman" w:hAnsi="Times New Roman" w:cs="Times New Roman"/>
        </w:rPr>
        <w:t xml:space="preserve">. No primary data </w:t>
      </w:r>
      <w:r w:rsidR="00567F06" w:rsidRPr="00AF2481">
        <w:rPr>
          <w:rFonts w:ascii="Times New Roman" w:hAnsi="Times New Roman" w:cs="Times New Roman"/>
        </w:rPr>
        <w:t>will be</w:t>
      </w:r>
      <w:r w:rsidRPr="00AF2481">
        <w:rPr>
          <w:rFonts w:ascii="Times New Roman" w:hAnsi="Times New Roman" w:cs="Times New Roman"/>
        </w:rPr>
        <w:t xml:space="preserve"> collected, so that ethical considerations </w:t>
      </w:r>
      <w:r w:rsidR="00567F06" w:rsidRPr="00AF2481">
        <w:rPr>
          <w:rFonts w:ascii="Times New Roman" w:hAnsi="Times New Roman" w:cs="Times New Roman"/>
        </w:rPr>
        <w:t>will be</w:t>
      </w:r>
      <w:r w:rsidRPr="00AF2481">
        <w:rPr>
          <w:rFonts w:ascii="Times New Roman" w:hAnsi="Times New Roman" w:cs="Times New Roman"/>
        </w:rPr>
        <w:t xml:space="preserve"> confined to accurate citation, prevention of plagiarism, utili</w:t>
      </w:r>
      <w:r w:rsidR="00697994" w:rsidRPr="00AF2481">
        <w:rPr>
          <w:rFonts w:ascii="Times New Roman" w:hAnsi="Times New Roman" w:cs="Times New Roman"/>
        </w:rPr>
        <w:t>s</w:t>
      </w:r>
      <w:r w:rsidRPr="00AF2481">
        <w:rPr>
          <w:rFonts w:ascii="Times New Roman" w:hAnsi="Times New Roman" w:cs="Times New Roman"/>
        </w:rPr>
        <w:t>ation of publicly available data</w:t>
      </w:r>
      <w:r w:rsidR="00185453" w:rsidRPr="00AF2481">
        <w:rPr>
          <w:rFonts w:ascii="Times New Roman" w:hAnsi="Times New Roman" w:cs="Times New Roman"/>
        </w:rPr>
        <w:t xml:space="preserve"> and</w:t>
      </w:r>
      <w:r w:rsidRPr="00AF2481">
        <w:rPr>
          <w:rFonts w:ascii="Times New Roman" w:hAnsi="Times New Roman" w:cs="Times New Roman"/>
        </w:rPr>
        <w:t xml:space="preserve"> academic integrity considerations.</w:t>
      </w:r>
    </w:p>
    <w:p w14:paraId="4683F150" w14:textId="77777777" w:rsidR="00AA3353" w:rsidRPr="00AF2481" w:rsidRDefault="000F0B1B" w:rsidP="00D34EDD">
      <w:pPr>
        <w:pStyle w:val="Heading1"/>
        <w:rPr>
          <w:rFonts w:ascii="Times New Roman" w:hAnsi="Times New Roman" w:cs="Times New Roman"/>
          <w:sz w:val="24"/>
          <w:szCs w:val="24"/>
        </w:rPr>
      </w:pPr>
      <w:bookmarkStart w:id="6" w:name="_Toc221742614"/>
      <w:r w:rsidRPr="00AF2481">
        <w:rPr>
          <w:rFonts w:ascii="Times New Roman" w:hAnsi="Times New Roman" w:cs="Times New Roman"/>
          <w:sz w:val="24"/>
          <w:szCs w:val="24"/>
        </w:rPr>
        <w:t>5. Risks</w:t>
      </w:r>
      <w:bookmarkEnd w:id="6"/>
    </w:p>
    <w:p w14:paraId="4ECD73B6" w14:textId="77777777" w:rsidR="0099794E" w:rsidRPr="00AF2481" w:rsidRDefault="000F0B1B" w:rsidP="0099794E">
      <w:pPr>
        <w:rPr>
          <w:rFonts w:ascii="Times New Roman" w:hAnsi="Times New Roman" w:cs="Times New Roman"/>
          <w:lang w:val="en-IN"/>
        </w:rPr>
      </w:pPr>
      <w:r w:rsidRPr="00AF2481">
        <w:rPr>
          <w:rFonts w:ascii="Times New Roman" w:hAnsi="Times New Roman" w:cs="Times New Roman"/>
          <w:lang w:val="en-IN"/>
        </w:rPr>
        <w:t>The main threats of this secondary qualitative study pertain to the risks of the possible publication bias, the lack of access to recent or paywalled scholarly materials</w:t>
      </w:r>
      <w:r w:rsidR="00185453" w:rsidRPr="00AF2481">
        <w:rPr>
          <w:rFonts w:ascii="Times New Roman" w:hAnsi="Times New Roman" w:cs="Times New Roman"/>
          <w:lang w:val="en-IN"/>
        </w:rPr>
        <w:t xml:space="preserve"> and</w:t>
      </w:r>
      <w:r w:rsidRPr="00AF2481">
        <w:rPr>
          <w:rFonts w:ascii="Times New Roman" w:hAnsi="Times New Roman" w:cs="Times New Roman"/>
          <w:lang w:val="en-IN"/>
        </w:rPr>
        <w:t xml:space="preserve"> excessive reliance on the existing meaning instead of primary empirical data. Selective inclusion is another risk that can occur even though PRISMA screening is performed structurally and inclusion and exclusion criteria are outlined</w:t>
      </w:r>
      <w:r w:rsidR="00D86D26" w:rsidRPr="00AF2481">
        <w:rPr>
          <w:rFonts w:ascii="Times New Roman" w:hAnsi="Times New Roman" w:cs="Times New Roman"/>
          <w:lang w:val="en-IN"/>
        </w:rPr>
        <w:t xml:space="preserve"> (</w:t>
      </w:r>
      <w:r w:rsidR="00D86D26" w:rsidRPr="00AF2481">
        <w:rPr>
          <w:rFonts w:ascii="Times New Roman" w:hAnsi="Times New Roman" w:cs="Times New Roman"/>
        </w:rPr>
        <w:t xml:space="preserve">De Cassai </w:t>
      </w:r>
      <w:r w:rsidR="00D86D26" w:rsidRPr="00AF2481">
        <w:rPr>
          <w:rFonts w:ascii="Times New Roman" w:hAnsi="Times New Roman" w:cs="Times New Roman"/>
          <w:i/>
          <w:iCs/>
        </w:rPr>
        <w:t xml:space="preserve">et al., </w:t>
      </w:r>
      <w:r w:rsidR="00D86D26" w:rsidRPr="00AF2481">
        <w:rPr>
          <w:rFonts w:ascii="Times New Roman" w:hAnsi="Times New Roman" w:cs="Times New Roman"/>
        </w:rPr>
        <w:t>2025</w:t>
      </w:r>
      <w:r w:rsidR="00D86D26" w:rsidRPr="00AF2481">
        <w:rPr>
          <w:rFonts w:ascii="Times New Roman" w:hAnsi="Times New Roman" w:cs="Times New Roman"/>
          <w:lang w:val="en-IN"/>
        </w:rPr>
        <w:t>)</w:t>
      </w:r>
      <w:r w:rsidRPr="00AF2481">
        <w:rPr>
          <w:rFonts w:ascii="Times New Roman" w:hAnsi="Times New Roman" w:cs="Times New Roman"/>
          <w:lang w:val="en-IN"/>
        </w:rPr>
        <w:t>. Also, the quality of methodological differences among sources can have an influence on the consistency of findings. Strict source assessment, clear record keeping</w:t>
      </w:r>
      <w:r w:rsidR="00185453" w:rsidRPr="00AF2481">
        <w:rPr>
          <w:rFonts w:ascii="Times New Roman" w:hAnsi="Times New Roman" w:cs="Times New Roman"/>
          <w:lang w:val="en-IN"/>
        </w:rPr>
        <w:t xml:space="preserve"> and</w:t>
      </w:r>
      <w:r w:rsidRPr="00AF2481">
        <w:rPr>
          <w:rFonts w:ascii="Times New Roman" w:hAnsi="Times New Roman" w:cs="Times New Roman"/>
          <w:lang w:val="en-IN"/>
        </w:rPr>
        <w:t xml:space="preserve"> comparison of various peer-reviewed articles will be used during the review process to reduce such risks.</w:t>
      </w:r>
    </w:p>
    <w:p w14:paraId="3ADCEB4D" w14:textId="77777777" w:rsidR="00207BB4" w:rsidRPr="00AF2481" w:rsidRDefault="000F0B1B" w:rsidP="0099794E">
      <w:pPr>
        <w:pStyle w:val="Heading1"/>
        <w:rPr>
          <w:rFonts w:ascii="Times New Roman" w:hAnsi="Times New Roman" w:cs="Times New Roman"/>
          <w:sz w:val="24"/>
          <w:szCs w:val="24"/>
        </w:rPr>
      </w:pPr>
      <w:bookmarkStart w:id="7" w:name="_Toc221742615"/>
      <w:r w:rsidRPr="00AF2481">
        <w:rPr>
          <w:rFonts w:ascii="Times New Roman" w:hAnsi="Times New Roman" w:cs="Times New Roman"/>
          <w:sz w:val="24"/>
          <w:szCs w:val="24"/>
        </w:rPr>
        <w:lastRenderedPageBreak/>
        <w:t>7. Timeline (Gantt Chart)</w:t>
      </w:r>
      <w:bookmarkEnd w:id="7"/>
    </w:p>
    <w:p w14:paraId="633086CE" w14:textId="1DE35014" w:rsidR="00CA1B19" w:rsidRPr="00AF2481" w:rsidRDefault="00CA1B19" w:rsidP="00CA1B19">
      <w:pPr>
        <w:jc w:val="center"/>
        <w:rPr>
          <w:rFonts w:ascii="Times New Roman" w:hAnsi="Times New Roman" w:cs="Times New Roman"/>
        </w:rPr>
      </w:pPr>
      <w:r w:rsidRPr="00AF2481">
        <w:rPr>
          <w:rFonts w:ascii="Times New Roman" w:hAnsi="Times New Roman" w:cs="Times New Roman"/>
          <w:noProof/>
          <w:lang w:val="en-US"/>
        </w:rPr>
        <w:drawing>
          <wp:inline distT="0" distB="0" distL="0" distR="0" wp14:anchorId="10ECB427" wp14:editId="178EF1E8">
            <wp:extent cx="5731510" cy="4924425"/>
            <wp:effectExtent l="0" t="0" r="2540" b="9525"/>
            <wp:docPr id="216811248" name="Chart 1">
              <a:extLst xmlns:a="http://schemas.openxmlformats.org/drawingml/2006/main">
                <a:ext uri="{FF2B5EF4-FFF2-40B4-BE49-F238E27FC236}">
                  <a16:creationId xmlns:a16="http://schemas.microsoft.com/office/drawing/2014/main" id="{73FB1A08-2A0B-CB3C-072F-F12D28C84E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3BCF2D" w14:textId="619DD49B" w:rsidR="00207BB4" w:rsidRPr="00AF2481" w:rsidRDefault="00AF2481" w:rsidP="00812C45">
      <w:pPr>
        <w:jc w:val="center"/>
        <w:rPr>
          <w:rFonts w:ascii="Times New Roman" w:hAnsi="Times New Roman" w:cs="Times New Roman"/>
        </w:rPr>
      </w:pPr>
      <w:r w:rsidRPr="00AF2481">
        <w:rPr>
          <w:rFonts w:ascii="Times New Roman" w:hAnsi="Times New Roman" w:cs="Times New Roman"/>
        </w:rPr>
        <w:t>(Source: Created by the learner)</w:t>
      </w:r>
    </w:p>
    <w:p w14:paraId="3987C1E5" w14:textId="77777777" w:rsidR="00207BB4" w:rsidRPr="00AF2481" w:rsidRDefault="000F0B1B">
      <w:pPr>
        <w:spacing w:after="160" w:line="278" w:lineRule="auto"/>
        <w:jc w:val="left"/>
        <w:rPr>
          <w:rFonts w:ascii="Times New Roman" w:eastAsiaTheme="majorEastAsia" w:hAnsi="Times New Roman" w:cs="Times New Roman"/>
          <w:b/>
          <w:color w:val="215E99" w:themeColor="text2" w:themeTint="BF"/>
        </w:rPr>
      </w:pPr>
      <w:r w:rsidRPr="00AF2481">
        <w:rPr>
          <w:rFonts w:ascii="Times New Roman" w:hAnsi="Times New Roman" w:cs="Times New Roman"/>
        </w:rPr>
        <w:br w:type="page"/>
      </w:r>
    </w:p>
    <w:p w14:paraId="28265226" w14:textId="77777777" w:rsidR="00AA3353" w:rsidRPr="00AF2481" w:rsidRDefault="000F0B1B" w:rsidP="0099794E">
      <w:pPr>
        <w:pStyle w:val="Heading1"/>
        <w:rPr>
          <w:rFonts w:ascii="Times New Roman" w:hAnsi="Times New Roman" w:cs="Times New Roman"/>
          <w:sz w:val="24"/>
          <w:szCs w:val="24"/>
          <w:lang w:val="en-IN"/>
        </w:rPr>
      </w:pPr>
      <w:bookmarkStart w:id="8" w:name="_Toc221742616"/>
      <w:r w:rsidRPr="00AF2481">
        <w:rPr>
          <w:rFonts w:ascii="Times New Roman" w:hAnsi="Times New Roman" w:cs="Times New Roman"/>
          <w:sz w:val="24"/>
          <w:szCs w:val="24"/>
          <w:lang w:val="en-IN"/>
        </w:rPr>
        <w:lastRenderedPageBreak/>
        <w:t>Reference List</w:t>
      </w:r>
      <w:bookmarkEnd w:id="8"/>
    </w:p>
    <w:p w14:paraId="1AA8EE4B"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Ahmed, S.K., Mohammed, R.A., Nashwan, A.J., Ibrahim, R.H., Abdalla, A.Q., Ameen, B.M.M. and Khdhir, R.M., (2025). Using thematic analysis in qualitative research. </w:t>
      </w:r>
      <w:r w:rsidRPr="00AF2481">
        <w:rPr>
          <w:rFonts w:ascii="Times New Roman" w:hAnsi="Times New Roman" w:cs="Times New Roman"/>
          <w:i/>
          <w:iCs/>
        </w:rPr>
        <w:t xml:space="preserve">Journal of Medicine, </w:t>
      </w:r>
      <w:r w:rsidRPr="00AF2481">
        <w:rPr>
          <w:rFonts w:ascii="Times New Roman" w:hAnsi="Times New Roman" w:cs="Times New Roman"/>
          <w:i/>
          <w:iCs/>
          <w:color w:val="000000" w:themeColor="text1"/>
        </w:rPr>
        <w:t xml:space="preserve">Surgery, and Public </w:t>
      </w:r>
      <w:r w:rsidRPr="00AF2481">
        <w:rPr>
          <w:rFonts w:ascii="Times New Roman" w:hAnsi="Times New Roman" w:cs="Times New Roman"/>
          <w:i/>
          <w:iCs/>
        </w:rPr>
        <w:t>Health</w:t>
      </w:r>
      <w:r w:rsidRPr="00AF2481">
        <w:rPr>
          <w:rFonts w:ascii="Times New Roman" w:hAnsi="Times New Roman" w:cs="Times New Roman"/>
        </w:rPr>
        <w:t>, </w:t>
      </w:r>
      <w:r w:rsidRPr="00AF2481">
        <w:rPr>
          <w:rFonts w:ascii="Times New Roman" w:hAnsi="Times New Roman" w:cs="Times New Roman"/>
          <w:i/>
          <w:iCs/>
        </w:rPr>
        <w:t>6</w:t>
      </w:r>
      <w:r w:rsidRPr="00AF2481">
        <w:rPr>
          <w:rFonts w:ascii="Times New Roman" w:hAnsi="Times New Roman" w:cs="Times New Roman"/>
        </w:rPr>
        <w:t>, p.100198.</w:t>
      </w:r>
    </w:p>
    <w:p w14:paraId="5DCA6299" w14:textId="77777777" w:rsidR="00812C45" w:rsidRPr="00AF2481" w:rsidRDefault="00812C45" w:rsidP="00812C45">
      <w:pPr>
        <w:spacing w:before="240"/>
        <w:rPr>
          <w:rFonts w:ascii="Times New Roman" w:hAnsi="Times New Roman" w:cs="Times New Roman"/>
          <w:lang w:val="en-IN"/>
        </w:rPr>
      </w:pPr>
      <w:r w:rsidRPr="00AF2481">
        <w:rPr>
          <w:rFonts w:ascii="Times New Roman" w:hAnsi="Times New Roman" w:cs="Times New Roman"/>
        </w:rPr>
        <w:t>Ali, N. and Shabn, O.S., (2024). Customer lifetime value (CLV) insights for strategic marketing success and its impact on organizational financial performance. </w:t>
      </w:r>
      <w:r w:rsidRPr="00AF2481">
        <w:rPr>
          <w:rFonts w:ascii="Times New Roman" w:hAnsi="Times New Roman" w:cs="Times New Roman"/>
          <w:i/>
          <w:iCs/>
        </w:rPr>
        <w:t>Cogent Business &amp; Management</w:t>
      </w:r>
      <w:r w:rsidRPr="00AF2481">
        <w:rPr>
          <w:rFonts w:ascii="Times New Roman" w:hAnsi="Times New Roman" w:cs="Times New Roman"/>
        </w:rPr>
        <w:t>, </w:t>
      </w:r>
      <w:r w:rsidRPr="00AF2481">
        <w:rPr>
          <w:rFonts w:ascii="Times New Roman" w:hAnsi="Times New Roman" w:cs="Times New Roman"/>
          <w:i/>
          <w:iCs/>
        </w:rPr>
        <w:t>11</w:t>
      </w:r>
      <w:r w:rsidRPr="00AF2481">
        <w:rPr>
          <w:rFonts w:ascii="Times New Roman" w:hAnsi="Times New Roman" w:cs="Times New Roman"/>
        </w:rPr>
        <w:t>(1), p.2361321.</w:t>
      </w:r>
    </w:p>
    <w:p w14:paraId="38357FFE"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Ali-Alsaadi, A.A., Cabeza-Ramírez, L.J., Santos-Roldán, L. and González-Mohíno, M., (2025). Understanding Customer Loyalty in Fast-Food Restaurants: Exploring the Moderating Effect of Relational Benefits in the United Arab Emirates. </w:t>
      </w:r>
      <w:r w:rsidRPr="00AF2481">
        <w:rPr>
          <w:rFonts w:ascii="Times New Roman" w:hAnsi="Times New Roman" w:cs="Times New Roman"/>
          <w:i/>
          <w:iCs/>
        </w:rPr>
        <w:t>SAGE Open</w:t>
      </w:r>
      <w:r w:rsidRPr="00AF2481">
        <w:rPr>
          <w:rFonts w:ascii="Times New Roman" w:hAnsi="Times New Roman" w:cs="Times New Roman"/>
        </w:rPr>
        <w:t>, </w:t>
      </w:r>
      <w:r w:rsidRPr="00AF2481">
        <w:rPr>
          <w:rFonts w:ascii="Times New Roman" w:hAnsi="Times New Roman" w:cs="Times New Roman"/>
          <w:i/>
          <w:iCs/>
        </w:rPr>
        <w:t>15</w:t>
      </w:r>
      <w:r w:rsidRPr="00AF2481">
        <w:rPr>
          <w:rFonts w:ascii="Times New Roman" w:hAnsi="Times New Roman" w:cs="Times New Roman"/>
        </w:rPr>
        <w:t>(2), p.21582440251339805.</w:t>
      </w:r>
    </w:p>
    <w:p w14:paraId="777C0923"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Autenrieth, L. and Costa, P., (2023). Counseling organizations remotely: A qualitative inductive research on the adjustment process. </w:t>
      </w:r>
      <w:r w:rsidRPr="00AF2481">
        <w:rPr>
          <w:rFonts w:ascii="Times New Roman" w:hAnsi="Times New Roman" w:cs="Times New Roman"/>
          <w:i/>
          <w:iCs/>
        </w:rPr>
        <w:t>Consulting Psychology Journal</w:t>
      </w:r>
      <w:r w:rsidRPr="00AF2481">
        <w:rPr>
          <w:rFonts w:ascii="Times New Roman" w:hAnsi="Times New Roman" w:cs="Times New Roman"/>
        </w:rPr>
        <w:t>, </w:t>
      </w:r>
      <w:r w:rsidRPr="00AF2481">
        <w:rPr>
          <w:rFonts w:ascii="Times New Roman" w:hAnsi="Times New Roman" w:cs="Times New Roman"/>
          <w:i/>
          <w:iCs/>
        </w:rPr>
        <w:t>75</w:t>
      </w:r>
      <w:r w:rsidRPr="00AF2481">
        <w:rPr>
          <w:rFonts w:ascii="Times New Roman" w:hAnsi="Times New Roman" w:cs="Times New Roman"/>
        </w:rPr>
        <w:t>(2), p.135.</w:t>
      </w:r>
    </w:p>
    <w:p w14:paraId="6C778A0F"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bin Ali, N. and Tanveer, B., (2022). A comparison of citation sources for reference and citation-based search in systematic literature reviews. </w:t>
      </w:r>
      <w:r w:rsidRPr="00AF2481">
        <w:rPr>
          <w:rFonts w:ascii="Times New Roman" w:hAnsi="Times New Roman" w:cs="Times New Roman"/>
          <w:i/>
          <w:iCs/>
        </w:rPr>
        <w:t>E-Informatica Software Engineering Journal</w:t>
      </w:r>
      <w:r w:rsidRPr="00AF2481">
        <w:rPr>
          <w:rFonts w:ascii="Times New Roman" w:hAnsi="Times New Roman" w:cs="Times New Roman"/>
        </w:rPr>
        <w:t>, </w:t>
      </w:r>
      <w:r w:rsidRPr="00AF2481">
        <w:rPr>
          <w:rFonts w:ascii="Times New Roman" w:hAnsi="Times New Roman" w:cs="Times New Roman"/>
          <w:i/>
          <w:iCs/>
        </w:rPr>
        <w:t>16</w:t>
      </w:r>
      <w:r w:rsidRPr="00AF2481">
        <w:rPr>
          <w:rFonts w:ascii="Times New Roman" w:hAnsi="Times New Roman" w:cs="Times New Roman"/>
        </w:rPr>
        <w:t>(1), p.220106.</w:t>
      </w:r>
    </w:p>
    <w:p w14:paraId="40F85583"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Catalán, S. and Marchan, J., (2024). Fostering customer engagement behaviour with gamified loyalty programmes: a study from the “value get, value give” perspective. </w:t>
      </w:r>
      <w:r w:rsidRPr="00AF2481">
        <w:rPr>
          <w:rFonts w:ascii="Times New Roman" w:hAnsi="Times New Roman" w:cs="Times New Roman"/>
          <w:i/>
          <w:iCs/>
        </w:rPr>
        <w:t>Revista Galega de Economía</w:t>
      </w:r>
      <w:r w:rsidRPr="00AF2481">
        <w:rPr>
          <w:rFonts w:ascii="Times New Roman" w:hAnsi="Times New Roman" w:cs="Times New Roman"/>
        </w:rPr>
        <w:t>, </w:t>
      </w:r>
      <w:r w:rsidRPr="00AF2481">
        <w:rPr>
          <w:rFonts w:ascii="Times New Roman" w:hAnsi="Times New Roman" w:cs="Times New Roman"/>
          <w:i/>
          <w:iCs/>
        </w:rPr>
        <w:t>33</w:t>
      </w:r>
      <w:r w:rsidRPr="00AF2481">
        <w:rPr>
          <w:rFonts w:ascii="Times New Roman" w:hAnsi="Times New Roman" w:cs="Times New Roman"/>
        </w:rPr>
        <w:t>(3), pp.9593-9593.</w:t>
      </w:r>
    </w:p>
    <w:p w14:paraId="11F56A5E"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Costa, I.C.P., Mendes, K.D.S. and Freitas, P.S., (2025). Literature search strategies: a guideline for identifying the best evidence in healthcare. </w:t>
      </w:r>
      <w:r w:rsidRPr="00AF2481">
        <w:rPr>
          <w:rFonts w:ascii="Times New Roman" w:hAnsi="Times New Roman" w:cs="Times New Roman"/>
          <w:i/>
          <w:iCs/>
        </w:rPr>
        <w:t>Texto &amp; Contexto-Enfermagem</w:t>
      </w:r>
      <w:r w:rsidRPr="00AF2481">
        <w:rPr>
          <w:rFonts w:ascii="Times New Roman" w:hAnsi="Times New Roman" w:cs="Times New Roman"/>
        </w:rPr>
        <w:t>, </w:t>
      </w:r>
      <w:r w:rsidRPr="00AF2481">
        <w:rPr>
          <w:rFonts w:ascii="Times New Roman" w:hAnsi="Times New Roman" w:cs="Times New Roman"/>
          <w:i/>
          <w:iCs/>
        </w:rPr>
        <w:t>34</w:t>
      </w:r>
      <w:r w:rsidRPr="00AF2481">
        <w:rPr>
          <w:rFonts w:ascii="Times New Roman" w:hAnsi="Times New Roman" w:cs="Times New Roman"/>
        </w:rPr>
        <w:t>, p.e20230405.</w:t>
      </w:r>
    </w:p>
    <w:p w14:paraId="0EFE6195"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Croitoru, G., Capatina, A., Florea, N.V., Codignola, F. and Sokolic, D., (2024). A cross-cultural analysis of perceived value and customer loyalty in restaurants. </w:t>
      </w:r>
      <w:r w:rsidRPr="00AF2481">
        <w:rPr>
          <w:rFonts w:ascii="Times New Roman" w:hAnsi="Times New Roman" w:cs="Times New Roman"/>
          <w:i/>
          <w:iCs/>
        </w:rPr>
        <w:t>European Research on Management and Business Economics</w:t>
      </w:r>
      <w:r w:rsidRPr="00AF2481">
        <w:rPr>
          <w:rFonts w:ascii="Times New Roman" w:hAnsi="Times New Roman" w:cs="Times New Roman"/>
        </w:rPr>
        <w:t>, </w:t>
      </w:r>
      <w:r w:rsidRPr="00AF2481">
        <w:rPr>
          <w:rFonts w:ascii="Times New Roman" w:hAnsi="Times New Roman" w:cs="Times New Roman"/>
          <w:i/>
          <w:iCs/>
        </w:rPr>
        <w:t>30</w:t>
      </w:r>
      <w:r w:rsidRPr="00AF2481">
        <w:rPr>
          <w:rFonts w:ascii="Times New Roman" w:hAnsi="Times New Roman" w:cs="Times New Roman"/>
        </w:rPr>
        <w:t>(3), p.100265.</w:t>
      </w:r>
    </w:p>
    <w:p w14:paraId="4FF244E7"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Crouch, E., Eppler, B., Taylor, L., Mühlenbein, C. and Hearne, E., (2024). Loyalty programs are growing–so are customer expectations. </w:t>
      </w:r>
      <w:r w:rsidRPr="00AF2481">
        <w:rPr>
          <w:rFonts w:ascii="Times New Roman" w:hAnsi="Times New Roman" w:cs="Times New Roman"/>
          <w:i/>
          <w:iCs/>
        </w:rPr>
        <w:t>BCG Global</w:t>
      </w:r>
      <w:r w:rsidRPr="00AF2481">
        <w:rPr>
          <w:rFonts w:ascii="Times New Roman" w:hAnsi="Times New Roman" w:cs="Times New Roman"/>
        </w:rPr>
        <w:t>.</w:t>
      </w:r>
    </w:p>
    <w:p w14:paraId="1C4A3F77"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lastRenderedPageBreak/>
        <w:t>Dandis, A.O., Al Haj Eid, M., Griffin, D., Robin, R. and Ni, A.K., (2023). Customer lifetime value: the effect of relational benefits, brand experiences, quality, satisfaction, trust and commitment in the fast-food restaurants. </w:t>
      </w:r>
      <w:r w:rsidRPr="00AF2481">
        <w:rPr>
          <w:rFonts w:ascii="Times New Roman" w:hAnsi="Times New Roman" w:cs="Times New Roman"/>
          <w:i/>
          <w:iCs/>
        </w:rPr>
        <w:t>The TQM Journal</w:t>
      </w:r>
      <w:r w:rsidRPr="00AF2481">
        <w:rPr>
          <w:rFonts w:ascii="Times New Roman" w:hAnsi="Times New Roman" w:cs="Times New Roman"/>
        </w:rPr>
        <w:t>, </w:t>
      </w:r>
      <w:r w:rsidRPr="00AF2481">
        <w:rPr>
          <w:rFonts w:ascii="Times New Roman" w:hAnsi="Times New Roman" w:cs="Times New Roman"/>
          <w:i/>
          <w:iCs/>
        </w:rPr>
        <w:t>35</w:t>
      </w:r>
      <w:r w:rsidRPr="00AF2481">
        <w:rPr>
          <w:rFonts w:ascii="Times New Roman" w:hAnsi="Times New Roman" w:cs="Times New Roman"/>
        </w:rPr>
        <w:t>(8), pp.2526-2546.</w:t>
      </w:r>
    </w:p>
    <w:p w14:paraId="67718122"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De Cassai, A., Dost, B., Tulgar, S. and Boscolo, A., (2025). Methodological standards for conducting high-quality systematic reviews. </w:t>
      </w:r>
      <w:r w:rsidRPr="00AF2481">
        <w:rPr>
          <w:rFonts w:ascii="Times New Roman" w:hAnsi="Times New Roman" w:cs="Times New Roman"/>
          <w:i/>
          <w:iCs/>
        </w:rPr>
        <w:t>Biology</w:t>
      </w:r>
      <w:r w:rsidRPr="00AF2481">
        <w:rPr>
          <w:rFonts w:ascii="Times New Roman" w:hAnsi="Times New Roman" w:cs="Times New Roman"/>
        </w:rPr>
        <w:t>, </w:t>
      </w:r>
      <w:r w:rsidRPr="00AF2481">
        <w:rPr>
          <w:rFonts w:ascii="Times New Roman" w:hAnsi="Times New Roman" w:cs="Times New Roman"/>
          <w:i/>
          <w:iCs/>
        </w:rPr>
        <w:t>14</w:t>
      </w:r>
      <w:r w:rsidRPr="00AF2481">
        <w:rPr>
          <w:rFonts w:ascii="Times New Roman" w:hAnsi="Times New Roman" w:cs="Times New Roman"/>
        </w:rPr>
        <w:t>(8), p.973.</w:t>
      </w:r>
    </w:p>
    <w:p w14:paraId="0873EB71"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Doğan, M., (2023). The effect of relationship marketing practices on customer loyalty in the food service industry: A qualitative study on senior sales and marketing professionals. </w:t>
      </w:r>
      <w:r w:rsidRPr="00AF2481">
        <w:rPr>
          <w:rFonts w:ascii="Times New Roman" w:hAnsi="Times New Roman" w:cs="Times New Roman"/>
          <w:i/>
          <w:iCs/>
        </w:rPr>
        <w:t>Journal of Tourism and Gastronomy Studies</w:t>
      </w:r>
      <w:r w:rsidRPr="00AF2481">
        <w:rPr>
          <w:rFonts w:ascii="Times New Roman" w:hAnsi="Times New Roman" w:cs="Times New Roman"/>
        </w:rPr>
        <w:t>, </w:t>
      </w:r>
      <w:r w:rsidRPr="00AF2481">
        <w:rPr>
          <w:rFonts w:ascii="Times New Roman" w:hAnsi="Times New Roman" w:cs="Times New Roman"/>
          <w:i/>
          <w:iCs/>
        </w:rPr>
        <w:t>11</w:t>
      </w:r>
      <w:r w:rsidRPr="00AF2481">
        <w:rPr>
          <w:rFonts w:ascii="Times New Roman" w:hAnsi="Times New Roman" w:cs="Times New Roman"/>
        </w:rPr>
        <w:t>(2).</w:t>
      </w:r>
    </w:p>
    <w:p w14:paraId="621C0BB7" w14:textId="77777777" w:rsidR="00812C45" w:rsidRPr="00AF2481" w:rsidRDefault="00812C45" w:rsidP="00812C45">
      <w:pPr>
        <w:spacing w:before="240"/>
        <w:rPr>
          <w:rFonts w:ascii="Times New Roman" w:hAnsi="Times New Roman" w:cs="Times New Roman"/>
          <w:lang w:val="en-IN"/>
        </w:rPr>
      </w:pPr>
      <w:r w:rsidRPr="00AF2481">
        <w:rPr>
          <w:rFonts w:ascii="Times New Roman" w:hAnsi="Times New Roman" w:cs="Times New Roman"/>
          <w:lang w:val="en-IN"/>
        </w:rPr>
        <w:t xml:space="preserve">Fletcher, C. (2025). </w:t>
      </w:r>
      <w:r w:rsidRPr="00AF2481">
        <w:rPr>
          <w:rFonts w:ascii="Times New Roman" w:hAnsi="Times New Roman" w:cs="Times New Roman"/>
          <w:i/>
          <w:iCs/>
          <w:lang w:val="en-IN"/>
        </w:rPr>
        <w:t>£ for £: Measuring the return on restaurant tech in the UK and Europe</w:t>
      </w:r>
      <w:r w:rsidRPr="00AF2481">
        <w:rPr>
          <w:rFonts w:ascii="Times New Roman" w:hAnsi="Times New Roman" w:cs="Times New Roman"/>
          <w:lang w:val="en-IN"/>
        </w:rPr>
        <w:t xml:space="preserve">. [online] Hospitality Tech360 2026. Available at: </w:t>
      </w:r>
      <w:hyperlink r:id="rId11" w:history="1">
        <w:r w:rsidRPr="00AF2481">
          <w:rPr>
            <w:rStyle w:val="Hyperlink"/>
            <w:rFonts w:ascii="Times New Roman" w:hAnsi="Times New Roman" w:cs="Times New Roman"/>
            <w:lang w:val="en-IN"/>
          </w:rPr>
          <w:t>https://www.hospitalitytech360.co.uk/news/-measuring-return-restaurant-tech-uk-europe</w:t>
        </w:r>
      </w:hyperlink>
      <w:r w:rsidRPr="00AF2481">
        <w:rPr>
          <w:rFonts w:ascii="Times New Roman" w:hAnsi="Times New Roman" w:cs="Times New Roman"/>
          <w:lang w:val="en-IN"/>
        </w:rPr>
        <w:t xml:space="preserve"> [Accessed 11 Feb. 2026].</w:t>
      </w:r>
    </w:p>
    <w:p w14:paraId="68FA5820"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Junjie, M. and Yingxin, M., (2022). The Discussions of Positivism and Interpretivism. </w:t>
      </w:r>
      <w:r w:rsidRPr="00AF2481">
        <w:rPr>
          <w:rFonts w:ascii="Times New Roman" w:hAnsi="Times New Roman" w:cs="Times New Roman"/>
          <w:i/>
          <w:iCs/>
        </w:rPr>
        <w:t>Online Submission</w:t>
      </w:r>
      <w:r w:rsidRPr="00AF2481">
        <w:rPr>
          <w:rFonts w:ascii="Times New Roman" w:hAnsi="Times New Roman" w:cs="Times New Roman"/>
        </w:rPr>
        <w:t>, </w:t>
      </w:r>
      <w:r w:rsidRPr="00AF2481">
        <w:rPr>
          <w:rFonts w:ascii="Times New Roman" w:hAnsi="Times New Roman" w:cs="Times New Roman"/>
          <w:i/>
          <w:iCs/>
        </w:rPr>
        <w:t>4</w:t>
      </w:r>
      <w:r w:rsidRPr="00AF2481">
        <w:rPr>
          <w:rFonts w:ascii="Times New Roman" w:hAnsi="Times New Roman" w:cs="Times New Roman"/>
        </w:rPr>
        <w:t>(1), pp.10-14.</w:t>
      </w:r>
    </w:p>
    <w:p w14:paraId="6713AC00" w14:textId="77777777" w:rsidR="00812C45" w:rsidRPr="00AF2481" w:rsidRDefault="00812C45" w:rsidP="00812C45">
      <w:pPr>
        <w:spacing w:before="240"/>
        <w:rPr>
          <w:rFonts w:ascii="Times New Roman" w:hAnsi="Times New Roman" w:cs="Times New Roman"/>
          <w:lang w:val="en-IN"/>
        </w:rPr>
      </w:pPr>
      <w:r w:rsidRPr="00AF2481">
        <w:rPr>
          <w:rFonts w:ascii="Times New Roman" w:hAnsi="Times New Roman" w:cs="Times New Roman"/>
          <w:lang w:val="en-IN"/>
        </w:rPr>
        <w:t xml:space="preserve">Mordor Intelligence (2024). </w:t>
      </w:r>
      <w:r w:rsidRPr="00AF2481">
        <w:rPr>
          <w:rFonts w:ascii="Times New Roman" w:hAnsi="Times New Roman" w:cs="Times New Roman"/>
          <w:i/>
          <w:iCs/>
          <w:lang w:val="en-IN"/>
        </w:rPr>
        <w:t>United Kingdom Quick Service Restaurant Market Size &amp; Share Analysis - Industry Research Report - Growth Trends</w:t>
      </w:r>
      <w:r w:rsidRPr="00AF2481">
        <w:rPr>
          <w:rFonts w:ascii="Times New Roman" w:hAnsi="Times New Roman" w:cs="Times New Roman"/>
          <w:lang w:val="en-IN"/>
        </w:rPr>
        <w:t xml:space="preserve">. [online] www.mordorintelligence.com. Available at: </w:t>
      </w:r>
      <w:hyperlink r:id="rId12" w:history="1">
        <w:r w:rsidRPr="00AF2481">
          <w:rPr>
            <w:rStyle w:val="Hyperlink"/>
            <w:rFonts w:ascii="Times New Roman" w:hAnsi="Times New Roman" w:cs="Times New Roman"/>
            <w:lang w:val="en-IN"/>
          </w:rPr>
          <w:t>https://www.mordorintelligence.com/industry-reports/united-kingdom-quick-service-restaurant-market</w:t>
        </w:r>
      </w:hyperlink>
      <w:r w:rsidRPr="00AF2481">
        <w:rPr>
          <w:rFonts w:ascii="Times New Roman" w:hAnsi="Times New Roman" w:cs="Times New Roman"/>
          <w:lang w:val="en-IN"/>
        </w:rPr>
        <w:t xml:space="preserve"> [Accessed 11 Feb. 2026].</w:t>
      </w:r>
    </w:p>
    <w:p w14:paraId="78BA56CF"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Nanta, T.M., Noermijati, N., Rohman, F. and Hussein, A.S., (2025). The effect of digital touchpoint usage experience on customer loyalty mediated by digital engagement and customer satisfaction. </w:t>
      </w:r>
      <w:r w:rsidRPr="00AF2481">
        <w:rPr>
          <w:rFonts w:ascii="Times New Roman" w:hAnsi="Times New Roman" w:cs="Times New Roman"/>
          <w:i/>
          <w:iCs/>
        </w:rPr>
        <w:t>Businesses</w:t>
      </w:r>
      <w:r w:rsidRPr="00AF2481">
        <w:rPr>
          <w:rFonts w:ascii="Times New Roman" w:hAnsi="Times New Roman" w:cs="Times New Roman"/>
        </w:rPr>
        <w:t>, </w:t>
      </w:r>
      <w:r w:rsidRPr="00AF2481">
        <w:rPr>
          <w:rFonts w:ascii="Times New Roman" w:hAnsi="Times New Roman" w:cs="Times New Roman"/>
          <w:i/>
          <w:iCs/>
        </w:rPr>
        <w:t>5</w:t>
      </w:r>
      <w:r w:rsidRPr="00AF2481">
        <w:rPr>
          <w:rFonts w:ascii="Times New Roman" w:hAnsi="Times New Roman" w:cs="Times New Roman"/>
        </w:rPr>
        <w:t>(1), p.3.</w:t>
      </w:r>
    </w:p>
    <w:p w14:paraId="1FA14919" w14:textId="77777777" w:rsidR="00812C45" w:rsidRPr="00AF2481" w:rsidRDefault="00812C45" w:rsidP="00812C45">
      <w:pPr>
        <w:spacing w:before="240"/>
        <w:rPr>
          <w:rFonts w:ascii="Times New Roman" w:hAnsi="Times New Roman" w:cs="Times New Roman"/>
          <w:lang w:val="en-IN"/>
        </w:rPr>
      </w:pPr>
      <w:r w:rsidRPr="00AF2481">
        <w:rPr>
          <w:rFonts w:ascii="Times New Roman" w:hAnsi="Times New Roman" w:cs="Times New Roman"/>
          <w:lang w:val="en-IN"/>
        </w:rPr>
        <w:t xml:space="preserve">Ramos, M. (2026). </w:t>
      </w:r>
      <w:r w:rsidRPr="00AF2481">
        <w:rPr>
          <w:rFonts w:ascii="Times New Roman" w:hAnsi="Times New Roman" w:cs="Times New Roman"/>
          <w:i/>
          <w:iCs/>
          <w:lang w:val="en-IN"/>
        </w:rPr>
        <w:t>Restaurant Customer Retention Strategies That Drive ROI</w:t>
      </w:r>
      <w:r w:rsidRPr="00AF2481">
        <w:rPr>
          <w:rFonts w:ascii="Times New Roman" w:hAnsi="Times New Roman" w:cs="Times New Roman"/>
          <w:lang w:val="en-IN"/>
        </w:rPr>
        <w:t xml:space="preserve">. [online] Evok Advertising. Available at: </w:t>
      </w:r>
      <w:hyperlink r:id="rId13" w:history="1">
        <w:r w:rsidRPr="00AF2481">
          <w:rPr>
            <w:rStyle w:val="Hyperlink"/>
            <w:rFonts w:ascii="Times New Roman" w:hAnsi="Times New Roman" w:cs="Times New Roman"/>
            <w:lang w:val="en-IN"/>
          </w:rPr>
          <w:t>https://evokad.com/restaurant-customer-retention-strategies-2026</w:t>
        </w:r>
      </w:hyperlink>
      <w:r w:rsidRPr="00AF2481">
        <w:rPr>
          <w:rFonts w:ascii="Times New Roman" w:hAnsi="Times New Roman" w:cs="Times New Roman"/>
          <w:lang w:val="en-IN"/>
        </w:rPr>
        <w:t xml:space="preserve"> [Accessed 11 Feb. 2026].</w:t>
      </w:r>
    </w:p>
    <w:p w14:paraId="097E0E57" w14:textId="77777777" w:rsidR="00812C45" w:rsidRPr="00AF2481" w:rsidRDefault="00812C45" w:rsidP="00812C45">
      <w:pPr>
        <w:spacing w:before="240"/>
        <w:rPr>
          <w:rFonts w:ascii="Times New Roman" w:hAnsi="Times New Roman" w:cs="Times New Roman"/>
          <w:lang w:val="en-IN"/>
        </w:rPr>
      </w:pPr>
      <w:r w:rsidRPr="00AF2481">
        <w:rPr>
          <w:rFonts w:ascii="Times New Roman" w:hAnsi="Times New Roman" w:cs="Times New Roman"/>
        </w:rPr>
        <w:t>Tariq, M. and Khan, N., (2025). Launching an online restaurant startup: a study of consumer behaviour and demand assessment in food delivery service.</w:t>
      </w:r>
    </w:p>
    <w:p w14:paraId="43F8D34E" w14:textId="77777777" w:rsidR="00812C45" w:rsidRPr="00AF2481" w:rsidRDefault="00812C45" w:rsidP="00812C45">
      <w:pPr>
        <w:spacing w:before="240"/>
        <w:rPr>
          <w:rFonts w:ascii="Times New Roman" w:hAnsi="Times New Roman" w:cs="Times New Roman"/>
        </w:rPr>
      </w:pPr>
      <w:r w:rsidRPr="00AF2481">
        <w:rPr>
          <w:rFonts w:ascii="Times New Roman" w:hAnsi="Times New Roman" w:cs="Times New Roman"/>
        </w:rPr>
        <w:t>Venugopal, G. and Baskaran, K., (2026). From Clicks to Quick Bites–Social Media Engagement and Logistics Efficiency as Drivers of Fast-Food Consumption in the United Arab Emirates. </w:t>
      </w:r>
      <w:r w:rsidRPr="00AF2481">
        <w:rPr>
          <w:rFonts w:ascii="Times New Roman" w:hAnsi="Times New Roman" w:cs="Times New Roman"/>
          <w:i/>
          <w:iCs/>
        </w:rPr>
        <w:t>Frontiers in Sustainable Food Systems</w:t>
      </w:r>
      <w:r w:rsidRPr="00AF2481">
        <w:rPr>
          <w:rFonts w:ascii="Times New Roman" w:hAnsi="Times New Roman" w:cs="Times New Roman"/>
        </w:rPr>
        <w:t>, </w:t>
      </w:r>
      <w:r w:rsidRPr="00AF2481">
        <w:rPr>
          <w:rFonts w:ascii="Times New Roman" w:hAnsi="Times New Roman" w:cs="Times New Roman"/>
          <w:i/>
          <w:iCs/>
        </w:rPr>
        <w:t>9</w:t>
      </w:r>
      <w:r w:rsidRPr="00AF2481">
        <w:rPr>
          <w:rFonts w:ascii="Times New Roman" w:hAnsi="Times New Roman" w:cs="Times New Roman"/>
        </w:rPr>
        <w:t>, p.1735601.</w:t>
      </w:r>
    </w:p>
    <w:sectPr w:rsidR="00812C45" w:rsidRPr="00AF2481" w:rsidSect="0025399D">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DCED9" w14:textId="77777777" w:rsidR="0020443F" w:rsidRDefault="0020443F" w:rsidP="0025399D">
      <w:pPr>
        <w:spacing w:after="0" w:line="240" w:lineRule="auto"/>
      </w:pPr>
      <w:r>
        <w:separator/>
      </w:r>
    </w:p>
  </w:endnote>
  <w:endnote w:type="continuationSeparator" w:id="0">
    <w:p w14:paraId="19372209" w14:textId="77777777" w:rsidR="0020443F" w:rsidRDefault="0020443F" w:rsidP="0025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462414"/>
      <w:docPartObj>
        <w:docPartGallery w:val="Page Numbers (Bottom of Page)"/>
        <w:docPartUnique/>
      </w:docPartObj>
    </w:sdtPr>
    <w:sdtEndPr>
      <w:rPr>
        <w:color w:val="7F7F7F" w:themeColor="background1" w:themeShade="7F"/>
        <w:spacing w:val="60"/>
      </w:rPr>
    </w:sdtEndPr>
    <w:sdtContent>
      <w:p w14:paraId="78AE229F" w14:textId="6A697A7E" w:rsidR="0025399D" w:rsidRDefault="0025399D">
        <w:pPr>
          <w:pStyle w:val="Footer"/>
          <w:pBdr>
            <w:top w:val="single" w:sz="4" w:space="1" w:color="D9D9D9" w:themeColor="background1" w:themeShade="D9"/>
          </w:pBdr>
          <w:jc w:val="right"/>
        </w:pPr>
        <w:r>
          <w:fldChar w:fldCharType="begin"/>
        </w:r>
        <w:r>
          <w:instrText xml:space="preserve"> PAGE   \* MERGEFORMAT </w:instrText>
        </w:r>
        <w:r>
          <w:fldChar w:fldCharType="separate"/>
        </w:r>
        <w:r w:rsidR="00D82021">
          <w:rPr>
            <w:noProof/>
          </w:rPr>
          <w:t>5</w:t>
        </w:r>
        <w:r>
          <w:rPr>
            <w:noProof/>
          </w:rPr>
          <w:fldChar w:fldCharType="end"/>
        </w:r>
        <w:r>
          <w:t xml:space="preserve"> | </w:t>
        </w:r>
        <w:r>
          <w:rPr>
            <w:color w:val="7F7F7F" w:themeColor="background1" w:themeShade="7F"/>
            <w:spacing w:val="60"/>
          </w:rPr>
          <w:t>Page</w:t>
        </w:r>
      </w:p>
    </w:sdtContent>
  </w:sdt>
  <w:p w14:paraId="09828DED" w14:textId="77777777" w:rsidR="0025399D" w:rsidRDefault="00253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30D7B" w14:textId="77777777" w:rsidR="0020443F" w:rsidRDefault="0020443F" w:rsidP="0025399D">
      <w:pPr>
        <w:spacing w:after="0" w:line="240" w:lineRule="auto"/>
      </w:pPr>
      <w:r>
        <w:separator/>
      </w:r>
    </w:p>
  </w:footnote>
  <w:footnote w:type="continuationSeparator" w:id="0">
    <w:p w14:paraId="420C731D" w14:textId="77777777" w:rsidR="0020443F" w:rsidRDefault="0020443F" w:rsidP="00253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40C69"/>
    <w:multiLevelType w:val="hybridMultilevel"/>
    <w:tmpl w:val="AC747D3C"/>
    <w:lvl w:ilvl="0" w:tplc="91062004">
      <w:start w:val="1"/>
      <w:numFmt w:val="bullet"/>
      <w:lvlText w:val=""/>
      <w:lvlJc w:val="left"/>
      <w:pPr>
        <w:ind w:left="720" w:hanging="360"/>
      </w:pPr>
      <w:rPr>
        <w:rFonts w:ascii="Symbol" w:hAnsi="Symbol" w:hint="default"/>
      </w:rPr>
    </w:lvl>
    <w:lvl w:ilvl="1" w:tplc="88AA8504" w:tentative="1">
      <w:start w:val="1"/>
      <w:numFmt w:val="bullet"/>
      <w:lvlText w:val="o"/>
      <w:lvlJc w:val="left"/>
      <w:pPr>
        <w:ind w:left="1440" w:hanging="360"/>
      </w:pPr>
      <w:rPr>
        <w:rFonts w:ascii="Courier New" w:hAnsi="Courier New" w:cs="Courier New" w:hint="default"/>
      </w:rPr>
    </w:lvl>
    <w:lvl w:ilvl="2" w:tplc="84ECCAD6" w:tentative="1">
      <w:start w:val="1"/>
      <w:numFmt w:val="bullet"/>
      <w:lvlText w:val=""/>
      <w:lvlJc w:val="left"/>
      <w:pPr>
        <w:ind w:left="2160" w:hanging="360"/>
      </w:pPr>
      <w:rPr>
        <w:rFonts w:ascii="Wingdings" w:hAnsi="Wingdings" w:hint="default"/>
      </w:rPr>
    </w:lvl>
    <w:lvl w:ilvl="3" w:tplc="1C70662C" w:tentative="1">
      <w:start w:val="1"/>
      <w:numFmt w:val="bullet"/>
      <w:lvlText w:val=""/>
      <w:lvlJc w:val="left"/>
      <w:pPr>
        <w:ind w:left="2880" w:hanging="360"/>
      </w:pPr>
      <w:rPr>
        <w:rFonts w:ascii="Symbol" w:hAnsi="Symbol" w:hint="default"/>
      </w:rPr>
    </w:lvl>
    <w:lvl w:ilvl="4" w:tplc="45C61EC0" w:tentative="1">
      <w:start w:val="1"/>
      <w:numFmt w:val="bullet"/>
      <w:lvlText w:val="o"/>
      <w:lvlJc w:val="left"/>
      <w:pPr>
        <w:ind w:left="3600" w:hanging="360"/>
      </w:pPr>
      <w:rPr>
        <w:rFonts w:ascii="Courier New" w:hAnsi="Courier New" w:cs="Courier New" w:hint="default"/>
      </w:rPr>
    </w:lvl>
    <w:lvl w:ilvl="5" w:tplc="375E6580" w:tentative="1">
      <w:start w:val="1"/>
      <w:numFmt w:val="bullet"/>
      <w:lvlText w:val=""/>
      <w:lvlJc w:val="left"/>
      <w:pPr>
        <w:ind w:left="4320" w:hanging="360"/>
      </w:pPr>
      <w:rPr>
        <w:rFonts w:ascii="Wingdings" w:hAnsi="Wingdings" w:hint="default"/>
      </w:rPr>
    </w:lvl>
    <w:lvl w:ilvl="6" w:tplc="4A5ABAF2" w:tentative="1">
      <w:start w:val="1"/>
      <w:numFmt w:val="bullet"/>
      <w:lvlText w:val=""/>
      <w:lvlJc w:val="left"/>
      <w:pPr>
        <w:ind w:left="5040" w:hanging="360"/>
      </w:pPr>
      <w:rPr>
        <w:rFonts w:ascii="Symbol" w:hAnsi="Symbol" w:hint="default"/>
      </w:rPr>
    </w:lvl>
    <w:lvl w:ilvl="7" w:tplc="5F3263E0" w:tentative="1">
      <w:start w:val="1"/>
      <w:numFmt w:val="bullet"/>
      <w:lvlText w:val="o"/>
      <w:lvlJc w:val="left"/>
      <w:pPr>
        <w:ind w:left="5760" w:hanging="360"/>
      </w:pPr>
      <w:rPr>
        <w:rFonts w:ascii="Courier New" w:hAnsi="Courier New" w:cs="Courier New" w:hint="default"/>
      </w:rPr>
    </w:lvl>
    <w:lvl w:ilvl="8" w:tplc="0660D554" w:tentative="1">
      <w:start w:val="1"/>
      <w:numFmt w:val="bullet"/>
      <w:lvlText w:val=""/>
      <w:lvlJc w:val="left"/>
      <w:pPr>
        <w:ind w:left="6480" w:hanging="360"/>
      </w:pPr>
      <w:rPr>
        <w:rFonts w:ascii="Wingdings" w:hAnsi="Wingdings" w:hint="default"/>
      </w:rPr>
    </w:lvl>
  </w:abstractNum>
  <w:num w:numId="1" w16cid:durableId="1453328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565"/>
    <w:rsid w:val="00003AF2"/>
    <w:rsid w:val="00006964"/>
    <w:rsid w:val="0003026F"/>
    <w:rsid w:val="0003497F"/>
    <w:rsid w:val="00043E73"/>
    <w:rsid w:val="0008176D"/>
    <w:rsid w:val="00093D40"/>
    <w:rsid w:val="000B71AC"/>
    <w:rsid w:val="000F0B1B"/>
    <w:rsid w:val="0011218D"/>
    <w:rsid w:val="00133168"/>
    <w:rsid w:val="00182A4E"/>
    <w:rsid w:val="00183AB1"/>
    <w:rsid w:val="00185453"/>
    <w:rsid w:val="001B07BE"/>
    <w:rsid w:val="00203980"/>
    <w:rsid w:val="0020443F"/>
    <w:rsid w:val="00207BB4"/>
    <w:rsid w:val="0025399D"/>
    <w:rsid w:val="002972ED"/>
    <w:rsid w:val="0034130C"/>
    <w:rsid w:val="00347C12"/>
    <w:rsid w:val="003570CE"/>
    <w:rsid w:val="00364AAB"/>
    <w:rsid w:val="003A1FCA"/>
    <w:rsid w:val="003F6224"/>
    <w:rsid w:val="004663EC"/>
    <w:rsid w:val="00525565"/>
    <w:rsid w:val="005275C4"/>
    <w:rsid w:val="00562BE3"/>
    <w:rsid w:val="00566547"/>
    <w:rsid w:val="00567F06"/>
    <w:rsid w:val="00664926"/>
    <w:rsid w:val="006672E6"/>
    <w:rsid w:val="00697994"/>
    <w:rsid w:val="00697C71"/>
    <w:rsid w:val="006C7A9F"/>
    <w:rsid w:val="007071FD"/>
    <w:rsid w:val="007A1726"/>
    <w:rsid w:val="007F1AF3"/>
    <w:rsid w:val="00812C45"/>
    <w:rsid w:val="0082009E"/>
    <w:rsid w:val="00861286"/>
    <w:rsid w:val="00876E96"/>
    <w:rsid w:val="00893654"/>
    <w:rsid w:val="0094322F"/>
    <w:rsid w:val="00952471"/>
    <w:rsid w:val="009563BA"/>
    <w:rsid w:val="00970ABB"/>
    <w:rsid w:val="00973CC4"/>
    <w:rsid w:val="00974EB4"/>
    <w:rsid w:val="0099794E"/>
    <w:rsid w:val="009C3922"/>
    <w:rsid w:val="009D1BF3"/>
    <w:rsid w:val="009D2C58"/>
    <w:rsid w:val="009E701D"/>
    <w:rsid w:val="00A052CC"/>
    <w:rsid w:val="00A138CC"/>
    <w:rsid w:val="00A41392"/>
    <w:rsid w:val="00A52B3D"/>
    <w:rsid w:val="00AA0A91"/>
    <w:rsid w:val="00AA3353"/>
    <w:rsid w:val="00AD3877"/>
    <w:rsid w:val="00AF2481"/>
    <w:rsid w:val="00B077D6"/>
    <w:rsid w:val="00B15F63"/>
    <w:rsid w:val="00B32A38"/>
    <w:rsid w:val="00B6682D"/>
    <w:rsid w:val="00B94447"/>
    <w:rsid w:val="00BB7C5E"/>
    <w:rsid w:val="00BC1EA9"/>
    <w:rsid w:val="00BD7684"/>
    <w:rsid w:val="00C00D56"/>
    <w:rsid w:val="00C25EF0"/>
    <w:rsid w:val="00C730BF"/>
    <w:rsid w:val="00CA1B19"/>
    <w:rsid w:val="00CD1584"/>
    <w:rsid w:val="00D0400E"/>
    <w:rsid w:val="00D13EED"/>
    <w:rsid w:val="00D34EDD"/>
    <w:rsid w:val="00D64422"/>
    <w:rsid w:val="00D66A9F"/>
    <w:rsid w:val="00D82021"/>
    <w:rsid w:val="00D86D26"/>
    <w:rsid w:val="00DD764F"/>
    <w:rsid w:val="00DE74DD"/>
    <w:rsid w:val="00DF46A2"/>
    <w:rsid w:val="00E44DCE"/>
    <w:rsid w:val="00E51887"/>
    <w:rsid w:val="00E74E8E"/>
    <w:rsid w:val="00E81324"/>
    <w:rsid w:val="00EA03B1"/>
    <w:rsid w:val="00EA723A"/>
    <w:rsid w:val="00EB6E4A"/>
    <w:rsid w:val="00F00DE2"/>
    <w:rsid w:val="00F14335"/>
    <w:rsid w:val="00F239D9"/>
    <w:rsid w:val="00F97CA8"/>
    <w:rsid w:val="00FA6E1E"/>
    <w:rsid w:val="00FD5311"/>
    <w:rsid w:val="00FE07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E2C31"/>
  <w15:chartTrackingRefBased/>
  <w15:docId w15:val="{3716732C-58BD-4AC8-8EC8-AF7217747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23A"/>
    <w:pPr>
      <w:spacing w:after="120" w:line="360" w:lineRule="auto"/>
      <w:jc w:val="both"/>
    </w:pPr>
    <w:rPr>
      <w:rFonts w:ascii="Arial" w:hAnsi="Arial"/>
      <w:lang w:val="en-GB"/>
    </w:rPr>
  </w:style>
  <w:style w:type="paragraph" w:styleId="Heading1">
    <w:name w:val="heading 1"/>
    <w:basedOn w:val="Normal"/>
    <w:next w:val="Normal"/>
    <w:link w:val="Heading1Char"/>
    <w:uiPriority w:val="9"/>
    <w:qFormat/>
    <w:rsid w:val="0025399D"/>
    <w:pPr>
      <w:keepNext/>
      <w:keepLines/>
      <w:spacing w:before="120" w:after="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399D"/>
    <w:pPr>
      <w:keepNext/>
      <w:keepLines/>
      <w:spacing w:after="0"/>
      <w:jc w:val="left"/>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EA723A"/>
    <w:pPr>
      <w:keepNext/>
      <w:keepLines/>
      <w:spacing w:after="0"/>
      <w:jc w:val="left"/>
      <w:outlineLvl w:val="2"/>
    </w:pPr>
    <w:rPr>
      <w:rFonts w:eastAsiaTheme="majorEastAsia" w:cstheme="majorBidi"/>
      <w:b/>
      <w:color w:val="BF4E14" w:themeColor="accent2" w:themeShade="BF"/>
      <w:szCs w:val="28"/>
    </w:rPr>
  </w:style>
  <w:style w:type="paragraph" w:styleId="Heading4">
    <w:name w:val="heading 4"/>
    <w:basedOn w:val="Normal"/>
    <w:next w:val="Normal"/>
    <w:link w:val="Heading4Char"/>
    <w:uiPriority w:val="9"/>
    <w:semiHidden/>
    <w:unhideWhenUsed/>
    <w:qFormat/>
    <w:rsid w:val="00EA723A"/>
    <w:pPr>
      <w:keepNext/>
      <w:keepLines/>
      <w:spacing w:after="0"/>
      <w:jc w:val="left"/>
      <w:outlineLvl w:val="3"/>
    </w:pPr>
    <w:rPr>
      <w:rFonts w:eastAsiaTheme="majorEastAsia" w:cstheme="majorBidi"/>
      <w:b/>
      <w:i/>
      <w:iCs/>
      <w:color w:val="77206D" w:themeColor="accent5" w:themeShade="BF"/>
    </w:rPr>
  </w:style>
  <w:style w:type="paragraph" w:styleId="Heading5">
    <w:name w:val="heading 5"/>
    <w:basedOn w:val="Normal"/>
    <w:next w:val="Normal"/>
    <w:link w:val="Heading5Char"/>
    <w:uiPriority w:val="9"/>
    <w:semiHidden/>
    <w:unhideWhenUsed/>
    <w:qFormat/>
    <w:rsid w:val="0052556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255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255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255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255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99D"/>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25399D"/>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semiHidden/>
    <w:rsid w:val="00EA723A"/>
    <w:rPr>
      <w:rFonts w:ascii="Arial" w:eastAsiaTheme="majorEastAsia" w:hAnsi="Arial" w:cstheme="majorBidi"/>
      <w:b/>
      <w:color w:val="BF4E14" w:themeColor="accent2" w:themeShade="BF"/>
      <w:szCs w:val="28"/>
    </w:rPr>
  </w:style>
  <w:style w:type="character" w:customStyle="1" w:styleId="Heading4Char">
    <w:name w:val="Heading 4 Char"/>
    <w:basedOn w:val="DefaultParagraphFont"/>
    <w:link w:val="Heading4"/>
    <w:uiPriority w:val="9"/>
    <w:semiHidden/>
    <w:rsid w:val="00EA723A"/>
    <w:rPr>
      <w:rFonts w:ascii="Arial" w:eastAsiaTheme="majorEastAsia" w:hAnsi="Arial" w:cstheme="majorBidi"/>
      <w:b/>
      <w:i/>
      <w:iCs/>
      <w:color w:val="77206D" w:themeColor="accent5" w:themeShade="BF"/>
    </w:rPr>
  </w:style>
  <w:style w:type="character" w:customStyle="1" w:styleId="Heading5Char">
    <w:name w:val="Heading 5 Char"/>
    <w:basedOn w:val="DefaultParagraphFont"/>
    <w:link w:val="Heading5"/>
    <w:uiPriority w:val="9"/>
    <w:semiHidden/>
    <w:rsid w:val="0052556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2556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2556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2556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2556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25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56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2556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56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255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5565"/>
    <w:rPr>
      <w:rFonts w:ascii="Arial" w:hAnsi="Arial"/>
      <w:i/>
      <w:iCs/>
      <w:color w:val="404040" w:themeColor="text1" w:themeTint="BF"/>
      <w:lang w:val="en-GB"/>
    </w:rPr>
  </w:style>
  <w:style w:type="paragraph" w:styleId="ListParagraph">
    <w:name w:val="List Paragraph"/>
    <w:basedOn w:val="Normal"/>
    <w:uiPriority w:val="34"/>
    <w:qFormat/>
    <w:rsid w:val="00525565"/>
    <w:pPr>
      <w:ind w:left="720"/>
      <w:contextualSpacing/>
    </w:pPr>
  </w:style>
  <w:style w:type="character" w:styleId="IntenseEmphasis">
    <w:name w:val="Intense Emphasis"/>
    <w:basedOn w:val="DefaultParagraphFont"/>
    <w:uiPriority w:val="21"/>
    <w:qFormat/>
    <w:rsid w:val="00525565"/>
    <w:rPr>
      <w:i/>
      <w:iCs/>
      <w:color w:val="0F4761" w:themeColor="accent1" w:themeShade="BF"/>
    </w:rPr>
  </w:style>
  <w:style w:type="paragraph" w:styleId="IntenseQuote">
    <w:name w:val="Intense Quote"/>
    <w:basedOn w:val="Normal"/>
    <w:next w:val="Normal"/>
    <w:link w:val="IntenseQuoteChar"/>
    <w:uiPriority w:val="30"/>
    <w:qFormat/>
    <w:rsid w:val="00525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565"/>
    <w:rPr>
      <w:rFonts w:ascii="Arial" w:hAnsi="Arial"/>
      <w:i/>
      <w:iCs/>
      <w:color w:val="0F4761" w:themeColor="accent1" w:themeShade="BF"/>
      <w:lang w:val="en-GB"/>
    </w:rPr>
  </w:style>
  <w:style w:type="character" w:styleId="IntenseReference">
    <w:name w:val="Intense Reference"/>
    <w:basedOn w:val="DefaultParagraphFont"/>
    <w:uiPriority w:val="32"/>
    <w:qFormat/>
    <w:rsid w:val="00525565"/>
    <w:rPr>
      <w:b/>
      <w:bCs/>
      <w:smallCaps/>
      <w:color w:val="0F4761" w:themeColor="accent1" w:themeShade="BF"/>
      <w:spacing w:val="5"/>
    </w:rPr>
  </w:style>
  <w:style w:type="character" w:styleId="Hyperlink">
    <w:name w:val="Hyperlink"/>
    <w:basedOn w:val="DefaultParagraphFont"/>
    <w:uiPriority w:val="99"/>
    <w:unhideWhenUsed/>
    <w:rsid w:val="00207BB4"/>
    <w:rPr>
      <w:color w:val="467886" w:themeColor="hyperlink"/>
      <w:u w:val="single"/>
    </w:rPr>
  </w:style>
  <w:style w:type="paragraph" w:styleId="TOCHeading">
    <w:name w:val="TOC Heading"/>
    <w:basedOn w:val="Heading1"/>
    <w:next w:val="Normal"/>
    <w:uiPriority w:val="39"/>
    <w:unhideWhenUsed/>
    <w:qFormat/>
    <w:rsid w:val="0025399D"/>
    <w:pPr>
      <w:spacing w:before="24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5399D"/>
    <w:pPr>
      <w:spacing w:after="100"/>
    </w:pPr>
  </w:style>
  <w:style w:type="paragraph" w:styleId="TOC2">
    <w:name w:val="toc 2"/>
    <w:basedOn w:val="Normal"/>
    <w:next w:val="Normal"/>
    <w:autoRedefine/>
    <w:uiPriority w:val="39"/>
    <w:unhideWhenUsed/>
    <w:rsid w:val="0025399D"/>
    <w:pPr>
      <w:spacing w:after="100"/>
      <w:ind w:left="240"/>
    </w:pPr>
  </w:style>
  <w:style w:type="paragraph" w:styleId="Header">
    <w:name w:val="header"/>
    <w:basedOn w:val="Normal"/>
    <w:link w:val="HeaderChar"/>
    <w:uiPriority w:val="99"/>
    <w:unhideWhenUsed/>
    <w:rsid w:val="00253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399D"/>
    <w:rPr>
      <w:rFonts w:ascii="Arial" w:hAnsi="Arial"/>
      <w:lang w:val="en-GB"/>
    </w:rPr>
  </w:style>
  <w:style w:type="paragraph" w:styleId="Footer">
    <w:name w:val="footer"/>
    <w:basedOn w:val="Normal"/>
    <w:link w:val="FooterChar"/>
    <w:uiPriority w:val="99"/>
    <w:unhideWhenUsed/>
    <w:rsid w:val="0025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399D"/>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vokad.com/restaurant-customer-retention-strategies-20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rdorintelligence.com/industry-reports/united-kingdom-quick-service-restaurant-marke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spitalitytech360.co.uk/news/-measuring-return-restaurant-tech-uk-europ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haj\OneDrive\Desktop\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300" b="1">
                <a:latin typeface="Arial" panose="020B0604020202020204" pitchFamily="34" charset="0"/>
                <a:cs typeface="Arial" panose="020B0604020202020204" pitchFamily="34" charset="0"/>
              </a:rPr>
              <a:t>Gantt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'[Gantt Chart.xlsx]Sheet1'!$C$2</c:f>
              <c:strCache>
                <c:ptCount val="1"/>
                <c:pt idx="0">
                  <c:v>Start Date</c:v>
                </c:pt>
              </c:strCache>
            </c:strRef>
          </c:tx>
          <c:spPr>
            <a:noFill/>
            <a:ln>
              <a:noFill/>
            </a:ln>
            <a:effectLst/>
          </c:spPr>
          <c:invertIfNegative val="0"/>
          <c:cat>
            <c:strRef>
              <c:f>'[Gantt Chart.xlsx]Sheet1'!$B$3:$B$13</c:f>
              <c:strCache>
                <c:ptCount val="11"/>
                <c:pt idx="0">
                  <c:v>Proposal Finalisation and Approval</c:v>
                </c:pt>
                <c:pt idx="1">
                  <c:v>Ethics Confirmation</c:v>
                </c:pt>
                <c:pt idx="2">
                  <c:v>Literature Review Writing</c:v>
                </c:pt>
                <c:pt idx="3">
                  <c:v>Systematic Literature Search (PRISMA and Boolean)</c:v>
                </c:pt>
                <c:pt idx="4">
                  <c:v>Source Screening (Inclusion and Exclusion Criteria)</c:v>
                </c:pt>
                <c:pt idx="5">
                  <c:v>Snowball and Spider Search Strategy</c:v>
                </c:pt>
                <c:pt idx="6">
                  <c:v>Data Extraction and Organisation</c:v>
                </c:pt>
                <c:pt idx="7">
                  <c:v>Thematic Analysis (Braun and Clarke)</c:v>
                </c:pt>
                <c:pt idx="8">
                  <c:v>Conclusion and Recommendations</c:v>
                </c:pt>
                <c:pt idx="9">
                  <c:v>Editing, Proofreading and Formatting</c:v>
                </c:pt>
                <c:pt idx="10">
                  <c:v>Final Review and Submission</c:v>
                </c:pt>
              </c:strCache>
            </c:strRef>
          </c:cat>
          <c:val>
            <c:numRef>
              <c:f>'[Gantt Chart.xlsx]Sheet1'!$C$3:$C$13</c:f>
              <c:numCache>
                <c:formatCode>d\-mmm</c:formatCode>
                <c:ptCount val="11"/>
                <c:pt idx="0">
                  <c:v>46070</c:v>
                </c:pt>
                <c:pt idx="1">
                  <c:v>46070</c:v>
                </c:pt>
                <c:pt idx="2">
                  <c:v>46082</c:v>
                </c:pt>
                <c:pt idx="3">
                  <c:v>46082</c:v>
                </c:pt>
                <c:pt idx="4">
                  <c:v>46089</c:v>
                </c:pt>
                <c:pt idx="5">
                  <c:v>46096</c:v>
                </c:pt>
                <c:pt idx="6">
                  <c:v>46103</c:v>
                </c:pt>
                <c:pt idx="7">
                  <c:v>46124</c:v>
                </c:pt>
                <c:pt idx="8">
                  <c:v>46152</c:v>
                </c:pt>
                <c:pt idx="9">
                  <c:v>46173</c:v>
                </c:pt>
                <c:pt idx="10">
                  <c:v>46180</c:v>
                </c:pt>
              </c:numCache>
            </c:numRef>
          </c:val>
          <c:extLst>
            <c:ext xmlns:c16="http://schemas.microsoft.com/office/drawing/2014/chart" uri="{C3380CC4-5D6E-409C-BE32-E72D297353CC}">
              <c16:uniqueId val="{00000000-72DB-49F0-B917-D90009C6CA72}"/>
            </c:ext>
          </c:extLst>
        </c:ser>
        <c:ser>
          <c:idx val="1"/>
          <c:order val="1"/>
          <c:tx>
            <c:v>Duration</c:v>
          </c:tx>
          <c:spPr>
            <a:solidFill>
              <a:schemeClr val="accent4">
                <a:lumMod val="75000"/>
              </a:schemeClr>
            </a:solidFill>
            <a:ln>
              <a:solidFill>
                <a:schemeClr val="tx2"/>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'[Gantt Chart.xlsx]Sheet1'!$E$3:$E$13</c:f>
              <c:numCache>
                <c:formatCode>General</c:formatCode>
                <c:ptCount val="11"/>
                <c:pt idx="0">
                  <c:v>12</c:v>
                </c:pt>
                <c:pt idx="1">
                  <c:v>12</c:v>
                </c:pt>
                <c:pt idx="2">
                  <c:v>31</c:v>
                </c:pt>
                <c:pt idx="3">
                  <c:v>21</c:v>
                </c:pt>
                <c:pt idx="4">
                  <c:v>21</c:v>
                </c:pt>
                <c:pt idx="5">
                  <c:v>21</c:v>
                </c:pt>
                <c:pt idx="6">
                  <c:v>21</c:v>
                </c:pt>
                <c:pt idx="7">
                  <c:v>28</c:v>
                </c:pt>
                <c:pt idx="8">
                  <c:v>21</c:v>
                </c:pt>
                <c:pt idx="9">
                  <c:v>14</c:v>
                </c:pt>
                <c:pt idx="10">
                  <c:v>14</c:v>
                </c:pt>
              </c:numCache>
            </c:numRef>
          </c:val>
          <c:extLst>
            <c:ext xmlns:c16="http://schemas.microsoft.com/office/drawing/2014/chart" uri="{C3380CC4-5D6E-409C-BE32-E72D297353CC}">
              <c16:uniqueId val="{00000001-72DB-49F0-B917-D90009C6CA72}"/>
            </c:ext>
          </c:extLst>
        </c:ser>
        <c:dLbls>
          <c:showLegendKey val="0"/>
          <c:showVal val="0"/>
          <c:showCatName val="0"/>
          <c:showSerName val="0"/>
          <c:showPercent val="0"/>
          <c:showBubbleSize val="0"/>
        </c:dLbls>
        <c:gapWidth val="150"/>
        <c:overlap val="100"/>
        <c:axId val="1332446927"/>
        <c:axId val="1332443087"/>
      </c:barChart>
      <c:catAx>
        <c:axId val="133244692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443087"/>
        <c:crosses val="autoZero"/>
        <c:auto val="1"/>
        <c:lblAlgn val="ctr"/>
        <c:lblOffset val="100"/>
        <c:noMultiLvlLbl val="0"/>
      </c:catAx>
      <c:valAx>
        <c:axId val="1332443087"/>
        <c:scaling>
          <c:orientation val="minMax"/>
          <c:max val="46193"/>
          <c:min val="46070"/>
        </c:scaling>
        <c:delete val="0"/>
        <c:axPos val="t"/>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44692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3B39B-AFEA-413F-A08D-8E494C0E6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10</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3</cp:revision>
  <dcterms:created xsi:type="dcterms:W3CDTF">2026-02-11T15:12:00Z</dcterms:created>
  <dcterms:modified xsi:type="dcterms:W3CDTF">2026-02-18T12:45:00Z</dcterms:modified>
</cp:coreProperties>
</file>