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8AA83" w14:textId="77777777" w:rsidR="00E518CA" w:rsidRPr="00873E82" w:rsidRDefault="00E518CA" w:rsidP="00E518CA">
      <w:pPr>
        <w:spacing w:line="480" w:lineRule="auto"/>
        <w:jc w:val="center"/>
        <w:rPr>
          <w:rFonts w:ascii="Sitka Small Semibold" w:hAnsi="Sitka Small Semibold" w:cs="Times New Roman"/>
          <w:sz w:val="24"/>
          <w:szCs w:val="24"/>
        </w:rPr>
      </w:pPr>
    </w:p>
    <w:p w14:paraId="3D325209" w14:textId="77777777" w:rsidR="00E518CA" w:rsidRPr="00873E82" w:rsidRDefault="00E518CA" w:rsidP="00E518CA">
      <w:pPr>
        <w:spacing w:line="480" w:lineRule="auto"/>
        <w:jc w:val="center"/>
        <w:rPr>
          <w:rFonts w:ascii="Sitka Small Semibold" w:hAnsi="Sitka Small Semibold" w:cs="Times New Roman"/>
          <w:sz w:val="24"/>
          <w:szCs w:val="24"/>
        </w:rPr>
      </w:pPr>
    </w:p>
    <w:p w14:paraId="4E81F338" w14:textId="77777777" w:rsidR="00E518CA" w:rsidRPr="00873E82" w:rsidRDefault="00E518CA" w:rsidP="00E518CA">
      <w:pPr>
        <w:spacing w:line="480" w:lineRule="auto"/>
        <w:jc w:val="center"/>
        <w:rPr>
          <w:rFonts w:ascii="Sitka Small Semibold" w:hAnsi="Sitka Small Semibold" w:cs="Times New Roman"/>
          <w:sz w:val="24"/>
          <w:szCs w:val="24"/>
        </w:rPr>
      </w:pPr>
    </w:p>
    <w:p w14:paraId="6A5C7DEA" w14:textId="77777777" w:rsidR="00E518CA" w:rsidRPr="00873E82" w:rsidRDefault="00E518CA" w:rsidP="00E518CA">
      <w:pPr>
        <w:spacing w:line="480" w:lineRule="auto"/>
        <w:jc w:val="center"/>
        <w:rPr>
          <w:rFonts w:ascii="Sitka Small Semibold" w:hAnsi="Sitka Small Semibold" w:cs="Times New Roman"/>
          <w:sz w:val="24"/>
          <w:szCs w:val="24"/>
        </w:rPr>
      </w:pPr>
    </w:p>
    <w:p w14:paraId="272FB262" w14:textId="46338106" w:rsidR="00E518CA" w:rsidRPr="00873E82" w:rsidRDefault="00E518CA" w:rsidP="00E518CA">
      <w:pPr>
        <w:spacing w:line="480" w:lineRule="auto"/>
        <w:jc w:val="center"/>
        <w:rPr>
          <w:rFonts w:ascii="Sitka Small Semibold" w:hAnsi="Sitka Small Semibold" w:cs="Times New Roman"/>
          <w:sz w:val="24"/>
          <w:szCs w:val="24"/>
        </w:rPr>
      </w:pPr>
      <w:r w:rsidRPr="00873E82">
        <w:rPr>
          <w:rFonts w:ascii="Sitka Small Semibold" w:hAnsi="Sitka Small Semibold" w:cs="Times New Roman"/>
          <w:sz w:val="24"/>
          <w:szCs w:val="24"/>
        </w:rPr>
        <w:t>International Financial Management</w:t>
      </w:r>
    </w:p>
    <w:p w14:paraId="6BDB29D9" w14:textId="789125D8" w:rsidR="00E518CA" w:rsidRPr="00873E82" w:rsidRDefault="00E518CA" w:rsidP="00E518CA">
      <w:pPr>
        <w:spacing w:line="480" w:lineRule="auto"/>
        <w:jc w:val="center"/>
        <w:rPr>
          <w:rFonts w:ascii="Sitka Small Semibold" w:hAnsi="Sitka Small Semibold" w:cs="Times New Roman"/>
          <w:sz w:val="24"/>
          <w:szCs w:val="24"/>
        </w:rPr>
      </w:pPr>
      <w:r w:rsidRPr="00873E82">
        <w:rPr>
          <w:rFonts w:ascii="Sitka Small Semibold" w:hAnsi="Sitka Small Semibold" w:cs="Times New Roman"/>
          <w:sz w:val="24"/>
          <w:szCs w:val="24"/>
        </w:rPr>
        <w:t>Student’s ID:</w:t>
      </w:r>
      <w:r w:rsidR="00850723">
        <w:rPr>
          <w:rFonts w:ascii="Sitka Small Semibold" w:hAnsi="Sitka Small Semibold" w:cs="Times New Roman"/>
          <w:sz w:val="24"/>
          <w:szCs w:val="24"/>
        </w:rPr>
        <w:t xml:space="preserve"> 2122750</w:t>
      </w:r>
    </w:p>
    <w:p w14:paraId="51E15847" w14:textId="06D6E438" w:rsidR="00E518CA" w:rsidRPr="00873E82" w:rsidRDefault="00E518CA" w:rsidP="00E518CA">
      <w:pPr>
        <w:spacing w:line="480" w:lineRule="auto"/>
        <w:jc w:val="center"/>
        <w:rPr>
          <w:rFonts w:ascii="Sitka Small Semibold" w:hAnsi="Sitka Small Semibold" w:cs="Times New Roman"/>
          <w:sz w:val="24"/>
          <w:szCs w:val="24"/>
        </w:rPr>
      </w:pPr>
      <w:r w:rsidRPr="00873E82">
        <w:rPr>
          <w:rFonts w:ascii="Sitka Small Semibold" w:hAnsi="Sitka Small Semibold" w:cs="Times New Roman"/>
          <w:sz w:val="24"/>
          <w:szCs w:val="24"/>
        </w:rPr>
        <w:t>Institution:</w:t>
      </w:r>
      <w:r w:rsidR="00850723">
        <w:rPr>
          <w:rFonts w:ascii="Sitka Small Semibold" w:hAnsi="Sitka Small Semibold" w:cs="Times New Roman"/>
          <w:sz w:val="24"/>
          <w:szCs w:val="24"/>
        </w:rPr>
        <w:t xml:space="preserve"> UWTSD</w:t>
      </w:r>
    </w:p>
    <w:p w14:paraId="4D046BBE" w14:textId="27E39653" w:rsidR="00E518CA" w:rsidRDefault="00E518CA" w:rsidP="00E518CA">
      <w:pPr>
        <w:spacing w:line="480" w:lineRule="auto"/>
        <w:jc w:val="center"/>
        <w:rPr>
          <w:rFonts w:ascii="Sitka Small Semibold" w:hAnsi="Sitka Small Semibold" w:cs="Times New Roman"/>
          <w:sz w:val="24"/>
          <w:szCs w:val="24"/>
        </w:rPr>
      </w:pPr>
      <w:r w:rsidRPr="00873E82">
        <w:rPr>
          <w:rFonts w:ascii="Sitka Small Semibold" w:hAnsi="Sitka Small Semibold" w:cs="Times New Roman"/>
          <w:sz w:val="24"/>
          <w:szCs w:val="24"/>
        </w:rPr>
        <w:t>Submission Date:</w:t>
      </w:r>
      <w:r w:rsidR="00850723">
        <w:rPr>
          <w:rFonts w:ascii="Sitka Small Semibold" w:hAnsi="Sitka Small Semibold" w:cs="Times New Roman"/>
          <w:sz w:val="24"/>
          <w:szCs w:val="24"/>
        </w:rPr>
        <w:t xml:space="preserve"> 02.04.2024</w:t>
      </w:r>
    </w:p>
    <w:p w14:paraId="7148FF40" w14:textId="496CFA3A" w:rsidR="00850723" w:rsidRPr="00873E82" w:rsidRDefault="00850723" w:rsidP="00E518CA">
      <w:pPr>
        <w:spacing w:line="480" w:lineRule="auto"/>
        <w:jc w:val="center"/>
        <w:rPr>
          <w:rFonts w:ascii="Sitka Small Semibold" w:hAnsi="Sitka Small Semibold" w:cs="Times New Roman"/>
          <w:sz w:val="24"/>
          <w:szCs w:val="24"/>
        </w:rPr>
      </w:pPr>
      <w:r>
        <w:rPr>
          <w:rFonts w:ascii="Sitka Small Semibold" w:hAnsi="Sitka Small Semibold" w:cs="Times New Roman"/>
          <w:sz w:val="24"/>
          <w:szCs w:val="24"/>
        </w:rPr>
        <w:t xml:space="preserve">Lecturer Name : </w:t>
      </w:r>
      <w:r w:rsidR="00517E5C">
        <w:rPr>
          <w:rFonts w:ascii="Sitka Small Semibold" w:hAnsi="Sitka Small Semibold" w:cs="Times New Roman"/>
          <w:sz w:val="24"/>
          <w:szCs w:val="24"/>
        </w:rPr>
        <w:t>DR. Taye Timo</w:t>
      </w:r>
      <w:r w:rsidR="00165D1C">
        <w:rPr>
          <w:rFonts w:ascii="Sitka Small Semibold" w:hAnsi="Sitka Small Semibold" w:cs="Times New Roman"/>
          <w:sz w:val="24"/>
          <w:szCs w:val="24"/>
        </w:rPr>
        <w:t>thy Osadiya</w:t>
      </w:r>
    </w:p>
    <w:p w14:paraId="3DA62A98" w14:textId="77777777" w:rsidR="00E518CA" w:rsidRPr="00873E82" w:rsidRDefault="00E518CA" w:rsidP="00E518CA">
      <w:pPr>
        <w:spacing w:line="480" w:lineRule="auto"/>
        <w:rPr>
          <w:rFonts w:ascii="Times New Roman" w:hAnsi="Times New Roman" w:cs="Times New Roman"/>
          <w:b/>
          <w:bCs/>
          <w:sz w:val="24"/>
          <w:szCs w:val="24"/>
        </w:rPr>
      </w:pPr>
    </w:p>
    <w:p w14:paraId="2ABCE981" w14:textId="77777777" w:rsidR="00E518CA" w:rsidRPr="00873E82" w:rsidRDefault="00E518CA" w:rsidP="00E518CA">
      <w:pPr>
        <w:spacing w:line="480" w:lineRule="auto"/>
        <w:rPr>
          <w:rFonts w:ascii="Times New Roman" w:hAnsi="Times New Roman" w:cs="Times New Roman"/>
          <w:b/>
          <w:bCs/>
          <w:sz w:val="24"/>
          <w:szCs w:val="24"/>
        </w:rPr>
      </w:pPr>
    </w:p>
    <w:p w14:paraId="2C56BD00" w14:textId="77777777" w:rsidR="00E518CA" w:rsidRPr="00873E82" w:rsidRDefault="00E518CA" w:rsidP="00E518CA">
      <w:pPr>
        <w:spacing w:line="480" w:lineRule="auto"/>
        <w:rPr>
          <w:rFonts w:ascii="Times New Roman" w:hAnsi="Times New Roman" w:cs="Times New Roman"/>
          <w:b/>
          <w:bCs/>
          <w:sz w:val="24"/>
          <w:szCs w:val="24"/>
        </w:rPr>
      </w:pPr>
    </w:p>
    <w:p w14:paraId="169D7940" w14:textId="77777777" w:rsidR="00E518CA" w:rsidRPr="00873E82" w:rsidRDefault="00E518CA" w:rsidP="00E518CA">
      <w:pPr>
        <w:spacing w:line="480" w:lineRule="auto"/>
        <w:rPr>
          <w:rFonts w:ascii="Times New Roman" w:hAnsi="Times New Roman" w:cs="Times New Roman"/>
          <w:b/>
          <w:bCs/>
          <w:sz w:val="24"/>
          <w:szCs w:val="24"/>
        </w:rPr>
      </w:pPr>
    </w:p>
    <w:p w14:paraId="32415455" w14:textId="77777777" w:rsidR="00E518CA" w:rsidRPr="00873E82" w:rsidRDefault="00E518CA" w:rsidP="00E518CA">
      <w:pPr>
        <w:spacing w:line="480" w:lineRule="auto"/>
        <w:rPr>
          <w:rFonts w:ascii="Times New Roman" w:hAnsi="Times New Roman" w:cs="Times New Roman"/>
          <w:b/>
          <w:bCs/>
          <w:sz w:val="24"/>
          <w:szCs w:val="24"/>
        </w:rPr>
      </w:pPr>
    </w:p>
    <w:p w14:paraId="0F4D10AE" w14:textId="77777777" w:rsidR="00E518CA" w:rsidRPr="00873E82" w:rsidRDefault="00E518CA" w:rsidP="00E518CA">
      <w:pPr>
        <w:spacing w:line="480" w:lineRule="auto"/>
        <w:rPr>
          <w:rFonts w:ascii="Times New Roman" w:hAnsi="Times New Roman" w:cs="Times New Roman"/>
          <w:b/>
          <w:bCs/>
          <w:sz w:val="24"/>
          <w:szCs w:val="24"/>
        </w:rPr>
      </w:pPr>
    </w:p>
    <w:p w14:paraId="1A85A7D9" w14:textId="77777777" w:rsidR="00E518CA" w:rsidRPr="00873E82" w:rsidRDefault="00E518CA" w:rsidP="00E518CA">
      <w:pPr>
        <w:spacing w:line="480" w:lineRule="auto"/>
        <w:rPr>
          <w:rFonts w:ascii="Times New Roman" w:hAnsi="Times New Roman" w:cs="Times New Roman"/>
          <w:b/>
          <w:bCs/>
          <w:sz w:val="24"/>
          <w:szCs w:val="24"/>
        </w:rPr>
      </w:pPr>
    </w:p>
    <w:p w14:paraId="1484F1FF" w14:textId="77777777" w:rsidR="00E518CA" w:rsidRPr="00873E82" w:rsidRDefault="00E518CA" w:rsidP="00E518CA">
      <w:pPr>
        <w:spacing w:line="480" w:lineRule="auto"/>
        <w:rPr>
          <w:rFonts w:ascii="Times New Roman" w:hAnsi="Times New Roman" w:cs="Times New Roman"/>
          <w:b/>
          <w:bCs/>
          <w:sz w:val="24"/>
          <w:szCs w:val="24"/>
        </w:rPr>
      </w:pPr>
    </w:p>
    <w:p w14:paraId="4B448606" w14:textId="77777777" w:rsidR="00E518CA" w:rsidRPr="00873E82" w:rsidRDefault="00E518CA" w:rsidP="00E518CA">
      <w:pPr>
        <w:spacing w:line="480" w:lineRule="auto"/>
        <w:rPr>
          <w:rFonts w:ascii="Times New Roman" w:hAnsi="Times New Roman" w:cs="Times New Roman"/>
          <w:b/>
          <w:bCs/>
          <w:sz w:val="24"/>
          <w:szCs w:val="24"/>
        </w:rPr>
      </w:pPr>
    </w:p>
    <w:p w14:paraId="1ED66B79" w14:textId="77777777" w:rsidR="00E518CA" w:rsidRPr="00873E82" w:rsidRDefault="00E518CA" w:rsidP="00E518CA">
      <w:pPr>
        <w:pStyle w:val="Heading1"/>
        <w:spacing w:line="480" w:lineRule="auto"/>
        <w:rPr>
          <w:bCs/>
        </w:rPr>
      </w:pPr>
      <w:bookmarkStart w:id="0" w:name="_Toc160380855"/>
      <w:r w:rsidRPr="00873E82">
        <w:rPr>
          <w:bCs/>
        </w:rPr>
        <w:lastRenderedPageBreak/>
        <w:t>Executive Summary</w:t>
      </w:r>
      <w:bookmarkEnd w:id="0"/>
    </w:p>
    <w:p w14:paraId="22E5CBE3"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This report examines various forex risk management strategies employed by multinational corporations (MNCs) to manage exposure across transaction, translation and economic risks. It defines the important terms to provide the necessary context on the forex exposures of MNCs and the outcome of related risks and risk management needs. The report provides a comprehensive analysis of both internal and external hedging methods that MNCs can employ to mitigate exposures. Internal methods evaluated are invoice currency adjustments, exposure netting, leading/lagging cash flows and risk sharing with partners. Currency derivatives like forwards, futures, options and swaps are viewed as external hedging instruments. The analysis looks into the costs, benefits and feasibility of the strategies to handle various forms of forex risks. The report suggests that an MNC should combine internal flexibility with selective use of external hedging derivatives that are tailored to its specific risk exposures and regulatory constraints in order to effectively manage forex risk. The report ends with recommendations on how to introduce the right internal and external practices to ensure stability of foreign exchange markets in times of fluctuations.</w:t>
      </w:r>
    </w:p>
    <w:p w14:paraId="64CB8F84" w14:textId="77777777" w:rsidR="00E518CA" w:rsidRPr="00873E82" w:rsidRDefault="00E518CA" w:rsidP="00E518CA">
      <w:pPr>
        <w:spacing w:line="480" w:lineRule="auto"/>
        <w:rPr>
          <w:rFonts w:ascii="Times New Roman" w:hAnsi="Times New Roman" w:cs="Times New Roman"/>
          <w:sz w:val="24"/>
          <w:szCs w:val="24"/>
        </w:rPr>
      </w:pPr>
    </w:p>
    <w:p w14:paraId="704DA2CD" w14:textId="77777777" w:rsidR="00E518CA" w:rsidRPr="00873E82" w:rsidRDefault="00E518CA" w:rsidP="00E518CA">
      <w:pPr>
        <w:spacing w:line="480" w:lineRule="auto"/>
        <w:rPr>
          <w:rFonts w:ascii="Times New Roman" w:hAnsi="Times New Roman" w:cs="Times New Roman"/>
          <w:sz w:val="24"/>
          <w:szCs w:val="24"/>
        </w:rPr>
      </w:pPr>
    </w:p>
    <w:p w14:paraId="6D6B893B" w14:textId="77777777" w:rsidR="00E518CA" w:rsidRPr="00873E82" w:rsidRDefault="00E518CA" w:rsidP="00E518CA">
      <w:pPr>
        <w:spacing w:line="480" w:lineRule="auto"/>
        <w:rPr>
          <w:rFonts w:ascii="Times New Roman" w:hAnsi="Times New Roman" w:cs="Times New Roman"/>
          <w:sz w:val="24"/>
          <w:szCs w:val="24"/>
        </w:rPr>
      </w:pPr>
    </w:p>
    <w:p w14:paraId="517C98E4" w14:textId="77777777" w:rsidR="00E518CA" w:rsidRPr="00873E82" w:rsidRDefault="00E518CA" w:rsidP="00E518CA">
      <w:pPr>
        <w:spacing w:line="480" w:lineRule="auto"/>
        <w:rPr>
          <w:rFonts w:ascii="Times New Roman" w:hAnsi="Times New Roman" w:cs="Times New Roman"/>
          <w:sz w:val="24"/>
          <w:szCs w:val="24"/>
        </w:rPr>
      </w:pPr>
    </w:p>
    <w:p w14:paraId="3402316E" w14:textId="77777777" w:rsidR="00E518CA" w:rsidRPr="00873E82" w:rsidRDefault="00E518CA" w:rsidP="00E518CA">
      <w:pPr>
        <w:spacing w:line="480" w:lineRule="auto"/>
        <w:rPr>
          <w:rFonts w:ascii="Times New Roman" w:hAnsi="Times New Roman" w:cs="Times New Roman"/>
          <w:sz w:val="24"/>
          <w:szCs w:val="24"/>
        </w:rPr>
      </w:pPr>
    </w:p>
    <w:p w14:paraId="532F1131" w14:textId="77777777" w:rsidR="00E518CA" w:rsidRPr="00873E82" w:rsidRDefault="00E518CA" w:rsidP="00E518CA">
      <w:pPr>
        <w:spacing w:line="480" w:lineRule="auto"/>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14:ligatures w14:val="standardContextual"/>
        </w:rPr>
        <w:id w:val="1293027797"/>
        <w:docPartObj>
          <w:docPartGallery w:val="Table of Contents"/>
          <w:docPartUnique/>
        </w:docPartObj>
      </w:sdtPr>
      <w:sdtEndPr>
        <w:rPr>
          <w:b/>
          <w:bCs/>
          <w:noProof/>
        </w:rPr>
      </w:sdtEndPr>
      <w:sdtContent>
        <w:p w14:paraId="4FB36289" w14:textId="77777777" w:rsidR="00E518CA" w:rsidRPr="00873E82" w:rsidRDefault="00E518CA" w:rsidP="00E518CA">
          <w:pPr>
            <w:pStyle w:val="TOCHeading"/>
            <w:spacing w:line="480" w:lineRule="auto"/>
            <w:rPr>
              <w:rFonts w:ascii="Times New Roman" w:hAnsi="Times New Roman" w:cs="Times New Roman"/>
              <w:sz w:val="24"/>
              <w:szCs w:val="24"/>
              <w:lang w:val="en-GB"/>
            </w:rPr>
          </w:pPr>
          <w:r w:rsidRPr="00873E82">
            <w:rPr>
              <w:rFonts w:ascii="Times New Roman" w:hAnsi="Times New Roman" w:cs="Times New Roman"/>
              <w:sz w:val="24"/>
              <w:szCs w:val="24"/>
              <w:lang w:val="en-GB"/>
            </w:rPr>
            <w:t>Table of Contents</w:t>
          </w:r>
        </w:p>
        <w:p w14:paraId="2FD80487" w14:textId="77777777" w:rsidR="00E518CA" w:rsidRPr="00873E82" w:rsidRDefault="00E518CA" w:rsidP="00E518CA">
          <w:pPr>
            <w:pStyle w:val="TOC1"/>
            <w:tabs>
              <w:tab w:val="right" w:leader="dot" w:pos="9350"/>
            </w:tabs>
            <w:spacing w:line="480" w:lineRule="auto"/>
            <w:rPr>
              <w:rFonts w:ascii="Times New Roman" w:hAnsi="Times New Roman" w:cs="Times New Roman"/>
              <w:noProof/>
              <w:sz w:val="24"/>
              <w:szCs w:val="24"/>
            </w:rPr>
          </w:pPr>
          <w:r w:rsidRPr="00873E82">
            <w:rPr>
              <w:rFonts w:ascii="Times New Roman" w:hAnsi="Times New Roman" w:cs="Times New Roman"/>
              <w:sz w:val="24"/>
              <w:szCs w:val="24"/>
            </w:rPr>
            <w:fldChar w:fldCharType="begin"/>
          </w:r>
          <w:r w:rsidRPr="00873E82">
            <w:rPr>
              <w:rFonts w:ascii="Times New Roman" w:hAnsi="Times New Roman" w:cs="Times New Roman"/>
              <w:sz w:val="24"/>
              <w:szCs w:val="24"/>
            </w:rPr>
            <w:instrText xml:space="preserve"> TOC \o "1-3" \h \z \u </w:instrText>
          </w:r>
          <w:r w:rsidRPr="00873E82">
            <w:rPr>
              <w:rFonts w:ascii="Times New Roman" w:hAnsi="Times New Roman" w:cs="Times New Roman"/>
              <w:sz w:val="24"/>
              <w:szCs w:val="24"/>
            </w:rPr>
            <w:fldChar w:fldCharType="separate"/>
          </w:r>
          <w:hyperlink w:anchor="_Toc160380855" w:history="1">
            <w:r w:rsidRPr="00873E82">
              <w:rPr>
                <w:rStyle w:val="Hyperlink"/>
                <w:rFonts w:ascii="Times New Roman" w:hAnsi="Times New Roman" w:cs="Times New Roman"/>
                <w:bCs/>
                <w:noProof/>
                <w:sz w:val="24"/>
                <w:szCs w:val="24"/>
              </w:rPr>
              <w:t>Executive Summary</w:t>
            </w:r>
            <w:r w:rsidRPr="00873E82">
              <w:rPr>
                <w:rFonts w:ascii="Times New Roman" w:hAnsi="Times New Roman" w:cs="Times New Roman"/>
                <w:noProof/>
                <w:webHidden/>
                <w:sz w:val="24"/>
                <w:szCs w:val="24"/>
              </w:rPr>
              <w:tab/>
            </w:r>
            <w:r w:rsidRPr="00873E82">
              <w:rPr>
                <w:rFonts w:ascii="Times New Roman" w:hAnsi="Times New Roman" w:cs="Times New Roman"/>
                <w:noProof/>
                <w:webHidden/>
                <w:sz w:val="24"/>
                <w:szCs w:val="24"/>
              </w:rPr>
              <w:fldChar w:fldCharType="begin"/>
            </w:r>
            <w:r w:rsidRPr="00873E82">
              <w:rPr>
                <w:rFonts w:ascii="Times New Roman" w:hAnsi="Times New Roman" w:cs="Times New Roman"/>
                <w:noProof/>
                <w:webHidden/>
                <w:sz w:val="24"/>
                <w:szCs w:val="24"/>
              </w:rPr>
              <w:instrText xml:space="preserve"> PAGEREF _Toc160380855 \h </w:instrText>
            </w:r>
            <w:r w:rsidRPr="00873E82">
              <w:rPr>
                <w:rFonts w:ascii="Times New Roman" w:hAnsi="Times New Roman" w:cs="Times New Roman"/>
                <w:noProof/>
                <w:webHidden/>
                <w:sz w:val="24"/>
                <w:szCs w:val="24"/>
              </w:rPr>
            </w:r>
            <w:r w:rsidRPr="00873E82">
              <w:rPr>
                <w:rFonts w:ascii="Times New Roman" w:hAnsi="Times New Roman" w:cs="Times New Roman"/>
                <w:noProof/>
                <w:webHidden/>
                <w:sz w:val="24"/>
                <w:szCs w:val="24"/>
              </w:rPr>
              <w:fldChar w:fldCharType="separate"/>
            </w:r>
            <w:r w:rsidRPr="00873E82">
              <w:rPr>
                <w:rFonts w:ascii="Times New Roman" w:hAnsi="Times New Roman" w:cs="Times New Roman"/>
                <w:noProof/>
                <w:webHidden/>
                <w:sz w:val="24"/>
                <w:szCs w:val="24"/>
              </w:rPr>
              <w:t>2</w:t>
            </w:r>
            <w:r w:rsidRPr="00873E82">
              <w:rPr>
                <w:rFonts w:ascii="Times New Roman" w:hAnsi="Times New Roman" w:cs="Times New Roman"/>
                <w:noProof/>
                <w:webHidden/>
                <w:sz w:val="24"/>
                <w:szCs w:val="24"/>
              </w:rPr>
              <w:fldChar w:fldCharType="end"/>
            </w:r>
          </w:hyperlink>
        </w:p>
        <w:p w14:paraId="0D3271F5" w14:textId="77777777" w:rsidR="00E518CA" w:rsidRPr="00873E82" w:rsidRDefault="00E518CA" w:rsidP="00E518CA">
          <w:pPr>
            <w:pStyle w:val="TOC1"/>
            <w:tabs>
              <w:tab w:val="right" w:leader="dot" w:pos="9350"/>
            </w:tabs>
            <w:spacing w:line="480" w:lineRule="auto"/>
            <w:rPr>
              <w:rFonts w:ascii="Times New Roman" w:hAnsi="Times New Roman" w:cs="Times New Roman"/>
              <w:noProof/>
              <w:sz w:val="24"/>
              <w:szCs w:val="24"/>
            </w:rPr>
          </w:pPr>
          <w:hyperlink w:anchor="_Toc160380856" w:history="1">
            <w:r w:rsidRPr="00873E82">
              <w:rPr>
                <w:rStyle w:val="Hyperlink"/>
                <w:rFonts w:ascii="Times New Roman" w:hAnsi="Times New Roman" w:cs="Times New Roman"/>
                <w:noProof/>
                <w:sz w:val="24"/>
                <w:szCs w:val="24"/>
              </w:rPr>
              <w:t>Introduction</w:t>
            </w:r>
            <w:r w:rsidRPr="00873E82">
              <w:rPr>
                <w:rFonts w:ascii="Times New Roman" w:hAnsi="Times New Roman" w:cs="Times New Roman"/>
                <w:noProof/>
                <w:webHidden/>
                <w:sz w:val="24"/>
                <w:szCs w:val="24"/>
              </w:rPr>
              <w:tab/>
            </w:r>
            <w:r w:rsidRPr="00873E82">
              <w:rPr>
                <w:rFonts w:ascii="Times New Roman" w:hAnsi="Times New Roman" w:cs="Times New Roman"/>
                <w:noProof/>
                <w:webHidden/>
                <w:sz w:val="24"/>
                <w:szCs w:val="24"/>
              </w:rPr>
              <w:fldChar w:fldCharType="begin"/>
            </w:r>
            <w:r w:rsidRPr="00873E82">
              <w:rPr>
                <w:rFonts w:ascii="Times New Roman" w:hAnsi="Times New Roman" w:cs="Times New Roman"/>
                <w:noProof/>
                <w:webHidden/>
                <w:sz w:val="24"/>
                <w:szCs w:val="24"/>
              </w:rPr>
              <w:instrText xml:space="preserve"> PAGEREF _Toc160380856 \h </w:instrText>
            </w:r>
            <w:r w:rsidRPr="00873E82">
              <w:rPr>
                <w:rFonts w:ascii="Times New Roman" w:hAnsi="Times New Roman" w:cs="Times New Roman"/>
                <w:noProof/>
                <w:webHidden/>
                <w:sz w:val="24"/>
                <w:szCs w:val="24"/>
              </w:rPr>
            </w:r>
            <w:r w:rsidRPr="00873E82">
              <w:rPr>
                <w:rFonts w:ascii="Times New Roman" w:hAnsi="Times New Roman" w:cs="Times New Roman"/>
                <w:noProof/>
                <w:webHidden/>
                <w:sz w:val="24"/>
                <w:szCs w:val="24"/>
              </w:rPr>
              <w:fldChar w:fldCharType="separate"/>
            </w:r>
            <w:r w:rsidRPr="00873E82">
              <w:rPr>
                <w:rFonts w:ascii="Times New Roman" w:hAnsi="Times New Roman" w:cs="Times New Roman"/>
                <w:noProof/>
                <w:webHidden/>
                <w:sz w:val="24"/>
                <w:szCs w:val="24"/>
              </w:rPr>
              <w:t>4</w:t>
            </w:r>
            <w:r w:rsidRPr="00873E82">
              <w:rPr>
                <w:rFonts w:ascii="Times New Roman" w:hAnsi="Times New Roman" w:cs="Times New Roman"/>
                <w:noProof/>
                <w:webHidden/>
                <w:sz w:val="24"/>
                <w:szCs w:val="24"/>
              </w:rPr>
              <w:fldChar w:fldCharType="end"/>
            </w:r>
          </w:hyperlink>
        </w:p>
        <w:p w14:paraId="634A7F58" w14:textId="77777777" w:rsidR="00E518CA" w:rsidRPr="00873E82" w:rsidRDefault="00E518CA" w:rsidP="00E518CA">
          <w:pPr>
            <w:pStyle w:val="TOC1"/>
            <w:tabs>
              <w:tab w:val="right" w:leader="dot" w:pos="9350"/>
            </w:tabs>
            <w:spacing w:line="480" w:lineRule="auto"/>
            <w:rPr>
              <w:rFonts w:ascii="Times New Roman" w:hAnsi="Times New Roman" w:cs="Times New Roman"/>
              <w:noProof/>
              <w:sz w:val="24"/>
              <w:szCs w:val="24"/>
            </w:rPr>
          </w:pPr>
          <w:hyperlink w:anchor="_Toc160380857" w:history="1">
            <w:r w:rsidRPr="00873E82">
              <w:rPr>
                <w:rStyle w:val="Hyperlink"/>
                <w:rFonts w:ascii="Times New Roman" w:hAnsi="Times New Roman" w:cs="Times New Roman"/>
                <w:noProof/>
                <w:sz w:val="24"/>
                <w:szCs w:val="24"/>
              </w:rPr>
              <w:t>Foreign Exchange Risk Exposures</w:t>
            </w:r>
            <w:r w:rsidRPr="00873E82">
              <w:rPr>
                <w:rFonts w:ascii="Times New Roman" w:hAnsi="Times New Roman" w:cs="Times New Roman"/>
                <w:noProof/>
                <w:webHidden/>
                <w:sz w:val="24"/>
                <w:szCs w:val="24"/>
              </w:rPr>
              <w:tab/>
            </w:r>
            <w:r w:rsidRPr="00873E82">
              <w:rPr>
                <w:rFonts w:ascii="Times New Roman" w:hAnsi="Times New Roman" w:cs="Times New Roman"/>
                <w:noProof/>
                <w:webHidden/>
                <w:sz w:val="24"/>
                <w:szCs w:val="24"/>
              </w:rPr>
              <w:fldChar w:fldCharType="begin"/>
            </w:r>
            <w:r w:rsidRPr="00873E82">
              <w:rPr>
                <w:rFonts w:ascii="Times New Roman" w:hAnsi="Times New Roman" w:cs="Times New Roman"/>
                <w:noProof/>
                <w:webHidden/>
                <w:sz w:val="24"/>
                <w:szCs w:val="24"/>
              </w:rPr>
              <w:instrText xml:space="preserve"> PAGEREF _Toc160380857 \h </w:instrText>
            </w:r>
            <w:r w:rsidRPr="00873E82">
              <w:rPr>
                <w:rFonts w:ascii="Times New Roman" w:hAnsi="Times New Roman" w:cs="Times New Roman"/>
                <w:noProof/>
                <w:webHidden/>
                <w:sz w:val="24"/>
                <w:szCs w:val="24"/>
              </w:rPr>
            </w:r>
            <w:r w:rsidRPr="00873E82">
              <w:rPr>
                <w:rFonts w:ascii="Times New Roman" w:hAnsi="Times New Roman" w:cs="Times New Roman"/>
                <w:noProof/>
                <w:webHidden/>
                <w:sz w:val="24"/>
                <w:szCs w:val="24"/>
              </w:rPr>
              <w:fldChar w:fldCharType="separate"/>
            </w:r>
            <w:r w:rsidRPr="00873E82">
              <w:rPr>
                <w:rFonts w:ascii="Times New Roman" w:hAnsi="Times New Roman" w:cs="Times New Roman"/>
                <w:noProof/>
                <w:webHidden/>
                <w:sz w:val="24"/>
                <w:szCs w:val="24"/>
              </w:rPr>
              <w:t>4</w:t>
            </w:r>
            <w:r w:rsidRPr="00873E82">
              <w:rPr>
                <w:rFonts w:ascii="Times New Roman" w:hAnsi="Times New Roman" w:cs="Times New Roman"/>
                <w:noProof/>
                <w:webHidden/>
                <w:sz w:val="24"/>
                <w:szCs w:val="24"/>
              </w:rPr>
              <w:fldChar w:fldCharType="end"/>
            </w:r>
          </w:hyperlink>
        </w:p>
        <w:p w14:paraId="3C044DC7" w14:textId="77777777" w:rsidR="00E518CA" w:rsidRPr="00873E82" w:rsidRDefault="00E518CA" w:rsidP="00E518CA">
          <w:pPr>
            <w:pStyle w:val="TOC1"/>
            <w:tabs>
              <w:tab w:val="right" w:leader="dot" w:pos="9350"/>
            </w:tabs>
            <w:spacing w:line="480" w:lineRule="auto"/>
            <w:rPr>
              <w:rFonts w:ascii="Times New Roman" w:hAnsi="Times New Roman" w:cs="Times New Roman"/>
              <w:noProof/>
              <w:sz w:val="24"/>
              <w:szCs w:val="24"/>
            </w:rPr>
          </w:pPr>
          <w:hyperlink w:anchor="_Toc160380858" w:history="1">
            <w:r w:rsidRPr="00873E82">
              <w:rPr>
                <w:rStyle w:val="Hyperlink"/>
                <w:rFonts w:ascii="Times New Roman" w:hAnsi="Times New Roman" w:cs="Times New Roman"/>
                <w:noProof/>
                <w:sz w:val="24"/>
                <w:szCs w:val="24"/>
              </w:rPr>
              <w:t>Strategies for Managing Foreign Exchange Risks</w:t>
            </w:r>
            <w:r w:rsidRPr="00873E82">
              <w:rPr>
                <w:rFonts w:ascii="Times New Roman" w:hAnsi="Times New Roman" w:cs="Times New Roman"/>
                <w:noProof/>
                <w:webHidden/>
                <w:sz w:val="24"/>
                <w:szCs w:val="24"/>
              </w:rPr>
              <w:tab/>
            </w:r>
            <w:r w:rsidRPr="00873E82">
              <w:rPr>
                <w:rFonts w:ascii="Times New Roman" w:hAnsi="Times New Roman" w:cs="Times New Roman"/>
                <w:noProof/>
                <w:webHidden/>
                <w:sz w:val="24"/>
                <w:szCs w:val="24"/>
              </w:rPr>
              <w:fldChar w:fldCharType="begin"/>
            </w:r>
            <w:r w:rsidRPr="00873E82">
              <w:rPr>
                <w:rFonts w:ascii="Times New Roman" w:hAnsi="Times New Roman" w:cs="Times New Roman"/>
                <w:noProof/>
                <w:webHidden/>
                <w:sz w:val="24"/>
                <w:szCs w:val="24"/>
              </w:rPr>
              <w:instrText xml:space="preserve"> PAGEREF _Toc160380858 \h </w:instrText>
            </w:r>
            <w:r w:rsidRPr="00873E82">
              <w:rPr>
                <w:rFonts w:ascii="Times New Roman" w:hAnsi="Times New Roman" w:cs="Times New Roman"/>
                <w:noProof/>
                <w:webHidden/>
                <w:sz w:val="24"/>
                <w:szCs w:val="24"/>
              </w:rPr>
            </w:r>
            <w:r w:rsidRPr="00873E82">
              <w:rPr>
                <w:rFonts w:ascii="Times New Roman" w:hAnsi="Times New Roman" w:cs="Times New Roman"/>
                <w:noProof/>
                <w:webHidden/>
                <w:sz w:val="24"/>
                <w:szCs w:val="24"/>
              </w:rPr>
              <w:fldChar w:fldCharType="separate"/>
            </w:r>
            <w:r w:rsidRPr="00873E82">
              <w:rPr>
                <w:rFonts w:ascii="Times New Roman" w:hAnsi="Times New Roman" w:cs="Times New Roman"/>
                <w:noProof/>
                <w:webHidden/>
                <w:sz w:val="24"/>
                <w:szCs w:val="24"/>
              </w:rPr>
              <w:t>6</w:t>
            </w:r>
            <w:r w:rsidRPr="00873E82">
              <w:rPr>
                <w:rFonts w:ascii="Times New Roman" w:hAnsi="Times New Roman" w:cs="Times New Roman"/>
                <w:noProof/>
                <w:webHidden/>
                <w:sz w:val="24"/>
                <w:szCs w:val="24"/>
              </w:rPr>
              <w:fldChar w:fldCharType="end"/>
            </w:r>
          </w:hyperlink>
        </w:p>
        <w:p w14:paraId="0C2899F9" w14:textId="77777777" w:rsidR="00E518CA" w:rsidRPr="00873E82" w:rsidRDefault="00E518CA" w:rsidP="00E518CA">
          <w:pPr>
            <w:pStyle w:val="TOC1"/>
            <w:tabs>
              <w:tab w:val="right" w:leader="dot" w:pos="9350"/>
            </w:tabs>
            <w:spacing w:line="480" w:lineRule="auto"/>
            <w:rPr>
              <w:rFonts w:ascii="Times New Roman" w:hAnsi="Times New Roman" w:cs="Times New Roman"/>
              <w:noProof/>
              <w:sz w:val="24"/>
              <w:szCs w:val="24"/>
            </w:rPr>
          </w:pPr>
          <w:hyperlink w:anchor="_Toc160380859" w:history="1">
            <w:r w:rsidRPr="00873E82">
              <w:rPr>
                <w:rStyle w:val="Hyperlink"/>
                <w:rFonts w:ascii="Times New Roman" w:hAnsi="Times New Roman" w:cs="Times New Roman"/>
                <w:noProof/>
                <w:sz w:val="24"/>
                <w:szCs w:val="24"/>
              </w:rPr>
              <w:t>Discussion and analysis</w:t>
            </w:r>
            <w:r w:rsidRPr="00873E82">
              <w:rPr>
                <w:rFonts w:ascii="Times New Roman" w:hAnsi="Times New Roman" w:cs="Times New Roman"/>
                <w:noProof/>
                <w:webHidden/>
                <w:sz w:val="24"/>
                <w:szCs w:val="24"/>
              </w:rPr>
              <w:tab/>
            </w:r>
            <w:r w:rsidRPr="00873E82">
              <w:rPr>
                <w:rFonts w:ascii="Times New Roman" w:hAnsi="Times New Roman" w:cs="Times New Roman"/>
                <w:noProof/>
                <w:webHidden/>
                <w:sz w:val="24"/>
                <w:szCs w:val="24"/>
              </w:rPr>
              <w:fldChar w:fldCharType="begin"/>
            </w:r>
            <w:r w:rsidRPr="00873E82">
              <w:rPr>
                <w:rFonts w:ascii="Times New Roman" w:hAnsi="Times New Roman" w:cs="Times New Roman"/>
                <w:noProof/>
                <w:webHidden/>
                <w:sz w:val="24"/>
                <w:szCs w:val="24"/>
              </w:rPr>
              <w:instrText xml:space="preserve"> PAGEREF _Toc160380859 \h </w:instrText>
            </w:r>
            <w:r w:rsidRPr="00873E82">
              <w:rPr>
                <w:rFonts w:ascii="Times New Roman" w:hAnsi="Times New Roman" w:cs="Times New Roman"/>
                <w:noProof/>
                <w:webHidden/>
                <w:sz w:val="24"/>
                <w:szCs w:val="24"/>
              </w:rPr>
            </w:r>
            <w:r w:rsidRPr="00873E82">
              <w:rPr>
                <w:rFonts w:ascii="Times New Roman" w:hAnsi="Times New Roman" w:cs="Times New Roman"/>
                <w:noProof/>
                <w:webHidden/>
                <w:sz w:val="24"/>
                <w:szCs w:val="24"/>
              </w:rPr>
              <w:fldChar w:fldCharType="separate"/>
            </w:r>
            <w:r w:rsidRPr="00873E82">
              <w:rPr>
                <w:rFonts w:ascii="Times New Roman" w:hAnsi="Times New Roman" w:cs="Times New Roman"/>
                <w:noProof/>
                <w:webHidden/>
                <w:sz w:val="24"/>
                <w:szCs w:val="24"/>
              </w:rPr>
              <w:t>9</w:t>
            </w:r>
            <w:r w:rsidRPr="00873E82">
              <w:rPr>
                <w:rFonts w:ascii="Times New Roman" w:hAnsi="Times New Roman" w:cs="Times New Roman"/>
                <w:noProof/>
                <w:webHidden/>
                <w:sz w:val="24"/>
                <w:szCs w:val="24"/>
              </w:rPr>
              <w:fldChar w:fldCharType="end"/>
            </w:r>
          </w:hyperlink>
        </w:p>
        <w:p w14:paraId="0CA78E4C" w14:textId="77777777" w:rsidR="00E518CA" w:rsidRPr="00873E82" w:rsidRDefault="00E518CA" w:rsidP="00E518CA">
          <w:pPr>
            <w:pStyle w:val="TOC1"/>
            <w:tabs>
              <w:tab w:val="right" w:leader="dot" w:pos="9350"/>
            </w:tabs>
            <w:spacing w:line="480" w:lineRule="auto"/>
            <w:rPr>
              <w:rFonts w:ascii="Times New Roman" w:hAnsi="Times New Roman" w:cs="Times New Roman"/>
              <w:noProof/>
              <w:sz w:val="24"/>
              <w:szCs w:val="24"/>
            </w:rPr>
          </w:pPr>
          <w:hyperlink w:anchor="_Toc160380860" w:history="1">
            <w:r w:rsidRPr="00873E82">
              <w:rPr>
                <w:rStyle w:val="Hyperlink"/>
                <w:rFonts w:ascii="Times New Roman" w:hAnsi="Times New Roman" w:cs="Times New Roman"/>
                <w:noProof/>
                <w:sz w:val="24"/>
                <w:szCs w:val="24"/>
              </w:rPr>
              <w:t>Conclusion and Recommendations</w:t>
            </w:r>
            <w:r w:rsidRPr="00873E82">
              <w:rPr>
                <w:rFonts w:ascii="Times New Roman" w:hAnsi="Times New Roman" w:cs="Times New Roman"/>
                <w:noProof/>
                <w:webHidden/>
                <w:sz w:val="24"/>
                <w:szCs w:val="24"/>
              </w:rPr>
              <w:tab/>
            </w:r>
            <w:r w:rsidRPr="00873E82">
              <w:rPr>
                <w:rFonts w:ascii="Times New Roman" w:hAnsi="Times New Roman" w:cs="Times New Roman"/>
                <w:noProof/>
                <w:webHidden/>
                <w:sz w:val="24"/>
                <w:szCs w:val="24"/>
              </w:rPr>
              <w:fldChar w:fldCharType="begin"/>
            </w:r>
            <w:r w:rsidRPr="00873E82">
              <w:rPr>
                <w:rFonts w:ascii="Times New Roman" w:hAnsi="Times New Roman" w:cs="Times New Roman"/>
                <w:noProof/>
                <w:webHidden/>
                <w:sz w:val="24"/>
                <w:szCs w:val="24"/>
              </w:rPr>
              <w:instrText xml:space="preserve"> PAGEREF _Toc160380860 \h </w:instrText>
            </w:r>
            <w:r w:rsidRPr="00873E82">
              <w:rPr>
                <w:rFonts w:ascii="Times New Roman" w:hAnsi="Times New Roman" w:cs="Times New Roman"/>
                <w:noProof/>
                <w:webHidden/>
                <w:sz w:val="24"/>
                <w:szCs w:val="24"/>
              </w:rPr>
            </w:r>
            <w:r w:rsidRPr="00873E82">
              <w:rPr>
                <w:rFonts w:ascii="Times New Roman" w:hAnsi="Times New Roman" w:cs="Times New Roman"/>
                <w:noProof/>
                <w:webHidden/>
                <w:sz w:val="24"/>
                <w:szCs w:val="24"/>
              </w:rPr>
              <w:fldChar w:fldCharType="separate"/>
            </w:r>
            <w:r w:rsidRPr="00873E82">
              <w:rPr>
                <w:rFonts w:ascii="Times New Roman" w:hAnsi="Times New Roman" w:cs="Times New Roman"/>
                <w:noProof/>
                <w:webHidden/>
                <w:sz w:val="24"/>
                <w:szCs w:val="24"/>
              </w:rPr>
              <w:t>10</w:t>
            </w:r>
            <w:r w:rsidRPr="00873E82">
              <w:rPr>
                <w:rFonts w:ascii="Times New Roman" w:hAnsi="Times New Roman" w:cs="Times New Roman"/>
                <w:noProof/>
                <w:webHidden/>
                <w:sz w:val="24"/>
                <w:szCs w:val="24"/>
              </w:rPr>
              <w:fldChar w:fldCharType="end"/>
            </w:r>
          </w:hyperlink>
        </w:p>
        <w:p w14:paraId="130AACDD" w14:textId="77777777" w:rsidR="00E518CA" w:rsidRPr="00873E82" w:rsidRDefault="00E518CA" w:rsidP="00E518CA">
          <w:pPr>
            <w:pStyle w:val="TOC1"/>
            <w:tabs>
              <w:tab w:val="right" w:leader="dot" w:pos="9350"/>
            </w:tabs>
            <w:spacing w:line="480" w:lineRule="auto"/>
            <w:rPr>
              <w:rFonts w:ascii="Times New Roman" w:hAnsi="Times New Roman" w:cs="Times New Roman"/>
              <w:noProof/>
              <w:sz w:val="24"/>
              <w:szCs w:val="24"/>
            </w:rPr>
          </w:pPr>
          <w:hyperlink w:anchor="_Toc160380861" w:history="1">
            <w:r w:rsidRPr="00873E82">
              <w:rPr>
                <w:rStyle w:val="Hyperlink"/>
                <w:rFonts w:ascii="Times New Roman" w:hAnsi="Times New Roman" w:cs="Times New Roman"/>
                <w:noProof/>
                <w:sz w:val="24"/>
                <w:szCs w:val="24"/>
              </w:rPr>
              <w:t>References</w:t>
            </w:r>
            <w:r w:rsidRPr="00873E82">
              <w:rPr>
                <w:rFonts w:ascii="Times New Roman" w:hAnsi="Times New Roman" w:cs="Times New Roman"/>
                <w:noProof/>
                <w:webHidden/>
                <w:sz w:val="24"/>
                <w:szCs w:val="24"/>
              </w:rPr>
              <w:tab/>
            </w:r>
            <w:r w:rsidRPr="00873E82">
              <w:rPr>
                <w:rFonts w:ascii="Times New Roman" w:hAnsi="Times New Roman" w:cs="Times New Roman"/>
                <w:noProof/>
                <w:webHidden/>
                <w:sz w:val="24"/>
                <w:szCs w:val="24"/>
              </w:rPr>
              <w:fldChar w:fldCharType="begin"/>
            </w:r>
            <w:r w:rsidRPr="00873E82">
              <w:rPr>
                <w:rFonts w:ascii="Times New Roman" w:hAnsi="Times New Roman" w:cs="Times New Roman"/>
                <w:noProof/>
                <w:webHidden/>
                <w:sz w:val="24"/>
                <w:szCs w:val="24"/>
              </w:rPr>
              <w:instrText xml:space="preserve"> PAGEREF _Toc160380861 \h </w:instrText>
            </w:r>
            <w:r w:rsidRPr="00873E82">
              <w:rPr>
                <w:rFonts w:ascii="Times New Roman" w:hAnsi="Times New Roman" w:cs="Times New Roman"/>
                <w:noProof/>
                <w:webHidden/>
                <w:sz w:val="24"/>
                <w:szCs w:val="24"/>
              </w:rPr>
            </w:r>
            <w:r w:rsidRPr="00873E82">
              <w:rPr>
                <w:rFonts w:ascii="Times New Roman" w:hAnsi="Times New Roman" w:cs="Times New Roman"/>
                <w:noProof/>
                <w:webHidden/>
                <w:sz w:val="24"/>
                <w:szCs w:val="24"/>
              </w:rPr>
              <w:fldChar w:fldCharType="separate"/>
            </w:r>
            <w:r w:rsidRPr="00873E82">
              <w:rPr>
                <w:rFonts w:ascii="Times New Roman" w:hAnsi="Times New Roman" w:cs="Times New Roman"/>
                <w:noProof/>
                <w:webHidden/>
                <w:sz w:val="24"/>
                <w:szCs w:val="24"/>
              </w:rPr>
              <w:t>12</w:t>
            </w:r>
            <w:r w:rsidRPr="00873E82">
              <w:rPr>
                <w:rFonts w:ascii="Times New Roman" w:hAnsi="Times New Roman" w:cs="Times New Roman"/>
                <w:noProof/>
                <w:webHidden/>
                <w:sz w:val="24"/>
                <w:szCs w:val="24"/>
              </w:rPr>
              <w:fldChar w:fldCharType="end"/>
            </w:r>
          </w:hyperlink>
        </w:p>
        <w:p w14:paraId="1B96570E" w14:textId="77777777" w:rsidR="00E518CA" w:rsidRPr="00873E82" w:rsidRDefault="00E518CA" w:rsidP="00E518CA">
          <w:pPr>
            <w:spacing w:line="480" w:lineRule="auto"/>
          </w:pPr>
          <w:r w:rsidRPr="00873E82">
            <w:rPr>
              <w:rFonts w:ascii="Times New Roman" w:hAnsi="Times New Roman" w:cs="Times New Roman"/>
              <w:b/>
              <w:bCs/>
              <w:noProof/>
              <w:sz w:val="24"/>
              <w:szCs w:val="24"/>
            </w:rPr>
            <w:fldChar w:fldCharType="end"/>
          </w:r>
        </w:p>
      </w:sdtContent>
    </w:sdt>
    <w:p w14:paraId="71967379" w14:textId="77777777" w:rsidR="00E518CA" w:rsidRPr="00873E82" w:rsidRDefault="00E518CA" w:rsidP="00E518CA">
      <w:pPr>
        <w:spacing w:line="480" w:lineRule="auto"/>
        <w:rPr>
          <w:rFonts w:ascii="Times New Roman" w:hAnsi="Times New Roman" w:cs="Times New Roman"/>
          <w:b/>
          <w:bCs/>
          <w:sz w:val="24"/>
          <w:szCs w:val="24"/>
        </w:rPr>
      </w:pPr>
    </w:p>
    <w:p w14:paraId="33D8DC6C" w14:textId="77777777" w:rsidR="00E518CA" w:rsidRPr="00873E82" w:rsidRDefault="00E518CA" w:rsidP="00E518CA">
      <w:pPr>
        <w:spacing w:line="480" w:lineRule="auto"/>
        <w:rPr>
          <w:rFonts w:ascii="Times New Roman" w:hAnsi="Times New Roman" w:cs="Times New Roman"/>
          <w:b/>
          <w:bCs/>
          <w:sz w:val="24"/>
          <w:szCs w:val="24"/>
        </w:rPr>
      </w:pPr>
    </w:p>
    <w:p w14:paraId="218CF1A1" w14:textId="77777777" w:rsidR="00E518CA" w:rsidRPr="00873E82" w:rsidRDefault="00E518CA" w:rsidP="00E518CA">
      <w:pPr>
        <w:spacing w:line="480" w:lineRule="auto"/>
        <w:rPr>
          <w:rFonts w:ascii="Times New Roman" w:hAnsi="Times New Roman" w:cs="Times New Roman"/>
          <w:b/>
          <w:bCs/>
          <w:sz w:val="24"/>
          <w:szCs w:val="24"/>
        </w:rPr>
      </w:pPr>
    </w:p>
    <w:p w14:paraId="371E7186" w14:textId="77777777" w:rsidR="00E518CA" w:rsidRPr="00873E82" w:rsidRDefault="00E518CA" w:rsidP="00E518CA">
      <w:pPr>
        <w:spacing w:line="480" w:lineRule="auto"/>
        <w:rPr>
          <w:rFonts w:ascii="Times New Roman" w:hAnsi="Times New Roman" w:cs="Times New Roman"/>
          <w:b/>
          <w:bCs/>
          <w:sz w:val="24"/>
          <w:szCs w:val="24"/>
        </w:rPr>
      </w:pPr>
    </w:p>
    <w:p w14:paraId="25F5F8D3" w14:textId="77777777" w:rsidR="00E518CA" w:rsidRPr="00873E82" w:rsidRDefault="00E518CA" w:rsidP="00E518CA">
      <w:pPr>
        <w:spacing w:line="480" w:lineRule="auto"/>
        <w:rPr>
          <w:rFonts w:ascii="Times New Roman" w:hAnsi="Times New Roman" w:cs="Times New Roman"/>
          <w:b/>
          <w:bCs/>
          <w:sz w:val="24"/>
          <w:szCs w:val="24"/>
        </w:rPr>
      </w:pPr>
    </w:p>
    <w:p w14:paraId="685773A4" w14:textId="77777777" w:rsidR="00E518CA" w:rsidRPr="00873E82" w:rsidRDefault="00E518CA" w:rsidP="00E518CA">
      <w:pPr>
        <w:spacing w:line="480" w:lineRule="auto"/>
        <w:rPr>
          <w:rFonts w:ascii="Times New Roman" w:hAnsi="Times New Roman" w:cs="Times New Roman"/>
          <w:b/>
          <w:bCs/>
          <w:sz w:val="24"/>
          <w:szCs w:val="24"/>
        </w:rPr>
      </w:pPr>
    </w:p>
    <w:p w14:paraId="7DFC553B" w14:textId="77777777" w:rsidR="00E518CA" w:rsidRPr="00873E82" w:rsidRDefault="00E518CA" w:rsidP="00E518CA">
      <w:pPr>
        <w:spacing w:line="480" w:lineRule="auto"/>
        <w:rPr>
          <w:rFonts w:ascii="Times New Roman" w:hAnsi="Times New Roman" w:cs="Times New Roman"/>
          <w:b/>
          <w:bCs/>
          <w:sz w:val="24"/>
          <w:szCs w:val="24"/>
        </w:rPr>
      </w:pPr>
    </w:p>
    <w:p w14:paraId="545EC5E6" w14:textId="77777777" w:rsidR="00E518CA" w:rsidRPr="00873E82" w:rsidRDefault="00E518CA" w:rsidP="00E518CA">
      <w:pPr>
        <w:spacing w:line="480" w:lineRule="auto"/>
        <w:rPr>
          <w:rFonts w:ascii="Times New Roman" w:hAnsi="Times New Roman" w:cs="Times New Roman"/>
          <w:b/>
          <w:bCs/>
          <w:sz w:val="24"/>
          <w:szCs w:val="24"/>
        </w:rPr>
      </w:pPr>
    </w:p>
    <w:p w14:paraId="52DADFFF" w14:textId="77777777" w:rsidR="00E518CA" w:rsidRPr="00873E82" w:rsidRDefault="00E518CA" w:rsidP="00E518CA">
      <w:pPr>
        <w:pStyle w:val="Heading1"/>
        <w:spacing w:line="480" w:lineRule="auto"/>
      </w:pPr>
      <w:bookmarkStart w:id="1" w:name="_Toc160380856"/>
      <w:r w:rsidRPr="00873E82">
        <w:lastRenderedPageBreak/>
        <w:t>Introduction</w:t>
      </w:r>
      <w:bookmarkEnd w:id="1"/>
    </w:p>
    <w:p w14:paraId="31D01281"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Multinational corporations' (MNCs) involvement in international operations, such as cross-border financial flows and investment, has increased due to rising globalisation (</w:t>
      </w:r>
      <w:proofErr w:type="spellStart"/>
      <w:r w:rsidRPr="00873E82">
        <w:rPr>
          <w:rFonts w:ascii="Times New Roman" w:hAnsi="Times New Roman" w:cs="Times New Roman"/>
          <w:sz w:val="24"/>
          <w:szCs w:val="24"/>
        </w:rPr>
        <w:t>Cavusgil</w:t>
      </w:r>
      <w:proofErr w:type="spellEnd"/>
      <w:r w:rsidRPr="00873E82">
        <w:rPr>
          <w:rFonts w:ascii="Times New Roman" w:hAnsi="Times New Roman" w:cs="Times New Roman"/>
          <w:sz w:val="24"/>
          <w:szCs w:val="24"/>
        </w:rPr>
        <w:t xml:space="preserve"> et al., 2022). Global variety promotes market expansion and risk mitigation, but it also exposes multinational firms to currency swings and other foreign exchange (forex) risks that could negatively affect their bottom line. Developing suitable forex risk management strategies is thus an imperative for sustained competitiveness. This report evaluates some key emerging strategies adopted by MNCs to manage exposure to forex risks.</w:t>
      </w:r>
    </w:p>
    <w:p w14:paraId="1662A2AD" w14:textId="77777777" w:rsidR="00E518CA" w:rsidRPr="00873E82" w:rsidRDefault="00E518CA" w:rsidP="00E518CA">
      <w:pPr>
        <w:pStyle w:val="Heading1"/>
        <w:spacing w:line="480" w:lineRule="auto"/>
      </w:pPr>
      <w:bookmarkStart w:id="2" w:name="_Toc160380857"/>
      <w:r w:rsidRPr="00873E82">
        <w:t>Foreign Exchange Risk Exposures</w:t>
      </w:r>
      <w:bookmarkEnd w:id="2"/>
    </w:p>
    <w:p w14:paraId="61078915"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Forex exposure refers to the sensitivity of an MNC’s cash flows, earnings and asset-liability valuations to volatility in foreign currency prices and rates (</w:t>
      </w:r>
      <w:proofErr w:type="spellStart"/>
      <w:r w:rsidRPr="00873E82">
        <w:rPr>
          <w:rFonts w:ascii="Times New Roman" w:hAnsi="Times New Roman" w:cs="Times New Roman"/>
          <w:sz w:val="24"/>
          <w:szCs w:val="24"/>
        </w:rPr>
        <w:t>Eiteman</w:t>
      </w:r>
      <w:proofErr w:type="spellEnd"/>
      <w:r w:rsidRPr="00873E82">
        <w:rPr>
          <w:rFonts w:ascii="Times New Roman" w:hAnsi="Times New Roman" w:cs="Times New Roman"/>
          <w:sz w:val="24"/>
          <w:szCs w:val="24"/>
        </w:rPr>
        <w:t xml:space="preserve"> et al., 2022). The level of forex exposure depends on degree of trade, services, resources and funding interactions that MNCs have across borders in multiple currencies. Key forms of exposure along with associated drivers are:</w:t>
      </w:r>
    </w:p>
    <w:p w14:paraId="7922DA58" w14:textId="77777777" w:rsidR="00E518CA" w:rsidRPr="00873E82" w:rsidRDefault="00E518CA" w:rsidP="00E518CA">
      <w:pPr>
        <w:spacing w:line="480" w:lineRule="auto"/>
        <w:jc w:val="center"/>
        <w:rPr>
          <w:rFonts w:ascii="Times New Roman" w:hAnsi="Times New Roman" w:cs="Times New Roman"/>
          <w:sz w:val="24"/>
          <w:szCs w:val="24"/>
        </w:rPr>
      </w:pPr>
      <w:r w:rsidRPr="00873E82">
        <w:rPr>
          <w:noProof/>
        </w:rPr>
        <w:lastRenderedPageBreak/>
        <w:drawing>
          <wp:inline distT="0" distB="0" distL="0" distR="0" wp14:anchorId="0382578C" wp14:editId="3A655A45">
            <wp:extent cx="3533775" cy="2551385"/>
            <wp:effectExtent l="0" t="0" r="0" b="1905"/>
            <wp:docPr id="3" name="Picture 2" descr="What is Foreign Exchange Exposure? definition and meaning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Foreign Exchange Exposure? definition and meaning - Business Jarg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5838" cy="2567315"/>
                    </a:xfrm>
                    <a:prstGeom prst="rect">
                      <a:avLst/>
                    </a:prstGeom>
                    <a:noFill/>
                    <a:ln>
                      <a:noFill/>
                    </a:ln>
                  </pic:spPr>
                </pic:pic>
              </a:graphicData>
            </a:graphic>
          </wp:inline>
        </w:drawing>
      </w:r>
    </w:p>
    <w:p w14:paraId="491F5B81" w14:textId="77777777" w:rsidR="00E518CA" w:rsidRPr="00873E82" w:rsidRDefault="00E518CA" w:rsidP="00E518CA">
      <w:pPr>
        <w:spacing w:line="480" w:lineRule="auto"/>
        <w:jc w:val="center"/>
        <w:rPr>
          <w:rFonts w:ascii="Times New Roman" w:hAnsi="Times New Roman" w:cs="Times New Roman"/>
          <w:b/>
          <w:bCs/>
          <w:i/>
          <w:iCs/>
          <w:sz w:val="24"/>
          <w:szCs w:val="24"/>
        </w:rPr>
      </w:pPr>
      <w:r w:rsidRPr="00873E82">
        <w:rPr>
          <w:rFonts w:ascii="Times New Roman" w:hAnsi="Times New Roman" w:cs="Times New Roman"/>
          <w:b/>
          <w:bCs/>
          <w:i/>
          <w:iCs/>
          <w:sz w:val="24"/>
          <w:szCs w:val="24"/>
        </w:rPr>
        <w:t>Figure 1: Types of foreign exchange exposure.</w:t>
      </w:r>
    </w:p>
    <w:p w14:paraId="53062F51" w14:textId="77777777" w:rsidR="00E518CA" w:rsidRPr="00873E82" w:rsidRDefault="00E518CA" w:rsidP="00E518CA">
      <w:pPr>
        <w:spacing w:line="480" w:lineRule="auto"/>
        <w:jc w:val="center"/>
        <w:rPr>
          <w:rFonts w:ascii="Times New Roman" w:hAnsi="Times New Roman" w:cs="Times New Roman"/>
          <w:b/>
          <w:bCs/>
          <w:i/>
          <w:iCs/>
          <w:sz w:val="24"/>
          <w:szCs w:val="24"/>
        </w:rPr>
      </w:pPr>
      <w:r w:rsidRPr="00873E82">
        <w:rPr>
          <w:rFonts w:ascii="Times New Roman" w:hAnsi="Times New Roman" w:cs="Times New Roman"/>
          <w:b/>
          <w:bCs/>
          <w:i/>
          <w:iCs/>
          <w:sz w:val="24"/>
          <w:szCs w:val="24"/>
        </w:rPr>
        <w:t>Source: (</w:t>
      </w:r>
      <w:proofErr w:type="spellStart"/>
      <w:r w:rsidRPr="00873E82">
        <w:rPr>
          <w:rFonts w:ascii="Times New Roman" w:hAnsi="Times New Roman" w:cs="Times New Roman"/>
          <w:b/>
          <w:bCs/>
          <w:i/>
          <w:iCs/>
          <w:sz w:val="24"/>
          <w:szCs w:val="24"/>
        </w:rPr>
        <w:t>Eiteman</w:t>
      </w:r>
      <w:proofErr w:type="spellEnd"/>
      <w:r w:rsidRPr="00873E82">
        <w:rPr>
          <w:rFonts w:ascii="Times New Roman" w:hAnsi="Times New Roman" w:cs="Times New Roman"/>
          <w:b/>
          <w:bCs/>
          <w:i/>
          <w:iCs/>
          <w:sz w:val="24"/>
          <w:szCs w:val="24"/>
        </w:rPr>
        <w:t xml:space="preserve"> et al., 2022).</w:t>
      </w:r>
    </w:p>
    <w:p w14:paraId="2F520CE5" w14:textId="77777777" w:rsidR="00E518CA" w:rsidRPr="00873E82" w:rsidRDefault="00E518CA" w:rsidP="00E518CA">
      <w:pPr>
        <w:pStyle w:val="ListParagraph"/>
        <w:numPr>
          <w:ilvl w:val="0"/>
          <w:numId w:val="1"/>
        </w:numPr>
        <w:spacing w:line="480" w:lineRule="auto"/>
        <w:rPr>
          <w:rFonts w:ascii="Times New Roman" w:hAnsi="Times New Roman" w:cs="Times New Roman"/>
          <w:b/>
          <w:bCs/>
          <w:sz w:val="24"/>
          <w:szCs w:val="24"/>
        </w:rPr>
      </w:pPr>
      <w:r w:rsidRPr="00873E82">
        <w:rPr>
          <w:rFonts w:ascii="Times New Roman" w:hAnsi="Times New Roman" w:cs="Times New Roman"/>
          <w:b/>
          <w:bCs/>
          <w:sz w:val="24"/>
          <w:szCs w:val="24"/>
        </w:rPr>
        <w:t>Transaction Exposure</w:t>
      </w:r>
    </w:p>
    <w:p w14:paraId="79C57831"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 xml:space="preserve">Transaction exposure arises from contractual currency cash flows related to exports, imports, loans and asset-liability positions (Madura and Fox, 2022). It emerges from the time lag between </w:t>
      </w:r>
      <w:proofErr w:type="spellStart"/>
      <w:r w:rsidRPr="00873E82">
        <w:rPr>
          <w:rFonts w:ascii="Times New Roman" w:hAnsi="Times New Roman" w:cs="Times New Roman"/>
          <w:sz w:val="24"/>
          <w:szCs w:val="24"/>
        </w:rPr>
        <w:t>initiatin</w:t>
      </w:r>
      <w:proofErr w:type="spellEnd"/>
      <w:r w:rsidRPr="00873E82">
        <w:rPr>
          <w:rFonts w:ascii="Times New Roman" w:hAnsi="Times New Roman" w:cs="Times New Roman"/>
          <w:sz w:val="24"/>
          <w:szCs w:val="24"/>
        </w:rPr>
        <w:t>​g and settling such transactions, which allows realised payoff values to deviate from initial expectations due to forex movements in interim period. Changes in import/export competitiveness, offshore funding costs and overseas investment returns due to adverse currency fluctuations contribute to transaction exposure (</w:t>
      </w:r>
      <w:proofErr w:type="spellStart"/>
      <w:r w:rsidRPr="00873E82">
        <w:rPr>
          <w:rFonts w:ascii="Times New Roman" w:hAnsi="Times New Roman" w:cs="Times New Roman"/>
          <w:sz w:val="24"/>
          <w:szCs w:val="24"/>
        </w:rPr>
        <w:t>Cavusgil</w:t>
      </w:r>
      <w:proofErr w:type="spellEnd"/>
      <w:r w:rsidRPr="00873E82">
        <w:rPr>
          <w:rFonts w:ascii="Times New Roman" w:hAnsi="Times New Roman" w:cs="Times New Roman"/>
          <w:sz w:val="24"/>
          <w:szCs w:val="24"/>
        </w:rPr>
        <w:t xml:space="preserve"> et al., 2022).</w:t>
      </w:r>
    </w:p>
    <w:p w14:paraId="27A0E930" w14:textId="77777777" w:rsidR="00E518CA" w:rsidRPr="00873E82" w:rsidRDefault="00E518CA" w:rsidP="00E518CA">
      <w:pPr>
        <w:pStyle w:val="ListParagraph"/>
        <w:numPr>
          <w:ilvl w:val="0"/>
          <w:numId w:val="1"/>
        </w:numPr>
        <w:spacing w:line="480" w:lineRule="auto"/>
        <w:rPr>
          <w:rFonts w:ascii="Times New Roman" w:hAnsi="Times New Roman" w:cs="Times New Roman"/>
          <w:b/>
          <w:bCs/>
          <w:sz w:val="24"/>
          <w:szCs w:val="24"/>
        </w:rPr>
      </w:pPr>
      <w:r w:rsidRPr="00873E82">
        <w:rPr>
          <w:rFonts w:ascii="Times New Roman" w:hAnsi="Times New Roman" w:cs="Times New Roman"/>
          <w:b/>
          <w:bCs/>
          <w:sz w:val="24"/>
          <w:szCs w:val="24"/>
        </w:rPr>
        <w:t>Translation Exposure</w:t>
      </w:r>
    </w:p>
    <w:p w14:paraId="631E93CD"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Translation exposure relates to balance sheet impacts in consolidated financial statements when foreign currency assets or liabilities of overseas subsidiaries get converted at closing date rates rather than initial transaction rates while preparing group accounts (</w:t>
      </w:r>
      <w:proofErr w:type="spellStart"/>
      <w:r w:rsidRPr="00873E82">
        <w:rPr>
          <w:rFonts w:ascii="Times New Roman" w:hAnsi="Times New Roman" w:cs="Times New Roman"/>
          <w:sz w:val="24"/>
          <w:szCs w:val="24"/>
        </w:rPr>
        <w:t>Eiteman</w:t>
      </w:r>
      <w:proofErr w:type="spellEnd"/>
      <w:r w:rsidRPr="00873E82">
        <w:rPr>
          <w:rFonts w:ascii="Times New Roman" w:hAnsi="Times New Roman" w:cs="Times New Roman"/>
          <w:sz w:val="24"/>
          <w:szCs w:val="24"/>
        </w:rPr>
        <w:t xml:space="preserve"> et al., 2022). As MNCs expand overseas operations funded through local debt and equity infusion, gyrations in </w:t>
      </w:r>
      <w:r w:rsidRPr="00873E82">
        <w:rPr>
          <w:rFonts w:ascii="Times New Roman" w:hAnsi="Times New Roman" w:cs="Times New Roman"/>
          <w:sz w:val="24"/>
          <w:szCs w:val="24"/>
        </w:rPr>
        <w:lastRenderedPageBreak/>
        <w:t>cross-currency conversion rates alter net worth computations, exposing headquarters to currency translation risks.</w:t>
      </w:r>
    </w:p>
    <w:p w14:paraId="2719169C" w14:textId="77777777" w:rsidR="00E518CA" w:rsidRPr="00873E82" w:rsidRDefault="00E518CA" w:rsidP="00E518CA">
      <w:pPr>
        <w:pStyle w:val="ListParagraph"/>
        <w:numPr>
          <w:ilvl w:val="0"/>
          <w:numId w:val="1"/>
        </w:numPr>
        <w:spacing w:line="480" w:lineRule="auto"/>
        <w:rPr>
          <w:rFonts w:ascii="Times New Roman" w:hAnsi="Times New Roman" w:cs="Times New Roman"/>
          <w:b/>
          <w:bCs/>
          <w:sz w:val="24"/>
          <w:szCs w:val="24"/>
        </w:rPr>
      </w:pPr>
      <w:r w:rsidRPr="00873E82">
        <w:rPr>
          <w:rFonts w:ascii="Times New Roman" w:hAnsi="Times New Roman" w:cs="Times New Roman"/>
          <w:b/>
          <w:bCs/>
          <w:sz w:val="24"/>
          <w:szCs w:val="24"/>
        </w:rPr>
        <w:t>Economic Exposure</w:t>
      </w:r>
    </w:p>
    <w:p w14:paraId="0885312C"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Unlike contractual and balance sheet items driving transaction and translation exposures, economic exposure arises from currency rate impacts on future operating cash flows affected through trade, funding and investment channels over long-term horizons (Shapiro, 2014). For instance, adverse swings making exports uncompetitive abroad or eroding offshore earnings margins in local currency terms manifest as economic exposure risks. Strategic financial flexibility and responses play a key role in managing such risks.</w:t>
      </w:r>
    </w:p>
    <w:p w14:paraId="78BC17EF" w14:textId="77777777" w:rsidR="00E518CA" w:rsidRPr="00873E82" w:rsidRDefault="00E518CA" w:rsidP="00E518CA">
      <w:pPr>
        <w:pStyle w:val="Heading1"/>
        <w:spacing w:line="480" w:lineRule="auto"/>
      </w:pPr>
      <w:bookmarkStart w:id="3" w:name="_Toc160380858"/>
      <w:r w:rsidRPr="00873E82">
        <w:t>Strategies for Managing Foreign Exchange Risks</w:t>
      </w:r>
      <w:bookmarkEnd w:id="3"/>
    </w:p>
    <w:p w14:paraId="62EF1971" w14:textId="77777777" w:rsidR="00E518CA" w:rsidRPr="00873E82" w:rsidRDefault="00E518CA" w:rsidP="00E518CA">
      <w:pPr>
        <w:pStyle w:val="ListParagraph"/>
        <w:numPr>
          <w:ilvl w:val="0"/>
          <w:numId w:val="2"/>
        </w:numPr>
        <w:spacing w:line="480" w:lineRule="auto"/>
        <w:rPr>
          <w:rFonts w:ascii="Times New Roman" w:hAnsi="Times New Roman" w:cs="Times New Roman"/>
          <w:b/>
          <w:bCs/>
          <w:sz w:val="24"/>
          <w:szCs w:val="24"/>
        </w:rPr>
      </w:pPr>
      <w:r w:rsidRPr="00873E82">
        <w:rPr>
          <w:rFonts w:ascii="Times New Roman" w:hAnsi="Times New Roman" w:cs="Times New Roman"/>
          <w:b/>
          <w:bCs/>
          <w:sz w:val="24"/>
          <w:szCs w:val="24"/>
        </w:rPr>
        <w:t>Internal Hedging Approaches</w:t>
      </w:r>
    </w:p>
    <w:p w14:paraId="09AFFA5E"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Invoice currency selection:</w:t>
      </w:r>
      <w:r w:rsidRPr="00873E82">
        <w:rPr>
          <w:rFonts w:ascii="Times New Roman" w:hAnsi="Times New Roman" w:cs="Times New Roman"/>
          <w:sz w:val="24"/>
          <w:szCs w:val="24"/>
        </w:rPr>
        <w:t xml:space="preserve"> This involves judicious selection of invoicing currency for international contracts and payments. Invoicing in the MNC’s home currency or a relatively stable foreign currency allows currency risk transfer to the counterparty best positioned to hedge it while securing own cash flows (</w:t>
      </w:r>
      <w:proofErr w:type="spellStart"/>
      <w:r w:rsidRPr="00873E82">
        <w:rPr>
          <w:rFonts w:ascii="Times New Roman" w:hAnsi="Times New Roman" w:cs="Times New Roman"/>
          <w:sz w:val="24"/>
          <w:szCs w:val="24"/>
        </w:rPr>
        <w:t>Cavusgil</w:t>
      </w:r>
      <w:proofErr w:type="spellEnd"/>
      <w:r w:rsidRPr="00873E82">
        <w:rPr>
          <w:rFonts w:ascii="Times New Roman" w:hAnsi="Times New Roman" w:cs="Times New Roman"/>
          <w:sz w:val="24"/>
          <w:szCs w:val="24"/>
        </w:rPr>
        <w:t xml:space="preserve"> et al., 2022). Although this provides some short-term protection, it risks losing long-term competitiveness and collaborative relationships by frequently burdening partners (Baum et al., 2022). Counterparties may price in additional risk premiums, undermining cost competitiveness.</w:t>
      </w:r>
    </w:p>
    <w:p w14:paraId="3F24945B"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Exposure netting:</w:t>
      </w:r>
      <w:r w:rsidRPr="00873E82">
        <w:rPr>
          <w:rFonts w:ascii="Times New Roman" w:hAnsi="Times New Roman" w:cs="Times New Roman"/>
          <w:sz w:val="24"/>
          <w:szCs w:val="24"/>
        </w:rPr>
        <w:t xml:space="preserve"> Also termed as exposure aggregation or risk pooling, this approach entails consolidating forex exposures across operating entities or business units of an MNC to exploit offsetting risks (</w:t>
      </w:r>
      <w:proofErr w:type="spellStart"/>
      <w:r w:rsidRPr="00873E82">
        <w:rPr>
          <w:rFonts w:ascii="Times New Roman" w:hAnsi="Times New Roman" w:cs="Times New Roman"/>
          <w:sz w:val="24"/>
          <w:szCs w:val="24"/>
        </w:rPr>
        <w:t>Krapl</w:t>
      </w:r>
      <w:proofErr w:type="spellEnd"/>
      <w:r w:rsidRPr="00873E82">
        <w:rPr>
          <w:rFonts w:ascii="Times New Roman" w:hAnsi="Times New Roman" w:cs="Times New Roman"/>
          <w:sz w:val="24"/>
          <w:szCs w:val="24"/>
        </w:rPr>
        <w:t xml:space="preserve">, 2015). By centralizing forex risk management through netting </w:t>
      </w:r>
      <w:r w:rsidRPr="00873E82">
        <w:rPr>
          <w:rFonts w:ascii="Times New Roman" w:hAnsi="Times New Roman" w:cs="Times New Roman"/>
          <w:sz w:val="24"/>
          <w:szCs w:val="24"/>
        </w:rPr>
        <w:lastRenderedPageBreak/>
        <w:t>mechanisms rather than managing exposures individually, the MNC can achieve some internal hedging from natural risk offsets besides lowering currency hedging costs through aggregated execution (Bartram, 2019). However, actual risk reduction capacity depends on correlation factor across offset currency pairs. Risk management potential is limited if nettable exposures mostly move in same direction.</w:t>
      </w:r>
    </w:p>
    <w:p w14:paraId="795C4757"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Leading and lagging</w:t>
      </w:r>
      <w:r w:rsidRPr="00873E82">
        <w:rPr>
          <w:rFonts w:ascii="Times New Roman" w:hAnsi="Times New Roman" w:cs="Times New Roman"/>
          <w:sz w:val="24"/>
          <w:szCs w:val="24"/>
        </w:rPr>
        <w:t xml:space="preserve"> cash collection/payments through expedited invoicing or deferred settlements enable short-term forex risk management by aligning cash flows with anticipated rate movements (Madura and Fox, 2022). However, reliably predicting timing and magnitude of exchange rate changes is enormously challenging. Market sentiments keep fluctuating between strengthening or weakening expectations of major currencies with frequent reversals amid dynamic geopolitics and macroeconomics (Shapiro, 2014). Limiting practical utility of leading/lagging approach.</w:t>
      </w:r>
    </w:p>
    <w:p w14:paraId="6429BE1A"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Risk sharing with partners:</w:t>
      </w:r>
      <w:r w:rsidRPr="00873E82">
        <w:rPr>
          <w:rFonts w:ascii="Times New Roman" w:hAnsi="Times New Roman" w:cs="Times New Roman"/>
          <w:sz w:val="24"/>
          <w:szCs w:val="24"/>
        </w:rPr>
        <w:t xml:space="preserve"> Collaborating with supply chain partners through alliances or joint ventures to pool forex risks can reduce collective hedging expenses through consolidated exposure management (Hofmann et al., 2022). This however needs strong relationships and aligned risk appetites between partners over whom the MNC has little direct control. Partners may renege on risk pools if actual currency swings exceed expectations. Reducing reliability of such collaborations as a dependable risk mitigation approach.</w:t>
      </w:r>
    </w:p>
    <w:p w14:paraId="306EE20F" w14:textId="77777777" w:rsidR="00E518CA" w:rsidRPr="00873E82" w:rsidRDefault="00E518CA" w:rsidP="00E518CA">
      <w:pPr>
        <w:pStyle w:val="ListParagraph"/>
        <w:numPr>
          <w:ilvl w:val="0"/>
          <w:numId w:val="2"/>
        </w:numPr>
        <w:spacing w:line="480" w:lineRule="auto"/>
        <w:rPr>
          <w:rFonts w:ascii="Times New Roman" w:hAnsi="Times New Roman" w:cs="Times New Roman"/>
          <w:b/>
          <w:bCs/>
          <w:sz w:val="24"/>
          <w:szCs w:val="24"/>
        </w:rPr>
      </w:pPr>
      <w:r w:rsidRPr="00873E82">
        <w:rPr>
          <w:rFonts w:ascii="Times New Roman" w:hAnsi="Times New Roman" w:cs="Times New Roman"/>
          <w:b/>
          <w:bCs/>
          <w:sz w:val="24"/>
          <w:szCs w:val="24"/>
        </w:rPr>
        <w:t>External Hedging Practices</w:t>
      </w:r>
    </w:p>
    <w:p w14:paraId="28E32188"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While internal arrangements offer modest forex exposure management, greater risk protection necessitates integration of external hedging practices through instrument access across wider currency and time spectrum.</w:t>
      </w:r>
    </w:p>
    <w:p w14:paraId="2C8A2E35" w14:textId="77777777" w:rsidR="00E518CA" w:rsidRPr="00873E82" w:rsidRDefault="00E518CA" w:rsidP="00E518CA">
      <w:pPr>
        <w:spacing w:line="480" w:lineRule="auto"/>
        <w:jc w:val="center"/>
        <w:rPr>
          <w:rFonts w:ascii="Times New Roman" w:hAnsi="Times New Roman" w:cs="Times New Roman"/>
          <w:sz w:val="24"/>
          <w:szCs w:val="24"/>
        </w:rPr>
      </w:pPr>
      <w:r w:rsidRPr="00873E82">
        <w:rPr>
          <w:noProof/>
        </w:rPr>
        <w:lastRenderedPageBreak/>
        <w:drawing>
          <wp:inline distT="0" distB="0" distL="0" distR="0" wp14:anchorId="5D44DCAF" wp14:editId="35D31AB0">
            <wp:extent cx="3724275" cy="2224116"/>
            <wp:effectExtent l="0" t="0" r="0" b="5080"/>
            <wp:docPr id="2" name="Picture 1" descr="Derivatives – Meaning, Types, Advantages,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rivatives – Meaning, Types, Advantages, Disadvantag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69977" cy="2251409"/>
                    </a:xfrm>
                    <a:prstGeom prst="rect">
                      <a:avLst/>
                    </a:prstGeom>
                    <a:noFill/>
                    <a:ln>
                      <a:noFill/>
                    </a:ln>
                  </pic:spPr>
                </pic:pic>
              </a:graphicData>
            </a:graphic>
          </wp:inline>
        </w:drawing>
      </w:r>
    </w:p>
    <w:p w14:paraId="4C1B6BE3" w14:textId="77777777" w:rsidR="00E518CA" w:rsidRPr="00873E82" w:rsidRDefault="00E518CA" w:rsidP="00E518CA">
      <w:pPr>
        <w:spacing w:line="480" w:lineRule="auto"/>
        <w:jc w:val="center"/>
        <w:rPr>
          <w:rFonts w:ascii="Times New Roman" w:hAnsi="Times New Roman" w:cs="Times New Roman"/>
          <w:b/>
          <w:bCs/>
          <w:i/>
          <w:iCs/>
          <w:sz w:val="24"/>
          <w:szCs w:val="24"/>
        </w:rPr>
      </w:pPr>
      <w:r w:rsidRPr="00873E82">
        <w:rPr>
          <w:rFonts w:ascii="Times New Roman" w:hAnsi="Times New Roman" w:cs="Times New Roman"/>
          <w:b/>
          <w:bCs/>
          <w:i/>
          <w:iCs/>
          <w:sz w:val="24"/>
          <w:szCs w:val="24"/>
        </w:rPr>
        <w:t>Figure 2: External Hedging Practices</w:t>
      </w:r>
    </w:p>
    <w:p w14:paraId="5306CBFD" w14:textId="77777777" w:rsidR="00E518CA" w:rsidRPr="00873E82" w:rsidRDefault="00E518CA" w:rsidP="00E518CA">
      <w:pPr>
        <w:spacing w:line="480" w:lineRule="auto"/>
        <w:jc w:val="center"/>
        <w:rPr>
          <w:rFonts w:ascii="Times New Roman" w:hAnsi="Times New Roman" w:cs="Times New Roman"/>
          <w:b/>
          <w:bCs/>
          <w:i/>
          <w:iCs/>
          <w:sz w:val="24"/>
          <w:szCs w:val="24"/>
        </w:rPr>
      </w:pPr>
      <w:r w:rsidRPr="00873E82">
        <w:rPr>
          <w:rFonts w:ascii="Times New Roman" w:hAnsi="Times New Roman" w:cs="Times New Roman"/>
          <w:b/>
          <w:bCs/>
          <w:i/>
          <w:iCs/>
          <w:sz w:val="24"/>
          <w:szCs w:val="24"/>
        </w:rPr>
        <w:t>Source: (</w:t>
      </w:r>
      <w:proofErr w:type="spellStart"/>
      <w:r w:rsidRPr="00873E82">
        <w:rPr>
          <w:rFonts w:ascii="Times New Roman" w:hAnsi="Times New Roman" w:cs="Times New Roman"/>
          <w:b/>
          <w:bCs/>
          <w:i/>
          <w:iCs/>
          <w:sz w:val="24"/>
          <w:szCs w:val="24"/>
        </w:rPr>
        <w:t>Cavusgil</w:t>
      </w:r>
      <w:proofErr w:type="spellEnd"/>
      <w:r w:rsidRPr="00873E82">
        <w:rPr>
          <w:rFonts w:ascii="Times New Roman" w:hAnsi="Times New Roman" w:cs="Times New Roman"/>
          <w:b/>
          <w:bCs/>
          <w:i/>
          <w:iCs/>
          <w:sz w:val="24"/>
          <w:szCs w:val="24"/>
        </w:rPr>
        <w:t xml:space="preserve"> et al., 2022).</w:t>
      </w:r>
    </w:p>
    <w:p w14:paraId="46CC91A9"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Forwards:</w:t>
      </w:r>
      <w:r w:rsidRPr="00873E82">
        <w:rPr>
          <w:rFonts w:ascii="Times New Roman" w:hAnsi="Times New Roman" w:cs="Times New Roman"/>
          <w:sz w:val="24"/>
          <w:szCs w:val="24"/>
        </w:rPr>
        <w:t xml:space="preserve"> Forward contracts allow future sale or purchase of foreign currency at a predetermined rate. As customisable over-the-counter hedges aligned to expected net exposures, forwards provide rate certainty tailored to risk exposures (</w:t>
      </w:r>
      <w:proofErr w:type="spellStart"/>
      <w:r w:rsidRPr="00873E82">
        <w:rPr>
          <w:rFonts w:ascii="Times New Roman" w:hAnsi="Times New Roman" w:cs="Times New Roman"/>
          <w:sz w:val="24"/>
          <w:szCs w:val="24"/>
        </w:rPr>
        <w:t>Cavusgil</w:t>
      </w:r>
      <w:proofErr w:type="spellEnd"/>
      <w:r w:rsidRPr="00873E82">
        <w:rPr>
          <w:rFonts w:ascii="Times New Roman" w:hAnsi="Times New Roman" w:cs="Times New Roman"/>
          <w:sz w:val="24"/>
          <w:szCs w:val="24"/>
        </w:rPr>
        <w:t xml:space="preserve"> et al., 2022). However, forward contracts require accurate exposure forecasts since they rigidly lock-in future rates without upside participation potential. Counterparty settlement risks also arise for forward deals.</w:t>
      </w:r>
    </w:p>
    <w:p w14:paraId="30FCD7B0"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Futures:</w:t>
      </w:r>
      <w:r w:rsidRPr="00873E82">
        <w:rPr>
          <w:rFonts w:ascii="Times New Roman" w:hAnsi="Times New Roman" w:cs="Times New Roman"/>
          <w:sz w:val="24"/>
          <w:szCs w:val="24"/>
        </w:rPr>
        <w:t xml:space="preserve"> Similar to forwards providing future rate certainty, currency futures have standardised contact specifications (size, maturity, etc.) making them more liquid through exchange trading access to speculators who may have counteracting currency bets compared to hedgers (</w:t>
      </w:r>
      <w:proofErr w:type="spellStart"/>
      <w:r w:rsidRPr="00873E82">
        <w:rPr>
          <w:rFonts w:ascii="Times New Roman" w:hAnsi="Times New Roman" w:cs="Times New Roman"/>
          <w:sz w:val="24"/>
          <w:szCs w:val="24"/>
        </w:rPr>
        <w:t>Eiteman</w:t>
      </w:r>
      <w:proofErr w:type="spellEnd"/>
      <w:r w:rsidRPr="00873E82">
        <w:rPr>
          <w:rFonts w:ascii="Times New Roman" w:hAnsi="Times New Roman" w:cs="Times New Roman"/>
          <w:sz w:val="24"/>
          <w:szCs w:val="24"/>
        </w:rPr>
        <w:t xml:space="preserve"> et al., 2022). However, this very standardisation limits hedge customisation flexibility relative to OTC forwards. The margin collateral costs are also higher, though this is balanced by lower credit risks on futures than forwards due to daily mark-to-market settlements (Shapiro, 2014).</w:t>
      </w:r>
    </w:p>
    <w:p w14:paraId="6EEB45DD"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Options:</w:t>
      </w:r>
      <w:r w:rsidRPr="00873E82">
        <w:rPr>
          <w:rFonts w:ascii="Times New Roman" w:hAnsi="Times New Roman" w:cs="Times New Roman"/>
          <w:sz w:val="24"/>
          <w:szCs w:val="24"/>
        </w:rPr>
        <w:t xml:space="preserve"> Currency options contracts provide right without obligation to exchange currencies at a predetermined future rate (Madura and Fox, 2022). Call options enable capping downsides from </w:t>
      </w:r>
      <w:r w:rsidRPr="00873E82">
        <w:rPr>
          <w:rFonts w:ascii="Times New Roman" w:hAnsi="Times New Roman" w:cs="Times New Roman"/>
          <w:sz w:val="24"/>
          <w:szCs w:val="24"/>
        </w:rPr>
        <w:lastRenderedPageBreak/>
        <w:t>adverse rates while retaining upside should market move favourably. Put options conversely limit upside while mitigating downside. Options thus offer asymmetric smoothing payoffs by blending limited protection through contracts and retained spot upside. However, volatility complexity in options pricing poses model risks.</w:t>
      </w:r>
    </w:p>
    <w:p w14:paraId="52E421B3"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b/>
          <w:bCs/>
          <w:sz w:val="24"/>
          <w:szCs w:val="24"/>
        </w:rPr>
        <w:t>Swaps:</w:t>
      </w:r>
      <w:r w:rsidRPr="00873E82">
        <w:rPr>
          <w:rFonts w:ascii="Times New Roman" w:hAnsi="Times New Roman" w:cs="Times New Roman"/>
          <w:sz w:val="24"/>
          <w:szCs w:val="24"/>
        </w:rPr>
        <w:t xml:space="preserve"> Currency swaps allow the swapping of debt principal and interest payments in one currency for another to access comparative funding advantages in different money markets for hedging risks (Hofmann et al., 2022). Swaps therefore provide access to foreign currency at a lower price than direct market transactions due to inbuilt offsets. Nevertheless, swaps are complex in nature because of the cash flow exchange between currencies, reset frequency, bid-ask spread, and rollover inefficiency that require a well-built structure.</w:t>
      </w:r>
    </w:p>
    <w:p w14:paraId="14EDB7F5"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Forwards allow the coverage of defined exposures from cross-border contracts by rate locks in accordance with transaction risk. Customisable forwards prevent risks from related currency pairs (</w:t>
      </w:r>
      <w:proofErr w:type="spellStart"/>
      <w:r w:rsidRPr="00873E82">
        <w:rPr>
          <w:rFonts w:ascii="Times New Roman" w:hAnsi="Times New Roman" w:cs="Times New Roman"/>
          <w:sz w:val="24"/>
          <w:szCs w:val="24"/>
        </w:rPr>
        <w:t>Cavusgil</w:t>
      </w:r>
      <w:proofErr w:type="spellEnd"/>
      <w:r w:rsidRPr="00873E82">
        <w:rPr>
          <w:rFonts w:ascii="Times New Roman" w:hAnsi="Times New Roman" w:cs="Times New Roman"/>
          <w:sz w:val="24"/>
          <w:szCs w:val="24"/>
        </w:rPr>
        <w:t xml:space="preserve"> et al., 2022). Futures are also standardised, however with higher frictional costs. Exchanges are used to hedge against exposures that are contingent on the direction of the market through embedded options while swaps exploit the funding efficiencies through interlinked currency transactions across global funding centres (Bartram, 2019).</w:t>
      </w:r>
    </w:p>
    <w:p w14:paraId="7EB6E301" w14:textId="77777777" w:rsidR="00E518CA" w:rsidRPr="00873E82" w:rsidRDefault="00E518CA" w:rsidP="00E518CA">
      <w:pPr>
        <w:pStyle w:val="Heading1"/>
        <w:spacing w:line="480" w:lineRule="auto"/>
      </w:pPr>
      <w:bookmarkStart w:id="4" w:name="_Toc160380859"/>
      <w:r w:rsidRPr="00873E82">
        <w:t>Discussion and analysis</w:t>
      </w:r>
      <w:bookmarkEnd w:id="4"/>
      <w:r w:rsidRPr="00873E82">
        <w:t xml:space="preserve"> </w:t>
      </w:r>
    </w:p>
    <w:p w14:paraId="492F959F" w14:textId="77777777" w:rsidR="00E518CA" w:rsidRPr="00411949" w:rsidRDefault="00E518CA" w:rsidP="00E518CA">
      <w:pPr>
        <w:spacing w:line="480" w:lineRule="auto"/>
        <w:rPr>
          <w:rFonts w:ascii="Times New Roman" w:hAnsi="Times New Roman" w:cs="Times New Roman"/>
          <w:sz w:val="24"/>
          <w:szCs w:val="24"/>
          <w:lang w:val="en-US"/>
        </w:rPr>
      </w:pPr>
      <w:r w:rsidRPr="00873E82">
        <w:rPr>
          <w:rFonts w:ascii="Times New Roman" w:hAnsi="Times New Roman" w:cs="Times New Roman"/>
          <w:sz w:val="24"/>
          <w:szCs w:val="24"/>
        </w:rPr>
        <w:t xml:space="preserve">Internal hedging techniques provide limited forex risk management as they are mostly accounting-based without leveraging other currency exposures to hedge risks. While useful for cash flow planning and cost control, internal methods cannot adequately substitute for external </w:t>
      </w:r>
      <w:r w:rsidRPr="00873E82">
        <w:rPr>
          <w:rFonts w:ascii="Times New Roman" w:hAnsi="Times New Roman" w:cs="Times New Roman"/>
          <w:sz w:val="24"/>
          <w:szCs w:val="24"/>
        </w:rPr>
        <w:lastRenderedPageBreak/>
        <w:t xml:space="preserve">hedging practices (Bartram, 2019). </w:t>
      </w:r>
      <w:r w:rsidRPr="00411949">
        <w:rPr>
          <w:rFonts w:ascii="Times New Roman" w:hAnsi="Times New Roman" w:cs="Times New Roman"/>
          <w:sz w:val="24"/>
          <w:szCs w:val="24"/>
          <w:lang w:val="en-US"/>
        </w:rPr>
        <w:t xml:space="preserve">External instruments provide access to larger risk transfer markets across a variety of currency pairs and maturities. </w:t>
      </w:r>
    </w:p>
    <w:p w14:paraId="418BE322" w14:textId="77777777" w:rsidR="00E518CA" w:rsidRPr="00B23BFC" w:rsidRDefault="00E518CA" w:rsidP="00E518CA">
      <w:pPr>
        <w:spacing w:line="480" w:lineRule="auto"/>
        <w:rPr>
          <w:rFonts w:ascii="Times New Roman" w:hAnsi="Times New Roman" w:cs="Times New Roman"/>
          <w:sz w:val="24"/>
          <w:szCs w:val="24"/>
          <w:lang w:val="en-US"/>
        </w:rPr>
      </w:pPr>
      <w:r w:rsidRPr="00B23BFC">
        <w:rPr>
          <w:rFonts w:ascii="Times New Roman" w:hAnsi="Times New Roman" w:cs="Times New Roman"/>
          <w:sz w:val="24"/>
          <w:szCs w:val="24"/>
          <w:lang w:val="en-US"/>
        </w:rPr>
        <w:t>Currency forwards emerge as effective hedging tools for managing translation and transaction risk because they link future rates to known exposures from contractual agreements and financial statements (</w:t>
      </w:r>
      <w:proofErr w:type="spellStart"/>
      <w:r w:rsidRPr="00B23BFC">
        <w:rPr>
          <w:rFonts w:ascii="Times New Roman" w:hAnsi="Times New Roman" w:cs="Times New Roman"/>
          <w:sz w:val="24"/>
          <w:szCs w:val="24"/>
          <w:lang w:val="en-US"/>
        </w:rPr>
        <w:t>Cavusgil</w:t>
      </w:r>
      <w:proofErr w:type="spellEnd"/>
      <w:r w:rsidRPr="00B23BFC">
        <w:rPr>
          <w:rFonts w:ascii="Times New Roman" w:hAnsi="Times New Roman" w:cs="Times New Roman"/>
          <w:sz w:val="24"/>
          <w:szCs w:val="24"/>
          <w:lang w:val="en-US"/>
        </w:rPr>
        <w:t xml:space="preserve"> et al., 2022). Other tools are more costly for equivalent protection. By smoothing payment complexity, offsetting options structures can offer strong protection against projected cash flows that exceed forward maturity constraints (Hofmann et al., 2022).</w:t>
      </w:r>
    </w:p>
    <w:p w14:paraId="2E95582F" w14:textId="77777777" w:rsidR="00E518CA" w:rsidRPr="00B23BFC" w:rsidRDefault="00E518CA" w:rsidP="00E518CA">
      <w:pPr>
        <w:spacing w:line="480" w:lineRule="auto"/>
        <w:rPr>
          <w:rFonts w:ascii="Times New Roman" w:hAnsi="Times New Roman" w:cs="Times New Roman"/>
          <w:sz w:val="24"/>
          <w:szCs w:val="24"/>
          <w:lang w:val="en-US"/>
        </w:rPr>
      </w:pPr>
      <w:r w:rsidRPr="00B23BFC">
        <w:rPr>
          <w:rFonts w:ascii="Times New Roman" w:hAnsi="Times New Roman" w:cs="Times New Roman"/>
          <w:sz w:val="24"/>
          <w:szCs w:val="24"/>
          <w:lang w:val="en-US"/>
        </w:rPr>
        <w:t>Contrarily, economic risk management calls for dynamic strategic choices as opposed to transactional ones since risks stem from macroeconomic factors that affect international operations without obvious contractual triggers. Robust economic risk management is achieved by strategic financial and operational adjustments that are chosen. In reaction to risk exposures, they include changing local currency revenue/cost bases, production sites, financial structures, and treasury management of currency portfolios (Madura and Fox, 2022).</w:t>
      </w:r>
    </w:p>
    <w:p w14:paraId="3264CBD5"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Integrating suitable internal risk-sharing arrangements with selective use of external hedging instruments tailored to address specific exposures across suitable timeframes enables robust forex risk management. The optimal risk management strategy combines internal flexibility with external instruments to achieve risk reduction objectives within defined risk appetites amid dynamic market conditions (Ahmed and Stephens, 2022).</w:t>
      </w:r>
    </w:p>
    <w:p w14:paraId="5FEC6C2A" w14:textId="77777777" w:rsidR="00E518CA" w:rsidRPr="00873E82" w:rsidRDefault="00E518CA" w:rsidP="00E518CA">
      <w:pPr>
        <w:pStyle w:val="Heading1"/>
        <w:spacing w:line="480" w:lineRule="auto"/>
      </w:pPr>
      <w:bookmarkStart w:id="5" w:name="_Toc160380860"/>
      <w:r w:rsidRPr="00873E82">
        <w:t>Conclusion and Recommendations</w:t>
      </w:r>
      <w:bookmarkEnd w:id="5"/>
    </w:p>
    <w:p w14:paraId="0BFE7388"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 xml:space="preserve">Multinational corporations are exposed to three types of forex risk – transaction, translation and economic risks that arise from exchange rate fluctuations and generate cash flow and valuation </w:t>
      </w:r>
      <w:r w:rsidRPr="00873E82">
        <w:rPr>
          <w:rFonts w:ascii="Times New Roman" w:hAnsi="Times New Roman" w:cs="Times New Roman"/>
          <w:sz w:val="24"/>
          <w:szCs w:val="24"/>
        </w:rPr>
        <w:lastRenderedPageBreak/>
        <w:t>fluctuations. In-house arrangements give a low level of forex risk management while external hedging derivatives offer access to the wider global protection market from currency fluctuations. Forwards are used to lock in definite exposures but options offer additional payoff customisations that can be used to hedge forex risks in times of uncertainty. Strategic choices of location configurations, sourcing adjustments and revenue management help to insulate the business from economic risks of global operations. Appropriate integration of internal flexibility with selective use of external hedging instruments tailored to address specific risk exposures across different time horizons helps to build a robust forex risk management system that guarantees financial resilience.</w:t>
      </w:r>
    </w:p>
    <w:p w14:paraId="3BA2EDF1" w14:textId="77777777" w:rsidR="00E518CA" w:rsidRPr="00873E82" w:rsidRDefault="00E518CA" w:rsidP="00E518CA">
      <w:pPr>
        <w:spacing w:line="480" w:lineRule="auto"/>
        <w:rPr>
          <w:rFonts w:ascii="Times New Roman" w:hAnsi="Times New Roman" w:cs="Times New Roman"/>
          <w:sz w:val="24"/>
          <w:szCs w:val="24"/>
        </w:rPr>
      </w:pPr>
      <w:r w:rsidRPr="00873E82">
        <w:rPr>
          <w:rFonts w:ascii="Times New Roman" w:hAnsi="Times New Roman" w:cs="Times New Roman"/>
          <w:sz w:val="24"/>
          <w:szCs w:val="24"/>
        </w:rPr>
        <w:t>The optimal risk management strategy therefore includes the appropriate internal arrangements among operating units and the tactical deployment of specific external hedging derivatives, which are designed to deal with the identified exposures across assets, liabilities and cash flows. The mix of structural strategic measures also contributes to the reduction of the indirect economic risks in the long-run, due to the volatility of the cross-currency markets. The periodic review of the integrated forex exposure management framework in line with the changing risk and the maintenance of the procedural adherence would make its effectiveness even better. This makes MNCs able to maintain their activities abroad despite the growing instability of currency markets.</w:t>
      </w:r>
    </w:p>
    <w:p w14:paraId="748EFF9A" w14:textId="77777777" w:rsidR="00E518CA" w:rsidRPr="00873E82" w:rsidRDefault="00E518CA" w:rsidP="00E518CA">
      <w:pPr>
        <w:spacing w:line="480" w:lineRule="auto"/>
        <w:rPr>
          <w:rFonts w:ascii="Times New Roman" w:hAnsi="Times New Roman" w:cs="Times New Roman"/>
          <w:sz w:val="24"/>
          <w:szCs w:val="24"/>
        </w:rPr>
      </w:pPr>
    </w:p>
    <w:p w14:paraId="2CF0BAF8" w14:textId="77777777" w:rsidR="00E518CA" w:rsidRPr="00873E82" w:rsidRDefault="00E518CA" w:rsidP="00E518CA">
      <w:pPr>
        <w:spacing w:line="480" w:lineRule="auto"/>
        <w:rPr>
          <w:rFonts w:ascii="Times New Roman" w:hAnsi="Times New Roman" w:cs="Times New Roman"/>
          <w:sz w:val="24"/>
          <w:szCs w:val="24"/>
        </w:rPr>
      </w:pPr>
    </w:p>
    <w:p w14:paraId="2A419808" w14:textId="77777777" w:rsidR="00E518CA" w:rsidRPr="00873E82" w:rsidRDefault="00E518CA" w:rsidP="00E518CA">
      <w:pPr>
        <w:spacing w:line="480" w:lineRule="auto"/>
        <w:rPr>
          <w:rFonts w:ascii="Times New Roman" w:hAnsi="Times New Roman" w:cs="Times New Roman"/>
          <w:sz w:val="24"/>
          <w:szCs w:val="24"/>
        </w:rPr>
      </w:pPr>
    </w:p>
    <w:p w14:paraId="657CE0E9" w14:textId="77777777" w:rsidR="00E518CA" w:rsidRPr="00873E82" w:rsidRDefault="00E518CA" w:rsidP="00E518CA">
      <w:pPr>
        <w:spacing w:line="480" w:lineRule="auto"/>
        <w:rPr>
          <w:rFonts w:ascii="Times New Roman" w:hAnsi="Times New Roman" w:cs="Times New Roman"/>
          <w:sz w:val="24"/>
          <w:szCs w:val="24"/>
        </w:rPr>
      </w:pPr>
    </w:p>
    <w:p w14:paraId="02CD24DD" w14:textId="77777777" w:rsidR="00E518CA" w:rsidRPr="00873E82" w:rsidRDefault="00E518CA" w:rsidP="00E518CA">
      <w:pPr>
        <w:spacing w:line="480" w:lineRule="auto"/>
        <w:rPr>
          <w:rFonts w:ascii="Times New Roman" w:hAnsi="Times New Roman" w:cs="Times New Roman"/>
          <w:sz w:val="24"/>
          <w:szCs w:val="24"/>
        </w:rPr>
      </w:pPr>
    </w:p>
    <w:p w14:paraId="130BDA13" w14:textId="77777777" w:rsidR="00E518CA" w:rsidRPr="00873E82" w:rsidRDefault="00E518CA" w:rsidP="00E518CA">
      <w:pPr>
        <w:spacing w:line="480" w:lineRule="auto"/>
        <w:rPr>
          <w:rFonts w:ascii="Times New Roman" w:hAnsi="Times New Roman" w:cs="Times New Roman"/>
          <w:sz w:val="24"/>
          <w:szCs w:val="24"/>
        </w:rPr>
      </w:pPr>
    </w:p>
    <w:p w14:paraId="48B9CFB0" w14:textId="77777777" w:rsidR="00E518CA" w:rsidRPr="00873E82" w:rsidRDefault="00E518CA" w:rsidP="00E518CA">
      <w:pPr>
        <w:pStyle w:val="Heading1"/>
        <w:spacing w:line="480" w:lineRule="auto"/>
      </w:pPr>
      <w:bookmarkStart w:id="6" w:name="_Toc160380861"/>
      <w:r w:rsidRPr="00873E82">
        <w:t>References</w:t>
      </w:r>
      <w:bookmarkEnd w:id="6"/>
      <w:r w:rsidRPr="00873E82">
        <w:t xml:space="preserve"> </w:t>
      </w:r>
    </w:p>
    <w:p w14:paraId="1B617A0B" w14:textId="77777777" w:rsidR="00E518CA" w:rsidRPr="00873E82" w:rsidRDefault="00E518CA" w:rsidP="00E518CA">
      <w:pPr>
        <w:spacing w:line="480" w:lineRule="auto"/>
        <w:ind w:left="720" w:hanging="720"/>
        <w:rPr>
          <w:rFonts w:ascii="Times New Roman" w:hAnsi="Times New Roman" w:cs="Times New Roman"/>
          <w:sz w:val="24"/>
          <w:szCs w:val="24"/>
        </w:rPr>
      </w:pPr>
      <w:r w:rsidRPr="00873E82">
        <w:rPr>
          <w:rFonts w:ascii="Times New Roman" w:hAnsi="Times New Roman" w:cs="Times New Roman"/>
          <w:sz w:val="24"/>
          <w:szCs w:val="24"/>
        </w:rPr>
        <w:t>Ahmed, J. and Stephens, C., 2022. Foreign exchange risk management strategies at airport enterprises: Evidence from emerging market multinational corporations. Journal of Air Transport Management, 100, 102229.</w:t>
      </w:r>
    </w:p>
    <w:p w14:paraId="0593A914" w14:textId="77777777" w:rsidR="00E518CA" w:rsidRPr="00873E82" w:rsidRDefault="00E518CA" w:rsidP="00E518CA">
      <w:pPr>
        <w:spacing w:line="480" w:lineRule="auto"/>
        <w:ind w:left="720" w:hanging="720"/>
        <w:rPr>
          <w:rFonts w:ascii="Times New Roman" w:hAnsi="Times New Roman" w:cs="Times New Roman"/>
          <w:sz w:val="24"/>
          <w:szCs w:val="24"/>
        </w:rPr>
      </w:pPr>
      <w:r w:rsidRPr="00873E82">
        <w:rPr>
          <w:rFonts w:ascii="Times New Roman" w:hAnsi="Times New Roman" w:cs="Times New Roman"/>
          <w:sz w:val="24"/>
          <w:szCs w:val="24"/>
        </w:rPr>
        <w:t>Bartram, S.M., 2019. Corporate hedging and speculation with derivatives. Journal of Corporate Finance, 57, pp.9-34.</w:t>
      </w:r>
    </w:p>
    <w:p w14:paraId="0CCA16C5" w14:textId="77777777" w:rsidR="00E518CA" w:rsidRPr="00873E82" w:rsidRDefault="00E518CA" w:rsidP="00E518CA">
      <w:pPr>
        <w:spacing w:line="480" w:lineRule="auto"/>
        <w:ind w:left="720" w:hanging="720"/>
        <w:rPr>
          <w:rFonts w:ascii="Times New Roman" w:hAnsi="Times New Roman" w:cs="Times New Roman"/>
          <w:sz w:val="24"/>
          <w:szCs w:val="24"/>
        </w:rPr>
      </w:pPr>
      <w:r w:rsidRPr="00873E82">
        <w:rPr>
          <w:rFonts w:ascii="Times New Roman" w:hAnsi="Times New Roman" w:cs="Times New Roman"/>
          <w:sz w:val="24"/>
          <w:szCs w:val="24"/>
        </w:rPr>
        <w:t>Baum, C.F., Schäfer, D. and Talavera, O., 2022. The effects of exchange rate movements on firms' exports: A review of empirical literature. Journal of Economic Surveys, 36(2), pp.488-524.</w:t>
      </w:r>
    </w:p>
    <w:p w14:paraId="3FD84760" w14:textId="77777777" w:rsidR="00E518CA" w:rsidRPr="00873E82" w:rsidRDefault="00E518CA" w:rsidP="00E518CA">
      <w:pPr>
        <w:spacing w:line="480" w:lineRule="auto"/>
        <w:ind w:left="720" w:hanging="720"/>
        <w:rPr>
          <w:rFonts w:ascii="Times New Roman" w:hAnsi="Times New Roman" w:cs="Times New Roman"/>
          <w:sz w:val="24"/>
          <w:szCs w:val="24"/>
        </w:rPr>
      </w:pPr>
      <w:proofErr w:type="spellStart"/>
      <w:r w:rsidRPr="00873E82">
        <w:rPr>
          <w:rFonts w:ascii="Times New Roman" w:hAnsi="Times New Roman" w:cs="Times New Roman"/>
          <w:sz w:val="24"/>
          <w:szCs w:val="24"/>
        </w:rPr>
        <w:t>Cavusgil</w:t>
      </w:r>
      <w:proofErr w:type="spellEnd"/>
      <w:r w:rsidRPr="00873E82">
        <w:rPr>
          <w:rFonts w:ascii="Times New Roman" w:hAnsi="Times New Roman" w:cs="Times New Roman"/>
          <w:sz w:val="24"/>
          <w:szCs w:val="24"/>
        </w:rPr>
        <w:t>, S.T., Knight, G. and Riesenberger, J.R., 2022. International business: The new realities, global edition. Pearson.</w:t>
      </w:r>
    </w:p>
    <w:p w14:paraId="67371679" w14:textId="77777777" w:rsidR="00E518CA" w:rsidRPr="00873E82" w:rsidRDefault="00E518CA" w:rsidP="00E518CA">
      <w:pPr>
        <w:spacing w:line="480" w:lineRule="auto"/>
        <w:ind w:left="720" w:hanging="720"/>
        <w:rPr>
          <w:rFonts w:ascii="Times New Roman" w:hAnsi="Times New Roman" w:cs="Times New Roman"/>
          <w:sz w:val="24"/>
          <w:szCs w:val="24"/>
        </w:rPr>
      </w:pPr>
      <w:proofErr w:type="spellStart"/>
      <w:r w:rsidRPr="00873E82">
        <w:rPr>
          <w:rFonts w:ascii="Times New Roman" w:hAnsi="Times New Roman" w:cs="Times New Roman"/>
          <w:sz w:val="24"/>
          <w:szCs w:val="24"/>
        </w:rPr>
        <w:t>Eiteman</w:t>
      </w:r>
      <w:proofErr w:type="spellEnd"/>
      <w:r w:rsidRPr="00873E82">
        <w:rPr>
          <w:rFonts w:ascii="Times New Roman" w:hAnsi="Times New Roman" w:cs="Times New Roman"/>
          <w:sz w:val="24"/>
          <w:szCs w:val="24"/>
        </w:rPr>
        <w:t>, D.K., Stonehill, A.I. and Moffett, M.H., 2022. Multinational business finance. Pearson.</w:t>
      </w:r>
    </w:p>
    <w:p w14:paraId="47660FAD" w14:textId="77777777" w:rsidR="00E518CA" w:rsidRPr="00873E82" w:rsidRDefault="00E518CA" w:rsidP="00E518CA">
      <w:pPr>
        <w:spacing w:line="480" w:lineRule="auto"/>
        <w:ind w:left="720" w:hanging="720"/>
        <w:rPr>
          <w:rFonts w:ascii="Times New Roman" w:hAnsi="Times New Roman" w:cs="Times New Roman"/>
          <w:sz w:val="24"/>
          <w:szCs w:val="24"/>
        </w:rPr>
      </w:pPr>
      <w:r w:rsidRPr="00873E82">
        <w:rPr>
          <w:rFonts w:ascii="Times New Roman" w:hAnsi="Times New Roman" w:cs="Times New Roman"/>
          <w:sz w:val="24"/>
          <w:szCs w:val="24"/>
        </w:rPr>
        <w:t>Hofmann, E., Teuteberg, F. and Sari, K., 2022. Financial supply chain management and blockchain technology–Antecedents of adoption and system design propositions. International Journal of Production Economics, 250, p.108453.</w:t>
      </w:r>
    </w:p>
    <w:p w14:paraId="31743305" w14:textId="77777777" w:rsidR="00E518CA" w:rsidRPr="00873E82" w:rsidRDefault="00E518CA" w:rsidP="00E518CA">
      <w:pPr>
        <w:spacing w:line="480" w:lineRule="auto"/>
        <w:ind w:left="720" w:hanging="720"/>
        <w:rPr>
          <w:rFonts w:ascii="Times New Roman" w:hAnsi="Times New Roman" w:cs="Times New Roman"/>
          <w:sz w:val="24"/>
          <w:szCs w:val="24"/>
        </w:rPr>
      </w:pPr>
      <w:proofErr w:type="spellStart"/>
      <w:r w:rsidRPr="00873E82">
        <w:rPr>
          <w:rFonts w:ascii="Times New Roman" w:hAnsi="Times New Roman" w:cs="Times New Roman"/>
          <w:sz w:val="24"/>
          <w:szCs w:val="24"/>
        </w:rPr>
        <w:t>Krapl</w:t>
      </w:r>
      <w:proofErr w:type="spellEnd"/>
      <w:r w:rsidRPr="00873E82">
        <w:rPr>
          <w:rFonts w:ascii="Times New Roman" w:hAnsi="Times New Roman" w:cs="Times New Roman"/>
          <w:sz w:val="24"/>
          <w:szCs w:val="24"/>
        </w:rPr>
        <w:t>, A.A., 2015. Corporate hedging versus risk-sharing in export-oriented foreign direct investment. International Review of Economics &amp; Finance, 37, pp.1-10.</w:t>
      </w:r>
    </w:p>
    <w:p w14:paraId="51D6121E" w14:textId="77777777" w:rsidR="00E518CA" w:rsidRPr="00873E82" w:rsidRDefault="00E518CA" w:rsidP="00E518CA">
      <w:pPr>
        <w:spacing w:line="480" w:lineRule="auto"/>
        <w:ind w:left="720" w:hanging="720"/>
        <w:rPr>
          <w:rFonts w:ascii="Times New Roman" w:hAnsi="Times New Roman" w:cs="Times New Roman"/>
          <w:sz w:val="24"/>
          <w:szCs w:val="24"/>
        </w:rPr>
      </w:pPr>
      <w:r w:rsidRPr="00873E82">
        <w:rPr>
          <w:rFonts w:ascii="Times New Roman" w:hAnsi="Times New Roman" w:cs="Times New Roman"/>
          <w:sz w:val="24"/>
          <w:szCs w:val="24"/>
        </w:rPr>
        <w:t>Madura, J. and Fox, R., 2022. International financial management. Cengage Learning.</w:t>
      </w:r>
    </w:p>
    <w:p w14:paraId="1C81F7CB" w14:textId="77777777" w:rsidR="00E518CA" w:rsidRPr="00873E82" w:rsidRDefault="00E518CA" w:rsidP="00E518CA">
      <w:pPr>
        <w:spacing w:line="480" w:lineRule="auto"/>
        <w:ind w:left="720" w:hanging="720"/>
        <w:rPr>
          <w:rFonts w:ascii="Times New Roman" w:hAnsi="Times New Roman" w:cs="Times New Roman"/>
          <w:sz w:val="24"/>
          <w:szCs w:val="24"/>
        </w:rPr>
      </w:pPr>
      <w:r w:rsidRPr="00873E82">
        <w:rPr>
          <w:rFonts w:ascii="Times New Roman" w:hAnsi="Times New Roman" w:cs="Times New Roman"/>
          <w:sz w:val="24"/>
          <w:szCs w:val="24"/>
        </w:rPr>
        <w:lastRenderedPageBreak/>
        <w:t>Shapiro, A.C., 2014. Multinational financial management. John Wiley &amp; Sons.</w:t>
      </w:r>
    </w:p>
    <w:p w14:paraId="410BF9FE" w14:textId="77777777" w:rsidR="00E518CA" w:rsidRPr="00873E82" w:rsidRDefault="00E518CA" w:rsidP="00E518CA"/>
    <w:p w14:paraId="256D3ADD" w14:textId="77777777" w:rsidR="00DE1F3A" w:rsidRDefault="00DE1F3A"/>
    <w:sectPr w:rsidR="00DE1F3A" w:rsidSect="00E518CA">
      <w:headerReference w:type="default" r:id="rI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tka Small Semibold">
    <w:panose1 w:val="00000000000000000000"/>
    <w:charset w:val="00"/>
    <w:family w:val="auto"/>
    <w:pitch w:val="variable"/>
    <w:sig w:usb0="A00002EF" w:usb1="4000204B"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065679"/>
      <w:docPartObj>
        <w:docPartGallery w:val="Page Numbers (Top of Page)"/>
        <w:docPartUnique/>
      </w:docPartObj>
    </w:sdtPr>
    <w:sdtEndPr>
      <w:rPr>
        <w:noProof/>
      </w:rPr>
    </w:sdtEndPr>
    <w:sdtContent>
      <w:p w14:paraId="7EB3A81A" w14:textId="77777777" w:rsidR="00DA4E04" w:rsidRDefault="00DA4E0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44E94D" w14:textId="77777777" w:rsidR="00DA4E04" w:rsidRDefault="00DA4E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A6161C"/>
    <w:multiLevelType w:val="hybridMultilevel"/>
    <w:tmpl w:val="32EE37E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F70A88"/>
    <w:multiLevelType w:val="hybridMultilevel"/>
    <w:tmpl w:val="9B50FD2A"/>
    <w:lvl w:ilvl="0" w:tplc="B892723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8938457">
    <w:abstractNumId w:val="1"/>
  </w:num>
  <w:num w:numId="2" w16cid:durableId="1055082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877"/>
    <w:rsid w:val="00165D1C"/>
    <w:rsid w:val="00517E5C"/>
    <w:rsid w:val="00771877"/>
    <w:rsid w:val="00850723"/>
    <w:rsid w:val="00DE1F3A"/>
    <w:rsid w:val="00E51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86A1B"/>
  <w15:chartTrackingRefBased/>
  <w15:docId w15:val="{928280EC-2456-4144-AE77-7AABD31BF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8CA"/>
  </w:style>
  <w:style w:type="paragraph" w:styleId="Heading1">
    <w:name w:val="heading 1"/>
    <w:basedOn w:val="Normal"/>
    <w:next w:val="Normal"/>
    <w:link w:val="Heading1Char"/>
    <w:uiPriority w:val="9"/>
    <w:qFormat/>
    <w:rsid w:val="007718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8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8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8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8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8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8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8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8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8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8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8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8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877"/>
    <w:rPr>
      <w:rFonts w:eastAsiaTheme="majorEastAsia" w:cstheme="majorBidi"/>
      <w:color w:val="272727" w:themeColor="text1" w:themeTint="D8"/>
    </w:rPr>
  </w:style>
  <w:style w:type="paragraph" w:styleId="Title">
    <w:name w:val="Title"/>
    <w:basedOn w:val="Normal"/>
    <w:next w:val="Normal"/>
    <w:link w:val="TitleChar"/>
    <w:uiPriority w:val="10"/>
    <w:qFormat/>
    <w:rsid w:val="00771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8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8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8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877"/>
    <w:pPr>
      <w:spacing w:before="160"/>
      <w:jc w:val="center"/>
    </w:pPr>
    <w:rPr>
      <w:i/>
      <w:iCs/>
      <w:color w:val="404040" w:themeColor="text1" w:themeTint="BF"/>
    </w:rPr>
  </w:style>
  <w:style w:type="character" w:customStyle="1" w:styleId="QuoteChar">
    <w:name w:val="Quote Char"/>
    <w:basedOn w:val="DefaultParagraphFont"/>
    <w:link w:val="Quote"/>
    <w:uiPriority w:val="29"/>
    <w:rsid w:val="00771877"/>
    <w:rPr>
      <w:i/>
      <w:iCs/>
      <w:color w:val="404040" w:themeColor="text1" w:themeTint="BF"/>
    </w:rPr>
  </w:style>
  <w:style w:type="paragraph" w:styleId="ListParagraph">
    <w:name w:val="List Paragraph"/>
    <w:basedOn w:val="Normal"/>
    <w:uiPriority w:val="34"/>
    <w:qFormat/>
    <w:rsid w:val="00771877"/>
    <w:pPr>
      <w:ind w:left="720"/>
      <w:contextualSpacing/>
    </w:pPr>
  </w:style>
  <w:style w:type="character" w:styleId="IntenseEmphasis">
    <w:name w:val="Intense Emphasis"/>
    <w:basedOn w:val="DefaultParagraphFont"/>
    <w:uiPriority w:val="21"/>
    <w:qFormat/>
    <w:rsid w:val="00771877"/>
    <w:rPr>
      <w:i/>
      <w:iCs/>
      <w:color w:val="0F4761" w:themeColor="accent1" w:themeShade="BF"/>
    </w:rPr>
  </w:style>
  <w:style w:type="paragraph" w:styleId="IntenseQuote">
    <w:name w:val="Intense Quote"/>
    <w:basedOn w:val="Normal"/>
    <w:next w:val="Normal"/>
    <w:link w:val="IntenseQuoteChar"/>
    <w:uiPriority w:val="30"/>
    <w:qFormat/>
    <w:rsid w:val="00771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877"/>
    <w:rPr>
      <w:i/>
      <w:iCs/>
      <w:color w:val="0F4761" w:themeColor="accent1" w:themeShade="BF"/>
    </w:rPr>
  </w:style>
  <w:style w:type="character" w:styleId="IntenseReference">
    <w:name w:val="Intense Reference"/>
    <w:basedOn w:val="DefaultParagraphFont"/>
    <w:uiPriority w:val="32"/>
    <w:qFormat/>
    <w:rsid w:val="00771877"/>
    <w:rPr>
      <w:b/>
      <w:bCs/>
      <w:smallCaps/>
      <w:color w:val="0F4761" w:themeColor="accent1" w:themeShade="BF"/>
      <w:spacing w:val="5"/>
    </w:rPr>
  </w:style>
  <w:style w:type="paragraph" w:styleId="Header">
    <w:name w:val="header"/>
    <w:basedOn w:val="Normal"/>
    <w:link w:val="HeaderChar"/>
    <w:uiPriority w:val="99"/>
    <w:unhideWhenUsed/>
    <w:rsid w:val="00E518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18CA"/>
  </w:style>
  <w:style w:type="paragraph" w:styleId="TOCHeading">
    <w:name w:val="TOC Heading"/>
    <w:basedOn w:val="Heading1"/>
    <w:next w:val="Normal"/>
    <w:uiPriority w:val="39"/>
    <w:unhideWhenUsed/>
    <w:qFormat/>
    <w:rsid w:val="00E518C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518CA"/>
    <w:pPr>
      <w:spacing w:after="100"/>
    </w:pPr>
  </w:style>
  <w:style w:type="character" w:styleId="Hyperlink">
    <w:name w:val="Hyperlink"/>
    <w:basedOn w:val="DefaultParagraphFont"/>
    <w:uiPriority w:val="99"/>
    <w:unhideWhenUsed/>
    <w:rsid w:val="00E518C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2268</Words>
  <Characters>12932</Characters>
  <Application>Microsoft Office Word</Application>
  <DocSecurity>0</DocSecurity>
  <Lines>107</Lines>
  <Paragraphs>30</Paragraphs>
  <ScaleCrop>false</ScaleCrop>
  <Company/>
  <LinksUpToDate>false</LinksUpToDate>
  <CharactersWithSpaces>15170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 Mihai Toth</dc:creator>
  <cp:keywords/>
  <dc:description/>
  <cp:lastModifiedBy>The Bag Broker - Mihai Toth</cp:lastModifiedBy>
  <cp:revision>2</cp:revision>
  <dcterms:created xsi:type="dcterms:W3CDTF">2024-04-02T09:30:00Z</dcterms:created>
  <dcterms:modified xsi:type="dcterms:W3CDTF">2024-04-02T09:30:00Z</dcterms:modified>
</cp:coreProperties>
</file>