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0B9B8B" w14:textId="77777777" w:rsidR="00E475D5" w:rsidRDefault="00E475D5" w:rsidP="00E475D5">
      <w:pPr>
        <w:spacing w:line="360" w:lineRule="auto"/>
        <w:jc w:val="center"/>
        <w:rPr>
          <w:b/>
          <w:bCs/>
        </w:rPr>
      </w:pPr>
    </w:p>
    <w:p w14:paraId="7D5B0AD2" w14:textId="77777777" w:rsidR="00E475D5" w:rsidRDefault="00E475D5" w:rsidP="00E475D5">
      <w:pPr>
        <w:spacing w:line="360" w:lineRule="auto"/>
        <w:jc w:val="center"/>
        <w:rPr>
          <w:b/>
          <w:bCs/>
        </w:rPr>
      </w:pPr>
    </w:p>
    <w:p w14:paraId="28BB06A3" w14:textId="77777777" w:rsidR="00E475D5" w:rsidRDefault="00E475D5" w:rsidP="00E475D5">
      <w:pPr>
        <w:spacing w:line="360" w:lineRule="auto"/>
        <w:jc w:val="center"/>
        <w:rPr>
          <w:b/>
          <w:bCs/>
        </w:rPr>
      </w:pPr>
    </w:p>
    <w:p w14:paraId="29FA67DE" w14:textId="77777777" w:rsidR="00E475D5" w:rsidRDefault="00E475D5" w:rsidP="00E475D5">
      <w:pPr>
        <w:spacing w:line="360" w:lineRule="auto"/>
        <w:jc w:val="center"/>
        <w:rPr>
          <w:b/>
          <w:bCs/>
        </w:rPr>
      </w:pPr>
    </w:p>
    <w:p w14:paraId="066F8286" w14:textId="77777777" w:rsidR="00E475D5" w:rsidRDefault="00E475D5" w:rsidP="00E475D5">
      <w:pPr>
        <w:spacing w:line="360" w:lineRule="auto"/>
        <w:jc w:val="center"/>
        <w:rPr>
          <w:b/>
          <w:bCs/>
        </w:rPr>
      </w:pPr>
    </w:p>
    <w:p w14:paraId="7EEEFE1B" w14:textId="77777777" w:rsidR="00E475D5" w:rsidRDefault="00E475D5" w:rsidP="00E475D5">
      <w:pPr>
        <w:spacing w:line="360" w:lineRule="auto"/>
        <w:jc w:val="center"/>
        <w:rPr>
          <w:b/>
          <w:bCs/>
        </w:rPr>
      </w:pPr>
    </w:p>
    <w:p w14:paraId="31975130" w14:textId="77777777" w:rsidR="00E475D5" w:rsidRDefault="008179CD" w:rsidP="00E475D5">
      <w:pPr>
        <w:spacing w:line="360" w:lineRule="auto"/>
        <w:jc w:val="center"/>
      </w:pPr>
      <w:r w:rsidRPr="008179CD">
        <w:rPr>
          <w:b/>
          <w:bCs/>
        </w:rPr>
        <w:t>Report Title</w:t>
      </w:r>
      <w:r w:rsidRPr="008179CD">
        <w:t>:</w:t>
      </w:r>
    </w:p>
    <w:p w14:paraId="15127030" w14:textId="77777777" w:rsidR="008179CD" w:rsidRPr="008179CD" w:rsidRDefault="008179CD" w:rsidP="00E475D5">
      <w:pPr>
        <w:spacing w:line="360" w:lineRule="auto"/>
        <w:jc w:val="center"/>
      </w:pPr>
      <w:r w:rsidRPr="008179CD">
        <w:rPr>
          <w:b/>
          <w:bCs/>
        </w:rPr>
        <w:t>Advisory Report on Corporate Governance, Agency Theory, and International Listing Implications for a Family-Owned Firm Preparing for AIM</w:t>
      </w:r>
    </w:p>
    <w:p w14:paraId="7F669B6E" w14:textId="77777777" w:rsidR="00F81B2D" w:rsidRDefault="008179CD" w:rsidP="00E475D5">
      <w:pPr>
        <w:spacing w:line="360" w:lineRule="auto"/>
        <w:jc w:val="center"/>
      </w:pPr>
      <w:r w:rsidRPr="008179CD">
        <w:rPr>
          <w:b/>
          <w:bCs/>
        </w:rPr>
        <w:t>Module</w:t>
      </w:r>
      <w:r w:rsidRPr="008179CD">
        <w:t>: LCBB6002 – International Financial Management</w:t>
      </w:r>
    </w:p>
    <w:p w14:paraId="1E65BB6E" w14:textId="77777777" w:rsidR="00F81B2D" w:rsidRDefault="008179CD" w:rsidP="00E475D5">
      <w:pPr>
        <w:spacing w:line="360" w:lineRule="auto"/>
        <w:jc w:val="center"/>
      </w:pPr>
      <w:r w:rsidRPr="008179CD">
        <w:rPr>
          <w:b/>
          <w:bCs/>
        </w:rPr>
        <w:t>Course</w:t>
      </w:r>
      <w:r w:rsidRPr="008179CD">
        <w:t>: BA (Hons) Business Management</w:t>
      </w:r>
    </w:p>
    <w:p w14:paraId="4B5515AE" w14:textId="6F091AF4" w:rsidR="00F81B2D" w:rsidRDefault="000A4FCC" w:rsidP="00E475D5">
      <w:pPr>
        <w:spacing w:line="360" w:lineRule="auto"/>
        <w:jc w:val="center"/>
      </w:pPr>
      <w:r>
        <w:rPr>
          <w:b/>
          <w:bCs/>
        </w:rPr>
        <w:t>Submitted By</w:t>
      </w:r>
      <w:r w:rsidR="008179CD" w:rsidRPr="008179CD">
        <w:t>:</w:t>
      </w:r>
      <w:r>
        <w:t xml:space="preserve"> Marius Dinu</w:t>
      </w:r>
    </w:p>
    <w:p w14:paraId="1A2DA2BC" w14:textId="69577632" w:rsidR="00CD1C9E" w:rsidRDefault="008179CD" w:rsidP="00E475D5">
      <w:pPr>
        <w:spacing w:line="360" w:lineRule="auto"/>
        <w:jc w:val="center"/>
      </w:pPr>
      <w:r w:rsidRPr="008179CD">
        <w:rPr>
          <w:b/>
          <w:bCs/>
        </w:rPr>
        <w:t>Student ID</w:t>
      </w:r>
      <w:r w:rsidR="000A4FCC">
        <w:rPr>
          <w:b/>
          <w:bCs/>
        </w:rPr>
        <w:t xml:space="preserve">: </w:t>
      </w:r>
      <w:r w:rsidR="000A4FCC" w:rsidRPr="005A1283">
        <w:t>2244847</w:t>
      </w:r>
    </w:p>
    <w:p w14:paraId="63C8B6B3" w14:textId="77777777" w:rsidR="00CD1C9E" w:rsidRDefault="00CD1C9E" w:rsidP="00172423">
      <w:pPr>
        <w:spacing w:line="360" w:lineRule="auto"/>
        <w:jc w:val="both"/>
      </w:pPr>
      <w:r>
        <w:br w:type="page"/>
      </w:r>
    </w:p>
    <w:bookmarkStart w:id="0" w:name="_Toc201417853" w:displacedByCustomXml="next"/>
    <w:sdt>
      <w:sdtPr>
        <w:rPr>
          <w:rFonts w:eastAsiaTheme="minorHAnsi" w:cstheme="minorBidi"/>
          <w:b w:val="0"/>
          <w:color w:val="auto"/>
          <w:sz w:val="24"/>
          <w:szCs w:val="24"/>
          <w:lang w:val="en-US" w:eastAsia="en-US"/>
        </w:rPr>
        <w:id w:val="1160961050"/>
        <w:docPartObj>
          <w:docPartGallery w:val="Table of Contents"/>
          <w:docPartUnique/>
        </w:docPartObj>
      </w:sdtPr>
      <w:sdtEndPr>
        <w:rPr>
          <w:rFonts w:eastAsiaTheme="majorEastAsia" w:cstheme="majorBidi"/>
          <w:b/>
          <w:bCs/>
          <w:noProof/>
          <w:color w:val="262626" w:themeColor="text1" w:themeTint="D9"/>
          <w:sz w:val="32"/>
          <w:szCs w:val="32"/>
          <w:lang w:val="en-GB" w:eastAsia="zh-CN"/>
        </w:rPr>
      </w:sdtEndPr>
      <w:sdtContent>
        <w:bookmarkEnd w:id="0" w:displacedByCustomXml="prev"/>
        <w:p w14:paraId="2615D7E8" w14:textId="77777777" w:rsidR="00F61188" w:rsidRDefault="006137CA" w:rsidP="006137CA">
          <w:pPr>
            <w:pStyle w:val="Heading1"/>
          </w:pPr>
          <w:r>
            <w:rPr>
              <w:noProof/>
            </w:rPr>
            <w:drawing>
              <wp:inline distT="0" distB="0" distL="0" distR="0" wp14:anchorId="5B684C6C" wp14:editId="4B48BF00">
                <wp:extent cx="2114550" cy="314325"/>
                <wp:effectExtent l="0" t="0" r="0" b="9525"/>
                <wp:docPr id="2114485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485961" name=""/>
                        <pic:cNvPicPr/>
                      </pic:nvPicPr>
                      <pic:blipFill>
                        <a:blip r:embed="rId8"/>
                        <a:stretch>
                          <a:fillRect/>
                        </a:stretch>
                      </pic:blipFill>
                      <pic:spPr>
                        <a:xfrm>
                          <a:off x="0" y="0"/>
                          <a:ext cx="2114550" cy="314325"/>
                        </a:xfrm>
                        <a:prstGeom prst="rect">
                          <a:avLst/>
                        </a:prstGeom>
                      </pic:spPr>
                    </pic:pic>
                  </a:graphicData>
                </a:graphic>
              </wp:inline>
            </w:drawing>
          </w:r>
          <w:r w:rsidR="007D0B58">
            <w:rPr>
              <w:noProof/>
            </w:rPr>
            <w:drawing>
              <wp:inline distT="0" distB="0" distL="0" distR="0" wp14:anchorId="40D42ED4" wp14:editId="27154DF7">
                <wp:extent cx="5943600" cy="4403725"/>
                <wp:effectExtent l="0" t="0" r="0" b="0"/>
                <wp:docPr id="1809326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326669" name=""/>
                        <pic:cNvPicPr/>
                      </pic:nvPicPr>
                      <pic:blipFill>
                        <a:blip r:embed="rId9"/>
                        <a:stretch>
                          <a:fillRect/>
                        </a:stretch>
                      </pic:blipFill>
                      <pic:spPr>
                        <a:xfrm>
                          <a:off x="0" y="0"/>
                          <a:ext cx="5943600" cy="4403725"/>
                        </a:xfrm>
                        <a:prstGeom prst="rect">
                          <a:avLst/>
                        </a:prstGeom>
                      </pic:spPr>
                    </pic:pic>
                  </a:graphicData>
                </a:graphic>
              </wp:inline>
            </w:drawing>
          </w:r>
        </w:p>
      </w:sdtContent>
    </w:sdt>
    <w:p w14:paraId="2F08A1D2" w14:textId="77777777" w:rsidR="007845A5" w:rsidRDefault="007845A5">
      <w:pPr>
        <w:spacing w:line="259" w:lineRule="auto"/>
        <w:rPr>
          <w:rFonts w:eastAsiaTheme="majorEastAsia" w:cstheme="majorBidi"/>
          <w:b/>
          <w:color w:val="262626" w:themeColor="text1" w:themeTint="D9"/>
          <w:sz w:val="32"/>
          <w:szCs w:val="32"/>
          <w:lang w:val="en-GB" w:eastAsia="zh-CN"/>
        </w:rPr>
      </w:pPr>
      <w:r>
        <w:br w:type="page"/>
      </w:r>
    </w:p>
    <w:p w14:paraId="7934B427" w14:textId="77777777" w:rsidR="00CD1C9E" w:rsidRPr="00CD1C9E" w:rsidRDefault="00CD1C9E" w:rsidP="00172423">
      <w:pPr>
        <w:pStyle w:val="Heading1"/>
        <w:spacing w:line="360" w:lineRule="auto"/>
      </w:pPr>
      <w:bookmarkStart w:id="1" w:name="_Toc201417854"/>
      <w:r w:rsidRPr="00CD1C9E">
        <w:lastRenderedPageBreak/>
        <w:t>Executive Summary</w:t>
      </w:r>
      <w:bookmarkEnd w:id="1"/>
      <w:r w:rsidRPr="00CD1C9E">
        <w:t xml:space="preserve"> </w:t>
      </w:r>
    </w:p>
    <w:p w14:paraId="75F02537" w14:textId="77777777" w:rsidR="00CD1C9E" w:rsidRDefault="00D66E87" w:rsidP="00172423">
      <w:pPr>
        <w:spacing w:line="360" w:lineRule="auto"/>
        <w:jc w:val="both"/>
      </w:pPr>
      <w:r w:rsidRPr="00D66E87">
        <w:t>This report carries out an advisory analysis to help the board of a family business that has service company which is planning to list on Alternative Investment Market (AIM) of the UK. With much of the ownership becoming external (30%), the board is faced with an important decision relative to the strategic control, corporate governance responsibilities, and reasoning why the directors should be remunerated like every other director in a company as per the public perception. In this report, the essential tenets of the agency theory and corporate governance in view of the public companies, the strategies of maintaining the board power even in the case of minority ownerships, and some governance processes of fair transparent remuneration, can be provided. It also looks into institutional variations in listing structure and corporate governance regulations among the UK, Shanghai and Netherlands. The recommendations are stated in order to offer compliance, retention in control and sustainability of the shareholder relations as the listing of the AIM step ahead</w:t>
      </w:r>
      <w:r w:rsidR="00CD1C9E" w:rsidRPr="00CD1C9E">
        <w:t>.</w:t>
      </w:r>
    </w:p>
    <w:p w14:paraId="18D0A24C" w14:textId="77777777" w:rsidR="0082532E" w:rsidRPr="0082532E" w:rsidRDefault="0082532E" w:rsidP="00172423">
      <w:pPr>
        <w:pStyle w:val="Heading1"/>
        <w:spacing w:line="360" w:lineRule="auto"/>
      </w:pPr>
      <w:bookmarkStart w:id="2" w:name="_Toc201417855"/>
      <w:r w:rsidRPr="0082532E">
        <w:t>A. Corporate Governance &amp; Agency Theory</w:t>
      </w:r>
      <w:bookmarkEnd w:id="2"/>
    </w:p>
    <w:p w14:paraId="16EF0611" w14:textId="77777777" w:rsidR="0082532E" w:rsidRPr="0082532E" w:rsidRDefault="0082532E" w:rsidP="00172423">
      <w:pPr>
        <w:pStyle w:val="Heading2"/>
        <w:spacing w:line="360" w:lineRule="auto"/>
        <w:jc w:val="both"/>
      </w:pPr>
      <w:bookmarkStart w:id="3" w:name="_Toc201417856"/>
      <w:r w:rsidRPr="0082532E">
        <w:t>1. Definition &amp; Role of Corporate Governance</w:t>
      </w:r>
      <w:bookmarkEnd w:id="3"/>
    </w:p>
    <w:p w14:paraId="6AC88673" w14:textId="77777777" w:rsidR="0082532E" w:rsidRPr="0082532E" w:rsidRDefault="00886EFF" w:rsidP="00172423">
      <w:pPr>
        <w:spacing w:line="360" w:lineRule="auto"/>
        <w:jc w:val="both"/>
      </w:pPr>
      <w:r w:rsidRPr="00886EFF">
        <w:t>A corporate governance is a guideline, processes and procedures of directing and managing a corporation. The UK system is facilitated by the UK Corporate Governance Code that is published by the financial reporting council (FRC) and is followed by the listed companies on the ground of no less than comply or explain</w:t>
      </w:r>
      <w:r w:rsidR="00D32C1A">
        <w:t xml:space="preserve"> </w:t>
      </w:r>
      <w:r w:rsidR="00F73B2D" w:rsidRPr="00F73B2D">
        <w:t>(FRC, 2024). Its main intentions are</w:t>
      </w:r>
      <w:r w:rsidR="0082532E" w:rsidRPr="0082532E">
        <w:t>:</w:t>
      </w:r>
    </w:p>
    <w:p w14:paraId="29DAE689" w14:textId="77777777" w:rsidR="0082532E" w:rsidRPr="006A1318" w:rsidRDefault="0082532E" w:rsidP="00172423">
      <w:pPr>
        <w:numPr>
          <w:ilvl w:val="0"/>
          <w:numId w:val="1"/>
        </w:numPr>
        <w:spacing w:line="360" w:lineRule="auto"/>
        <w:jc w:val="both"/>
      </w:pPr>
      <w:r w:rsidRPr="006A1318">
        <w:t>Enhancing long-term performance,</w:t>
      </w:r>
    </w:p>
    <w:p w14:paraId="4DCAD9E1" w14:textId="77777777" w:rsidR="0082532E" w:rsidRPr="006A1318" w:rsidRDefault="0082532E" w:rsidP="00172423">
      <w:pPr>
        <w:numPr>
          <w:ilvl w:val="0"/>
          <w:numId w:val="1"/>
        </w:numPr>
        <w:spacing w:line="360" w:lineRule="auto"/>
        <w:jc w:val="both"/>
      </w:pPr>
      <w:r w:rsidRPr="006A1318">
        <w:t>Establishing trust, transparency, and accountability, and</w:t>
      </w:r>
    </w:p>
    <w:p w14:paraId="7A156AD8" w14:textId="77777777" w:rsidR="0082532E" w:rsidRPr="006A1318" w:rsidRDefault="0082532E" w:rsidP="00172423">
      <w:pPr>
        <w:numPr>
          <w:ilvl w:val="0"/>
          <w:numId w:val="1"/>
        </w:numPr>
        <w:spacing w:line="360" w:lineRule="auto"/>
        <w:jc w:val="both"/>
      </w:pPr>
      <w:r w:rsidRPr="006A1318">
        <w:t>Improving board leadership, accountability, risk management, remuneration, and shareholder engagement.</w:t>
      </w:r>
    </w:p>
    <w:p w14:paraId="22B0E611" w14:textId="77777777" w:rsidR="0082532E" w:rsidRPr="0082532E" w:rsidRDefault="0082532E" w:rsidP="00172423">
      <w:pPr>
        <w:spacing w:line="360" w:lineRule="auto"/>
        <w:jc w:val="both"/>
      </w:pPr>
      <w:r w:rsidRPr="0082532E">
        <w:t xml:space="preserve">For SMEs planning an AIM listing, </w:t>
      </w:r>
      <w:r w:rsidRPr="009935DB">
        <w:t>the QCA Code</w:t>
      </w:r>
      <w:r w:rsidRPr="0082532E">
        <w:t xml:space="preserve"> (applied by ~93% of AIM firms) provides a more proportionate governance framework while reflecting the central principles of the UK Code</w:t>
      </w:r>
      <w:sdt>
        <w:sdtPr>
          <w:id w:val="-398985687"/>
          <w:citation/>
        </w:sdtPr>
        <w:sdtContent>
          <w:r w:rsidR="00211A00">
            <w:fldChar w:fldCharType="begin"/>
          </w:r>
          <w:r w:rsidR="00211A00">
            <w:instrText xml:space="preserve"> CITATION Osb24 \l 1033 </w:instrText>
          </w:r>
          <w:r w:rsidR="00211A00">
            <w:fldChar w:fldCharType="separate"/>
          </w:r>
          <w:r w:rsidR="00211A00">
            <w:rPr>
              <w:noProof/>
            </w:rPr>
            <w:t xml:space="preserve"> </w:t>
          </w:r>
          <w:r w:rsidR="00211A00" w:rsidRPr="00211A00">
            <w:rPr>
              <w:noProof/>
            </w:rPr>
            <w:t>(Osborneclarke, 2024)</w:t>
          </w:r>
          <w:r w:rsidR="00211A00">
            <w:fldChar w:fldCharType="end"/>
          </w:r>
        </w:sdtContent>
      </w:sdt>
      <w:r w:rsidRPr="0082532E">
        <w:t>.</w:t>
      </w:r>
    </w:p>
    <w:p w14:paraId="7776EEEB" w14:textId="77777777" w:rsidR="0082532E" w:rsidRPr="0082532E" w:rsidRDefault="0082532E" w:rsidP="00172423">
      <w:pPr>
        <w:pStyle w:val="Heading2"/>
        <w:spacing w:line="360" w:lineRule="auto"/>
        <w:jc w:val="both"/>
      </w:pPr>
      <w:bookmarkStart w:id="4" w:name="_Toc201417857"/>
      <w:r w:rsidRPr="0082532E">
        <w:lastRenderedPageBreak/>
        <w:t>2. Agency Theory: Principal–Agent Problem</w:t>
      </w:r>
      <w:bookmarkEnd w:id="4"/>
    </w:p>
    <w:p w14:paraId="28B897EC" w14:textId="77777777" w:rsidR="00E06087" w:rsidRDefault="00E06087" w:rsidP="00E06087">
      <w:pPr>
        <w:spacing w:line="360" w:lineRule="auto"/>
        <w:jc w:val="both"/>
      </w:pPr>
      <w:r>
        <w:t>The concept of agency theory outlines the conflicting interest between:</w:t>
      </w:r>
    </w:p>
    <w:p w14:paraId="4CA8F799" w14:textId="77777777" w:rsidR="00E06087" w:rsidRDefault="00E06087" w:rsidP="00E06087">
      <w:pPr>
        <w:spacing w:line="360" w:lineRule="auto"/>
        <w:jc w:val="both"/>
      </w:pPr>
      <w:r>
        <w:t xml:space="preserve">• </w:t>
      </w:r>
      <w:r w:rsidR="00555D4F">
        <w:t>T</w:t>
      </w:r>
      <w:r>
        <w:t>he principals (who are shareholders).</w:t>
      </w:r>
    </w:p>
    <w:p w14:paraId="092F91A3" w14:textId="77777777" w:rsidR="00E06087" w:rsidRDefault="00E06087" w:rsidP="00E06087">
      <w:pPr>
        <w:spacing w:line="360" w:lineRule="auto"/>
        <w:jc w:val="both"/>
      </w:pPr>
      <w:r>
        <w:t xml:space="preserve">• </w:t>
      </w:r>
      <w:r w:rsidR="00555D4F">
        <w:t>T</w:t>
      </w:r>
      <w:r>
        <w:t>hose personae agents appointed by them (directors/executives).</w:t>
      </w:r>
    </w:p>
    <w:p w14:paraId="00F2C0A8" w14:textId="77777777" w:rsidR="0082532E" w:rsidRPr="0082532E" w:rsidRDefault="00E06087" w:rsidP="00E06087">
      <w:pPr>
        <w:spacing w:line="360" w:lineRule="auto"/>
        <w:jc w:val="both"/>
      </w:pPr>
      <w:r>
        <w:t>resulted by division of ownership and control, asymmetry of information and selfishness of managers (Legislation.gov, 2018). Such problems are able to destroy the shareholder value when the executives fail to serve the owners interest</w:t>
      </w:r>
      <w:r w:rsidR="0082532E" w:rsidRPr="0082532E">
        <w:t>.</w:t>
      </w:r>
    </w:p>
    <w:p w14:paraId="7BD5A779" w14:textId="77777777" w:rsidR="0082532E" w:rsidRPr="0082532E" w:rsidRDefault="0082532E" w:rsidP="00172423">
      <w:pPr>
        <w:pStyle w:val="Heading2"/>
        <w:spacing w:line="360" w:lineRule="auto"/>
        <w:jc w:val="both"/>
      </w:pPr>
      <w:bookmarkStart w:id="5" w:name="_Toc201417858"/>
      <w:r w:rsidRPr="0082532E">
        <w:t>3. Governance Mechanisms to Mitigate Agency Problems</w:t>
      </w:r>
      <w:bookmarkEnd w:id="5"/>
    </w:p>
    <w:p w14:paraId="4E86C0DF" w14:textId="77777777" w:rsidR="0082532E" w:rsidRPr="0082532E" w:rsidRDefault="0082532E" w:rsidP="00172423">
      <w:pPr>
        <w:spacing w:line="360" w:lineRule="auto"/>
        <w:jc w:val="both"/>
      </w:pPr>
      <w:r w:rsidRPr="0082532E">
        <w:t>To align interests between shareholders and management, companies adopt:</w:t>
      </w:r>
    </w:p>
    <w:p w14:paraId="22A21064" w14:textId="77777777" w:rsidR="0082532E" w:rsidRPr="0082532E" w:rsidRDefault="0082532E" w:rsidP="00172423">
      <w:pPr>
        <w:numPr>
          <w:ilvl w:val="0"/>
          <w:numId w:val="3"/>
        </w:numPr>
        <w:spacing w:line="360" w:lineRule="auto"/>
        <w:jc w:val="both"/>
      </w:pPr>
      <w:r w:rsidRPr="0082532E">
        <w:rPr>
          <w:b/>
          <w:bCs/>
        </w:rPr>
        <w:t>Board Structures:</w:t>
      </w:r>
      <w:r w:rsidRPr="0082532E">
        <w:t xml:space="preserve"> Non</w:t>
      </w:r>
      <w:r w:rsidRPr="0082532E">
        <w:noBreakHyphen/>
        <w:t>executive directors provide independent oversight.</w:t>
      </w:r>
    </w:p>
    <w:p w14:paraId="3E5B9CF4" w14:textId="77777777" w:rsidR="0082532E" w:rsidRPr="0082532E" w:rsidRDefault="0082532E" w:rsidP="00172423">
      <w:pPr>
        <w:numPr>
          <w:ilvl w:val="0"/>
          <w:numId w:val="3"/>
        </w:numPr>
        <w:spacing w:line="360" w:lineRule="auto"/>
        <w:jc w:val="both"/>
      </w:pPr>
      <w:r w:rsidRPr="0082532E">
        <w:rPr>
          <w:b/>
          <w:bCs/>
        </w:rPr>
        <w:t>Remuneration Schemes:</w:t>
      </w:r>
      <w:r w:rsidRPr="0082532E">
        <w:t xml:space="preserve"> Performance</w:t>
      </w:r>
      <w:r w:rsidRPr="0082532E">
        <w:noBreakHyphen/>
        <w:t>linked pay to incentivize alignment with shareholder value.</w:t>
      </w:r>
    </w:p>
    <w:p w14:paraId="5BA10133" w14:textId="77777777" w:rsidR="0082532E" w:rsidRPr="0082532E" w:rsidRDefault="0082532E" w:rsidP="00172423">
      <w:pPr>
        <w:numPr>
          <w:ilvl w:val="0"/>
          <w:numId w:val="3"/>
        </w:numPr>
        <w:spacing w:line="360" w:lineRule="auto"/>
        <w:jc w:val="both"/>
      </w:pPr>
      <w:r w:rsidRPr="0082532E">
        <w:rPr>
          <w:b/>
          <w:bCs/>
        </w:rPr>
        <w:t>Transparent Reporting &amp; Control Systems:</w:t>
      </w:r>
      <w:r w:rsidRPr="0082532E">
        <w:t xml:space="preserve"> Annual evaluation of internal controls (now mandatory for premium</w:t>
      </w:r>
      <w:r w:rsidRPr="0082532E">
        <w:noBreakHyphen/>
        <w:t>listed firms) to improve accountability</w:t>
      </w:r>
      <w:sdt>
        <w:sdtPr>
          <w:id w:val="786854810"/>
          <w:citation/>
        </w:sdtPr>
        <w:sdtContent>
          <w:r w:rsidR="001720C2">
            <w:fldChar w:fldCharType="begin"/>
          </w:r>
          <w:r w:rsidR="001720C2">
            <w:instrText xml:space="preserve"> CITATION Ass12 \l 1033 </w:instrText>
          </w:r>
          <w:r w:rsidR="001720C2">
            <w:fldChar w:fldCharType="separate"/>
          </w:r>
          <w:r w:rsidR="001720C2">
            <w:rPr>
              <w:noProof/>
            </w:rPr>
            <w:t xml:space="preserve"> </w:t>
          </w:r>
          <w:r w:rsidR="001720C2" w:rsidRPr="001720C2">
            <w:rPr>
              <w:noProof/>
            </w:rPr>
            <w:t>(Asset.piblishing, 2012)</w:t>
          </w:r>
          <w:r w:rsidR="001720C2">
            <w:fldChar w:fldCharType="end"/>
          </w:r>
        </w:sdtContent>
      </w:sdt>
      <w:sdt>
        <w:sdtPr>
          <w:id w:val="1430773971"/>
          <w:citation/>
        </w:sdtPr>
        <w:sdtContent>
          <w:r w:rsidR="001720C2">
            <w:fldChar w:fldCharType="begin"/>
          </w:r>
          <w:r w:rsidR="001720C2">
            <w:instrText xml:space="preserve"> CITATION The242 \l 1033 </w:instrText>
          </w:r>
          <w:r w:rsidR="001720C2">
            <w:fldChar w:fldCharType="separate"/>
          </w:r>
          <w:r w:rsidR="001720C2">
            <w:rPr>
              <w:noProof/>
            </w:rPr>
            <w:t xml:space="preserve"> </w:t>
          </w:r>
          <w:r w:rsidR="001720C2" w:rsidRPr="001720C2">
            <w:rPr>
              <w:noProof/>
            </w:rPr>
            <w:t>(Theguardian, 2024)</w:t>
          </w:r>
          <w:r w:rsidR="001720C2">
            <w:fldChar w:fldCharType="end"/>
          </w:r>
        </w:sdtContent>
      </w:sdt>
      <w:r w:rsidRPr="0082532E">
        <w:t>.</w:t>
      </w:r>
    </w:p>
    <w:p w14:paraId="4AB7E315" w14:textId="77777777" w:rsidR="0082532E" w:rsidRPr="0082532E" w:rsidRDefault="0082532E" w:rsidP="00172423">
      <w:pPr>
        <w:numPr>
          <w:ilvl w:val="0"/>
          <w:numId w:val="3"/>
        </w:numPr>
        <w:spacing w:line="360" w:lineRule="auto"/>
        <w:jc w:val="both"/>
      </w:pPr>
      <w:r w:rsidRPr="0082532E">
        <w:rPr>
          <w:b/>
          <w:bCs/>
        </w:rPr>
        <w:t>Shareholder Engagement:</w:t>
      </w:r>
      <w:r w:rsidRPr="0082532E">
        <w:t xml:space="preserve"> The UK Stewardship Code promotes active oversight by institutional investors</w:t>
      </w:r>
      <w:r w:rsidR="005D19DF" w:rsidRPr="005D19DF">
        <w:t xml:space="preserve"> </w:t>
      </w:r>
      <w:sdt>
        <w:sdtPr>
          <w:id w:val="-1677185846"/>
          <w:citation/>
        </w:sdtPr>
        <w:sdtContent>
          <w:r w:rsidR="005D19DF">
            <w:fldChar w:fldCharType="begin"/>
          </w:r>
          <w:r w:rsidR="005D19DF">
            <w:instrText xml:space="preserve"> CITATION Ass12 \l 1033 </w:instrText>
          </w:r>
          <w:r w:rsidR="005D19DF">
            <w:fldChar w:fldCharType="separate"/>
          </w:r>
          <w:r w:rsidR="005D19DF">
            <w:rPr>
              <w:noProof/>
            </w:rPr>
            <w:t xml:space="preserve"> </w:t>
          </w:r>
          <w:r w:rsidR="005D19DF" w:rsidRPr="001720C2">
            <w:rPr>
              <w:noProof/>
            </w:rPr>
            <w:t>(Asset.piblishing, 2012)</w:t>
          </w:r>
          <w:r w:rsidR="005D19DF">
            <w:fldChar w:fldCharType="end"/>
          </w:r>
        </w:sdtContent>
      </w:sdt>
      <w:r w:rsidRPr="0082532E">
        <w:t>.</w:t>
      </w:r>
    </w:p>
    <w:p w14:paraId="0B8F8981" w14:textId="77777777" w:rsidR="0082532E" w:rsidRPr="0082532E" w:rsidRDefault="0082532E" w:rsidP="00172423">
      <w:pPr>
        <w:spacing w:line="360" w:lineRule="auto"/>
        <w:jc w:val="both"/>
      </w:pPr>
      <w:r w:rsidRPr="0082532E">
        <w:t>These mechanisms are vital for AIM-bound companies to demonstrate credible governance, build investor confidence, and comply with regulatory frameworks.</w:t>
      </w:r>
    </w:p>
    <w:p w14:paraId="1C9ACA6B" w14:textId="77777777" w:rsidR="0082532E" w:rsidRPr="0082532E" w:rsidRDefault="0082532E" w:rsidP="00172423">
      <w:pPr>
        <w:pStyle w:val="Heading2"/>
        <w:spacing w:line="360" w:lineRule="auto"/>
        <w:jc w:val="both"/>
      </w:pPr>
      <w:bookmarkStart w:id="6" w:name="_Toc201417859"/>
      <w:r w:rsidRPr="0082532E">
        <w:t>4. Implications for the AIM Listing</w:t>
      </w:r>
      <w:bookmarkEnd w:id="6"/>
    </w:p>
    <w:p w14:paraId="79543951" w14:textId="77777777" w:rsidR="0082532E" w:rsidRPr="0082532E" w:rsidRDefault="0082532E" w:rsidP="00172423">
      <w:pPr>
        <w:spacing w:line="360" w:lineRule="auto"/>
        <w:jc w:val="both"/>
      </w:pPr>
      <w:r w:rsidRPr="0082532E">
        <w:t xml:space="preserve">Although AIM-listed companies are not legally bound by the UK Code, most </w:t>
      </w:r>
      <w:r w:rsidRPr="0082532E">
        <w:rPr>
          <w:b/>
          <w:bCs/>
        </w:rPr>
        <w:t>adopt the QCA Code</w:t>
      </w:r>
      <w:r w:rsidRPr="0082532E">
        <w:t xml:space="preserve">, which stresses board responsibility, transparency, and appropriate remuneration. Effective governance reassures </w:t>
      </w:r>
      <w:r w:rsidRPr="0082532E">
        <w:rPr>
          <w:b/>
          <w:bCs/>
        </w:rPr>
        <w:t>external investors</w:t>
      </w:r>
      <w:r w:rsidRPr="0082532E">
        <w:t xml:space="preserve"> and </w:t>
      </w:r>
      <w:r w:rsidRPr="0082532E">
        <w:rPr>
          <w:b/>
          <w:bCs/>
        </w:rPr>
        <w:t>enhances valuation</w:t>
      </w:r>
      <w:r w:rsidRPr="0082532E">
        <w:t>, which is crucial when the family dilutes from 100% to 30% ownership.</w:t>
      </w:r>
    </w:p>
    <w:p w14:paraId="2F27DF73" w14:textId="77777777" w:rsidR="0082532E" w:rsidRPr="0082532E" w:rsidRDefault="0082532E" w:rsidP="00172423">
      <w:pPr>
        <w:pStyle w:val="Heading1"/>
        <w:spacing w:line="360" w:lineRule="auto"/>
      </w:pPr>
      <w:bookmarkStart w:id="7" w:name="_Toc201417860"/>
      <w:r w:rsidRPr="0082532E">
        <w:lastRenderedPageBreak/>
        <w:t>B. Retaining Control with 30% Shareholding</w:t>
      </w:r>
      <w:bookmarkEnd w:id="7"/>
    </w:p>
    <w:p w14:paraId="27B3FE8B" w14:textId="77777777" w:rsidR="0082532E" w:rsidRPr="0082532E" w:rsidRDefault="0082532E" w:rsidP="00172423">
      <w:pPr>
        <w:spacing w:line="360" w:lineRule="auto"/>
        <w:jc w:val="both"/>
      </w:pPr>
      <w:r w:rsidRPr="0082532E">
        <w:t xml:space="preserve">When a </w:t>
      </w:r>
      <w:r w:rsidRPr="00E32A16">
        <w:t>family business transitions from private to public ownership, retaining strategic control with only 30% shareholding becomes a significant challenge. However, several legal, structural, and market strategies are available to help maintain influence over board decisions, strategy, and direction even without majority ownership</w:t>
      </w:r>
      <w:r w:rsidRPr="0082532E">
        <w:t>.</w:t>
      </w:r>
    </w:p>
    <w:p w14:paraId="3F38E413" w14:textId="77777777" w:rsidR="0082532E" w:rsidRPr="0082532E" w:rsidRDefault="0082532E" w:rsidP="00172423">
      <w:pPr>
        <w:pStyle w:val="Heading2"/>
        <w:spacing w:line="360" w:lineRule="auto"/>
        <w:jc w:val="both"/>
      </w:pPr>
      <w:bookmarkStart w:id="8" w:name="_Toc201417861"/>
      <w:r w:rsidRPr="0082532E">
        <w:t>1. Dual-Class Share Structures</w:t>
      </w:r>
      <w:bookmarkEnd w:id="8"/>
    </w:p>
    <w:p w14:paraId="049294FB" w14:textId="77777777" w:rsidR="00AB7C1E" w:rsidRDefault="00AB7C1E" w:rsidP="002C7F17">
      <w:pPr>
        <w:spacing w:line="360" w:lineRule="auto"/>
        <w:jc w:val="both"/>
      </w:pPr>
      <w:r>
        <w:t>Use of dual-class share structure constitutes one of the best ways of doing it so, with various categories of shares entailing different rights in terms of voting.</w:t>
      </w:r>
    </w:p>
    <w:p w14:paraId="066A2021" w14:textId="77777777" w:rsidR="00AB7C1E" w:rsidRDefault="00AB7C1E" w:rsidP="00AB7C1E">
      <w:pPr>
        <w:numPr>
          <w:ilvl w:val="0"/>
          <w:numId w:val="4"/>
        </w:numPr>
        <w:spacing w:line="360" w:lineRule="auto"/>
        <w:jc w:val="both"/>
      </w:pPr>
      <w:r>
        <w:t>E.g. the shares owned by the family can be of Class A with better voting right (e.g. 10 votes per share) whereas external investors can get Class B shares but with 1 vote per share only.</w:t>
      </w:r>
    </w:p>
    <w:p w14:paraId="305F3548" w14:textId="77777777" w:rsidR="0082532E" w:rsidRPr="00E32A16" w:rsidRDefault="00AB7C1E" w:rsidP="00AB7C1E">
      <w:pPr>
        <w:numPr>
          <w:ilvl w:val="0"/>
          <w:numId w:val="4"/>
        </w:numPr>
        <w:spacing w:line="360" w:lineRule="auto"/>
        <w:jc w:val="both"/>
      </w:pPr>
      <w:r>
        <w:t>Companies such as Alphabet (Google) and Meta (Facebook) had to utilize this approach to enable founders to remain in power</w:t>
      </w:r>
      <w:r w:rsidR="0082532E" w:rsidRPr="00E32A16">
        <w:t>.</w:t>
      </w:r>
    </w:p>
    <w:p w14:paraId="4F8BD3D6" w14:textId="77777777" w:rsidR="0082532E" w:rsidRPr="0082532E" w:rsidRDefault="0082532E" w:rsidP="00172423">
      <w:pPr>
        <w:spacing w:line="360" w:lineRule="auto"/>
        <w:jc w:val="both"/>
      </w:pPr>
      <w:r w:rsidRPr="00E32A16">
        <w:t>UK AIM Status: While dual-class structures are restricted on the London Stock Exchange (LSE) premium segment, they are permitted on AIM under its flexible rules, provided the company clearly discloses this in its admission document</w:t>
      </w:r>
      <w:sdt>
        <w:sdtPr>
          <w:id w:val="2041233361"/>
          <w:citation/>
        </w:sdtPr>
        <w:sdtContent>
          <w:r w:rsidR="00973B1E" w:rsidRPr="00E32A16">
            <w:fldChar w:fldCharType="begin"/>
          </w:r>
          <w:r w:rsidR="00973B1E" w:rsidRPr="00E32A16">
            <w:instrText xml:space="preserve"> CITATION LSE24 \l 1033 </w:instrText>
          </w:r>
          <w:r w:rsidR="00973B1E" w:rsidRPr="00E32A16">
            <w:fldChar w:fldCharType="separate"/>
          </w:r>
          <w:r w:rsidR="00973B1E" w:rsidRPr="00E32A16">
            <w:rPr>
              <w:noProof/>
            </w:rPr>
            <w:t xml:space="preserve"> (LSE, 2024)</w:t>
          </w:r>
          <w:r w:rsidR="00973B1E" w:rsidRPr="00E32A16">
            <w:fldChar w:fldCharType="end"/>
          </w:r>
        </w:sdtContent>
      </w:sdt>
      <w:r w:rsidRPr="0082532E">
        <w:t>.</w:t>
      </w:r>
    </w:p>
    <w:p w14:paraId="424A99ED" w14:textId="77777777" w:rsidR="0082532E" w:rsidRPr="0082532E" w:rsidRDefault="0082532E" w:rsidP="00172423">
      <w:pPr>
        <w:pStyle w:val="Heading2"/>
        <w:spacing w:line="360" w:lineRule="auto"/>
        <w:jc w:val="both"/>
      </w:pPr>
      <w:bookmarkStart w:id="9" w:name="_Toc201417862"/>
      <w:r w:rsidRPr="0082532E">
        <w:t>2. Shareholder Agreements</w:t>
      </w:r>
      <w:bookmarkEnd w:id="9"/>
    </w:p>
    <w:p w14:paraId="42FFE321" w14:textId="77777777" w:rsidR="0082532E" w:rsidRPr="00E32A16" w:rsidRDefault="0082532E" w:rsidP="00172423">
      <w:pPr>
        <w:spacing w:line="360" w:lineRule="auto"/>
        <w:jc w:val="both"/>
      </w:pPr>
      <w:r w:rsidRPr="0082532E">
        <w:t xml:space="preserve">The family can </w:t>
      </w:r>
      <w:r w:rsidRPr="00E32A16">
        <w:t>also retain control through private shareholder agreements, which may:</w:t>
      </w:r>
    </w:p>
    <w:p w14:paraId="6DB92E25" w14:textId="77777777" w:rsidR="0082532E" w:rsidRPr="00E32A16" w:rsidRDefault="0082532E" w:rsidP="00172423">
      <w:pPr>
        <w:numPr>
          <w:ilvl w:val="0"/>
          <w:numId w:val="5"/>
        </w:numPr>
        <w:spacing w:line="360" w:lineRule="auto"/>
        <w:jc w:val="both"/>
      </w:pPr>
      <w:r w:rsidRPr="00E32A16">
        <w:t>Grant them the right to appoint a majority of directors,</w:t>
      </w:r>
    </w:p>
    <w:p w14:paraId="742C3461" w14:textId="77777777" w:rsidR="0082532E" w:rsidRPr="00E32A16" w:rsidRDefault="0082532E" w:rsidP="00172423">
      <w:pPr>
        <w:numPr>
          <w:ilvl w:val="0"/>
          <w:numId w:val="5"/>
        </w:numPr>
        <w:spacing w:line="360" w:lineRule="auto"/>
        <w:jc w:val="both"/>
      </w:pPr>
      <w:r w:rsidRPr="00E32A16">
        <w:t>Require supermajority approval for key decisions,</w:t>
      </w:r>
    </w:p>
    <w:p w14:paraId="5EE25FA7" w14:textId="77777777" w:rsidR="0082532E" w:rsidRPr="00E32A16" w:rsidRDefault="0082532E" w:rsidP="00172423">
      <w:pPr>
        <w:numPr>
          <w:ilvl w:val="0"/>
          <w:numId w:val="5"/>
        </w:numPr>
        <w:spacing w:line="360" w:lineRule="auto"/>
        <w:jc w:val="both"/>
      </w:pPr>
      <w:r w:rsidRPr="00E32A16">
        <w:t>Include pre-emption rights or drag-along/tag-along rights to manage future dilution.</w:t>
      </w:r>
    </w:p>
    <w:p w14:paraId="2D7C7198" w14:textId="77777777" w:rsidR="0082532E" w:rsidRPr="0082532E" w:rsidRDefault="0082532E" w:rsidP="00172423">
      <w:pPr>
        <w:spacing w:line="360" w:lineRule="auto"/>
        <w:jc w:val="both"/>
      </w:pPr>
      <w:r w:rsidRPr="00E32A16">
        <w:t>Such agreements are enforceable under</w:t>
      </w:r>
      <w:r w:rsidRPr="0082532E">
        <w:t xml:space="preserve"> UK company law and can be tailored prior to listing</w:t>
      </w:r>
      <w:sdt>
        <w:sdtPr>
          <w:id w:val="-1654052550"/>
          <w:citation/>
        </w:sdtPr>
        <w:sdtContent>
          <w:r w:rsidR="0008592E">
            <w:fldChar w:fldCharType="begin"/>
          </w:r>
          <w:r w:rsidR="0008592E">
            <w:instrText xml:space="preserve">CITATION Pni15 \l 1033 </w:instrText>
          </w:r>
          <w:r w:rsidR="0008592E">
            <w:fldChar w:fldCharType="separate"/>
          </w:r>
          <w:r w:rsidR="0008592E">
            <w:rPr>
              <w:noProof/>
            </w:rPr>
            <w:t xml:space="preserve"> </w:t>
          </w:r>
          <w:r w:rsidR="0008592E" w:rsidRPr="0008592E">
            <w:rPr>
              <w:noProof/>
            </w:rPr>
            <w:t>(Pnisent Masons, 2015)</w:t>
          </w:r>
          <w:r w:rsidR="0008592E">
            <w:fldChar w:fldCharType="end"/>
          </w:r>
        </w:sdtContent>
      </w:sdt>
      <w:r w:rsidRPr="0082532E">
        <w:t>.</w:t>
      </w:r>
    </w:p>
    <w:p w14:paraId="1A1EAB96" w14:textId="77777777" w:rsidR="0082532E" w:rsidRPr="0082532E" w:rsidRDefault="0082532E" w:rsidP="00172423">
      <w:pPr>
        <w:pStyle w:val="Heading2"/>
        <w:spacing w:line="360" w:lineRule="auto"/>
        <w:jc w:val="both"/>
      </w:pPr>
      <w:bookmarkStart w:id="10" w:name="_Toc201417863"/>
      <w:r w:rsidRPr="0082532E">
        <w:lastRenderedPageBreak/>
        <w:t>3. Board Representation and Composition</w:t>
      </w:r>
      <w:bookmarkEnd w:id="10"/>
    </w:p>
    <w:p w14:paraId="25A96B64" w14:textId="77777777" w:rsidR="0082532E" w:rsidRPr="0082532E" w:rsidRDefault="0082532E" w:rsidP="00172423">
      <w:pPr>
        <w:spacing w:line="360" w:lineRule="auto"/>
        <w:jc w:val="both"/>
      </w:pPr>
      <w:r w:rsidRPr="0082532E">
        <w:t xml:space="preserve">The family can ensure influence by </w:t>
      </w:r>
      <w:r w:rsidRPr="0082532E">
        <w:rPr>
          <w:b/>
          <w:bCs/>
        </w:rPr>
        <w:t>retaining board positions</w:t>
      </w:r>
      <w:r w:rsidRPr="0082532E">
        <w:t xml:space="preserve">, ideally chair or CEO roles, supported by </w:t>
      </w:r>
      <w:r w:rsidRPr="0082532E">
        <w:rPr>
          <w:b/>
          <w:bCs/>
        </w:rPr>
        <w:t>non-executive allies</w:t>
      </w:r>
      <w:r w:rsidRPr="0082532E">
        <w:t xml:space="preserve"> who share long-term vision.</w:t>
      </w:r>
    </w:p>
    <w:p w14:paraId="6F89A342" w14:textId="77777777" w:rsidR="0082532E" w:rsidRPr="0082532E" w:rsidRDefault="0082532E" w:rsidP="00172423">
      <w:pPr>
        <w:numPr>
          <w:ilvl w:val="0"/>
          <w:numId w:val="6"/>
        </w:numPr>
        <w:spacing w:line="360" w:lineRule="auto"/>
        <w:jc w:val="both"/>
      </w:pPr>
      <w:r w:rsidRPr="0082532E">
        <w:t xml:space="preserve">Although UK Corporate Governance Code suggests separation of Chair and CEO roles, </w:t>
      </w:r>
      <w:r w:rsidRPr="0082532E">
        <w:rPr>
          <w:b/>
          <w:bCs/>
        </w:rPr>
        <w:t>AIM companies may adopt alternative structures</w:t>
      </w:r>
      <w:r w:rsidRPr="0082532E">
        <w:t>, provided they explain the rationale under the "comply or explain" rule.</w:t>
      </w:r>
    </w:p>
    <w:p w14:paraId="0E490335" w14:textId="77777777" w:rsidR="0082532E" w:rsidRPr="0082532E" w:rsidRDefault="0082532E" w:rsidP="00172423">
      <w:pPr>
        <w:numPr>
          <w:ilvl w:val="0"/>
          <w:numId w:val="6"/>
        </w:numPr>
        <w:spacing w:line="360" w:lineRule="auto"/>
        <w:jc w:val="both"/>
      </w:pPr>
      <w:r w:rsidRPr="0082532E">
        <w:t xml:space="preserve">A </w:t>
      </w:r>
      <w:r w:rsidRPr="0082532E">
        <w:rPr>
          <w:b/>
          <w:bCs/>
        </w:rPr>
        <w:t>nomination committee</w:t>
      </w:r>
      <w:r w:rsidRPr="0082532E">
        <w:t xml:space="preserve"> with family influence can help shape future appointments</w:t>
      </w:r>
      <w:sdt>
        <w:sdtPr>
          <w:id w:val="1871647428"/>
          <w:citation/>
        </w:sdtPr>
        <w:sdtContent>
          <w:r w:rsidR="0008592E">
            <w:fldChar w:fldCharType="begin"/>
          </w:r>
          <w:r w:rsidR="0008592E">
            <w:instrText xml:space="preserve"> CITATION FRC241 \l 1033 </w:instrText>
          </w:r>
          <w:r w:rsidR="0008592E">
            <w:fldChar w:fldCharType="separate"/>
          </w:r>
          <w:r w:rsidR="0008592E">
            <w:rPr>
              <w:noProof/>
            </w:rPr>
            <w:t xml:space="preserve"> </w:t>
          </w:r>
          <w:r w:rsidR="0008592E" w:rsidRPr="0008592E">
            <w:rPr>
              <w:noProof/>
            </w:rPr>
            <w:t>(FRC, 2024)</w:t>
          </w:r>
          <w:r w:rsidR="0008592E">
            <w:fldChar w:fldCharType="end"/>
          </w:r>
        </w:sdtContent>
      </w:sdt>
    </w:p>
    <w:p w14:paraId="220CAED8" w14:textId="77777777" w:rsidR="0082532E" w:rsidRPr="0082532E" w:rsidRDefault="0082532E" w:rsidP="00172423">
      <w:pPr>
        <w:pStyle w:val="Heading2"/>
        <w:spacing w:line="360" w:lineRule="auto"/>
        <w:jc w:val="both"/>
      </w:pPr>
      <w:bookmarkStart w:id="11" w:name="_Toc201417864"/>
      <w:r w:rsidRPr="0082532E">
        <w:t>4. Strategic Investor Selection</w:t>
      </w:r>
      <w:bookmarkEnd w:id="11"/>
    </w:p>
    <w:p w14:paraId="5B9C5CD9" w14:textId="77777777" w:rsidR="0082532E" w:rsidRPr="0082532E" w:rsidRDefault="0082532E" w:rsidP="00172423">
      <w:pPr>
        <w:spacing w:line="360" w:lineRule="auto"/>
        <w:jc w:val="both"/>
      </w:pPr>
      <w:r w:rsidRPr="0082532E">
        <w:t>Rather than raising capital from dispersed retail shareholders, the firm may:</w:t>
      </w:r>
    </w:p>
    <w:p w14:paraId="18A2DC82" w14:textId="77777777" w:rsidR="0082532E" w:rsidRPr="00F66AC0" w:rsidRDefault="0082532E" w:rsidP="00172423">
      <w:pPr>
        <w:numPr>
          <w:ilvl w:val="0"/>
          <w:numId w:val="7"/>
        </w:numPr>
        <w:spacing w:line="360" w:lineRule="auto"/>
        <w:jc w:val="both"/>
      </w:pPr>
      <w:r w:rsidRPr="00F66AC0">
        <w:t>Engage friendly institutional investors or private equity funds aligned with the company’s vision.</w:t>
      </w:r>
    </w:p>
    <w:p w14:paraId="3AF21B61" w14:textId="77777777" w:rsidR="0082532E" w:rsidRPr="0082532E" w:rsidRDefault="0082532E" w:rsidP="00172423">
      <w:pPr>
        <w:numPr>
          <w:ilvl w:val="0"/>
          <w:numId w:val="7"/>
        </w:numPr>
        <w:spacing w:line="360" w:lineRule="auto"/>
        <w:jc w:val="both"/>
      </w:pPr>
      <w:r w:rsidRPr="00F66AC0">
        <w:t>Encourage employee ownership schemes to build</w:t>
      </w:r>
      <w:r w:rsidRPr="0082532E">
        <w:t xml:space="preserve"> internal loyalty.</w:t>
      </w:r>
    </w:p>
    <w:p w14:paraId="75111BE5" w14:textId="77777777" w:rsidR="0082532E" w:rsidRPr="0082532E" w:rsidRDefault="0082532E" w:rsidP="00172423">
      <w:pPr>
        <w:spacing w:line="360" w:lineRule="auto"/>
        <w:jc w:val="both"/>
      </w:pPr>
      <w:r w:rsidRPr="0082532E">
        <w:t>This approach reduces the risk of hostile takeovers and ensures stability during post-IPO phases</w:t>
      </w:r>
      <w:sdt>
        <w:sdtPr>
          <w:id w:val="1374344124"/>
          <w:citation/>
        </w:sdtPr>
        <w:sdtContent>
          <w:r w:rsidR="003244EE">
            <w:fldChar w:fldCharType="begin"/>
          </w:r>
          <w:r w:rsidR="003244EE">
            <w:instrText xml:space="preserve"> CITATION EY24 \l 1033 </w:instrText>
          </w:r>
          <w:r w:rsidR="003244EE">
            <w:fldChar w:fldCharType="separate"/>
          </w:r>
          <w:r w:rsidR="003244EE">
            <w:rPr>
              <w:noProof/>
            </w:rPr>
            <w:t xml:space="preserve"> </w:t>
          </w:r>
          <w:r w:rsidR="003244EE" w:rsidRPr="003244EE">
            <w:rPr>
              <w:noProof/>
            </w:rPr>
            <w:t>(EY, 2024)</w:t>
          </w:r>
          <w:r w:rsidR="003244EE">
            <w:fldChar w:fldCharType="end"/>
          </w:r>
        </w:sdtContent>
      </w:sdt>
      <w:r w:rsidRPr="0082532E">
        <w:t>.</w:t>
      </w:r>
    </w:p>
    <w:p w14:paraId="2C682138" w14:textId="77777777" w:rsidR="00B2474C" w:rsidRPr="00B2474C" w:rsidRDefault="00B2474C" w:rsidP="00172423">
      <w:pPr>
        <w:pStyle w:val="Heading1"/>
        <w:spacing w:line="360" w:lineRule="auto"/>
      </w:pPr>
      <w:bookmarkStart w:id="12" w:name="_Toc201417865"/>
      <w:r w:rsidRPr="00B2474C">
        <w:t>C. Director Remuneration Structures</w:t>
      </w:r>
      <w:bookmarkEnd w:id="12"/>
    </w:p>
    <w:p w14:paraId="31CF3317" w14:textId="77777777" w:rsidR="00B2474C" w:rsidRPr="00B2474C" w:rsidRDefault="00C12CB3" w:rsidP="00172423">
      <w:pPr>
        <w:spacing w:line="360" w:lineRule="auto"/>
        <w:jc w:val="both"/>
      </w:pPr>
      <w:r>
        <w:t>S</w:t>
      </w:r>
      <w:r w:rsidR="00BE52CD" w:rsidRPr="00BE52CD">
        <w:t xml:space="preserve">ince the firm is on the verge of joining the Alternative Investment Market (AIM), the system of remuneration of directors must be taken outside the informal family systems of making and transformed to a transparent and </w:t>
      </w:r>
      <w:r w:rsidRPr="00BE52CD">
        <w:t>performance-based</w:t>
      </w:r>
      <w:r w:rsidR="00BE52CD" w:rsidRPr="00BE52CD">
        <w:t xml:space="preserve"> scheme which will suit or rather will be within the consideration of the shareholders and the best practices in the field of governance</w:t>
      </w:r>
      <w:r w:rsidR="00B2474C" w:rsidRPr="00916AD3">
        <w:t>.</w:t>
      </w:r>
    </w:p>
    <w:p w14:paraId="74E7D9B6" w14:textId="77777777" w:rsidR="00B2474C" w:rsidRPr="00B2474C" w:rsidRDefault="00B2474C" w:rsidP="00172423">
      <w:pPr>
        <w:spacing w:line="360" w:lineRule="auto"/>
        <w:jc w:val="both"/>
        <w:rPr>
          <w:b/>
          <w:bCs/>
        </w:rPr>
      </w:pPr>
      <w:r w:rsidRPr="00B2474C">
        <w:rPr>
          <w:b/>
          <w:bCs/>
        </w:rPr>
        <w:t>1. The Need for Structured and Transparent Remuneration</w:t>
      </w:r>
    </w:p>
    <w:p w14:paraId="7D980B95" w14:textId="77777777" w:rsidR="00B2474C" w:rsidRPr="00B2474C" w:rsidRDefault="00B2474C" w:rsidP="00172423">
      <w:pPr>
        <w:spacing w:line="360" w:lineRule="auto"/>
        <w:jc w:val="both"/>
      </w:pPr>
      <w:r w:rsidRPr="00B2474C">
        <w:t>Public companies are expected to:</w:t>
      </w:r>
    </w:p>
    <w:p w14:paraId="4D0145B2" w14:textId="77777777" w:rsidR="00B2474C" w:rsidRPr="00916AD3" w:rsidRDefault="00B2474C" w:rsidP="00172423">
      <w:pPr>
        <w:numPr>
          <w:ilvl w:val="0"/>
          <w:numId w:val="8"/>
        </w:numPr>
        <w:spacing w:line="360" w:lineRule="auto"/>
        <w:jc w:val="both"/>
      </w:pPr>
      <w:r w:rsidRPr="00916AD3">
        <w:t>Disclose remuneration policies clearly,</w:t>
      </w:r>
    </w:p>
    <w:p w14:paraId="44DB8D2A" w14:textId="77777777" w:rsidR="00B2474C" w:rsidRPr="00916AD3" w:rsidRDefault="00B2474C" w:rsidP="00172423">
      <w:pPr>
        <w:numPr>
          <w:ilvl w:val="0"/>
          <w:numId w:val="8"/>
        </w:numPr>
        <w:spacing w:line="360" w:lineRule="auto"/>
        <w:jc w:val="both"/>
      </w:pPr>
      <w:r w:rsidRPr="00916AD3">
        <w:t>Ensure pay is linked to company performance, and</w:t>
      </w:r>
    </w:p>
    <w:p w14:paraId="35C35362" w14:textId="77777777" w:rsidR="00B2474C" w:rsidRPr="00916AD3" w:rsidRDefault="00B2474C" w:rsidP="00172423">
      <w:pPr>
        <w:numPr>
          <w:ilvl w:val="0"/>
          <w:numId w:val="8"/>
        </w:numPr>
        <w:spacing w:line="360" w:lineRule="auto"/>
        <w:jc w:val="both"/>
      </w:pPr>
      <w:r w:rsidRPr="00916AD3">
        <w:lastRenderedPageBreak/>
        <w:t>Avoid excessive or unjustified rewards that may signal poor governance.</w:t>
      </w:r>
    </w:p>
    <w:p w14:paraId="2162A940" w14:textId="77777777" w:rsidR="00B2474C" w:rsidRPr="00916AD3" w:rsidRDefault="00B2474C" w:rsidP="00172423">
      <w:pPr>
        <w:spacing w:line="360" w:lineRule="auto"/>
        <w:jc w:val="both"/>
      </w:pPr>
      <w:r w:rsidRPr="00916AD3">
        <w:t xml:space="preserve">Failure to do so can result in loss of investor trust, shareholder dissent, and reputational damage </w:t>
      </w:r>
      <w:sdt>
        <w:sdtPr>
          <w:id w:val="548737224"/>
          <w:citation/>
        </w:sdtPr>
        <w:sdtContent>
          <w:r w:rsidR="00374ECE" w:rsidRPr="00916AD3">
            <w:fldChar w:fldCharType="begin"/>
          </w:r>
          <w:r w:rsidR="00374ECE" w:rsidRPr="00916AD3">
            <w:instrText xml:space="preserve"> CITATION FRC241 \l 1033 </w:instrText>
          </w:r>
          <w:r w:rsidR="00374ECE" w:rsidRPr="00916AD3">
            <w:fldChar w:fldCharType="separate"/>
          </w:r>
          <w:r w:rsidR="00374ECE" w:rsidRPr="00916AD3">
            <w:rPr>
              <w:noProof/>
            </w:rPr>
            <w:t>(FRC, 2024)</w:t>
          </w:r>
          <w:r w:rsidR="00374ECE" w:rsidRPr="00916AD3">
            <w:fldChar w:fldCharType="end"/>
          </w:r>
        </w:sdtContent>
      </w:sdt>
      <w:r w:rsidRPr="00916AD3">
        <w:t>.</w:t>
      </w:r>
    </w:p>
    <w:p w14:paraId="6103BD23" w14:textId="77777777" w:rsidR="00B2474C" w:rsidRPr="00B2474C" w:rsidRDefault="00B2474C" w:rsidP="00172423">
      <w:pPr>
        <w:spacing w:line="360" w:lineRule="auto"/>
        <w:jc w:val="both"/>
        <w:rPr>
          <w:b/>
          <w:bCs/>
        </w:rPr>
      </w:pPr>
      <w:r w:rsidRPr="00B2474C">
        <w:rPr>
          <w:b/>
          <w:bCs/>
        </w:rPr>
        <w:t>2. Remuneration Committee Requirement (AIM Context)</w:t>
      </w:r>
    </w:p>
    <w:p w14:paraId="677BCD17" w14:textId="77777777" w:rsidR="00B2474C" w:rsidRPr="00916AD3" w:rsidRDefault="00B2474C" w:rsidP="00172423">
      <w:pPr>
        <w:spacing w:line="360" w:lineRule="auto"/>
        <w:jc w:val="both"/>
      </w:pPr>
      <w:r w:rsidRPr="00B2474C">
        <w:t xml:space="preserve">Although AIM companies are not legally obliged to form a </w:t>
      </w:r>
      <w:r w:rsidRPr="00B2474C">
        <w:rPr>
          <w:b/>
          <w:bCs/>
        </w:rPr>
        <w:t>remuneration committee</w:t>
      </w:r>
      <w:r w:rsidRPr="00B2474C">
        <w:t xml:space="preserve">, the </w:t>
      </w:r>
      <w:r w:rsidRPr="00B2474C">
        <w:rPr>
          <w:b/>
          <w:bCs/>
        </w:rPr>
        <w:t xml:space="preserve">QCA </w:t>
      </w:r>
      <w:r w:rsidRPr="00916AD3">
        <w:t>Corporate Governance Code strongly recommends one. The committee should:</w:t>
      </w:r>
    </w:p>
    <w:p w14:paraId="1377E258" w14:textId="77777777" w:rsidR="00B2474C" w:rsidRPr="00916AD3" w:rsidRDefault="00B2474C" w:rsidP="00172423">
      <w:pPr>
        <w:numPr>
          <w:ilvl w:val="0"/>
          <w:numId w:val="9"/>
        </w:numPr>
        <w:spacing w:line="360" w:lineRule="auto"/>
        <w:jc w:val="both"/>
      </w:pPr>
      <w:r w:rsidRPr="00916AD3">
        <w:t>Be composed of at least two independent non-executive directors,</w:t>
      </w:r>
    </w:p>
    <w:p w14:paraId="79330E86" w14:textId="77777777" w:rsidR="00B2474C" w:rsidRPr="00916AD3" w:rsidRDefault="00B2474C" w:rsidP="00172423">
      <w:pPr>
        <w:numPr>
          <w:ilvl w:val="0"/>
          <w:numId w:val="9"/>
        </w:numPr>
        <w:spacing w:line="360" w:lineRule="auto"/>
        <w:jc w:val="both"/>
      </w:pPr>
      <w:r w:rsidRPr="00916AD3">
        <w:t>Approve executive director pay, bonus schemes, and long-term incentives,</w:t>
      </w:r>
    </w:p>
    <w:p w14:paraId="36C1329A" w14:textId="77777777" w:rsidR="00B2474C" w:rsidRPr="00916AD3" w:rsidRDefault="00B2474C" w:rsidP="00172423">
      <w:pPr>
        <w:numPr>
          <w:ilvl w:val="0"/>
          <w:numId w:val="9"/>
        </w:numPr>
        <w:spacing w:line="360" w:lineRule="auto"/>
        <w:jc w:val="both"/>
      </w:pPr>
      <w:r w:rsidRPr="00916AD3">
        <w:t>Align rewards with company KPIs, shareholder interests, and industry benchmarks.</w:t>
      </w:r>
    </w:p>
    <w:p w14:paraId="2CBF049B" w14:textId="77777777" w:rsidR="00B2474C" w:rsidRPr="00B2474C" w:rsidRDefault="00B2474C" w:rsidP="00172423">
      <w:pPr>
        <w:spacing w:line="360" w:lineRule="auto"/>
        <w:jc w:val="both"/>
      </w:pPr>
      <w:r w:rsidRPr="00916AD3">
        <w:t>This structure ensures accountability and helps prevent conflicts</w:t>
      </w:r>
      <w:r w:rsidRPr="00B2474C">
        <w:rPr>
          <w:b/>
          <w:bCs/>
        </w:rPr>
        <w:t xml:space="preserve"> </w:t>
      </w:r>
      <w:r w:rsidRPr="00916AD3">
        <w:t>of interest</w:t>
      </w:r>
      <w:r w:rsidRPr="00B2474C">
        <w:t>, especially in a family-dominated board</w:t>
      </w:r>
      <w:sdt>
        <w:sdtPr>
          <w:id w:val="442037641"/>
          <w:citation/>
        </w:sdtPr>
        <w:sdtContent>
          <w:r w:rsidR="00374ECE">
            <w:fldChar w:fldCharType="begin"/>
          </w:r>
          <w:r w:rsidR="00374ECE">
            <w:instrText xml:space="preserve"> CITATION The243 \l 1033 </w:instrText>
          </w:r>
          <w:r w:rsidR="00374ECE">
            <w:fldChar w:fldCharType="separate"/>
          </w:r>
          <w:r w:rsidR="00374ECE">
            <w:rPr>
              <w:noProof/>
            </w:rPr>
            <w:t xml:space="preserve"> </w:t>
          </w:r>
          <w:r w:rsidR="00374ECE" w:rsidRPr="00374ECE">
            <w:rPr>
              <w:noProof/>
            </w:rPr>
            <w:t>(Theqca, 2024)</w:t>
          </w:r>
          <w:r w:rsidR="00374ECE">
            <w:fldChar w:fldCharType="end"/>
          </w:r>
        </w:sdtContent>
      </w:sdt>
    </w:p>
    <w:p w14:paraId="37206CCD" w14:textId="77777777" w:rsidR="00B2474C" w:rsidRPr="00B2474C" w:rsidRDefault="00B2474C" w:rsidP="00172423">
      <w:pPr>
        <w:spacing w:line="360" w:lineRule="auto"/>
        <w:jc w:val="both"/>
        <w:rPr>
          <w:b/>
          <w:bCs/>
        </w:rPr>
      </w:pPr>
      <w:r w:rsidRPr="00B2474C">
        <w:rPr>
          <w:b/>
          <w:bCs/>
        </w:rPr>
        <w:t>3. Components of Director Remuneration</w:t>
      </w:r>
    </w:p>
    <w:p w14:paraId="71FABAAE" w14:textId="77777777" w:rsidR="00B2474C" w:rsidRPr="00B2474C" w:rsidRDefault="00B2474C" w:rsidP="00172423">
      <w:pPr>
        <w:spacing w:line="360" w:lineRule="auto"/>
        <w:jc w:val="both"/>
      </w:pPr>
      <w:r w:rsidRPr="00B2474C">
        <w:t>A well-balanced director pay package in a public company typically includes:</w:t>
      </w:r>
    </w:p>
    <w:tbl>
      <w:tblPr>
        <w:tblStyle w:val="PlainTable2"/>
        <w:tblW w:w="0" w:type="auto"/>
        <w:tblLook w:val="04A0" w:firstRow="1" w:lastRow="0" w:firstColumn="1" w:lastColumn="0" w:noHBand="0" w:noVBand="1"/>
      </w:tblPr>
      <w:tblGrid>
        <w:gridCol w:w="3148"/>
        <w:gridCol w:w="6212"/>
      </w:tblGrid>
      <w:tr w:rsidR="00B2474C" w:rsidRPr="00B2474C" w14:paraId="6D17AE09" w14:textId="77777777" w:rsidTr="00D90C8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D8869E" w14:textId="77777777" w:rsidR="00B2474C" w:rsidRPr="00B2474C" w:rsidRDefault="00B2474C" w:rsidP="00172423">
            <w:pPr>
              <w:spacing w:line="360" w:lineRule="auto"/>
              <w:jc w:val="both"/>
              <w:rPr>
                <w:b w:val="0"/>
                <w:bCs w:val="0"/>
              </w:rPr>
            </w:pPr>
            <w:r w:rsidRPr="00B2474C">
              <w:t>Component</w:t>
            </w:r>
          </w:p>
        </w:tc>
        <w:tc>
          <w:tcPr>
            <w:tcW w:w="0" w:type="auto"/>
            <w:hideMark/>
          </w:tcPr>
          <w:p w14:paraId="1FB13A56" w14:textId="77777777" w:rsidR="00B2474C" w:rsidRPr="00B2474C" w:rsidRDefault="00B2474C" w:rsidP="00172423">
            <w:pPr>
              <w:spacing w:line="360" w:lineRule="auto"/>
              <w:jc w:val="both"/>
              <w:cnfStyle w:val="100000000000" w:firstRow="1" w:lastRow="0" w:firstColumn="0" w:lastColumn="0" w:oddVBand="0" w:evenVBand="0" w:oddHBand="0" w:evenHBand="0" w:firstRowFirstColumn="0" w:firstRowLastColumn="0" w:lastRowFirstColumn="0" w:lastRowLastColumn="0"/>
              <w:rPr>
                <w:b w:val="0"/>
                <w:bCs w:val="0"/>
              </w:rPr>
            </w:pPr>
            <w:r w:rsidRPr="00B2474C">
              <w:t>Purpose</w:t>
            </w:r>
          </w:p>
        </w:tc>
      </w:tr>
      <w:tr w:rsidR="00B2474C" w:rsidRPr="00B2474C" w14:paraId="0D486577" w14:textId="77777777" w:rsidTr="00D90C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7C8355" w14:textId="77777777" w:rsidR="00B2474C" w:rsidRPr="00B2474C" w:rsidRDefault="00B2474C" w:rsidP="00172423">
            <w:pPr>
              <w:spacing w:line="360" w:lineRule="auto"/>
              <w:jc w:val="both"/>
            </w:pPr>
            <w:r w:rsidRPr="00B2474C">
              <w:t>Base Salary</w:t>
            </w:r>
          </w:p>
        </w:tc>
        <w:tc>
          <w:tcPr>
            <w:tcW w:w="0" w:type="auto"/>
            <w:hideMark/>
          </w:tcPr>
          <w:p w14:paraId="03C73BA9" w14:textId="77777777" w:rsidR="00B2474C" w:rsidRPr="00B2474C" w:rsidRDefault="00B2474C" w:rsidP="00172423">
            <w:pPr>
              <w:spacing w:line="360" w:lineRule="auto"/>
              <w:jc w:val="both"/>
              <w:cnfStyle w:val="000000100000" w:firstRow="0" w:lastRow="0" w:firstColumn="0" w:lastColumn="0" w:oddVBand="0" w:evenVBand="0" w:oddHBand="1" w:evenHBand="0" w:firstRowFirstColumn="0" w:firstRowLastColumn="0" w:lastRowFirstColumn="0" w:lastRowLastColumn="0"/>
            </w:pPr>
            <w:r w:rsidRPr="00B2474C">
              <w:t>Fixed pay reflecting role, responsibilities, and market rate.</w:t>
            </w:r>
          </w:p>
        </w:tc>
      </w:tr>
      <w:tr w:rsidR="00B2474C" w:rsidRPr="00B2474C" w14:paraId="7D32248C" w14:textId="77777777" w:rsidTr="00D90C8F">
        <w:tc>
          <w:tcPr>
            <w:cnfStyle w:val="001000000000" w:firstRow="0" w:lastRow="0" w:firstColumn="1" w:lastColumn="0" w:oddVBand="0" w:evenVBand="0" w:oddHBand="0" w:evenHBand="0" w:firstRowFirstColumn="0" w:firstRowLastColumn="0" w:lastRowFirstColumn="0" w:lastRowLastColumn="0"/>
            <w:tcW w:w="0" w:type="auto"/>
            <w:hideMark/>
          </w:tcPr>
          <w:p w14:paraId="2D693A02" w14:textId="77777777" w:rsidR="00B2474C" w:rsidRPr="00B2474C" w:rsidRDefault="00B2474C" w:rsidP="00172423">
            <w:pPr>
              <w:spacing w:line="360" w:lineRule="auto"/>
              <w:jc w:val="both"/>
            </w:pPr>
            <w:r w:rsidRPr="00B2474C">
              <w:t>Annual Bonus</w:t>
            </w:r>
          </w:p>
        </w:tc>
        <w:tc>
          <w:tcPr>
            <w:tcW w:w="0" w:type="auto"/>
            <w:hideMark/>
          </w:tcPr>
          <w:p w14:paraId="38E325E9" w14:textId="77777777" w:rsidR="00B2474C" w:rsidRPr="00B2474C" w:rsidRDefault="00B2474C" w:rsidP="00172423">
            <w:pPr>
              <w:spacing w:line="360" w:lineRule="auto"/>
              <w:jc w:val="both"/>
              <w:cnfStyle w:val="000000000000" w:firstRow="0" w:lastRow="0" w:firstColumn="0" w:lastColumn="0" w:oddVBand="0" w:evenVBand="0" w:oddHBand="0" w:evenHBand="0" w:firstRowFirstColumn="0" w:firstRowLastColumn="0" w:lastRowFirstColumn="0" w:lastRowLastColumn="0"/>
            </w:pPr>
            <w:r w:rsidRPr="00B2474C">
              <w:t>Performance-linked; based on revenue, EBITDA, or ROI targets.</w:t>
            </w:r>
          </w:p>
        </w:tc>
      </w:tr>
      <w:tr w:rsidR="00B2474C" w:rsidRPr="00B2474C" w14:paraId="7DC65931" w14:textId="77777777" w:rsidTr="00D90C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B104F3" w14:textId="77777777" w:rsidR="00B2474C" w:rsidRPr="00B2474C" w:rsidRDefault="00B2474C" w:rsidP="00172423">
            <w:pPr>
              <w:spacing w:line="360" w:lineRule="auto"/>
              <w:jc w:val="both"/>
            </w:pPr>
            <w:r w:rsidRPr="00B2474C">
              <w:t>Long-Term Incentive Plan (LTIP)</w:t>
            </w:r>
          </w:p>
        </w:tc>
        <w:tc>
          <w:tcPr>
            <w:tcW w:w="0" w:type="auto"/>
            <w:hideMark/>
          </w:tcPr>
          <w:p w14:paraId="2D179BF2" w14:textId="77777777" w:rsidR="00B2474C" w:rsidRPr="00B2474C" w:rsidRDefault="00B2474C" w:rsidP="00172423">
            <w:pPr>
              <w:spacing w:line="360" w:lineRule="auto"/>
              <w:jc w:val="both"/>
              <w:cnfStyle w:val="000000100000" w:firstRow="0" w:lastRow="0" w:firstColumn="0" w:lastColumn="0" w:oddVBand="0" w:evenVBand="0" w:oddHBand="1" w:evenHBand="0" w:firstRowFirstColumn="0" w:firstRowLastColumn="0" w:lastRowFirstColumn="0" w:lastRowLastColumn="0"/>
            </w:pPr>
            <w:r w:rsidRPr="00B2474C">
              <w:t>Aligns directors with long-term value creation, e.g. share options.</w:t>
            </w:r>
          </w:p>
        </w:tc>
      </w:tr>
      <w:tr w:rsidR="00B2474C" w:rsidRPr="00B2474C" w14:paraId="224C3E52" w14:textId="77777777" w:rsidTr="00D90C8F">
        <w:tc>
          <w:tcPr>
            <w:cnfStyle w:val="001000000000" w:firstRow="0" w:lastRow="0" w:firstColumn="1" w:lastColumn="0" w:oddVBand="0" w:evenVBand="0" w:oddHBand="0" w:evenHBand="0" w:firstRowFirstColumn="0" w:firstRowLastColumn="0" w:lastRowFirstColumn="0" w:lastRowLastColumn="0"/>
            <w:tcW w:w="0" w:type="auto"/>
            <w:hideMark/>
          </w:tcPr>
          <w:p w14:paraId="3D58BB8A" w14:textId="77777777" w:rsidR="00B2474C" w:rsidRPr="00B2474C" w:rsidRDefault="00B2474C" w:rsidP="00172423">
            <w:pPr>
              <w:spacing w:line="360" w:lineRule="auto"/>
              <w:jc w:val="both"/>
            </w:pPr>
            <w:r w:rsidRPr="00B2474C">
              <w:t>Pensions and Benefits</w:t>
            </w:r>
          </w:p>
        </w:tc>
        <w:tc>
          <w:tcPr>
            <w:tcW w:w="0" w:type="auto"/>
            <w:hideMark/>
          </w:tcPr>
          <w:p w14:paraId="101F7806" w14:textId="77777777" w:rsidR="00B2474C" w:rsidRPr="00B2474C" w:rsidRDefault="00B2474C" w:rsidP="00172423">
            <w:pPr>
              <w:spacing w:line="360" w:lineRule="auto"/>
              <w:jc w:val="both"/>
              <w:cnfStyle w:val="000000000000" w:firstRow="0" w:lastRow="0" w:firstColumn="0" w:lastColumn="0" w:oddVBand="0" w:evenVBand="0" w:oddHBand="0" w:evenHBand="0" w:firstRowFirstColumn="0" w:firstRowLastColumn="0" w:lastRowFirstColumn="0" w:lastRowLastColumn="0"/>
            </w:pPr>
            <w:r w:rsidRPr="00B2474C">
              <w:t>Retirement and additional benefits; clearly disclosed to investors.</w:t>
            </w:r>
          </w:p>
        </w:tc>
      </w:tr>
      <w:tr w:rsidR="00B2474C" w:rsidRPr="00B2474C" w14:paraId="034E6627" w14:textId="77777777" w:rsidTr="00D90C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FF95D8" w14:textId="77777777" w:rsidR="00B2474C" w:rsidRPr="00B2474C" w:rsidRDefault="00B2474C" w:rsidP="00172423">
            <w:pPr>
              <w:spacing w:line="360" w:lineRule="auto"/>
              <w:jc w:val="both"/>
            </w:pPr>
            <w:r w:rsidRPr="00B2474C">
              <w:t>Shareholding Requirements</w:t>
            </w:r>
          </w:p>
        </w:tc>
        <w:tc>
          <w:tcPr>
            <w:tcW w:w="0" w:type="auto"/>
            <w:hideMark/>
          </w:tcPr>
          <w:p w14:paraId="2524794E" w14:textId="77777777" w:rsidR="00B2474C" w:rsidRPr="00B2474C" w:rsidRDefault="00B2474C" w:rsidP="00172423">
            <w:pPr>
              <w:spacing w:line="360" w:lineRule="auto"/>
              <w:jc w:val="both"/>
              <w:cnfStyle w:val="000000100000" w:firstRow="0" w:lastRow="0" w:firstColumn="0" w:lastColumn="0" w:oddVBand="0" w:evenVBand="0" w:oddHBand="1" w:evenHBand="0" w:firstRowFirstColumn="0" w:firstRowLastColumn="0" w:lastRowFirstColumn="0" w:lastRowLastColumn="0"/>
            </w:pPr>
            <w:r w:rsidRPr="00B2474C">
              <w:t>Encourages directors to hold a meaningful stake in the company</w:t>
            </w:r>
            <w:sdt>
              <w:sdtPr>
                <w:id w:val="631365949"/>
                <w:citation/>
              </w:sdtPr>
              <w:sdtContent>
                <w:r w:rsidR="00A167F5">
                  <w:fldChar w:fldCharType="begin"/>
                </w:r>
                <w:r w:rsidR="00A167F5">
                  <w:instrText xml:space="preserve"> CITATION PWC241 \l 1033 </w:instrText>
                </w:r>
                <w:r w:rsidR="00A167F5">
                  <w:fldChar w:fldCharType="separate"/>
                </w:r>
                <w:r w:rsidR="00A167F5">
                  <w:rPr>
                    <w:noProof/>
                  </w:rPr>
                  <w:t xml:space="preserve"> </w:t>
                </w:r>
                <w:r w:rsidR="00A167F5" w:rsidRPr="00A167F5">
                  <w:rPr>
                    <w:noProof/>
                  </w:rPr>
                  <w:t>(PWC, 2024)</w:t>
                </w:r>
                <w:r w:rsidR="00A167F5">
                  <w:fldChar w:fldCharType="end"/>
                </w:r>
              </w:sdtContent>
            </w:sdt>
            <w:r w:rsidRPr="00B2474C">
              <w:t>.</w:t>
            </w:r>
          </w:p>
        </w:tc>
      </w:tr>
    </w:tbl>
    <w:p w14:paraId="71B19E36" w14:textId="77777777" w:rsidR="00A167F5" w:rsidRDefault="00A167F5" w:rsidP="00172423">
      <w:pPr>
        <w:spacing w:line="360" w:lineRule="auto"/>
        <w:jc w:val="both"/>
        <w:rPr>
          <w:rFonts w:ascii="Segoe UI Emoji" w:hAnsi="Segoe UI Emoji" w:cs="Segoe UI Emoji"/>
        </w:rPr>
      </w:pPr>
    </w:p>
    <w:p w14:paraId="460F78BA" w14:textId="77777777" w:rsidR="00B2474C" w:rsidRPr="00B2474C" w:rsidRDefault="00B2474C" w:rsidP="00172423">
      <w:pPr>
        <w:spacing w:line="360" w:lineRule="auto"/>
        <w:jc w:val="both"/>
        <w:rPr>
          <w:b/>
          <w:bCs/>
        </w:rPr>
      </w:pPr>
      <w:r w:rsidRPr="00B2474C">
        <w:rPr>
          <w:b/>
          <w:bCs/>
        </w:rPr>
        <w:t>4. Best Practices and Market Comparators</w:t>
      </w:r>
    </w:p>
    <w:p w14:paraId="5A9752C2" w14:textId="77777777" w:rsidR="00B2474C" w:rsidRPr="00D83AD0" w:rsidRDefault="00B2474C" w:rsidP="00172423">
      <w:pPr>
        <w:numPr>
          <w:ilvl w:val="0"/>
          <w:numId w:val="10"/>
        </w:numPr>
        <w:spacing w:line="360" w:lineRule="auto"/>
        <w:jc w:val="both"/>
      </w:pPr>
      <w:r w:rsidRPr="00D83AD0">
        <w:lastRenderedPageBreak/>
        <w:t>The Investment Association’s Principles of Remuneration (2023) urge UK-listed companies to ensure that pay outcomes reflect performance and avoid rewards for failure.</w:t>
      </w:r>
    </w:p>
    <w:p w14:paraId="7A4EB87C" w14:textId="77777777" w:rsidR="00B2474C" w:rsidRPr="00B2474C" w:rsidRDefault="002E1A1D" w:rsidP="002E1A1D">
      <w:pPr>
        <w:numPr>
          <w:ilvl w:val="0"/>
          <w:numId w:val="10"/>
        </w:numPr>
        <w:spacing w:line="360" w:lineRule="auto"/>
        <w:jc w:val="both"/>
      </w:pPr>
      <w:r w:rsidRPr="002E1A1D">
        <w:t>The disclosure of remuneration is laid down as the law in the Companies (Directors Remuneration Policy and Directors Remuneration Report) Regulations 2019 on UK PLCs</w:t>
      </w:r>
      <w:sdt>
        <w:sdtPr>
          <w:id w:val="1201672879"/>
          <w:citation/>
        </w:sdtPr>
        <w:sdtContent>
          <w:r w:rsidR="00D90C8F">
            <w:fldChar w:fldCharType="begin"/>
          </w:r>
          <w:r w:rsidR="00D90C8F">
            <w:instrText xml:space="preserve"> CITATION EY24 \l 1033 </w:instrText>
          </w:r>
          <w:r w:rsidR="00D90C8F">
            <w:fldChar w:fldCharType="separate"/>
          </w:r>
          <w:r w:rsidR="00D90C8F">
            <w:rPr>
              <w:noProof/>
            </w:rPr>
            <w:t xml:space="preserve"> </w:t>
          </w:r>
          <w:r w:rsidR="00D90C8F" w:rsidRPr="00D90C8F">
            <w:rPr>
              <w:noProof/>
            </w:rPr>
            <w:t>(EY, 2024)</w:t>
          </w:r>
          <w:r w:rsidR="00D90C8F">
            <w:fldChar w:fldCharType="end"/>
          </w:r>
        </w:sdtContent>
      </w:sdt>
      <w:r w:rsidR="00B2474C" w:rsidRPr="00B2474C">
        <w:t>.</w:t>
      </w:r>
    </w:p>
    <w:p w14:paraId="39086F59" w14:textId="77777777" w:rsidR="00B2474C" w:rsidRPr="00B2474C" w:rsidRDefault="00B2474C" w:rsidP="00172423">
      <w:pPr>
        <w:pStyle w:val="Heading1"/>
        <w:spacing w:line="360" w:lineRule="auto"/>
      </w:pPr>
      <w:bookmarkStart w:id="13" w:name="_Toc201417866"/>
      <w:r w:rsidRPr="00B2474C">
        <w:t>D. Institutional Differences in Corporate Governance: UK vs Shanghai vs Netherlands</w:t>
      </w:r>
      <w:bookmarkEnd w:id="13"/>
    </w:p>
    <w:p w14:paraId="13A47E61" w14:textId="77777777" w:rsidR="00B2474C" w:rsidRPr="00793D1A" w:rsidRDefault="00B2474C" w:rsidP="00172423">
      <w:pPr>
        <w:spacing w:line="360" w:lineRule="auto"/>
        <w:jc w:val="both"/>
      </w:pPr>
      <w:r w:rsidRPr="00B2474C">
        <w:t xml:space="preserve">As the </w:t>
      </w:r>
      <w:r w:rsidRPr="00793D1A">
        <w:t>company explores potential listings in Shanghai or the Netherlands as alternatives to the UK’s AIM, it is essential for the board to understand key institutional differences in corporate governance practices, shareholder rights, and board oversight in these jurisdictions. These differences have direct implications for control retention, director accountability, and investor expectations.</w:t>
      </w:r>
    </w:p>
    <w:p w14:paraId="289108EF" w14:textId="77777777" w:rsidR="00B2474C" w:rsidRPr="00B2474C" w:rsidRDefault="00B2474C" w:rsidP="00172423">
      <w:pPr>
        <w:spacing w:line="360" w:lineRule="auto"/>
        <w:jc w:val="both"/>
        <w:rPr>
          <w:b/>
          <w:bCs/>
        </w:rPr>
      </w:pPr>
      <w:r w:rsidRPr="00B2474C">
        <w:rPr>
          <w:b/>
          <w:bCs/>
        </w:rPr>
        <w:t>1. United Kingdom (AIM)</w:t>
      </w:r>
    </w:p>
    <w:p w14:paraId="5F108D6B" w14:textId="77777777" w:rsidR="00B2474C" w:rsidRPr="00916AD3" w:rsidRDefault="00B2474C" w:rsidP="00172423">
      <w:pPr>
        <w:numPr>
          <w:ilvl w:val="0"/>
          <w:numId w:val="11"/>
        </w:numPr>
        <w:spacing w:line="360" w:lineRule="auto"/>
        <w:jc w:val="both"/>
      </w:pPr>
      <w:r w:rsidRPr="00916AD3">
        <w:t xml:space="preserve">Governance Framework: Regulated by the UK Corporate Governance Code </w:t>
      </w:r>
      <w:sdt>
        <w:sdtPr>
          <w:id w:val="106629534"/>
          <w:citation/>
        </w:sdtPr>
        <w:sdtContent>
          <w:r w:rsidR="00A96010" w:rsidRPr="00916AD3">
            <w:fldChar w:fldCharType="begin"/>
          </w:r>
          <w:r w:rsidR="00A96010" w:rsidRPr="00916AD3">
            <w:instrText xml:space="preserve"> CITATION FRC18 \l 1033 </w:instrText>
          </w:r>
          <w:r w:rsidR="00A96010" w:rsidRPr="00916AD3">
            <w:fldChar w:fldCharType="separate"/>
          </w:r>
          <w:r w:rsidR="00A96010" w:rsidRPr="00916AD3">
            <w:rPr>
              <w:noProof/>
            </w:rPr>
            <w:t xml:space="preserve"> (FRC, 2018)</w:t>
          </w:r>
          <w:r w:rsidR="00A96010" w:rsidRPr="00916AD3">
            <w:fldChar w:fldCharType="end"/>
          </w:r>
        </w:sdtContent>
      </w:sdt>
      <w:r w:rsidRPr="00916AD3">
        <w:t xml:space="preserve"> for premium listings; AIM firms generally follow the QCA Code.</w:t>
      </w:r>
    </w:p>
    <w:p w14:paraId="190E1E7C" w14:textId="77777777" w:rsidR="00B2474C" w:rsidRPr="00916AD3" w:rsidRDefault="00B2474C" w:rsidP="00172423">
      <w:pPr>
        <w:numPr>
          <w:ilvl w:val="0"/>
          <w:numId w:val="11"/>
        </w:numPr>
        <w:spacing w:line="360" w:lineRule="auto"/>
        <w:jc w:val="both"/>
      </w:pPr>
      <w:r w:rsidRPr="00916AD3">
        <w:t>Legal Tradition: Common law system emphasizing shareholder protection and flexible business structures.</w:t>
      </w:r>
    </w:p>
    <w:p w14:paraId="4DB44201" w14:textId="77777777" w:rsidR="00B2474C" w:rsidRPr="00B2474C" w:rsidRDefault="00B2474C" w:rsidP="00172423">
      <w:pPr>
        <w:numPr>
          <w:ilvl w:val="0"/>
          <w:numId w:val="11"/>
        </w:numPr>
        <w:spacing w:line="360" w:lineRule="auto"/>
        <w:jc w:val="both"/>
      </w:pPr>
      <w:r w:rsidRPr="00916AD3">
        <w:t xml:space="preserve">Ownership Structure: </w:t>
      </w:r>
      <w:r w:rsidR="00D90C8F" w:rsidRPr="00916AD3">
        <w:t>Typically,</w:t>
      </w:r>
      <w:r w:rsidRPr="00916AD3">
        <w:t xml:space="preserve"> dispersed ownership</w:t>
      </w:r>
      <w:r w:rsidRPr="00B2474C">
        <w:t xml:space="preserve"> among institutional investors.</w:t>
      </w:r>
    </w:p>
    <w:p w14:paraId="1754FABB" w14:textId="77777777" w:rsidR="00B2474C" w:rsidRPr="00B2474C" w:rsidRDefault="00B2474C" w:rsidP="00172423">
      <w:pPr>
        <w:numPr>
          <w:ilvl w:val="0"/>
          <w:numId w:val="11"/>
        </w:numPr>
        <w:spacing w:line="360" w:lineRule="auto"/>
        <w:jc w:val="both"/>
      </w:pPr>
      <w:r w:rsidRPr="00B2474C">
        <w:rPr>
          <w:b/>
          <w:bCs/>
        </w:rPr>
        <w:t>Governance Highlights</w:t>
      </w:r>
      <w:r w:rsidRPr="00B2474C">
        <w:t>:</w:t>
      </w:r>
    </w:p>
    <w:p w14:paraId="32238DA9" w14:textId="77777777" w:rsidR="00B2474C" w:rsidRPr="00B2474C" w:rsidRDefault="00B2474C" w:rsidP="00172423">
      <w:pPr>
        <w:numPr>
          <w:ilvl w:val="1"/>
          <w:numId w:val="11"/>
        </w:numPr>
        <w:spacing w:line="360" w:lineRule="auto"/>
        <w:jc w:val="both"/>
      </w:pPr>
      <w:r w:rsidRPr="00B2474C">
        <w:t>“</w:t>
      </w:r>
      <w:r w:rsidRPr="00B2474C">
        <w:rPr>
          <w:b/>
          <w:bCs/>
        </w:rPr>
        <w:t>Comply or explain</w:t>
      </w:r>
      <w:r w:rsidRPr="00B2474C">
        <w:t>” model offers flexibility (especially for small firms).</w:t>
      </w:r>
    </w:p>
    <w:p w14:paraId="18FE48F0" w14:textId="77777777" w:rsidR="00B2474C" w:rsidRPr="00B2474C" w:rsidRDefault="00B2474C" w:rsidP="00172423">
      <w:pPr>
        <w:numPr>
          <w:ilvl w:val="1"/>
          <w:numId w:val="11"/>
        </w:numPr>
        <w:spacing w:line="360" w:lineRule="auto"/>
        <w:jc w:val="both"/>
      </w:pPr>
      <w:r w:rsidRPr="00B2474C">
        <w:t xml:space="preserve">High transparency and </w:t>
      </w:r>
      <w:r w:rsidRPr="00B2474C">
        <w:rPr>
          <w:b/>
          <w:bCs/>
        </w:rPr>
        <w:t>annual director remuneration disclosures</w:t>
      </w:r>
      <w:r w:rsidRPr="00B2474C">
        <w:t xml:space="preserve"> required.</w:t>
      </w:r>
    </w:p>
    <w:p w14:paraId="6E40F008" w14:textId="77777777" w:rsidR="00B2474C" w:rsidRPr="00B2474C" w:rsidRDefault="00B2474C" w:rsidP="00172423">
      <w:pPr>
        <w:numPr>
          <w:ilvl w:val="1"/>
          <w:numId w:val="11"/>
        </w:numPr>
        <w:spacing w:line="360" w:lineRule="auto"/>
        <w:jc w:val="both"/>
      </w:pPr>
      <w:r w:rsidRPr="00B2474C">
        <w:rPr>
          <w:b/>
          <w:bCs/>
        </w:rPr>
        <w:t>No mandatory separation</w:t>
      </w:r>
      <w:r w:rsidRPr="00B2474C">
        <w:t xml:space="preserve"> of CEO/Chair roles for AIM, but encouraged.</w:t>
      </w:r>
    </w:p>
    <w:p w14:paraId="4C4562BC" w14:textId="77777777" w:rsidR="00B2474C" w:rsidRPr="00B2474C" w:rsidRDefault="00B2474C" w:rsidP="00172423">
      <w:pPr>
        <w:spacing w:line="360" w:lineRule="auto"/>
        <w:jc w:val="both"/>
        <w:rPr>
          <w:b/>
          <w:bCs/>
        </w:rPr>
      </w:pPr>
      <w:r w:rsidRPr="00B2474C">
        <w:rPr>
          <w:b/>
          <w:bCs/>
        </w:rPr>
        <w:t>2. Shanghai Stock Exchange (SSE) – STAR Market</w:t>
      </w:r>
    </w:p>
    <w:p w14:paraId="1CE99BA5" w14:textId="77777777" w:rsidR="00B2474C" w:rsidRPr="00AD33F6" w:rsidRDefault="00B2474C" w:rsidP="00172423">
      <w:pPr>
        <w:numPr>
          <w:ilvl w:val="0"/>
          <w:numId w:val="12"/>
        </w:numPr>
        <w:spacing w:line="360" w:lineRule="auto"/>
        <w:jc w:val="both"/>
      </w:pPr>
      <w:r w:rsidRPr="00AD33F6">
        <w:t xml:space="preserve">Governance Framework: Governed by China Securities Regulatory Commission (CSRC) and Company Law of China </w:t>
      </w:r>
      <w:sdt>
        <w:sdtPr>
          <w:id w:val="-1721664156"/>
          <w:citation/>
        </w:sdtPr>
        <w:sdtContent>
          <w:r w:rsidR="00C87EC2" w:rsidRPr="00AD33F6">
            <w:fldChar w:fldCharType="begin"/>
          </w:r>
          <w:r w:rsidR="00C87EC2" w:rsidRPr="00AD33F6">
            <w:instrText xml:space="preserve"> CITATION Law25 \l 1033 </w:instrText>
          </w:r>
          <w:r w:rsidR="00C87EC2" w:rsidRPr="00AD33F6">
            <w:fldChar w:fldCharType="separate"/>
          </w:r>
          <w:r w:rsidR="00C87EC2" w:rsidRPr="00AD33F6">
            <w:rPr>
              <w:noProof/>
            </w:rPr>
            <w:t>(Law.Asia, 2025)</w:t>
          </w:r>
          <w:r w:rsidR="00C87EC2" w:rsidRPr="00AD33F6">
            <w:fldChar w:fldCharType="end"/>
          </w:r>
        </w:sdtContent>
      </w:sdt>
      <w:r w:rsidRPr="00AD33F6">
        <w:t>.</w:t>
      </w:r>
    </w:p>
    <w:p w14:paraId="4904B825" w14:textId="77777777" w:rsidR="00B2474C" w:rsidRPr="00AD33F6" w:rsidRDefault="00B2474C" w:rsidP="00172423">
      <w:pPr>
        <w:numPr>
          <w:ilvl w:val="0"/>
          <w:numId w:val="12"/>
        </w:numPr>
        <w:spacing w:line="360" w:lineRule="auto"/>
        <w:jc w:val="both"/>
      </w:pPr>
      <w:r w:rsidRPr="00AD33F6">
        <w:lastRenderedPageBreak/>
        <w:t>Legal Tradition: Civil law system with centralized regulatory control and stricter oversight from government.</w:t>
      </w:r>
    </w:p>
    <w:p w14:paraId="55194DEA" w14:textId="77777777" w:rsidR="00B2474C" w:rsidRPr="00AD33F6" w:rsidRDefault="00B2474C" w:rsidP="00172423">
      <w:pPr>
        <w:numPr>
          <w:ilvl w:val="0"/>
          <w:numId w:val="12"/>
        </w:numPr>
        <w:spacing w:line="360" w:lineRule="auto"/>
        <w:jc w:val="both"/>
      </w:pPr>
      <w:r w:rsidRPr="00AD33F6">
        <w:t>Ownership Structure: Characterized by state-owned enterprise (SOE) dominance, concentrated ownership.</w:t>
      </w:r>
    </w:p>
    <w:p w14:paraId="46CEE81E" w14:textId="77777777" w:rsidR="00B2474C" w:rsidRPr="00B2474C" w:rsidRDefault="00B2474C" w:rsidP="00172423">
      <w:pPr>
        <w:numPr>
          <w:ilvl w:val="0"/>
          <w:numId w:val="12"/>
        </w:numPr>
        <w:spacing w:line="360" w:lineRule="auto"/>
        <w:jc w:val="both"/>
      </w:pPr>
      <w:r w:rsidRPr="00B2474C">
        <w:rPr>
          <w:b/>
          <w:bCs/>
        </w:rPr>
        <w:t>Governance Highlights</w:t>
      </w:r>
      <w:r w:rsidRPr="00B2474C">
        <w:t>:</w:t>
      </w:r>
    </w:p>
    <w:p w14:paraId="0AABA623" w14:textId="77777777" w:rsidR="00B2474C" w:rsidRPr="00B2474C" w:rsidRDefault="00B2474C" w:rsidP="00172423">
      <w:pPr>
        <w:numPr>
          <w:ilvl w:val="1"/>
          <w:numId w:val="12"/>
        </w:numPr>
        <w:spacing w:line="360" w:lineRule="auto"/>
        <w:jc w:val="both"/>
      </w:pPr>
      <w:r w:rsidRPr="00B2474C">
        <w:t xml:space="preserve">Mandatory </w:t>
      </w:r>
      <w:r w:rsidRPr="00B2474C">
        <w:rPr>
          <w:b/>
          <w:bCs/>
        </w:rPr>
        <w:t>two-tier board</w:t>
      </w:r>
      <w:r w:rsidRPr="00B2474C">
        <w:t xml:space="preserve"> (Board of Directors + Supervisory Board).</w:t>
      </w:r>
    </w:p>
    <w:p w14:paraId="76113B04" w14:textId="77777777" w:rsidR="00B2474C" w:rsidRPr="00B2474C" w:rsidRDefault="00B2474C" w:rsidP="00172423">
      <w:pPr>
        <w:numPr>
          <w:ilvl w:val="1"/>
          <w:numId w:val="12"/>
        </w:numPr>
        <w:spacing w:line="360" w:lineRule="auto"/>
        <w:jc w:val="both"/>
      </w:pPr>
      <w:r w:rsidRPr="00B2474C">
        <w:t xml:space="preserve">Strong regulatory enforcement; </w:t>
      </w:r>
      <w:r w:rsidRPr="00B2474C">
        <w:rPr>
          <w:b/>
          <w:bCs/>
        </w:rPr>
        <w:t>strict disclosure and audit requirements</w:t>
      </w:r>
      <w:r w:rsidRPr="00B2474C">
        <w:t>.</w:t>
      </w:r>
    </w:p>
    <w:p w14:paraId="0E121266" w14:textId="77777777" w:rsidR="00B2474C" w:rsidRPr="00B2474C" w:rsidRDefault="00B2474C" w:rsidP="00172423">
      <w:pPr>
        <w:numPr>
          <w:ilvl w:val="1"/>
          <w:numId w:val="12"/>
        </w:numPr>
        <w:spacing w:line="360" w:lineRule="auto"/>
        <w:jc w:val="both"/>
      </w:pPr>
      <w:r w:rsidRPr="00B2474C">
        <w:t xml:space="preserve">High </w:t>
      </w:r>
      <w:r w:rsidRPr="00B2474C">
        <w:rPr>
          <w:b/>
          <w:bCs/>
        </w:rPr>
        <w:t>political and regulatory influence</w:t>
      </w:r>
      <w:r w:rsidRPr="00B2474C">
        <w:t xml:space="preserve"> may reduce board autonomy.</w:t>
      </w:r>
    </w:p>
    <w:p w14:paraId="665895F7" w14:textId="77777777" w:rsidR="00B2474C" w:rsidRPr="00B2474C" w:rsidRDefault="00B2474C" w:rsidP="00172423">
      <w:pPr>
        <w:numPr>
          <w:ilvl w:val="1"/>
          <w:numId w:val="12"/>
        </w:numPr>
        <w:spacing w:line="360" w:lineRule="auto"/>
        <w:jc w:val="both"/>
      </w:pPr>
      <w:r w:rsidRPr="00B2474C">
        <w:rPr>
          <w:b/>
          <w:bCs/>
        </w:rPr>
        <w:t>Executive pay is often capped or politically influenced</w:t>
      </w:r>
      <w:r w:rsidRPr="00B2474C">
        <w:t xml:space="preserve"> in SOEs</w:t>
      </w:r>
      <w:sdt>
        <w:sdtPr>
          <w:id w:val="-1526558082"/>
          <w:citation/>
        </w:sdtPr>
        <w:sdtContent>
          <w:r w:rsidR="005E2439">
            <w:fldChar w:fldCharType="begin"/>
          </w:r>
          <w:r w:rsidR="005E2439">
            <w:instrText xml:space="preserve"> CITATION SSE24 \l 1033 </w:instrText>
          </w:r>
          <w:r w:rsidR="005E2439">
            <w:fldChar w:fldCharType="separate"/>
          </w:r>
          <w:r w:rsidR="005E2439">
            <w:rPr>
              <w:noProof/>
            </w:rPr>
            <w:t xml:space="preserve"> </w:t>
          </w:r>
          <w:r w:rsidR="005E2439" w:rsidRPr="005E2439">
            <w:rPr>
              <w:noProof/>
            </w:rPr>
            <w:t>(SSE, 2024)</w:t>
          </w:r>
          <w:r w:rsidR="005E2439">
            <w:fldChar w:fldCharType="end"/>
          </w:r>
        </w:sdtContent>
      </w:sdt>
      <w:r w:rsidRPr="00B2474C">
        <w:t>.</w:t>
      </w:r>
    </w:p>
    <w:p w14:paraId="6F7E066F" w14:textId="77777777" w:rsidR="00B2474C" w:rsidRPr="00B2474C" w:rsidRDefault="00B2474C" w:rsidP="00172423">
      <w:pPr>
        <w:spacing w:line="360" w:lineRule="auto"/>
        <w:jc w:val="both"/>
        <w:rPr>
          <w:b/>
          <w:bCs/>
        </w:rPr>
      </w:pPr>
      <w:r w:rsidRPr="00B2474C">
        <w:br/>
      </w:r>
      <w:r w:rsidRPr="00B2474C">
        <w:rPr>
          <w:b/>
          <w:bCs/>
        </w:rPr>
        <w:t>3. The Netherlands (Euronext Amsterdam)</w:t>
      </w:r>
    </w:p>
    <w:p w14:paraId="50C9CB22" w14:textId="77777777" w:rsidR="00B2474C" w:rsidRPr="00B2474C" w:rsidRDefault="00B2474C" w:rsidP="00172423">
      <w:pPr>
        <w:numPr>
          <w:ilvl w:val="0"/>
          <w:numId w:val="13"/>
        </w:numPr>
        <w:spacing w:line="360" w:lineRule="auto"/>
        <w:jc w:val="both"/>
      </w:pPr>
      <w:r w:rsidRPr="00B2474C">
        <w:rPr>
          <w:b/>
          <w:bCs/>
        </w:rPr>
        <w:t>Governance Framework</w:t>
      </w:r>
      <w:r w:rsidRPr="00B2474C">
        <w:t xml:space="preserve">: Regulated by the </w:t>
      </w:r>
      <w:r w:rsidRPr="00B2474C">
        <w:rPr>
          <w:b/>
          <w:bCs/>
        </w:rPr>
        <w:t>Dutch Corporate Governance Code (2022)</w:t>
      </w:r>
      <w:r w:rsidRPr="00B2474C">
        <w:t xml:space="preserve"> and EU directives</w:t>
      </w:r>
      <w:sdt>
        <w:sdtPr>
          <w:id w:val="2005160319"/>
          <w:citation/>
        </w:sdtPr>
        <w:sdtContent>
          <w:r w:rsidR="003B2A6F">
            <w:fldChar w:fldCharType="begin"/>
          </w:r>
          <w:r w:rsidR="003B2A6F">
            <w:instrText xml:space="preserve">CITATION mCC22 \l 1033 </w:instrText>
          </w:r>
          <w:r w:rsidR="003B2A6F">
            <w:fldChar w:fldCharType="separate"/>
          </w:r>
          <w:r w:rsidR="003B2A6F">
            <w:rPr>
              <w:noProof/>
            </w:rPr>
            <w:t xml:space="preserve"> </w:t>
          </w:r>
          <w:r w:rsidR="003B2A6F" w:rsidRPr="003B2A6F">
            <w:rPr>
              <w:noProof/>
            </w:rPr>
            <w:t>(Mccg, 2022)</w:t>
          </w:r>
          <w:r w:rsidR="003B2A6F">
            <w:fldChar w:fldCharType="end"/>
          </w:r>
        </w:sdtContent>
      </w:sdt>
      <w:r w:rsidRPr="00B2474C">
        <w:t>.</w:t>
      </w:r>
    </w:p>
    <w:p w14:paraId="6882A619" w14:textId="77777777" w:rsidR="00B2474C" w:rsidRPr="00B2474C" w:rsidRDefault="00B2474C" w:rsidP="00172423">
      <w:pPr>
        <w:numPr>
          <w:ilvl w:val="0"/>
          <w:numId w:val="13"/>
        </w:numPr>
        <w:spacing w:line="360" w:lineRule="auto"/>
        <w:jc w:val="both"/>
      </w:pPr>
      <w:r w:rsidRPr="00B2474C">
        <w:rPr>
          <w:b/>
          <w:bCs/>
        </w:rPr>
        <w:t>Legal Tradition</w:t>
      </w:r>
      <w:r w:rsidRPr="00B2474C">
        <w:t xml:space="preserve">: </w:t>
      </w:r>
      <w:r w:rsidRPr="00B2474C">
        <w:rPr>
          <w:b/>
          <w:bCs/>
        </w:rPr>
        <w:t>Civil law</w:t>
      </w:r>
      <w:r w:rsidRPr="00B2474C">
        <w:t xml:space="preserve"> system with emphasis on </w:t>
      </w:r>
      <w:r w:rsidRPr="00B2474C">
        <w:rPr>
          <w:b/>
          <w:bCs/>
        </w:rPr>
        <w:t>stakeholder orientation</w:t>
      </w:r>
      <w:r w:rsidRPr="00B2474C">
        <w:t>, not just shareholders.</w:t>
      </w:r>
    </w:p>
    <w:p w14:paraId="772B099C" w14:textId="77777777" w:rsidR="00B2474C" w:rsidRPr="00B2474C" w:rsidRDefault="00B2474C" w:rsidP="00172423">
      <w:pPr>
        <w:numPr>
          <w:ilvl w:val="0"/>
          <w:numId w:val="13"/>
        </w:numPr>
        <w:spacing w:line="360" w:lineRule="auto"/>
        <w:jc w:val="both"/>
      </w:pPr>
      <w:r w:rsidRPr="00B2474C">
        <w:rPr>
          <w:b/>
          <w:bCs/>
        </w:rPr>
        <w:t>Ownership Structure</w:t>
      </w:r>
      <w:r w:rsidRPr="00B2474C">
        <w:t xml:space="preserve">: Common use of </w:t>
      </w:r>
      <w:r w:rsidRPr="00B2474C">
        <w:rPr>
          <w:b/>
          <w:bCs/>
        </w:rPr>
        <w:t>foundations (</w:t>
      </w:r>
      <w:proofErr w:type="spellStart"/>
      <w:r w:rsidRPr="00B2474C">
        <w:rPr>
          <w:b/>
          <w:bCs/>
        </w:rPr>
        <w:t>stichtingen</w:t>
      </w:r>
      <w:proofErr w:type="spellEnd"/>
      <w:r w:rsidRPr="00B2474C">
        <w:rPr>
          <w:b/>
          <w:bCs/>
        </w:rPr>
        <w:t>)</w:t>
      </w:r>
      <w:r w:rsidRPr="00B2474C">
        <w:t xml:space="preserve"> to maintain control by original founders.</w:t>
      </w:r>
    </w:p>
    <w:p w14:paraId="491CA187" w14:textId="77777777" w:rsidR="00B2474C" w:rsidRPr="00B2474C" w:rsidRDefault="00B2474C" w:rsidP="00172423">
      <w:pPr>
        <w:numPr>
          <w:ilvl w:val="0"/>
          <w:numId w:val="13"/>
        </w:numPr>
        <w:spacing w:line="360" w:lineRule="auto"/>
        <w:jc w:val="both"/>
      </w:pPr>
      <w:r w:rsidRPr="00B2474C">
        <w:rPr>
          <w:b/>
          <w:bCs/>
        </w:rPr>
        <w:t>Governance Highlights</w:t>
      </w:r>
      <w:r w:rsidRPr="00B2474C">
        <w:t>:</w:t>
      </w:r>
    </w:p>
    <w:p w14:paraId="6A6D9B9F" w14:textId="77777777" w:rsidR="00B2474C" w:rsidRPr="00AD33F6" w:rsidRDefault="00B2474C" w:rsidP="00172423">
      <w:pPr>
        <w:numPr>
          <w:ilvl w:val="1"/>
          <w:numId w:val="13"/>
        </w:numPr>
        <w:spacing w:line="360" w:lineRule="auto"/>
        <w:jc w:val="both"/>
      </w:pPr>
      <w:r w:rsidRPr="00AD33F6">
        <w:t>High use of protective structures (e.g., loyalty shares, priority shares).</w:t>
      </w:r>
    </w:p>
    <w:p w14:paraId="09F80BF7" w14:textId="77777777" w:rsidR="00B2474C" w:rsidRPr="00AD33F6" w:rsidRDefault="00B2474C" w:rsidP="00172423">
      <w:pPr>
        <w:numPr>
          <w:ilvl w:val="1"/>
          <w:numId w:val="13"/>
        </w:numPr>
        <w:spacing w:line="360" w:lineRule="auto"/>
        <w:jc w:val="both"/>
      </w:pPr>
      <w:r w:rsidRPr="00AD33F6">
        <w:t>Two-tier board structure is common: supervisory board monitors management board.</w:t>
      </w:r>
    </w:p>
    <w:p w14:paraId="0BEFB71C" w14:textId="77777777" w:rsidR="00B2474C" w:rsidRPr="00AD33F6" w:rsidRDefault="00B2474C" w:rsidP="00172423">
      <w:pPr>
        <w:numPr>
          <w:ilvl w:val="1"/>
          <w:numId w:val="13"/>
        </w:numPr>
        <w:spacing w:line="360" w:lineRule="auto"/>
        <w:jc w:val="both"/>
      </w:pPr>
      <w:r w:rsidRPr="00AD33F6">
        <w:t>Strong employee representation on supervisory boards.</w:t>
      </w:r>
    </w:p>
    <w:p w14:paraId="06505F61" w14:textId="77777777" w:rsidR="00B2474C" w:rsidRPr="00B2474C" w:rsidRDefault="00B2474C" w:rsidP="00172423">
      <w:pPr>
        <w:numPr>
          <w:ilvl w:val="1"/>
          <w:numId w:val="13"/>
        </w:numPr>
        <w:spacing w:line="360" w:lineRule="auto"/>
        <w:jc w:val="both"/>
      </w:pPr>
      <w:r w:rsidRPr="00AD33F6">
        <w:t>Greater latitude to protect against hostile takeovers</w:t>
      </w:r>
      <w:r w:rsidRPr="00B2474C">
        <w:t>.</w:t>
      </w:r>
    </w:p>
    <w:p w14:paraId="5467B42D" w14:textId="77777777" w:rsidR="00B2474C" w:rsidRPr="00B2474C" w:rsidRDefault="00B2474C" w:rsidP="00172423">
      <w:pPr>
        <w:spacing w:line="360" w:lineRule="auto"/>
        <w:jc w:val="both"/>
        <w:rPr>
          <w:b/>
          <w:bCs/>
        </w:rPr>
      </w:pPr>
      <w:r w:rsidRPr="00B2474C">
        <w:rPr>
          <w:b/>
          <w:bCs/>
        </w:rPr>
        <w:t>Comparative Table: Institutional Governance Differences</w:t>
      </w:r>
    </w:p>
    <w:tbl>
      <w:tblPr>
        <w:tblStyle w:val="PlainTable2"/>
        <w:tblW w:w="0" w:type="auto"/>
        <w:tblLook w:val="04A0" w:firstRow="1" w:lastRow="0" w:firstColumn="1" w:lastColumn="0" w:noHBand="0" w:noVBand="1"/>
      </w:tblPr>
      <w:tblGrid>
        <w:gridCol w:w="2110"/>
        <w:gridCol w:w="2517"/>
        <w:gridCol w:w="2355"/>
        <w:gridCol w:w="2378"/>
      </w:tblGrid>
      <w:tr w:rsidR="00B2474C" w:rsidRPr="00B2474C" w14:paraId="6A165592" w14:textId="77777777" w:rsidTr="003B2A6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77F512" w14:textId="77777777" w:rsidR="00B2474C" w:rsidRPr="00B2474C" w:rsidRDefault="00B2474C" w:rsidP="00172423">
            <w:pPr>
              <w:spacing w:line="360" w:lineRule="auto"/>
              <w:jc w:val="both"/>
              <w:rPr>
                <w:b w:val="0"/>
                <w:bCs w:val="0"/>
              </w:rPr>
            </w:pPr>
            <w:r w:rsidRPr="00B2474C">
              <w:lastRenderedPageBreak/>
              <w:t>Feature</w:t>
            </w:r>
          </w:p>
        </w:tc>
        <w:tc>
          <w:tcPr>
            <w:tcW w:w="0" w:type="auto"/>
            <w:hideMark/>
          </w:tcPr>
          <w:p w14:paraId="7A017B64" w14:textId="77777777" w:rsidR="00B2474C" w:rsidRPr="00B2474C" w:rsidRDefault="00B2474C" w:rsidP="00172423">
            <w:pPr>
              <w:spacing w:line="360" w:lineRule="auto"/>
              <w:jc w:val="both"/>
              <w:cnfStyle w:val="100000000000" w:firstRow="1" w:lastRow="0" w:firstColumn="0" w:lastColumn="0" w:oddVBand="0" w:evenVBand="0" w:oddHBand="0" w:evenHBand="0" w:firstRowFirstColumn="0" w:firstRowLastColumn="0" w:lastRowFirstColumn="0" w:lastRowLastColumn="0"/>
              <w:rPr>
                <w:b w:val="0"/>
                <w:bCs w:val="0"/>
              </w:rPr>
            </w:pPr>
            <w:r w:rsidRPr="00B2474C">
              <w:t>UK (AIM)</w:t>
            </w:r>
          </w:p>
        </w:tc>
        <w:tc>
          <w:tcPr>
            <w:tcW w:w="0" w:type="auto"/>
            <w:hideMark/>
          </w:tcPr>
          <w:p w14:paraId="25E7B2F3" w14:textId="77777777" w:rsidR="00B2474C" w:rsidRPr="00B2474C" w:rsidRDefault="00B2474C" w:rsidP="00172423">
            <w:pPr>
              <w:spacing w:line="360" w:lineRule="auto"/>
              <w:jc w:val="both"/>
              <w:cnfStyle w:val="100000000000" w:firstRow="1" w:lastRow="0" w:firstColumn="0" w:lastColumn="0" w:oddVBand="0" w:evenVBand="0" w:oddHBand="0" w:evenHBand="0" w:firstRowFirstColumn="0" w:firstRowLastColumn="0" w:lastRowFirstColumn="0" w:lastRowLastColumn="0"/>
              <w:rPr>
                <w:b w:val="0"/>
                <w:bCs w:val="0"/>
              </w:rPr>
            </w:pPr>
            <w:r w:rsidRPr="00B2474C">
              <w:t>Shanghai (STAR)</w:t>
            </w:r>
          </w:p>
        </w:tc>
        <w:tc>
          <w:tcPr>
            <w:tcW w:w="0" w:type="auto"/>
            <w:hideMark/>
          </w:tcPr>
          <w:p w14:paraId="44C8E56D" w14:textId="77777777" w:rsidR="00B2474C" w:rsidRPr="00B2474C" w:rsidRDefault="00B2474C" w:rsidP="00172423">
            <w:pPr>
              <w:spacing w:line="360" w:lineRule="auto"/>
              <w:jc w:val="both"/>
              <w:cnfStyle w:val="100000000000" w:firstRow="1" w:lastRow="0" w:firstColumn="0" w:lastColumn="0" w:oddVBand="0" w:evenVBand="0" w:oddHBand="0" w:evenHBand="0" w:firstRowFirstColumn="0" w:firstRowLastColumn="0" w:lastRowFirstColumn="0" w:lastRowLastColumn="0"/>
              <w:rPr>
                <w:b w:val="0"/>
                <w:bCs w:val="0"/>
              </w:rPr>
            </w:pPr>
            <w:r w:rsidRPr="00B2474C">
              <w:t>Netherlands (Euronext)</w:t>
            </w:r>
          </w:p>
        </w:tc>
      </w:tr>
      <w:tr w:rsidR="00B2474C" w:rsidRPr="00B2474C" w14:paraId="7D199741" w14:textId="77777777" w:rsidTr="003B2A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DDAD1C" w14:textId="77777777" w:rsidR="00B2474C" w:rsidRPr="00B2474C" w:rsidRDefault="00B2474C" w:rsidP="00172423">
            <w:pPr>
              <w:spacing w:line="360" w:lineRule="auto"/>
              <w:jc w:val="both"/>
            </w:pPr>
            <w:r w:rsidRPr="00B2474C">
              <w:t>Legal System</w:t>
            </w:r>
          </w:p>
        </w:tc>
        <w:tc>
          <w:tcPr>
            <w:tcW w:w="0" w:type="auto"/>
            <w:hideMark/>
          </w:tcPr>
          <w:p w14:paraId="5446FAAA" w14:textId="77777777" w:rsidR="00B2474C" w:rsidRPr="00B2474C" w:rsidRDefault="00B2474C" w:rsidP="00172423">
            <w:pPr>
              <w:spacing w:line="360" w:lineRule="auto"/>
              <w:jc w:val="both"/>
              <w:cnfStyle w:val="000000100000" w:firstRow="0" w:lastRow="0" w:firstColumn="0" w:lastColumn="0" w:oddVBand="0" w:evenVBand="0" w:oddHBand="1" w:evenHBand="0" w:firstRowFirstColumn="0" w:firstRowLastColumn="0" w:lastRowFirstColumn="0" w:lastRowLastColumn="0"/>
            </w:pPr>
            <w:r w:rsidRPr="00B2474C">
              <w:t>Common Law</w:t>
            </w:r>
          </w:p>
        </w:tc>
        <w:tc>
          <w:tcPr>
            <w:tcW w:w="0" w:type="auto"/>
            <w:hideMark/>
          </w:tcPr>
          <w:p w14:paraId="420B3063" w14:textId="77777777" w:rsidR="00B2474C" w:rsidRPr="00B2474C" w:rsidRDefault="00B2474C" w:rsidP="00172423">
            <w:pPr>
              <w:spacing w:line="360" w:lineRule="auto"/>
              <w:jc w:val="both"/>
              <w:cnfStyle w:val="000000100000" w:firstRow="0" w:lastRow="0" w:firstColumn="0" w:lastColumn="0" w:oddVBand="0" w:evenVBand="0" w:oddHBand="1" w:evenHBand="0" w:firstRowFirstColumn="0" w:firstRowLastColumn="0" w:lastRowFirstColumn="0" w:lastRowLastColumn="0"/>
            </w:pPr>
            <w:r w:rsidRPr="00B2474C">
              <w:t>Civil Law</w:t>
            </w:r>
          </w:p>
        </w:tc>
        <w:tc>
          <w:tcPr>
            <w:tcW w:w="0" w:type="auto"/>
            <w:hideMark/>
          </w:tcPr>
          <w:p w14:paraId="424C1DA2" w14:textId="77777777" w:rsidR="00B2474C" w:rsidRPr="00B2474C" w:rsidRDefault="00B2474C" w:rsidP="00172423">
            <w:pPr>
              <w:spacing w:line="360" w:lineRule="auto"/>
              <w:jc w:val="both"/>
              <w:cnfStyle w:val="000000100000" w:firstRow="0" w:lastRow="0" w:firstColumn="0" w:lastColumn="0" w:oddVBand="0" w:evenVBand="0" w:oddHBand="1" w:evenHBand="0" w:firstRowFirstColumn="0" w:firstRowLastColumn="0" w:lastRowFirstColumn="0" w:lastRowLastColumn="0"/>
            </w:pPr>
            <w:r w:rsidRPr="00B2474C">
              <w:t>Civil Law</w:t>
            </w:r>
          </w:p>
        </w:tc>
      </w:tr>
      <w:tr w:rsidR="00B2474C" w:rsidRPr="00B2474C" w14:paraId="3BC5BEE2" w14:textId="77777777" w:rsidTr="003B2A6F">
        <w:tc>
          <w:tcPr>
            <w:cnfStyle w:val="001000000000" w:firstRow="0" w:lastRow="0" w:firstColumn="1" w:lastColumn="0" w:oddVBand="0" w:evenVBand="0" w:oddHBand="0" w:evenHBand="0" w:firstRowFirstColumn="0" w:firstRowLastColumn="0" w:lastRowFirstColumn="0" w:lastRowLastColumn="0"/>
            <w:tcW w:w="0" w:type="auto"/>
            <w:hideMark/>
          </w:tcPr>
          <w:p w14:paraId="59CC9CC9" w14:textId="77777777" w:rsidR="00B2474C" w:rsidRPr="00B2474C" w:rsidRDefault="00B2474C" w:rsidP="00172423">
            <w:pPr>
              <w:spacing w:line="360" w:lineRule="auto"/>
              <w:jc w:val="both"/>
            </w:pPr>
            <w:r w:rsidRPr="00B2474C">
              <w:t>Board Structure</w:t>
            </w:r>
          </w:p>
        </w:tc>
        <w:tc>
          <w:tcPr>
            <w:tcW w:w="0" w:type="auto"/>
            <w:hideMark/>
          </w:tcPr>
          <w:p w14:paraId="19A7B4BF" w14:textId="77777777" w:rsidR="00B2474C" w:rsidRPr="00B2474C" w:rsidRDefault="00B2474C" w:rsidP="00172423">
            <w:pPr>
              <w:spacing w:line="360" w:lineRule="auto"/>
              <w:jc w:val="both"/>
              <w:cnfStyle w:val="000000000000" w:firstRow="0" w:lastRow="0" w:firstColumn="0" w:lastColumn="0" w:oddVBand="0" w:evenVBand="0" w:oddHBand="0" w:evenHBand="0" w:firstRowFirstColumn="0" w:firstRowLastColumn="0" w:lastRowFirstColumn="0" w:lastRowLastColumn="0"/>
            </w:pPr>
            <w:r w:rsidRPr="00B2474C">
              <w:t>One-tier (flexible)</w:t>
            </w:r>
          </w:p>
        </w:tc>
        <w:tc>
          <w:tcPr>
            <w:tcW w:w="0" w:type="auto"/>
            <w:hideMark/>
          </w:tcPr>
          <w:p w14:paraId="51CDC22D" w14:textId="77777777" w:rsidR="00B2474C" w:rsidRPr="00B2474C" w:rsidRDefault="00B2474C" w:rsidP="00172423">
            <w:pPr>
              <w:spacing w:line="360" w:lineRule="auto"/>
              <w:jc w:val="both"/>
              <w:cnfStyle w:val="000000000000" w:firstRow="0" w:lastRow="0" w:firstColumn="0" w:lastColumn="0" w:oddVBand="0" w:evenVBand="0" w:oddHBand="0" w:evenHBand="0" w:firstRowFirstColumn="0" w:firstRowLastColumn="0" w:lastRowFirstColumn="0" w:lastRowLastColumn="0"/>
            </w:pPr>
            <w:r w:rsidRPr="00B2474C">
              <w:t>Two-tier mandatory</w:t>
            </w:r>
          </w:p>
        </w:tc>
        <w:tc>
          <w:tcPr>
            <w:tcW w:w="0" w:type="auto"/>
            <w:hideMark/>
          </w:tcPr>
          <w:p w14:paraId="5D9F1A6D" w14:textId="77777777" w:rsidR="00B2474C" w:rsidRPr="00B2474C" w:rsidRDefault="00B2474C" w:rsidP="00172423">
            <w:pPr>
              <w:spacing w:line="360" w:lineRule="auto"/>
              <w:jc w:val="both"/>
              <w:cnfStyle w:val="000000000000" w:firstRow="0" w:lastRow="0" w:firstColumn="0" w:lastColumn="0" w:oddVBand="0" w:evenVBand="0" w:oddHBand="0" w:evenHBand="0" w:firstRowFirstColumn="0" w:firstRowLastColumn="0" w:lastRowFirstColumn="0" w:lastRowLastColumn="0"/>
            </w:pPr>
            <w:r w:rsidRPr="00B2474C">
              <w:t>Two-tier common</w:t>
            </w:r>
          </w:p>
        </w:tc>
      </w:tr>
      <w:tr w:rsidR="00B2474C" w:rsidRPr="00B2474C" w14:paraId="24FD5FED" w14:textId="77777777" w:rsidTr="003B2A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38C489" w14:textId="77777777" w:rsidR="00B2474C" w:rsidRPr="00B2474C" w:rsidRDefault="00B2474C" w:rsidP="00172423">
            <w:pPr>
              <w:spacing w:line="360" w:lineRule="auto"/>
              <w:jc w:val="both"/>
            </w:pPr>
            <w:r w:rsidRPr="00B2474C">
              <w:t>Control Mechanisms</w:t>
            </w:r>
          </w:p>
        </w:tc>
        <w:tc>
          <w:tcPr>
            <w:tcW w:w="0" w:type="auto"/>
            <w:hideMark/>
          </w:tcPr>
          <w:p w14:paraId="18D88CD8" w14:textId="77777777" w:rsidR="00B2474C" w:rsidRPr="00B2474C" w:rsidRDefault="00B2474C" w:rsidP="00172423">
            <w:pPr>
              <w:spacing w:line="360" w:lineRule="auto"/>
              <w:jc w:val="both"/>
              <w:cnfStyle w:val="000000100000" w:firstRow="0" w:lastRow="0" w:firstColumn="0" w:lastColumn="0" w:oddVBand="0" w:evenVBand="0" w:oddHBand="1" w:evenHBand="0" w:firstRowFirstColumn="0" w:firstRowLastColumn="0" w:lastRowFirstColumn="0" w:lastRowLastColumn="0"/>
            </w:pPr>
            <w:r w:rsidRPr="00B2474C">
              <w:t>Shareholder agreements, dual shares (AIM)</w:t>
            </w:r>
          </w:p>
        </w:tc>
        <w:tc>
          <w:tcPr>
            <w:tcW w:w="0" w:type="auto"/>
            <w:hideMark/>
          </w:tcPr>
          <w:p w14:paraId="46A0027A" w14:textId="77777777" w:rsidR="00B2474C" w:rsidRPr="00B2474C" w:rsidRDefault="00B2474C" w:rsidP="00172423">
            <w:pPr>
              <w:spacing w:line="360" w:lineRule="auto"/>
              <w:jc w:val="both"/>
              <w:cnfStyle w:val="000000100000" w:firstRow="0" w:lastRow="0" w:firstColumn="0" w:lastColumn="0" w:oddVBand="0" w:evenVBand="0" w:oddHBand="1" w:evenHBand="0" w:firstRowFirstColumn="0" w:firstRowLastColumn="0" w:lastRowFirstColumn="0" w:lastRowLastColumn="0"/>
            </w:pPr>
            <w:r w:rsidRPr="00B2474C">
              <w:t>Regulatory-heavy, government-linked</w:t>
            </w:r>
          </w:p>
        </w:tc>
        <w:tc>
          <w:tcPr>
            <w:tcW w:w="0" w:type="auto"/>
            <w:hideMark/>
          </w:tcPr>
          <w:p w14:paraId="038BCB28" w14:textId="77777777" w:rsidR="00B2474C" w:rsidRPr="00B2474C" w:rsidRDefault="00B2474C" w:rsidP="00172423">
            <w:pPr>
              <w:spacing w:line="360" w:lineRule="auto"/>
              <w:jc w:val="both"/>
              <w:cnfStyle w:val="000000100000" w:firstRow="0" w:lastRow="0" w:firstColumn="0" w:lastColumn="0" w:oddVBand="0" w:evenVBand="0" w:oddHBand="1" w:evenHBand="0" w:firstRowFirstColumn="0" w:firstRowLastColumn="0" w:lastRowFirstColumn="0" w:lastRowLastColumn="0"/>
            </w:pPr>
            <w:r w:rsidRPr="00B2474C">
              <w:t>Priority shares, protective foundations</w:t>
            </w:r>
          </w:p>
        </w:tc>
      </w:tr>
      <w:tr w:rsidR="00B2474C" w:rsidRPr="00B2474C" w14:paraId="11437531" w14:textId="77777777" w:rsidTr="003B2A6F">
        <w:tc>
          <w:tcPr>
            <w:cnfStyle w:val="001000000000" w:firstRow="0" w:lastRow="0" w:firstColumn="1" w:lastColumn="0" w:oddVBand="0" w:evenVBand="0" w:oddHBand="0" w:evenHBand="0" w:firstRowFirstColumn="0" w:firstRowLastColumn="0" w:lastRowFirstColumn="0" w:lastRowLastColumn="0"/>
            <w:tcW w:w="0" w:type="auto"/>
            <w:hideMark/>
          </w:tcPr>
          <w:p w14:paraId="2755C8E3" w14:textId="77777777" w:rsidR="00B2474C" w:rsidRPr="00B2474C" w:rsidRDefault="00B2474C" w:rsidP="00172423">
            <w:pPr>
              <w:spacing w:line="360" w:lineRule="auto"/>
              <w:jc w:val="both"/>
            </w:pPr>
            <w:r w:rsidRPr="00B2474C">
              <w:t>Disclosure Standards</w:t>
            </w:r>
          </w:p>
        </w:tc>
        <w:tc>
          <w:tcPr>
            <w:tcW w:w="0" w:type="auto"/>
            <w:hideMark/>
          </w:tcPr>
          <w:p w14:paraId="21087260" w14:textId="77777777" w:rsidR="00B2474C" w:rsidRPr="00B2474C" w:rsidRDefault="00B2474C" w:rsidP="00172423">
            <w:pPr>
              <w:spacing w:line="360" w:lineRule="auto"/>
              <w:jc w:val="both"/>
              <w:cnfStyle w:val="000000000000" w:firstRow="0" w:lastRow="0" w:firstColumn="0" w:lastColumn="0" w:oddVBand="0" w:evenVBand="0" w:oddHBand="0" w:evenHBand="0" w:firstRowFirstColumn="0" w:firstRowLastColumn="0" w:lastRowFirstColumn="0" w:lastRowLastColumn="0"/>
            </w:pPr>
            <w:r w:rsidRPr="00B2474C">
              <w:t>High, market-led</w:t>
            </w:r>
          </w:p>
        </w:tc>
        <w:tc>
          <w:tcPr>
            <w:tcW w:w="0" w:type="auto"/>
            <w:hideMark/>
          </w:tcPr>
          <w:p w14:paraId="5C189268" w14:textId="77777777" w:rsidR="00B2474C" w:rsidRPr="00B2474C" w:rsidRDefault="00B2474C" w:rsidP="00172423">
            <w:pPr>
              <w:spacing w:line="360" w:lineRule="auto"/>
              <w:jc w:val="both"/>
              <w:cnfStyle w:val="000000000000" w:firstRow="0" w:lastRow="0" w:firstColumn="0" w:lastColumn="0" w:oddVBand="0" w:evenVBand="0" w:oddHBand="0" w:evenHBand="0" w:firstRowFirstColumn="0" w:firstRowLastColumn="0" w:lastRowFirstColumn="0" w:lastRowLastColumn="0"/>
            </w:pPr>
            <w:r w:rsidRPr="00B2474C">
              <w:t>Very high, state-supervised</w:t>
            </w:r>
          </w:p>
        </w:tc>
        <w:tc>
          <w:tcPr>
            <w:tcW w:w="0" w:type="auto"/>
            <w:hideMark/>
          </w:tcPr>
          <w:p w14:paraId="35B58F33" w14:textId="77777777" w:rsidR="00B2474C" w:rsidRPr="00B2474C" w:rsidRDefault="00B2474C" w:rsidP="00172423">
            <w:pPr>
              <w:spacing w:line="360" w:lineRule="auto"/>
              <w:jc w:val="both"/>
              <w:cnfStyle w:val="000000000000" w:firstRow="0" w:lastRow="0" w:firstColumn="0" w:lastColumn="0" w:oddVBand="0" w:evenVBand="0" w:oddHBand="0" w:evenHBand="0" w:firstRowFirstColumn="0" w:firstRowLastColumn="0" w:lastRowFirstColumn="0" w:lastRowLastColumn="0"/>
            </w:pPr>
            <w:r w:rsidRPr="00B2474C">
              <w:t>High, EU-driven</w:t>
            </w:r>
          </w:p>
        </w:tc>
      </w:tr>
      <w:tr w:rsidR="00B2474C" w:rsidRPr="00B2474C" w14:paraId="38504542" w14:textId="77777777" w:rsidTr="003B2A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F38E39" w14:textId="77777777" w:rsidR="00B2474C" w:rsidRPr="00B2474C" w:rsidRDefault="00B2474C" w:rsidP="00172423">
            <w:pPr>
              <w:spacing w:line="360" w:lineRule="auto"/>
              <w:jc w:val="both"/>
            </w:pPr>
            <w:r w:rsidRPr="00B2474C">
              <w:t>Takeover Protection</w:t>
            </w:r>
          </w:p>
        </w:tc>
        <w:tc>
          <w:tcPr>
            <w:tcW w:w="0" w:type="auto"/>
            <w:hideMark/>
          </w:tcPr>
          <w:p w14:paraId="11A40E1B" w14:textId="77777777" w:rsidR="00B2474C" w:rsidRPr="00B2474C" w:rsidRDefault="00B2474C" w:rsidP="00172423">
            <w:pPr>
              <w:spacing w:line="360" w:lineRule="auto"/>
              <w:jc w:val="both"/>
              <w:cnfStyle w:val="000000100000" w:firstRow="0" w:lastRow="0" w:firstColumn="0" w:lastColumn="0" w:oddVBand="0" w:evenVBand="0" w:oddHBand="1" w:evenHBand="0" w:firstRowFirstColumn="0" w:firstRowLastColumn="0" w:lastRowFirstColumn="0" w:lastRowLastColumn="0"/>
            </w:pPr>
            <w:r w:rsidRPr="00B2474C">
              <w:t>Limited</w:t>
            </w:r>
          </w:p>
        </w:tc>
        <w:tc>
          <w:tcPr>
            <w:tcW w:w="0" w:type="auto"/>
            <w:hideMark/>
          </w:tcPr>
          <w:p w14:paraId="5DBDDCC7" w14:textId="77777777" w:rsidR="00B2474C" w:rsidRPr="00B2474C" w:rsidRDefault="00B2474C" w:rsidP="00172423">
            <w:pPr>
              <w:spacing w:line="360" w:lineRule="auto"/>
              <w:jc w:val="both"/>
              <w:cnfStyle w:val="000000100000" w:firstRow="0" w:lastRow="0" w:firstColumn="0" w:lastColumn="0" w:oddVBand="0" w:evenVBand="0" w:oddHBand="1" w:evenHBand="0" w:firstRowFirstColumn="0" w:firstRowLastColumn="0" w:lastRowFirstColumn="0" w:lastRowLastColumn="0"/>
            </w:pPr>
            <w:r w:rsidRPr="00B2474C">
              <w:t>Low (state interests dominate)</w:t>
            </w:r>
          </w:p>
        </w:tc>
        <w:tc>
          <w:tcPr>
            <w:tcW w:w="0" w:type="auto"/>
            <w:hideMark/>
          </w:tcPr>
          <w:p w14:paraId="57CB9642" w14:textId="77777777" w:rsidR="00B2474C" w:rsidRPr="00B2474C" w:rsidRDefault="00B2474C" w:rsidP="00172423">
            <w:pPr>
              <w:spacing w:line="360" w:lineRule="auto"/>
              <w:jc w:val="both"/>
              <w:cnfStyle w:val="000000100000" w:firstRow="0" w:lastRow="0" w:firstColumn="0" w:lastColumn="0" w:oddVBand="0" w:evenVBand="0" w:oddHBand="1" w:evenHBand="0" w:firstRowFirstColumn="0" w:firstRowLastColumn="0" w:lastRowFirstColumn="0" w:lastRowLastColumn="0"/>
            </w:pPr>
            <w:r w:rsidRPr="00B2474C">
              <w:t>Strong anti-takeover defenses</w:t>
            </w:r>
          </w:p>
        </w:tc>
      </w:tr>
      <w:tr w:rsidR="00B2474C" w:rsidRPr="00B2474C" w14:paraId="353A2999" w14:textId="77777777" w:rsidTr="003B2A6F">
        <w:tc>
          <w:tcPr>
            <w:cnfStyle w:val="001000000000" w:firstRow="0" w:lastRow="0" w:firstColumn="1" w:lastColumn="0" w:oddVBand="0" w:evenVBand="0" w:oddHBand="0" w:evenHBand="0" w:firstRowFirstColumn="0" w:firstRowLastColumn="0" w:lastRowFirstColumn="0" w:lastRowLastColumn="0"/>
            <w:tcW w:w="0" w:type="auto"/>
            <w:hideMark/>
          </w:tcPr>
          <w:p w14:paraId="7A7DC24D" w14:textId="77777777" w:rsidR="00B2474C" w:rsidRPr="00B2474C" w:rsidRDefault="00B2474C" w:rsidP="00172423">
            <w:pPr>
              <w:spacing w:line="360" w:lineRule="auto"/>
              <w:jc w:val="both"/>
            </w:pPr>
            <w:r w:rsidRPr="00B2474C">
              <w:t>Remuneration Flexibility</w:t>
            </w:r>
          </w:p>
        </w:tc>
        <w:tc>
          <w:tcPr>
            <w:tcW w:w="0" w:type="auto"/>
            <w:hideMark/>
          </w:tcPr>
          <w:p w14:paraId="4593EF32" w14:textId="77777777" w:rsidR="00B2474C" w:rsidRPr="00B2474C" w:rsidRDefault="00B2474C" w:rsidP="00172423">
            <w:pPr>
              <w:spacing w:line="360" w:lineRule="auto"/>
              <w:jc w:val="both"/>
              <w:cnfStyle w:val="000000000000" w:firstRow="0" w:lastRow="0" w:firstColumn="0" w:lastColumn="0" w:oddVBand="0" w:evenVBand="0" w:oddHBand="0" w:evenHBand="0" w:firstRowFirstColumn="0" w:firstRowLastColumn="0" w:lastRowFirstColumn="0" w:lastRowLastColumn="0"/>
            </w:pPr>
            <w:r w:rsidRPr="00B2474C">
              <w:t>High, market-based</w:t>
            </w:r>
          </w:p>
        </w:tc>
        <w:tc>
          <w:tcPr>
            <w:tcW w:w="0" w:type="auto"/>
            <w:hideMark/>
          </w:tcPr>
          <w:p w14:paraId="574C284E" w14:textId="77777777" w:rsidR="00B2474C" w:rsidRPr="00B2474C" w:rsidRDefault="00B2474C" w:rsidP="00172423">
            <w:pPr>
              <w:spacing w:line="360" w:lineRule="auto"/>
              <w:jc w:val="both"/>
              <w:cnfStyle w:val="000000000000" w:firstRow="0" w:lastRow="0" w:firstColumn="0" w:lastColumn="0" w:oddVBand="0" w:evenVBand="0" w:oddHBand="0" w:evenHBand="0" w:firstRowFirstColumn="0" w:firstRowLastColumn="0" w:lastRowFirstColumn="0" w:lastRowLastColumn="0"/>
            </w:pPr>
            <w:r w:rsidRPr="00B2474C">
              <w:t>Limited, politically influenced</w:t>
            </w:r>
          </w:p>
        </w:tc>
        <w:tc>
          <w:tcPr>
            <w:tcW w:w="0" w:type="auto"/>
            <w:hideMark/>
          </w:tcPr>
          <w:p w14:paraId="1FB31BB1" w14:textId="77777777" w:rsidR="00B2474C" w:rsidRPr="00B2474C" w:rsidRDefault="00B2474C" w:rsidP="00172423">
            <w:pPr>
              <w:spacing w:line="360" w:lineRule="auto"/>
              <w:jc w:val="both"/>
              <w:cnfStyle w:val="000000000000" w:firstRow="0" w:lastRow="0" w:firstColumn="0" w:lastColumn="0" w:oddVBand="0" w:evenVBand="0" w:oddHBand="0" w:evenHBand="0" w:firstRowFirstColumn="0" w:firstRowLastColumn="0" w:lastRowFirstColumn="0" w:lastRowLastColumn="0"/>
            </w:pPr>
            <w:r w:rsidRPr="00B2474C">
              <w:t>Moderate, stakeholder-influenced</w:t>
            </w:r>
          </w:p>
        </w:tc>
      </w:tr>
      <w:tr w:rsidR="00B2474C" w:rsidRPr="00B2474C" w14:paraId="1FC0B255" w14:textId="77777777" w:rsidTr="003B2A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5A9353" w14:textId="77777777" w:rsidR="00B2474C" w:rsidRPr="00B2474C" w:rsidRDefault="00B2474C" w:rsidP="00172423">
            <w:pPr>
              <w:spacing w:line="360" w:lineRule="auto"/>
              <w:jc w:val="both"/>
            </w:pPr>
            <w:r w:rsidRPr="00B2474C">
              <w:t>Investor Type</w:t>
            </w:r>
          </w:p>
        </w:tc>
        <w:tc>
          <w:tcPr>
            <w:tcW w:w="0" w:type="auto"/>
            <w:hideMark/>
          </w:tcPr>
          <w:p w14:paraId="14D2883C" w14:textId="77777777" w:rsidR="00B2474C" w:rsidRPr="00B2474C" w:rsidRDefault="00B2474C" w:rsidP="00172423">
            <w:pPr>
              <w:spacing w:line="360" w:lineRule="auto"/>
              <w:jc w:val="both"/>
              <w:cnfStyle w:val="000000100000" w:firstRow="0" w:lastRow="0" w:firstColumn="0" w:lastColumn="0" w:oddVBand="0" w:evenVBand="0" w:oddHBand="1" w:evenHBand="0" w:firstRowFirstColumn="0" w:firstRowLastColumn="0" w:lastRowFirstColumn="0" w:lastRowLastColumn="0"/>
            </w:pPr>
            <w:r w:rsidRPr="00B2474C">
              <w:t>Institutional + retail</w:t>
            </w:r>
          </w:p>
        </w:tc>
        <w:tc>
          <w:tcPr>
            <w:tcW w:w="0" w:type="auto"/>
            <w:hideMark/>
          </w:tcPr>
          <w:p w14:paraId="6BC1184C" w14:textId="77777777" w:rsidR="00B2474C" w:rsidRPr="00B2474C" w:rsidRDefault="00B2474C" w:rsidP="00172423">
            <w:pPr>
              <w:spacing w:line="360" w:lineRule="auto"/>
              <w:jc w:val="both"/>
              <w:cnfStyle w:val="000000100000" w:firstRow="0" w:lastRow="0" w:firstColumn="0" w:lastColumn="0" w:oddVBand="0" w:evenVBand="0" w:oddHBand="1" w:evenHBand="0" w:firstRowFirstColumn="0" w:firstRowLastColumn="0" w:lastRowFirstColumn="0" w:lastRowLastColumn="0"/>
            </w:pPr>
            <w:r w:rsidRPr="00B2474C">
              <w:t>State &amp; institutional</w:t>
            </w:r>
          </w:p>
        </w:tc>
        <w:tc>
          <w:tcPr>
            <w:tcW w:w="0" w:type="auto"/>
            <w:hideMark/>
          </w:tcPr>
          <w:p w14:paraId="69CE05C8" w14:textId="77777777" w:rsidR="00B2474C" w:rsidRPr="00B2474C" w:rsidRDefault="00B2474C" w:rsidP="00172423">
            <w:pPr>
              <w:spacing w:line="360" w:lineRule="auto"/>
              <w:jc w:val="both"/>
              <w:cnfStyle w:val="000000100000" w:firstRow="0" w:lastRow="0" w:firstColumn="0" w:lastColumn="0" w:oddVBand="0" w:evenVBand="0" w:oddHBand="1" w:evenHBand="0" w:firstRowFirstColumn="0" w:firstRowLastColumn="0" w:lastRowFirstColumn="0" w:lastRowLastColumn="0"/>
            </w:pPr>
            <w:r w:rsidRPr="00B2474C">
              <w:t>Mixed, many long-term investors</w:t>
            </w:r>
          </w:p>
        </w:tc>
      </w:tr>
    </w:tbl>
    <w:p w14:paraId="3E863734" w14:textId="77777777" w:rsidR="00916AD3" w:rsidRDefault="00916AD3" w:rsidP="00172423">
      <w:pPr>
        <w:spacing w:line="360" w:lineRule="auto"/>
        <w:jc w:val="both"/>
        <w:rPr>
          <w:b/>
          <w:bCs/>
        </w:rPr>
      </w:pPr>
    </w:p>
    <w:p w14:paraId="3E0094F1" w14:textId="77777777" w:rsidR="00D74A31" w:rsidRDefault="00A8174D" w:rsidP="00172423">
      <w:pPr>
        <w:spacing w:line="360" w:lineRule="auto"/>
        <w:jc w:val="both"/>
        <w:rPr>
          <w:b/>
          <w:bCs/>
        </w:rPr>
      </w:pPr>
      <w:r w:rsidRPr="00A8174D">
        <w:rPr>
          <w:b/>
          <w:bCs/>
        </w:rPr>
        <w:t>Strategic Insight for the Board</w:t>
      </w:r>
    </w:p>
    <w:p w14:paraId="375EAD3B" w14:textId="77777777" w:rsidR="003B2A6F" w:rsidRPr="00A8174D" w:rsidRDefault="003B2A6F" w:rsidP="00172423">
      <w:pPr>
        <w:spacing w:line="360" w:lineRule="auto"/>
        <w:jc w:val="both"/>
        <w:rPr>
          <w:b/>
          <w:bCs/>
        </w:rPr>
      </w:pPr>
    </w:p>
    <w:tbl>
      <w:tblPr>
        <w:tblStyle w:val="PlainTable2"/>
        <w:tblW w:w="0" w:type="auto"/>
        <w:tblLook w:val="04A0" w:firstRow="1" w:lastRow="0" w:firstColumn="1" w:lastColumn="0" w:noHBand="0" w:noVBand="1"/>
      </w:tblPr>
      <w:tblGrid>
        <w:gridCol w:w="1470"/>
        <w:gridCol w:w="7890"/>
      </w:tblGrid>
      <w:tr w:rsidR="00A8174D" w:rsidRPr="00A8174D" w14:paraId="2181CE3C" w14:textId="77777777" w:rsidTr="003B2A6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287571" w14:textId="77777777" w:rsidR="00A8174D" w:rsidRPr="00A8174D" w:rsidRDefault="00A8174D" w:rsidP="00172423">
            <w:pPr>
              <w:spacing w:line="360" w:lineRule="auto"/>
              <w:jc w:val="both"/>
              <w:rPr>
                <w:b w:val="0"/>
                <w:bCs w:val="0"/>
              </w:rPr>
            </w:pPr>
            <w:r w:rsidRPr="00A8174D">
              <w:t>Location</w:t>
            </w:r>
          </w:p>
        </w:tc>
        <w:tc>
          <w:tcPr>
            <w:tcW w:w="0" w:type="auto"/>
            <w:hideMark/>
          </w:tcPr>
          <w:p w14:paraId="192E550F" w14:textId="77777777" w:rsidR="00A8174D" w:rsidRPr="00A8174D" w:rsidRDefault="00A8174D" w:rsidP="00172423">
            <w:pPr>
              <w:spacing w:line="360" w:lineRule="auto"/>
              <w:jc w:val="both"/>
              <w:cnfStyle w:val="100000000000" w:firstRow="1" w:lastRow="0" w:firstColumn="0" w:lastColumn="0" w:oddVBand="0" w:evenVBand="0" w:oddHBand="0" w:evenHBand="0" w:firstRowFirstColumn="0" w:firstRowLastColumn="0" w:lastRowFirstColumn="0" w:lastRowLastColumn="0"/>
              <w:rPr>
                <w:b w:val="0"/>
                <w:bCs w:val="0"/>
              </w:rPr>
            </w:pPr>
            <w:r w:rsidRPr="00A8174D">
              <w:t>Why It Matters for the Family Board</w:t>
            </w:r>
          </w:p>
        </w:tc>
      </w:tr>
      <w:tr w:rsidR="00A8174D" w:rsidRPr="00A8174D" w14:paraId="38F6B7D2" w14:textId="77777777" w:rsidTr="003B2A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D1869A" w14:textId="77777777" w:rsidR="00A8174D" w:rsidRPr="00A8174D" w:rsidRDefault="00A8174D" w:rsidP="00172423">
            <w:pPr>
              <w:spacing w:line="360" w:lineRule="auto"/>
              <w:jc w:val="both"/>
            </w:pPr>
            <w:r w:rsidRPr="00A8174D">
              <w:t>UK (AIM)</w:t>
            </w:r>
          </w:p>
        </w:tc>
        <w:tc>
          <w:tcPr>
            <w:tcW w:w="0" w:type="auto"/>
            <w:hideMark/>
          </w:tcPr>
          <w:p w14:paraId="00257B45" w14:textId="77777777" w:rsidR="00A8174D" w:rsidRPr="00A8174D" w:rsidRDefault="00A8174D" w:rsidP="00172423">
            <w:pPr>
              <w:spacing w:line="360" w:lineRule="auto"/>
              <w:jc w:val="both"/>
              <w:cnfStyle w:val="000000100000" w:firstRow="0" w:lastRow="0" w:firstColumn="0" w:lastColumn="0" w:oddVBand="0" w:evenVBand="0" w:oddHBand="1" w:evenHBand="0" w:firstRowFirstColumn="0" w:firstRowLastColumn="0" w:lastRowFirstColumn="0" w:lastRowLastColumn="0"/>
            </w:pPr>
            <w:r w:rsidRPr="00A8174D">
              <w:t>Best fit for control with 30% shares. Flexible, transparent, allows private deals and dual shares.</w:t>
            </w:r>
          </w:p>
        </w:tc>
      </w:tr>
      <w:tr w:rsidR="00A8174D" w:rsidRPr="00A8174D" w14:paraId="5BD125F8" w14:textId="77777777" w:rsidTr="003B2A6F">
        <w:tc>
          <w:tcPr>
            <w:cnfStyle w:val="001000000000" w:firstRow="0" w:lastRow="0" w:firstColumn="1" w:lastColumn="0" w:oddVBand="0" w:evenVBand="0" w:oddHBand="0" w:evenHBand="0" w:firstRowFirstColumn="0" w:firstRowLastColumn="0" w:lastRowFirstColumn="0" w:lastRowLastColumn="0"/>
            <w:tcW w:w="0" w:type="auto"/>
            <w:hideMark/>
          </w:tcPr>
          <w:p w14:paraId="6BF6BE24" w14:textId="77777777" w:rsidR="00A8174D" w:rsidRPr="00A8174D" w:rsidRDefault="00A8174D" w:rsidP="00172423">
            <w:pPr>
              <w:spacing w:line="360" w:lineRule="auto"/>
              <w:jc w:val="both"/>
            </w:pPr>
            <w:r w:rsidRPr="00A8174D">
              <w:t>Shanghai</w:t>
            </w:r>
          </w:p>
        </w:tc>
        <w:tc>
          <w:tcPr>
            <w:tcW w:w="0" w:type="auto"/>
            <w:hideMark/>
          </w:tcPr>
          <w:p w14:paraId="73E964E9" w14:textId="77777777" w:rsidR="00A8174D" w:rsidRPr="00A8174D" w:rsidRDefault="00A8174D" w:rsidP="00172423">
            <w:pPr>
              <w:spacing w:line="360" w:lineRule="auto"/>
              <w:jc w:val="both"/>
              <w:cnfStyle w:val="000000000000" w:firstRow="0" w:lastRow="0" w:firstColumn="0" w:lastColumn="0" w:oddVBand="0" w:evenVBand="0" w:oddHBand="0" w:evenHBand="0" w:firstRowFirstColumn="0" w:firstRowLastColumn="0" w:lastRowFirstColumn="0" w:lastRowLastColumn="0"/>
            </w:pPr>
            <w:r w:rsidRPr="00A8174D">
              <w:t>Risk of losing control due to state oversight and stricter political influence.</w:t>
            </w:r>
          </w:p>
        </w:tc>
      </w:tr>
      <w:tr w:rsidR="00A8174D" w:rsidRPr="00A8174D" w14:paraId="3A86646A" w14:textId="77777777" w:rsidTr="003B2A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AA8785" w14:textId="77777777" w:rsidR="00A8174D" w:rsidRPr="00A8174D" w:rsidRDefault="00A8174D" w:rsidP="00172423">
            <w:pPr>
              <w:spacing w:line="360" w:lineRule="auto"/>
              <w:jc w:val="both"/>
            </w:pPr>
            <w:r w:rsidRPr="00A8174D">
              <w:t>Netherlands</w:t>
            </w:r>
          </w:p>
        </w:tc>
        <w:tc>
          <w:tcPr>
            <w:tcW w:w="0" w:type="auto"/>
            <w:hideMark/>
          </w:tcPr>
          <w:p w14:paraId="061DA66D" w14:textId="77777777" w:rsidR="00A8174D" w:rsidRPr="00A8174D" w:rsidRDefault="00A8174D" w:rsidP="00172423">
            <w:pPr>
              <w:spacing w:line="360" w:lineRule="auto"/>
              <w:jc w:val="both"/>
              <w:cnfStyle w:val="000000100000" w:firstRow="0" w:lastRow="0" w:firstColumn="0" w:lastColumn="0" w:oddVBand="0" w:evenVBand="0" w:oddHBand="1" w:evenHBand="0" w:firstRowFirstColumn="0" w:firstRowLastColumn="0" w:lastRowFirstColumn="0" w:lastRowLastColumn="0"/>
            </w:pPr>
            <w:r w:rsidRPr="00A8174D">
              <w:t>Appealing for control via legal protections (e.g. loyalty shares), but complex board structures.</w:t>
            </w:r>
          </w:p>
        </w:tc>
      </w:tr>
    </w:tbl>
    <w:p w14:paraId="50C7058C" w14:textId="77777777" w:rsidR="003E0B2B" w:rsidRPr="003E0B2B" w:rsidRDefault="003E0B2B" w:rsidP="00172423">
      <w:pPr>
        <w:pStyle w:val="Heading1"/>
        <w:spacing w:line="360" w:lineRule="auto"/>
      </w:pPr>
      <w:bookmarkStart w:id="14" w:name="_Toc201417867"/>
      <w:r w:rsidRPr="003E0B2B">
        <w:t>Conclusion</w:t>
      </w:r>
      <w:bookmarkEnd w:id="14"/>
    </w:p>
    <w:p w14:paraId="7E2CAE9D" w14:textId="77777777" w:rsidR="003E0B2B" w:rsidRPr="00AD33F6" w:rsidRDefault="003E0B2B" w:rsidP="00172423">
      <w:pPr>
        <w:spacing w:line="360" w:lineRule="auto"/>
        <w:jc w:val="both"/>
      </w:pPr>
      <w:r w:rsidRPr="003E0B2B">
        <w:t xml:space="preserve">This report has critically examined the strategic and governance considerations for a family-owned business preparing to list on the Alternative Investment Market (AIM) in the UK. The transition </w:t>
      </w:r>
      <w:r w:rsidRPr="003E0B2B">
        <w:lastRenderedPageBreak/>
        <w:t xml:space="preserve">from private to public ownership introduces a need for stronger corporate governance mechanisms and transparency, particularly under </w:t>
      </w:r>
      <w:r w:rsidRPr="00AD33F6">
        <w:t>the scrutiny of external shareholders.</w:t>
      </w:r>
    </w:p>
    <w:p w14:paraId="1333A650" w14:textId="77777777" w:rsidR="003E0B2B" w:rsidRPr="00AD33F6" w:rsidRDefault="003E0B2B" w:rsidP="00172423">
      <w:pPr>
        <w:spacing w:line="360" w:lineRule="auto"/>
        <w:jc w:val="both"/>
      </w:pPr>
      <w:r w:rsidRPr="00AD33F6">
        <w:t>By exploring the significance of corporate governance and agency theory, it is clear that safeguarding shareholder value while managing internal conflicts requires a formal governance structure, effective disclosure, and active board oversight. Despite reducing ownership to 30%, the family can retain control through dual-class shares, shareholder agreements, and strategic board composition.</w:t>
      </w:r>
    </w:p>
    <w:p w14:paraId="3F80067B" w14:textId="77777777" w:rsidR="003E0B2B" w:rsidRDefault="003E0B2B" w:rsidP="00172423">
      <w:pPr>
        <w:pStyle w:val="Heading1"/>
        <w:spacing w:line="360" w:lineRule="auto"/>
      </w:pPr>
      <w:bookmarkStart w:id="15" w:name="_Toc201417868"/>
      <w:r w:rsidRPr="003E0B2B">
        <w:t>Recommendations</w:t>
      </w:r>
      <w:bookmarkEnd w:id="15"/>
    </w:p>
    <w:p w14:paraId="2D857819" w14:textId="77777777" w:rsidR="002C19E7" w:rsidRDefault="002C19E7" w:rsidP="00172423">
      <w:pPr>
        <w:spacing w:line="360" w:lineRule="auto"/>
        <w:jc w:val="both"/>
        <w:rPr>
          <w:lang w:val="en-GB" w:eastAsia="zh-CN"/>
        </w:rPr>
      </w:pPr>
      <w:r w:rsidRPr="002C19E7">
        <w:rPr>
          <w:lang w:val="en-GB" w:eastAsia="zh-CN"/>
        </w:rPr>
        <w:t>Based on the findings, the board should adopt QCA governance standards, secure control through dual-class shares and shareholder agreements, and establish a performance-based remuneration committee. AIM is preferred for its flexibility, while Shanghai and the Netherlands present more rigid frameworks. Engaging independent legal and financial advisors is essential for IPO readiness and governance training. These steps will help balance public accountability with retained strategic control post-listing.</w:t>
      </w:r>
    </w:p>
    <w:p w14:paraId="745D21A2" w14:textId="77777777" w:rsidR="002C19E7" w:rsidRDefault="002C19E7" w:rsidP="00172423">
      <w:pPr>
        <w:spacing w:line="360" w:lineRule="auto"/>
        <w:rPr>
          <w:lang w:val="en-GB" w:eastAsia="zh-CN"/>
        </w:rPr>
      </w:pPr>
      <w:r>
        <w:rPr>
          <w:lang w:val="en-GB" w:eastAsia="zh-CN"/>
        </w:rPr>
        <w:br w:type="page"/>
      </w:r>
    </w:p>
    <w:bookmarkStart w:id="16" w:name="_Toc201417869" w:displacedByCustomXml="next"/>
    <w:sdt>
      <w:sdtPr>
        <w:rPr>
          <w:rFonts w:eastAsiaTheme="minorHAnsi" w:cstheme="minorBidi"/>
          <w:b w:val="0"/>
          <w:color w:val="auto"/>
          <w:sz w:val="24"/>
          <w:szCs w:val="24"/>
          <w:lang w:val="en-US" w:eastAsia="en-US"/>
        </w:rPr>
        <w:id w:val="967701972"/>
        <w:docPartObj>
          <w:docPartGallery w:val="Bibliographies"/>
          <w:docPartUnique/>
        </w:docPartObj>
      </w:sdtPr>
      <w:sdtContent>
        <w:p w14:paraId="33E039CA" w14:textId="77777777" w:rsidR="00916AD3" w:rsidRDefault="00916AD3" w:rsidP="00172423">
          <w:pPr>
            <w:pStyle w:val="Heading1"/>
            <w:spacing w:line="360" w:lineRule="auto"/>
          </w:pPr>
          <w:r>
            <w:t>References</w:t>
          </w:r>
          <w:bookmarkEnd w:id="16"/>
        </w:p>
        <w:sdt>
          <w:sdtPr>
            <w:id w:val="-573587230"/>
            <w:bibliography/>
          </w:sdtPr>
          <w:sdtContent>
            <w:p w14:paraId="3C15D0A0" w14:textId="77777777" w:rsidR="00916AD3" w:rsidRDefault="00916AD3" w:rsidP="00172423">
              <w:pPr>
                <w:pStyle w:val="Bibliography"/>
                <w:spacing w:line="360" w:lineRule="auto"/>
                <w:rPr>
                  <w:noProof/>
                  <w:kern w:val="0"/>
                  <w:lang w:val="en-GB"/>
                  <w14:ligatures w14:val="none"/>
                </w:rPr>
              </w:pPr>
              <w:r>
                <w:fldChar w:fldCharType="begin"/>
              </w:r>
              <w:r>
                <w:instrText xml:space="preserve"> BIBLIOGRAPHY </w:instrText>
              </w:r>
              <w:r>
                <w:fldChar w:fldCharType="separate"/>
              </w:r>
              <w:r>
                <w:rPr>
                  <w:noProof/>
                  <w:lang w:val="en-GB"/>
                </w:rPr>
                <w:t xml:space="preserve">Asset.piblishing, 2012. </w:t>
              </w:r>
              <w:r>
                <w:rPr>
                  <w:i/>
                  <w:iCs/>
                  <w:noProof/>
                  <w:lang w:val="en-GB"/>
                </w:rPr>
                <w:t xml:space="preserve">Title: Shareholder votes on executive remuneration. </w:t>
              </w:r>
              <w:r>
                <w:rPr>
                  <w:noProof/>
                  <w:lang w:val="en-GB"/>
                </w:rPr>
                <w:t xml:space="preserve">[Online] </w:t>
              </w:r>
              <w:r>
                <w:rPr>
                  <w:noProof/>
                  <w:lang w:val="en-GB"/>
                </w:rPr>
                <w:br/>
                <w:t xml:space="preserve">Available at: </w:t>
              </w:r>
              <w:r>
                <w:rPr>
                  <w:noProof/>
                  <w:u w:val="single"/>
                  <w:lang w:val="en-GB"/>
                </w:rPr>
                <w:t>https://assets.publishing.service.gov.uk/media/5a79ba7bed915d042206a9a3/12-648-shareholder-votes-executive-remuneration-impact-assessment.pdf?</w:t>
              </w:r>
              <w:r>
                <w:rPr>
                  <w:noProof/>
                  <w:lang w:val="en-GB"/>
                </w:rPr>
                <w:br/>
                <w:t>[Accessed 20 June 2025].</w:t>
              </w:r>
            </w:p>
            <w:p w14:paraId="2BF16697" w14:textId="77777777" w:rsidR="00916AD3" w:rsidRDefault="00916AD3" w:rsidP="00172423">
              <w:pPr>
                <w:pStyle w:val="Bibliography"/>
                <w:spacing w:line="360" w:lineRule="auto"/>
                <w:rPr>
                  <w:noProof/>
                  <w:lang w:val="en-GB"/>
                </w:rPr>
              </w:pPr>
              <w:r>
                <w:rPr>
                  <w:noProof/>
                  <w:lang w:val="en-GB"/>
                </w:rPr>
                <w:t xml:space="preserve">EY, 2024. </w:t>
              </w:r>
              <w:r>
                <w:rPr>
                  <w:i/>
                  <w:iCs/>
                  <w:noProof/>
                  <w:lang w:val="en-GB"/>
                </w:rPr>
                <w:t xml:space="preserve">Guide to going Public. </w:t>
              </w:r>
              <w:r>
                <w:rPr>
                  <w:noProof/>
                  <w:lang w:val="en-GB"/>
                </w:rPr>
                <w:t xml:space="preserve">[Online] </w:t>
              </w:r>
              <w:r>
                <w:rPr>
                  <w:noProof/>
                  <w:lang w:val="en-GB"/>
                </w:rPr>
                <w:br/>
                <w:t xml:space="preserve">Available at: </w:t>
              </w:r>
              <w:r>
                <w:rPr>
                  <w:noProof/>
                  <w:u w:val="single"/>
                  <w:lang w:val="en-GB"/>
                </w:rPr>
                <w:t>https://www.ey.com/content/dam/ey-unified-site/ey-com/en-gl/services/ipo/documents/ey-guide-to-going-public-strategic-considerations-before-during-and-post-ipo.pdf</w:t>
              </w:r>
              <w:r>
                <w:rPr>
                  <w:noProof/>
                  <w:lang w:val="en-GB"/>
                </w:rPr>
                <w:br/>
                <w:t>[Accessed 21 June 2025].</w:t>
              </w:r>
            </w:p>
            <w:p w14:paraId="66F967E0" w14:textId="77777777" w:rsidR="00916AD3" w:rsidRDefault="00916AD3" w:rsidP="00172423">
              <w:pPr>
                <w:pStyle w:val="Bibliography"/>
                <w:spacing w:line="360" w:lineRule="auto"/>
                <w:rPr>
                  <w:noProof/>
                  <w:lang w:val="en-GB"/>
                </w:rPr>
              </w:pPr>
              <w:r>
                <w:rPr>
                  <w:noProof/>
                  <w:lang w:val="en-GB"/>
                </w:rPr>
                <w:t xml:space="preserve">FRC, 2018. </w:t>
              </w:r>
              <w:r>
                <w:rPr>
                  <w:i/>
                  <w:iCs/>
                  <w:noProof/>
                  <w:lang w:val="en-GB"/>
                </w:rPr>
                <w:t xml:space="preserve">Corporate Governance. </w:t>
              </w:r>
              <w:r>
                <w:rPr>
                  <w:noProof/>
                  <w:lang w:val="en-GB"/>
                </w:rPr>
                <w:t xml:space="preserve">[Online] </w:t>
              </w:r>
              <w:r>
                <w:rPr>
                  <w:noProof/>
                  <w:lang w:val="en-GB"/>
                </w:rPr>
                <w:br/>
                <w:t xml:space="preserve">Available at: </w:t>
              </w:r>
              <w:r>
                <w:rPr>
                  <w:noProof/>
                  <w:u w:val="single"/>
                  <w:lang w:val="en-GB"/>
                </w:rPr>
                <w:t>https://www.frc.org.uk/library/standards-codes-policy/corporate-governance/</w:t>
              </w:r>
              <w:r>
                <w:rPr>
                  <w:noProof/>
                  <w:lang w:val="en-GB"/>
                </w:rPr>
                <w:br/>
                <w:t>[Accessed 21 June 2025].</w:t>
              </w:r>
            </w:p>
            <w:p w14:paraId="0912DEFC" w14:textId="77777777" w:rsidR="00916AD3" w:rsidRDefault="00916AD3" w:rsidP="00172423">
              <w:pPr>
                <w:pStyle w:val="Bibliography"/>
                <w:spacing w:line="360" w:lineRule="auto"/>
                <w:rPr>
                  <w:noProof/>
                  <w:lang w:val="en-GB"/>
                </w:rPr>
              </w:pPr>
              <w:r>
                <w:rPr>
                  <w:noProof/>
                  <w:lang w:val="en-GB"/>
                </w:rPr>
                <w:t xml:space="preserve">FRC, 2024. </w:t>
              </w:r>
              <w:r>
                <w:rPr>
                  <w:i/>
                  <w:iCs/>
                  <w:noProof/>
                  <w:lang w:val="en-GB"/>
                </w:rPr>
                <w:t xml:space="preserve">Corporate Governance (overview). </w:t>
              </w:r>
              <w:r>
                <w:rPr>
                  <w:noProof/>
                  <w:lang w:val="en-GB"/>
                </w:rPr>
                <w:t xml:space="preserve">[Online] </w:t>
              </w:r>
              <w:r>
                <w:rPr>
                  <w:noProof/>
                  <w:lang w:val="en-GB"/>
                </w:rPr>
                <w:br/>
                <w:t xml:space="preserve">Available at: </w:t>
              </w:r>
              <w:r>
                <w:rPr>
                  <w:noProof/>
                  <w:u w:val="single"/>
                  <w:lang w:val="en-GB"/>
                </w:rPr>
                <w:t>https://www.frc.org.uk/library/standards-codes-policy/corporate-governance/corporate-governance-overview/?</w:t>
              </w:r>
              <w:r>
                <w:rPr>
                  <w:noProof/>
                  <w:lang w:val="en-GB"/>
                </w:rPr>
                <w:br/>
                <w:t>[Accessed 20 June 2025].</w:t>
              </w:r>
            </w:p>
            <w:p w14:paraId="34011E86" w14:textId="77777777" w:rsidR="00916AD3" w:rsidRDefault="00916AD3" w:rsidP="00172423">
              <w:pPr>
                <w:pStyle w:val="Bibliography"/>
                <w:spacing w:line="360" w:lineRule="auto"/>
                <w:rPr>
                  <w:noProof/>
                  <w:lang w:val="en-GB"/>
                </w:rPr>
              </w:pPr>
              <w:r>
                <w:rPr>
                  <w:noProof/>
                  <w:lang w:val="en-GB"/>
                </w:rPr>
                <w:t xml:space="preserve">Law.Asia, 2025. </w:t>
              </w:r>
              <w:r>
                <w:rPr>
                  <w:i/>
                  <w:iCs/>
                  <w:noProof/>
                  <w:lang w:val="en-GB"/>
                </w:rPr>
                <w:t xml:space="preserve">New rules on listed companies’ governance. </w:t>
              </w:r>
              <w:r>
                <w:rPr>
                  <w:noProof/>
                  <w:lang w:val="en-GB"/>
                </w:rPr>
                <w:t xml:space="preserve">[Online] </w:t>
              </w:r>
              <w:r>
                <w:rPr>
                  <w:noProof/>
                  <w:lang w:val="en-GB"/>
                </w:rPr>
                <w:br/>
                <w:t xml:space="preserve">Available at: </w:t>
              </w:r>
              <w:r>
                <w:rPr>
                  <w:noProof/>
                  <w:u w:val="single"/>
                  <w:lang w:val="en-GB"/>
                </w:rPr>
                <w:t>https://law.asia/china-listed-company-governance-rules-update/#:~:text=China's%20corporate%20governance%20framework%20for,revisions%20to%20their%20listing%20rules.</w:t>
              </w:r>
              <w:r>
                <w:rPr>
                  <w:noProof/>
                  <w:lang w:val="en-GB"/>
                </w:rPr>
                <w:br/>
                <w:t>[Accessed 20 June 2025].</w:t>
              </w:r>
            </w:p>
            <w:p w14:paraId="29FCBE44" w14:textId="77777777" w:rsidR="00916AD3" w:rsidRDefault="00916AD3" w:rsidP="00172423">
              <w:pPr>
                <w:pStyle w:val="Bibliography"/>
                <w:spacing w:line="360" w:lineRule="auto"/>
                <w:rPr>
                  <w:noProof/>
                  <w:lang w:val="en-GB"/>
                </w:rPr>
              </w:pPr>
              <w:r>
                <w:rPr>
                  <w:noProof/>
                  <w:lang w:val="en-GB"/>
                </w:rPr>
                <w:t xml:space="preserve">Legislation.gov, 2018. </w:t>
              </w:r>
              <w:r>
                <w:rPr>
                  <w:i/>
                  <w:iCs/>
                  <w:noProof/>
                  <w:lang w:val="en-GB"/>
                </w:rPr>
                <w:t xml:space="preserve">Improved Transparency of Executive Remuneration. </w:t>
              </w:r>
              <w:r>
                <w:rPr>
                  <w:noProof/>
                  <w:lang w:val="en-GB"/>
                </w:rPr>
                <w:t xml:space="preserve">[Online] </w:t>
              </w:r>
              <w:r>
                <w:rPr>
                  <w:noProof/>
                  <w:lang w:val="en-GB"/>
                </w:rPr>
                <w:br/>
                <w:t xml:space="preserve">Available at: </w:t>
              </w:r>
              <w:r>
                <w:rPr>
                  <w:noProof/>
                  <w:u w:val="single"/>
                  <w:lang w:val="en-GB"/>
                </w:rPr>
                <w:t>https://www.legislation.gov.uk/ukia/2018/110/pdfs/ukia_20180110_en.pdf</w:t>
              </w:r>
              <w:r>
                <w:rPr>
                  <w:noProof/>
                  <w:lang w:val="en-GB"/>
                </w:rPr>
                <w:br/>
                <w:t>[Accessed 20 June 2025].</w:t>
              </w:r>
            </w:p>
            <w:p w14:paraId="601C0A65" w14:textId="77777777" w:rsidR="00916AD3" w:rsidRDefault="00916AD3" w:rsidP="00172423">
              <w:pPr>
                <w:pStyle w:val="Bibliography"/>
                <w:spacing w:line="360" w:lineRule="auto"/>
                <w:rPr>
                  <w:noProof/>
                  <w:lang w:val="en-GB"/>
                </w:rPr>
              </w:pPr>
              <w:r>
                <w:rPr>
                  <w:noProof/>
                  <w:lang w:val="en-GB"/>
                </w:rPr>
                <w:t xml:space="preserve">LSE, 2024. </w:t>
              </w:r>
              <w:r>
                <w:rPr>
                  <w:i/>
                  <w:iCs/>
                  <w:noProof/>
                  <w:lang w:val="en-GB"/>
                </w:rPr>
                <w:t xml:space="preserve">AIM - The London Stock Exchange's market for small and medium size growth companies. </w:t>
              </w:r>
              <w:r>
                <w:rPr>
                  <w:noProof/>
                  <w:lang w:val="en-GB"/>
                </w:rPr>
                <w:t xml:space="preserve">[Online] </w:t>
              </w:r>
              <w:r>
                <w:rPr>
                  <w:noProof/>
                  <w:lang w:val="en-GB"/>
                </w:rPr>
                <w:br/>
              </w:r>
              <w:r>
                <w:rPr>
                  <w:noProof/>
                  <w:lang w:val="en-GB"/>
                </w:rPr>
                <w:lastRenderedPageBreak/>
                <w:t xml:space="preserve">Available at: </w:t>
              </w:r>
              <w:r>
                <w:rPr>
                  <w:noProof/>
                  <w:u w:val="single"/>
                  <w:lang w:val="en-GB"/>
                </w:rPr>
                <w:t>https://www.londonstockexchange.com/raise-finance/equity/aim</w:t>
              </w:r>
              <w:r>
                <w:rPr>
                  <w:noProof/>
                  <w:lang w:val="en-GB"/>
                </w:rPr>
                <w:br/>
                <w:t>[Accessed 21 June 2025].</w:t>
              </w:r>
            </w:p>
            <w:p w14:paraId="2EC7C0C6" w14:textId="77777777" w:rsidR="00916AD3" w:rsidRDefault="00916AD3" w:rsidP="00172423">
              <w:pPr>
                <w:pStyle w:val="Bibliography"/>
                <w:spacing w:line="360" w:lineRule="auto"/>
                <w:rPr>
                  <w:noProof/>
                  <w:lang w:val="en-GB"/>
                </w:rPr>
              </w:pPr>
              <w:r>
                <w:rPr>
                  <w:noProof/>
                  <w:lang w:val="en-GB"/>
                </w:rPr>
                <w:t xml:space="preserve">Mccg, 2022. </w:t>
              </w:r>
              <w:r>
                <w:rPr>
                  <w:i/>
                  <w:iCs/>
                  <w:noProof/>
                  <w:lang w:val="en-GB"/>
                </w:rPr>
                <w:t xml:space="preserve">Dutch Corporate Governance Code 2022 (English translation). </w:t>
              </w:r>
              <w:r>
                <w:rPr>
                  <w:noProof/>
                  <w:lang w:val="en-GB"/>
                </w:rPr>
                <w:t xml:space="preserve">[Online] </w:t>
              </w:r>
              <w:r>
                <w:rPr>
                  <w:noProof/>
                  <w:lang w:val="en-GB"/>
                </w:rPr>
                <w:br/>
                <w:t xml:space="preserve">Available at: </w:t>
              </w:r>
              <w:r>
                <w:rPr>
                  <w:noProof/>
                  <w:u w:val="single"/>
                  <w:lang w:val="en-GB"/>
                </w:rPr>
                <w:t>https://www.mccg.nl/documenten/2022/12/20/dutch-corporate-governance-code-2022</w:t>
              </w:r>
              <w:r>
                <w:rPr>
                  <w:noProof/>
                  <w:lang w:val="en-GB"/>
                </w:rPr>
                <w:br/>
                <w:t>[Accessed 21 jUNE 2025].</w:t>
              </w:r>
            </w:p>
            <w:p w14:paraId="403B3DFA" w14:textId="77777777" w:rsidR="00916AD3" w:rsidRDefault="00916AD3" w:rsidP="00172423">
              <w:pPr>
                <w:pStyle w:val="Bibliography"/>
                <w:spacing w:line="360" w:lineRule="auto"/>
                <w:rPr>
                  <w:noProof/>
                  <w:lang w:val="en-GB"/>
                </w:rPr>
              </w:pPr>
              <w:r>
                <w:rPr>
                  <w:noProof/>
                  <w:lang w:val="en-GB"/>
                </w:rPr>
                <w:t xml:space="preserve">Osborneclarke, 2024. </w:t>
              </w:r>
              <w:r>
                <w:rPr>
                  <w:i/>
                  <w:iCs/>
                  <w:noProof/>
                  <w:lang w:val="en-GB"/>
                </w:rPr>
                <w:t xml:space="preserve">New corporate governance codes usher in change for AIM and UK-listed companies. </w:t>
              </w:r>
              <w:r>
                <w:rPr>
                  <w:noProof/>
                  <w:lang w:val="en-GB"/>
                </w:rPr>
                <w:t xml:space="preserve">[Online] </w:t>
              </w:r>
              <w:r>
                <w:rPr>
                  <w:noProof/>
                  <w:lang w:val="en-GB"/>
                </w:rPr>
                <w:br/>
                <w:t xml:space="preserve">Available at: </w:t>
              </w:r>
              <w:r>
                <w:rPr>
                  <w:noProof/>
                  <w:u w:val="single"/>
                  <w:lang w:val="en-GB"/>
                </w:rPr>
                <w:t>https://www.osborneclarke.com/insights/new-corporate-governance-codes-usher-change-aim-and-uk-listed-companies?</w:t>
              </w:r>
              <w:r>
                <w:rPr>
                  <w:noProof/>
                  <w:lang w:val="en-GB"/>
                </w:rPr>
                <w:br/>
                <w:t>[Accessed 20 June 2025].</w:t>
              </w:r>
            </w:p>
            <w:p w14:paraId="3BC575B0" w14:textId="77777777" w:rsidR="00916AD3" w:rsidRDefault="00916AD3" w:rsidP="00172423">
              <w:pPr>
                <w:pStyle w:val="Bibliography"/>
                <w:spacing w:line="360" w:lineRule="auto"/>
                <w:rPr>
                  <w:noProof/>
                  <w:lang w:val="en-GB"/>
                </w:rPr>
              </w:pPr>
              <w:r>
                <w:rPr>
                  <w:noProof/>
                  <w:lang w:val="en-GB"/>
                </w:rPr>
                <w:t xml:space="preserve">Pnisent Masons, 2015. </w:t>
              </w:r>
              <w:r>
                <w:rPr>
                  <w:i/>
                  <w:iCs/>
                  <w:noProof/>
                  <w:lang w:val="en-GB"/>
                </w:rPr>
                <w:t xml:space="preserve">Commercial Court: shareholders' agreement did not impose duties on company director. </w:t>
              </w:r>
              <w:r>
                <w:rPr>
                  <w:noProof/>
                  <w:lang w:val="en-GB"/>
                </w:rPr>
                <w:t xml:space="preserve">[Online] </w:t>
              </w:r>
              <w:r>
                <w:rPr>
                  <w:noProof/>
                  <w:lang w:val="en-GB"/>
                </w:rPr>
                <w:br/>
                <w:t xml:space="preserve">Available at: </w:t>
              </w:r>
              <w:r>
                <w:rPr>
                  <w:noProof/>
                  <w:u w:val="single"/>
                  <w:lang w:val="en-GB"/>
                </w:rPr>
                <w:t>https://www.pinsentmasons.com/out-law/news/commercial-court-shareholders-agreement-did-not-impose-duties-on-company-director#:~:text=Sydow%20was%20both%20the%20director,shareholder%20of%20the%20corporate%20shareholder.</w:t>
              </w:r>
              <w:r>
                <w:rPr>
                  <w:noProof/>
                  <w:lang w:val="en-GB"/>
                </w:rPr>
                <w:br/>
                <w:t>[Accessed 21 June 2025].</w:t>
              </w:r>
            </w:p>
            <w:p w14:paraId="2140C0EC" w14:textId="77777777" w:rsidR="00916AD3" w:rsidRDefault="00916AD3" w:rsidP="00172423">
              <w:pPr>
                <w:pStyle w:val="Bibliography"/>
                <w:spacing w:line="360" w:lineRule="auto"/>
                <w:rPr>
                  <w:noProof/>
                  <w:lang w:val="en-GB"/>
                </w:rPr>
              </w:pPr>
              <w:r>
                <w:rPr>
                  <w:noProof/>
                  <w:lang w:val="en-GB"/>
                </w:rPr>
                <w:t xml:space="preserve">PWC, 2024. </w:t>
              </w:r>
              <w:r>
                <w:rPr>
                  <w:i/>
                  <w:iCs/>
                  <w:noProof/>
                  <w:lang w:val="en-GB"/>
                </w:rPr>
                <w:t xml:space="preserve">Making executive remuneration work for you. </w:t>
              </w:r>
              <w:r>
                <w:rPr>
                  <w:noProof/>
                  <w:lang w:val="en-GB"/>
                </w:rPr>
                <w:t xml:space="preserve">[Online] </w:t>
              </w:r>
              <w:r>
                <w:rPr>
                  <w:noProof/>
                  <w:lang w:val="en-GB"/>
                </w:rPr>
                <w:br/>
                <w:t xml:space="preserve">Available at: </w:t>
              </w:r>
              <w:r>
                <w:rPr>
                  <w:noProof/>
                  <w:u w:val="single"/>
                  <w:lang w:val="en-GB"/>
                </w:rPr>
                <w:t>https://www.pwc.co.uk/services/human-resource-services/rewarding-your-people/making-executive-remuneration-work-for-you.html</w:t>
              </w:r>
              <w:r>
                <w:rPr>
                  <w:noProof/>
                  <w:lang w:val="en-GB"/>
                </w:rPr>
                <w:br/>
                <w:t>[Accessed 20 June 2025].</w:t>
              </w:r>
            </w:p>
            <w:p w14:paraId="4C35EB5C" w14:textId="77777777" w:rsidR="00916AD3" w:rsidRDefault="00916AD3" w:rsidP="00172423">
              <w:pPr>
                <w:pStyle w:val="Bibliography"/>
                <w:spacing w:line="360" w:lineRule="auto"/>
                <w:rPr>
                  <w:noProof/>
                  <w:lang w:val="en-GB"/>
                </w:rPr>
              </w:pPr>
              <w:r>
                <w:rPr>
                  <w:noProof/>
                  <w:lang w:val="en-GB"/>
                </w:rPr>
                <w:t xml:space="preserve">SSE, 2024. </w:t>
              </w:r>
              <w:r>
                <w:rPr>
                  <w:i/>
                  <w:iCs/>
                  <w:noProof/>
                  <w:lang w:val="en-GB"/>
                </w:rPr>
                <w:t xml:space="preserve">SSE. </w:t>
              </w:r>
              <w:r>
                <w:rPr>
                  <w:noProof/>
                  <w:lang w:val="en-GB"/>
                </w:rPr>
                <w:t xml:space="preserve">[Online] </w:t>
              </w:r>
              <w:r>
                <w:rPr>
                  <w:noProof/>
                  <w:lang w:val="en-GB"/>
                </w:rPr>
                <w:br/>
                <w:t xml:space="preserve">Available at: </w:t>
              </w:r>
              <w:r>
                <w:rPr>
                  <w:noProof/>
                  <w:u w:val="single"/>
                  <w:lang w:val="en-GB"/>
                </w:rPr>
                <w:t>http://english.sse.com.cn/</w:t>
              </w:r>
              <w:r>
                <w:rPr>
                  <w:noProof/>
                  <w:lang w:val="en-GB"/>
                </w:rPr>
                <w:br/>
                <w:t>[Accessed 21 June 225].</w:t>
              </w:r>
            </w:p>
            <w:p w14:paraId="4B930927" w14:textId="77777777" w:rsidR="00916AD3" w:rsidRDefault="00916AD3" w:rsidP="00172423">
              <w:pPr>
                <w:pStyle w:val="Bibliography"/>
                <w:spacing w:line="360" w:lineRule="auto"/>
                <w:rPr>
                  <w:noProof/>
                  <w:lang w:val="en-GB"/>
                </w:rPr>
              </w:pPr>
              <w:r>
                <w:rPr>
                  <w:noProof/>
                  <w:lang w:val="en-GB"/>
                </w:rPr>
                <w:t xml:space="preserve">Theguardian, 2024. </w:t>
              </w:r>
              <w:r>
                <w:rPr>
                  <w:i/>
                  <w:iCs/>
                  <w:noProof/>
                  <w:lang w:val="en-GB"/>
                </w:rPr>
                <w:t xml:space="preserve">Tweaks, delays and compromises define UK’s post-Carillion response. </w:t>
              </w:r>
              <w:r>
                <w:rPr>
                  <w:noProof/>
                  <w:lang w:val="en-GB"/>
                </w:rPr>
                <w:t xml:space="preserve">[Online] </w:t>
              </w:r>
              <w:r>
                <w:rPr>
                  <w:noProof/>
                  <w:lang w:val="en-GB"/>
                </w:rPr>
                <w:br/>
                <w:t xml:space="preserve">Available at: </w:t>
              </w:r>
              <w:r>
                <w:rPr>
                  <w:noProof/>
                  <w:u w:val="single"/>
                  <w:lang w:val="en-GB"/>
                </w:rPr>
                <w:t>https://www.theguardian.com/business/2024/jan/22/tweaks-delays-compromises-</w:t>
              </w:r>
              <w:r>
                <w:rPr>
                  <w:noProof/>
                  <w:u w:val="single"/>
                  <w:lang w:val="en-GB"/>
                </w:rPr>
                <w:lastRenderedPageBreak/>
                <w:t>define-uk-post-carillion-response?</w:t>
              </w:r>
              <w:r>
                <w:rPr>
                  <w:noProof/>
                  <w:lang w:val="en-GB"/>
                </w:rPr>
                <w:br/>
                <w:t>[Accessed 21 June 2025].</w:t>
              </w:r>
            </w:p>
            <w:p w14:paraId="62D30A1D" w14:textId="77777777" w:rsidR="00916AD3" w:rsidRDefault="00916AD3" w:rsidP="00172423">
              <w:pPr>
                <w:pStyle w:val="Bibliography"/>
                <w:spacing w:line="360" w:lineRule="auto"/>
                <w:rPr>
                  <w:noProof/>
                  <w:lang w:val="en-GB"/>
                </w:rPr>
              </w:pPr>
              <w:r>
                <w:rPr>
                  <w:noProof/>
                  <w:lang w:val="en-GB"/>
                </w:rPr>
                <w:t xml:space="preserve">Theqca, 2024. </w:t>
              </w:r>
              <w:r>
                <w:rPr>
                  <w:i/>
                  <w:iCs/>
                  <w:noProof/>
                  <w:lang w:val="en-GB"/>
                </w:rPr>
                <w:t xml:space="preserve">QCA Corporate. </w:t>
              </w:r>
              <w:r>
                <w:rPr>
                  <w:noProof/>
                  <w:lang w:val="en-GB"/>
                </w:rPr>
                <w:t xml:space="preserve">[Online] </w:t>
              </w:r>
              <w:r>
                <w:rPr>
                  <w:noProof/>
                  <w:lang w:val="en-GB"/>
                </w:rPr>
                <w:br/>
                <w:t xml:space="preserve">Available at: </w:t>
              </w:r>
              <w:r>
                <w:rPr>
                  <w:noProof/>
                  <w:u w:val="single"/>
                  <w:lang w:val="en-GB"/>
                </w:rPr>
                <w:t>https://www.theqca.com/qca-corporate-governance-code/</w:t>
              </w:r>
              <w:r>
                <w:rPr>
                  <w:noProof/>
                  <w:lang w:val="en-GB"/>
                </w:rPr>
                <w:br/>
                <w:t>[Accessed 21 June 2025].</w:t>
              </w:r>
            </w:p>
            <w:p w14:paraId="5537D86B" w14:textId="77777777" w:rsidR="00916AD3" w:rsidRDefault="00916AD3" w:rsidP="00172423">
              <w:pPr>
                <w:spacing w:line="360" w:lineRule="auto"/>
              </w:pPr>
              <w:r>
                <w:rPr>
                  <w:b/>
                  <w:bCs/>
                  <w:noProof/>
                </w:rPr>
                <w:fldChar w:fldCharType="end"/>
              </w:r>
            </w:p>
          </w:sdtContent>
        </w:sdt>
      </w:sdtContent>
    </w:sdt>
    <w:p w14:paraId="5A767190" w14:textId="77777777" w:rsidR="003E0B2B" w:rsidRPr="003E0B2B" w:rsidRDefault="003E0B2B" w:rsidP="00172423">
      <w:pPr>
        <w:numPr>
          <w:ilvl w:val="0"/>
          <w:numId w:val="18"/>
        </w:numPr>
        <w:spacing w:line="360" w:lineRule="auto"/>
        <w:jc w:val="both"/>
      </w:pPr>
    </w:p>
    <w:p w14:paraId="0CEF8259" w14:textId="77777777" w:rsidR="00A8174D" w:rsidRDefault="00A8174D" w:rsidP="00172423">
      <w:pPr>
        <w:spacing w:line="360" w:lineRule="auto"/>
        <w:jc w:val="both"/>
      </w:pPr>
    </w:p>
    <w:sectPr w:rsidR="00A8174D">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680D9F" w14:textId="77777777" w:rsidR="008A165A" w:rsidRDefault="008A165A" w:rsidP="00CA577A">
      <w:pPr>
        <w:spacing w:after="0" w:line="240" w:lineRule="auto"/>
      </w:pPr>
      <w:r>
        <w:separator/>
      </w:r>
    </w:p>
  </w:endnote>
  <w:endnote w:type="continuationSeparator" w:id="0">
    <w:p w14:paraId="47677F84" w14:textId="77777777" w:rsidR="008A165A" w:rsidRDefault="008A165A" w:rsidP="00CA57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186496264"/>
      <w:docPartObj>
        <w:docPartGallery w:val="Page Numbers (Bottom of Page)"/>
        <w:docPartUnique/>
      </w:docPartObj>
    </w:sdtPr>
    <w:sdtEndPr>
      <w:rPr>
        <w:noProof/>
      </w:rPr>
    </w:sdtEndPr>
    <w:sdtContent>
      <w:p w14:paraId="4792AA05" w14:textId="77777777" w:rsidR="00CA577A" w:rsidRPr="00CA577A" w:rsidRDefault="00CA577A">
        <w:pPr>
          <w:pStyle w:val="Footer"/>
          <w:jc w:val="right"/>
          <w:rPr>
            <w:b/>
            <w:bCs/>
          </w:rPr>
        </w:pPr>
        <w:r w:rsidRPr="00CA577A">
          <w:rPr>
            <w:b/>
            <w:bCs/>
          </w:rPr>
          <w:fldChar w:fldCharType="begin"/>
        </w:r>
        <w:r w:rsidRPr="00CA577A">
          <w:rPr>
            <w:b/>
            <w:bCs/>
          </w:rPr>
          <w:instrText xml:space="preserve"> PAGE   \* MERGEFORMAT </w:instrText>
        </w:r>
        <w:r w:rsidRPr="00CA577A">
          <w:rPr>
            <w:b/>
            <w:bCs/>
          </w:rPr>
          <w:fldChar w:fldCharType="separate"/>
        </w:r>
        <w:r w:rsidRPr="00CA577A">
          <w:rPr>
            <w:b/>
            <w:bCs/>
            <w:noProof/>
          </w:rPr>
          <w:t>2</w:t>
        </w:r>
        <w:r w:rsidRPr="00CA577A">
          <w:rPr>
            <w:b/>
            <w:bCs/>
            <w:noProof/>
          </w:rPr>
          <w:fldChar w:fldCharType="end"/>
        </w:r>
      </w:p>
    </w:sdtContent>
  </w:sdt>
  <w:p w14:paraId="6091549C" w14:textId="77777777" w:rsidR="00CA577A" w:rsidRDefault="00CA57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22CFC3" w14:textId="77777777" w:rsidR="008A165A" w:rsidRDefault="008A165A" w:rsidP="00CA577A">
      <w:pPr>
        <w:spacing w:after="0" w:line="240" w:lineRule="auto"/>
      </w:pPr>
      <w:r>
        <w:separator/>
      </w:r>
    </w:p>
  </w:footnote>
  <w:footnote w:type="continuationSeparator" w:id="0">
    <w:p w14:paraId="47EA30E9" w14:textId="77777777" w:rsidR="008A165A" w:rsidRDefault="008A165A" w:rsidP="00CA57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97E68"/>
    <w:multiLevelType w:val="multilevel"/>
    <w:tmpl w:val="567C3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7773B"/>
    <w:multiLevelType w:val="multilevel"/>
    <w:tmpl w:val="A60476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721309"/>
    <w:multiLevelType w:val="multilevel"/>
    <w:tmpl w:val="F3D0F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7528B9"/>
    <w:multiLevelType w:val="multilevel"/>
    <w:tmpl w:val="D2CC8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AA129F"/>
    <w:multiLevelType w:val="multilevel"/>
    <w:tmpl w:val="45E27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5E2A6D"/>
    <w:multiLevelType w:val="multilevel"/>
    <w:tmpl w:val="95183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662B0E"/>
    <w:multiLevelType w:val="multilevel"/>
    <w:tmpl w:val="CA828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B41B9E"/>
    <w:multiLevelType w:val="multilevel"/>
    <w:tmpl w:val="6A06F8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001300"/>
    <w:multiLevelType w:val="multilevel"/>
    <w:tmpl w:val="3B9C3D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3BA662E"/>
    <w:multiLevelType w:val="multilevel"/>
    <w:tmpl w:val="65E0A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2C47775"/>
    <w:multiLevelType w:val="multilevel"/>
    <w:tmpl w:val="3872D2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BE63F25"/>
    <w:multiLevelType w:val="multilevel"/>
    <w:tmpl w:val="66A66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5456452"/>
    <w:multiLevelType w:val="multilevel"/>
    <w:tmpl w:val="D3A4E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F42EAC"/>
    <w:multiLevelType w:val="multilevel"/>
    <w:tmpl w:val="7666B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0EB2EE3"/>
    <w:multiLevelType w:val="multilevel"/>
    <w:tmpl w:val="DBC6D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38B7176"/>
    <w:multiLevelType w:val="multilevel"/>
    <w:tmpl w:val="1D4A1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73A3F7E"/>
    <w:multiLevelType w:val="multilevel"/>
    <w:tmpl w:val="1C7C1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93251E8"/>
    <w:multiLevelType w:val="multilevel"/>
    <w:tmpl w:val="04709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3611773">
    <w:abstractNumId w:val="16"/>
  </w:num>
  <w:num w:numId="2" w16cid:durableId="664747793">
    <w:abstractNumId w:val="3"/>
  </w:num>
  <w:num w:numId="3" w16cid:durableId="648872534">
    <w:abstractNumId w:val="8"/>
  </w:num>
  <w:num w:numId="4" w16cid:durableId="445663698">
    <w:abstractNumId w:val="15"/>
  </w:num>
  <w:num w:numId="5" w16cid:durableId="1215770525">
    <w:abstractNumId w:val="14"/>
  </w:num>
  <w:num w:numId="6" w16cid:durableId="704453244">
    <w:abstractNumId w:val="12"/>
  </w:num>
  <w:num w:numId="7" w16cid:durableId="2066876257">
    <w:abstractNumId w:val="9"/>
  </w:num>
  <w:num w:numId="8" w16cid:durableId="1065910073">
    <w:abstractNumId w:val="11"/>
  </w:num>
  <w:num w:numId="9" w16cid:durableId="1647394409">
    <w:abstractNumId w:val="4"/>
  </w:num>
  <w:num w:numId="10" w16cid:durableId="812023010">
    <w:abstractNumId w:val="5"/>
  </w:num>
  <w:num w:numId="11" w16cid:durableId="1160540121">
    <w:abstractNumId w:val="1"/>
  </w:num>
  <w:num w:numId="12" w16cid:durableId="1913461333">
    <w:abstractNumId w:val="7"/>
  </w:num>
  <w:num w:numId="13" w16cid:durableId="908463003">
    <w:abstractNumId w:val="10"/>
  </w:num>
  <w:num w:numId="14" w16cid:durableId="25103016">
    <w:abstractNumId w:val="17"/>
  </w:num>
  <w:num w:numId="15" w16cid:durableId="365757105">
    <w:abstractNumId w:val="6"/>
  </w:num>
  <w:num w:numId="16" w16cid:durableId="1942450893">
    <w:abstractNumId w:val="13"/>
  </w:num>
  <w:num w:numId="17" w16cid:durableId="1300454475">
    <w:abstractNumId w:val="0"/>
  </w:num>
  <w:num w:numId="18" w16cid:durableId="12902775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9CD"/>
    <w:rsid w:val="00016C4C"/>
    <w:rsid w:val="00023BE2"/>
    <w:rsid w:val="0008592E"/>
    <w:rsid w:val="000A4FCC"/>
    <w:rsid w:val="000B2729"/>
    <w:rsid w:val="001720C2"/>
    <w:rsid w:val="00172423"/>
    <w:rsid w:val="00191423"/>
    <w:rsid w:val="001B6FEB"/>
    <w:rsid w:val="00211A00"/>
    <w:rsid w:val="002C19E7"/>
    <w:rsid w:val="002C7F17"/>
    <w:rsid w:val="002E1A1D"/>
    <w:rsid w:val="003244EE"/>
    <w:rsid w:val="0032603E"/>
    <w:rsid w:val="00327802"/>
    <w:rsid w:val="00361B30"/>
    <w:rsid w:val="00374ECE"/>
    <w:rsid w:val="00377F11"/>
    <w:rsid w:val="003B2A6F"/>
    <w:rsid w:val="003E0B2B"/>
    <w:rsid w:val="004822F3"/>
    <w:rsid w:val="004D0820"/>
    <w:rsid w:val="005056E5"/>
    <w:rsid w:val="00555D4F"/>
    <w:rsid w:val="005A1283"/>
    <w:rsid w:val="005D19DF"/>
    <w:rsid w:val="005E2439"/>
    <w:rsid w:val="006137CA"/>
    <w:rsid w:val="00640038"/>
    <w:rsid w:val="00652131"/>
    <w:rsid w:val="006A1318"/>
    <w:rsid w:val="007845A5"/>
    <w:rsid w:val="00793D1A"/>
    <w:rsid w:val="007D0B58"/>
    <w:rsid w:val="008179CD"/>
    <w:rsid w:val="0082532E"/>
    <w:rsid w:val="00886367"/>
    <w:rsid w:val="00886EFF"/>
    <w:rsid w:val="008A165A"/>
    <w:rsid w:val="008D0CF5"/>
    <w:rsid w:val="00916AD3"/>
    <w:rsid w:val="00973B1E"/>
    <w:rsid w:val="0098433D"/>
    <w:rsid w:val="009935DB"/>
    <w:rsid w:val="009C7505"/>
    <w:rsid w:val="00A167F5"/>
    <w:rsid w:val="00A8174D"/>
    <w:rsid w:val="00A96010"/>
    <w:rsid w:val="00AB7C1E"/>
    <w:rsid w:val="00AD33F6"/>
    <w:rsid w:val="00B2474C"/>
    <w:rsid w:val="00B60F00"/>
    <w:rsid w:val="00BA16FC"/>
    <w:rsid w:val="00BE52CD"/>
    <w:rsid w:val="00C12CB3"/>
    <w:rsid w:val="00C87EC2"/>
    <w:rsid w:val="00C9751E"/>
    <w:rsid w:val="00CA577A"/>
    <w:rsid w:val="00CD1C9E"/>
    <w:rsid w:val="00D32C1A"/>
    <w:rsid w:val="00D66E87"/>
    <w:rsid w:val="00D74A31"/>
    <w:rsid w:val="00D83AD0"/>
    <w:rsid w:val="00D90C8F"/>
    <w:rsid w:val="00E06087"/>
    <w:rsid w:val="00E32A16"/>
    <w:rsid w:val="00E475D5"/>
    <w:rsid w:val="00E47D99"/>
    <w:rsid w:val="00F403B7"/>
    <w:rsid w:val="00F61188"/>
    <w:rsid w:val="00F66AC0"/>
    <w:rsid w:val="00F73B2D"/>
    <w:rsid w:val="00F81B2D"/>
    <w:rsid w:val="00F903EB"/>
    <w:rsid w:val="00FD626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D1A62C"/>
  <w15:chartTrackingRefBased/>
  <w15:docId w15:val="{60C0A7D3-185D-4C45-B082-1CA20F8BCC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7D99"/>
    <w:pPr>
      <w:spacing w:line="278" w:lineRule="auto"/>
    </w:pPr>
    <w:rPr>
      <w:rFonts w:asciiTheme="majorBidi" w:hAnsiTheme="majorBidi"/>
      <w:sz w:val="24"/>
      <w:szCs w:val="24"/>
    </w:rPr>
  </w:style>
  <w:style w:type="paragraph" w:styleId="Heading1">
    <w:name w:val="heading 1"/>
    <w:basedOn w:val="Normal"/>
    <w:next w:val="Normal"/>
    <w:link w:val="Heading1Char"/>
    <w:autoRedefine/>
    <w:uiPriority w:val="9"/>
    <w:qFormat/>
    <w:rsid w:val="00F403B7"/>
    <w:pPr>
      <w:keepNext/>
      <w:keepLines/>
      <w:spacing w:before="240" w:after="0" w:line="240" w:lineRule="auto"/>
      <w:jc w:val="both"/>
      <w:outlineLvl w:val="0"/>
    </w:pPr>
    <w:rPr>
      <w:rFonts w:eastAsiaTheme="majorEastAsia" w:cstheme="majorBidi"/>
      <w:b/>
      <w:color w:val="262626" w:themeColor="text1" w:themeTint="D9"/>
      <w:sz w:val="32"/>
      <w:szCs w:val="32"/>
      <w:lang w:val="en-GB" w:eastAsia="zh-CN"/>
    </w:rPr>
  </w:style>
  <w:style w:type="paragraph" w:styleId="Heading2">
    <w:name w:val="heading 2"/>
    <w:basedOn w:val="Normal"/>
    <w:next w:val="Normal"/>
    <w:link w:val="Heading2Char"/>
    <w:autoRedefine/>
    <w:unhideWhenUsed/>
    <w:qFormat/>
    <w:rsid w:val="00652131"/>
    <w:pPr>
      <w:keepNext/>
      <w:keepLines/>
      <w:spacing w:before="260" w:after="260" w:line="416" w:lineRule="auto"/>
      <w:outlineLvl w:val="1"/>
    </w:pPr>
    <w:rPr>
      <w:rFonts w:eastAsiaTheme="minorEastAsia"/>
      <w:b/>
      <w:bCs/>
      <w:i/>
      <w:kern w:val="0"/>
      <w:sz w:val="28"/>
      <w:szCs w:val="32"/>
      <w:lang w:val="en-GB" w:eastAsia="zh-CN"/>
      <w14:ligatures w14:val="none"/>
    </w:rPr>
  </w:style>
  <w:style w:type="paragraph" w:styleId="Heading3">
    <w:name w:val="heading 3"/>
    <w:next w:val="Normal"/>
    <w:link w:val="Heading3Char"/>
    <w:autoRedefine/>
    <w:semiHidden/>
    <w:unhideWhenUsed/>
    <w:qFormat/>
    <w:rsid w:val="00652131"/>
    <w:pPr>
      <w:spacing w:beforeAutospacing="1" w:after="0" w:afterAutospacing="1" w:line="240" w:lineRule="auto"/>
      <w:outlineLvl w:val="2"/>
    </w:pPr>
    <w:rPr>
      <w:rFonts w:asciiTheme="majorBidi" w:eastAsia="SimSun" w:hAnsiTheme="majorBidi" w:cs="Times New Roman" w:hint="eastAsia"/>
      <w:b/>
      <w:bCs/>
      <w:kern w:val="0"/>
      <w:sz w:val="24"/>
      <w:szCs w:val="27"/>
      <w:lang w:eastAsia="zh-CN"/>
      <w14:ligatures w14:val="none"/>
    </w:rPr>
  </w:style>
  <w:style w:type="paragraph" w:styleId="Heading4">
    <w:name w:val="heading 4"/>
    <w:basedOn w:val="Normal"/>
    <w:next w:val="Normal"/>
    <w:link w:val="Heading4Char"/>
    <w:uiPriority w:val="9"/>
    <w:semiHidden/>
    <w:unhideWhenUsed/>
    <w:qFormat/>
    <w:rsid w:val="008179CD"/>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179C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179C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179C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179C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179C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03B7"/>
    <w:rPr>
      <w:rFonts w:asciiTheme="majorBidi" w:eastAsiaTheme="majorEastAsia" w:hAnsiTheme="majorBidi" w:cstheme="majorBidi"/>
      <w:b/>
      <w:color w:val="262626" w:themeColor="text1" w:themeTint="D9"/>
      <w:sz w:val="32"/>
      <w:szCs w:val="32"/>
      <w:lang w:val="en-GB" w:eastAsia="zh-CN"/>
    </w:rPr>
  </w:style>
  <w:style w:type="character" w:customStyle="1" w:styleId="Heading2Char">
    <w:name w:val="Heading 2 Char"/>
    <w:basedOn w:val="DefaultParagraphFont"/>
    <w:link w:val="Heading2"/>
    <w:rsid w:val="00652131"/>
    <w:rPr>
      <w:rFonts w:asciiTheme="majorBidi" w:eastAsiaTheme="minorEastAsia" w:hAnsiTheme="majorBidi"/>
      <w:b/>
      <w:bCs/>
      <w:i/>
      <w:kern w:val="0"/>
      <w:sz w:val="28"/>
      <w:szCs w:val="32"/>
      <w:lang w:val="en-GB" w:eastAsia="zh-CN"/>
      <w14:ligatures w14:val="none"/>
    </w:rPr>
  </w:style>
  <w:style w:type="paragraph" w:styleId="Title">
    <w:name w:val="Title"/>
    <w:basedOn w:val="Normal"/>
    <w:next w:val="Normal"/>
    <w:link w:val="TitleChar"/>
    <w:autoRedefine/>
    <w:uiPriority w:val="10"/>
    <w:qFormat/>
    <w:rsid w:val="004D0820"/>
    <w:pPr>
      <w:spacing w:after="0" w:line="240" w:lineRule="auto"/>
      <w:contextualSpacing/>
    </w:pPr>
    <w:rPr>
      <w:rFonts w:ascii="Arial Black" w:eastAsiaTheme="majorEastAsia" w:hAnsi="Arial Black" w:cstheme="majorBidi"/>
      <w:spacing w:val="-10"/>
      <w:kern w:val="28"/>
      <w:sz w:val="56"/>
      <w:szCs w:val="56"/>
    </w:rPr>
  </w:style>
  <w:style w:type="character" w:customStyle="1" w:styleId="TitleChar">
    <w:name w:val="Title Char"/>
    <w:basedOn w:val="DefaultParagraphFont"/>
    <w:link w:val="Title"/>
    <w:uiPriority w:val="10"/>
    <w:rsid w:val="004D0820"/>
    <w:rPr>
      <w:rFonts w:ascii="Arial Black" w:eastAsiaTheme="majorEastAsia" w:hAnsi="Arial Black" w:cstheme="majorBidi"/>
      <w:spacing w:val="-10"/>
      <w:kern w:val="28"/>
      <w:sz w:val="56"/>
      <w:szCs w:val="56"/>
    </w:rPr>
  </w:style>
  <w:style w:type="character" w:customStyle="1" w:styleId="Heading3Char">
    <w:name w:val="Heading 3 Char"/>
    <w:basedOn w:val="DefaultParagraphFont"/>
    <w:link w:val="Heading3"/>
    <w:semiHidden/>
    <w:rsid w:val="00652131"/>
    <w:rPr>
      <w:rFonts w:asciiTheme="majorBidi" w:eastAsia="SimSun" w:hAnsiTheme="majorBidi" w:cs="Times New Roman"/>
      <w:b/>
      <w:bCs/>
      <w:kern w:val="0"/>
      <w:sz w:val="24"/>
      <w:szCs w:val="27"/>
      <w:lang w:eastAsia="zh-CN"/>
      <w14:ligatures w14:val="none"/>
    </w:rPr>
  </w:style>
  <w:style w:type="character" w:customStyle="1" w:styleId="Heading4Char">
    <w:name w:val="Heading 4 Char"/>
    <w:basedOn w:val="DefaultParagraphFont"/>
    <w:link w:val="Heading4"/>
    <w:uiPriority w:val="9"/>
    <w:semiHidden/>
    <w:rsid w:val="008179CD"/>
    <w:rPr>
      <w:rFonts w:eastAsiaTheme="majorEastAsia" w:cstheme="majorBidi"/>
      <w:i/>
      <w:iCs/>
      <w:color w:val="2F5496" w:themeColor="accent1" w:themeShade="BF"/>
      <w:sz w:val="24"/>
      <w:szCs w:val="24"/>
    </w:rPr>
  </w:style>
  <w:style w:type="character" w:customStyle="1" w:styleId="Heading5Char">
    <w:name w:val="Heading 5 Char"/>
    <w:basedOn w:val="DefaultParagraphFont"/>
    <w:link w:val="Heading5"/>
    <w:uiPriority w:val="9"/>
    <w:semiHidden/>
    <w:rsid w:val="008179CD"/>
    <w:rPr>
      <w:rFonts w:eastAsiaTheme="majorEastAsia" w:cstheme="majorBidi"/>
      <w:color w:val="2F5496" w:themeColor="accent1" w:themeShade="BF"/>
      <w:sz w:val="24"/>
      <w:szCs w:val="24"/>
    </w:rPr>
  </w:style>
  <w:style w:type="character" w:customStyle="1" w:styleId="Heading6Char">
    <w:name w:val="Heading 6 Char"/>
    <w:basedOn w:val="DefaultParagraphFont"/>
    <w:link w:val="Heading6"/>
    <w:uiPriority w:val="9"/>
    <w:semiHidden/>
    <w:rsid w:val="008179CD"/>
    <w:rPr>
      <w:rFonts w:eastAsiaTheme="majorEastAsia" w:cstheme="majorBidi"/>
      <w:i/>
      <w:iCs/>
      <w:color w:val="595959" w:themeColor="text1" w:themeTint="A6"/>
      <w:sz w:val="24"/>
      <w:szCs w:val="24"/>
    </w:rPr>
  </w:style>
  <w:style w:type="character" w:customStyle="1" w:styleId="Heading7Char">
    <w:name w:val="Heading 7 Char"/>
    <w:basedOn w:val="DefaultParagraphFont"/>
    <w:link w:val="Heading7"/>
    <w:uiPriority w:val="9"/>
    <w:semiHidden/>
    <w:rsid w:val="008179CD"/>
    <w:rPr>
      <w:rFonts w:eastAsiaTheme="majorEastAsia"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8179CD"/>
    <w:rPr>
      <w:rFonts w:eastAsiaTheme="majorEastAsia" w:cstheme="majorBidi"/>
      <w:i/>
      <w:iCs/>
      <w:color w:val="272727" w:themeColor="text1" w:themeTint="D8"/>
      <w:sz w:val="24"/>
      <w:szCs w:val="24"/>
    </w:rPr>
  </w:style>
  <w:style w:type="character" w:customStyle="1" w:styleId="Heading9Char">
    <w:name w:val="Heading 9 Char"/>
    <w:basedOn w:val="DefaultParagraphFont"/>
    <w:link w:val="Heading9"/>
    <w:uiPriority w:val="9"/>
    <w:semiHidden/>
    <w:rsid w:val="008179CD"/>
    <w:rPr>
      <w:rFonts w:eastAsiaTheme="majorEastAsia" w:cstheme="majorBidi"/>
      <w:color w:val="272727" w:themeColor="text1" w:themeTint="D8"/>
      <w:sz w:val="24"/>
      <w:szCs w:val="24"/>
    </w:rPr>
  </w:style>
  <w:style w:type="paragraph" w:styleId="Subtitle">
    <w:name w:val="Subtitle"/>
    <w:basedOn w:val="Normal"/>
    <w:next w:val="Normal"/>
    <w:link w:val="SubtitleChar"/>
    <w:uiPriority w:val="11"/>
    <w:qFormat/>
    <w:rsid w:val="008179C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79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79CD"/>
    <w:pPr>
      <w:spacing w:before="160"/>
      <w:jc w:val="center"/>
    </w:pPr>
    <w:rPr>
      <w:i/>
      <w:iCs/>
      <w:color w:val="404040" w:themeColor="text1" w:themeTint="BF"/>
    </w:rPr>
  </w:style>
  <w:style w:type="character" w:customStyle="1" w:styleId="QuoteChar">
    <w:name w:val="Quote Char"/>
    <w:basedOn w:val="DefaultParagraphFont"/>
    <w:link w:val="Quote"/>
    <w:uiPriority w:val="29"/>
    <w:rsid w:val="008179CD"/>
    <w:rPr>
      <w:rFonts w:asciiTheme="majorBidi" w:hAnsiTheme="majorBidi"/>
      <w:i/>
      <w:iCs/>
      <w:color w:val="404040" w:themeColor="text1" w:themeTint="BF"/>
      <w:sz w:val="24"/>
      <w:szCs w:val="24"/>
    </w:rPr>
  </w:style>
  <w:style w:type="paragraph" w:styleId="ListParagraph">
    <w:name w:val="List Paragraph"/>
    <w:basedOn w:val="Normal"/>
    <w:uiPriority w:val="34"/>
    <w:qFormat/>
    <w:rsid w:val="008179CD"/>
    <w:pPr>
      <w:ind w:left="720"/>
      <w:contextualSpacing/>
    </w:pPr>
  </w:style>
  <w:style w:type="character" w:styleId="IntenseEmphasis">
    <w:name w:val="Intense Emphasis"/>
    <w:basedOn w:val="DefaultParagraphFont"/>
    <w:uiPriority w:val="21"/>
    <w:qFormat/>
    <w:rsid w:val="008179CD"/>
    <w:rPr>
      <w:i/>
      <w:iCs/>
      <w:color w:val="2F5496" w:themeColor="accent1" w:themeShade="BF"/>
    </w:rPr>
  </w:style>
  <w:style w:type="paragraph" w:styleId="IntenseQuote">
    <w:name w:val="Intense Quote"/>
    <w:basedOn w:val="Normal"/>
    <w:next w:val="Normal"/>
    <w:link w:val="IntenseQuoteChar"/>
    <w:uiPriority w:val="30"/>
    <w:qFormat/>
    <w:rsid w:val="008179C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179CD"/>
    <w:rPr>
      <w:rFonts w:asciiTheme="majorBidi" w:hAnsiTheme="majorBidi"/>
      <w:i/>
      <w:iCs/>
      <w:color w:val="2F5496" w:themeColor="accent1" w:themeShade="BF"/>
      <w:sz w:val="24"/>
      <w:szCs w:val="24"/>
    </w:rPr>
  </w:style>
  <w:style w:type="character" w:styleId="IntenseReference">
    <w:name w:val="Intense Reference"/>
    <w:basedOn w:val="DefaultParagraphFont"/>
    <w:uiPriority w:val="32"/>
    <w:qFormat/>
    <w:rsid w:val="008179CD"/>
    <w:rPr>
      <w:b/>
      <w:bCs/>
      <w:smallCaps/>
      <w:color w:val="2F5496" w:themeColor="accent1" w:themeShade="BF"/>
      <w:spacing w:val="5"/>
    </w:rPr>
  </w:style>
  <w:style w:type="character" w:styleId="Hyperlink">
    <w:name w:val="Hyperlink"/>
    <w:basedOn w:val="DefaultParagraphFont"/>
    <w:uiPriority w:val="99"/>
    <w:unhideWhenUsed/>
    <w:rsid w:val="0082532E"/>
    <w:rPr>
      <w:color w:val="0563C1" w:themeColor="hyperlink"/>
      <w:u w:val="single"/>
    </w:rPr>
  </w:style>
  <w:style w:type="character" w:styleId="UnresolvedMention">
    <w:name w:val="Unresolved Mention"/>
    <w:basedOn w:val="DefaultParagraphFont"/>
    <w:uiPriority w:val="99"/>
    <w:semiHidden/>
    <w:unhideWhenUsed/>
    <w:rsid w:val="0082532E"/>
    <w:rPr>
      <w:color w:val="605E5C"/>
      <w:shd w:val="clear" w:color="auto" w:fill="E1DFDD"/>
    </w:rPr>
  </w:style>
  <w:style w:type="table" w:styleId="PlainTable2">
    <w:name w:val="Plain Table 2"/>
    <w:basedOn w:val="TableNormal"/>
    <w:uiPriority w:val="42"/>
    <w:rsid w:val="0082532E"/>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FollowedHyperlink">
    <w:name w:val="FollowedHyperlink"/>
    <w:basedOn w:val="DefaultParagraphFont"/>
    <w:uiPriority w:val="99"/>
    <w:semiHidden/>
    <w:unhideWhenUsed/>
    <w:rsid w:val="00211A00"/>
    <w:rPr>
      <w:color w:val="954F72" w:themeColor="followedHyperlink"/>
      <w:u w:val="single"/>
    </w:rPr>
  </w:style>
  <w:style w:type="paragraph" w:styleId="Bibliography">
    <w:name w:val="Bibliography"/>
    <w:basedOn w:val="Normal"/>
    <w:next w:val="Normal"/>
    <w:uiPriority w:val="37"/>
    <w:unhideWhenUsed/>
    <w:rsid w:val="00916AD3"/>
  </w:style>
  <w:style w:type="paragraph" w:styleId="TOCHeading">
    <w:name w:val="TOC Heading"/>
    <w:basedOn w:val="Heading1"/>
    <w:next w:val="Normal"/>
    <w:uiPriority w:val="39"/>
    <w:unhideWhenUsed/>
    <w:qFormat/>
    <w:rsid w:val="00F61188"/>
    <w:pPr>
      <w:spacing w:line="259" w:lineRule="auto"/>
      <w:jc w:val="left"/>
      <w:outlineLvl w:val="9"/>
    </w:pPr>
    <w:rPr>
      <w:rFonts w:asciiTheme="majorHAnsi" w:hAnsiTheme="majorHAnsi"/>
      <w:b w:val="0"/>
      <w:color w:val="2F5496" w:themeColor="accent1" w:themeShade="BF"/>
      <w:kern w:val="0"/>
      <w:lang w:val="en-US" w:eastAsia="en-US"/>
      <w14:ligatures w14:val="none"/>
    </w:rPr>
  </w:style>
  <w:style w:type="paragraph" w:styleId="TOC1">
    <w:name w:val="toc 1"/>
    <w:basedOn w:val="Normal"/>
    <w:next w:val="Normal"/>
    <w:autoRedefine/>
    <w:uiPriority w:val="39"/>
    <w:unhideWhenUsed/>
    <w:rsid w:val="00F61188"/>
    <w:pPr>
      <w:spacing w:after="100"/>
    </w:pPr>
  </w:style>
  <w:style w:type="paragraph" w:styleId="TOC2">
    <w:name w:val="toc 2"/>
    <w:basedOn w:val="Normal"/>
    <w:next w:val="Normal"/>
    <w:autoRedefine/>
    <w:uiPriority w:val="39"/>
    <w:unhideWhenUsed/>
    <w:rsid w:val="00F61188"/>
    <w:pPr>
      <w:spacing w:after="100"/>
      <w:ind w:left="240"/>
    </w:pPr>
  </w:style>
  <w:style w:type="paragraph" w:styleId="Header">
    <w:name w:val="header"/>
    <w:basedOn w:val="Normal"/>
    <w:link w:val="HeaderChar"/>
    <w:uiPriority w:val="99"/>
    <w:unhideWhenUsed/>
    <w:rsid w:val="00CA577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A577A"/>
    <w:rPr>
      <w:rFonts w:asciiTheme="majorBidi" w:hAnsiTheme="majorBidi"/>
      <w:sz w:val="24"/>
      <w:szCs w:val="24"/>
    </w:rPr>
  </w:style>
  <w:style w:type="paragraph" w:styleId="Footer">
    <w:name w:val="footer"/>
    <w:basedOn w:val="Normal"/>
    <w:link w:val="FooterChar"/>
    <w:uiPriority w:val="99"/>
    <w:unhideWhenUsed/>
    <w:rsid w:val="00CA57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A577A"/>
    <w:rPr>
      <w:rFonts w:asciiTheme="majorBidi" w:hAnsiTheme="majorBid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069959">
      <w:bodyDiv w:val="1"/>
      <w:marLeft w:val="0"/>
      <w:marRight w:val="0"/>
      <w:marTop w:val="0"/>
      <w:marBottom w:val="0"/>
      <w:divBdr>
        <w:top w:val="none" w:sz="0" w:space="0" w:color="auto"/>
        <w:left w:val="none" w:sz="0" w:space="0" w:color="auto"/>
        <w:bottom w:val="none" w:sz="0" w:space="0" w:color="auto"/>
        <w:right w:val="none" w:sz="0" w:space="0" w:color="auto"/>
      </w:divBdr>
    </w:div>
    <w:div w:id="50226963">
      <w:bodyDiv w:val="1"/>
      <w:marLeft w:val="0"/>
      <w:marRight w:val="0"/>
      <w:marTop w:val="0"/>
      <w:marBottom w:val="0"/>
      <w:divBdr>
        <w:top w:val="none" w:sz="0" w:space="0" w:color="auto"/>
        <w:left w:val="none" w:sz="0" w:space="0" w:color="auto"/>
        <w:bottom w:val="none" w:sz="0" w:space="0" w:color="auto"/>
        <w:right w:val="none" w:sz="0" w:space="0" w:color="auto"/>
      </w:divBdr>
    </w:div>
    <w:div w:id="70127572">
      <w:bodyDiv w:val="1"/>
      <w:marLeft w:val="0"/>
      <w:marRight w:val="0"/>
      <w:marTop w:val="0"/>
      <w:marBottom w:val="0"/>
      <w:divBdr>
        <w:top w:val="none" w:sz="0" w:space="0" w:color="auto"/>
        <w:left w:val="none" w:sz="0" w:space="0" w:color="auto"/>
        <w:bottom w:val="none" w:sz="0" w:space="0" w:color="auto"/>
        <w:right w:val="none" w:sz="0" w:space="0" w:color="auto"/>
      </w:divBdr>
    </w:div>
    <w:div w:id="74984309">
      <w:bodyDiv w:val="1"/>
      <w:marLeft w:val="0"/>
      <w:marRight w:val="0"/>
      <w:marTop w:val="0"/>
      <w:marBottom w:val="0"/>
      <w:divBdr>
        <w:top w:val="none" w:sz="0" w:space="0" w:color="auto"/>
        <w:left w:val="none" w:sz="0" w:space="0" w:color="auto"/>
        <w:bottom w:val="none" w:sz="0" w:space="0" w:color="auto"/>
        <w:right w:val="none" w:sz="0" w:space="0" w:color="auto"/>
      </w:divBdr>
    </w:div>
    <w:div w:id="121578311">
      <w:bodyDiv w:val="1"/>
      <w:marLeft w:val="0"/>
      <w:marRight w:val="0"/>
      <w:marTop w:val="0"/>
      <w:marBottom w:val="0"/>
      <w:divBdr>
        <w:top w:val="none" w:sz="0" w:space="0" w:color="auto"/>
        <w:left w:val="none" w:sz="0" w:space="0" w:color="auto"/>
        <w:bottom w:val="none" w:sz="0" w:space="0" w:color="auto"/>
        <w:right w:val="none" w:sz="0" w:space="0" w:color="auto"/>
      </w:divBdr>
    </w:div>
    <w:div w:id="133569434">
      <w:bodyDiv w:val="1"/>
      <w:marLeft w:val="0"/>
      <w:marRight w:val="0"/>
      <w:marTop w:val="0"/>
      <w:marBottom w:val="0"/>
      <w:divBdr>
        <w:top w:val="none" w:sz="0" w:space="0" w:color="auto"/>
        <w:left w:val="none" w:sz="0" w:space="0" w:color="auto"/>
        <w:bottom w:val="none" w:sz="0" w:space="0" w:color="auto"/>
        <w:right w:val="none" w:sz="0" w:space="0" w:color="auto"/>
      </w:divBdr>
    </w:div>
    <w:div w:id="138694520">
      <w:bodyDiv w:val="1"/>
      <w:marLeft w:val="0"/>
      <w:marRight w:val="0"/>
      <w:marTop w:val="0"/>
      <w:marBottom w:val="0"/>
      <w:divBdr>
        <w:top w:val="none" w:sz="0" w:space="0" w:color="auto"/>
        <w:left w:val="none" w:sz="0" w:space="0" w:color="auto"/>
        <w:bottom w:val="none" w:sz="0" w:space="0" w:color="auto"/>
        <w:right w:val="none" w:sz="0" w:space="0" w:color="auto"/>
      </w:divBdr>
    </w:div>
    <w:div w:id="167402249">
      <w:bodyDiv w:val="1"/>
      <w:marLeft w:val="0"/>
      <w:marRight w:val="0"/>
      <w:marTop w:val="0"/>
      <w:marBottom w:val="0"/>
      <w:divBdr>
        <w:top w:val="none" w:sz="0" w:space="0" w:color="auto"/>
        <w:left w:val="none" w:sz="0" w:space="0" w:color="auto"/>
        <w:bottom w:val="none" w:sz="0" w:space="0" w:color="auto"/>
        <w:right w:val="none" w:sz="0" w:space="0" w:color="auto"/>
      </w:divBdr>
    </w:div>
    <w:div w:id="191037569">
      <w:bodyDiv w:val="1"/>
      <w:marLeft w:val="0"/>
      <w:marRight w:val="0"/>
      <w:marTop w:val="0"/>
      <w:marBottom w:val="0"/>
      <w:divBdr>
        <w:top w:val="none" w:sz="0" w:space="0" w:color="auto"/>
        <w:left w:val="none" w:sz="0" w:space="0" w:color="auto"/>
        <w:bottom w:val="none" w:sz="0" w:space="0" w:color="auto"/>
        <w:right w:val="none" w:sz="0" w:space="0" w:color="auto"/>
      </w:divBdr>
    </w:div>
    <w:div w:id="193924095">
      <w:bodyDiv w:val="1"/>
      <w:marLeft w:val="0"/>
      <w:marRight w:val="0"/>
      <w:marTop w:val="0"/>
      <w:marBottom w:val="0"/>
      <w:divBdr>
        <w:top w:val="none" w:sz="0" w:space="0" w:color="auto"/>
        <w:left w:val="none" w:sz="0" w:space="0" w:color="auto"/>
        <w:bottom w:val="none" w:sz="0" w:space="0" w:color="auto"/>
        <w:right w:val="none" w:sz="0" w:space="0" w:color="auto"/>
      </w:divBdr>
    </w:div>
    <w:div w:id="200828888">
      <w:bodyDiv w:val="1"/>
      <w:marLeft w:val="0"/>
      <w:marRight w:val="0"/>
      <w:marTop w:val="0"/>
      <w:marBottom w:val="0"/>
      <w:divBdr>
        <w:top w:val="none" w:sz="0" w:space="0" w:color="auto"/>
        <w:left w:val="none" w:sz="0" w:space="0" w:color="auto"/>
        <w:bottom w:val="none" w:sz="0" w:space="0" w:color="auto"/>
        <w:right w:val="none" w:sz="0" w:space="0" w:color="auto"/>
      </w:divBdr>
    </w:div>
    <w:div w:id="296498479">
      <w:bodyDiv w:val="1"/>
      <w:marLeft w:val="0"/>
      <w:marRight w:val="0"/>
      <w:marTop w:val="0"/>
      <w:marBottom w:val="0"/>
      <w:divBdr>
        <w:top w:val="none" w:sz="0" w:space="0" w:color="auto"/>
        <w:left w:val="none" w:sz="0" w:space="0" w:color="auto"/>
        <w:bottom w:val="none" w:sz="0" w:space="0" w:color="auto"/>
        <w:right w:val="none" w:sz="0" w:space="0" w:color="auto"/>
      </w:divBdr>
    </w:div>
    <w:div w:id="344133882">
      <w:bodyDiv w:val="1"/>
      <w:marLeft w:val="0"/>
      <w:marRight w:val="0"/>
      <w:marTop w:val="0"/>
      <w:marBottom w:val="0"/>
      <w:divBdr>
        <w:top w:val="none" w:sz="0" w:space="0" w:color="auto"/>
        <w:left w:val="none" w:sz="0" w:space="0" w:color="auto"/>
        <w:bottom w:val="none" w:sz="0" w:space="0" w:color="auto"/>
        <w:right w:val="none" w:sz="0" w:space="0" w:color="auto"/>
      </w:divBdr>
    </w:div>
    <w:div w:id="362246538">
      <w:bodyDiv w:val="1"/>
      <w:marLeft w:val="0"/>
      <w:marRight w:val="0"/>
      <w:marTop w:val="0"/>
      <w:marBottom w:val="0"/>
      <w:divBdr>
        <w:top w:val="none" w:sz="0" w:space="0" w:color="auto"/>
        <w:left w:val="none" w:sz="0" w:space="0" w:color="auto"/>
        <w:bottom w:val="none" w:sz="0" w:space="0" w:color="auto"/>
        <w:right w:val="none" w:sz="0" w:space="0" w:color="auto"/>
      </w:divBdr>
    </w:div>
    <w:div w:id="362249926">
      <w:bodyDiv w:val="1"/>
      <w:marLeft w:val="0"/>
      <w:marRight w:val="0"/>
      <w:marTop w:val="0"/>
      <w:marBottom w:val="0"/>
      <w:divBdr>
        <w:top w:val="none" w:sz="0" w:space="0" w:color="auto"/>
        <w:left w:val="none" w:sz="0" w:space="0" w:color="auto"/>
        <w:bottom w:val="none" w:sz="0" w:space="0" w:color="auto"/>
        <w:right w:val="none" w:sz="0" w:space="0" w:color="auto"/>
      </w:divBdr>
    </w:div>
    <w:div w:id="391537882">
      <w:bodyDiv w:val="1"/>
      <w:marLeft w:val="0"/>
      <w:marRight w:val="0"/>
      <w:marTop w:val="0"/>
      <w:marBottom w:val="0"/>
      <w:divBdr>
        <w:top w:val="none" w:sz="0" w:space="0" w:color="auto"/>
        <w:left w:val="none" w:sz="0" w:space="0" w:color="auto"/>
        <w:bottom w:val="none" w:sz="0" w:space="0" w:color="auto"/>
        <w:right w:val="none" w:sz="0" w:space="0" w:color="auto"/>
      </w:divBdr>
    </w:div>
    <w:div w:id="430128457">
      <w:bodyDiv w:val="1"/>
      <w:marLeft w:val="0"/>
      <w:marRight w:val="0"/>
      <w:marTop w:val="0"/>
      <w:marBottom w:val="0"/>
      <w:divBdr>
        <w:top w:val="none" w:sz="0" w:space="0" w:color="auto"/>
        <w:left w:val="none" w:sz="0" w:space="0" w:color="auto"/>
        <w:bottom w:val="none" w:sz="0" w:space="0" w:color="auto"/>
        <w:right w:val="none" w:sz="0" w:space="0" w:color="auto"/>
      </w:divBdr>
    </w:div>
    <w:div w:id="444035428">
      <w:bodyDiv w:val="1"/>
      <w:marLeft w:val="0"/>
      <w:marRight w:val="0"/>
      <w:marTop w:val="0"/>
      <w:marBottom w:val="0"/>
      <w:divBdr>
        <w:top w:val="none" w:sz="0" w:space="0" w:color="auto"/>
        <w:left w:val="none" w:sz="0" w:space="0" w:color="auto"/>
        <w:bottom w:val="none" w:sz="0" w:space="0" w:color="auto"/>
        <w:right w:val="none" w:sz="0" w:space="0" w:color="auto"/>
      </w:divBdr>
    </w:div>
    <w:div w:id="456603722">
      <w:bodyDiv w:val="1"/>
      <w:marLeft w:val="0"/>
      <w:marRight w:val="0"/>
      <w:marTop w:val="0"/>
      <w:marBottom w:val="0"/>
      <w:divBdr>
        <w:top w:val="none" w:sz="0" w:space="0" w:color="auto"/>
        <w:left w:val="none" w:sz="0" w:space="0" w:color="auto"/>
        <w:bottom w:val="none" w:sz="0" w:space="0" w:color="auto"/>
        <w:right w:val="none" w:sz="0" w:space="0" w:color="auto"/>
      </w:divBdr>
    </w:div>
    <w:div w:id="485557846">
      <w:bodyDiv w:val="1"/>
      <w:marLeft w:val="0"/>
      <w:marRight w:val="0"/>
      <w:marTop w:val="0"/>
      <w:marBottom w:val="0"/>
      <w:divBdr>
        <w:top w:val="none" w:sz="0" w:space="0" w:color="auto"/>
        <w:left w:val="none" w:sz="0" w:space="0" w:color="auto"/>
        <w:bottom w:val="none" w:sz="0" w:space="0" w:color="auto"/>
        <w:right w:val="none" w:sz="0" w:space="0" w:color="auto"/>
      </w:divBdr>
    </w:div>
    <w:div w:id="486628977">
      <w:bodyDiv w:val="1"/>
      <w:marLeft w:val="0"/>
      <w:marRight w:val="0"/>
      <w:marTop w:val="0"/>
      <w:marBottom w:val="0"/>
      <w:divBdr>
        <w:top w:val="none" w:sz="0" w:space="0" w:color="auto"/>
        <w:left w:val="none" w:sz="0" w:space="0" w:color="auto"/>
        <w:bottom w:val="none" w:sz="0" w:space="0" w:color="auto"/>
        <w:right w:val="none" w:sz="0" w:space="0" w:color="auto"/>
      </w:divBdr>
    </w:div>
    <w:div w:id="515848117">
      <w:bodyDiv w:val="1"/>
      <w:marLeft w:val="0"/>
      <w:marRight w:val="0"/>
      <w:marTop w:val="0"/>
      <w:marBottom w:val="0"/>
      <w:divBdr>
        <w:top w:val="none" w:sz="0" w:space="0" w:color="auto"/>
        <w:left w:val="none" w:sz="0" w:space="0" w:color="auto"/>
        <w:bottom w:val="none" w:sz="0" w:space="0" w:color="auto"/>
        <w:right w:val="none" w:sz="0" w:space="0" w:color="auto"/>
      </w:divBdr>
    </w:div>
    <w:div w:id="520433418">
      <w:bodyDiv w:val="1"/>
      <w:marLeft w:val="0"/>
      <w:marRight w:val="0"/>
      <w:marTop w:val="0"/>
      <w:marBottom w:val="0"/>
      <w:divBdr>
        <w:top w:val="none" w:sz="0" w:space="0" w:color="auto"/>
        <w:left w:val="none" w:sz="0" w:space="0" w:color="auto"/>
        <w:bottom w:val="none" w:sz="0" w:space="0" w:color="auto"/>
        <w:right w:val="none" w:sz="0" w:space="0" w:color="auto"/>
      </w:divBdr>
    </w:div>
    <w:div w:id="604963946">
      <w:bodyDiv w:val="1"/>
      <w:marLeft w:val="0"/>
      <w:marRight w:val="0"/>
      <w:marTop w:val="0"/>
      <w:marBottom w:val="0"/>
      <w:divBdr>
        <w:top w:val="none" w:sz="0" w:space="0" w:color="auto"/>
        <w:left w:val="none" w:sz="0" w:space="0" w:color="auto"/>
        <w:bottom w:val="none" w:sz="0" w:space="0" w:color="auto"/>
        <w:right w:val="none" w:sz="0" w:space="0" w:color="auto"/>
      </w:divBdr>
    </w:div>
    <w:div w:id="632057712">
      <w:bodyDiv w:val="1"/>
      <w:marLeft w:val="0"/>
      <w:marRight w:val="0"/>
      <w:marTop w:val="0"/>
      <w:marBottom w:val="0"/>
      <w:divBdr>
        <w:top w:val="none" w:sz="0" w:space="0" w:color="auto"/>
        <w:left w:val="none" w:sz="0" w:space="0" w:color="auto"/>
        <w:bottom w:val="none" w:sz="0" w:space="0" w:color="auto"/>
        <w:right w:val="none" w:sz="0" w:space="0" w:color="auto"/>
      </w:divBdr>
    </w:div>
    <w:div w:id="645016469">
      <w:bodyDiv w:val="1"/>
      <w:marLeft w:val="0"/>
      <w:marRight w:val="0"/>
      <w:marTop w:val="0"/>
      <w:marBottom w:val="0"/>
      <w:divBdr>
        <w:top w:val="none" w:sz="0" w:space="0" w:color="auto"/>
        <w:left w:val="none" w:sz="0" w:space="0" w:color="auto"/>
        <w:bottom w:val="none" w:sz="0" w:space="0" w:color="auto"/>
        <w:right w:val="none" w:sz="0" w:space="0" w:color="auto"/>
      </w:divBdr>
    </w:div>
    <w:div w:id="658732527">
      <w:bodyDiv w:val="1"/>
      <w:marLeft w:val="0"/>
      <w:marRight w:val="0"/>
      <w:marTop w:val="0"/>
      <w:marBottom w:val="0"/>
      <w:divBdr>
        <w:top w:val="none" w:sz="0" w:space="0" w:color="auto"/>
        <w:left w:val="none" w:sz="0" w:space="0" w:color="auto"/>
        <w:bottom w:val="none" w:sz="0" w:space="0" w:color="auto"/>
        <w:right w:val="none" w:sz="0" w:space="0" w:color="auto"/>
      </w:divBdr>
    </w:div>
    <w:div w:id="693388497">
      <w:bodyDiv w:val="1"/>
      <w:marLeft w:val="0"/>
      <w:marRight w:val="0"/>
      <w:marTop w:val="0"/>
      <w:marBottom w:val="0"/>
      <w:divBdr>
        <w:top w:val="none" w:sz="0" w:space="0" w:color="auto"/>
        <w:left w:val="none" w:sz="0" w:space="0" w:color="auto"/>
        <w:bottom w:val="none" w:sz="0" w:space="0" w:color="auto"/>
        <w:right w:val="none" w:sz="0" w:space="0" w:color="auto"/>
      </w:divBdr>
    </w:div>
    <w:div w:id="699018407">
      <w:bodyDiv w:val="1"/>
      <w:marLeft w:val="0"/>
      <w:marRight w:val="0"/>
      <w:marTop w:val="0"/>
      <w:marBottom w:val="0"/>
      <w:divBdr>
        <w:top w:val="none" w:sz="0" w:space="0" w:color="auto"/>
        <w:left w:val="none" w:sz="0" w:space="0" w:color="auto"/>
        <w:bottom w:val="none" w:sz="0" w:space="0" w:color="auto"/>
        <w:right w:val="none" w:sz="0" w:space="0" w:color="auto"/>
      </w:divBdr>
      <w:divsChild>
        <w:div w:id="129298014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28861281">
      <w:bodyDiv w:val="1"/>
      <w:marLeft w:val="0"/>
      <w:marRight w:val="0"/>
      <w:marTop w:val="0"/>
      <w:marBottom w:val="0"/>
      <w:divBdr>
        <w:top w:val="none" w:sz="0" w:space="0" w:color="auto"/>
        <w:left w:val="none" w:sz="0" w:space="0" w:color="auto"/>
        <w:bottom w:val="none" w:sz="0" w:space="0" w:color="auto"/>
        <w:right w:val="none" w:sz="0" w:space="0" w:color="auto"/>
      </w:divBdr>
    </w:div>
    <w:div w:id="873463961">
      <w:bodyDiv w:val="1"/>
      <w:marLeft w:val="0"/>
      <w:marRight w:val="0"/>
      <w:marTop w:val="0"/>
      <w:marBottom w:val="0"/>
      <w:divBdr>
        <w:top w:val="none" w:sz="0" w:space="0" w:color="auto"/>
        <w:left w:val="none" w:sz="0" w:space="0" w:color="auto"/>
        <w:bottom w:val="none" w:sz="0" w:space="0" w:color="auto"/>
        <w:right w:val="none" w:sz="0" w:space="0" w:color="auto"/>
      </w:divBdr>
    </w:div>
    <w:div w:id="933635862">
      <w:bodyDiv w:val="1"/>
      <w:marLeft w:val="0"/>
      <w:marRight w:val="0"/>
      <w:marTop w:val="0"/>
      <w:marBottom w:val="0"/>
      <w:divBdr>
        <w:top w:val="none" w:sz="0" w:space="0" w:color="auto"/>
        <w:left w:val="none" w:sz="0" w:space="0" w:color="auto"/>
        <w:bottom w:val="none" w:sz="0" w:space="0" w:color="auto"/>
        <w:right w:val="none" w:sz="0" w:space="0" w:color="auto"/>
      </w:divBdr>
      <w:divsChild>
        <w:div w:id="165571934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83315373">
      <w:bodyDiv w:val="1"/>
      <w:marLeft w:val="0"/>
      <w:marRight w:val="0"/>
      <w:marTop w:val="0"/>
      <w:marBottom w:val="0"/>
      <w:divBdr>
        <w:top w:val="none" w:sz="0" w:space="0" w:color="auto"/>
        <w:left w:val="none" w:sz="0" w:space="0" w:color="auto"/>
        <w:bottom w:val="none" w:sz="0" w:space="0" w:color="auto"/>
        <w:right w:val="none" w:sz="0" w:space="0" w:color="auto"/>
      </w:divBdr>
    </w:div>
    <w:div w:id="990596207">
      <w:bodyDiv w:val="1"/>
      <w:marLeft w:val="0"/>
      <w:marRight w:val="0"/>
      <w:marTop w:val="0"/>
      <w:marBottom w:val="0"/>
      <w:divBdr>
        <w:top w:val="none" w:sz="0" w:space="0" w:color="auto"/>
        <w:left w:val="none" w:sz="0" w:space="0" w:color="auto"/>
        <w:bottom w:val="none" w:sz="0" w:space="0" w:color="auto"/>
        <w:right w:val="none" w:sz="0" w:space="0" w:color="auto"/>
      </w:divBdr>
      <w:divsChild>
        <w:div w:id="122487803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40861428">
      <w:bodyDiv w:val="1"/>
      <w:marLeft w:val="0"/>
      <w:marRight w:val="0"/>
      <w:marTop w:val="0"/>
      <w:marBottom w:val="0"/>
      <w:divBdr>
        <w:top w:val="none" w:sz="0" w:space="0" w:color="auto"/>
        <w:left w:val="none" w:sz="0" w:space="0" w:color="auto"/>
        <w:bottom w:val="none" w:sz="0" w:space="0" w:color="auto"/>
        <w:right w:val="none" w:sz="0" w:space="0" w:color="auto"/>
      </w:divBdr>
    </w:div>
    <w:div w:id="1040975701">
      <w:bodyDiv w:val="1"/>
      <w:marLeft w:val="0"/>
      <w:marRight w:val="0"/>
      <w:marTop w:val="0"/>
      <w:marBottom w:val="0"/>
      <w:divBdr>
        <w:top w:val="none" w:sz="0" w:space="0" w:color="auto"/>
        <w:left w:val="none" w:sz="0" w:space="0" w:color="auto"/>
        <w:bottom w:val="none" w:sz="0" w:space="0" w:color="auto"/>
        <w:right w:val="none" w:sz="0" w:space="0" w:color="auto"/>
      </w:divBdr>
    </w:div>
    <w:div w:id="1098716275">
      <w:bodyDiv w:val="1"/>
      <w:marLeft w:val="0"/>
      <w:marRight w:val="0"/>
      <w:marTop w:val="0"/>
      <w:marBottom w:val="0"/>
      <w:divBdr>
        <w:top w:val="none" w:sz="0" w:space="0" w:color="auto"/>
        <w:left w:val="none" w:sz="0" w:space="0" w:color="auto"/>
        <w:bottom w:val="none" w:sz="0" w:space="0" w:color="auto"/>
        <w:right w:val="none" w:sz="0" w:space="0" w:color="auto"/>
      </w:divBdr>
    </w:div>
    <w:div w:id="1110586052">
      <w:bodyDiv w:val="1"/>
      <w:marLeft w:val="0"/>
      <w:marRight w:val="0"/>
      <w:marTop w:val="0"/>
      <w:marBottom w:val="0"/>
      <w:divBdr>
        <w:top w:val="none" w:sz="0" w:space="0" w:color="auto"/>
        <w:left w:val="none" w:sz="0" w:space="0" w:color="auto"/>
        <w:bottom w:val="none" w:sz="0" w:space="0" w:color="auto"/>
        <w:right w:val="none" w:sz="0" w:space="0" w:color="auto"/>
      </w:divBdr>
    </w:div>
    <w:div w:id="1136024829">
      <w:bodyDiv w:val="1"/>
      <w:marLeft w:val="0"/>
      <w:marRight w:val="0"/>
      <w:marTop w:val="0"/>
      <w:marBottom w:val="0"/>
      <w:divBdr>
        <w:top w:val="none" w:sz="0" w:space="0" w:color="auto"/>
        <w:left w:val="none" w:sz="0" w:space="0" w:color="auto"/>
        <w:bottom w:val="none" w:sz="0" w:space="0" w:color="auto"/>
        <w:right w:val="none" w:sz="0" w:space="0" w:color="auto"/>
      </w:divBdr>
    </w:div>
    <w:div w:id="1212690352">
      <w:bodyDiv w:val="1"/>
      <w:marLeft w:val="0"/>
      <w:marRight w:val="0"/>
      <w:marTop w:val="0"/>
      <w:marBottom w:val="0"/>
      <w:divBdr>
        <w:top w:val="none" w:sz="0" w:space="0" w:color="auto"/>
        <w:left w:val="none" w:sz="0" w:space="0" w:color="auto"/>
        <w:bottom w:val="none" w:sz="0" w:space="0" w:color="auto"/>
        <w:right w:val="none" w:sz="0" w:space="0" w:color="auto"/>
      </w:divBdr>
    </w:div>
    <w:div w:id="1228495085">
      <w:bodyDiv w:val="1"/>
      <w:marLeft w:val="0"/>
      <w:marRight w:val="0"/>
      <w:marTop w:val="0"/>
      <w:marBottom w:val="0"/>
      <w:divBdr>
        <w:top w:val="none" w:sz="0" w:space="0" w:color="auto"/>
        <w:left w:val="none" w:sz="0" w:space="0" w:color="auto"/>
        <w:bottom w:val="none" w:sz="0" w:space="0" w:color="auto"/>
        <w:right w:val="none" w:sz="0" w:space="0" w:color="auto"/>
      </w:divBdr>
    </w:div>
    <w:div w:id="1249803926">
      <w:bodyDiv w:val="1"/>
      <w:marLeft w:val="0"/>
      <w:marRight w:val="0"/>
      <w:marTop w:val="0"/>
      <w:marBottom w:val="0"/>
      <w:divBdr>
        <w:top w:val="none" w:sz="0" w:space="0" w:color="auto"/>
        <w:left w:val="none" w:sz="0" w:space="0" w:color="auto"/>
        <w:bottom w:val="none" w:sz="0" w:space="0" w:color="auto"/>
        <w:right w:val="none" w:sz="0" w:space="0" w:color="auto"/>
      </w:divBdr>
    </w:div>
    <w:div w:id="1357273472">
      <w:bodyDiv w:val="1"/>
      <w:marLeft w:val="0"/>
      <w:marRight w:val="0"/>
      <w:marTop w:val="0"/>
      <w:marBottom w:val="0"/>
      <w:divBdr>
        <w:top w:val="none" w:sz="0" w:space="0" w:color="auto"/>
        <w:left w:val="none" w:sz="0" w:space="0" w:color="auto"/>
        <w:bottom w:val="none" w:sz="0" w:space="0" w:color="auto"/>
        <w:right w:val="none" w:sz="0" w:space="0" w:color="auto"/>
      </w:divBdr>
    </w:div>
    <w:div w:id="1357537009">
      <w:bodyDiv w:val="1"/>
      <w:marLeft w:val="0"/>
      <w:marRight w:val="0"/>
      <w:marTop w:val="0"/>
      <w:marBottom w:val="0"/>
      <w:divBdr>
        <w:top w:val="none" w:sz="0" w:space="0" w:color="auto"/>
        <w:left w:val="none" w:sz="0" w:space="0" w:color="auto"/>
        <w:bottom w:val="none" w:sz="0" w:space="0" w:color="auto"/>
        <w:right w:val="none" w:sz="0" w:space="0" w:color="auto"/>
      </w:divBdr>
    </w:div>
    <w:div w:id="1480345492">
      <w:bodyDiv w:val="1"/>
      <w:marLeft w:val="0"/>
      <w:marRight w:val="0"/>
      <w:marTop w:val="0"/>
      <w:marBottom w:val="0"/>
      <w:divBdr>
        <w:top w:val="none" w:sz="0" w:space="0" w:color="auto"/>
        <w:left w:val="none" w:sz="0" w:space="0" w:color="auto"/>
        <w:bottom w:val="none" w:sz="0" w:space="0" w:color="auto"/>
        <w:right w:val="none" w:sz="0" w:space="0" w:color="auto"/>
      </w:divBdr>
    </w:div>
    <w:div w:id="1506045387">
      <w:bodyDiv w:val="1"/>
      <w:marLeft w:val="0"/>
      <w:marRight w:val="0"/>
      <w:marTop w:val="0"/>
      <w:marBottom w:val="0"/>
      <w:divBdr>
        <w:top w:val="none" w:sz="0" w:space="0" w:color="auto"/>
        <w:left w:val="none" w:sz="0" w:space="0" w:color="auto"/>
        <w:bottom w:val="none" w:sz="0" w:space="0" w:color="auto"/>
        <w:right w:val="none" w:sz="0" w:space="0" w:color="auto"/>
      </w:divBdr>
    </w:div>
    <w:div w:id="1523207852">
      <w:bodyDiv w:val="1"/>
      <w:marLeft w:val="0"/>
      <w:marRight w:val="0"/>
      <w:marTop w:val="0"/>
      <w:marBottom w:val="0"/>
      <w:divBdr>
        <w:top w:val="none" w:sz="0" w:space="0" w:color="auto"/>
        <w:left w:val="none" w:sz="0" w:space="0" w:color="auto"/>
        <w:bottom w:val="none" w:sz="0" w:space="0" w:color="auto"/>
        <w:right w:val="none" w:sz="0" w:space="0" w:color="auto"/>
      </w:divBdr>
    </w:div>
    <w:div w:id="1555121180">
      <w:bodyDiv w:val="1"/>
      <w:marLeft w:val="0"/>
      <w:marRight w:val="0"/>
      <w:marTop w:val="0"/>
      <w:marBottom w:val="0"/>
      <w:divBdr>
        <w:top w:val="none" w:sz="0" w:space="0" w:color="auto"/>
        <w:left w:val="none" w:sz="0" w:space="0" w:color="auto"/>
        <w:bottom w:val="none" w:sz="0" w:space="0" w:color="auto"/>
        <w:right w:val="none" w:sz="0" w:space="0" w:color="auto"/>
      </w:divBdr>
    </w:div>
    <w:div w:id="1616518997">
      <w:bodyDiv w:val="1"/>
      <w:marLeft w:val="0"/>
      <w:marRight w:val="0"/>
      <w:marTop w:val="0"/>
      <w:marBottom w:val="0"/>
      <w:divBdr>
        <w:top w:val="none" w:sz="0" w:space="0" w:color="auto"/>
        <w:left w:val="none" w:sz="0" w:space="0" w:color="auto"/>
        <w:bottom w:val="none" w:sz="0" w:space="0" w:color="auto"/>
        <w:right w:val="none" w:sz="0" w:space="0" w:color="auto"/>
      </w:divBdr>
    </w:div>
    <w:div w:id="1695689311">
      <w:bodyDiv w:val="1"/>
      <w:marLeft w:val="0"/>
      <w:marRight w:val="0"/>
      <w:marTop w:val="0"/>
      <w:marBottom w:val="0"/>
      <w:divBdr>
        <w:top w:val="none" w:sz="0" w:space="0" w:color="auto"/>
        <w:left w:val="none" w:sz="0" w:space="0" w:color="auto"/>
        <w:bottom w:val="none" w:sz="0" w:space="0" w:color="auto"/>
        <w:right w:val="none" w:sz="0" w:space="0" w:color="auto"/>
      </w:divBdr>
    </w:div>
    <w:div w:id="1723164720">
      <w:bodyDiv w:val="1"/>
      <w:marLeft w:val="0"/>
      <w:marRight w:val="0"/>
      <w:marTop w:val="0"/>
      <w:marBottom w:val="0"/>
      <w:divBdr>
        <w:top w:val="none" w:sz="0" w:space="0" w:color="auto"/>
        <w:left w:val="none" w:sz="0" w:space="0" w:color="auto"/>
        <w:bottom w:val="none" w:sz="0" w:space="0" w:color="auto"/>
        <w:right w:val="none" w:sz="0" w:space="0" w:color="auto"/>
      </w:divBdr>
    </w:div>
    <w:div w:id="1737506757">
      <w:bodyDiv w:val="1"/>
      <w:marLeft w:val="0"/>
      <w:marRight w:val="0"/>
      <w:marTop w:val="0"/>
      <w:marBottom w:val="0"/>
      <w:divBdr>
        <w:top w:val="none" w:sz="0" w:space="0" w:color="auto"/>
        <w:left w:val="none" w:sz="0" w:space="0" w:color="auto"/>
        <w:bottom w:val="none" w:sz="0" w:space="0" w:color="auto"/>
        <w:right w:val="none" w:sz="0" w:space="0" w:color="auto"/>
      </w:divBdr>
    </w:div>
    <w:div w:id="1779327784">
      <w:bodyDiv w:val="1"/>
      <w:marLeft w:val="0"/>
      <w:marRight w:val="0"/>
      <w:marTop w:val="0"/>
      <w:marBottom w:val="0"/>
      <w:divBdr>
        <w:top w:val="none" w:sz="0" w:space="0" w:color="auto"/>
        <w:left w:val="none" w:sz="0" w:space="0" w:color="auto"/>
        <w:bottom w:val="none" w:sz="0" w:space="0" w:color="auto"/>
        <w:right w:val="none" w:sz="0" w:space="0" w:color="auto"/>
      </w:divBdr>
    </w:div>
    <w:div w:id="1823814257">
      <w:bodyDiv w:val="1"/>
      <w:marLeft w:val="0"/>
      <w:marRight w:val="0"/>
      <w:marTop w:val="0"/>
      <w:marBottom w:val="0"/>
      <w:divBdr>
        <w:top w:val="none" w:sz="0" w:space="0" w:color="auto"/>
        <w:left w:val="none" w:sz="0" w:space="0" w:color="auto"/>
        <w:bottom w:val="none" w:sz="0" w:space="0" w:color="auto"/>
        <w:right w:val="none" w:sz="0" w:space="0" w:color="auto"/>
      </w:divBdr>
      <w:divsChild>
        <w:div w:id="191223266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28745397">
      <w:bodyDiv w:val="1"/>
      <w:marLeft w:val="0"/>
      <w:marRight w:val="0"/>
      <w:marTop w:val="0"/>
      <w:marBottom w:val="0"/>
      <w:divBdr>
        <w:top w:val="none" w:sz="0" w:space="0" w:color="auto"/>
        <w:left w:val="none" w:sz="0" w:space="0" w:color="auto"/>
        <w:bottom w:val="none" w:sz="0" w:space="0" w:color="auto"/>
        <w:right w:val="none" w:sz="0" w:space="0" w:color="auto"/>
      </w:divBdr>
    </w:div>
    <w:div w:id="1832211778">
      <w:bodyDiv w:val="1"/>
      <w:marLeft w:val="0"/>
      <w:marRight w:val="0"/>
      <w:marTop w:val="0"/>
      <w:marBottom w:val="0"/>
      <w:divBdr>
        <w:top w:val="none" w:sz="0" w:space="0" w:color="auto"/>
        <w:left w:val="none" w:sz="0" w:space="0" w:color="auto"/>
        <w:bottom w:val="none" w:sz="0" w:space="0" w:color="auto"/>
        <w:right w:val="none" w:sz="0" w:space="0" w:color="auto"/>
      </w:divBdr>
    </w:div>
    <w:div w:id="1846820075">
      <w:bodyDiv w:val="1"/>
      <w:marLeft w:val="0"/>
      <w:marRight w:val="0"/>
      <w:marTop w:val="0"/>
      <w:marBottom w:val="0"/>
      <w:divBdr>
        <w:top w:val="none" w:sz="0" w:space="0" w:color="auto"/>
        <w:left w:val="none" w:sz="0" w:space="0" w:color="auto"/>
        <w:bottom w:val="none" w:sz="0" w:space="0" w:color="auto"/>
        <w:right w:val="none" w:sz="0" w:space="0" w:color="auto"/>
      </w:divBdr>
    </w:div>
    <w:div w:id="1870483624">
      <w:bodyDiv w:val="1"/>
      <w:marLeft w:val="0"/>
      <w:marRight w:val="0"/>
      <w:marTop w:val="0"/>
      <w:marBottom w:val="0"/>
      <w:divBdr>
        <w:top w:val="none" w:sz="0" w:space="0" w:color="auto"/>
        <w:left w:val="none" w:sz="0" w:space="0" w:color="auto"/>
        <w:bottom w:val="none" w:sz="0" w:space="0" w:color="auto"/>
        <w:right w:val="none" w:sz="0" w:space="0" w:color="auto"/>
      </w:divBdr>
    </w:div>
    <w:div w:id="1943684110">
      <w:bodyDiv w:val="1"/>
      <w:marLeft w:val="0"/>
      <w:marRight w:val="0"/>
      <w:marTop w:val="0"/>
      <w:marBottom w:val="0"/>
      <w:divBdr>
        <w:top w:val="none" w:sz="0" w:space="0" w:color="auto"/>
        <w:left w:val="none" w:sz="0" w:space="0" w:color="auto"/>
        <w:bottom w:val="none" w:sz="0" w:space="0" w:color="auto"/>
        <w:right w:val="none" w:sz="0" w:space="0" w:color="auto"/>
      </w:divBdr>
    </w:div>
    <w:div w:id="2011368857">
      <w:bodyDiv w:val="1"/>
      <w:marLeft w:val="0"/>
      <w:marRight w:val="0"/>
      <w:marTop w:val="0"/>
      <w:marBottom w:val="0"/>
      <w:divBdr>
        <w:top w:val="none" w:sz="0" w:space="0" w:color="auto"/>
        <w:left w:val="none" w:sz="0" w:space="0" w:color="auto"/>
        <w:bottom w:val="none" w:sz="0" w:space="0" w:color="auto"/>
        <w:right w:val="none" w:sz="0" w:space="0" w:color="auto"/>
      </w:divBdr>
    </w:div>
    <w:div w:id="2065106213">
      <w:bodyDiv w:val="1"/>
      <w:marLeft w:val="0"/>
      <w:marRight w:val="0"/>
      <w:marTop w:val="0"/>
      <w:marBottom w:val="0"/>
      <w:divBdr>
        <w:top w:val="none" w:sz="0" w:space="0" w:color="auto"/>
        <w:left w:val="none" w:sz="0" w:space="0" w:color="auto"/>
        <w:bottom w:val="none" w:sz="0" w:space="0" w:color="auto"/>
        <w:right w:val="none" w:sz="0" w:space="0" w:color="auto"/>
      </w:divBdr>
    </w:div>
    <w:div w:id="2071414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FRC241</b:Tag>
    <b:SourceType>InternetSite</b:SourceType>
    <b:Guid>{3A6B89E7-ED86-460D-B7ED-3F31807BF589}</b:Guid>
    <b:Author>
      <b:Author>
        <b:Corporate>FRC</b:Corporate>
      </b:Author>
    </b:Author>
    <b:Title>Corporate Governance (overview)</b:Title>
    <b:Year>2024</b:Year>
    <b:YearAccessed>2025</b:YearAccessed>
    <b:MonthAccessed>June</b:MonthAccessed>
    <b:DayAccessed>20</b:DayAccessed>
    <b:URL>https://www.frc.org.uk/library/standards-codes-policy/corporate-governance/corporate-governance-overview/?</b:URL>
    <b:RefOrder>1</b:RefOrder>
  </b:Source>
  <b:Source>
    <b:Tag>Osb24</b:Tag>
    <b:SourceType>InternetSite</b:SourceType>
    <b:Guid>{EAA84FBA-6A91-4034-A3B3-48CE69C8CF3E}</b:Guid>
    <b:Author>
      <b:Author>
        <b:Corporate>Osborneclarke</b:Corporate>
      </b:Author>
    </b:Author>
    <b:Title>New corporate governance codes usher in change for AIM and UK-listed companies</b:Title>
    <b:Year>2024</b:Year>
    <b:YearAccessed>2025</b:YearAccessed>
    <b:MonthAccessed>June</b:MonthAccessed>
    <b:DayAccessed>20</b:DayAccessed>
    <b:URL>https://www.osborneclarke.com/insights/new-corporate-governance-codes-usher-change-aim-and-uk-listed-companies?</b:URL>
    <b:RefOrder>2</b:RefOrder>
  </b:Source>
  <b:Source>
    <b:Tag>Leg18</b:Tag>
    <b:SourceType>InternetSite</b:SourceType>
    <b:Guid>{2909B269-3D52-4952-B317-4802539022BC}</b:Guid>
    <b:Author>
      <b:Author>
        <b:Corporate>Legislation.gov</b:Corporate>
      </b:Author>
    </b:Author>
    <b:Title>Improved Transparency of Executive Remuneration</b:Title>
    <b:Year>2018</b:Year>
    <b:YearAccessed>2025</b:YearAccessed>
    <b:MonthAccessed>June</b:MonthAccessed>
    <b:DayAccessed>20</b:DayAccessed>
    <b:URL>https://www.legislation.gov.uk/ukia/2018/110/pdfs/ukia_20180110_en.pdf</b:URL>
    <b:RefOrder>3</b:RefOrder>
  </b:Source>
  <b:Source>
    <b:Tag>Ass12</b:Tag>
    <b:SourceType>InternetSite</b:SourceType>
    <b:Guid>{1D377AC1-BD4C-428D-A033-13FCBAA434EB}</b:Guid>
    <b:Author>
      <b:Author>
        <b:Corporate>Asset.piblishing</b:Corporate>
      </b:Author>
    </b:Author>
    <b:Title>Title: Shareholder votes on executive remuneration </b:Title>
    <b:Year>2012</b:Year>
    <b:YearAccessed>2025</b:YearAccessed>
    <b:MonthAccessed>June</b:MonthAccessed>
    <b:DayAccessed>20</b:DayAccessed>
    <b:URL>https://assets.publishing.service.gov.uk/media/5a79ba7bed915d042206a9a3/12-648-shareholder-votes-executive-remuneration-impact-assessment.pdf?</b:URL>
    <b:RefOrder>4</b:RefOrder>
  </b:Source>
  <b:Source>
    <b:Tag>The242</b:Tag>
    <b:SourceType>InternetSite</b:SourceType>
    <b:Guid>{A4B347A3-B690-42EC-8A53-EF43EAC989CE}</b:Guid>
    <b:Author>
      <b:Author>
        <b:Corporate>Theguardian</b:Corporate>
      </b:Author>
    </b:Author>
    <b:Title>Tweaks, delays and compromises define UK’s post-Carillion response</b:Title>
    <b:Year>2024</b:Year>
    <b:YearAccessed>2025</b:YearAccessed>
    <b:MonthAccessed>June</b:MonthAccessed>
    <b:DayAccessed>21</b:DayAccessed>
    <b:URL>https://www.theguardian.com/business/2024/jan/22/tweaks-delays-compromises-define-uk-post-carillion-response?</b:URL>
    <b:RefOrder>5</b:RefOrder>
  </b:Source>
  <b:Source>
    <b:Tag>LSE24</b:Tag>
    <b:SourceType>InternetSite</b:SourceType>
    <b:Guid>{3529601C-C70E-42B5-9156-42B70B0822AA}</b:Guid>
    <b:Author>
      <b:Author>
        <b:Corporate>LSE</b:Corporate>
      </b:Author>
    </b:Author>
    <b:Title>AIM - The London Stock Exchange's market for small and medium size growth companies</b:Title>
    <b:Year>2024</b:Year>
    <b:YearAccessed>2025</b:YearAccessed>
    <b:MonthAccessed>June</b:MonthAccessed>
    <b:DayAccessed>21</b:DayAccessed>
    <b:URL>https://www.londonstockexchange.com/raise-finance/equity/aim</b:URL>
    <b:RefOrder>6</b:RefOrder>
  </b:Source>
  <b:Source>
    <b:Tag>Pni15</b:Tag>
    <b:SourceType>InternetSite</b:SourceType>
    <b:Guid>{653DF6DD-9BB3-40DF-893E-95BF2FF7AF65}</b:Guid>
    <b:Author>
      <b:Author>
        <b:Corporate>Pnisent Masons</b:Corporate>
      </b:Author>
    </b:Author>
    <b:Title>Commercial Court: shareholders' agreement did not impose duties on company director</b:Title>
    <b:Year>2015</b:Year>
    <b:YearAccessed>2025</b:YearAccessed>
    <b:MonthAccessed>June</b:MonthAccessed>
    <b:DayAccessed>21</b:DayAccessed>
    <b:URL>https://www.pinsentmasons.com/out-law/news/commercial-court-shareholders-agreement-did-not-impose-duties-on-company-director#:~:text=Sydow%20was%20both%20the%20director,shareholder%20of%20the%20corporate%20shareholder.</b:URL>
    <b:RefOrder>7</b:RefOrder>
  </b:Source>
  <b:Source>
    <b:Tag>EY24</b:Tag>
    <b:SourceType>InternetSite</b:SourceType>
    <b:Guid>{5ED7C91F-1302-4317-A2E0-8207CEF0F004}</b:Guid>
    <b:Author>
      <b:Author>
        <b:Corporate>EY</b:Corporate>
      </b:Author>
    </b:Author>
    <b:Title>Guide to going Public</b:Title>
    <b:Year>2024</b:Year>
    <b:YearAccessed>2025</b:YearAccessed>
    <b:MonthAccessed>June</b:MonthAccessed>
    <b:DayAccessed>21</b:DayAccessed>
    <b:URL>https://www.ey.com/content/dam/ey-unified-site/ey-com/en-gl/services/ipo/documents/ey-guide-to-going-public-strategic-considerations-before-during-and-post-ipo.pdf</b:URL>
    <b:RefOrder>8</b:RefOrder>
  </b:Source>
  <b:Source>
    <b:Tag>The243</b:Tag>
    <b:SourceType>InternetSite</b:SourceType>
    <b:Guid>{7D796F4E-D5A7-4F72-98B2-970648E5B4D0}</b:Guid>
    <b:Author>
      <b:Author>
        <b:Corporate>Theqca</b:Corporate>
      </b:Author>
    </b:Author>
    <b:Title>QCA Corporate</b:Title>
    <b:Year>2024</b:Year>
    <b:YearAccessed>2025</b:YearAccessed>
    <b:MonthAccessed>June</b:MonthAccessed>
    <b:DayAccessed>21</b:DayAccessed>
    <b:URL>https://www.theqca.com/qca-corporate-governance-code/</b:URL>
    <b:RefOrder>9</b:RefOrder>
  </b:Source>
  <b:Source>
    <b:Tag>FRC18</b:Tag>
    <b:SourceType>InternetSite</b:SourceType>
    <b:Guid>{69748E39-3883-402D-8DFA-DE7737E11370}</b:Guid>
    <b:Author>
      <b:Author>
        <b:Corporate>FRC</b:Corporate>
      </b:Author>
    </b:Author>
    <b:Title>Corporate Governance</b:Title>
    <b:Year>2018</b:Year>
    <b:YearAccessed>2025</b:YearAccessed>
    <b:MonthAccessed>June</b:MonthAccessed>
    <b:DayAccessed>21</b:DayAccessed>
    <b:URL>https://www.frc.org.uk/library/standards-codes-policy/corporate-governance/</b:URL>
    <b:RefOrder>11</b:RefOrder>
  </b:Source>
  <b:Source>
    <b:Tag>Law25</b:Tag>
    <b:SourceType>InternetSite</b:SourceType>
    <b:Guid>{11BB154E-1102-46FE-86ED-5B2E19DBC519}</b:Guid>
    <b:Author>
      <b:Author>
        <b:Corporate>Law.Asia</b:Corporate>
      </b:Author>
    </b:Author>
    <b:Title>New rules on listed companies’ governance</b:Title>
    <b:Year>2025</b:Year>
    <b:YearAccessed>2025</b:YearAccessed>
    <b:MonthAccessed>June</b:MonthAccessed>
    <b:DayAccessed>20</b:DayAccessed>
    <b:URL>https://law.asia/china-listed-company-governance-rules-update/#:~:text=China's%20corporate%20governance%20framework%20for,revisions%20to%20their%20listing%20rules.</b:URL>
    <b:RefOrder>12</b:RefOrder>
  </b:Source>
  <b:Source>
    <b:Tag>SSE24</b:Tag>
    <b:SourceType>InternetSite</b:SourceType>
    <b:Guid>{4120B179-8E50-4FD9-A294-C39CECBE917B}</b:Guid>
    <b:Author>
      <b:Author>
        <b:Corporate>SSE</b:Corporate>
      </b:Author>
    </b:Author>
    <b:Title>SSE</b:Title>
    <b:Year>2024</b:Year>
    <b:YearAccessed>225</b:YearAccessed>
    <b:MonthAccessed>June</b:MonthAccessed>
    <b:DayAccessed>21</b:DayAccessed>
    <b:URL>http://english.sse.com.cn/</b:URL>
    <b:RefOrder>13</b:RefOrder>
  </b:Source>
  <b:Source>
    <b:Tag>mCC22</b:Tag>
    <b:SourceType>InternetSite</b:SourceType>
    <b:Guid>{02F4F136-E454-4660-AD5E-739DE0DFE546}</b:Guid>
    <b:Author>
      <b:Author>
        <b:Corporate>Mccg</b:Corporate>
      </b:Author>
    </b:Author>
    <b:Title>Dutch Corporate Governance Code 2022 (English translation)</b:Title>
    <b:Year>2022</b:Year>
    <b:YearAccessed>2025</b:YearAccessed>
    <b:MonthAccessed>jUNE</b:MonthAccessed>
    <b:DayAccessed>21</b:DayAccessed>
    <b:URL>https://www.mccg.nl/documenten/2022/12/20/dutch-corporate-governance-code-2022</b:URL>
    <b:RefOrder>14</b:RefOrder>
  </b:Source>
  <b:Source>
    <b:Tag>PWC241</b:Tag>
    <b:SourceType>InternetSite</b:SourceType>
    <b:Guid>{1607CDE2-39FB-40E4-AADF-BA6532938F30}</b:Guid>
    <b:Author>
      <b:Author>
        <b:Corporate>PWC</b:Corporate>
      </b:Author>
    </b:Author>
    <b:Title>Making executive remuneration work for you</b:Title>
    <b:Year>2024</b:Year>
    <b:YearAccessed>2025</b:YearAccessed>
    <b:MonthAccessed>June</b:MonthAccessed>
    <b:DayAccessed>20</b:DayAccessed>
    <b:URL>https://www.pwc.co.uk/services/human-resource-services/rewarding-your-people/making-executive-remuneration-work-for-you.html</b:URL>
    <b:RefOrder>10</b:RefOrder>
  </b:Source>
</b:Sources>
</file>

<file path=customXml/itemProps1.xml><?xml version="1.0" encoding="utf-8"?>
<ds:datastoreItem xmlns:ds="http://schemas.openxmlformats.org/officeDocument/2006/customXml" ds:itemID="{CDFB62FA-7AC1-42CF-A968-E1F5232AA6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14</Pages>
  <Words>2530</Words>
  <Characters>14421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HP</cp:lastModifiedBy>
  <cp:revision>60</cp:revision>
  <dcterms:created xsi:type="dcterms:W3CDTF">2025-06-21T11:19:00Z</dcterms:created>
  <dcterms:modified xsi:type="dcterms:W3CDTF">2025-06-21T23:28:00Z</dcterms:modified>
</cp:coreProperties>
</file>