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FA6B5" w14:textId="77777777" w:rsidR="00220EA2" w:rsidRDefault="00220EA2" w:rsidP="00220EA2">
      <w:pPr>
        <w:pStyle w:val="s4"/>
        <w:spacing w:before="75" w:beforeAutospacing="0" w:after="0" w:afterAutospacing="0"/>
        <w:jc w:val="center"/>
        <w:rPr>
          <w:rFonts w:ascii="-webkit-standard" w:hAnsi="-webkit-standard"/>
          <w:color w:val="000000"/>
          <w:sz w:val="15"/>
          <w:szCs w:val="15"/>
        </w:rPr>
      </w:pPr>
      <w:r>
        <w:rPr>
          <w:rStyle w:val="s3"/>
          <w:rFonts w:ascii="Arial" w:hAnsi="Arial" w:cs="Arial"/>
          <w:b/>
          <w:bCs/>
          <w:caps/>
          <w:color w:val="000000"/>
          <w:sz w:val="27"/>
          <w:szCs w:val="27"/>
        </w:rPr>
        <w:t>NAME: SHUMAILA ABRAR</w:t>
      </w:r>
    </w:p>
    <w:p w14:paraId="10BB4E1D" w14:textId="77777777" w:rsidR="00220EA2" w:rsidRDefault="00220EA2" w:rsidP="00220EA2">
      <w:pPr>
        <w:pStyle w:val="s5"/>
        <w:spacing w:before="75" w:beforeAutospacing="0" w:after="0" w:afterAutospacing="0"/>
        <w:jc w:val="center"/>
        <w:rPr>
          <w:rFonts w:ascii="-webkit-standard" w:hAnsi="-webkit-standard"/>
          <w:color w:val="000000"/>
          <w:sz w:val="15"/>
          <w:szCs w:val="15"/>
        </w:rPr>
      </w:pPr>
      <w:r>
        <w:rPr>
          <w:rStyle w:val="s3"/>
          <w:rFonts w:ascii="Arial" w:hAnsi="Arial" w:cs="Arial"/>
          <w:b/>
          <w:bCs/>
          <w:caps/>
          <w:color w:val="000000"/>
          <w:sz w:val="27"/>
          <w:szCs w:val="27"/>
        </w:rPr>
        <w:t>STUDENT NUMBER: 2028447</w:t>
      </w:r>
    </w:p>
    <w:p w14:paraId="7CB078A3" w14:textId="7F38CE1A" w:rsidR="00220EA2" w:rsidRDefault="00220EA2" w:rsidP="00220EA2">
      <w:pPr>
        <w:pStyle w:val="s5"/>
        <w:spacing w:before="75" w:beforeAutospacing="0" w:after="0" w:afterAutospacing="0"/>
        <w:jc w:val="center"/>
        <w:rPr>
          <w:rFonts w:ascii="-webkit-standard" w:hAnsi="-webkit-standard"/>
          <w:color w:val="000000"/>
          <w:sz w:val="15"/>
          <w:szCs w:val="15"/>
        </w:rPr>
      </w:pPr>
      <w:r>
        <w:rPr>
          <w:rStyle w:val="s3"/>
          <w:rFonts w:ascii="Arial" w:hAnsi="Arial" w:cs="Arial"/>
          <w:b/>
          <w:bCs/>
          <w:caps/>
          <w:color w:val="000000"/>
          <w:sz w:val="27"/>
          <w:szCs w:val="27"/>
        </w:rPr>
        <w:t>LECTURER NAME: </w:t>
      </w:r>
      <w:r w:rsidR="001E578A" w:rsidRPr="001E578A">
        <w:rPr>
          <w:rStyle w:val="s3"/>
          <w:rFonts w:ascii="Arial" w:hAnsi="Arial" w:cs="Arial"/>
          <w:b/>
          <w:bCs/>
          <w:caps/>
          <w:color w:val="000000"/>
          <w:sz w:val="27"/>
          <w:szCs w:val="27"/>
        </w:rPr>
        <w:t>Joanne Davies</w:t>
      </w:r>
    </w:p>
    <w:p w14:paraId="1910F7B5" w14:textId="29C7027E" w:rsidR="00220EA2" w:rsidRPr="00593843" w:rsidRDefault="00220EA2" w:rsidP="00220EA2">
      <w:pPr>
        <w:pStyle w:val="s8"/>
        <w:spacing w:before="75" w:beforeAutospacing="0" w:after="0" w:afterAutospacing="0"/>
        <w:jc w:val="center"/>
        <w:rPr>
          <w:rFonts w:ascii="Arial" w:hAnsi="Arial" w:cs="Arial"/>
          <w:b/>
          <w:bCs/>
          <w:caps/>
          <w:color w:val="000000"/>
          <w:sz w:val="28"/>
          <w:szCs w:val="28"/>
        </w:rPr>
      </w:pPr>
      <w:r>
        <w:rPr>
          <w:rStyle w:val="s3"/>
          <w:rFonts w:ascii="Arial" w:hAnsi="Arial" w:cs="Arial"/>
          <w:b/>
          <w:bCs/>
          <w:caps/>
          <w:color w:val="000000"/>
          <w:sz w:val="27"/>
          <w:szCs w:val="27"/>
        </w:rPr>
        <w:t>MODULE: </w:t>
      </w:r>
      <w:r w:rsidR="00B34061" w:rsidRPr="00593843">
        <w:rPr>
          <w:rFonts w:ascii="Arial" w:eastAsia="Times New Roman" w:hAnsi="Arial" w:cs="Arial"/>
          <w:b/>
          <w:bCs/>
          <w:color w:val="000000"/>
          <w:sz w:val="28"/>
          <w:szCs w:val="28"/>
        </w:rPr>
        <w:t>Digital Transformation in the Health and Care Professions</w:t>
      </w:r>
    </w:p>
    <w:p w14:paraId="3AFBA336" w14:textId="44C10EAC" w:rsidR="00220EA2" w:rsidRDefault="00220EA2" w:rsidP="00220EA2">
      <w:pPr>
        <w:pStyle w:val="s8"/>
        <w:spacing w:before="75" w:beforeAutospacing="0" w:after="0" w:afterAutospacing="0"/>
        <w:jc w:val="center"/>
        <w:rPr>
          <w:rFonts w:ascii="Arial" w:hAnsi="Arial" w:cs="Arial"/>
          <w:b/>
          <w:bCs/>
          <w:caps/>
          <w:color w:val="000000"/>
          <w:sz w:val="27"/>
          <w:szCs w:val="27"/>
        </w:rPr>
      </w:pPr>
      <w:r>
        <w:rPr>
          <w:rStyle w:val="s3"/>
          <w:rFonts w:ascii="Arial" w:hAnsi="Arial" w:cs="Arial"/>
          <w:b/>
          <w:bCs/>
          <w:caps/>
          <w:color w:val="000000"/>
          <w:sz w:val="27"/>
          <w:szCs w:val="27"/>
        </w:rPr>
        <w:t xml:space="preserve">MODULE CODE: </w:t>
      </w:r>
      <w:r w:rsidR="00634E8A" w:rsidRPr="00634E8A">
        <w:rPr>
          <w:rFonts w:ascii="Arial" w:eastAsia="Times New Roman" w:hAnsi="Arial" w:cs="Arial"/>
          <w:b/>
          <w:bCs/>
          <w:color w:val="000000"/>
          <w:sz w:val="26"/>
          <w:szCs w:val="26"/>
        </w:rPr>
        <w:t>BMHP6026</w:t>
      </w:r>
    </w:p>
    <w:p w14:paraId="618C989B" w14:textId="77777777" w:rsidR="00A9101F" w:rsidRDefault="00A9101F" w:rsidP="004D6EA4">
      <w:pPr>
        <w:spacing w:before="100" w:beforeAutospacing="1" w:after="100" w:afterAutospacing="1" w:line="360" w:lineRule="auto"/>
        <w:ind w:left="360"/>
        <w:outlineLvl w:val="0"/>
        <w:rPr>
          <w:rFonts w:ascii="Arial" w:eastAsia="Times New Roman" w:hAnsi="Arial" w:cs="Arial"/>
          <w:b/>
          <w:bCs/>
          <w:kern w:val="36"/>
          <w:sz w:val="22"/>
          <w:szCs w:val="22"/>
          <w14:ligatures w14:val="none"/>
        </w:rPr>
      </w:pPr>
    </w:p>
    <w:p w14:paraId="21F14F3D" w14:textId="77777777" w:rsidR="00A9101F" w:rsidRDefault="00A9101F">
      <w:pPr>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br w:type="page"/>
      </w:r>
    </w:p>
    <w:p w14:paraId="28711FA9" w14:textId="69C76818" w:rsidR="00064AD0" w:rsidRPr="004D6EA4" w:rsidRDefault="00064AD0" w:rsidP="004D6EA4">
      <w:pPr>
        <w:spacing w:before="100" w:beforeAutospacing="1" w:after="100" w:afterAutospacing="1" w:line="360" w:lineRule="auto"/>
        <w:ind w:left="360"/>
        <w:outlineLvl w:val="0"/>
        <w:rPr>
          <w:rFonts w:ascii="Arial" w:eastAsia="Times New Roman" w:hAnsi="Arial" w:cs="Arial"/>
          <w:b/>
          <w:bCs/>
          <w:kern w:val="36"/>
          <w:sz w:val="22"/>
          <w:szCs w:val="22"/>
          <w14:ligatures w14:val="none"/>
        </w:rPr>
      </w:pPr>
      <w:r w:rsidRPr="004D6EA4">
        <w:rPr>
          <w:rFonts w:ascii="Arial" w:eastAsia="Times New Roman" w:hAnsi="Arial" w:cs="Arial"/>
          <w:b/>
          <w:bCs/>
          <w:kern w:val="36"/>
          <w:sz w:val="22"/>
          <w:szCs w:val="22"/>
          <w14:ligatures w14:val="none"/>
        </w:rPr>
        <w:lastRenderedPageBreak/>
        <w:t>Critical Evaluation of the Implementation of Online Consultation Platforms in UK Primary Care</w:t>
      </w:r>
    </w:p>
    <w:p w14:paraId="04A1EA26" w14:textId="15BD9D44" w:rsidR="00064AD0" w:rsidRPr="001C5785" w:rsidRDefault="00064AD0" w:rsidP="00C95EB1">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Introduction</w:t>
      </w:r>
    </w:p>
    <w:p w14:paraId="712AE9DB" w14:textId="2646E8AF"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Digital transformation has become a defining feature of contemporary health and social care reform in the United Kingdom. Over the past decade, the National Health Service (NHS) has increasingly embraced technological innovation to address rising patient demand, workforce shortages, and financial constraints. One of the most significant digital innovations implemented in primary care has been the widespread adoption of online consultation platforms such as eConsult and Accurx. These systems enable patients to submit symptoms, administrative queries, and requests for clinical advice electronically, which are then triaged by practice teams.</w:t>
      </w:r>
    </w:p>
    <w:p w14:paraId="271DAD81" w14:textId="5DE30155"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Although digital consultation tools were introduced gradually before 2020, their rapid expansion occurred during the COVID-19 pandemic, when NHS England directed practices to implement remote triage as the default model of access (NHS England, 2020a). This shift was not merely technological; it represented a structural reconfiguration of access pathways, professional roles, and patient expectations. While online consultations were framed as a solution to capacity pressures and infection control, their implementation has generated complex consequences across workforce structures, service delivery processes, patient experience, and community health.</w:t>
      </w:r>
    </w:p>
    <w:p w14:paraId="29FCE27C" w14:textId="77777777" w:rsidR="007058D9"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This report critically evaluates the implementation of online consultation platforms within UK primary care over the last decade. Drawing upon socio-technical systems theory and digital health implementation research, it examines both the benefits and unintended consequences of this digital transformation.</w:t>
      </w:r>
    </w:p>
    <w:p w14:paraId="4F441114" w14:textId="3E464CCB"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eastAsia="Times New Roman" w:hAnsi="Arial" w:cs="Arial"/>
          <w:b/>
          <w:bCs/>
          <w:kern w:val="0"/>
          <w:sz w:val="22"/>
          <w:szCs w:val="22"/>
          <w14:ligatures w14:val="none"/>
        </w:rPr>
        <w:t>Policy Context and Drivers for Implementation</w:t>
      </w:r>
    </w:p>
    <w:p w14:paraId="38F6F6B4" w14:textId="2BA0FCD1" w:rsidR="00CC3BA7" w:rsidRPr="001C5785" w:rsidRDefault="00CC3BA7" w:rsidP="00C95EB1">
      <w:pPr>
        <w:pStyle w:val="p1"/>
        <w:spacing w:line="360" w:lineRule="auto"/>
        <w:ind w:left="360"/>
        <w:rPr>
          <w:rFonts w:ascii="Arial" w:hAnsi="Arial" w:cs="Arial"/>
          <w:sz w:val="22"/>
          <w:szCs w:val="22"/>
        </w:rPr>
      </w:pPr>
      <w:r w:rsidRPr="001C5785">
        <w:rPr>
          <w:rStyle w:val="s1"/>
          <w:rFonts w:ascii="Arial" w:hAnsi="Arial" w:cs="Arial"/>
          <w:sz w:val="22"/>
          <w:szCs w:val="22"/>
        </w:rPr>
        <w:t xml:space="preserve">The implementation of online consultation platforms in UK primary care is rooted in a broader policy agenda focused on digital transformation, service sustainability, and demand management. Over the past decade, the National Health Service (NHS) has faced mounting pressures arising from an ageing population, increasing prevalence of long-term conditions, workforce shortages and constrained funding (NHS England, 2019). In response, national policy increasingly positioned digital innovation as a strategic solution to improve efficiency and accessibility. The </w:t>
      </w:r>
      <w:r w:rsidRPr="001C5785">
        <w:rPr>
          <w:rStyle w:val="s2"/>
          <w:rFonts w:ascii="Arial" w:hAnsi="Arial" w:cs="Arial"/>
          <w:sz w:val="22"/>
          <w:szCs w:val="22"/>
        </w:rPr>
        <w:t>NHS Long Term Plan</w:t>
      </w:r>
      <w:r w:rsidRPr="001C5785">
        <w:rPr>
          <w:rStyle w:val="s1"/>
          <w:rFonts w:ascii="Arial" w:hAnsi="Arial" w:cs="Arial"/>
          <w:sz w:val="22"/>
          <w:szCs w:val="22"/>
        </w:rPr>
        <w:t xml:space="preserve"> explicitly committed to a “digital-first” approach, promising that all patients would have </w:t>
      </w:r>
      <w:r w:rsidRPr="001C5785">
        <w:rPr>
          <w:rStyle w:val="s1"/>
          <w:rFonts w:ascii="Arial" w:hAnsi="Arial" w:cs="Arial"/>
          <w:sz w:val="22"/>
          <w:szCs w:val="22"/>
        </w:rPr>
        <w:lastRenderedPageBreak/>
        <w:t>the right to online access to primary care services, including consultations and appointment booking (NHS England, 2019).</w:t>
      </w:r>
    </w:p>
    <w:p w14:paraId="7A502B7F" w14:textId="1B6C7A6A" w:rsidR="00CC3BA7" w:rsidRPr="001C5785" w:rsidRDefault="00CC3BA7" w:rsidP="00C95EB1">
      <w:pPr>
        <w:pStyle w:val="p1"/>
        <w:spacing w:line="360" w:lineRule="auto"/>
        <w:ind w:left="360"/>
        <w:rPr>
          <w:rFonts w:ascii="Arial" w:hAnsi="Arial" w:cs="Arial"/>
          <w:sz w:val="22"/>
          <w:szCs w:val="22"/>
        </w:rPr>
      </w:pPr>
      <w:r w:rsidRPr="001C5785">
        <w:rPr>
          <w:rStyle w:val="s1"/>
          <w:rFonts w:ascii="Arial" w:hAnsi="Arial" w:cs="Arial"/>
          <w:sz w:val="22"/>
          <w:szCs w:val="22"/>
        </w:rPr>
        <w:t>This digital agenda was further reinforced by the Department of Health and Social Care’s broader modernisation strategy, which framed technological integration as central to improving productivity and patient empowerment. Online consultation platforms such as eConsult were initially adopted voluntarily by some practices, often supported through NHS England funding schemes aimed at encouraging digital uptake (Bakhai et al., 2020). However, adoption remained inconsistent prior to 2020.</w:t>
      </w:r>
    </w:p>
    <w:p w14:paraId="05A5FA75" w14:textId="326B273A" w:rsidR="00CC3BA7" w:rsidRPr="001C5785" w:rsidRDefault="00CC3BA7" w:rsidP="00C95EB1">
      <w:pPr>
        <w:pStyle w:val="p1"/>
        <w:spacing w:line="360" w:lineRule="auto"/>
        <w:ind w:left="360"/>
        <w:rPr>
          <w:rFonts w:ascii="Arial" w:hAnsi="Arial" w:cs="Arial"/>
          <w:sz w:val="22"/>
          <w:szCs w:val="22"/>
        </w:rPr>
      </w:pPr>
      <w:r w:rsidRPr="001C5785">
        <w:rPr>
          <w:rStyle w:val="s1"/>
          <w:rFonts w:ascii="Arial" w:hAnsi="Arial" w:cs="Arial"/>
          <w:sz w:val="22"/>
          <w:szCs w:val="22"/>
        </w:rPr>
        <w:t>The COVID-19 pandemic acted as a critical catalyst for accelerated implementation. In March 2020, NHS England instructed general practices to rapidly transition to remote triage models to minimise face-to-face contact and reduce viral transmission (NHS England, 2020a). This emergency directive shifted digital consultations from optional innovation to mandatory operational necessity. As a result, remote consultations increased dramatically within weeks (Murphy et al., 2021).</w:t>
      </w:r>
    </w:p>
    <w:p w14:paraId="01500476" w14:textId="561026C0" w:rsidR="00064AD0" w:rsidRPr="00064AD0" w:rsidRDefault="00CC3BA7" w:rsidP="00C95EB1">
      <w:pPr>
        <w:pStyle w:val="p1"/>
        <w:spacing w:line="360" w:lineRule="auto"/>
        <w:ind w:left="360"/>
        <w:rPr>
          <w:rFonts w:ascii="Arial" w:hAnsi="Arial" w:cs="Arial"/>
          <w:sz w:val="22"/>
          <w:szCs w:val="22"/>
        </w:rPr>
      </w:pPr>
      <w:r w:rsidRPr="001C5785">
        <w:rPr>
          <w:rStyle w:val="s1"/>
          <w:rFonts w:ascii="Arial" w:hAnsi="Arial" w:cs="Arial"/>
          <w:sz w:val="22"/>
          <w:szCs w:val="22"/>
        </w:rPr>
        <w:t>While the pandemic justified rapid adoption on public health grounds, it also limited opportunities for phased implementation, workforce consultation and community co-production. Consequently, online consultation platforms were embedded within a context of crisis response rather than gradual organisational transformation, shaping both their perceived benefits and unintended consequences</w:t>
      </w:r>
    </w:p>
    <w:p w14:paraId="0AAADDC6" w14:textId="77777777" w:rsidR="00064AD0" w:rsidRPr="001C5785" w:rsidRDefault="00064AD0" w:rsidP="00C95EB1">
      <w:pPr>
        <w:spacing w:before="100" w:beforeAutospacing="1" w:after="100" w:afterAutospacing="1" w:line="360" w:lineRule="auto"/>
        <w:ind w:left="360"/>
        <w:outlineLvl w:val="1"/>
        <w:rPr>
          <w:rFonts w:ascii="Arial" w:hAnsi="Arial" w:cs="Arial"/>
          <w:b/>
          <w:bCs/>
          <w:kern w:val="0"/>
          <w:sz w:val="22"/>
          <w:szCs w:val="22"/>
          <w14:ligatures w14:val="none"/>
        </w:rPr>
      </w:pPr>
      <w:r w:rsidRPr="001C5785">
        <w:rPr>
          <w:rFonts w:ascii="Arial" w:eastAsia="Times New Roman" w:hAnsi="Arial" w:cs="Arial"/>
          <w:b/>
          <w:bCs/>
          <w:kern w:val="0"/>
          <w:sz w:val="22"/>
          <w:szCs w:val="22"/>
          <w14:ligatures w14:val="none"/>
        </w:rPr>
        <w:t>Workforce Impact</w:t>
      </w:r>
    </w:p>
    <w:p w14:paraId="2ABD9D09" w14:textId="77777777"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Redefinition of Roles and Professional Identity</w:t>
      </w:r>
    </w:p>
    <w:p w14:paraId="355EE058"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Online consultation platforms have significantly altered the roles of both administrative and clinical staff. Receptionists now undertake digital triage functions, reviewing electronic submissions and categorising urgency before allocating cases to clinicians (Murphy et al., 2021). This expansion of responsibility has repositioned administrative staff as gatekeepers within the care pathway.</w:t>
      </w:r>
    </w:p>
    <w:p w14:paraId="5FA4CC1C"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 xml:space="preserve">Clinicians have also experienced a transformation in consultation practice. Asynchronous written communication requires refined documentation skills, clinical risk stratification without physical examination, and increased reliance on patient-reported information. The Topol Review identified digital literacy as essential for the future </w:t>
      </w:r>
      <w:r w:rsidRPr="001C5785">
        <w:rPr>
          <w:rFonts w:ascii="Arial" w:hAnsi="Arial" w:cs="Arial"/>
          <w:kern w:val="0"/>
          <w:sz w:val="22"/>
          <w:szCs w:val="22"/>
          <w14:ligatures w14:val="none"/>
        </w:rPr>
        <w:lastRenderedPageBreak/>
        <w:t>healthcare workforce (Health Education England, 2019). However, the pace of change meant that training was often reactive rather than strategic.</w:t>
      </w:r>
    </w:p>
    <w:p w14:paraId="6F5A2902"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Socio-technical theory emphasises that technology reshapes professional relationships rather than replacing them. Online systems have redistributed labour across practice teams, increasing cognitive load associated with screening, documentation, and safety-netting.</w:t>
      </w:r>
    </w:p>
    <w:p w14:paraId="588D93EC" w14:textId="6589879C"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Workload and Burnout</w:t>
      </w:r>
    </w:p>
    <w:p w14:paraId="5EEA6EC7" w14:textId="68246055"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A central policy assumption was that digital triage would reduce unnecessary appointments and streamline workflow (Bakhai et al., 2020). In practice, evidence suggests a more complex picture. Murphy et al. (2021) report that remote consultations frequently generated follow-up face-to-face reviews, leading to duplication rather than substitution of workload.</w:t>
      </w:r>
    </w:p>
    <w:p w14:paraId="7CFBA604" w14:textId="569095F6"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Additionally, the reduced friction of digital access may increase patient demand. When contacting a GP becomes easier, consultation rates can rise, reflecting supply-induced demand dynamics. The British Medical Association (2021) has highlighted growing concerns about GP burnout and retention difficulties, with digital access cited as contributing to unsustainable pressure.</w:t>
      </w:r>
    </w:p>
    <w:p w14:paraId="3951A562" w14:textId="6220F021"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Kotter’s (1996) change management framework emphasises the importance of staged transformation and staff engagement. The compressed timeframe of implementation limited workforce readiness, potentially exacerbating stress and resistance. Thus, while digital systems enhanced operational flexibility, they also intensified workload complexity.</w:t>
      </w:r>
    </w:p>
    <w:p w14:paraId="0C4267F0" w14:textId="77777777" w:rsidR="00064AD0" w:rsidRPr="001C5785" w:rsidRDefault="00064AD0" w:rsidP="00C95EB1">
      <w:pPr>
        <w:spacing w:before="100" w:beforeAutospacing="1" w:after="100" w:afterAutospacing="1" w:line="360" w:lineRule="auto"/>
        <w:ind w:left="360"/>
        <w:outlineLvl w:val="1"/>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Impact on Service Delivery</w:t>
      </w:r>
    </w:p>
    <w:p w14:paraId="7F1B5C1F" w14:textId="24A909FE" w:rsidR="007058D9" w:rsidRPr="001C5785" w:rsidRDefault="007058D9" w:rsidP="00C95EB1">
      <w:pPr>
        <w:pStyle w:val="p1"/>
        <w:spacing w:line="360" w:lineRule="auto"/>
        <w:ind w:left="360"/>
        <w:rPr>
          <w:rFonts w:ascii="Arial" w:hAnsi="Arial" w:cs="Arial"/>
          <w:sz w:val="22"/>
          <w:szCs w:val="22"/>
        </w:rPr>
      </w:pPr>
      <w:r w:rsidRPr="001C5785">
        <w:rPr>
          <w:rStyle w:val="s1"/>
          <w:rFonts w:ascii="Arial" w:hAnsi="Arial" w:cs="Arial"/>
          <w:sz w:val="22"/>
          <w:szCs w:val="22"/>
        </w:rPr>
        <w:t>The introduction of online consultation platforms has significantly reshaped service delivery within UK primary care. Traditionally, access to general practice relied heavily on telephone triage and face-to-face appointments. Digital consultation systems have reconfigured this model by introducing asynchronous, form-based triage processes that enable patients to submit clinical queries electronically at any time. This has altered the daily operational flow of practices, shifting from reactive appointment booking to structured demand management.</w:t>
      </w:r>
    </w:p>
    <w:p w14:paraId="2F5097BA" w14:textId="03F10D40" w:rsidR="007058D9" w:rsidRPr="001C5785" w:rsidRDefault="007058D9" w:rsidP="00C95EB1">
      <w:pPr>
        <w:pStyle w:val="p1"/>
        <w:spacing w:line="360" w:lineRule="auto"/>
        <w:ind w:left="360"/>
        <w:rPr>
          <w:rFonts w:ascii="Arial" w:hAnsi="Arial" w:cs="Arial"/>
          <w:sz w:val="22"/>
          <w:szCs w:val="22"/>
        </w:rPr>
      </w:pPr>
      <w:r w:rsidRPr="001C5785">
        <w:rPr>
          <w:rStyle w:val="s1"/>
          <w:rFonts w:ascii="Arial" w:hAnsi="Arial" w:cs="Arial"/>
          <w:sz w:val="22"/>
          <w:szCs w:val="22"/>
        </w:rPr>
        <w:lastRenderedPageBreak/>
        <w:t>One of the primary benefits has been improved prioritisation of clinical need. Structured digital forms collect symptom information systematically, which can support risk stratification and enable practices to allocate cases according to urgency (NHS England, 2020b). This may enhance efficiency by directing routine issues toward appropriate professionals, such as pharmacists or nurse practitioners, while reserving GP time for complex cases. Additionally, remote triage proved essential during the COVID-19 pandemic, allowing services to continue while minimising infection risk (NHS England, 2020a).</w:t>
      </w:r>
    </w:p>
    <w:p w14:paraId="51A6C2C2" w14:textId="5195F7A9" w:rsidR="007058D9" w:rsidRPr="001C5785" w:rsidRDefault="007058D9" w:rsidP="00C95EB1">
      <w:pPr>
        <w:pStyle w:val="p1"/>
        <w:spacing w:line="360" w:lineRule="auto"/>
        <w:ind w:left="360"/>
        <w:rPr>
          <w:rFonts w:ascii="Arial" w:hAnsi="Arial" w:cs="Arial"/>
          <w:sz w:val="22"/>
          <w:szCs w:val="22"/>
        </w:rPr>
      </w:pPr>
      <w:r w:rsidRPr="001C5785">
        <w:rPr>
          <w:rStyle w:val="s1"/>
          <w:rFonts w:ascii="Arial" w:hAnsi="Arial" w:cs="Arial"/>
          <w:sz w:val="22"/>
          <w:szCs w:val="22"/>
        </w:rPr>
        <w:t>However, service redesign has also generated challenges. While digital systems were intended to reduce unnecessary appointments, evidence suggests that many online consultations result in follow-up telephone or face-to-face reviews, leading to duplication rather than substitution of workload (Murphy et al., 2021). Furthermore, the lower threshold for contacting a GP may stimulate increased demand, thereby intensifying overall service pressure.</w:t>
      </w:r>
    </w:p>
    <w:p w14:paraId="058A68A4" w14:textId="77777777" w:rsidR="007058D9" w:rsidRPr="001C5785" w:rsidRDefault="007058D9" w:rsidP="00C95EB1">
      <w:pPr>
        <w:pStyle w:val="p1"/>
        <w:spacing w:line="360" w:lineRule="auto"/>
        <w:ind w:left="360"/>
        <w:rPr>
          <w:rFonts w:ascii="Arial" w:hAnsi="Arial" w:cs="Arial"/>
          <w:sz w:val="22"/>
          <w:szCs w:val="22"/>
        </w:rPr>
      </w:pPr>
      <w:r w:rsidRPr="001C5785">
        <w:rPr>
          <w:rStyle w:val="s1"/>
          <w:rFonts w:ascii="Arial" w:hAnsi="Arial" w:cs="Arial"/>
          <w:sz w:val="22"/>
          <w:szCs w:val="22"/>
        </w:rPr>
        <w:t>Concerns have also emerged regarding continuity of care. Digital triage models may allocate patients to the next available clinician, potentially weakening ongoing therapeutic relationships that are central to high-quality primary care (Marshall et al., 2020). Thus, while online consultation platforms have enhanced flexibility and system resilience, they have simultaneously transformed the nature of access and continuity, creating a complex balance between efficiency and relational care.</w:t>
      </w:r>
    </w:p>
    <w:p w14:paraId="0BA385BA" w14:textId="014AFD11"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Access and Efficiency</w:t>
      </w:r>
    </w:p>
    <w:p w14:paraId="1B4DEFD0"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Online consultation systems enable patients to submit requests outside standard working hours, improving temporal accessibility. Structured symptom forms support prioritisation and categorisation of cases (NHS England, 2020b). This may enhance resource allocation by directing urgent cases appropriately.</w:t>
      </w:r>
    </w:p>
    <w:p w14:paraId="17F5BDBB" w14:textId="77777777" w:rsidR="00064AD0" w:rsidRPr="00064AD0" w:rsidRDefault="00064AD0" w:rsidP="00C95EB1">
      <w:pPr>
        <w:spacing w:before="100" w:beforeAutospacing="1" w:after="100" w:afterAutospacing="1" w:line="360" w:lineRule="auto"/>
        <w:rPr>
          <w:rFonts w:ascii="Arial" w:hAnsi="Arial" w:cs="Arial"/>
          <w:kern w:val="0"/>
          <w:sz w:val="22"/>
          <w:szCs w:val="22"/>
          <w14:ligatures w14:val="none"/>
        </w:rPr>
      </w:pPr>
    </w:p>
    <w:p w14:paraId="448D3FAB" w14:textId="34DB3384"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During the pandemic, digital triage supported infection control and maintained service continuity. It demonstrated the adaptability of primary care under crisis conditions. Furthermore, electronic records generated through online submissions improve traceability and audit capacity.</w:t>
      </w:r>
    </w:p>
    <w:p w14:paraId="4ACFEC6D" w14:textId="58542D96"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Continuity and Clinical Risk</w:t>
      </w:r>
    </w:p>
    <w:p w14:paraId="1B538331" w14:textId="3065C8A5"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lastRenderedPageBreak/>
        <w:t>Despite efficiency gains, concerns persist regarding relational continuity. Ongoing therapeutic relationships between patient and GP are associated with improved outcomes and reduced hospitalisation (Marshall et al., 2020). Digital triage systems may disrupt this continuity by allocating cases to any available clinician.</w:t>
      </w:r>
    </w:p>
    <w:p w14:paraId="452A8561" w14:textId="4BCF2873"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Greenhalgh et al. (2016) note that while remote consultations are effective for certain conditions, absence of physical examination can limit diagnostic accuracy. Non-verbal cues and contextual understanding may be diminished in digital exchanges.</w:t>
      </w:r>
    </w:p>
    <w:p w14:paraId="70094ECD" w14:textId="39EE6D1D"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Thus, the transformation of service delivery reflects a tension between efficiency and relational care. If digital-first models prioritise throughput over continuity, core principles of general practice may be undermined.</w:t>
      </w:r>
    </w:p>
    <w:p w14:paraId="7C34B782" w14:textId="0ADCD232" w:rsidR="00064AD0" w:rsidRPr="001C5785" w:rsidRDefault="00064AD0" w:rsidP="00C95EB1">
      <w:pPr>
        <w:spacing w:before="100" w:beforeAutospacing="1" w:after="100" w:afterAutospacing="1" w:line="360" w:lineRule="auto"/>
        <w:ind w:left="360"/>
        <w:outlineLvl w:val="1"/>
        <w:rPr>
          <w:rFonts w:ascii="Arial" w:hAnsi="Arial" w:cs="Arial"/>
          <w:b/>
          <w:bCs/>
          <w:kern w:val="0"/>
          <w:sz w:val="22"/>
          <w:szCs w:val="22"/>
          <w14:ligatures w14:val="none"/>
        </w:rPr>
      </w:pPr>
      <w:r w:rsidRPr="001C5785">
        <w:rPr>
          <w:rFonts w:ascii="Arial" w:eastAsia="Times New Roman" w:hAnsi="Arial" w:cs="Arial"/>
          <w:b/>
          <w:bCs/>
          <w:kern w:val="0"/>
          <w:sz w:val="22"/>
          <w:szCs w:val="22"/>
          <w14:ligatures w14:val="none"/>
        </w:rPr>
        <w:t>Patient and Service User Experience</w:t>
      </w:r>
    </w:p>
    <w:p w14:paraId="42AA801F" w14:textId="547887C7"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Benefits: Convenience and Autonomy</w:t>
      </w:r>
    </w:p>
    <w:p w14:paraId="4419DDCB" w14:textId="2EFDBF4D"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For many patients, online consultation platforms offer convenience and flexibility. Individuals can articulate concerns without waiting in telephone queues or attending in person. This is particularly beneficial for working-age adults and carers.</w:t>
      </w:r>
    </w:p>
    <w:p w14:paraId="5C3A2383" w14:textId="57A0B6ED"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Structured forms may encourage patients to provide comprehensive symptom details, potentially enhancing consultation quality (Bakhai et al., 2020). Younger and digitally confident populations often report satisfaction with rapid electronic responses (Murphy et al., 2021).</w:t>
      </w:r>
    </w:p>
    <w:p w14:paraId="3DB37496" w14:textId="4B9686A7" w:rsidR="00064AD0" w:rsidRPr="001C5785" w:rsidRDefault="00064AD0" w:rsidP="00C95EB1">
      <w:pPr>
        <w:spacing w:before="100" w:beforeAutospacing="1" w:after="100" w:afterAutospacing="1" w:line="360" w:lineRule="auto"/>
        <w:ind w:left="360"/>
        <w:outlineLvl w:val="2"/>
        <w:rPr>
          <w:rFonts w:ascii="Arial" w:eastAsia="Times New Roman" w:hAnsi="Arial" w:cs="Arial"/>
          <w:b/>
          <w:bCs/>
          <w:kern w:val="0"/>
          <w:sz w:val="22"/>
          <w:szCs w:val="22"/>
          <w14:ligatures w14:val="none"/>
        </w:rPr>
      </w:pPr>
      <w:r w:rsidRPr="001C5785">
        <w:rPr>
          <w:rFonts w:ascii="Arial" w:eastAsia="Times New Roman" w:hAnsi="Arial" w:cs="Arial"/>
          <w:b/>
          <w:bCs/>
          <w:kern w:val="0"/>
          <w:sz w:val="22"/>
          <w:szCs w:val="22"/>
          <w14:ligatures w14:val="none"/>
        </w:rPr>
        <w:t>Digital Exclusion and Health Inequalities</w:t>
      </w:r>
    </w:p>
    <w:p w14:paraId="2F3C0EB3" w14:textId="68B8855D"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However, digital exclusion presents a significant ethical challenge. The digital divide encompasses disparities in access to devices, internet connectivity, and digital skills (Watts, 2020). Older adults, individuals with low socioeconomic status, and those with language barriers may struggle to navigate online systems.</w:t>
      </w:r>
    </w:p>
    <w:p w14:paraId="3935407D" w14:textId="09E132AE"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The King’s Fund (2021) warns that digital innovation risks widening inequalities if not accompanied by inclusive design and alternative access routes. Data from the pandemic suggests that remote consultation uptake was lower among deprived populations (Murphy et al., 2021).</w:t>
      </w:r>
    </w:p>
    <w:p w14:paraId="32959374" w14:textId="77777777" w:rsidR="00F079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lastRenderedPageBreak/>
        <w:t>Additionally, some patients perceive online triage as impersonal or obstructive. The structured format may inadequately capture complex psychosocial concerns, reducing perceived empathy. Therefore, digital transformation may simultaneously empower and alienate different patient groups.</w:t>
      </w:r>
    </w:p>
    <w:p w14:paraId="553CB939" w14:textId="2F4690D9"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eastAsia="Times New Roman" w:hAnsi="Arial" w:cs="Arial"/>
          <w:b/>
          <w:bCs/>
          <w:kern w:val="0"/>
          <w:sz w:val="22"/>
          <w:szCs w:val="22"/>
          <w14:ligatures w14:val="none"/>
        </w:rPr>
        <w:t>Community and Public Health Implications</w:t>
      </w:r>
    </w:p>
    <w:p w14:paraId="67773C3A" w14:textId="412FA82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At community level, online consultations reduce travel, lowering carbon emissions and supporting environmental sustainability goals. Rural populations may particularly benefit from reduced transport barriers.</w:t>
      </w:r>
    </w:p>
    <w:p w14:paraId="2FC473A6" w14:textId="5C52B968"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Digital systems also generate aggregated data that can inform service planning and public health surveillance. However, if digitally excluded groups are underrepresented, planning decisions may inadvertently reinforce inequity.</w:t>
      </w:r>
    </w:p>
    <w:p w14:paraId="67C7A2C7" w14:textId="4566C352"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Co-production principles emphasise community involvement in service design. Rapid pandemic implementation limited participatory engagement (Marshall et al., 2020). Future digital transformation strategies must prioritise consultation with diverse community stakeholders to ensure equitable service configuration.</w:t>
      </w:r>
    </w:p>
    <w:p w14:paraId="0C83ABBE" w14:textId="125FEC18" w:rsidR="00064AD0" w:rsidRPr="001C5785" w:rsidRDefault="00064AD0" w:rsidP="00C95EB1">
      <w:pPr>
        <w:spacing w:before="100" w:beforeAutospacing="1" w:after="100" w:afterAutospacing="1" w:line="360" w:lineRule="auto"/>
        <w:ind w:left="360"/>
        <w:outlineLvl w:val="1"/>
        <w:rPr>
          <w:rFonts w:ascii="Arial" w:hAnsi="Arial" w:cs="Arial"/>
          <w:b/>
          <w:bCs/>
          <w:kern w:val="0"/>
          <w:sz w:val="22"/>
          <w:szCs w:val="22"/>
          <w14:ligatures w14:val="none"/>
        </w:rPr>
      </w:pPr>
      <w:r w:rsidRPr="001C5785">
        <w:rPr>
          <w:rFonts w:ascii="Arial" w:eastAsia="Times New Roman" w:hAnsi="Arial" w:cs="Arial"/>
          <w:b/>
          <w:bCs/>
          <w:kern w:val="0"/>
          <w:sz w:val="22"/>
          <w:szCs w:val="22"/>
          <w14:ligatures w14:val="none"/>
        </w:rPr>
        <w:t>Ethical and Long-Term Considerations</w:t>
      </w:r>
    </w:p>
    <w:p w14:paraId="32010D66" w14:textId="04F11D41"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The implementation of online consultation platforms raises ethical questions regarding equity, confidentiality and data security. Increased digital communication introduces cybersecurity risks and data protection concerns. Maintaining patient trust requires robust governance frameworks.</w:t>
      </w:r>
    </w:p>
    <w:p w14:paraId="5CC03ECB" w14:textId="30FBF37F"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Long-term sustainability depends on hybrid service models that integrate digital access with preserved face-to-face availability. Digital transformation should complement rather than replace relational primary care.</w:t>
      </w:r>
    </w:p>
    <w:p w14:paraId="6D031ACB" w14:textId="75437D8D"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Greenhalgh et al. (2017) argue that digital innovation must be continuously evaluated and adapted. Reflexive monitoring and workforce feedback are essential to ensure technology remains supportive rather than burdensome.</w:t>
      </w:r>
    </w:p>
    <w:p w14:paraId="2EC0B401" w14:textId="31C66088" w:rsidR="00F079D0" w:rsidRPr="001C5785" w:rsidRDefault="00064AD0" w:rsidP="00C95EB1">
      <w:pPr>
        <w:spacing w:before="100" w:beforeAutospacing="1" w:after="100" w:afterAutospacing="1" w:line="360" w:lineRule="auto"/>
        <w:ind w:left="360"/>
        <w:outlineLvl w:val="1"/>
        <w:rPr>
          <w:rFonts w:ascii="Arial" w:hAnsi="Arial" w:cs="Arial"/>
          <w:b/>
          <w:bCs/>
          <w:kern w:val="0"/>
          <w:sz w:val="22"/>
          <w:szCs w:val="22"/>
          <w14:ligatures w14:val="none"/>
        </w:rPr>
      </w:pPr>
      <w:r w:rsidRPr="001C5785">
        <w:rPr>
          <w:rFonts w:ascii="Arial" w:eastAsia="Times New Roman" w:hAnsi="Arial" w:cs="Arial"/>
          <w:b/>
          <w:bCs/>
          <w:kern w:val="0"/>
          <w:sz w:val="22"/>
          <w:szCs w:val="22"/>
          <w14:ligatures w14:val="none"/>
        </w:rPr>
        <w:t>Critical Evaluation</w:t>
      </w:r>
    </w:p>
    <w:p w14:paraId="584BBFC5" w14:textId="227216E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lastRenderedPageBreak/>
        <w:t>Online consultation platforms illustrate the complexity of digital transformation within health and social care. While they enhanced resilience and flexibility during crisis conditions, they also redistributed workload and risk.</w:t>
      </w:r>
    </w:p>
    <w:p w14:paraId="06B4A353" w14:textId="0DE55910"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The innovation aligns with national digital strategy (NHS England, 2019) and has strengthened infrastructure for remote access. However, unintended consequences include workforce burnout, continuity disruption and potential widening of inequalities.</w:t>
      </w:r>
    </w:p>
    <w:p w14:paraId="6B6A26BF" w14:textId="329676AE"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Digital health technologies operate within socio-technical systems; their impact depends on context, culture and governance. The assumption that technology inherently improves efficiency oversimplifies healthcare complexity.</w:t>
      </w:r>
    </w:p>
    <w:p w14:paraId="625D4C78"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Sustainable implementation requires:</w:t>
      </w:r>
    </w:p>
    <w:p w14:paraId="304B84C4" w14:textId="77777777" w:rsidR="00064AD0" w:rsidRPr="004D6EA4" w:rsidRDefault="00064AD0" w:rsidP="004D6EA4">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4D6EA4">
        <w:rPr>
          <w:rFonts w:ascii="Arial" w:hAnsi="Arial" w:cs="Arial"/>
          <w:kern w:val="0"/>
          <w:sz w:val="22"/>
          <w:szCs w:val="22"/>
          <w14:ligatures w14:val="none"/>
        </w:rPr>
        <w:t>Investment in workforce training</w:t>
      </w:r>
    </w:p>
    <w:p w14:paraId="5C311FA1" w14:textId="77777777" w:rsidR="00064AD0" w:rsidRPr="004D6EA4" w:rsidRDefault="00064AD0" w:rsidP="004D6EA4">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4D6EA4">
        <w:rPr>
          <w:rFonts w:ascii="Arial" w:hAnsi="Arial" w:cs="Arial"/>
          <w:kern w:val="0"/>
          <w:sz w:val="22"/>
          <w:szCs w:val="22"/>
          <w14:ligatures w14:val="none"/>
        </w:rPr>
        <w:t>Hybrid access models</w:t>
      </w:r>
    </w:p>
    <w:p w14:paraId="639747D1" w14:textId="77777777" w:rsidR="00064AD0" w:rsidRPr="004D6EA4" w:rsidRDefault="00064AD0" w:rsidP="004D6EA4">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4D6EA4">
        <w:rPr>
          <w:rFonts w:ascii="Arial" w:hAnsi="Arial" w:cs="Arial"/>
          <w:kern w:val="0"/>
          <w:sz w:val="22"/>
          <w:szCs w:val="22"/>
          <w14:ligatures w14:val="none"/>
        </w:rPr>
        <w:t>Digital inclusion initiatives</w:t>
      </w:r>
    </w:p>
    <w:p w14:paraId="6408A085" w14:textId="22131A53" w:rsidR="00064AD0" w:rsidRPr="004D6EA4" w:rsidRDefault="00064AD0" w:rsidP="004D6EA4">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4D6EA4">
        <w:rPr>
          <w:rFonts w:ascii="Arial" w:hAnsi="Arial" w:cs="Arial"/>
          <w:kern w:val="0"/>
          <w:sz w:val="22"/>
          <w:szCs w:val="22"/>
          <w14:ligatures w14:val="none"/>
        </w:rPr>
        <w:t>Ongoing evaluation of patient outcomes</w:t>
      </w:r>
    </w:p>
    <w:p w14:paraId="1CEFF3F0" w14:textId="22245751" w:rsidR="00064AD0" w:rsidRPr="004D6EA4" w:rsidRDefault="00064AD0" w:rsidP="004D6EA4">
      <w:pPr>
        <w:spacing w:before="100" w:beforeAutospacing="1" w:after="100" w:afterAutospacing="1" w:line="360" w:lineRule="auto"/>
        <w:rPr>
          <w:rFonts w:ascii="Arial" w:hAnsi="Arial" w:cs="Arial"/>
          <w:kern w:val="0"/>
          <w:sz w:val="22"/>
          <w:szCs w:val="22"/>
          <w14:ligatures w14:val="none"/>
        </w:rPr>
      </w:pPr>
      <w:r w:rsidRPr="004D6EA4">
        <w:rPr>
          <w:rFonts w:ascii="Arial" w:hAnsi="Arial" w:cs="Arial"/>
          <w:kern w:val="0"/>
          <w:sz w:val="22"/>
          <w:szCs w:val="22"/>
          <w14:ligatures w14:val="none"/>
        </w:rPr>
        <w:t>Only through critical, equity-focused governance can digital transformation fulfil its intended promise.</w:t>
      </w:r>
    </w:p>
    <w:p w14:paraId="63695B12" w14:textId="6736853B" w:rsidR="00064AD0" w:rsidRPr="001C5785" w:rsidRDefault="00064AD0" w:rsidP="00C95EB1">
      <w:pPr>
        <w:spacing w:before="100" w:beforeAutospacing="1" w:after="100" w:afterAutospacing="1" w:line="360" w:lineRule="auto"/>
        <w:ind w:left="360"/>
        <w:outlineLvl w:val="1"/>
        <w:rPr>
          <w:rFonts w:ascii="Arial" w:hAnsi="Arial" w:cs="Arial"/>
          <w:b/>
          <w:bCs/>
          <w:kern w:val="0"/>
          <w:sz w:val="22"/>
          <w:szCs w:val="22"/>
          <w14:ligatures w14:val="none"/>
        </w:rPr>
      </w:pPr>
      <w:r w:rsidRPr="001C5785">
        <w:rPr>
          <w:rFonts w:ascii="Arial" w:eastAsia="Times New Roman" w:hAnsi="Arial" w:cs="Arial"/>
          <w:b/>
          <w:bCs/>
          <w:kern w:val="0"/>
          <w:sz w:val="22"/>
          <w:szCs w:val="22"/>
          <w14:ligatures w14:val="none"/>
        </w:rPr>
        <w:t>Conclusion</w:t>
      </w:r>
    </w:p>
    <w:p w14:paraId="7CE8E1F2" w14:textId="31A21B3A"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The implementation of online consultation platforms represents a major digital innovation within UK primary care over the past decade. Accelerated by the COVID-19 pandemic, these systems have reshaped workforce roles, service delivery processes, patient engagement and community dynamics.</w:t>
      </w:r>
    </w:p>
    <w:p w14:paraId="2AD6DB27" w14:textId="32FB3E0A"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While digital triage has improved convenience, resilience and operational flexibility, it has also intensified workload pressures and risked exacerbating health inequalities. The transformation underscores the need to view digital innovation as a socio-technical process rather than a purely technological solution.</w:t>
      </w:r>
    </w:p>
    <w:p w14:paraId="0FA224EA" w14:textId="77777777" w:rsidR="00064AD0" w:rsidRPr="001C5785" w:rsidRDefault="00064AD0" w:rsidP="00C95EB1">
      <w:pPr>
        <w:spacing w:before="100" w:beforeAutospacing="1" w:after="100" w:afterAutospacing="1" w:line="360" w:lineRule="auto"/>
        <w:ind w:left="360"/>
        <w:rPr>
          <w:rFonts w:ascii="Arial" w:hAnsi="Arial" w:cs="Arial"/>
          <w:kern w:val="0"/>
          <w:sz w:val="22"/>
          <w:szCs w:val="22"/>
          <w14:ligatures w14:val="none"/>
        </w:rPr>
      </w:pPr>
      <w:r w:rsidRPr="001C5785">
        <w:rPr>
          <w:rFonts w:ascii="Arial" w:hAnsi="Arial" w:cs="Arial"/>
          <w:kern w:val="0"/>
          <w:sz w:val="22"/>
          <w:szCs w:val="22"/>
          <w14:ligatures w14:val="none"/>
        </w:rPr>
        <w:t>Future sustainability depends on balanced hybrid models, workforce investment and inclusive design. Digital transformation must enhance—not compromise—equitable, patient-centred care.</w:t>
      </w:r>
    </w:p>
    <w:p w14:paraId="6384FF6F" w14:textId="30D03A1E" w:rsidR="00311C88" w:rsidRPr="001E055D" w:rsidRDefault="001E055D" w:rsidP="00C95EB1">
      <w:pPr>
        <w:spacing w:line="360" w:lineRule="auto"/>
        <w:rPr>
          <w:rFonts w:ascii="Arial" w:hAnsi="Arial" w:cs="Arial"/>
          <w:b/>
          <w:bCs/>
          <w:sz w:val="22"/>
          <w:szCs w:val="22"/>
        </w:rPr>
      </w:pPr>
      <w:r w:rsidRPr="001E055D">
        <w:rPr>
          <w:rFonts w:ascii="Arial" w:hAnsi="Arial" w:cs="Arial"/>
          <w:b/>
          <w:bCs/>
          <w:sz w:val="22"/>
          <w:szCs w:val="22"/>
        </w:rPr>
        <w:t xml:space="preserve">Final reference: </w:t>
      </w:r>
    </w:p>
    <w:p w14:paraId="1FDB9B08" w14:textId="0F503B1A" w:rsidR="001E055D" w:rsidRDefault="001E055D" w:rsidP="001E055D">
      <w:pPr>
        <w:pStyle w:val="p1"/>
      </w:pPr>
      <w:r>
        <w:rPr>
          <w:rStyle w:val="s1"/>
        </w:rPr>
        <w:lastRenderedPageBreak/>
        <w:t>Bakhai, M., Croney, L. and Waller, O. (2020) ‘</w:t>
      </w:r>
      <w:r w:rsidRPr="00371072">
        <w:rPr>
          <w:rStyle w:val="s1"/>
          <w:i/>
          <w:iCs/>
        </w:rPr>
        <w:t>Hottest topic: digital consultations in primary care’,</w:t>
      </w:r>
      <w:r>
        <w:rPr>
          <w:rStyle w:val="s1"/>
        </w:rPr>
        <w:t xml:space="preserve"> </w:t>
      </w:r>
      <w:r>
        <w:rPr>
          <w:rStyle w:val="s2"/>
        </w:rPr>
        <w:t>BJGP Open</w:t>
      </w:r>
      <w:r>
        <w:rPr>
          <w:rStyle w:val="s1"/>
        </w:rPr>
        <w:t>, 4(3), pp. 1–3.</w:t>
      </w:r>
    </w:p>
    <w:p w14:paraId="4CCDF83E" w14:textId="13F82033" w:rsidR="001E055D" w:rsidRDefault="001E055D" w:rsidP="001E055D">
      <w:pPr>
        <w:pStyle w:val="p1"/>
      </w:pPr>
      <w:r>
        <w:rPr>
          <w:rStyle w:val="s1"/>
        </w:rPr>
        <w:t xml:space="preserve">British Medical Association (2021) </w:t>
      </w:r>
      <w:r w:rsidRPr="00371072">
        <w:rPr>
          <w:rStyle w:val="s2"/>
          <w:i/>
          <w:iCs/>
        </w:rPr>
        <w:t>Pressures in general practice</w:t>
      </w:r>
      <w:r>
        <w:rPr>
          <w:rStyle w:val="s1"/>
        </w:rPr>
        <w:t>. London: BMA.</w:t>
      </w:r>
    </w:p>
    <w:p w14:paraId="21BDA86A" w14:textId="30F81082" w:rsidR="001E055D" w:rsidRDefault="001E055D" w:rsidP="001E055D">
      <w:pPr>
        <w:pStyle w:val="p1"/>
      </w:pPr>
      <w:r>
        <w:rPr>
          <w:rStyle w:val="s1"/>
        </w:rPr>
        <w:t>Greenhalgh, T., Shaw, S., Wherton, J., Hughes, G., Lynch, J., A’Court, C., Hinder, S., Fahy, N., Byrne, E. and Finlay, T. (2016) ‘</w:t>
      </w:r>
      <w:r w:rsidRPr="00371072">
        <w:rPr>
          <w:rStyle w:val="s1"/>
          <w:i/>
          <w:iCs/>
        </w:rPr>
        <w:t>Virtual online consultations: advantages and limitations (VOCAL) study’,</w:t>
      </w:r>
      <w:r>
        <w:rPr>
          <w:rStyle w:val="s1"/>
        </w:rPr>
        <w:t xml:space="preserve"> </w:t>
      </w:r>
      <w:r>
        <w:rPr>
          <w:rStyle w:val="s2"/>
        </w:rPr>
        <w:t>BMJ</w:t>
      </w:r>
      <w:r>
        <w:rPr>
          <w:rStyle w:val="s1"/>
        </w:rPr>
        <w:t>, 352, i115.</w:t>
      </w:r>
    </w:p>
    <w:p w14:paraId="123B4954" w14:textId="379E05BF" w:rsidR="001E055D" w:rsidRDefault="001E055D" w:rsidP="001E055D">
      <w:pPr>
        <w:pStyle w:val="p1"/>
      </w:pPr>
      <w:r>
        <w:rPr>
          <w:rStyle w:val="s1"/>
        </w:rPr>
        <w:t>Greenhalgh, T., Wherton, J., Papoutsi, C., Lynch, J., Hughes, G., A’Court, C., Hinder, S., Fahy, N. and Procter, R. (2017) ‘</w:t>
      </w:r>
      <w:r w:rsidRPr="00371072">
        <w:rPr>
          <w:rStyle w:val="s1"/>
          <w:i/>
          <w:iCs/>
        </w:rPr>
        <w:t>Beyond adoption: a new framework for theorising and evaluating non-adoption, abandonment, scale-up, spread, and sustainability of health and care technologies</w:t>
      </w:r>
      <w:r>
        <w:rPr>
          <w:rStyle w:val="s1"/>
        </w:rPr>
        <w:t xml:space="preserve">’, </w:t>
      </w:r>
      <w:r>
        <w:rPr>
          <w:rStyle w:val="s2"/>
        </w:rPr>
        <w:t>Journal of Medical Internet Research</w:t>
      </w:r>
      <w:r>
        <w:rPr>
          <w:rStyle w:val="s1"/>
        </w:rPr>
        <w:t>, 19(11), e367.</w:t>
      </w:r>
    </w:p>
    <w:p w14:paraId="40F75474" w14:textId="444F44E8" w:rsidR="001E055D" w:rsidRDefault="001E055D" w:rsidP="001E055D">
      <w:pPr>
        <w:pStyle w:val="p1"/>
      </w:pPr>
      <w:r>
        <w:rPr>
          <w:rStyle w:val="s1"/>
        </w:rPr>
        <w:t xml:space="preserve">Health Education England (2019) </w:t>
      </w:r>
      <w:r w:rsidRPr="00371072">
        <w:rPr>
          <w:rStyle w:val="s2"/>
          <w:i/>
          <w:iCs/>
        </w:rPr>
        <w:t>The Topol Review: Preparing the healthcare workforce to deliver the digital future</w:t>
      </w:r>
      <w:r>
        <w:rPr>
          <w:rStyle w:val="s1"/>
        </w:rPr>
        <w:t>. London: Health Education England.</w:t>
      </w:r>
    </w:p>
    <w:p w14:paraId="39A62C09" w14:textId="30134DED" w:rsidR="001E055D" w:rsidRDefault="001E055D" w:rsidP="001E055D">
      <w:pPr>
        <w:pStyle w:val="p1"/>
      </w:pPr>
      <w:r>
        <w:rPr>
          <w:rStyle w:val="s1"/>
        </w:rPr>
        <w:t xml:space="preserve">Kotter, J.P. (1996) </w:t>
      </w:r>
      <w:r w:rsidRPr="00371072">
        <w:rPr>
          <w:rStyle w:val="s2"/>
          <w:i/>
          <w:iCs/>
        </w:rPr>
        <w:t>Leading change</w:t>
      </w:r>
      <w:r>
        <w:rPr>
          <w:rStyle w:val="s1"/>
        </w:rPr>
        <w:t>. Boston: Harvard Business School Press.</w:t>
      </w:r>
    </w:p>
    <w:p w14:paraId="51A60C7F" w14:textId="6FA1482C" w:rsidR="001E055D" w:rsidRDefault="001E055D" w:rsidP="001E055D">
      <w:pPr>
        <w:pStyle w:val="p1"/>
      </w:pPr>
      <w:r>
        <w:rPr>
          <w:rStyle w:val="s1"/>
        </w:rPr>
        <w:t>Marshall, M., Howe, A., Howsam, G., Mulholland, M. and Leach, J. (2020) ‘</w:t>
      </w:r>
      <w:r w:rsidRPr="00A46F50">
        <w:rPr>
          <w:rStyle w:val="s1"/>
          <w:i/>
          <w:iCs/>
        </w:rPr>
        <w:t>COVID-19: a danger and an opportunity for the future of general practice’,</w:t>
      </w:r>
      <w:r>
        <w:rPr>
          <w:rStyle w:val="s1"/>
        </w:rPr>
        <w:t xml:space="preserve"> </w:t>
      </w:r>
      <w:r>
        <w:rPr>
          <w:rStyle w:val="s2"/>
        </w:rPr>
        <w:t>British Journal of General Practice</w:t>
      </w:r>
      <w:r>
        <w:rPr>
          <w:rStyle w:val="s1"/>
        </w:rPr>
        <w:t>, 70(695), pp. 270–271.</w:t>
      </w:r>
    </w:p>
    <w:p w14:paraId="59AD175E" w14:textId="195AC057" w:rsidR="001E055D" w:rsidRDefault="001E055D" w:rsidP="001E055D">
      <w:pPr>
        <w:pStyle w:val="p1"/>
      </w:pPr>
      <w:r>
        <w:rPr>
          <w:rStyle w:val="s1"/>
        </w:rPr>
        <w:t>Murphy, M., Scott, L.J., Salisbury, C., Turner, A., Scott, A., Denholm, R., Lewis, R., Iyer, G., Macleod, J. and Horwood, J. (2021) ‘</w:t>
      </w:r>
      <w:r w:rsidRPr="00A46F50">
        <w:rPr>
          <w:rStyle w:val="s1"/>
          <w:i/>
          <w:iCs/>
        </w:rPr>
        <w:t>Implementation of remote consulting in UK primary care following the COVID-19 pandemic: a mixed-methods longitudinal study</w:t>
      </w:r>
      <w:r>
        <w:rPr>
          <w:rStyle w:val="s1"/>
        </w:rPr>
        <w:t xml:space="preserve">’, </w:t>
      </w:r>
      <w:r>
        <w:rPr>
          <w:rStyle w:val="s2"/>
        </w:rPr>
        <w:t>British Journal of General Practice</w:t>
      </w:r>
      <w:r>
        <w:rPr>
          <w:rStyle w:val="s1"/>
        </w:rPr>
        <w:t>, 71(704), pp. e166–e177.</w:t>
      </w:r>
    </w:p>
    <w:p w14:paraId="51010A71" w14:textId="499182ED" w:rsidR="001E055D" w:rsidRDefault="001E055D" w:rsidP="001E055D">
      <w:pPr>
        <w:pStyle w:val="p1"/>
      </w:pPr>
      <w:r>
        <w:rPr>
          <w:rStyle w:val="s1"/>
        </w:rPr>
        <w:t xml:space="preserve">NHS England (2019) </w:t>
      </w:r>
      <w:r w:rsidRPr="00A46F50">
        <w:rPr>
          <w:rStyle w:val="s2"/>
          <w:i/>
          <w:iCs/>
        </w:rPr>
        <w:t>The NHS Long Term Plan</w:t>
      </w:r>
      <w:r>
        <w:rPr>
          <w:rStyle w:val="s1"/>
        </w:rPr>
        <w:t>. London: NHS England.</w:t>
      </w:r>
    </w:p>
    <w:p w14:paraId="3567B88D" w14:textId="054C84E8" w:rsidR="001E055D" w:rsidRDefault="001E055D" w:rsidP="001E055D">
      <w:pPr>
        <w:pStyle w:val="p1"/>
      </w:pPr>
      <w:r>
        <w:rPr>
          <w:rStyle w:val="s1"/>
        </w:rPr>
        <w:t xml:space="preserve">NHS England (2020a) </w:t>
      </w:r>
      <w:r w:rsidRPr="00C7679B">
        <w:rPr>
          <w:rStyle w:val="s2"/>
          <w:i/>
          <w:iCs/>
        </w:rPr>
        <w:t>Supporting general practice in the response to COVID-19</w:t>
      </w:r>
      <w:r>
        <w:rPr>
          <w:rStyle w:val="s1"/>
        </w:rPr>
        <w:t>. London: NHS England.</w:t>
      </w:r>
    </w:p>
    <w:p w14:paraId="4B35DB61" w14:textId="63935E7E" w:rsidR="001E055D" w:rsidRDefault="001E055D" w:rsidP="001E055D">
      <w:pPr>
        <w:pStyle w:val="p1"/>
      </w:pPr>
      <w:r>
        <w:rPr>
          <w:rStyle w:val="s1"/>
        </w:rPr>
        <w:t xml:space="preserve">NHS England (2020b) </w:t>
      </w:r>
      <w:r w:rsidRPr="00C7679B">
        <w:rPr>
          <w:rStyle w:val="s2"/>
          <w:i/>
          <w:iCs/>
        </w:rPr>
        <w:t>Digital first primary care: implementation guidance</w:t>
      </w:r>
      <w:r>
        <w:rPr>
          <w:rStyle w:val="s1"/>
        </w:rPr>
        <w:t>. London: NHS England.</w:t>
      </w:r>
    </w:p>
    <w:p w14:paraId="3C085FC8" w14:textId="279CFA0A" w:rsidR="001E055D" w:rsidRDefault="001E055D" w:rsidP="001E055D">
      <w:pPr>
        <w:pStyle w:val="p1"/>
      </w:pPr>
      <w:r>
        <w:rPr>
          <w:rStyle w:val="s1"/>
        </w:rPr>
        <w:t xml:space="preserve">The King’s Fund (2021) </w:t>
      </w:r>
      <w:r w:rsidRPr="00C7679B">
        <w:rPr>
          <w:rStyle w:val="s2"/>
          <w:i/>
          <w:iCs/>
        </w:rPr>
        <w:t>Digital change and health inequalities</w:t>
      </w:r>
      <w:r>
        <w:rPr>
          <w:rStyle w:val="s1"/>
        </w:rPr>
        <w:t>. London: The King’s Fund.</w:t>
      </w:r>
    </w:p>
    <w:p w14:paraId="284F3F9E" w14:textId="77777777" w:rsidR="001E055D" w:rsidRDefault="001E055D">
      <w:pPr>
        <w:pStyle w:val="p1"/>
      </w:pPr>
      <w:r>
        <w:rPr>
          <w:rStyle w:val="s1"/>
        </w:rPr>
        <w:t>Watts, G. (2020) ‘</w:t>
      </w:r>
      <w:r w:rsidRPr="00C7679B">
        <w:rPr>
          <w:rStyle w:val="s1"/>
          <w:i/>
          <w:iCs/>
        </w:rPr>
        <w:t>COVID-19 and the digital divide in the UK’</w:t>
      </w:r>
      <w:r>
        <w:rPr>
          <w:rStyle w:val="s1"/>
        </w:rPr>
        <w:t xml:space="preserve">, </w:t>
      </w:r>
      <w:r>
        <w:rPr>
          <w:rStyle w:val="s2"/>
        </w:rPr>
        <w:t>The Lancet Digital Health</w:t>
      </w:r>
      <w:r>
        <w:rPr>
          <w:rStyle w:val="s1"/>
        </w:rPr>
        <w:t>, 2(8), pp. e395–e396.</w:t>
      </w:r>
    </w:p>
    <w:p w14:paraId="553DA435" w14:textId="77777777" w:rsidR="001E055D" w:rsidRPr="001C5785" w:rsidRDefault="001E055D" w:rsidP="00C95EB1">
      <w:pPr>
        <w:spacing w:line="360" w:lineRule="auto"/>
        <w:rPr>
          <w:rFonts w:ascii="Arial" w:hAnsi="Arial" w:cs="Arial"/>
          <w:sz w:val="22"/>
          <w:szCs w:val="22"/>
        </w:rPr>
      </w:pPr>
    </w:p>
    <w:sectPr w:rsidR="001E055D" w:rsidRPr="001C5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E16E2"/>
    <w:multiLevelType w:val="hybridMultilevel"/>
    <w:tmpl w:val="B81C8B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2A66C63"/>
    <w:multiLevelType w:val="hybridMultilevel"/>
    <w:tmpl w:val="B95A4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078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9C77E8"/>
    <w:multiLevelType w:val="hybridMultilevel"/>
    <w:tmpl w:val="A8181E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99146105">
    <w:abstractNumId w:val="2"/>
  </w:num>
  <w:num w:numId="2" w16cid:durableId="622881437">
    <w:abstractNumId w:val="1"/>
  </w:num>
  <w:num w:numId="3" w16cid:durableId="266697250">
    <w:abstractNumId w:val="0"/>
  </w:num>
  <w:num w:numId="4" w16cid:durableId="742114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88"/>
    <w:rsid w:val="00064AD0"/>
    <w:rsid w:val="001C5785"/>
    <w:rsid w:val="001E055D"/>
    <w:rsid w:val="001E578A"/>
    <w:rsid w:val="00220EA2"/>
    <w:rsid w:val="002230A0"/>
    <w:rsid w:val="002B1850"/>
    <w:rsid w:val="00311C88"/>
    <w:rsid w:val="00371072"/>
    <w:rsid w:val="004D6EA4"/>
    <w:rsid w:val="00593843"/>
    <w:rsid w:val="005E219D"/>
    <w:rsid w:val="00634E8A"/>
    <w:rsid w:val="007058D9"/>
    <w:rsid w:val="00732465"/>
    <w:rsid w:val="007438D4"/>
    <w:rsid w:val="007674A9"/>
    <w:rsid w:val="007B4D4F"/>
    <w:rsid w:val="008841DE"/>
    <w:rsid w:val="00A46F50"/>
    <w:rsid w:val="00A9101F"/>
    <w:rsid w:val="00B34061"/>
    <w:rsid w:val="00C7679B"/>
    <w:rsid w:val="00C95EB1"/>
    <w:rsid w:val="00CC3BA7"/>
    <w:rsid w:val="00DF15FB"/>
    <w:rsid w:val="00EB5D5C"/>
    <w:rsid w:val="00F07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915E"/>
  <w15:chartTrackingRefBased/>
  <w15:docId w15:val="{E9F2C71F-DDDC-9944-8AF5-8B827FBFF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1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1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1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C88"/>
    <w:rPr>
      <w:rFonts w:eastAsiaTheme="majorEastAsia" w:cstheme="majorBidi"/>
      <w:color w:val="272727" w:themeColor="text1" w:themeTint="D8"/>
    </w:rPr>
  </w:style>
  <w:style w:type="paragraph" w:styleId="Title">
    <w:name w:val="Title"/>
    <w:basedOn w:val="Normal"/>
    <w:next w:val="Normal"/>
    <w:link w:val="TitleChar"/>
    <w:uiPriority w:val="10"/>
    <w:qFormat/>
    <w:rsid w:val="00311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C88"/>
    <w:pPr>
      <w:spacing w:before="160"/>
      <w:jc w:val="center"/>
    </w:pPr>
    <w:rPr>
      <w:i/>
      <w:iCs/>
      <w:color w:val="404040" w:themeColor="text1" w:themeTint="BF"/>
    </w:rPr>
  </w:style>
  <w:style w:type="character" w:customStyle="1" w:styleId="QuoteChar">
    <w:name w:val="Quote Char"/>
    <w:basedOn w:val="DefaultParagraphFont"/>
    <w:link w:val="Quote"/>
    <w:uiPriority w:val="29"/>
    <w:rsid w:val="00311C88"/>
    <w:rPr>
      <w:i/>
      <w:iCs/>
      <w:color w:val="404040" w:themeColor="text1" w:themeTint="BF"/>
    </w:rPr>
  </w:style>
  <w:style w:type="paragraph" w:styleId="ListParagraph">
    <w:name w:val="List Paragraph"/>
    <w:basedOn w:val="Normal"/>
    <w:uiPriority w:val="34"/>
    <w:qFormat/>
    <w:rsid w:val="00311C88"/>
    <w:pPr>
      <w:ind w:left="720"/>
      <w:contextualSpacing/>
    </w:pPr>
  </w:style>
  <w:style w:type="character" w:styleId="IntenseEmphasis">
    <w:name w:val="Intense Emphasis"/>
    <w:basedOn w:val="DefaultParagraphFont"/>
    <w:uiPriority w:val="21"/>
    <w:qFormat/>
    <w:rsid w:val="00311C88"/>
    <w:rPr>
      <w:i/>
      <w:iCs/>
      <w:color w:val="0F4761" w:themeColor="accent1" w:themeShade="BF"/>
    </w:rPr>
  </w:style>
  <w:style w:type="paragraph" w:styleId="IntenseQuote">
    <w:name w:val="Intense Quote"/>
    <w:basedOn w:val="Normal"/>
    <w:next w:val="Normal"/>
    <w:link w:val="IntenseQuoteChar"/>
    <w:uiPriority w:val="30"/>
    <w:qFormat/>
    <w:rsid w:val="00311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C88"/>
    <w:rPr>
      <w:i/>
      <w:iCs/>
      <w:color w:val="0F4761" w:themeColor="accent1" w:themeShade="BF"/>
    </w:rPr>
  </w:style>
  <w:style w:type="character" w:styleId="IntenseReference">
    <w:name w:val="Intense Reference"/>
    <w:basedOn w:val="DefaultParagraphFont"/>
    <w:uiPriority w:val="32"/>
    <w:qFormat/>
    <w:rsid w:val="00311C88"/>
    <w:rPr>
      <w:b/>
      <w:bCs/>
      <w:smallCaps/>
      <w:color w:val="0F4761" w:themeColor="accent1" w:themeShade="BF"/>
      <w:spacing w:val="5"/>
    </w:rPr>
  </w:style>
  <w:style w:type="paragraph" w:customStyle="1" w:styleId="p1">
    <w:name w:val="p1"/>
    <w:basedOn w:val="Normal"/>
    <w:rsid w:val="00064AD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64AD0"/>
  </w:style>
  <w:style w:type="paragraph" w:customStyle="1" w:styleId="p2">
    <w:name w:val="p2"/>
    <w:basedOn w:val="Normal"/>
    <w:rsid w:val="00064AD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64AD0"/>
  </w:style>
  <w:style w:type="paragraph" w:customStyle="1" w:styleId="p3">
    <w:name w:val="p3"/>
    <w:basedOn w:val="Normal"/>
    <w:rsid w:val="00064AD0"/>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220EA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20EA2"/>
  </w:style>
  <w:style w:type="paragraph" w:customStyle="1" w:styleId="s5">
    <w:name w:val="s5"/>
    <w:basedOn w:val="Normal"/>
    <w:rsid w:val="00220EA2"/>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220EA2"/>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220EA2"/>
  </w:style>
  <w:style w:type="character" w:customStyle="1" w:styleId="apple-converted-space">
    <w:name w:val="apple-converted-space"/>
    <w:basedOn w:val="DefaultParagraphFont"/>
    <w:rsid w:val="00220EA2"/>
  </w:style>
  <w:style w:type="character" w:customStyle="1" w:styleId="bumpedfont17">
    <w:name w:val="bumpedfont17"/>
    <w:basedOn w:val="DefaultParagraphFont"/>
    <w:rsid w:val="00220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2506</Words>
  <Characters>14285</Characters>
  <Application>Microsoft Office Word</Application>
  <DocSecurity>0</DocSecurity>
  <Lines>119</Lines>
  <Paragraphs>33</Paragraphs>
  <ScaleCrop>false</ScaleCrop>
  <Company/>
  <LinksUpToDate>false</LinksUpToDate>
  <CharactersWithSpaces>16758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2026-03-01T13:39:00Z</dcterms:created>
  <dcterms:modified xsi:type="dcterms:W3CDTF">2026-03-01T13:39:00Z</dcterms:modified>
</cp:coreProperties>
</file>