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4FF0E88E" w:rsidR="5B843AF0" w:rsidRDefault="5B843AF0" w:rsidP="5B843AF0">
      <w:pPr>
        <w:ind w:right="237"/>
        <w:jc w:val="both"/>
        <w:rPr>
          <w:rFonts w:eastAsia="Arial"/>
          <w:color w:val="000000" w:themeColor="text1"/>
          <w:sz w:val="24"/>
          <w:szCs w:val="24"/>
        </w:rPr>
      </w:pPr>
    </w:p>
    <w:p w14:paraId="3FA08338" w14:textId="77777777" w:rsidR="00107E15" w:rsidRPr="00107E15" w:rsidRDefault="00107E15" w:rsidP="00107E15">
      <w:pPr>
        <w:textAlignment w:val="auto"/>
      </w:pPr>
      <w:r w:rsidRPr="00107E15">
        <w:t xml:space="preserve">The policing incident I will be discussing is a Domestic Violence incident between a mother and son. The parties in question have a vast DV history, whereby the perpetrator is the son and approximately forty years of age. In this essay I will discuss the different approaches used in this incident to protect the </w:t>
      </w:r>
      <w:proofErr w:type="gramStart"/>
      <w:r w:rsidRPr="00107E15">
        <w:t>victim, and</w:t>
      </w:r>
      <w:proofErr w:type="gramEnd"/>
      <w:r w:rsidRPr="00107E15">
        <w:t xml:space="preserve"> reflect on what happened.</w:t>
      </w:r>
    </w:p>
    <w:p w14:paraId="0BD6C0CE" w14:textId="77777777" w:rsidR="00107E15" w:rsidRPr="00107E15" w:rsidRDefault="00107E15" w:rsidP="00107E15">
      <w:pPr>
        <w:textAlignment w:val="auto"/>
      </w:pPr>
    </w:p>
    <w:p w14:paraId="48AF60EC" w14:textId="77777777" w:rsidR="00107E15" w:rsidRPr="00107E15" w:rsidRDefault="00107E15" w:rsidP="00107E15">
      <w:pPr>
        <w:textAlignment w:val="auto"/>
      </w:pPr>
      <w:r w:rsidRPr="00107E15">
        <w:t xml:space="preserve">Domestic Violence can be defined as “any incident or pattern of incidents of controlling, coercive, threatening behaviour, violence or abuse between those aged 16 or over who are, or who have been intimate partners or family members regardless of gender or sexuality”. (College of Policing 2023). </w:t>
      </w:r>
    </w:p>
    <w:p w14:paraId="0B261F85" w14:textId="77777777" w:rsidR="00107E15" w:rsidRPr="00107E15" w:rsidRDefault="00107E15" w:rsidP="00107E15">
      <w:pPr>
        <w:textAlignment w:val="auto"/>
      </w:pPr>
    </w:p>
    <w:p w14:paraId="5093E65D" w14:textId="77777777" w:rsidR="00107E15" w:rsidRPr="00107E15" w:rsidRDefault="00107E15" w:rsidP="00107E15">
      <w:pPr>
        <w:textAlignment w:val="auto"/>
      </w:pPr>
      <w:r w:rsidRPr="00107E15">
        <w:t xml:space="preserve">The perpetrator in this incident is also a prolific offender, with previous convictions for a range of offences such as Actual Bodily Harm, Possession of class A drugs, Theft, and Burglary. Approximately three months before the incident in question, the perpetrator was arrested for theft and fraud, as he had stolen his mother’s bank cards and used them without her permission. Whilst this was under investigation, the perpetrator was released from custody with bail conditions. The bail conditions were that he was prohibited from having any contract with his mother, and that he wasn’t allowed to attend his mother’s address. These bail conditions were imposed to protect his mother as the victim, and to prevent any further offences. </w:t>
      </w:r>
    </w:p>
    <w:p w14:paraId="54F96EB3" w14:textId="77777777" w:rsidR="00107E15" w:rsidRPr="00107E15" w:rsidRDefault="00107E15" w:rsidP="00107E15">
      <w:pPr>
        <w:textAlignment w:val="auto"/>
      </w:pPr>
    </w:p>
    <w:p w14:paraId="0018BEF8" w14:textId="77777777" w:rsidR="00107E15" w:rsidRPr="00107E15" w:rsidRDefault="00107E15" w:rsidP="00107E15">
      <w:pPr>
        <w:textAlignment w:val="auto"/>
      </w:pPr>
      <w:r w:rsidRPr="00107E15">
        <w:t xml:space="preserve">Whilst this investigation was ongoing, the perpetrator was recalled to prison for a breach of his licence conditions. There were no further incidents between the victim and perpetrator during this time. </w:t>
      </w:r>
    </w:p>
    <w:p w14:paraId="5062DFD3" w14:textId="77777777" w:rsidR="00107E15" w:rsidRPr="00107E15" w:rsidRDefault="00107E15" w:rsidP="00107E15">
      <w:pPr>
        <w:textAlignment w:val="auto"/>
      </w:pPr>
    </w:p>
    <w:p w14:paraId="7C31702D" w14:textId="77777777" w:rsidR="00107E15" w:rsidRPr="00107E15" w:rsidRDefault="00107E15" w:rsidP="00107E15">
      <w:pPr>
        <w:textAlignment w:val="auto"/>
      </w:pPr>
      <w:r w:rsidRPr="00107E15">
        <w:t xml:space="preserve">The day that the perpetrator was released from prison, he had </w:t>
      </w:r>
      <w:proofErr w:type="gramStart"/>
      <w:r w:rsidRPr="00107E15">
        <w:t>made arrangements</w:t>
      </w:r>
      <w:proofErr w:type="gramEnd"/>
      <w:r w:rsidRPr="00107E15">
        <w:t xml:space="preserve"> with the victim to go back to her home address. This was </w:t>
      </w:r>
      <w:proofErr w:type="gramStart"/>
      <w:r w:rsidRPr="00107E15">
        <w:t>despite the fact that</w:t>
      </w:r>
      <w:proofErr w:type="gramEnd"/>
      <w:r w:rsidRPr="00107E15">
        <w:t xml:space="preserve"> there were bail conditions in place, meaning that the perpetrator had broken his conditions. When he had arrived at his mother’s address, an altercation took place whereby he kicked his mother, causing severe bruising and haematoma. The perpetrator was arrested again and remanded into custody as he was recalled back to prison. The victim spent three days in hospital receiving treatment for her injuries. </w:t>
      </w:r>
    </w:p>
    <w:p w14:paraId="0FA9639D" w14:textId="77777777" w:rsidR="00107E15" w:rsidRPr="00107E15" w:rsidRDefault="00107E15" w:rsidP="00107E15">
      <w:pPr>
        <w:textAlignment w:val="auto"/>
      </w:pPr>
    </w:p>
    <w:p w14:paraId="705F3BD9" w14:textId="77777777" w:rsidR="00107E15" w:rsidRPr="00107E15" w:rsidRDefault="00107E15" w:rsidP="00107E15">
      <w:pPr>
        <w:textAlignment w:val="auto"/>
      </w:pPr>
      <w:r w:rsidRPr="00107E15">
        <w:lastRenderedPageBreak/>
        <w:t xml:space="preserve">For both incidents, the victim has made positive statements against the perpetrator. The victim resides in a council-run complex whereby there is a care line alarm in every flat. She lives alone in her flat, and she suffers with a disability which affects her mobility. </w:t>
      </w:r>
    </w:p>
    <w:p w14:paraId="1087EE6B" w14:textId="77777777" w:rsidR="00107E15" w:rsidRPr="00107E15" w:rsidRDefault="00107E15" w:rsidP="00107E15">
      <w:pPr>
        <w:textAlignment w:val="auto"/>
      </w:pPr>
    </w:p>
    <w:p w14:paraId="49D238A4" w14:textId="77777777" w:rsidR="00107E15" w:rsidRPr="00107E15" w:rsidRDefault="00107E15" w:rsidP="00107E15">
      <w:pPr>
        <w:textAlignment w:val="auto"/>
      </w:pPr>
      <w:r w:rsidRPr="00107E15">
        <w:t xml:space="preserve">When officers initially attended at both incidents, the victim was offered a DASH. A Domestic Abuse, Stalking and Harassment questionnaire is offered to every victim of domestic abuse. It is a set of twenty-six questions, which are largely yes or no answers, and the answers given are used to determine a level of risk.  A DASH should be offered to the victim at every domestic incident, regardless of whether an offence has taken place. The DASH which is completed with the victim is then sent to the local authority, and in the case that the victim refuses a DASH, one will be submitted in on their behalf. </w:t>
      </w:r>
    </w:p>
    <w:p w14:paraId="20D3C725" w14:textId="77777777" w:rsidR="00107E15" w:rsidRPr="00107E15" w:rsidRDefault="00107E15" w:rsidP="00107E15">
      <w:pPr>
        <w:textAlignment w:val="auto"/>
      </w:pPr>
    </w:p>
    <w:p w14:paraId="778B8891" w14:textId="77777777" w:rsidR="00107E15" w:rsidRPr="00107E15" w:rsidRDefault="00107E15" w:rsidP="00107E15">
      <w:pPr>
        <w:textAlignment w:val="auto"/>
      </w:pPr>
      <w:r w:rsidRPr="00107E15">
        <w:t xml:space="preserve">Dr Amanda Robinson from Cardiff University conducted a study whereby forty-three police forces were asked to describe their approaches in dealing with domestic incidents and the way in which they use the DASH. The aim of the study was to identify the different approaches or models of risk-led policing. To conduct this study, two-thousand domestic abuse incidents were analysed, sixty-one interviews with police were conducted and there were over a thousand online surveys conducted. Overall, the DASH was found to be a valued concept. However, the quality and completeness of the DASH was found to be an issue and a cause of concern for police and partners, which has raised questions regarding the operational delivery of it. Of the Independent Domestic Violence Advisors (IDVAs) who were involved in the study, it was suggested that response officers do not have the time to spend with victims which would ensure that the DASH was completed properly. Whilst the questions are mostly ‘yes’ or ‘no’ answers, there is a lack of detailed information which would help to give a deeper understanding. An issue raised by officers was that there is not enough training in relation to how to effectively complete a DASH to ensure that the most effective risk assessment is made (Robinson 2016). </w:t>
      </w:r>
    </w:p>
    <w:p w14:paraId="3F03105F" w14:textId="77777777" w:rsidR="00107E15" w:rsidRPr="00107E15" w:rsidRDefault="00107E15" w:rsidP="00107E15">
      <w:pPr>
        <w:textAlignment w:val="auto"/>
      </w:pPr>
    </w:p>
    <w:p w14:paraId="7397E35A" w14:textId="77777777" w:rsidR="00107E15" w:rsidRPr="00107E15" w:rsidRDefault="00107E15" w:rsidP="00107E15">
      <w:pPr>
        <w:textAlignment w:val="auto"/>
      </w:pPr>
      <w:r w:rsidRPr="00107E15">
        <w:t xml:space="preserve">Another study was conducted by Liverpool John </w:t>
      </w:r>
      <w:proofErr w:type="spellStart"/>
      <w:r w:rsidRPr="00107E15">
        <w:t>Moores</w:t>
      </w:r>
      <w:proofErr w:type="spellEnd"/>
      <w:r w:rsidRPr="00107E15">
        <w:t xml:space="preserve"> University, whereby the risk factors that are included on a DASH were evaluated for reoffending rates. Data from Devon and Cornwall Constabulary was used, and one thousand, four hundred and forty-one domestic abuse perpetrators were monitored over a twelve-month period. It was found that 18.7 percent committed a further domestic abuse offence. The study aimed to identify the risk assessment factors which when answered ‘yes’, were the most attributed to reoffending. It was found that ‘criminal history’, ‘frightened’, ‘problems with drugs or alcohol’, and ‘separation’ were the risk factors present in this group. The most significant of the two were ‘separated’ and ‘criminal history’, and of the reoffenders, approximately half of them were considered violent. The study indicated that of the twenty-five risk factors on a DASH, twenty-one do not necessarily indicate whether they will reoffend. Whilst this study provided an insight into whether the risk factors were effective, it did not provide an evaluation into the effectiveness of the </w:t>
      </w:r>
      <w:proofErr w:type="gramStart"/>
      <w:r w:rsidRPr="00107E15">
        <w:t>DASH as a whole</w:t>
      </w:r>
      <w:proofErr w:type="gramEnd"/>
      <w:r w:rsidRPr="00107E15">
        <w:t xml:space="preserve"> (Almond et al 2017). The perpetrator in this incident had both a criminal history, and is a regular drug user, an alcoholic and heroin addict, and has a warning marker for violent. The case in question therefore provides support for this claim that the above characteristics are attributed to reoffending.</w:t>
      </w:r>
    </w:p>
    <w:p w14:paraId="24F9E18B" w14:textId="77777777" w:rsidR="00107E15" w:rsidRPr="00107E15" w:rsidRDefault="00107E15" w:rsidP="00107E15">
      <w:pPr>
        <w:textAlignment w:val="auto"/>
      </w:pPr>
    </w:p>
    <w:p w14:paraId="214E5010" w14:textId="77777777" w:rsidR="00107E15" w:rsidRPr="00107E15" w:rsidRDefault="00107E15" w:rsidP="00107E15">
      <w:pPr>
        <w:textAlignment w:val="auto"/>
      </w:pPr>
      <w:r w:rsidRPr="00107E15">
        <w:t xml:space="preserve">In this incident, the victim refused to complete a DASH as she has a vast DV history involving her son. She would have been offered the DASH at the time of every incident, and because she had done it so many times, she did not want to do it again. In her words “Nothing happens anyway”. </w:t>
      </w:r>
    </w:p>
    <w:p w14:paraId="546242FD" w14:textId="77777777" w:rsidR="00107E15" w:rsidRPr="00107E15" w:rsidRDefault="00107E15" w:rsidP="00107E15">
      <w:pPr>
        <w:textAlignment w:val="auto"/>
      </w:pPr>
      <w:r w:rsidRPr="00107E15">
        <w:t>In the previous DASH risk assessments, which had been completed at the time of the other incidents, the victim has been graded as high risk through her answers on the DASH. With factors such as the fact that both parties live at separate addresses, on this occasion they were medium risk.</w:t>
      </w:r>
    </w:p>
    <w:p w14:paraId="58B0C132" w14:textId="77777777" w:rsidR="00107E15" w:rsidRPr="00107E15" w:rsidRDefault="00107E15" w:rsidP="00107E15">
      <w:pPr>
        <w:textAlignment w:val="auto"/>
      </w:pPr>
    </w:p>
    <w:p w14:paraId="0FF07A7A" w14:textId="77777777" w:rsidR="00107E15" w:rsidRPr="00107E15" w:rsidRDefault="00107E15" w:rsidP="00107E15">
      <w:pPr>
        <w:textAlignment w:val="auto"/>
      </w:pPr>
      <w:r w:rsidRPr="00107E15">
        <w:t xml:space="preserve">Repeat victims of Domestic Abuse can also be considered for a ‘flag’ or critical marker, to ensure that any calls involving the victim or at the address are treated urgent, and all officers are aware of the previous history between the parties. The victim’s address had a critical marker for Domestic Abuse from previous incidents, and the victim herself also had a flag for a Domestic Abuse victim from her son as the perpetrator. </w:t>
      </w:r>
    </w:p>
    <w:p w14:paraId="17974F99" w14:textId="77777777" w:rsidR="00107E15" w:rsidRPr="00107E15" w:rsidRDefault="00107E15" w:rsidP="00107E15">
      <w:pPr>
        <w:textAlignment w:val="auto"/>
      </w:pPr>
    </w:p>
    <w:p w14:paraId="22D559AE" w14:textId="77777777" w:rsidR="00107E15" w:rsidRPr="00107E15" w:rsidRDefault="00107E15" w:rsidP="00107E15">
      <w:pPr>
        <w:textAlignment w:val="auto"/>
      </w:pPr>
      <w:r w:rsidRPr="00107E15">
        <w:t xml:space="preserve">When victims of Domestic Abuse are graded as high risk, they are offered the support of an Independent Domestic Violence Advisor (IDVA). The role of an IDVA can be defined according to seven key principles: independence, professionalism through intensive training, a focus on safety options, crisis interventions, supporting high risk victims, working in partnership with statutory and </w:t>
      </w:r>
      <w:r w:rsidRPr="00107E15">
        <w:lastRenderedPageBreak/>
        <w:t xml:space="preserve">voluntary services, and reducing victim withdrawal (Ross et al, 2022). Due to the previous high-risk grading for the victim, she previously had an IDVA allocated to her, she did not in this case because of the medium-risk grading. This meant that even after working with an IDVA, she was still considered a repeat victim of DV. In this case, the IDVA was crucial, I worked alongside her to ensure that the victim was adequately safeguarded. Due to the nature of my role as a response officer, it was not always possible for me to update the victim regularly. I found that the IDVA was in regular contact with the victim, and when I had spoken to the </w:t>
      </w:r>
      <w:proofErr w:type="gramStart"/>
      <w:r w:rsidRPr="00107E15">
        <w:t>victim</w:t>
      </w:r>
      <w:proofErr w:type="gramEnd"/>
      <w:r w:rsidRPr="00107E15">
        <w:t xml:space="preserve"> she agreed that the IDVA had been helpful with her safeguarding and reassurance. </w:t>
      </w:r>
    </w:p>
    <w:p w14:paraId="6DDE2B6B" w14:textId="77777777" w:rsidR="00107E15" w:rsidRPr="00107E15" w:rsidRDefault="00107E15" w:rsidP="00107E15">
      <w:pPr>
        <w:textAlignment w:val="auto"/>
      </w:pPr>
    </w:p>
    <w:p w14:paraId="7F34A573" w14:textId="77777777" w:rsidR="00107E15" w:rsidRPr="00107E15" w:rsidRDefault="00107E15" w:rsidP="00107E15">
      <w:pPr>
        <w:textAlignment w:val="auto"/>
      </w:pPr>
      <w:r w:rsidRPr="00107E15">
        <w:t xml:space="preserve">A Multi-Agency Risk Assessment Conference (MARAC) unites statutory and non-statutory </w:t>
      </w:r>
      <w:proofErr w:type="gramStart"/>
      <w:r w:rsidRPr="00107E15">
        <w:t>agencies, and</w:t>
      </w:r>
      <w:proofErr w:type="gramEnd"/>
      <w:r w:rsidRPr="00107E15">
        <w:t xml:space="preserve"> will coordinate a response to support the victim (Cleaver et al 2019). A MARAC may be held for three reasons; through an actuarial risk assessment, professional judgement, or through the MARAC threshold, which is when an incident is graded as high risk (Robinson, 20130</w:t>
      </w:r>
      <w:proofErr w:type="gramStart"/>
      <w:r w:rsidRPr="00107E15">
        <w:t>).The</w:t>
      </w:r>
      <w:proofErr w:type="gramEnd"/>
      <w:r w:rsidRPr="00107E15">
        <w:t xml:space="preserve"> first MARAC meeting was held in Cardiff in 2003, and they are now held in over two hundred and fifty areas. An IDVA plays a crucial role in a MARAC meeting, as they will coordinate the actions of the involved </w:t>
      </w:r>
      <w:proofErr w:type="gramStart"/>
      <w:r w:rsidRPr="00107E15">
        <w:t>areas, and</w:t>
      </w:r>
      <w:proofErr w:type="gramEnd"/>
      <w:r w:rsidRPr="00107E15">
        <w:t xml:space="preserve"> represent the victim’s voice. There was a MARAC meeting held in relation to the above domestic incident I attended, even though this incident wasn’t high risk. During this meeting, there was a safeguarding plan developed and put in place for the victim. An example of this included supplying her with a Ring Doorbell, on the front of her flat door, so that she knew who was outside before she considered opening the door. </w:t>
      </w:r>
    </w:p>
    <w:p w14:paraId="21BC171A" w14:textId="77777777" w:rsidR="00107E15" w:rsidRPr="00107E15" w:rsidRDefault="00107E15" w:rsidP="00107E15">
      <w:pPr>
        <w:textAlignment w:val="auto"/>
      </w:pPr>
    </w:p>
    <w:p w14:paraId="47CF10B2" w14:textId="77777777" w:rsidR="00107E15" w:rsidRPr="00107E15" w:rsidRDefault="00107E15" w:rsidP="00107E15">
      <w:pPr>
        <w:textAlignment w:val="auto"/>
      </w:pPr>
      <w:r w:rsidRPr="00107E15">
        <w:t xml:space="preserve">Whilst the most important thing is to ensure that the victim is properly safeguarded, due to the level of assault which had taken place, it was very important to ensure that the offence was investigated. Whilst dealing with a vulnerable victim who is likely to be called to court to give evidence, it is important to discuss special measures with them. Vulnerable victims are set out by the Youth and Criminal Evidence Act 1999, and categorised as children, people with learning disabilities or mentally disordered, people with a physical disability or disorder, and people suffering from fear or distress </w:t>
      </w:r>
      <w:proofErr w:type="gramStart"/>
      <w:r w:rsidRPr="00107E15">
        <w:t>as a result of</w:t>
      </w:r>
      <w:proofErr w:type="gramEnd"/>
      <w:r w:rsidRPr="00107E15">
        <w:t xml:space="preserve"> the crime or as a result of intimidation (Burton et al, 2006). The victim in this incident </w:t>
      </w:r>
      <w:proofErr w:type="gramStart"/>
      <w:r w:rsidRPr="00107E15">
        <w:t>was considered to be</w:t>
      </w:r>
      <w:proofErr w:type="gramEnd"/>
      <w:r w:rsidRPr="00107E15">
        <w:t xml:space="preserve"> vulnerable as she suffered from depression and anxiety. Since the perpetrator in this case was her son, she felt particularly anxious about giving evidence in court. </w:t>
      </w:r>
    </w:p>
    <w:p w14:paraId="6DC044BE" w14:textId="77777777" w:rsidR="00107E15" w:rsidRPr="00107E15" w:rsidRDefault="00107E15" w:rsidP="00107E15">
      <w:pPr>
        <w:textAlignment w:val="auto"/>
      </w:pPr>
    </w:p>
    <w:p w14:paraId="041A2330" w14:textId="77777777" w:rsidR="00107E15" w:rsidRPr="00107E15" w:rsidRDefault="00107E15" w:rsidP="00107E15">
      <w:pPr>
        <w:textAlignment w:val="auto"/>
        <w:rPr>
          <w:i/>
        </w:rPr>
      </w:pPr>
      <w:r w:rsidRPr="00107E15">
        <w:t xml:space="preserve">The Youth and Criminal Evidence Act 1999 recognised that some victims and witnesses may struggle when giving evidence in court, and special measures were therefore introduced </w:t>
      </w:r>
      <w:proofErr w:type="gramStart"/>
      <w:r w:rsidRPr="00107E15">
        <w:t>in order to</w:t>
      </w:r>
      <w:proofErr w:type="gramEnd"/>
      <w:r w:rsidRPr="00107E15">
        <w:t xml:space="preserve">. The special measures include but are not limited to; giving evidence behind a screen positioned around the witness box, removal of wigs and gowns, and the use of video-recorded evidence (Charles 2012). A study conducted by Burton in 2006, found that those experiencing anxiety reduced from 27% to 17% after the introduction of special measures, and that the most distressing part of going to court for victims was seeing the defendant or their associates (Burton, 2006). The victim in the above incident was initially very reluctant to go to court. However, after I had a discussion with her about the options of special measures, she became more relaxed and willing to go. She stated that she would feel much more comfortable if she was able to give evidence via live link as she felt in fear of being near her son. </w:t>
      </w:r>
      <w:proofErr w:type="gramStart"/>
      <w:r w:rsidRPr="00107E15">
        <w:t>In order for</w:t>
      </w:r>
      <w:proofErr w:type="gramEnd"/>
      <w:r w:rsidRPr="00107E15">
        <w:t xml:space="preserve"> the courts to be aware of the victim’s wishes, I submitted an MG02 form with the case file so that a decision could be made on whether the special measures requested would be granted. When taking a witness statement from any victim or witness, they are asked whether they have any other needs aside from any special measures they feel they need. As the victim has a physical </w:t>
      </w:r>
      <w:proofErr w:type="gramStart"/>
      <w:r w:rsidRPr="00107E15">
        <w:t>disability, and</w:t>
      </w:r>
      <w:proofErr w:type="gramEnd"/>
      <w:r w:rsidRPr="00107E15">
        <w:t xml:space="preserve"> is not able to stand for long periods of time, this was noted on the MG11. Due to this, the courts should take this into consideration and ensure that provisions are put in place to meet this need. </w:t>
      </w:r>
    </w:p>
    <w:p w14:paraId="79C4AD25" w14:textId="77777777" w:rsidR="00107E15" w:rsidRPr="00107E15" w:rsidRDefault="00107E15" w:rsidP="00107E15">
      <w:pPr>
        <w:textAlignment w:val="auto"/>
      </w:pPr>
      <w:r w:rsidRPr="00107E15">
        <w:t xml:space="preserve"> </w:t>
      </w:r>
    </w:p>
    <w:p w14:paraId="32543270" w14:textId="77777777" w:rsidR="00FF315D" w:rsidRDefault="00107E15" w:rsidP="00FF315D">
      <w:pPr>
        <w:textAlignment w:val="auto"/>
      </w:pPr>
      <w:r w:rsidRPr="00107E15">
        <w:t xml:space="preserve">To conclude, it is evident that there are multiple ways of ensuring that vulnerable victims of domestic abuse can be supported. For domestic abuse victims, the first stage of this is the DASH risk assessment which ensures that the most effective safeguarding provisions can be put in place. The victim initially refused a DASH, which meant I completed one and answered the questions as accurately as possible on behalf of the victim. Perhaps if the victim had been willing to complete one, other safeguarding options may have been identified. The victim in the discussed incident was difficult to safeguard, due to her being initially reluctant for there to be police involvement. For both the theft and her bank card and the assault, the victim did not ring the police herself, as the calls came both from the care line she has installed in her address. There are a vast number of ways that vulnerable victims can be supported, especially for domestic incidents, and I believe that the involvement of an IDVA, the domestic abuse safeguarding team within Gwent Police has aided this. </w:t>
      </w:r>
    </w:p>
    <w:p w14:paraId="6B0989EF" w14:textId="18F60CC2" w:rsidR="00025650" w:rsidRPr="00FF315D" w:rsidRDefault="5B843AF0" w:rsidP="00FF315D">
      <w:pPr>
        <w:textAlignment w:val="auto"/>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54835966" w14:textId="77777777" w:rsidR="00FF315D" w:rsidRDefault="00FF315D" w:rsidP="5CE196A1">
      <w:pPr>
        <w:ind w:right="237"/>
        <w:jc w:val="center"/>
        <w:rPr>
          <w:b/>
          <w:bCs/>
          <w:color w:val="000000" w:themeColor="text1"/>
          <w:sz w:val="28"/>
          <w:szCs w:val="28"/>
          <w:u w:val="single"/>
        </w:rPr>
      </w:pPr>
    </w:p>
    <w:p w14:paraId="5B664814" w14:textId="77777777" w:rsidR="00FF315D" w:rsidRDefault="00FF315D" w:rsidP="5CE196A1">
      <w:pPr>
        <w:ind w:right="237"/>
        <w:jc w:val="center"/>
        <w:rPr>
          <w:b/>
          <w:bCs/>
          <w:color w:val="000000" w:themeColor="text1"/>
          <w:sz w:val="28"/>
          <w:szCs w:val="28"/>
          <w:u w:val="single"/>
        </w:rPr>
      </w:pPr>
    </w:p>
    <w:p w14:paraId="4B39BB0E" w14:textId="77777777" w:rsidR="00FF315D" w:rsidRDefault="00FF315D" w:rsidP="5CE196A1">
      <w:pPr>
        <w:ind w:right="237"/>
        <w:jc w:val="center"/>
        <w:rPr>
          <w:b/>
          <w:bCs/>
          <w:color w:val="000000" w:themeColor="text1"/>
          <w:sz w:val="28"/>
          <w:szCs w:val="28"/>
          <w:u w:val="single"/>
        </w:rPr>
      </w:pPr>
    </w:p>
    <w:p w14:paraId="5B465A45" w14:textId="77777777" w:rsidR="00FF315D" w:rsidRDefault="00FF315D" w:rsidP="5CE196A1">
      <w:pPr>
        <w:ind w:right="237"/>
        <w:jc w:val="center"/>
        <w:rPr>
          <w:b/>
          <w:bCs/>
          <w:color w:val="000000" w:themeColor="text1"/>
          <w:sz w:val="28"/>
          <w:szCs w:val="28"/>
          <w:u w:val="single"/>
        </w:rPr>
      </w:pPr>
    </w:p>
    <w:p w14:paraId="25ACACEF" w14:textId="77777777" w:rsidR="00FF315D" w:rsidRDefault="00FF315D" w:rsidP="5CE196A1">
      <w:pPr>
        <w:ind w:right="237"/>
        <w:jc w:val="center"/>
        <w:rPr>
          <w:b/>
          <w:bCs/>
          <w:color w:val="000000" w:themeColor="text1"/>
          <w:sz w:val="28"/>
          <w:szCs w:val="28"/>
          <w:u w:val="single"/>
        </w:rPr>
      </w:pPr>
    </w:p>
    <w:p w14:paraId="172C4A1E" w14:textId="77777777" w:rsidR="00FF315D" w:rsidRDefault="00FF315D" w:rsidP="5CE196A1">
      <w:pPr>
        <w:ind w:right="237"/>
        <w:jc w:val="center"/>
        <w:rPr>
          <w:b/>
          <w:bCs/>
          <w:color w:val="000000" w:themeColor="text1"/>
          <w:sz w:val="28"/>
          <w:szCs w:val="28"/>
          <w:u w:val="single"/>
        </w:rPr>
      </w:pPr>
    </w:p>
    <w:p w14:paraId="174E42A3" w14:textId="77777777" w:rsidR="00FF315D" w:rsidRDefault="00FF315D" w:rsidP="5CE196A1">
      <w:pPr>
        <w:ind w:right="237"/>
        <w:jc w:val="center"/>
        <w:rPr>
          <w:b/>
          <w:bCs/>
          <w:color w:val="000000" w:themeColor="text1"/>
          <w:sz w:val="28"/>
          <w:szCs w:val="28"/>
          <w:u w:val="single"/>
        </w:rPr>
      </w:pPr>
    </w:p>
    <w:p w14:paraId="4DAC31A9" w14:textId="77777777" w:rsidR="00FF315D" w:rsidRDefault="00FF315D" w:rsidP="5CE196A1">
      <w:pPr>
        <w:ind w:right="237"/>
        <w:jc w:val="center"/>
        <w:rPr>
          <w:b/>
          <w:bCs/>
          <w:color w:val="000000" w:themeColor="text1"/>
          <w:sz w:val="28"/>
          <w:szCs w:val="28"/>
          <w:u w:val="single"/>
        </w:rPr>
      </w:pPr>
    </w:p>
    <w:p w14:paraId="4CD0EF2D" w14:textId="77777777" w:rsidR="00FF315D" w:rsidRDefault="00FF315D" w:rsidP="5CE196A1">
      <w:pPr>
        <w:ind w:right="237"/>
        <w:jc w:val="center"/>
        <w:rPr>
          <w:b/>
          <w:bCs/>
          <w:color w:val="000000" w:themeColor="text1"/>
          <w:sz w:val="28"/>
          <w:szCs w:val="28"/>
          <w:u w:val="single"/>
        </w:rPr>
      </w:pPr>
    </w:p>
    <w:p w14:paraId="3D68C947" w14:textId="77777777" w:rsidR="00FF315D" w:rsidRDefault="00FF315D" w:rsidP="5CE196A1">
      <w:pPr>
        <w:ind w:right="237"/>
        <w:jc w:val="center"/>
        <w:rPr>
          <w:b/>
          <w:bCs/>
          <w:color w:val="000000" w:themeColor="text1"/>
          <w:sz w:val="28"/>
          <w:szCs w:val="28"/>
          <w:u w:val="single"/>
        </w:rPr>
      </w:pPr>
    </w:p>
    <w:p w14:paraId="7BFCFA77" w14:textId="77777777" w:rsidR="00FF315D" w:rsidRDefault="00FF315D" w:rsidP="5CE196A1">
      <w:pPr>
        <w:ind w:right="237"/>
        <w:jc w:val="center"/>
        <w:rPr>
          <w:b/>
          <w:bCs/>
          <w:color w:val="000000" w:themeColor="text1"/>
          <w:sz w:val="28"/>
          <w:szCs w:val="28"/>
          <w:u w:val="single"/>
        </w:rPr>
      </w:pPr>
    </w:p>
    <w:p w14:paraId="2D2C9E8E" w14:textId="77777777" w:rsidR="00FF315D" w:rsidRDefault="00FF315D" w:rsidP="5CE196A1">
      <w:pPr>
        <w:ind w:right="237"/>
        <w:jc w:val="center"/>
        <w:rPr>
          <w:b/>
          <w:bCs/>
          <w:color w:val="000000" w:themeColor="text1"/>
          <w:sz w:val="28"/>
          <w:szCs w:val="28"/>
          <w:u w:val="single"/>
        </w:rPr>
      </w:pPr>
    </w:p>
    <w:p w14:paraId="5098E378" w14:textId="77777777" w:rsidR="00FF315D" w:rsidRDefault="00FF315D" w:rsidP="5CE196A1">
      <w:pPr>
        <w:ind w:right="237"/>
        <w:jc w:val="center"/>
        <w:rPr>
          <w:b/>
          <w:bCs/>
          <w:color w:val="000000" w:themeColor="text1"/>
          <w:sz w:val="28"/>
          <w:szCs w:val="28"/>
          <w:u w:val="single"/>
        </w:rPr>
      </w:pPr>
    </w:p>
    <w:p w14:paraId="0F255DC4" w14:textId="77777777" w:rsidR="00FF315D" w:rsidRDefault="00FF315D" w:rsidP="5CE196A1">
      <w:pPr>
        <w:ind w:right="237"/>
        <w:jc w:val="center"/>
        <w:rPr>
          <w:b/>
          <w:bCs/>
          <w:color w:val="000000" w:themeColor="text1"/>
          <w:sz w:val="28"/>
          <w:szCs w:val="28"/>
          <w:u w:val="single"/>
        </w:rPr>
      </w:pPr>
    </w:p>
    <w:p w14:paraId="14319E5C" w14:textId="77777777" w:rsidR="00FF315D" w:rsidRDefault="00FF315D" w:rsidP="5CE196A1">
      <w:pPr>
        <w:ind w:right="237"/>
        <w:jc w:val="center"/>
        <w:rPr>
          <w:b/>
          <w:bCs/>
          <w:color w:val="000000" w:themeColor="text1"/>
          <w:sz w:val="28"/>
          <w:szCs w:val="28"/>
          <w:u w:val="single"/>
        </w:rPr>
      </w:pPr>
    </w:p>
    <w:p w14:paraId="44C81593" w14:textId="77777777" w:rsidR="00FF315D" w:rsidRDefault="00FF315D" w:rsidP="5CE196A1">
      <w:pPr>
        <w:ind w:right="237"/>
        <w:jc w:val="center"/>
        <w:rPr>
          <w:b/>
          <w:bCs/>
          <w:color w:val="000000" w:themeColor="text1"/>
          <w:sz w:val="28"/>
          <w:szCs w:val="28"/>
          <w:u w:val="single"/>
        </w:rPr>
      </w:pPr>
    </w:p>
    <w:p w14:paraId="0825F1AC" w14:textId="77777777" w:rsidR="00FF315D" w:rsidRDefault="00FF315D" w:rsidP="5CE196A1">
      <w:pPr>
        <w:ind w:right="237"/>
        <w:jc w:val="center"/>
        <w:rPr>
          <w:b/>
          <w:bCs/>
          <w:color w:val="000000" w:themeColor="text1"/>
          <w:sz w:val="28"/>
          <w:szCs w:val="28"/>
          <w:u w:val="single"/>
        </w:rPr>
      </w:pPr>
    </w:p>
    <w:p w14:paraId="67292DE8" w14:textId="77777777" w:rsidR="00FF315D" w:rsidRDefault="00FF315D" w:rsidP="5CE196A1">
      <w:pPr>
        <w:ind w:right="237"/>
        <w:jc w:val="center"/>
        <w:rPr>
          <w:b/>
          <w:bCs/>
          <w:color w:val="000000" w:themeColor="text1"/>
          <w:sz w:val="28"/>
          <w:szCs w:val="28"/>
          <w:u w:val="single"/>
        </w:rPr>
      </w:pPr>
    </w:p>
    <w:p w14:paraId="07C93622" w14:textId="77777777" w:rsidR="00FF315D" w:rsidRDefault="00FF315D" w:rsidP="5CE196A1">
      <w:pPr>
        <w:ind w:right="237"/>
        <w:jc w:val="center"/>
        <w:rPr>
          <w:b/>
          <w:bCs/>
          <w:color w:val="000000" w:themeColor="text1"/>
          <w:sz w:val="28"/>
          <w:szCs w:val="28"/>
          <w:u w:val="single"/>
        </w:rPr>
      </w:pPr>
    </w:p>
    <w:p w14:paraId="0800A2CE" w14:textId="77777777" w:rsidR="00FF315D" w:rsidRDefault="00FF315D" w:rsidP="5CE196A1">
      <w:pPr>
        <w:ind w:right="237"/>
        <w:jc w:val="center"/>
        <w:rPr>
          <w:b/>
          <w:bCs/>
          <w:color w:val="000000" w:themeColor="text1"/>
          <w:sz w:val="28"/>
          <w:szCs w:val="28"/>
          <w:u w:val="single"/>
        </w:rPr>
      </w:pPr>
    </w:p>
    <w:p w14:paraId="0F19B198" w14:textId="77777777" w:rsidR="00FF315D" w:rsidRDefault="00FF315D" w:rsidP="5CE196A1">
      <w:pPr>
        <w:ind w:right="237"/>
        <w:jc w:val="center"/>
        <w:rPr>
          <w:b/>
          <w:bCs/>
          <w:color w:val="000000" w:themeColor="text1"/>
          <w:sz w:val="28"/>
          <w:szCs w:val="28"/>
          <w:u w:val="single"/>
        </w:rPr>
      </w:pPr>
    </w:p>
    <w:p w14:paraId="1B2B3E6B" w14:textId="77777777" w:rsidR="00FF315D" w:rsidRDefault="00FF315D" w:rsidP="5CE196A1">
      <w:pPr>
        <w:ind w:right="237"/>
        <w:jc w:val="center"/>
        <w:rPr>
          <w:b/>
          <w:bCs/>
          <w:color w:val="000000" w:themeColor="text1"/>
          <w:sz w:val="28"/>
          <w:szCs w:val="28"/>
          <w:u w:val="single"/>
        </w:rPr>
      </w:pPr>
    </w:p>
    <w:p w14:paraId="3F092107" w14:textId="77777777" w:rsidR="00FF315D" w:rsidRDefault="00FF315D" w:rsidP="5CE196A1">
      <w:pPr>
        <w:ind w:right="237"/>
        <w:jc w:val="center"/>
        <w:rPr>
          <w:b/>
          <w:bCs/>
          <w:color w:val="000000" w:themeColor="text1"/>
          <w:sz w:val="28"/>
          <w:szCs w:val="28"/>
          <w:u w:val="single"/>
        </w:rPr>
      </w:pPr>
    </w:p>
    <w:p w14:paraId="5780F30B" w14:textId="77777777" w:rsidR="00FF315D" w:rsidRDefault="00FF315D" w:rsidP="5CE196A1">
      <w:pPr>
        <w:ind w:right="237"/>
        <w:jc w:val="center"/>
        <w:rPr>
          <w:b/>
          <w:bCs/>
          <w:color w:val="000000" w:themeColor="text1"/>
          <w:sz w:val="28"/>
          <w:szCs w:val="28"/>
          <w:u w:val="single"/>
        </w:rPr>
      </w:pPr>
    </w:p>
    <w:p w14:paraId="4C3B628B" w14:textId="77777777" w:rsidR="00FF315D" w:rsidRDefault="00FF315D" w:rsidP="5CE196A1">
      <w:pPr>
        <w:ind w:right="237"/>
        <w:jc w:val="center"/>
        <w:rPr>
          <w:b/>
          <w:bCs/>
          <w:color w:val="000000" w:themeColor="text1"/>
          <w:sz w:val="28"/>
          <w:szCs w:val="28"/>
          <w:u w:val="single"/>
        </w:rPr>
      </w:pPr>
    </w:p>
    <w:p w14:paraId="440A5519" w14:textId="77777777" w:rsidR="00FF315D" w:rsidRDefault="00FF315D" w:rsidP="5CE196A1">
      <w:pPr>
        <w:ind w:right="237"/>
        <w:jc w:val="center"/>
        <w:rPr>
          <w:b/>
          <w:bCs/>
          <w:color w:val="000000" w:themeColor="text1"/>
          <w:sz w:val="28"/>
          <w:szCs w:val="28"/>
          <w:u w:val="single"/>
        </w:rPr>
      </w:pPr>
    </w:p>
    <w:p w14:paraId="5F153F5C" w14:textId="77777777" w:rsidR="00FF315D" w:rsidRDefault="00FF315D" w:rsidP="5CE196A1">
      <w:pPr>
        <w:ind w:right="237"/>
        <w:jc w:val="center"/>
        <w:rPr>
          <w:b/>
          <w:bCs/>
          <w:color w:val="000000" w:themeColor="text1"/>
          <w:sz w:val="28"/>
          <w:szCs w:val="28"/>
          <w:u w:val="single"/>
        </w:rPr>
      </w:pPr>
    </w:p>
    <w:p w14:paraId="44BF351E" w14:textId="77777777" w:rsidR="00FF315D" w:rsidRDefault="00FF315D" w:rsidP="5CE196A1">
      <w:pPr>
        <w:ind w:right="237"/>
        <w:jc w:val="center"/>
        <w:rPr>
          <w:b/>
          <w:bCs/>
          <w:color w:val="000000" w:themeColor="text1"/>
          <w:sz w:val="28"/>
          <w:szCs w:val="28"/>
          <w:u w:val="single"/>
        </w:rPr>
      </w:pPr>
    </w:p>
    <w:p w14:paraId="331555D7" w14:textId="77777777" w:rsidR="00FF315D" w:rsidRDefault="00FF315D" w:rsidP="5CE196A1">
      <w:pPr>
        <w:ind w:right="237"/>
        <w:jc w:val="center"/>
        <w:rPr>
          <w:b/>
          <w:bCs/>
          <w:color w:val="000000" w:themeColor="text1"/>
          <w:sz w:val="28"/>
          <w:szCs w:val="28"/>
          <w:u w:val="single"/>
        </w:rPr>
      </w:pPr>
    </w:p>
    <w:p w14:paraId="721B39A2" w14:textId="77777777" w:rsidR="00FF315D" w:rsidRDefault="00FF315D" w:rsidP="5CE196A1">
      <w:pPr>
        <w:ind w:right="237"/>
        <w:jc w:val="center"/>
        <w:rPr>
          <w:b/>
          <w:bCs/>
          <w:color w:val="000000" w:themeColor="text1"/>
          <w:sz w:val="28"/>
          <w:szCs w:val="28"/>
          <w:u w:val="single"/>
        </w:rPr>
      </w:pPr>
    </w:p>
    <w:p w14:paraId="68C0B316" w14:textId="77777777" w:rsidR="00FF315D" w:rsidRDefault="00FF315D" w:rsidP="5CE196A1">
      <w:pPr>
        <w:ind w:right="237"/>
        <w:jc w:val="center"/>
        <w:rPr>
          <w:b/>
          <w:bCs/>
          <w:color w:val="000000" w:themeColor="text1"/>
          <w:sz w:val="28"/>
          <w:szCs w:val="28"/>
          <w:u w:val="single"/>
        </w:rPr>
      </w:pPr>
    </w:p>
    <w:p w14:paraId="440C1242" w14:textId="038A3931"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proofErr w:type="gramStart"/>
      <w:r w:rsidRPr="5CE196A1">
        <w:rPr>
          <w:rFonts w:eastAsia="Arial"/>
          <w:color w:val="000000" w:themeColor="text1"/>
          <w:sz w:val="24"/>
          <w:szCs w:val="24"/>
        </w:rPr>
        <w:t>In regard to</w:t>
      </w:r>
      <w:bookmarkEnd w:id="0"/>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52303068" w14:textId="77777777" w:rsidR="00FF315D" w:rsidRPr="00FF315D" w:rsidRDefault="00FF315D" w:rsidP="00FF315D">
      <w:pPr>
        <w:textAlignment w:val="auto"/>
      </w:pPr>
      <w:r w:rsidRPr="00FF315D">
        <w:t xml:space="preserve">Community policing is based on </w:t>
      </w:r>
      <w:proofErr w:type="gramStart"/>
      <w:r w:rsidRPr="00FF315D">
        <w:t>a number of</w:t>
      </w:r>
      <w:proofErr w:type="gramEnd"/>
      <w:r w:rsidRPr="00FF315D">
        <w:t xml:space="preserve"> core values and principles, the defining features of which include the recognition of the police as members of the community, the fact their power depends on public approval and a clear emphasis on prevention. These values can be traced back to </w:t>
      </w:r>
      <w:proofErr w:type="spellStart"/>
      <w:r w:rsidRPr="00FF315D">
        <w:t>Peelian</w:t>
      </w:r>
      <w:proofErr w:type="spellEnd"/>
      <w:r w:rsidRPr="00FF315D">
        <w:t xml:space="preserve"> Principles which provided the foundations of the police service (College of policing, 2023). </w:t>
      </w:r>
    </w:p>
    <w:p w14:paraId="1DBDD56F" w14:textId="77777777" w:rsidR="00FF315D" w:rsidRPr="00FF315D" w:rsidRDefault="00FF315D" w:rsidP="00FF315D">
      <w:pPr>
        <w:textAlignment w:val="auto"/>
      </w:pPr>
    </w:p>
    <w:p w14:paraId="16B1BA06" w14:textId="77777777" w:rsidR="00FF315D" w:rsidRPr="00FF315D" w:rsidRDefault="00FF315D" w:rsidP="00FF315D">
      <w:pPr>
        <w:textAlignment w:val="auto"/>
      </w:pPr>
      <w:r w:rsidRPr="00FF315D">
        <w:t xml:space="preserve">Section 34 of the Police Reform and Social Responsibility Act 2011 highlights the importance of engagement with local people. It places responsibility on the chief officer to ensure that people within neighbourhoods </w:t>
      </w:r>
      <w:proofErr w:type="gramStart"/>
      <w:r w:rsidRPr="00FF315D">
        <w:t>are able to</w:t>
      </w:r>
      <w:proofErr w:type="gramEnd"/>
      <w:r w:rsidRPr="00FF315D">
        <w:t xml:space="preserve"> present their views about issues regarding crime and disorder to the police. The Chief officer must make arrangement to provide residents with this opportunity. A method that this can occur is through community meetings with police attendance, to ensure that the public are able to hold the police accountable for matters relating to policing in their neighbourhoods (College of Policing 2023). </w:t>
      </w:r>
    </w:p>
    <w:p w14:paraId="3B3A4296" w14:textId="77777777" w:rsidR="00FF315D" w:rsidRPr="00FF315D" w:rsidRDefault="00FF315D" w:rsidP="00FF315D">
      <w:pPr>
        <w:textAlignment w:val="auto"/>
      </w:pPr>
    </w:p>
    <w:p w14:paraId="45193621" w14:textId="77777777" w:rsidR="00FF315D" w:rsidRPr="00FF315D" w:rsidRDefault="00FF315D" w:rsidP="00FF315D">
      <w:pPr>
        <w:textAlignment w:val="auto"/>
      </w:pPr>
      <w:r w:rsidRPr="00FF315D">
        <w:t xml:space="preserve">Last year, I attended an emergency call whereby an elderly woman, who was in her eighties, had been attacked by a dog. Her injuries were so serious that her face had been mauled, and she had a serious bleed. The female was taken to hospital in an ambulance and left the scene alive. However, she tragically died a few days later whilst in hospital after having multiple surgeries. The dog in question was not a family pet, but its ownership was shared by the victim’s grandson and some of his friends. It was a crossed breed, which had not been violent towards any persons previously. This attack occurred approximately a year after the tragic death of a </w:t>
      </w:r>
      <w:proofErr w:type="gramStart"/>
      <w:r w:rsidRPr="00FF315D">
        <w:t>ten year old</w:t>
      </w:r>
      <w:proofErr w:type="gramEnd"/>
      <w:r w:rsidRPr="00FF315D">
        <w:t xml:space="preserve"> boy, who was murdered </w:t>
      </w:r>
      <w:r w:rsidRPr="00FF315D">
        <w:lastRenderedPageBreak/>
        <w:t xml:space="preserve">in the same area by an American XL bully. Due to both incidents having taken place a road apart, there was an incredibly high amount of community tension around the issue. </w:t>
      </w:r>
    </w:p>
    <w:p w14:paraId="733E6E52" w14:textId="77777777" w:rsidR="00FF315D" w:rsidRPr="00FF315D" w:rsidRDefault="00FF315D" w:rsidP="00FF315D">
      <w:pPr>
        <w:textAlignment w:val="auto"/>
      </w:pPr>
    </w:p>
    <w:p w14:paraId="3D1B33EE" w14:textId="77777777" w:rsidR="00FF315D" w:rsidRPr="00FF315D" w:rsidRDefault="00FF315D" w:rsidP="00FF315D">
      <w:pPr>
        <w:textAlignment w:val="auto"/>
      </w:pPr>
      <w:r w:rsidRPr="00FF315D">
        <w:t xml:space="preserve">Community tension has been described as a state of community dynamics which may lead to disorder, or threaten and disrupt the peace within communities, or raise the fear within a community. It was important in this incident to take action to reduce the community tension, in order to prevent the serious impact of criminal </w:t>
      </w:r>
      <w:proofErr w:type="gramStart"/>
      <w:r w:rsidRPr="00FF315D">
        <w:t>activity, and</w:t>
      </w:r>
      <w:proofErr w:type="gramEnd"/>
      <w:r w:rsidRPr="00FF315D">
        <w:t xml:space="preserve"> failing to respond may have resulted in damage to property, injury or further loss of life (Institute of Community Cohesion, 2010). </w:t>
      </w:r>
    </w:p>
    <w:p w14:paraId="57A3F9EA" w14:textId="77777777" w:rsidR="00FF315D" w:rsidRPr="00FF315D" w:rsidRDefault="00FF315D" w:rsidP="00FF315D">
      <w:pPr>
        <w:textAlignment w:val="auto"/>
      </w:pPr>
    </w:p>
    <w:p w14:paraId="48B778A6" w14:textId="77777777" w:rsidR="00FF315D" w:rsidRPr="00FF315D" w:rsidRDefault="00FF315D" w:rsidP="00FF315D">
      <w:pPr>
        <w:textAlignment w:val="auto"/>
      </w:pPr>
      <w:r w:rsidRPr="00FF315D">
        <w:t xml:space="preserve">The area in which these attacks took place is a large estate, most of which is social housing. The houses are all a similar size and style, and they are all very close together. There is one small parade of shops and one grassy field area in the middle. The layout of this estate means that most residents know each other. This means that when there are </w:t>
      </w:r>
      <w:proofErr w:type="gramStart"/>
      <w:r w:rsidRPr="00FF315D">
        <w:t>a large number of</w:t>
      </w:r>
      <w:proofErr w:type="gramEnd"/>
      <w:r w:rsidRPr="00FF315D">
        <w:t xml:space="preserve"> emergency services in the area, residents are likely to come out of their houses to see what is going on. </w:t>
      </w:r>
      <w:proofErr w:type="gramStart"/>
      <w:r w:rsidRPr="00FF315D">
        <w:t>In order to</w:t>
      </w:r>
      <w:proofErr w:type="gramEnd"/>
      <w:r w:rsidRPr="00FF315D">
        <w:t xml:space="preserve"> ensure that the scene was protected, we created a cordon around the address. </w:t>
      </w:r>
      <w:proofErr w:type="gramStart"/>
      <w:r w:rsidRPr="00FF315D">
        <w:t>In order to</w:t>
      </w:r>
      <w:proofErr w:type="gramEnd"/>
      <w:r w:rsidRPr="00FF315D">
        <w:t xml:space="preserve"> preserve evidence and be able to carry out a thorough investigation, an officer was standing on a scene guard at the locations in which the attacks happened in order to wait for Scenes of Crime to come out and carry out a forensic analysis. This not only ensured that the scene wasn’t tampered with, but that it ensured that there was a constant police presence after the incident for 48 hours, which helped to reassure the public. </w:t>
      </w:r>
    </w:p>
    <w:p w14:paraId="419C4EB2" w14:textId="77777777" w:rsidR="00FF315D" w:rsidRPr="00FF315D" w:rsidRDefault="00FF315D" w:rsidP="00FF315D">
      <w:pPr>
        <w:textAlignment w:val="auto"/>
      </w:pPr>
    </w:p>
    <w:p w14:paraId="2483ED10" w14:textId="77777777" w:rsidR="00FF315D" w:rsidRPr="00FF315D" w:rsidRDefault="00FF315D" w:rsidP="00FF315D">
      <w:pPr>
        <w:textAlignment w:val="auto"/>
      </w:pPr>
      <w:r w:rsidRPr="00FF315D">
        <w:t xml:space="preserve">The recent rise in dog-related incidents in the area, is reflected within the whole of the UK. In an article published by the BBC, it was stated that there had been a thirty-four percent rise in dog attacks in England and Wales over the last five years, despite the UK’s dog population estimated to only have risen by fifteen percent in that time. Whilst these attacks are not exclusive to the American Bully breed, the rise in numbers of dog attacks has been suggested to be due to the rise in households having pet dogs, whilst in the COVID 19 pandemic. Dogs which were purchased or rehomed during this time may not have experienced the same level of socialisation as others. This may have been due to a lack of puppy training classes, or them not being used to people coming to the home address (BBC, 2023). </w:t>
      </w:r>
    </w:p>
    <w:p w14:paraId="742A55F4" w14:textId="77777777" w:rsidR="00FF315D" w:rsidRPr="00FF315D" w:rsidRDefault="00FF315D" w:rsidP="00FF315D">
      <w:pPr>
        <w:textAlignment w:val="auto"/>
      </w:pPr>
    </w:p>
    <w:p w14:paraId="17305500" w14:textId="77777777" w:rsidR="00FF315D" w:rsidRPr="00FF315D" w:rsidRDefault="00FF315D" w:rsidP="00FF315D">
      <w:pPr>
        <w:textAlignment w:val="auto"/>
      </w:pPr>
      <w:r w:rsidRPr="00FF315D">
        <w:t>Section 3 of the Dangerous Dogs Act 1991, states:</w:t>
      </w:r>
    </w:p>
    <w:p w14:paraId="34398F15" w14:textId="77777777" w:rsidR="00FF315D" w:rsidRPr="00FF315D" w:rsidRDefault="00FF315D" w:rsidP="00FF315D">
      <w:pPr>
        <w:textAlignment w:val="auto"/>
      </w:pPr>
      <w:r w:rsidRPr="00FF315D">
        <w:t xml:space="preserve">“If any dog is dangerous dog is dangerously out of control in any place, including all private property, the owner, or the person for the time </w:t>
      </w:r>
      <w:proofErr w:type="gramStart"/>
      <w:r w:rsidRPr="00FF315D">
        <w:t>being in charge of</w:t>
      </w:r>
      <w:proofErr w:type="gramEnd"/>
      <w:r w:rsidRPr="00FF315D">
        <w:t xml:space="preserve"> the dog, is guilty of a summary offence. That offence becomes an aggravated offence, and triable either way, if the dog injures any person or assistance dog while out of control” (Legislation, 1991). </w:t>
      </w:r>
    </w:p>
    <w:p w14:paraId="1F32E74E" w14:textId="77777777" w:rsidR="00FF315D" w:rsidRPr="00FF315D" w:rsidRDefault="00FF315D" w:rsidP="00FF315D">
      <w:pPr>
        <w:textAlignment w:val="auto"/>
      </w:pPr>
    </w:p>
    <w:p w14:paraId="7EE06A88" w14:textId="77777777" w:rsidR="00FF315D" w:rsidRPr="00FF315D" w:rsidRDefault="00FF315D" w:rsidP="00FF315D">
      <w:pPr>
        <w:textAlignment w:val="auto"/>
      </w:pPr>
      <w:r w:rsidRPr="00FF315D">
        <w:t xml:space="preserve">The rise in this community involving dog-related issues meant that the public attempting to police incidents themselves was likely, and it was imperative that there was an efficient and visible police response </w:t>
      </w:r>
      <w:proofErr w:type="gramStart"/>
      <w:r w:rsidRPr="00FF315D">
        <w:t>in order to</w:t>
      </w:r>
      <w:proofErr w:type="gramEnd"/>
      <w:r w:rsidRPr="00FF315D">
        <w:t xml:space="preserve"> prevent members of the community from acting as vigilantes. Research into vigilantism has indicated that when a cohesive community experiences </w:t>
      </w:r>
      <w:proofErr w:type="gramStart"/>
      <w:r w:rsidRPr="00FF315D">
        <w:t>some kind of deviance</w:t>
      </w:r>
      <w:proofErr w:type="gramEnd"/>
      <w:r w:rsidRPr="00FF315D">
        <w:t xml:space="preserve"> or crime, it is likely that some members of that community will propose vigilantism (Silke, 2001). </w:t>
      </w:r>
    </w:p>
    <w:p w14:paraId="0263E363" w14:textId="77777777" w:rsidR="00FF315D" w:rsidRPr="00FF315D" w:rsidRDefault="00FF315D" w:rsidP="00FF315D">
      <w:pPr>
        <w:textAlignment w:val="auto"/>
      </w:pPr>
    </w:p>
    <w:p w14:paraId="4D1709BB" w14:textId="77777777" w:rsidR="00FF315D" w:rsidRPr="00FF315D" w:rsidRDefault="00FF315D" w:rsidP="00FF315D">
      <w:pPr>
        <w:textAlignment w:val="auto"/>
      </w:pPr>
      <w:r w:rsidRPr="00FF315D">
        <w:t xml:space="preserve">Community policing incorporates </w:t>
      </w:r>
      <w:proofErr w:type="gramStart"/>
      <w:r w:rsidRPr="00FF315D">
        <w:t>a number of</w:t>
      </w:r>
      <w:proofErr w:type="gramEnd"/>
      <w:r w:rsidRPr="00FF315D">
        <w:t xml:space="preserve"> different models which are used to tackle crime and disorder. One model is problem-oriented policing, which is based on the idea that by identifying the root cause of a problem, or the reasons that it persists, the solution developed will be effective (Hinkle et al, 2020).</w:t>
      </w:r>
    </w:p>
    <w:p w14:paraId="07DD30B1" w14:textId="77777777" w:rsidR="00FF315D" w:rsidRPr="00FF315D" w:rsidRDefault="00FF315D" w:rsidP="00FF315D">
      <w:pPr>
        <w:textAlignment w:val="auto"/>
      </w:pPr>
    </w:p>
    <w:p w14:paraId="4BA1B40B" w14:textId="77777777" w:rsidR="00FF315D" w:rsidRPr="00FF315D" w:rsidRDefault="00FF315D" w:rsidP="00FF315D">
      <w:pPr>
        <w:textAlignment w:val="auto"/>
      </w:pPr>
      <w:r w:rsidRPr="00FF315D">
        <w:t xml:space="preserve">Problem Oriented Policing (POP) can be described using the acronym </w:t>
      </w:r>
      <w:proofErr w:type="gramStart"/>
      <w:r w:rsidRPr="00FF315D">
        <w:t>SARA;</w:t>
      </w:r>
      <w:proofErr w:type="gramEnd"/>
      <w:r w:rsidRPr="00FF315D">
        <w:t xml:space="preserve"> Scanning, analysis, response, and assessment. In the ‘Scanning’ stage, potential problems are identified and prioritised. The ‘Analysis’ stage is where information and intelligence is gathered around the problem </w:t>
      </w:r>
      <w:proofErr w:type="gramStart"/>
      <w:r w:rsidRPr="00FF315D">
        <w:t>in order to</w:t>
      </w:r>
      <w:proofErr w:type="gramEnd"/>
      <w:r w:rsidRPr="00FF315D">
        <w:t xml:space="preserve"> identify the underlying causes of the problem. The ‘Response’ is when activities are developed and implemented to address the causes of the problem. The measurement of the impact on the response happens in the ‘Assessment’ stage. This is when it will be identified whether the solution has had the desired effect (College of Policing 2020). Research conducted by Hinkle et al (2020) supported the notion that strategies which have a focus on specific problems and identify specifically targeted responses are more effective in reducing crime that reactive policing alone. In this study, it was found that problem-oriented policing was associated with a thirty-four percent reduction in crime and disorder (Hinkle et al 2020). </w:t>
      </w:r>
    </w:p>
    <w:p w14:paraId="1584D740" w14:textId="77777777" w:rsidR="00FF315D" w:rsidRPr="00FF315D" w:rsidRDefault="00FF315D" w:rsidP="00FF315D">
      <w:pPr>
        <w:textAlignment w:val="auto"/>
      </w:pPr>
    </w:p>
    <w:p w14:paraId="24427025" w14:textId="77777777" w:rsidR="00FF315D" w:rsidRPr="00FF315D" w:rsidRDefault="00FF315D" w:rsidP="00FF315D">
      <w:pPr>
        <w:textAlignment w:val="auto"/>
      </w:pPr>
      <w:proofErr w:type="gramStart"/>
      <w:r w:rsidRPr="00FF315D">
        <w:lastRenderedPageBreak/>
        <w:t>In order to</w:t>
      </w:r>
      <w:proofErr w:type="gramEnd"/>
      <w:r w:rsidRPr="00FF315D">
        <w:t xml:space="preserve"> continue to ensure that the public felt reassured, and to relieve community tension; the Neighbourhood Sergeant highlighted the area as one that needed persistent patrols multiple times a day. Uniformed and high visibility patrols can indicate that the criminal justice agencies are in </w:t>
      </w:r>
      <w:proofErr w:type="gramStart"/>
      <w:r w:rsidRPr="00FF315D">
        <w:t>control, and</w:t>
      </w:r>
      <w:proofErr w:type="gramEnd"/>
      <w:r w:rsidRPr="00FF315D">
        <w:t xml:space="preserve"> reassure the public that there is a formal guardianship in place; both of which offer a sense of safety and security (Rowland and Coupe 2014). ‘Signal Crimes’ are those which alter the way the public thinks and feels about risk of crime and safety. The presence of uniformed officers conducting patrols can enhance feelings of safety. The area was placed on the ‘patrol diary’, and officers were required to update it when they had conducted the patrols. Whilst some areas on the patrol diary may require patrols at a certain time of day, the area where the dog attacks had taken place was on the patrol diary for attendance of morning, </w:t>
      </w:r>
      <w:proofErr w:type="gramStart"/>
      <w:r w:rsidRPr="00FF315D">
        <w:t>afternoon</w:t>
      </w:r>
      <w:proofErr w:type="gramEnd"/>
      <w:r w:rsidRPr="00FF315D">
        <w:t xml:space="preserve"> and night shifts to ensure there was a large amount of police presence. </w:t>
      </w:r>
    </w:p>
    <w:p w14:paraId="23D4F045" w14:textId="77777777" w:rsidR="00FF315D" w:rsidRPr="00FF315D" w:rsidRDefault="00FF315D" w:rsidP="00FF315D">
      <w:pPr>
        <w:textAlignment w:val="auto"/>
      </w:pPr>
    </w:p>
    <w:p w14:paraId="3B123CB7" w14:textId="77777777" w:rsidR="00FF315D" w:rsidRPr="00FF315D" w:rsidRDefault="00FF315D" w:rsidP="00FF315D">
      <w:pPr>
        <w:textAlignment w:val="auto"/>
      </w:pPr>
      <w:r w:rsidRPr="00FF315D">
        <w:t>Intelligence-led policing is another model which is pivotal to community-policing. It can be defined as “The collection and analysis of information related to crime and conditions that contribute to crime, resulting in an actionable intelligence product intended to aid law enforcement in developing tactical responses to threats and strategic planning to changing threats” (Carter and Carter 2009). The goal of intelligence led policing is to use information to proactively monitor and prevent criminal activity. On a wider scale, intelligence is largely used to detect and prevent terrorist activity. However, on a community level, community intelligence has been stated by Her Majesty’s Inspectorate of Constabulary that community intelligence should be valued as highly as criminal intelligence by force managers in terms of their contribution to effective policing (</w:t>
      </w:r>
      <w:proofErr w:type="spellStart"/>
      <w:r w:rsidRPr="00FF315D">
        <w:t>Kleiven</w:t>
      </w:r>
      <w:proofErr w:type="spellEnd"/>
      <w:r w:rsidRPr="00FF315D">
        <w:t xml:space="preserve">, 2007). </w:t>
      </w:r>
    </w:p>
    <w:p w14:paraId="45B0146B" w14:textId="77777777" w:rsidR="00FF315D" w:rsidRPr="00FF315D" w:rsidRDefault="00FF315D" w:rsidP="00FF315D">
      <w:pPr>
        <w:textAlignment w:val="auto"/>
      </w:pPr>
    </w:p>
    <w:p w14:paraId="0F0C21D8" w14:textId="77777777" w:rsidR="00FF315D" w:rsidRPr="00FF315D" w:rsidRDefault="00FF315D" w:rsidP="00FF315D">
      <w:pPr>
        <w:textAlignment w:val="auto"/>
        <w:rPr>
          <w:color w:val="000000" w:themeColor="text1"/>
        </w:rPr>
      </w:pPr>
      <w:r w:rsidRPr="00FF315D">
        <w:t xml:space="preserve">Intelligence provided to police from the community can help the police to identify people and places who may be at risk of harm. After the two high-profile incidents which occurred in the local area, there was a large uplift in intelligence relating to dogs in the area. This included neighbours who had seen American XL bully type dogs in people’s gardens, or dogs being walked in the community which did not look to be completely under control of the owner. Social media use in the community meant that members of the public could share and publicise photographs of the dogs in question. </w:t>
      </w:r>
      <w:r w:rsidRPr="00FF315D">
        <w:rPr>
          <w:color w:val="000000" w:themeColor="text1"/>
        </w:rPr>
        <w:t xml:space="preserve">Due to the initial seriousness of the incidents, social media was used by the police to provide information to the public at the time. Social media is a method used by police to spread widespread information quickly, and as a way of responding to crises (Williams et al, 2018). </w:t>
      </w:r>
    </w:p>
    <w:p w14:paraId="5F7B0E32" w14:textId="77777777" w:rsidR="00FF315D" w:rsidRPr="00FF315D" w:rsidRDefault="00FF315D" w:rsidP="00FF315D">
      <w:pPr>
        <w:textAlignment w:val="auto"/>
        <w:rPr>
          <w:color w:val="000000" w:themeColor="text1"/>
        </w:rPr>
      </w:pPr>
    </w:p>
    <w:p w14:paraId="0EDC6CE2" w14:textId="77777777" w:rsidR="00FF315D" w:rsidRPr="00FF315D" w:rsidRDefault="00FF315D" w:rsidP="00FF315D">
      <w:pPr>
        <w:textAlignment w:val="auto"/>
        <w:rPr>
          <w:color w:val="000000" w:themeColor="text1"/>
        </w:rPr>
      </w:pPr>
      <w:r w:rsidRPr="00FF315D">
        <w:rPr>
          <w:color w:val="000000" w:themeColor="text1"/>
        </w:rPr>
        <w:t>As a response to the social media coverage of the incident, it encouraged conversation and debate within the community relating to the safety of their own dogs, and others. On one occasion, a few months after the incident, a woman attended the police station with a puppy, who she had been handed by a member of the public who said they did not want to keep the puppy themselves. This had happened in the same area as the two previous dog attacks. The female stated that she had seen photographs of offending dogs on Facebook, and thought the puppy resembled them. She allowed officers to seize the dog, and the dog was destroyed.  Without the social media appeals and community discussion, the dog may have stayed in the community. A further attack may have been prevented by the identification of this dog as Pitbull.</w:t>
      </w:r>
    </w:p>
    <w:p w14:paraId="3949CFFA" w14:textId="77777777" w:rsidR="00FF315D" w:rsidRPr="00FF315D" w:rsidRDefault="00FF315D" w:rsidP="00FF315D">
      <w:pPr>
        <w:textAlignment w:val="auto"/>
        <w:rPr>
          <w:color w:val="FF0000"/>
        </w:rPr>
      </w:pPr>
    </w:p>
    <w:p w14:paraId="5FBC744C" w14:textId="77777777" w:rsidR="00FF315D" w:rsidRPr="00FF315D" w:rsidRDefault="00FF315D" w:rsidP="00FF315D">
      <w:pPr>
        <w:textAlignment w:val="auto"/>
        <w:rPr>
          <w:color w:val="000000" w:themeColor="text1"/>
        </w:rPr>
      </w:pPr>
      <w:r w:rsidRPr="00FF315D">
        <w:rPr>
          <w:color w:val="000000" w:themeColor="text1"/>
        </w:rPr>
        <w:t xml:space="preserve">Some specific interventions which the police could undertake as a response to community tensions are high visibility policing and reassurance, specialist resources or patrols, and warrants. </w:t>
      </w:r>
    </w:p>
    <w:p w14:paraId="5BC67694" w14:textId="77777777" w:rsidR="00FF315D" w:rsidRPr="00FF315D" w:rsidRDefault="00FF315D" w:rsidP="00FF315D">
      <w:pPr>
        <w:textAlignment w:val="auto"/>
        <w:rPr>
          <w:color w:val="000000" w:themeColor="text1"/>
        </w:rPr>
      </w:pPr>
    </w:p>
    <w:p w14:paraId="67BFE5FA" w14:textId="77777777" w:rsidR="00FF315D" w:rsidRPr="00FF315D" w:rsidRDefault="00FF315D" w:rsidP="00FF315D">
      <w:pPr>
        <w:textAlignment w:val="auto"/>
        <w:rPr>
          <w:color w:val="000000" w:themeColor="text1"/>
        </w:rPr>
      </w:pPr>
      <w:r w:rsidRPr="00FF315D">
        <w:rPr>
          <w:color w:val="000000" w:themeColor="text1"/>
        </w:rPr>
        <w:t xml:space="preserve">As a response to specific intelligence received by the police, the neighbourhood enforcement team may decide to conduct a proactive warrant </w:t>
      </w:r>
      <w:proofErr w:type="gramStart"/>
      <w:r w:rsidRPr="00FF315D">
        <w:rPr>
          <w:color w:val="000000" w:themeColor="text1"/>
        </w:rPr>
        <w:t>in order to</w:t>
      </w:r>
      <w:proofErr w:type="gramEnd"/>
      <w:r w:rsidRPr="00FF315D">
        <w:rPr>
          <w:color w:val="000000" w:themeColor="text1"/>
        </w:rPr>
        <w:t xml:space="preserve"> assess the intelligence that has been submitted. For example, intelligence may be given to the police by a member of the community, stating that they know of the keeping or breeding of a dangerous dog in the area. Intelligence could also be submitted as a response to something happening, for example if a dog had been acting dangerously in public. </w:t>
      </w:r>
    </w:p>
    <w:p w14:paraId="47E69C55" w14:textId="77777777" w:rsidR="00FF315D" w:rsidRPr="00FF315D" w:rsidRDefault="00FF315D" w:rsidP="00FF315D">
      <w:pPr>
        <w:textAlignment w:val="auto"/>
        <w:rPr>
          <w:color w:val="000000" w:themeColor="text1"/>
        </w:rPr>
      </w:pPr>
    </w:p>
    <w:p w14:paraId="75085406" w14:textId="77777777" w:rsidR="00FF315D" w:rsidRPr="00FF315D" w:rsidRDefault="00FF315D" w:rsidP="00FF315D">
      <w:pPr>
        <w:textAlignment w:val="auto"/>
        <w:rPr>
          <w:color w:val="000000" w:themeColor="text1"/>
        </w:rPr>
      </w:pPr>
      <w:r w:rsidRPr="00FF315D">
        <w:rPr>
          <w:color w:val="000000" w:themeColor="text1"/>
        </w:rPr>
        <w:t>The grounds for carrying out a warrant are found under S8 of the Police and Criminal Evidence Act 1984. This power also allows for officers to seize any relevant evidence found during the search (</w:t>
      </w:r>
      <w:proofErr w:type="spellStart"/>
      <w:r w:rsidRPr="00FF315D">
        <w:rPr>
          <w:color w:val="000000" w:themeColor="text1"/>
        </w:rPr>
        <w:t>Blackstones</w:t>
      </w:r>
      <w:proofErr w:type="spellEnd"/>
      <w:r w:rsidRPr="00FF315D">
        <w:rPr>
          <w:color w:val="000000" w:themeColor="text1"/>
        </w:rPr>
        <w:t xml:space="preserve">, 2021). As part of my </w:t>
      </w:r>
      <w:proofErr w:type="gramStart"/>
      <w:r w:rsidRPr="00FF315D">
        <w:rPr>
          <w:color w:val="000000" w:themeColor="text1"/>
        </w:rPr>
        <w:t>attachment</w:t>
      </w:r>
      <w:proofErr w:type="gramEnd"/>
      <w:r w:rsidRPr="00FF315D">
        <w:rPr>
          <w:color w:val="000000" w:themeColor="text1"/>
        </w:rPr>
        <w:t xml:space="preserve"> I did with the Neighbourhood team, I assisted them with a warrant on an address where there was suspected to be unlicenced breeding of Pitbull-type dogs. Thankfully, there were no puppies or signs of breeding found within the address, however the adult dog was seized so that he could be assessed by the force Dog expert to see if they resemble a Pitbull breed. At the time that the warrant was conducted, there was also a dog handler available to assist us, who brought a protective dog shield with them. These decisions were made as part of the </w:t>
      </w:r>
      <w:r w:rsidRPr="00FF315D">
        <w:rPr>
          <w:color w:val="000000" w:themeColor="text1"/>
        </w:rPr>
        <w:lastRenderedPageBreak/>
        <w:t xml:space="preserve">risk assessment conducted before the warrant. The dog that was seized in this case was found not to be a banned breed, and therefore this meant that a family were left without their pet for </w:t>
      </w:r>
      <w:proofErr w:type="gramStart"/>
      <w:r w:rsidRPr="00FF315D">
        <w:rPr>
          <w:color w:val="000000" w:themeColor="text1"/>
        </w:rPr>
        <w:t>a number of</w:t>
      </w:r>
      <w:proofErr w:type="gramEnd"/>
      <w:r w:rsidRPr="00FF315D">
        <w:rPr>
          <w:color w:val="000000" w:themeColor="text1"/>
        </w:rPr>
        <w:t xml:space="preserve"> weeks. </w:t>
      </w:r>
    </w:p>
    <w:p w14:paraId="5B8C60A4" w14:textId="77777777" w:rsidR="00FF315D" w:rsidRPr="00FF315D" w:rsidRDefault="00FF315D" w:rsidP="00FF315D">
      <w:pPr>
        <w:textAlignment w:val="auto"/>
        <w:rPr>
          <w:color w:val="000000" w:themeColor="text1"/>
        </w:rPr>
      </w:pPr>
    </w:p>
    <w:p w14:paraId="33645429" w14:textId="77777777" w:rsidR="00FF315D" w:rsidRPr="00FF315D" w:rsidRDefault="00FF315D" w:rsidP="00FF315D">
      <w:pPr>
        <w:textAlignment w:val="auto"/>
        <w:rPr>
          <w:color w:val="000000" w:themeColor="text1"/>
        </w:rPr>
      </w:pPr>
      <w:r w:rsidRPr="00FF315D">
        <w:rPr>
          <w:color w:val="000000" w:themeColor="text1"/>
        </w:rPr>
        <w:t xml:space="preserve">Conducting warrants such as these show the public that police are making an active effort to deal with and prevent issues with dogs in the area. This provides reassurance and may encourage communities to provide more information to police about ongoings in the community. </w:t>
      </w:r>
    </w:p>
    <w:p w14:paraId="2AFD87E8" w14:textId="77777777" w:rsidR="00FF315D" w:rsidRPr="00FF315D" w:rsidRDefault="00FF315D" w:rsidP="00FF315D">
      <w:pPr>
        <w:textAlignment w:val="auto"/>
        <w:rPr>
          <w:color w:val="000000" w:themeColor="text1"/>
        </w:rPr>
      </w:pPr>
    </w:p>
    <w:p w14:paraId="5B538F0B" w14:textId="77777777" w:rsidR="00FF315D" w:rsidRPr="00FF315D" w:rsidRDefault="00FF315D" w:rsidP="00FF315D">
      <w:pPr>
        <w:textAlignment w:val="auto"/>
        <w:rPr>
          <w:color w:val="000000" w:themeColor="text1"/>
        </w:rPr>
      </w:pPr>
      <w:r w:rsidRPr="00FF315D">
        <w:rPr>
          <w:color w:val="000000" w:themeColor="text1"/>
        </w:rPr>
        <w:t>Overall, it is evident that community engagement and support has been crucial in trying to deal with the issue of dog attacks in the area. With the combined efforts of members of the community and police, further issues with dogs in the area are being prevented. Problem-oriented policing, and intelligence-led policing contribute to the involvement of the community and allows police to be proactive to deal with these issues.</w:t>
      </w: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B3DCE1C" w:rsidR="0FF883D4" w:rsidRDefault="5CE196A1" w:rsidP="5CE196A1">
      <w:r w:rsidRPr="5CE196A1">
        <w:rPr>
          <w:rFonts w:eastAsia="Arial"/>
          <w:b/>
          <w:bCs/>
          <w:color w:val="000000" w:themeColor="text1"/>
          <w:sz w:val="24"/>
          <w:szCs w:val="24"/>
        </w:rPr>
        <w:t xml:space="preserve">Signed: </w:t>
      </w:r>
      <w:r w:rsidR="00FF315D">
        <w:rPr>
          <w:rFonts w:eastAsia="Arial"/>
          <w:b/>
          <w:bCs/>
          <w:color w:val="000000" w:themeColor="text1"/>
          <w:sz w:val="24"/>
          <w:szCs w:val="24"/>
        </w:rPr>
        <w:t>Rachel Davies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70B9FEB9" w:rsidR="0FF883D4" w:rsidRDefault="00FF315D"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b/>
          <w:bCs/>
          <w:sz w:val="24"/>
          <w:szCs w:val="24"/>
          <w:lang w:eastAsia="zh-TW"/>
        </w:rPr>
        <w:t>08/05/2023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6CDB8CE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48B4669" w14:textId="77777777" w:rsidR="00FF315D" w:rsidRPr="00FF315D" w:rsidRDefault="00FF315D" w:rsidP="00FF315D">
      <w:pPr>
        <w:keepNext/>
        <w:spacing w:before="240" w:after="60"/>
        <w:ind w:right="237"/>
        <w:jc w:val="both"/>
      </w:pPr>
      <w:r w:rsidRPr="00FF315D">
        <w:t xml:space="preserve">Almond, L., McManus, M., Brian, D. and </w:t>
      </w:r>
      <w:proofErr w:type="spellStart"/>
      <w:r w:rsidRPr="00FF315D">
        <w:t>Merrington</w:t>
      </w:r>
      <w:proofErr w:type="spellEnd"/>
      <w:r w:rsidRPr="00FF315D">
        <w:t xml:space="preserve">, D.P., 2017. Exploration of the risk factors contained within the UK’s existing domestic abuse risk assessment tool (DASH): do these risk factors have individual predictive validity regarding </w:t>
      </w:r>
      <w:proofErr w:type="gramStart"/>
      <w:r w:rsidRPr="00FF315D">
        <w:t>recidivism?.</w:t>
      </w:r>
      <w:proofErr w:type="gramEnd"/>
      <w:r w:rsidRPr="00FF315D">
        <w:t> </w:t>
      </w:r>
      <w:r w:rsidRPr="00FF315D">
        <w:rPr>
          <w:i/>
          <w:iCs/>
        </w:rPr>
        <w:t xml:space="preserve">Journal of aggression, </w:t>
      </w:r>
      <w:proofErr w:type="gramStart"/>
      <w:r w:rsidRPr="00FF315D">
        <w:rPr>
          <w:i/>
          <w:iCs/>
        </w:rPr>
        <w:t>conflict</w:t>
      </w:r>
      <w:proofErr w:type="gramEnd"/>
      <w:r w:rsidRPr="00FF315D">
        <w:rPr>
          <w:i/>
          <w:iCs/>
        </w:rPr>
        <w:t xml:space="preserve"> and peace research</w:t>
      </w:r>
      <w:r w:rsidRPr="00FF315D">
        <w:t>.</w:t>
      </w:r>
    </w:p>
    <w:p w14:paraId="42C4D2EC" w14:textId="77777777" w:rsidR="00972D94" w:rsidRDefault="00972D94" w:rsidP="00FF315D">
      <w:pPr>
        <w:ind w:right="237"/>
        <w:jc w:val="both"/>
        <w:textAlignment w:val="auto"/>
      </w:pPr>
    </w:p>
    <w:p w14:paraId="2E19051C" w14:textId="383ACC85" w:rsidR="00FF315D" w:rsidRPr="00FF315D" w:rsidRDefault="00FF315D" w:rsidP="00FF315D">
      <w:pPr>
        <w:ind w:right="237"/>
        <w:jc w:val="both"/>
        <w:textAlignment w:val="auto"/>
      </w:pPr>
      <w:r>
        <w:t xml:space="preserve">BBC News, 2023. </w:t>
      </w:r>
      <w:r>
        <w:rPr>
          <w:i/>
          <w:iCs/>
        </w:rPr>
        <w:t xml:space="preserve">Dog attacks: 34% Increase recorded by police in England and </w:t>
      </w:r>
      <w:proofErr w:type="spellStart"/>
      <w:r>
        <w:rPr>
          <w:i/>
          <w:iCs/>
        </w:rPr>
        <w:t>Wales.</w:t>
      </w:r>
      <w:hyperlink r:id="rId21" w:history="1">
        <w:r w:rsidRPr="00FF315D">
          <w:rPr>
            <w:color w:val="0000FF"/>
            <w:u w:val="single"/>
          </w:rPr>
          <w:t>Dog</w:t>
        </w:r>
        <w:proofErr w:type="spellEnd"/>
        <w:r w:rsidRPr="00FF315D">
          <w:rPr>
            <w:color w:val="0000FF"/>
            <w:u w:val="single"/>
          </w:rPr>
          <w:t xml:space="preserve"> attacks: 34% increase recorded by police in England and Wales - BBC News</w:t>
        </w:r>
      </w:hyperlink>
      <w:r w:rsidRPr="00FF315D">
        <w:t xml:space="preserve"> : Date accessed 02/05/2023</w:t>
      </w:r>
    </w:p>
    <w:p w14:paraId="10E5CA48" w14:textId="77777777" w:rsidR="00FF315D" w:rsidRPr="00FF315D" w:rsidRDefault="00FF315D" w:rsidP="00FF315D">
      <w:pPr>
        <w:keepNext/>
        <w:spacing w:before="240" w:after="60"/>
        <w:ind w:right="237"/>
        <w:jc w:val="both"/>
      </w:pPr>
      <w:r w:rsidRPr="00FF315D">
        <w:t>Burton, M., Evans, R. and Sanders, A., 2006. </w:t>
      </w:r>
      <w:r w:rsidRPr="00FF315D">
        <w:rPr>
          <w:i/>
          <w:iCs/>
        </w:rPr>
        <w:t xml:space="preserve">Are special measures for vulnerable and intimidated witnesses </w:t>
      </w:r>
      <w:proofErr w:type="gramStart"/>
      <w:r w:rsidRPr="00FF315D">
        <w:rPr>
          <w:i/>
          <w:iCs/>
        </w:rPr>
        <w:t>working?:</w:t>
      </w:r>
      <w:proofErr w:type="gramEnd"/>
      <w:r w:rsidRPr="00FF315D">
        <w:rPr>
          <w:i/>
          <w:iCs/>
        </w:rPr>
        <w:t xml:space="preserve"> Evidence from the criminal justice agencies</w:t>
      </w:r>
      <w:r w:rsidRPr="00FF315D">
        <w:t>. London: Home Office</w:t>
      </w:r>
    </w:p>
    <w:p w14:paraId="0D72156E" w14:textId="77777777" w:rsidR="00972D94" w:rsidRDefault="00972D94" w:rsidP="00FF315D">
      <w:pPr>
        <w:ind w:right="237"/>
        <w:jc w:val="both"/>
        <w:textAlignment w:val="auto"/>
        <w:rPr>
          <w:color w:val="222222"/>
          <w:shd w:val="clear" w:color="auto" w:fill="FFFFFF"/>
        </w:rPr>
      </w:pPr>
    </w:p>
    <w:p w14:paraId="3F5D2C7C" w14:textId="77777777" w:rsidR="00972D94" w:rsidRDefault="00FF315D" w:rsidP="00FF315D">
      <w:pPr>
        <w:ind w:right="237"/>
        <w:jc w:val="both"/>
        <w:textAlignment w:val="auto"/>
        <w:rPr>
          <w:color w:val="222222"/>
          <w:shd w:val="clear" w:color="auto" w:fill="FFFFFF"/>
        </w:rPr>
      </w:pPr>
      <w:r w:rsidRPr="00FF315D">
        <w:rPr>
          <w:color w:val="222222"/>
          <w:shd w:val="clear" w:color="auto" w:fill="FFFFFF"/>
        </w:rPr>
        <w:t xml:space="preserve">Carter, J.G. and Fox, B., 2019. Community policing and intelligence-led policing: An examination of </w:t>
      </w:r>
    </w:p>
    <w:p w14:paraId="5A8DEE18" w14:textId="6CACE1BE" w:rsidR="00FF315D" w:rsidRPr="00FF315D" w:rsidRDefault="00FF315D" w:rsidP="00FF315D">
      <w:pPr>
        <w:ind w:right="237"/>
        <w:jc w:val="both"/>
        <w:textAlignment w:val="auto"/>
        <w:rPr>
          <w:color w:val="222222"/>
          <w:shd w:val="clear" w:color="auto" w:fill="FFFFFF"/>
        </w:rPr>
      </w:pPr>
      <w:r w:rsidRPr="00FF315D">
        <w:rPr>
          <w:color w:val="222222"/>
          <w:shd w:val="clear" w:color="auto" w:fill="FFFFFF"/>
        </w:rPr>
        <w:t>convergent or discriminant validity. </w:t>
      </w:r>
      <w:r w:rsidRPr="00FF315D">
        <w:rPr>
          <w:i/>
          <w:iCs/>
          <w:color w:val="222222"/>
          <w:shd w:val="clear" w:color="auto" w:fill="FFFFFF"/>
        </w:rPr>
        <w:t>Policing: An International Journal</w:t>
      </w:r>
      <w:r w:rsidRPr="00FF315D">
        <w:rPr>
          <w:color w:val="222222"/>
          <w:shd w:val="clear" w:color="auto" w:fill="FFFFFF"/>
        </w:rPr>
        <w:t>, </w:t>
      </w:r>
      <w:r w:rsidRPr="00FF315D">
        <w:rPr>
          <w:i/>
          <w:iCs/>
          <w:color w:val="222222"/>
          <w:shd w:val="clear" w:color="auto" w:fill="FFFFFF"/>
        </w:rPr>
        <w:t>42</w:t>
      </w:r>
      <w:r w:rsidRPr="00FF315D">
        <w:rPr>
          <w:color w:val="222222"/>
          <w:shd w:val="clear" w:color="auto" w:fill="FFFFFF"/>
        </w:rPr>
        <w:t>(1), pp.43-58.</w:t>
      </w:r>
    </w:p>
    <w:p w14:paraId="11F3E291" w14:textId="77777777" w:rsidR="00FF315D" w:rsidRPr="00FF315D" w:rsidRDefault="00FF315D" w:rsidP="00FF315D">
      <w:pPr>
        <w:keepNext/>
        <w:spacing w:before="240" w:after="60"/>
        <w:ind w:right="237"/>
        <w:jc w:val="both"/>
      </w:pPr>
      <w:r w:rsidRPr="00FF315D">
        <w:t>Charles, C., 2012. Special measures for vulnerable and intimidated witnesses: Research exploring the decisions and actions taken by prosecutors in a sample of CPS case files. </w:t>
      </w:r>
      <w:r w:rsidRPr="00FF315D">
        <w:rPr>
          <w:i/>
          <w:iCs/>
        </w:rPr>
        <w:t>London: Crown Prosecution Service</w:t>
      </w:r>
      <w:r w:rsidRPr="00FF315D">
        <w:t>.</w:t>
      </w:r>
    </w:p>
    <w:p w14:paraId="544791F7" w14:textId="77777777" w:rsidR="00FF315D" w:rsidRPr="00FF315D" w:rsidRDefault="00FF315D" w:rsidP="00FF315D">
      <w:pPr>
        <w:keepNext/>
        <w:spacing w:before="240" w:after="60"/>
        <w:ind w:right="237"/>
        <w:jc w:val="both"/>
      </w:pPr>
      <w:r>
        <w:t xml:space="preserve">College of Policing, 2003. </w:t>
      </w:r>
      <w:r w:rsidRPr="00FF315D">
        <w:rPr>
          <w:i/>
          <w:iCs/>
        </w:rPr>
        <w:t xml:space="preserve">Domestic Abuse </w:t>
      </w:r>
      <w:hyperlink r:id="rId22" w:history="1">
        <w:r w:rsidRPr="00FF315D">
          <w:rPr>
            <w:rStyle w:val="Hyperlink"/>
          </w:rPr>
          <w:t>Domestic abuse | College o</w:t>
        </w:r>
        <w:r w:rsidRPr="00FF315D">
          <w:rPr>
            <w:rStyle w:val="Hyperlink"/>
          </w:rPr>
          <w:t>f</w:t>
        </w:r>
        <w:r w:rsidRPr="00FF315D">
          <w:rPr>
            <w:rStyle w:val="Hyperlink"/>
          </w:rPr>
          <w:t xml:space="preserve"> Policing</w:t>
        </w:r>
      </w:hyperlink>
      <w:r>
        <w:t>. Accessed on 06/05/2023.</w:t>
      </w:r>
    </w:p>
    <w:p w14:paraId="7E940C7E" w14:textId="77777777" w:rsidR="00972D94" w:rsidRDefault="00972D94" w:rsidP="00FF315D">
      <w:pPr>
        <w:ind w:right="237"/>
        <w:jc w:val="both"/>
        <w:textAlignment w:val="auto"/>
      </w:pPr>
    </w:p>
    <w:p w14:paraId="58B7A0E6" w14:textId="748071A0" w:rsidR="00FF315D" w:rsidRPr="00FF315D" w:rsidRDefault="00FF315D" w:rsidP="00FF315D">
      <w:pPr>
        <w:ind w:right="237"/>
        <w:jc w:val="both"/>
        <w:textAlignment w:val="auto"/>
        <w:rPr>
          <w:b/>
          <w:bCs/>
          <w:color w:val="auto"/>
          <w:sz w:val="24"/>
          <w:szCs w:val="24"/>
        </w:rPr>
      </w:pPr>
      <w:r>
        <w:t xml:space="preserve">College of Policing, 2019. </w:t>
      </w:r>
      <w:r>
        <w:rPr>
          <w:i/>
          <w:iCs/>
        </w:rPr>
        <w:t xml:space="preserve">Neighbourhood Policing Guidelines. </w:t>
      </w:r>
      <w:hyperlink r:id="rId23" w:history="1">
        <w:proofErr w:type="spellStart"/>
        <w:r w:rsidRPr="00FF315D">
          <w:rPr>
            <w:color w:val="0000FF"/>
            <w:u w:val="single"/>
          </w:rPr>
          <w:t>NPG_supporting_material_frontline</w:t>
        </w:r>
        <w:proofErr w:type="spellEnd"/>
        <w:r w:rsidRPr="00FF315D">
          <w:rPr>
            <w:color w:val="0000FF"/>
            <w:u w:val="single"/>
          </w:rPr>
          <w:t xml:space="preserve"> (1).pdf (paas-s3-broker-prod-lon-6453d964-1d1a-432a-9260-5e0ba7d2fc51.s3.eu-west-2.amazon</w:t>
        </w:r>
        <w:r w:rsidRPr="00FF315D">
          <w:rPr>
            <w:color w:val="0000FF"/>
            <w:u w:val="single"/>
          </w:rPr>
          <w:t>a</w:t>
        </w:r>
        <w:r w:rsidRPr="00FF315D">
          <w:rPr>
            <w:color w:val="0000FF"/>
            <w:u w:val="single"/>
          </w:rPr>
          <w:t>ws.com)</w:t>
        </w:r>
      </w:hyperlink>
      <w:r>
        <w:rPr>
          <w:color w:val="0000FF"/>
          <w:u w:val="single"/>
        </w:rPr>
        <w:t xml:space="preserve"> </w:t>
      </w:r>
      <w:r>
        <w:rPr>
          <w:color w:val="auto"/>
          <w:u w:val="single"/>
        </w:rPr>
        <w:t xml:space="preserve"> </w:t>
      </w:r>
      <w:r>
        <w:rPr>
          <w:color w:val="auto"/>
        </w:rPr>
        <w:t>Accessed 03/05/2023.</w:t>
      </w:r>
    </w:p>
    <w:p w14:paraId="561DDC5B" w14:textId="77777777" w:rsidR="00972D94" w:rsidRDefault="00972D94" w:rsidP="00FF315D">
      <w:pPr>
        <w:ind w:right="237"/>
        <w:jc w:val="both"/>
        <w:textAlignment w:val="auto"/>
      </w:pPr>
    </w:p>
    <w:p w14:paraId="17A46E2D" w14:textId="10B04A44" w:rsidR="00FF315D" w:rsidRPr="00FF315D" w:rsidRDefault="00FF315D" w:rsidP="00FF315D">
      <w:pPr>
        <w:ind w:right="237"/>
        <w:jc w:val="both"/>
        <w:textAlignment w:val="auto"/>
        <w:rPr>
          <w:b/>
          <w:bCs/>
          <w:color w:val="auto"/>
          <w:sz w:val="24"/>
          <w:szCs w:val="24"/>
        </w:rPr>
      </w:pPr>
      <w:r>
        <w:t xml:space="preserve">College of Policing, 2023. </w:t>
      </w:r>
      <w:r>
        <w:rPr>
          <w:i/>
          <w:iCs/>
        </w:rPr>
        <w:t xml:space="preserve">Problem-oriented Policing. </w:t>
      </w:r>
      <w:hyperlink r:id="rId24" w:history="1">
        <w:r w:rsidRPr="00FF315D">
          <w:rPr>
            <w:color w:val="0000FF"/>
            <w:u w:val="single"/>
          </w:rPr>
          <w:t xml:space="preserve">Problem-oriented </w:t>
        </w:r>
        <w:r w:rsidRPr="00FF315D">
          <w:rPr>
            <w:color w:val="0000FF"/>
            <w:u w:val="single"/>
          </w:rPr>
          <w:t>p</w:t>
        </w:r>
        <w:r w:rsidRPr="00FF315D">
          <w:rPr>
            <w:color w:val="0000FF"/>
            <w:u w:val="single"/>
          </w:rPr>
          <w:t>olicing | College of Policing</w:t>
        </w:r>
      </w:hyperlink>
      <w:r>
        <w:rPr>
          <w:color w:val="0000FF"/>
          <w:u w:val="single"/>
        </w:rPr>
        <w:t xml:space="preserve"> </w:t>
      </w:r>
      <w:r>
        <w:rPr>
          <w:color w:val="auto"/>
        </w:rPr>
        <w:t xml:space="preserve">Accessed 03/05/2023. </w:t>
      </w:r>
    </w:p>
    <w:p w14:paraId="32418CA1" w14:textId="77777777" w:rsidR="00972D94" w:rsidRDefault="00972D94" w:rsidP="00FF315D">
      <w:pPr>
        <w:ind w:right="237"/>
        <w:jc w:val="both"/>
        <w:textAlignment w:val="auto"/>
      </w:pPr>
    </w:p>
    <w:p w14:paraId="1A2366ED" w14:textId="529B7E1A" w:rsidR="00FF315D" w:rsidRPr="00FF315D" w:rsidRDefault="00FF315D" w:rsidP="00FF315D">
      <w:pPr>
        <w:ind w:right="237"/>
        <w:jc w:val="both"/>
        <w:textAlignment w:val="auto"/>
      </w:pPr>
      <w:r>
        <w:t xml:space="preserve">Government, 1991. </w:t>
      </w:r>
      <w:r>
        <w:rPr>
          <w:i/>
          <w:iCs/>
        </w:rPr>
        <w:t xml:space="preserve">Dangerous Dogs Act. </w:t>
      </w:r>
      <w:hyperlink r:id="rId25" w:history="1">
        <w:r w:rsidRPr="00FF315D">
          <w:rPr>
            <w:color w:val="0000FF"/>
            <w:u w:val="single"/>
          </w:rPr>
          <w:t>Dangerous Dogs Act 1991 (legislation.gov.uk)</w:t>
        </w:r>
      </w:hyperlink>
      <w:r w:rsidRPr="00FF315D">
        <w:t xml:space="preserve"> Accessed 02/05/2023</w:t>
      </w:r>
    </w:p>
    <w:p w14:paraId="4018A17A" w14:textId="77777777" w:rsidR="00972D94" w:rsidRDefault="00972D94" w:rsidP="00FF315D">
      <w:pPr>
        <w:ind w:right="237"/>
        <w:jc w:val="both"/>
        <w:textAlignment w:val="auto"/>
        <w:rPr>
          <w:color w:val="222222"/>
          <w:shd w:val="clear" w:color="auto" w:fill="FFFFFF"/>
        </w:rPr>
      </w:pPr>
    </w:p>
    <w:p w14:paraId="5B305CE0" w14:textId="17BCC685" w:rsidR="00FF315D" w:rsidRPr="00FF315D" w:rsidRDefault="00FF315D" w:rsidP="00FF315D">
      <w:pPr>
        <w:ind w:right="237"/>
        <w:jc w:val="both"/>
        <w:textAlignment w:val="auto"/>
        <w:rPr>
          <w:color w:val="222222"/>
          <w:shd w:val="clear" w:color="auto" w:fill="FFFFFF"/>
        </w:rPr>
      </w:pPr>
      <w:r w:rsidRPr="00FF315D">
        <w:rPr>
          <w:color w:val="222222"/>
          <w:shd w:val="clear" w:color="auto" w:fill="FFFFFF"/>
        </w:rPr>
        <w:t xml:space="preserve">Hinkle, J.C., Weisburd, D., </w:t>
      </w:r>
      <w:proofErr w:type="spellStart"/>
      <w:r w:rsidRPr="00FF315D">
        <w:rPr>
          <w:color w:val="222222"/>
          <w:shd w:val="clear" w:color="auto" w:fill="FFFFFF"/>
        </w:rPr>
        <w:t>Telep</w:t>
      </w:r>
      <w:proofErr w:type="spellEnd"/>
      <w:r w:rsidRPr="00FF315D">
        <w:rPr>
          <w:color w:val="222222"/>
          <w:shd w:val="clear" w:color="auto" w:fill="FFFFFF"/>
        </w:rPr>
        <w:t>, C.W. and Petersen, K., 2020. Problem</w:t>
      </w:r>
      <w:r w:rsidRPr="00FF315D">
        <w:rPr>
          <w:rFonts w:ascii="Cambria Math" w:hAnsi="Cambria Math" w:cs="Cambria Math"/>
          <w:color w:val="222222"/>
          <w:shd w:val="clear" w:color="auto" w:fill="FFFFFF"/>
        </w:rPr>
        <w:t>‐</w:t>
      </w:r>
      <w:r w:rsidRPr="00FF315D">
        <w:rPr>
          <w:color w:val="222222"/>
          <w:shd w:val="clear" w:color="auto" w:fill="FFFFFF"/>
        </w:rPr>
        <w:t>oriented policing for reducing crime and disorder: An updated systematic review and meta</w:t>
      </w:r>
      <w:r w:rsidRPr="00FF315D">
        <w:rPr>
          <w:rFonts w:ascii="Cambria Math" w:hAnsi="Cambria Math" w:cs="Cambria Math"/>
          <w:color w:val="222222"/>
          <w:shd w:val="clear" w:color="auto" w:fill="FFFFFF"/>
        </w:rPr>
        <w:t>‐</w:t>
      </w:r>
      <w:r w:rsidRPr="00FF315D">
        <w:rPr>
          <w:color w:val="222222"/>
          <w:shd w:val="clear" w:color="auto" w:fill="FFFFFF"/>
        </w:rPr>
        <w:t>analysis. </w:t>
      </w:r>
      <w:r w:rsidRPr="00FF315D">
        <w:rPr>
          <w:i/>
          <w:iCs/>
          <w:color w:val="222222"/>
          <w:shd w:val="clear" w:color="auto" w:fill="FFFFFF"/>
        </w:rPr>
        <w:t>Campbell systematic reviews</w:t>
      </w:r>
      <w:r w:rsidRPr="00FF315D">
        <w:rPr>
          <w:color w:val="222222"/>
          <w:shd w:val="clear" w:color="auto" w:fill="FFFFFF"/>
        </w:rPr>
        <w:t>, </w:t>
      </w:r>
      <w:r w:rsidRPr="00FF315D">
        <w:rPr>
          <w:i/>
          <w:iCs/>
          <w:color w:val="222222"/>
          <w:shd w:val="clear" w:color="auto" w:fill="FFFFFF"/>
        </w:rPr>
        <w:t>16</w:t>
      </w:r>
      <w:r w:rsidRPr="00FF315D">
        <w:rPr>
          <w:color w:val="222222"/>
          <w:shd w:val="clear" w:color="auto" w:fill="FFFFFF"/>
        </w:rPr>
        <w:t>(2), p.e1089.</w:t>
      </w:r>
    </w:p>
    <w:p w14:paraId="33A4F075" w14:textId="77777777" w:rsidR="00972D94" w:rsidRDefault="00972D94" w:rsidP="00FF315D">
      <w:pPr>
        <w:ind w:right="237"/>
        <w:jc w:val="both"/>
        <w:textAlignment w:val="auto"/>
        <w:rPr>
          <w:color w:val="222222"/>
          <w:shd w:val="clear" w:color="auto" w:fill="FFFFFF"/>
        </w:rPr>
      </w:pPr>
    </w:p>
    <w:p w14:paraId="6967E1DA" w14:textId="0BF791E7" w:rsidR="00FF315D" w:rsidRPr="00FF315D" w:rsidRDefault="00FF315D" w:rsidP="00FF315D">
      <w:pPr>
        <w:ind w:right="237"/>
        <w:jc w:val="both"/>
        <w:textAlignment w:val="auto"/>
        <w:rPr>
          <w:color w:val="222222"/>
          <w:shd w:val="clear" w:color="auto" w:fill="FFFFFF"/>
        </w:rPr>
      </w:pPr>
      <w:r w:rsidRPr="00FF315D">
        <w:rPr>
          <w:color w:val="222222"/>
          <w:shd w:val="clear" w:color="auto" w:fill="FFFFFF"/>
        </w:rPr>
        <w:t xml:space="preserve">Institute of Community Cohesion, 2007. Understanding and monitoring tension and conflict in local communities. </w:t>
      </w:r>
      <w:r w:rsidRPr="00FF315D">
        <w:rPr>
          <w:i/>
          <w:iCs/>
          <w:color w:val="222222"/>
          <w:shd w:val="clear" w:color="auto" w:fill="FFFFFF"/>
        </w:rPr>
        <w:t>2</w:t>
      </w:r>
      <w:r w:rsidRPr="00FF315D">
        <w:rPr>
          <w:i/>
          <w:iCs/>
          <w:color w:val="222222"/>
          <w:shd w:val="clear" w:color="auto" w:fill="FFFFFF"/>
          <w:vertAlign w:val="superscript"/>
        </w:rPr>
        <w:t>nd</w:t>
      </w:r>
      <w:r w:rsidRPr="00FF315D">
        <w:rPr>
          <w:i/>
          <w:iCs/>
          <w:color w:val="222222"/>
          <w:shd w:val="clear" w:color="auto" w:fill="FFFFFF"/>
        </w:rPr>
        <w:t xml:space="preserve"> edition. </w:t>
      </w:r>
      <w:r w:rsidRPr="00FF315D">
        <w:rPr>
          <w:color w:val="222222"/>
          <w:shd w:val="clear" w:color="auto" w:fill="FFFFFF"/>
        </w:rPr>
        <w:t>Accessed via Moodle.</w:t>
      </w:r>
    </w:p>
    <w:p w14:paraId="5962EB83" w14:textId="77777777" w:rsidR="00972D94" w:rsidRDefault="00972D94" w:rsidP="00FF315D">
      <w:pPr>
        <w:ind w:right="237"/>
        <w:jc w:val="both"/>
        <w:textAlignment w:val="auto"/>
        <w:rPr>
          <w:color w:val="222222"/>
          <w:shd w:val="clear" w:color="auto" w:fill="FFFFFF"/>
        </w:rPr>
      </w:pPr>
    </w:p>
    <w:p w14:paraId="5150584A" w14:textId="59A9926B" w:rsidR="00FF315D" w:rsidRPr="00FF315D" w:rsidRDefault="00FF315D" w:rsidP="00FF315D">
      <w:pPr>
        <w:ind w:right="237"/>
        <w:jc w:val="both"/>
        <w:textAlignment w:val="auto"/>
        <w:rPr>
          <w:color w:val="222222"/>
          <w:shd w:val="clear" w:color="auto" w:fill="FFFFFF"/>
        </w:rPr>
      </w:pPr>
      <w:proofErr w:type="spellStart"/>
      <w:r w:rsidRPr="00FF315D">
        <w:rPr>
          <w:color w:val="222222"/>
          <w:shd w:val="clear" w:color="auto" w:fill="FFFFFF"/>
        </w:rPr>
        <w:t>Kleiven</w:t>
      </w:r>
      <w:proofErr w:type="spellEnd"/>
      <w:r w:rsidRPr="00FF315D">
        <w:rPr>
          <w:color w:val="222222"/>
          <w:shd w:val="clear" w:color="auto" w:fill="FFFFFF"/>
        </w:rPr>
        <w:t xml:space="preserve">, M.E., 2007. Where's the intelligence in the National Intelligence </w:t>
      </w:r>
      <w:proofErr w:type="gramStart"/>
      <w:r w:rsidRPr="00FF315D">
        <w:rPr>
          <w:color w:val="222222"/>
          <w:shd w:val="clear" w:color="auto" w:fill="FFFFFF"/>
        </w:rPr>
        <w:t>Model?.</w:t>
      </w:r>
      <w:proofErr w:type="gramEnd"/>
      <w:r w:rsidRPr="00FF315D">
        <w:rPr>
          <w:color w:val="222222"/>
          <w:shd w:val="clear" w:color="auto" w:fill="FFFFFF"/>
        </w:rPr>
        <w:t> </w:t>
      </w:r>
      <w:r w:rsidRPr="00FF315D">
        <w:rPr>
          <w:i/>
          <w:iCs/>
          <w:color w:val="222222"/>
          <w:shd w:val="clear" w:color="auto" w:fill="FFFFFF"/>
        </w:rPr>
        <w:t>International Journal of Police Science &amp; Management</w:t>
      </w:r>
      <w:r w:rsidRPr="00FF315D">
        <w:rPr>
          <w:color w:val="222222"/>
          <w:shd w:val="clear" w:color="auto" w:fill="FFFFFF"/>
        </w:rPr>
        <w:t>, </w:t>
      </w:r>
      <w:r w:rsidRPr="00FF315D">
        <w:rPr>
          <w:i/>
          <w:iCs/>
          <w:color w:val="222222"/>
          <w:shd w:val="clear" w:color="auto" w:fill="FFFFFF"/>
        </w:rPr>
        <w:t>9</w:t>
      </w:r>
      <w:r w:rsidRPr="00FF315D">
        <w:rPr>
          <w:color w:val="222222"/>
          <w:shd w:val="clear" w:color="auto" w:fill="FFFFFF"/>
        </w:rPr>
        <w:t>(3), pp.257-273.</w:t>
      </w:r>
    </w:p>
    <w:p w14:paraId="1257DE89" w14:textId="77777777" w:rsidR="00FF315D" w:rsidRPr="00FF315D" w:rsidRDefault="00FF315D" w:rsidP="00FF315D">
      <w:pPr>
        <w:keepNext/>
        <w:spacing w:before="240" w:after="60"/>
        <w:ind w:right="237"/>
        <w:jc w:val="both"/>
      </w:pPr>
      <w:r w:rsidRPr="00FF315D">
        <w:lastRenderedPageBreak/>
        <w:t>Robinson, A., 2013, November. A risk-led approach to domestic violence: the MARAC model in the UK. In </w:t>
      </w:r>
      <w:r w:rsidRPr="00FF315D">
        <w:rPr>
          <w:i/>
          <w:iCs/>
        </w:rPr>
        <w:t xml:space="preserve">International Conference on “Violence in Close Social Relationships and Stalking–Police Officers Dealing with </w:t>
      </w:r>
      <w:proofErr w:type="gramStart"/>
      <w:r w:rsidRPr="00FF315D">
        <w:rPr>
          <w:i/>
          <w:iCs/>
        </w:rPr>
        <w:t>High Risk</w:t>
      </w:r>
      <w:proofErr w:type="gramEnd"/>
      <w:r w:rsidRPr="00FF315D">
        <w:rPr>
          <w:i/>
          <w:iCs/>
        </w:rPr>
        <w:t xml:space="preserve"> Cases.” Rhineland-Palatinate Police Academy, Germany</w:t>
      </w:r>
      <w:r w:rsidRPr="00FF315D">
        <w:t>.</w:t>
      </w:r>
    </w:p>
    <w:p w14:paraId="5000E477" w14:textId="77777777" w:rsidR="00FF315D" w:rsidRPr="00FF315D" w:rsidRDefault="00FF315D" w:rsidP="00FF315D">
      <w:pPr>
        <w:keepNext/>
        <w:spacing w:before="240" w:after="60"/>
        <w:ind w:right="237"/>
        <w:jc w:val="both"/>
      </w:pPr>
      <w:r w:rsidRPr="00FF315D">
        <w:t>Robinson, A., 2016. What works for reducing domestic abuse: Risk-led policing and the DASH risk assessment tool.</w:t>
      </w:r>
    </w:p>
    <w:p w14:paraId="4D4999FF" w14:textId="77777777" w:rsidR="00FF315D" w:rsidRPr="00FF315D" w:rsidRDefault="00FF315D" w:rsidP="00FF315D">
      <w:pPr>
        <w:keepNext/>
        <w:spacing w:before="240" w:after="60"/>
        <w:ind w:right="237"/>
        <w:jc w:val="both"/>
      </w:pPr>
      <w:r w:rsidRPr="00FF315D">
        <w:t xml:space="preserve">Ross, J., </w:t>
      </w:r>
      <w:proofErr w:type="spellStart"/>
      <w:r w:rsidRPr="00FF315D">
        <w:t>Sebire</w:t>
      </w:r>
      <w:proofErr w:type="spellEnd"/>
      <w:r w:rsidRPr="00FF315D">
        <w:t xml:space="preserve">, J. and Strang, H., 2022. Tracking Repeat Victimisation After Domestic Abuse Cases Are Heard </w:t>
      </w:r>
      <w:proofErr w:type="gramStart"/>
      <w:r w:rsidRPr="00FF315D">
        <w:t>With</w:t>
      </w:r>
      <w:proofErr w:type="gramEnd"/>
      <w:r w:rsidRPr="00FF315D">
        <w:t xml:space="preserve"> and Without Independent Domestic Violence Advisors (IDVAs) in an English Magistrate’s Court. </w:t>
      </w:r>
      <w:r w:rsidRPr="00FF315D">
        <w:rPr>
          <w:i/>
          <w:iCs/>
        </w:rPr>
        <w:t>Cambridge Journal of Evidence-Based Policing</w:t>
      </w:r>
      <w:r w:rsidRPr="00FF315D">
        <w:t>, </w:t>
      </w:r>
      <w:r w:rsidRPr="00FF315D">
        <w:rPr>
          <w:i/>
          <w:iCs/>
        </w:rPr>
        <w:t>6</w:t>
      </w:r>
      <w:r w:rsidRPr="00FF315D">
        <w:t>(1-2), pp.54-68.</w:t>
      </w:r>
    </w:p>
    <w:p w14:paraId="52A62785" w14:textId="77777777" w:rsidR="00972D94" w:rsidRDefault="00972D94" w:rsidP="00FF315D">
      <w:pPr>
        <w:ind w:right="237"/>
        <w:jc w:val="both"/>
        <w:textAlignment w:val="auto"/>
        <w:rPr>
          <w:color w:val="222222"/>
          <w:shd w:val="clear" w:color="auto" w:fill="FFFFFF"/>
        </w:rPr>
      </w:pPr>
    </w:p>
    <w:p w14:paraId="1BA5B3A4" w14:textId="42F1D5DC" w:rsidR="00FF315D" w:rsidRPr="00FF315D" w:rsidRDefault="00FF315D" w:rsidP="00FF315D">
      <w:pPr>
        <w:ind w:right="237"/>
        <w:jc w:val="both"/>
        <w:textAlignment w:val="auto"/>
        <w:rPr>
          <w:color w:val="222222"/>
          <w:shd w:val="clear" w:color="auto" w:fill="FFFFFF"/>
        </w:rPr>
      </w:pPr>
      <w:r w:rsidRPr="00FF315D">
        <w:rPr>
          <w:color w:val="222222"/>
          <w:shd w:val="clear" w:color="auto" w:fill="FFFFFF"/>
        </w:rPr>
        <w:t>Rowland, R. and Coupe, T., 2014. Patrol officers and public reassurance: a comparative evaluation of police officers, PCSOs, ACSOs and private security guards. </w:t>
      </w:r>
      <w:r w:rsidRPr="00FF315D">
        <w:rPr>
          <w:i/>
          <w:iCs/>
          <w:color w:val="222222"/>
          <w:shd w:val="clear" w:color="auto" w:fill="FFFFFF"/>
        </w:rPr>
        <w:t>Policing and society</w:t>
      </w:r>
      <w:r w:rsidRPr="00FF315D">
        <w:rPr>
          <w:color w:val="222222"/>
          <w:shd w:val="clear" w:color="auto" w:fill="FFFFFF"/>
        </w:rPr>
        <w:t>, </w:t>
      </w:r>
      <w:r w:rsidRPr="00FF315D">
        <w:rPr>
          <w:i/>
          <w:iCs/>
          <w:color w:val="222222"/>
          <w:shd w:val="clear" w:color="auto" w:fill="FFFFFF"/>
        </w:rPr>
        <w:t>24</w:t>
      </w:r>
      <w:r w:rsidRPr="00FF315D">
        <w:rPr>
          <w:color w:val="222222"/>
          <w:shd w:val="clear" w:color="auto" w:fill="FFFFFF"/>
        </w:rPr>
        <w:t>(3), pp.265-284.</w:t>
      </w:r>
    </w:p>
    <w:p w14:paraId="7F075360" w14:textId="77777777" w:rsidR="00972D94" w:rsidRDefault="00972D94" w:rsidP="00FF315D">
      <w:pPr>
        <w:ind w:right="237"/>
        <w:jc w:val="both"/>
        <w:textAlignment w:val="auto"/>
        <w:rPr>
          <w:color w:val="222222"/>
          <w:shd w:val="clear" w:color="auto" w:fill="FFFFFF"/>
        </w:rPr>
      </w:pPr>
    </w:p>
    <w:p w14:paraId="3EE9528D" w14:textId="4B4707E9" w:rsidR="00FF315D" w:rsidRPr="00FF315D" w:rsidRDefault="00FF315D" w:rsidP="00FF315D">
      <w:pPr>
        <w:ind w:right="237"/>
        <w:jc w:val="both"/>
        <w:textAlignment w:val="auto"/>
        <w:rPr>
          <w:color w:val="222222"/>
          <w:shd w:val="clear" w:color="auto" w:fill="FFFFFF"/>
        </w:rPr>
      </w:pPr>
      <w:r w:rsidRPr="00FF315D">
        <w:rPr>
          <w:color w:val="222222"/>
          <w:shd w:val="clear" w:color="auto" w:fill="FFFFFF"/>
        </w:rPr>
        <w:t>Silke, A., 2001. Dealing with vigilantism: Issues and lessons for the police. </w:t>
      </w:r>
      <w:r w:rsidRPr="00FF315D">
        <w:rPr>
          <w:i/>
          <w:iCs/>
          <w:color w:val="222222"/>
          <w:shd w:val="clear" w:color="auto" w:fill="FFFFFF"/>
        </w:rPr>
        <w:t>The Police Journal</w:t>
      </w:r>
      <w:r w:rsidRPr="00FF315D">
        <w:rPr>
          <w:color w:val="222222"/>
          <w:shd w:val="clear" w:color="auto" w:fill="FFFFFF"/>
        </w:rPr>
        <w:t>, </w:t>
      </w:r>
      <w:r w:rsidRPr="00FF315D">
        <w:rPr>
          <w:i/>
          <w:iCs/>
          <w:color w:val="222222"/>
          <w:shd w:val="clear" w:color="auto" w:fill="FFFFFF"/>
        </w:rPr>
        <w:t>74</w:t>
      </w:r>
      <w:r w:rsidRPr="00FF315D">
        <w:rPr>
          <w:color w:val="222222"/>
          <w:shd w:val="clear" w:color="auto" w:fill="FFFFFF"/>
        </w:rPr>
        <w:t>(2), pp.120-133.</w:t>
      </w:r>
    </w:p>
    <w:p w14:paraId="1810B900" w14:textId="77777777" w:rsidR="00FF315D" w:rsidRPr="00FF315D" w:rsidRDefault="00FF315D" w:rsidP="00FF315D">
      <w:pPr>
        <w:keepNext/>
        <w:spacing w:before="240" w:after="60"/>
        <w:ind w:right="237"/>
        <w:jc w:val="both"/>
      </w:pPr>
      <w:r w:rsidRPr="00FF315D">
        <w:t>Taylor-Dunn, H. and Erol, R., 2021. Improving the safety and well-being of domestic abuse survivors: the role of a specialist organisation in supporting the work of Independent Domestic Violence Advisors. </w:t>
      </w:r>
      <w:r w:rsidRPr="00FF315D">
        <w:rPr>
          <w:i/>
          <w:iCs/>
        </w:rPr>
        <w:t>Crime prevention and community safety</w:t>
      </w:r>
      <w:r w:rsidRPr="00FF315D">
        <w:t>, </w:t>
      </w:r>
      <w:r w:rsidRPr="00FF315D">
        <w:rPr>
          <w:i/>
          <w:iCs/>
        </w:rPr>
        <w:t>23</w:t>
      </w:r>
      <w:r w:rsidRPr="00FF315D">
        <w:t>, pp.115-136.</w:t>
      </w:r>
    </w:p>
    <w:p w14:paraId="181203B3" w14:textId="77777777" w:rsidR="00972D94" w:rsidRDefault="00972D94" w:rsidP="00FF315D">
      <w:pPr>
        <w:ind w:right="237"/>
        <w:jc w:val="both"/>
        <w:textAlignment w:val="auto"/>
        <w:rPr>
          <w:color w:val="222222"/>
          <w:shd w:val="clear" w:color="auto" w:fill="FFFFFF"/>
        </w:rPr>
      </w:pPr>
    </w:p>
    <w:p w14:paraId="5495FD4E" w14:textId="571692FE" w:rsidR="00FF315D" w:rsidRPr="00FF315D" w:rsidRDefault="00FF315D" w:rsidP="00FF315D">
      <w:pPr>
        <w:ind w:right="237"/>
        <w:jc w:val="both"/>
        <w:textAlignment w:val="auto"/>
        <w:rPr>
          <w:b/>
          <w:bCs/>
          <w:sz w:val="24"/>
          <w:szCs w:val="24"/>
        </w:rPr>
      </w:pPr>
      <w:r w:rsidRPr="00FF315D">
        <w:rPr>
          <w:color w:val="222222"/>
          <w:shd w:val="clear" w:color="auto" w:fill="FFFFFF"/>
        </w:rPr>
        <w:t xml:space="preserve">Williams, C.B., </w:t>
      </w:r>
      <w:proofErr w:type="spellStart"/>
      <w:r w:rsidRPr="00FF315D">
        <w:rPr>
          <w:color w:val="222222"/>
          <w:shd w:val="clear" w:color="auto" w:fill="FFFFFF"/>
        </w:rPr>
        <w:t>Fedorowicz</w:t>
      </w:r>
      <w:proofErr w:type="spellEnd"/>
      <w:r w:rsidRPr="00FF315D">
        <w:rPr>
          <w:color w:val="222222"/>
          <w:shd w:val="clear" w:color="auto" w:fill="FFFFFF"/>
        </w:rPr>
        <w:t>, J., Kavanaugh, A., Mentzer, K., Thatcher, J.B. and Xu, J., 2018. Leveraging social media to achieve a community policing agenda. </w:t>
      </w:r>
      <w:r w:rsidRPr="00FF315D">
        <w:rPr>
          <w:i/>
          <w:iCs/>
          <w:color w:val="222222"/>
          <w:shd w:val="clear" w:color="auto" w:fill="FFFFFF"/>
        </w:rPr>
        <w:t>Government Information Quarterly</w:t>
      </w:r>
      <w:r w:rsidRPr="00FF315D">
        <w:rPr>
          <w:color w:val="222222"/>
          <w:shd w:val="clear" w:color="auto" w:fill="FFFFFF"/>
        </w:rPr>
        <w:t>, </w:t>
      </w:r>
      <w:r w:rsidRPr="00FF315D">
        <w:rPr>
          <w:i/>
          <w:iCs/>
          <w:color w:val="222222"/>
          <w:shd w:val="clear" w:color="auto" w:fill="FFFFFF"/>
        </w:rPr>
        <w:t>35</w:t>
      </w:r>
      <w:r w:rsidRPr="00FF315D">
        <w:rPr>
          <w:color w:val="222222"/>
          <w:shd w:val="clear" w:color="auto" w:fill="FFFFFF"/>
        </w:rPr>
        <w:t>(2), pp.210-222.</w:t>
      </w:r>
    </w:p>
    <w:p w14:paraId="2FA4973C" w14:textId="77777777" w:rsidR="00FF315D" w:rsidRDefault="00FF315D" w:rsidP="00EA28F1">
      <w:pPr>
        <w:keepNext/>
        <w:spacing w:before="240" w:after="60"/>
        <w:ind w:right="237"/>
        <w:jc w:val="both"/>
      </w:pPr>
    </w:p>
    <w:sectPr w:rsidR="00FF315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B79B9" w14:textId="77777777" w:rsidR="002611CC" w:rsidRDefault="002611CC">
      <w:r>
        <w:separator/>
      </w:r>
    </w:p>
  </w:endnote>
  <w:endnote w:type="continuationSeparator" w:id="0">
    <w:p w14:paraId="69F0D661" w14:textId="77777777" w:rsidR="002611CC" w:rsidRDefault="002611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9FD71" w14:textId="77777777" w:rsidR="00107E15" w:rsidRDefault="00107E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E499F" w14:textId="77777777" w:rsidR="00107E15" w:rsidRDefault="00107E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91DAC" w14:textId="77777777" w:rsidR="002611CC" w:rsidRDefault="002611CC">
      <w:r>
        <w:separator/>
      </w:r>
    </w:p>
  </w:footnote>
  <w:footnote w:type="continuationSeparator" w:id="0">
    <w:p w14:paraId="2E4C820A" w14:textId="77777777" w:rsidR="002611CC" w:rsidRDefault="002611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3BBF8" w14:textId="77777777" w:rsidR="00107E15" w:rsidRDefault="00107E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7DC63" w14:textId="77777777" w:rsidR="00107E15" w:rsidRDefault="00107E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3F99C" w14:textId="77777777" w:rsidR="00107E15" w:rsidRDefault="00107E15">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F47485B4"/>
    <w:lvl w:ilvl="0" w:tplc="DA86F3FA">
      <w:start w:val="1"/>
      <w:numFmt w:val="decimal"/>
      <w:lvlText w:val="%1."/>
      <w:lvlJc w:val="left"/>
      <w:pPr>
        <w:ind w:left="720" w:hanging="360"/>
      </w:pPr>
    </w:lvl>
    <w:lvl w:ilvl="1" w:tplc="6BB45DC4">
      <w:start w:val="1"/>
      <w:numFmt w:val="lowerLetter"/>
      <w:lvlText w:val="%2."/>
      <w:lvlJc w:val="left"/>
      <w:pPr>
        <w:ind w:left="1440" w:hanging="360"/>
      </w:pPr>
    </w:lvl>
    <w:lvl w:ilvl="2" w:tplc="7AA818E8">
      <w:start w:val="1"/>
      <w:numFmt w:val="lowerRoman"/>
      <w:lvlText w:val="%3."/>
      <w:lvlJc w:val="right"/>
      <w:pPr>
        <w:ind w:left="2160" w:hanging="180"/>
      </w:pPr>
    </w:lvl>
    <w:lvl w:ilvl="3" w:tplc="CDB89364">
      <w:start w:val="1"/>
      <w:numFmt w:val="decimal"/>
      <w:lvlText w:val="%4."/>
      <w:lvlJc w:val="left"/>
      <w:pPr>
        <w:ind w:left="2880" w:hanging="360"/>
      </w:pPr>
    </w:lvl>
    <w:lvl w:ilvl="4" w:tplc="DE52775A">
      <w:start w:val="1"/>
      <w:numFmt w:val="lowerLetter"/>
      <w:lvlText w:val="%5."/>
      <w:lvlJc w:val="left"/>
      <w:pPr>
        <w:ind w:left="3600" w:hanging="360"/>
      </w:pPr>
    </w:lvl>
    <w:lvl w:ilvl="5" w:tplc="408A74AE">
      <w:start w:val="1"/>
      <w:numFmt w:val="lowerRoman"/>
      <w:lvlText w:val="%6."/>
      <w:lvlJc w:val="right"/>
      <w:pPr>
        <w:ind w:left="4320" w:hanging="180"/>
      </w:pPr>
    </w:lvl>
    <w:lvl w:ilvl="6" w:tplc="967CBB48">
      <w:start w:val="1"/>
      <w:numFmt w:val="decimal"/>
      <w:lvlText w:val="%7."/>
      <w:lvlJc w:val="left"/>
      <w:pPr>
        <w:ind w:left="5040" w:hanging="360"/>
      </w:pPr>
    </w:lvl>
    <w:lvl w:ilvl="7" w:tplc="662ADBDE">
      <w:start w:val="1"/>
      <w:numFmt w:val="lowerLetter"/>
      <w:lvlText w:val="%8."/>
      <w:lvlJc w:val="left"/>
      <w:pPr>
        <w:ind w:left="5760" w:hanging="360"/>
      </w:pPr>
    </w:lvl>
    <w:lvl w:ilvl="8" w:tplc="7C486B52">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AF6AFFC8"/>
    <w:lvl w:ilvl="0" w:tplc="259E95EC">
      <w:start w:val="1"/>
      <w:numFmt w:val="decimal"/>
      <w:lvlText w:val="%1."/>
      <w:lvlJc w:val="left"/>
      <w:pPr>
        <w:ind w:left="720" w:hanging="360"/>
      </w:pPr>
    </w:lvl>
    <w:lvl w:ilvl="1" w:tplc="FC68A5FA">
      <w:start w:val="1"/>
      <w:numFmt w:val="decimal"/>
      <w:lvlText w:val="%2."/>
      <w:lvlJc w:val="left"/>
      <w:pPr>
        <w:ind w:left="1440" w:hanging="360"/>
      </w:pPr>
    </w:lvl>
    <w:lvl w:ilvl="2" w:tplc="F536DCA8">
      <w:start w:val="1"/>
      <w:numFmt w:val="lowerRoman"/>
      <w:lvlText w:val="%3."/>
      <w:lvlJc w:val="right"/>
      <w:pPr>
        <w:ind w:left="2160" w:hanging="180"/>
      </w:pPr>
    </w:lvl>
    <w:lvl w:ilvl="3" w:tplc="CBBA3890">
      <w:start w:val="1"/>
      <w:numFmt w:val="decimal"/>
      <w:lvlText w:val="%4."/>
      <w:lvlJc w:val="left"/>
      <w:pPr>
        <w:ind w:left="2880" w:hanging="360"/>
      </w:pPr>
    </w:lvl>
    <w:lvl w:ilvl="4" w:tplc="578E593A">
      <w:start w:val="1"/>
      <w:numFmt w:val="lowerLetter"/>
      <w:lvlText w:val="%5."/>
      <w:lvlJc w:val="left"/>
      <w:pPr>
        <w:ind w:left="3600" w:hanging="360"/>
      </w:pPr>
    </w:lvl>
    <w:lvl w:ilvl="5" w:tplc="679416E8">
      <w:start w:val="1"/>
      <w:numFmt w:val="lowerRoman"/>
      <w:lvlText w:val="%6."/>
      <w:lvlJc w:val="right"/>
      <w:pPr>
        <w:ind w:left="4320" w:hanging="180"/>
      </w:pPr>
    </w:lvl>
    <w:lvl w:ilvl="6" w:tplc="30F20B96">
      <w:start w:val="1"/>
      <w:numFmt w:val="decimal"/>
      <w:lvlText w:val="%7."/>
      <w:lvlJc w:val="left"/>
      <w:pPr>
        <w:ind w:left="5040" w:hanging="360"/>
      </w:pPr>
    </w:lvl>
    <w:lvl w:ilvl="7" w:tplc="EB2A2702">
      <w:start w:val="1"/>
      <w:numFmt w:val="lowerLetter"/>
      <w:lvlText w:val="%8."/>
      <w:lvlJc w:val="left"/>
      <w:pPr>
        <w:ind w:left="5760" w:hanging="360"/>
      </w:pPr>
    </w:lvl>
    <w:lvl w:ilvl="8" w:tplc="BBF6585A">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0658182">
    <w:abstractNumId w:val="47"/>
  </w:num>
  <w:num w:numId="2" w16cid:durableId="1825122949">
    <w:abstractNumId w:val="10"/>
  </w:num>
  <w:num w:numId="3" w16cid:durableId="1455751664">
    <w:abstractNumId w:val="1"/>
    <w:lvlOverride w:ilvl="0">
      <w:lvl w:ilvl="0">
        <w:start w:val="1"/>
        <w:numFmt w:val="bullet"/>
        <w:lvlText w:val=""/>
        <w:lvlJc w:val="left"/>
        <w:pPr>
          <w:ind w:left="720" w:hanging="360"/>
        </w:pPr>
        <w:rPr>
          <w:rFonts w:ascii="Symbol" w:hAnsi="Symbol" w:hint="default"/>
        </w:rPr>
      </w:lvl>
    </w:lvlOverride>
  </w:num>
  <w:num w:numId="4" w16cid:durableId="1031110502">
    <w:abstractNumId w:val="22"/>
  </w:num>
  <w:num w:numId="5" w16cid:durableId="1692801470">
    <w:abstractNumId w:val="44"/>
  </w:num>
  <w:num w:numId="6" w16cid:durableId="1145701545">
    <w:abstractNumId w:val="46"/>
  </w:num>
  <w:num w:numId="7" w16cid:durableId="576479948">
    <w:abstractNumId w:val="34"/>
  </w:num>
  <w:num w:numId="8" w16cid:durableId="761222458">
    <w:abstractNumId w:val="32"/>
  </w:num>
  <w:num w:numId="9" w16cid:durableId="1950047446">
    <w:abstractNumId w:val="29"/>
  </w:num>
  <w:num w:numId="10" w16cid:durableId="251857116">
    <w:abstractNumId w:val="30"/>
  </w:num>
  <w:num w:numId="11" w16cid:durableId="1440830917">
    <w:abstractNumId w:val="9"/>
  </w:num>
  <w:num w:numId="12" w16cid:durableId="1748262765">
    <w:abstractNumId w:val="33"/>
  </w:num>
  <w:num w:numId="13" w16cid:durableId="942154609">
    <w:abstractNumId w:val="17"/>
  </w:num>
  <w:num w:numId="14" w16cid:durableId="881481626">
    <w:abstractNumId w:val="16"/>
  </w:num>
  <w:num w:numId="15" w16cid:durableId="68232114">
    <w:abstractNumId w:val="26"/>
  </w:num>
  <w:num w:numId="16" w16cid:durableId="1516769792">
    <w:abstractNumId w:val="7"/>
  </w:num>
  <w:num w:numId="17" w16cid:durableId="253635028">
    <w:abstractNumId w:val="25"/>
  </w:num>
  <w:num w:numId="18" w16cid:durableId="173960495">
    <w:abstractNumId w:val="15"/>
  </w:num>
  <w:num w:numId="19" w16cid:durableId="1102578265">
    <w:abstractNumId w:val="13"/>
  </w:num>
  <w:num w:numId="20" w16cid:durableId="36879610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17207375">
    <w:abstractNumId w:val="23"/>
  </w:num>
  <w:num w:numId="22" w16cid:durableId="164168943">
    <w:abstractNumId w:val="18"/>
  </w:num>
  <w:num w:numId="23" w16cid:durableId="1185364844">
    <w:abstractNumId w:val="14"/>
  </w:num>
  <w:num w:numId="24" w16cid:durableId="880092700">
    <w:abstractNumId w:val="11"/>
  </w:num>
  <w:num w:numId="25" w16cid:durableId="782960362">
    <w:abstractNumId w:val="27"/>
  </w:num>
  <w:num w:numId="26" w16cid:durableId="1781879016">
    <w:abstractNumId w:val="19"/>
  </w:num>
  <w:num w:numId="27" w16cid:durableId="1457022597">
    <w:abstractNumId w:val="40"/>
  </w:num>
  <w:num w:numId="28" w16cid:durableId="629743433">
    <w:abstractNumId w:val="35"/>
  </w:num>
  <w:num w:numId="29" w16cid:durableId="718014161">
    <w:abstractNumId w:val="39"/>
  </w:num>
  <w:num w:numId="30" w16cid:durableId="1642927505">
    <w:abstractNumId w:val="20"/>
  </w:num>
  <w:num w:numId="31" w16cid:durableId="1483738513">
    <w:abstractNumId w:val="42"/>
  </w:num>
  <w:num w:numId="32" w16cid:durableId="1252858553">
    <w:abstractNumId w:val="31"/>
  </w:num>
  <w:num w:numId="33" w16cid:durableId="1779174225">
    <w:abstractNumId w:val="12"/>
  </w:num>
  <w:num w:numId="34" w16cid:durableId="1989750083">
    <w:abstractNumId w:val="43"/>
  </w:num>
  <w:num w:numId="35" w16cid:durableId="466432372">
    <w:abstractNumId w:val="38"/>
  </w:num>
  <w:num w:numId="36" w16cid:durableId="281809945">
    <w:abstractNumId w:val="4"/>
  </w:num>
  <w:num w:numId="37" w16cid:durableId="233974134">
    <w:abstractNumId w:val="45"/>
  </w:num>
  <w:num w:numId="38" w16cid:durableId="1258633346">
    <w:abstractNumId w:val="41"/>
  </w:num>
  <w:num w:numId="39" w16cid:durableId="173614830">
    <w:abstractNumId w:val="36"/>
  </w:num>
  <w:num w:numId="40" w16cid:durableId="349576215">
    <w:abstractNumId w:val="37"/>
  </w:num>
  <w:num w:numId="41" w16cid:durableId="1175151115">
    <w:abstractNumId w:val="3"/>
  </w:num>
  <w:num w:numId="42" w16cid:durableId="255942558">
    <w:abstractNumId w:val="5"/>
  </w:num>
  <w:num w:numId="43" w16cid:durableId="1231498317">
    <w:abstractNumId w:val="24"/>
  </w:num>
  <w:num w:numId="44" w16cid:durableId="877006319">
    <w:abstractNumId w:val="6"/>
  </w:num>
  <w:num w:numId="45" w16cid:durableId="877470254">
    <w:abstractNumId w:val="2"/>
  </w:num>
  <w:num w:numId="46" w16cid:durableId="423650469">
    <w:abstractNumId w:val="0"/>
  </w:num>
  <w:num w:numId="47" w16cid:durableId="497310818">
    <w:abstractNumId w:val="21"/>
  </w:num>
  <w:num w:numId="48" w16cid:durableId="653681807">
    <w:abstractNumId w:val="28"/>
  </w:num>
  <w:num w:numId="49" w16cid:durableId="294063545">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07E15"/>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11CC"/>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72D94"/>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5D"/>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FF315D"/>
    <w:rPr>
      <w:color w:val="605E5C"/>
      <w:shd w:val="clear" w:color="auto" w:fill="E1DFDD"/>
    </w:rPr>
  </w:style>
  <w:style w:type="character" w:styleId="FollowedHyperlink">
    <w:name w:val="FollowedHyperlink"/>
    <w:basedOn w:val="DefaultParagraphFont"/>
    <w:uiPriority w:val="99"/>
    <w:semiHidden/>
    <w:unhideWhenUsed/>
    <w:rsid w:val="00FF31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bbc.co.uk/news/uk-64798162"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legislation.gov.uk/ukpga/1991/65/section/1"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research/crime-reduction-toolkit/problem-oriented-policing"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paas-s3-broker-prod-lon-6453d964-1d1a-432a-9260-5e0ba7d2fc51.s3.eu-west-2.amazonaws.com/s3fs-public/2020-10/NPG_supporting_material_frontline%20%281%29.pdf"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major-investigation-and-public-protection/domestic-abus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6140</Words>
  <Characters>35004</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Rachel</cp:lastModifiedBy>
  <cp:revision>3</cp:revision>
  <cp:lastPrinted>2014-08-26T08:55:00Z</cp:lastPrinted>
  <dcterms:created xsi:type="dcterms:W3CDTF">2023-05-08T14:41:00Z</dcterms:created>
  <dcterms:modified xsi:type="dcterms:W3CDTF">2023-05-08T14:52:00Z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2023-05-08T14:41:36Z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487e80ac-46d1-422a-a2df-3efff11149b6</vt:lpwstr>
  </property>
  <property fmtid="{D5CDD505-2E9C-101B-9397-08002B2CF9AE}" pid="9" name="MSIP_Label_f2acd28b-79a3-4a0f-b0ff-4b75658b1549_ContentBits">
    <vt:lpwstr>0</vt:lpwstr>
  </property>
</Properties>
</file>