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F2203" w14:textId="5847A727" w:rsidR="00B81E24" w:rsidRPr="00871AA8" w:rsidRDefault="00B81E24" w:rsidP="007B0413">
      <w:pPr>
        <w:spacing w:before="120" w:after="120" w:line="360" w:lineRule="auto"/>
        <w:rPr>
          <w:rFonts w:ascii="Arial" w:hAnsi="Arial" w:cs="Arial"/>
          <w:b/>
          <w:color w:val="000000" w:themeColor="text1"/>
          <w:sz w:val="52"/>
          <w:szCs w:val="52"/>
        </w:rPr>
      </w:pPr>
      <w:r w:rsidRPr="00871AA8">
        <w:rPr>
          <w:rFonts w:ascii="Arial" w:eastAsia="Arial" w:hAnsi="Arial" w:cs="Arial"/>
          <w:b/>
          <w:color w:val="000000" w:themeColor="text1"/>
          <w:sz w:val="52"/>
          <w:szCs w:val="52"/>
        </w:rPr>
        <w:t xml:space="preserve">Project </w:t>
      </w:r>
      <w:proofErr w:type="gramStart"/>
      <w:r w:rsidRPr="00871AA8">
        <w:rPr>
          <w:rFonts w:ascii="Arial" w:eastAsia="Arial" w:hAnsi="Arial" w:cs="Arial"/>
          <w:b/>
          <w:color w:val="000000" w:themeColor="text1"/>
          <w:sz w:val="52"/>
          <w:szCs w:val="52"/>
        </w:rPr>
        <w:t>Management  LCLM</w:t>
      </w:r>
      <w:proofErr w:type="gramEnd"/>
      <w:r w:rsidRPr="00871AA8">
        <w:rPr>
          <w:rFonts w:ascii="Arial" w:eastAsia="Arial" w:hAnsi="Arial" w:cs="Arial"/>
          <w:b/>
          <w:color w:val="000000" w:themeColor="text1"/>
          <w:sz w:val="52"/>
          <w:szCs w:val="52"/>
        </w:rPr>
        <w:t xml:space="preserve"> 5003</w:t>
      </w:r>
    </w:p>
    <w:p w14:paraId="4F8FA80A" w14:textId="69CA48BD" w:rsidR="00B81E24" w:rsidRPr="00871AA8" w:rsidRDefault="00F11D7A" w:rsidP="007B0413">
      <w:pPr>
        <w:spacing w:line="360" w:lineRule="auto"/>
        <w:rPr>
          <w:rFonts w:ascii="Arial" w:hAnsi="Arial" w:cs="Arial"/>
          <w:color w:val="000000" w:themeColor="text1"/>
          <w:sz w:val="52"/>
          <w:szCs w:val="52"/>
        </w:rPr>
      </w:pPr>
      <w:r w:rsidRPr="00871AA8">
        <w:rPr>
          <w:rFonts w:ascii="Arial" w:hAnsi="Arial" w:cs="Arial"/>
          <w:b/>
          <w:bCs/>
          <w:color w:val="000000" w:themeColor="text1"/>
          <w:sz w:val="52"/>
          <w:szCs w:val="52"/>
        </w:rPr>
        <w:t>Portfolio</w:t>
      </w:r>
      <w:r w:rsidR="00B81E24" w:rsidRPr="00871AA8">
        <w:rPr>
          <w:rFonts w:ascii="Arial" w:hAnsi="Arial" w:cs="Arial"/>
          <w:b/>
          <w:bCs/>
          <w:color w:val="000000" w:themeColor="text1"/>
          <w:sz w:val="52"/>
          <w:szCs w:val="52"/>
        </w:rPr>
        <w:t xml:space="preserve"> Project</w:t>
      </w:r>
    </w:p>
    <w:p w14:paraId="552E7148" w14:textId="77777777" w:rsidR="00B81E24" w:rsidRPr="00871AA8" w:rsidRDefault="00B81E24" w:rsidP="007B0413">
      <w:pPr>
        <w:spacing w:line="360" w:lineRule="auto"/>
        <w:rPr>
          <w:rFonts w:ascii="Arial" w:hAnsi="Arial" w:cs="Arial"/>
          <w:color w:val="000000" w:themeColor="text1"/>
          <w:sz w:val="52"/>
          <w:szCs w:val="52"/>
        </w:rPr>
      </w:pPr>
      <w:r w:rsidRPr="00871AA8">
        <w:rPr>
          <w:rFonts w:ascii="Arial" w:hAnsi="Arial" w:cs="Arial"/>
          <w:b/>
          <w:bCs/>
          <w:color w:val="000000" w:themeColor="text1"/>
          <w:sz w:val="52"/>
          <w:szCs w:val="52"/>
        </w:rPr>
        <w:t>Cristian Petrus </w:t>
      </w:r>
      <w:proofErr w:type="gramStart"/>
      <w:r w:rsidRPr="00871AA8">
        <w:rPr>
          <w:rFonts w:ascii="Arial" w:hAnsi="Arial" w:cs="Arial"/>
          <w:b/>
          <w:bCs/>
          <w:color w:val="000000" w:themeColor="text1"/>
          <w:sz w:val="52"/>
          <w:szCs w:val="52"/>
        </w:rPr>
        <w:t>Dica  2332747</w:t>
      </w:r>
      <w:proofErr w:type="gramEnd"/>
      <w:r w:rsidRPr="00871AA8">
        <w:rPr>
          <w:rFonts w:ascii="Arial" w:hAnsi="Arial" w:cs="Arial"/>
          <w:color w:val="000000" w:themeColor="text1"/>
          <w:sz w:val="52"/>
          <w:szCs w:val="52"/>
        </w:rPr>
        <w:t> </w:t>
      </w:r>
    </w:p>
    <w:p w14:paraId="71BCB557" w14:textId="6C13AD69" w:rsidR="00B81E24" w:rsidRPr="00871AA8" w:rsidRDefault="00B81E24" w:rsidP="007B0413">
      <w:pPr>
        <w:spacing w:line="360" w:lineRule="auto"/>
        <w:rPr>
          <w:rFonts w:ascii="Arial" w:hAnsi="Arial" w:cs="Arial"/>
          <w:b/>
          <w:bCs/>
          <w:color w:val="000000" w:themeColor="text1"/>
          <w:sz w:val="52"/>
          <w:szCs w:val="52"/>
        </w:rPr>
      </w:pPr>
      <w:r w:rsidRPr="00871AA8">
        <w:rPr>
          <w:rFonts w:ascii="Arial" w:hAnsi="Arial" w:cs="Arial"/>
          <w:b/>
          <w:bCs/>
          <w:color w:val="000000" w:themeColor="text1"/>
          <w:sz w:val="52"/>
          <w:szCs w:val="52"/>
        </w:rPr>
        <w:t xml:space="preserve">Lecturer: </w:t>
      </w:r>
      <w:r w:rsidR="00F11D7A" w:rsidRPr="00871AA8">
        <w:rPr>
          <w:rFonts w:ascii="Arial" w:hAnsi="Arial" w:cs="Arial"/>
          <w:b/>
          <w:bCs/>
          <w:color w:val="000000" w:themeColor="text1"/>
          <w:sz w:val="52"/>
          <w:szCs w:val="52"/>
        </w:rPr>
        <w:t xml:space="preserve">Navid </w:t>
      </w:r>
      <w:proofErr w:type="spellStart"/>
      <w:r w:rsidR="00F11D7A" w:rsidRPr="00871AA8">
        <w:rPr>
          <w:rFonts w:ascii="Arial" w:hAnsi="Arial" w:cs="Arial"/>
          <w:b/>
          <w:bCs/>
          <w:color w:val="000000" w:themeColor="text1"/>
          <w:sz w:val="52"/>
          <w:szCs w:val="52"/>
        </w:rPr>
        <w:t>Nasirpourosgoei</w:t>
      </w:r>
      <w:proofErr w:type="spellEnd"/>
    </w:p>
    <w:sdt>
      <w:sdtPr>
        <w:rPr>
          <w:rFonts w:asciiTheme="minorHAnsi" w:eastAsiaTheme="minorHAnsi" w:hAnsiTheme="minorHAnsi" w:cstheme="minorBidi"/>
          <w:color w:val="000000" w:themeColor="text1"/>
          <w:kern w:val="2"/>
          <w:sz w:val="22"/>
          <w:szCs w:val="22"/>
          <w:lang w:val="en-GB"/>
          <w14:ligatures w14:val="standardContextual"/>
        </w:rPr>
        <w:id w:val="-696771693"/>
        <w:docPartObj>
          <w:docPartGallery w:val="Table of Contents"/>
          <w:docPartUnique/>
        </w:docPartObj>
      </w:sdtPr>
      <w:sdtEndPr>
        <w:rPr>
          <w:b/>
          <w:bCs/>
          <w:noProof/>
        </w:rPr>
      </w:sdtEndPr>
      <w:sdtContent>
        <w:p w14:paraId="04F17056" w14:textId="482D449D" w:rsidR="00BE5DF6" w:rsidRPr="00871AA8" w:rsidRDefault="00BE5DF6">
          <w:pPr>
            <w:pStyle w:val="TOCHeading"/>
            <w:rPr>
              <w:color w:val="000000" w:themeColor="text1"/>
            </w:rPr>
          </w:pPr>
          <w:r w:rsidRPr="00871AA8">
            <w:rPr>
              <w:color w:val="000000" w:themeColor="text1"/>
            </w:rPr>
            <w:t>Contents</w:t>
          </w:r>
        </w:p>
        <w:p w14:paraId="2CF44471" w14:textId="07963D8E" w:rsidR="00871AA8" w:rsidRPr="00871AA8" w:rsidRDefault="00BE5DF6">
          <w:pPr>
            <w:pStyle w:val="TOC1"/>
            <w:tabs>
              <w:tab w:val="right" w:leader="dot" w:pos="9016"/>
            </w:tabs>
            <w:rPr>
              <w:rFonts w:eastAsiaTheme="minorEastAsia"/>
              <w:noProof/>
              <w:color w:val="000000" w:themeColor="text1"/>
              <w:sz w:val="24"/>
              <w:szCs w:val="24"/>
              <w:lang w:eastAsia="en-GB"/>
            </w:rPr>
          </w:pPr>
          <w:r w:rsidRPr="00871AA8">
            <w:rPr>
              <w:color w:val="000000" w:themeColor="text1"/>
            </w:rPr>
            <w:fldChar w:fldCharType="begin"/>
          </w:r>
          <w:r w:rsidRPr="00871AA8">
            <w:rPr>
              <w:color w:val="000000" w:themeColor="text1"/>
            </w:rPr>
            <w:instrText xml:space="preserve"> TOC \o "1-3" \h \z \u </w:instrText>
          </w:r>
          <w:r w:rsidRPr="00871AA8">
            <w:rPr>
              <w:color w:val="000000" w:themeColor="text1"/>
            </w:rPr>
            <w:fldChar w:fldCharType="separate"/>
          </w:r>
          <w:hyperlink w:anchor="_Toc214099175" w:history="1">
            <w:r w:rsidR="00871AA8" w:rsidRPr="00871AA8">
              <w:rPr>
                <w:rStyle w:val="Hyperlink"/>
                <w:noProof/>
                <w:color w:val="000000" w:themeColor="text1"/>
              </w:rPr>
              <w:t>Part A - Poster</w:t>
            </w:r>
            <w:r w:rsidR="00871AA8" w:rsidRPr="00871AA8">
              <w:rPr>
                <w:noProof/>
                <w:webHidden/>
                <w:color w:val="000000" w:themeColor="text1"/>
              </w:rPr>
              <w:tab/>
            </w:r>
            <w:r w:rsidR="00871AA8" w:rsidRPr="00871AA8">
              <w:rPr>
                <w:noProof/>
                <w:webHidden/>
                <w:color w:val="000000" w:themeColor="text1"/>
              </w:rPr>
              <w:fldChar w:fldCharType="begin"/>
            </w:r>
            <w:r w:rsidR="00871AA8" w:rsidRPr="00871AA8">
              <w:rPr>
                <w:noProof/>
                <w:webHidden/>
                <w:color w:val="000000" w:themeColor="text1"/>
              </w:rPr>
              <w:instrText xml:space="preserve"> PAGEREF _Toc214099175 \h </w:instrText>
            </w:r>
            <w:r w:rsidR="00871AA8" w:rsidRPr="00871AA8">
              <w:rPr>
                <w:noProof/>
                <w:webHidden/>
                <w:color w:val="000000" w:themeColor="text1"/>
              </w:rPr>
            </w:r>
            <w:r w:rsidR="00871AA8" w:rsidRPr="00871AA8">
              <w:rPr>
                <w:noProof/>
                <w:webHidden/>
                <w:color w:val="000000" w:themeColor="text1"/>
              </w:rPr>
              <w:fldChar w:fldCharType="separate"/>
            </w:r>
            <w:r w:rsidR="00871AA8" w:rsidRPr="00871AA8">
              <w:rPr>
                <w:noProof/>
                <w:webHidden/>
                <w:color w:val="000000" w:themeColor="text1"/>
              </w:rPr>
              <w:t>3</w:t>
            </w:r>
            <w:r w:rsidR="00871AA8" w:rsidRPr="00871AA8">
              <w:rPr>
                <w:noProof/>
                <w:webHidden/>
                <w:color w:val="000000" w:themeColor="text1"/>
              </w:rPr>
              <w:fldChar w:fldCharType="end"/>
            </w:r>
          </w:hyperlink>
        </w:p>
        <w:p w14:paraId="31F271A7" w14:textId="65888165" w:rsidR="00871AA8" w:rsidRPr="00871AA8" w:rsidRDefault="00871AA8">
          <w:pPr>
            <w:pStyle w:val="TOC1"/>
            <w:tabs>
              <w:tab w:val="right" w:leader="dot" w:pos="9016"/>
            </w:tabs>
            <w:rPr>
              <w:rFonts w:eastAsiaTheme="minorEastAsia"/>
              <w:noProof/>
              <w:color w:val="000000" w:themeColor="text1"/>
              <w:sz w:val="24"/>
              <w:szCs w:val="24"/>
              <w:lang w:eastAsia="en-GB"/>
            </w:rPr>
          </w:pPr>
          <w:hyperlink w:anchor="_Toc214099176" w:history="1">
            <w:r w:rsidRPr="00871AA8">
              <w:rPr>
                <w:rStyle w:val="Hyperlink"/>
                <w:noProof/>
                <w:color w:val="000000" w:themeColor="text1"/>
              </w:rPr>
              <w:t>Part B – Feedback Report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_Toc214099176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4</w:t>
            </w:r>
            <w:r w:rsidRPr="00871AA8">
              <w:rPr>
                <w:noProof/>
                <w:webHidden/>
                <w:color w:val="000000" w:themeColor="text1"/>
              </w:rPr>
              <w:fldChar w:fldCharType="end"/>
            </w:r>
          </w:hyperlink>
        </w:p>
        <w:p w14:paraId="3CFEDBE6" w14:textId="5D9EDFBA" w:rsidR="00871AA8" w:rsidRPr="00871AA8" w:rsidRDefault="00871AA8">
          <w:pPr>
            <w:pStyle w:val="TOC2"/>
            <w:tabs>
              <w:tab w:val="right" w:leader="dot" w:pos="9016"/>
            </w:tabs>
            <w:rPr>
              <w:noProof/>
              <w:color w:val="000000" w:themeColor="text1"/>
            </w:rPr>
          </w:pPr>
          <w:hyperlink w:anchor="_Toc214099177" w:history="1">
            <w:r w:rsidRPr="00871AA8">
              <w:rPr>
                <w:rStyle w:val="Hyperlink"/>
                <w:noProof/>
                <w:color w:val="000000" w:themeColor="text1"/>
              </w:rPr>
              <w:t>Reflection on Strengths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_Toc214099177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4</w:t>
            </w:r>
            <w:r w:rsidRPr="00871AA8">
              <w:rPr>
                <w:noProof/>
                <w:webHidden/>
                <w:color w:val="000000" w:themeColor="text1"/>
              </w:rPr>
              <w:fldChar w:fldCharType="end"/>
            </w:r>
          </w:hyperlink>
        </w:p>
        <w:p w14:paraId="1846E44B" w14:textId="34757A85" w:rsidR="00871AA8" w:rsidRPr="00871AA8" w:rsidRDefault="00871AA8">
          <w:pPr>
            <w:pStyle w:val="TOC2"/>
            <w:tabs>
              <w:tab w:val="right" w:leader="dot" w:pos="9016"/>
            </w:tabs>
            <w:rPr>
              <w:noProof/>
              <w:color w:val="000000" w:themeColor="text1"/>
            </w:rPr>
          </w:pPr>
          <w:hyperlink w:anchor="_Toc214099178" w:history="1">
            <w:r w:rsidRPr="00871AA8">
              <w:rPr>
                <w:rStyle w:val="Hyperlink"/>
                <w:noProof/>
                <w:color w:val="000000" w:themeColor="text1"/>
              </w:rPr>
              <w:t>Reflection on Areas for Improvement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_Toc214099178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4</w:t>
            </w:r>
            <w:r w:rsidRPr="00871AA8">
              <w:rPr>
                <w:noProof/>
                <w:webHidden/>
                <w:color w:val="000000" w:themeColor="text1"/>
              </w:rPr>
              <w:fldChar w:fldCharType="end"/>
            </w:r>
          </w:hyperlink>
        </w:p>
        <w:p w14:paraId="72B0CDA3" w14:textId="44EEC2B8" w:rsidR="00871AA8" w:rsidRPr="00871AA8" w:rsidRDefault="00871AA8">
          <w:pPr>
            <w:pStyle w:val="TOC2"/>
            <w:tabs>
              <w:tab w:val="right" w:leader="dot" w:pos="9016"/>
            </w:tabs>
            <w:rPr>
              <w:noProof/>
              <w:color w:val="000000" w:themeColor="text1"/>
            </w:rPr>
          </w:pPr>
          <w:hyperlink w:anchor="_Toc214099179" w:history="1">
            <w:r w:rsidRPr="00871AA8">
              <w:rPr>
                <w:rStyle w:val="Hyperlink"/>
                <w:noProof/>
                <w:color w:val="000000" w:themeColor="text1"/>
              </w:rPr>
              <w:t>Reflection on Strengths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_Toc214099179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4</w:t>
            </w:r>
            <w:r w:rsidRPr="00871AA8">
              <w:rPr>
                <w:noProof/>
                <w:webHidden/>
                <w:color w:val="000000" w:themeColor="text1"/>
              </w:rPr>
              <w:fldChar w:fldCharType="end"/>
            </w:r>
          </w:hyperlink>
        </w:p>
        <w:p w14:paraId="03CDCF7E" w14:textId="1DF5BD93" w:rsidR="00871AA8" w:rsidRPr="00871AA8" w:rsidRDefault="00871AA8">
          <w:pPr>
            <w:pStyle w:val="TOC2"/>
            <w:tabs>
              <w:tab w:val="right" w:leader="dot" w:pos="9016"/>
            </w:tabs>
            <w:rPr>
              <w:noProof/>
              <w:color w:val="000000" w:themeColor="text1"/>
            </w:rPr>
          </w:pPr>
          <w:hyperlink w:anchor="_Toc214099180" w:history="1">
            <w:r w:rsidRPr="00871AA8">
              <w:rPr>
                <w:rStyle w:val="Hyperlink"/>
                <w:noProof/>
                <w:color w:val="000000" w:themeColor="text1"/>
              </w:rPr>
              <w:t>Reflection on Areas for Improvement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_Toc214099180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4</w:t>
            </w:r>
            <w:r w:rsidRPr="00871AA8">
              <w:rPr>
                <w:noProof/>
                <w:webHidden/>
                <w:color w:val="000000" w:themeColor="text1"/>
              </w:rPr>
              <w:fldChar w:fldCharType="end"/>
            </w:r>
          </w:hyperlink>
        </w:p>
        <w:p w14:paraId="099DD032" w14:textId="13E2806A" w:rsidR="00871AA8" w:rsidRPr="00871AA8" w:rsidRDefault="00871AA8">
          <w:pPr>
            <w:pStyle w:val="TOC2"/>
            <w:tabs>
              <w:tab w:val="right" w:leader="dot" w:pos="9016"/>
            </w:tabs>
            <w:rPr>
              <w:noProof/>
              <w:color w:val="000000" w:themeColor="text1"/>
            </w:rPr>
          </w:pPr>
          <w:hyperlink w:anchor="_Toc214099181" w:history="1">
            <w:r w:rsidRPr="00871AA8">
              <w:rPr>
                <w:rStyle w:val="Hyperlink"/>
                <w:noProof/>
                <w:color w:val="000000" w:themeColor="text1"/>
              </w:rPr>
              <w:t>Action Plan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_Toc214099181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5</w:t>
            </w:r>
            <w:r w:rsidRPr="00871AA8">
              <w:rPr>
                <w:noProof/>
                <w:webHidden/>
                <w:color w:val="000000" w:themeColor="text1"/>
              </w:rPr>
              <w:fldChar w:fldCharType="end"/>
            </w:r>
          </w:hyperlink>
        </w:p>
        <w:p w14:paraId="0648C338" w14:textId="07FDB6BD" w:rsidR="00871AA8" w:rsidRPr="00871AA8" w:rsidRDefault="00871AA8">
          <w:pPr>
            <w:pStyle w:val="TOC1"/>
            <w:tabs>
              <w:tab w:val="right" w:leader="dot" w:pos="9016"/>
            </w:tabs>
            <w:rPr>
              <w:rFonts w:eastAsiaTheme="minorEastAsia"/>
              <w:noProof/>
              <w:color w:val="000000" w:themeColor="text1"/>
              <w:sz w:val="24"/>
              <w:szCs w:val="24"/>
              <w:lang w:eastAsia="en-GB"/>
            </w:rPr>
          </w:pPr>
          <w:hyperlink w:anchor="_Toc214099182" w:history="1">
            <w:r w:rsidRPr="00871AA8">
              <w:rPr>
                <w:rStyle w:val="Hyperlink"/>
                <w:noProof/>
                <w:color w:val="000000" w:themeColor="text1"/>
              </w:rPr>
              <w:t>PART C - Project Management Plan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_Toc214099182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6</w:t>
            </w:r>
            <w:r w:rsidRPr="00871AA8">
              <w:rPr>
                <w:noProof/>
                <w:webHidden/>
                <w:color w:val="000000" w:themeColor="text1"/>
              </w:rPr>
              <w:fldChar w:fldCharType="end"/>
            </w:r>
          </w:hyperlink>
        </w:p>
        <w:p w14:paraId="3075DF89" w14:textId="71DC0873" w:rsidR="00871AA8" w:rsidRPr="00871AA8" w:rsidRDefault="00871AA8">
          <w:pPr>
            <w:pStyle w:val="TOC2"/>
            <w:tabs>
              <w:tab w:val="right" w:leader="dot" w:pos="9016"/>
            </w:tabs>
            <w:rPr>
              <w:noProof/>
              <w:color w:val="000000" w:themeColor="text1"/>
            </w:rPr>
          </w:pPr>
          <w:hyperlink w:anchor="_Toc214099183" w:history="1">
            <w:r w:rsidRPr="00871AA8">
              <w:rPr>
                <w:rStyle w:val="Hyperlink"/>
                <w:noProof/>
                <w:color w:val="000000" w:themeColor="text1"/>
              </w:rPr>
              <w:t>1. Introduction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_Toc214099183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6</w:t>
            </w:r>
            <w:r w:rsidRPr="00871AA8">
              <w:rPr>
                <w:noProof/>
                <w:webHidden/>
                <w:color w:val="000000" w:themeColor="text1"/>
              </w:rPr>
              <w:fldChar w:fldCharType="end"/>
            </w:r>
          </w:hyperlink>
        </w:p>
        <w:p w14:paraId="350D5A58" w14:textId="405DF428" w:rsidR="00871AA8" w:rsidRPr="00871AA8" w:rsidRDefault="00871AA8">
          <w:pPr>
            <w:pStyle w:val="TOC2"/>
            <w:tabs>
              <w:tab w:val="right" w:leader="dot" w:pos="9016"/>
            </w:tabs>
            <w:rPr>
              <w:noProof/>
              <w:color w:val="000000" w:themeColor="text1"/>
            </w:rPr>
          </w:pPr>
          <w:hyperlink w:anchor="_Toc214099184" w:history="1">
            <w:r w:rsidRPr="00871AA8">
              <w:rPr>
                <w:rStyle w:val="Hyperlink"/>
                <w:noProof/>
                <w:color w:val="000000" w:themeColor="text1"/>
              </w:rPr>
              <w:t>2. Project Description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_Toc214099184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7</w:t>
            </w:r>
            <w:r w:rsidRPr="00871AA8">
              <w:rPr>
                <w:noProof/>
                <w:webHidden/>
                <w:color w:val="000000" w:themeColor="text1"/>
              </w:rPr>
              <w:fldChar w:fldCharType="end"/>
            </w:r>
          </w:hyperlink>
        </w:p>
        <w:p w14:paraId="5C4FB80F" w14:textId="2FD7FB17" w:rsidR="00871AA8" w:rsidRPr="00871AA8" w:rsidRDefault="00871AA8">
          <w:pPr>
            <w:pStyle w:val="TOC2"/>
            <w:tabs>
              <w:tab w:val="right" w:leader="dot" w:pos="9016"/>
            </w:tabs>
            <w:rPr>
              <w:noProof/>
              <w:color w:val="000000" w:themeColor="text1"/>
            </w:rPr>
          </w:pPr>
          <w:hyperlink w:anchor="_Toc214099185" w:history="1">
            <w:r w:rsidRPr="00871AA8">
              <w:rPr>
                <w:rStyle w:val="Hyperlink"/>
                <w:noProof/>
                <w:color w:val="000000" w:themeColor="text1"/>
              </w:rPr>
              <w:t>3. Scope</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_Toc214099185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79550C56" w14:textId="23AF8FE9" w:rsidR="00871AA8" w:rsidRPr="00871AA8" w:rsidRDefault="00871AA8">
          <w:pPr>
            <w:pStyle w:val="TOC3"/>
            <w:tabs>
              <w:tab w:val="right" w:leader="dot" w:pos="9016"/>
            </w:tabs>
            <w:rPr>
              <w:noProof/>
              <w:color w:val="000000" w:themeColor="text1"/>
            </w:rPr>
          </w:pPr>
          <w:hyperlink w:anchor="_Toc214099186" w:history="1">
            <w:r w:rsidRPr="00871AA8">
              <w:rPr>
                <w:rStyle w:val="Hyperlink"/>
                <w:noProof/>
                <w:color w:val="000000" w:themeColor="text1"/>
              </w:rPr>
              <w:t>3.1 In-Scope Activities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_Toc214099186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4EC726DE" w14:textId="603358CF" w:rsidR="00871AA8" w:rsidRPr="00871AA8" w:rsidRDefault="00871AA8">
          <w:pPr>
            <w:pStyle w:val="TOC3"/>
            <w:tabs>
              <w:tab w:val="right" w:leader="dot" w:pos="9016"/>
            </w:tabs>
            <w:rPr>
              <w:noProof/>
              <w:color w:val="000000" w:themeColor="text1"/>
            </w:rPr>
          </w:pPr>
          <w:hyperlink w:anchor="_Toc214099187" w:history="1">
            <w:r w:rsidRPr="00871AA8">
              <w:rPr>
                <w:rStyle w:val="Hyperlink"/>
                <w:noProof/>
                <w:color w:val="000000" w:themeColor="text1"/>
              </w:rPr>
              <w:t>3.2 Out-of-Scope Activities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_Toc214099187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492AF494" w14:textId="19B03AA5" w:rsidR="00871AA8" w:rsidRPr="00871AA8" w:rsidRDefault="00871AA8">
          <w:pPr>
            <w:pStyle w:val="TOC3"/>
            <w:tabs>
              <w:tab w:val="right" w:leader="dot" w:pos="9016"/>
            </w:tabs>
            <w:rPr>
              <w:noProof/>
              <w:color w:val="000000" w:themeColor="text1"/>
            </w:rPr>
          </w:pPr>
          <w:hyperlink w:anchor="_Toc214099188" w:history="1">
            <w:r w:rsidRPr="00871AA8">
              <w:rPr>
                <w:rStyle w:val="Hyperlink"/>
                <w:noProof/>
                <w:color w:val="000000" w:themeColor="text1"/>
              </w:rPr>
              <w:t>3.3 Scope Justification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_Toc214099188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0FF5BB1E" w14:textId="16518CA9" w:rsidR="00871AA8" w:rsidRPr="00871AA8" w:rsidRDefault="00871AA8">
          <w:pPr>
            <w:pStyle w:val="TOC2"/>
            <w:tabs>
              <w:tab w:val="right" w:leader="dot" w:pos="9016"/>
            </w:tabs>
            <w:rPr>
              <w:noProof/>
              <w:color w:val="000000" w:themeColor="text1"/>
            </w:rPr>
          </w:pPr>
          <w:hyperlink w:anchor="_Toc214099189" w:history="1">
            <w:r w:rsidRPr="00871AA8">
              <w:rPr>
                <w:rStyle w:val="Hyperlink"/>
                <w:noProof/>
                <w:color w:val="000000" w:themeColor="text1"/>
              </w:rPr>
              <w:t>4. Work Breakdown Structure (WBS)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_Toc214099189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61183035" w14:textId="4D78BD56" w:rsidR="00871AA8" w:rsidRPr="00871AA8" w:rsidRDefault="00871AA8">
          <w:pPr>
            <w:pStyle w:val="TOC3"/>
            <w:tabs>
              <w:tab w:val="right" w:leader="dot" w:pos="9016"/>
            </w:tabs>
            <w:rPr>
              <w:noProof/>
              <w:color w:val="000000" w:themeColor="text1"/>
            </w:rPr>
          </w:pPr>
          <w:hyperlink w:anchor="_Toc214099190" w:history="1">
            <w:r w:rsidRPr="00871AA8">
              <w:rPr>
                <w:rStyle w:val="Hyperlink"/>
                <w:noProof/>
                <w:color w:val="000000" w:themeColor="text1"/>
              </w:rPr>
              <w:t>Level 1: Highway 5 Post-Disaster Reconstruction Project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_Toc214099190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8</w:t>
            </w:r>
            <w:r w:rsidRPr="00871AA8">
              <w:rPr>
                <w:noProof/>
                <w:webHidden/>
                <w:color w:val="000000" w:themeColor="text1"/>
              </w:rPr>
              <w:fldChar w:fldCharType="end"/>
            </w:r>
          </w:hyperlink>
        </w:p>
        <w:p w14:paraId="77FE57F0" w14:textId="3F6B49B3" w:rsidR="00871AA8" w:rsidRPr="00871AA8" w:rsidRDefault="00871AA8">
          <w:pPr>
            <w:pStyle w:val="TOC3"/>
            <w:tabs>
              <w:tab w:val="right" w:leader="dot" w:pos="9016"/>
            </w:tabs>
            <w:rPr>
              <w:noProof/>
              <w:color w:val="000000" w:themeColor="text1"/>
            </w:rPr>
          </w:pPr>
          <w:hyperlink w:anchor="_Toc214099191" w:history="1">
            <w:r w:rsidRPr="00871AA8">
              <w:rPr>
                <w:rStyle w:val="Hyperlink"/>
                <w:noProof/>
                <w:color w:val="000000" w:themeColor="text1"/>
              </w:rPr>
              <w:t>2. Planning Phase</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_Toc214099191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9</w:t>
            </w:r>
            <w:r w:rsidRPr="00871AA8">
              <w:rPr>
                <w:noProof/>
                <w:webHidden/>
                <w:color w:val="000000" w:themeColor="text1"/>
              </w:rPr>
              <w:fldChar w:fldCharType="end"/>
            </w:r>
          </w:hyperlink>
        </w:p>
        <w:p w14:paraId="73808799" w14:textId="512FFB1E" w:rsidR="00871AA8" w:rsidRPr="00871AA8" w:rsidRDefault="00871AA8">
          <w:pPr>
            <w:pStyle w:val="TOC3"/>
            <w:tabs>
              <w:tab w:val="right" w:leader="dot" w:pos="9016"/>
            </w:tabs>
            <w:rPr>
              <w:noProof/>
              <w:color w:val="000000" w:themeColor="text1"/>
            </w:rPr>
          </w:pPr>
          <w:hyperlink w:anchor="_Toc214099192" w:history="1">
            <w:r w:rsidRPr="00871AA8">
              <w:rPr>
                <w:rStyle w:val="Hyperlink"/>
                <w:noProof/>
                <w:color w:val="000000" w:themeColor="text1"/>
              </w:rPr>
              <w:t>3. Construction Phase</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_Toc214099192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9</w:t>
            </w:r>
            <w:r w:rsidRPr="00871AA8">
              <w:rPr>
                <w:noProof/>
                <w:webHidden/>
                <w:color w:val="000000" w:themeColor="text1"/>
              </w:rPr>
              <w:fldChar w:fldCharType="end"/>
            </w:r>
          </w:hyperlink>
        </w:p>
        <w:p w14:paraId="24DEEAB3" w14:textId="7216FFA0" w:rsidR="00871AA8" w:rsidRPr="00871AA8" w:rsidRDefault="00871AA8">
          <w:pPr>
            <w:pStyle w:val="TOC3"/>
            <w:tabs>
              <w:tab w:val="right" w:leader="dot" w:pos="9016"/>
            </w:tabs>
            <w:rPr>
              <w:noProof/>
              <w:color w:val="000000" w:themeColor="text1"/>
            </w:rPr>
          </w:pPr>
          <w:hyperlink w:anchor="_Toc214099193" w:history="1">
            <w:r w:rsidRPr="00871AA8">
              <w:rPr>
                <w:rStyle w:val="Hyperlink"/>
                <w:noProof/>
                <w:color w:val="000000" w:themeColor="text1"/>
              </w:rPr>
              <w:t>4. Monitoring and Control</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_Toc214099193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9</w:t>
            </w:r>
            <w:r w:rsidRPr="00871AA8">
              <w:rPr>
                <w:noProof/>
                <w:webHidden/>
                <w:color w:val="000000" w:themeColor="text1"/>
              </w:rPr>
              <w:fldChar w:fldCharType="end"/>
            </w:r>
          </w:hyperlink>
        </w:p>
        <w:p w14:paraId="16DEA115" w14:textId="413810D1" w:rsidR="00871AA8" w:rsidRPr="00871AA8" w:rsidRDefault="00871AA8">
          <w:pPr>
            <w:pStyle w:val="TOC3"/>
            <w:tabs>
              <w:tab w:val="right" w:leader="dot" w:pos="9016"/>
            </w:tabs>
            <w:rPr>
              <w:noProof/>
              <w:color w:val="000000" w:themeColor="text1"/>
            </w:rPr>
          </w:pPr>
          <w:hyperlink w:anchor="_Toc214099194" w:history="1">
            <w:r w:rsidRPr="00871AA8">
              <w:rPr>
                <w:rStyle w:val="Hyperlink"/>
                <w:noProof/>
                <w:color w:val="000000" w:themeColor="text1"/>
              </w:rPr>
              <w:t>5. Project Closure</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_Toc214099194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9</w:t>
            </w:r>
            <w:r w:rsidRPr="00871AA8">
              <w:rPr>
                <w:noProof/>
                <w:webHidden/>
                <w:color w:val="000000" w:themeColor="text1"/>
              </w:rPr>
              <w:fldChar w:fldCharType="end"/>
            </w:r>
          </w:hyperlink>
        </w:p>
        <w:p w14:paraId="75D6641D" w14:textId="139FC688" w:rsidR="00871AA8" w:rsidRPr="00871AA8" w:rsidRDefault="00871AA8">
          <w:pPr>
            <w:pStyle w:val="TOC2"/>
            <w:tabs>
              <w:tab w:val="right" w:leader="dot" w:pos="9016"/>
            </w:tabs>
            <w:rPr>
              <w:noProof/>
              <w:color w:val="000000" w:themeColor="text1"/>
            </w:rPr>
          </w:pPr>
          <w:hyperlink w:anchor="_Toc214099195" w:history="1">
            <w:r w:rsidRPr="00871AA8">
              <w:rPr>
                <w:rStyle w:val="Hyperlink"/>
                <w:noProof/>
                <w:color w:val="000000" w:themeColor="text1"/>
              </w:rPr>
              <w:t>5. Quad Chart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_Toc214099195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9</w:t>
            </w:r>
            <w:r w:rsidRPr="00871AA8">
              <w:rPr>
                <w:noProof/>
                <w:webHidden/>
                <w:color w:val="000000" w:themeColor="text1"/>
              </w:rPr>
              <w:fldChar w:fldCharType="end"/>
            </w:r>
          </w:hyperlink>
        </w:p>
        <w:p w14:paraId="3CCBA34C" w14:textId="7669AE2B" w:rsidR="00871AA8" w:rsidRPr="00871AA8" w:rsidRDefault="00871AA8">
          <w:pPr>
            <w:pStyle w:val="TOC2"/>
            <w:tabs>
              <w:tab w:val="right" w:leader="dot" w:pos="9016"/>
            </w:tabs>
            <w:rPr>
              <w:noProof/>
              <w:color w:val="000000" w:themeColor="text1"/>
            </w:rPr>
          </w:pPr>
          <w:hyperlink w:anchor="_Toc214099196" w:history="1">
            <w:r w:rsidRPr="00871AA8">
              <w:rPr>
                <w:rStyle w:val="Hyperlink"/>
                <w:noProof/>
                <w:color w:val="000000" w:themeColor="text1"/>
              </w:rPr>
              <w:t>6. Gantt Chart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_Toc214099196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10</w:t>
            </w:r>
            <w:r w:rsidRPr="00871AA8">
              <w:rPr>
                <w:noProof/>
                <w:webHidden/>
                <w:color w:val="000000" w:themeColor="text1"/>
              </w:rPr>
              <w:fldChar w:fldCharType="end"/>
            </w:r>
          </w:hyperlink>
        </w:p>
        <w:p w14:paraId="6B4470B3" w14:textId="22613332" w:rsidR="00871AA8" w:rsidRPr="00871AA8" w:rsidRDefault="00871AA8">
          <w:pPr>
            <w:pStyle w:val="TOC2"/>
            <w:tabs>
              <w:tab w:val="right" w:leader="dot" w:pos="9016"/>
            </w:tabs>
            <w:rPr>
              <w:noProof/>
              <w:color w:val="000000" w:themeColor="text1"/>
            </w:rPr>
          </w:pPr>
          <w:hyperlink w:anchor="_Toc214099197" w:history="1">
            <w:r w:rsidRPr="00871AA8">
              <w:rPr>
                <w:rStyle w:val="Hyperlink"/>
                <w:noProof/>
                <w:color w:val="000000" w:themeColor="text1"/>
              </w:rPr>
              <w:t>7. Stakeholders’ Involvement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_Toc214099197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11</w:t>
            </w:r>
            <w:r w:rsidRPr="00871AA8">
              <w:rPr>
                <w:noProof/>
                <w:webHidden/>
                <w:color w:val="000000" w:themeColor="text1"/>
              </w:rPr>
              <w:fldChar w:fldCharType="end"/>
            </w:r>
          </w:hyperlink>
        </w:p>
        <w:p w14:paraId="3BA477EB" w14:textId="441A1F4E" w:rsidR="00871AA8" w:rsidRPr="00871AA8" w:rsidRDefault="00871AA8">
          <w:pPr>
            <w:pStyle w:val="TOC3"/>
            <w:tabs>
              <w:tab w:val="right" w:leader="dot" w:pos="9016"/>
            </w:tabs>
            <w:rPr>
              <w:noProof/>
              <w:color w:val="000000" w:themeColor="text1"/>
            </w:rPr>
          </w:pPr>
          <w:hyperlink w:anchor="_Toc214099198" w:history="1">
            <w:r w:rsidRPr="00871AA8">
              <w:rPr>
                <w:rStyle w:val="Hyperlink"/>
                <w:noProof/>
                <w:color w:val="000000" w:themeColor="text1"/>
              </w:rPr>
              <w:t>7.1 Key Stakeholders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_Toc214099198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11</w:t>
            </w:r>
            <w:r w:rsidRPr="00871AA8">
              <w:rPr>
                <w:noProof/>
                <w:webHidden/>
                <w:color w:val="000000" w:themeColor="text1"/>
              </w:rPr>
              <w:fldChar w:fldCharType="end"/>
            </w:r>
          </w:hyperlink>
        </w:p>
        <w:p w14:paraId="2F9933A3" w14:textId="773007ED" w:rsidR="00871AA8" w:rsidRPr="00871AA8" w:rsidRDefault="00871AA8">
          <w:pPr>
            <w:pStyle w:val="TOC3"/>
            <w:tabs>
              <w:tab w:val="right" w:leader="dot" w:pos="9016"/>
            </w:tabs>
            <w:rPr>
              <w:noProof/>
              <w:color w:val="000000" w:themeColor="text1"/>
            </w:rPr>
          </w:pPr>
          <w:hyperlink w:anchor="_Toc214099199" w:history="1">
            <w:r w:rsidRPr="00871AA8">
              <w:rPr>
                <w:rStyle w:val="Hyperlink"/>
                <w:noProof/>
                <w:color w:val="000000" w:themeColor="text1"/>
              </w:rPr>
              <w:t>7.2 Stakeholder Definition in the Context of This Project</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_Toc214099199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12</w:t>
            </w:r>
            <w:r w:rsidRPr="00871AA8">
              <w:rPr>
                <w:noProof/>
                <w:webHidden/>
                <w:color w:val="000000" w:themeColor="text1"/>
              </w:rPr>
              <w:fldChar w:fldCharType="end"/>
            </w:r>
          </w:hyperlink>
        </w:p>
        <w:p w14:paraId="235EAFB6" w14:textId="703F852A" w:rsidR="00871AA8" w:rsidRPr="00871AA8" w:rsidRDefault="00871AA8">
          <w:pPr>
            <w:pStyle w:val="TOC3"/>
            <w:tabs>
              <w:tab w:val="right" w:leader="dot" w:pos="9016"/>
            </w:tabs>
            <w:rPr>
              <w:noProof/>
              <w:color w:val="000000" w:themeColor="text1"/>
            </w:rPr>
          </w:pPr>
          <w:hyperlink w:anchor="_Toc214099200" w:history="1">
            <w:r w:rsidRPr="00871AA8">
              <w:rPr>
                <w:rStyle w:val="Hyperlink"/>
                <w:noProof/>
                <w:color w:val="000000" w:themeColor="text1"/>
              </w:rPr>
              <w:t>7.3 RACI Summary</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_Toc214099200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14</w:t>
            </w:r>
            <w:r w:rsidRPr="00871AA8">
              <w:rPr>
                <w:noProof/>
                <w:webHidden/>
                <w:color w:val="000000" w:themeColor="text1"/>
              </w:rPr>
              <w:fldChar w:fldCharType="end"/>
            </w:r>
          </w:hyperlink>
        </w:p>
        <w:p w14:paraId="02879524" w14:textId="0FF450F6" w:rsidR="00871AA8" w:rsidRPr="00871AA8" w:rsidRDefault="00871AA8">
          <w:pPr>
            <w:pStyle w:val="TOC3"/>
            <w:tabs>
              <w:tab w:val="right" w:leader="dot" w:pos="9016"/>
            </w:tabs>
            <w:rPr>
              <w:noProof/>
              <w:color w:val="000000" w:themeColor="text1"/>
            </w:rPr>
          </w:pPr>
          <w:hyperlink w:anchor="_Toc214099201" w:history="1">
            <w:r w:rsidRPr="00871AA8">
              <w:rPr>
                <w:rStyle w:val="Hyperlink"/>
                <w:noProof/>
                <w:color w:val="000000" w:themeColor="text1"/>
              </w:rPr>
              <w:t>7.4 Power–Interest Grid</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_Toc214099201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14</w:t>
            </w:r>
            <w:r w:rsidRPr="00871AA8">
              <w:rPr>
                <w:noProof/>
                <w:webHidden/>
                <w:color w:val="000000" w:themeColor="text1"/>
              </w:rPr>
              <w:fldChar w:fldCharType="end"/>
            </w:r>
          </w:hyperlink>
        </w:p>
        <w:p w14:paraId="26712626" w14:textId="6CD8F6FE" w:rsidR="00871AA8" w:rsidRPr="00871AA8" w:rsidRDefault="00871AA8">
          <w:pPr>
            <w:pStyle w:val="TOC2"/>
            <w:tabs>
              <w:tab w:val="right" w:leader="dot" w:pos="9016"/>
            </w:tabs>
            <w:rPr>
              <w:noProof/>
              <w:color w:val="000000" w:themeColor="text1"/>
            </w:rPr>
          </w:pPr>
          <w:hyperlink w:anchor="_Toc214099202" w:history="1">
            <w:r w:rsidRPr="00871AA8">
              <w:rPr>
                <w:rStyle w:val="Hyperlink"/>
                <w:noProof/>
                <w:color w:val="000000" w:themeColor="text1"/>
              </w:rPr>
              <w:t>8. Allocation of Resources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_Toc214099202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15</w:t>
            </w:r>
            <w:r w:rsidRPr="00871AA8">
              <w:rPr>
                <w:noProof/>
                <w:webHidden/>
                <w:color w:val="000000" w:themeColor="text1"/>
              </w:rPr>
              <w:fldChar w:fldCharType="end"/>
            </w:r>
          </w:hyperlink>
        </w:p>
        <w:p w14:paraId="5DD14FC1" w14:textId="3D2E8513" w:rsidR="00871AA8" w:rsidRPr="00871AA8" w:rsidRDefault="00871AA8">
          <w:pPr>
            <w:pStyle w:val="TOC3"/>
            <w:tabs>
              <w:tab w:val="right" w:leader="dot" w:pos="9016"/>
            </w:tabs>
            <w:rPr>
              <w:noProof/>
              <w:color w:val="000000" w:themeColor="text1"/>
            </w:rPr>
          </w:pPr>
          <w:hyperlink w:anchor="_Toc214099203" w:history="1">
            <w:r w:rsidRPr="00871AA8">
              <w:rPr>
                <w:rStyle w:val="Hyperlink"/>
                <w:noProof/>
                <w:color w:val="000000" w:themeColor="text1"/>
              </w:rPr>
              <w:t>8.1 Human Resources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_Toc214099203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15</w:t>
            </w:r>
            <w:r w:rsidRPr="00871AA8">
              <w:rPr>
                <w:noProof/>
                <w:webHidden/>
                <w:color w:val="000000" w:themeColor="text1"/>
              </w:rPr>
              <w:fldChar w:fldCharType="end"/>
            </w:r>
          </w:hyperlink>
        </w:p>
        <w:p w14:paraId="41ED88B0" w14:textId="5E1DA2EE" w:rsidR="00871AA8" w:rsidRPr="00871AA8" w:rsidRDefault="00871AA8">
          <w:pPr>
            <w:pStyle w:val="TOC3"/>
            <w:tabs>
              <w:tab w:val="right" w:leader="dot" w:pos="9016"/>
            </w:tabs>
            <w:rPr>
              <w:noProof/>
              <w:color w:val="000000" w:themeColor="text1"/>
            </w:rPr>
          </w:pPr>
          <w:hyperlink w:anchor="_Toc214099204" w:history="1">
            <w:r w:rsidRPr="00871AA8">
              <w:rPr>
                <w:rStyle w:val="Hyperlink"/>
                <w:noProof/>
                <w:color w:val="000000" w:themeColor="text1"/>
              </w:rPr>
              <w:t>8.2 Financial Resources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_Toc214099204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15</w:t>
            </w:r>
            <w:r w:rsidRPr="00871AA8">
              <w:rPr>
                <w:noProof/>
                <w:webHidden/>
                <w:color w:val="000000" w:themeColor="text1"/>
              </w:rPr>
              <w:fldChar w:fldCharType="end"/>
            </w:r>
          </w:hyperlink>
        </w:p>
        <w:p w14:paraId="50A19F27" w14:textId="569B3A33" w:rsidR="00871AA8" w:rsidRPr="00871AA8" w:rsidRDefault="00871AA8">
          <w:pPr>
            <w:pStyle w:val="TOC3"/>
            <w:tabs>
              <w:tab w:val="right" w:leader="dot" w:pos="9016"/>
            </w:tabs>
            <w:rPr>
              <w:noProof/>
              <w:color w:val="000000" w:themeColor="text1"/>
            </w:rPr>
          </w:pPr>
          <w:hyperlink w:anchor="_Toc214099205" w:history="1">
            <w:r w:rsidRPr="00871AA8">
              <w:rPr>
                <w:rStyle w:val="Hyperlink"/>
                <w:noProof/>
                <w:color w:val="000000" w:themeColor="text1"/>
              </w:rPr>
              <w:t>8.3 Material Resources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_Toc214099205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15</w:t>
            </w:r>
            <w:r w:rsidRPr="00871AA8">
              <w:rPr>
                <w:noProof/>
                <w:webHidden/>
                <w:color w:val="000000" w:themeColor="text1"/>
              </w:rPr>
              <w:fldChar w:fldCharType="end"/>
            </w:r>
          </w:hyperlink>
        </w:p>
        <w:p w14:paraId="6363857D" w14:textId="5D3DC8F2" w:rsidR="00871AA8" w:rsidRPr="00871AA8" w:rsidRDefault="00871AA8">
          <w:pPr>
            <w:pStyle w:val="TOC3"/>
            <w:tabs>
              <w:tab w:val="right" w:leader="dot" w:pos="9016"/>
            </w:tabs>
            <w:rPr>
              <w:noProof/>
              <w:color w:val="000000" w:themeColor="text1"/>
            </w:rPr>
          </w:pPr>
          <w:hyperlink w:anchor="_Toc214099206" w:history="1">
            <w:r w:rsidRPr="00871AA8">
              <w:rPr>
                <w:rStyle w:val="Hyperlink"/>
                <w:noProof/>
                <w:color w:val="000000" w:themeColor="text1"/>
              </w:rPr>
              <w:t>8.4 Technological Resources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_Toc214099206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15</w:t>
            </w:r>
            <w:r w:rsidRPr="00871AA8">
              <w:rPr>
                <w:noProof/>
                <w:webHidden/>
                <w:color w:val="000000" w:themeColor="text1"/>
              </w:rPr>
              <w:fldChar w:fldCharType="end"/>
            </w:r>
          </w:hyperlink>
        </w:p>
        <w:p w14:paraId="7C0502F2" w14:textId="541F84C1" w:rsidR="00871AA8" w:rsidRPr="00871AA8" w:rsidRDefault="00871AA8">
          <w:pPr>
            <w:pStyle w:val="TOC2"/>
            <w:tabs>
              <w:tab w:val="right" w:leader="dot" w:pos="9016"/>
            </w:tabs>
            <w:rPr>
              <w:noProof/>
              <w:color w:val="000000" w:themeColor="text1"/>
            </w:rPr>
          </w:pPr>
          <w:hyperlink w:anchor="_Toc214099207" w:history="1">
            <w:r w:rsidRPr="00871AA8">
              <w:rPr>
                <w:rStyle w:val="Hyperlink"/>
                <w:noProof/>
                <w:color w:val="000000" w:themeColor="text1"/>
              </w:rPr>
              <w:t>9. Risk Analysis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_Toc214099207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16</w:t>
            </w:r>
            <w:r w:rsidRPr="00871AA8">
              <w:rPr>
                <w:noProof/>
                <w:webHidden/>
                <w:color w:val="000000" w:themeColor="text1"/>
              </w:rPr>
              <w:fldChar w:fldCharType="end"/>
            </w:r>
          </w:hyperlink>
        </w:p>
        <w:p w14:paraId="674EE563" w14:textId="7A3EB244" w:rsidR="00871AA8" w:rsidRPr="00871AA8" w:rsidRDefault="00871AA8">
          <w:pPr>
            <w:pStyle w:val="TOC3"/>
            <w:tabs>
              <w:tab w:val="right" w:leader="dot" w:pos="9016"/>
            </w:tabs>
            <w:rPr>
              <w:noProof/>
              <w:color w:val="000000" w:themeColor="text1"/>
            </w:rPr>
          </w:pPr>
          <w:hyperlink w:anchor="_Toc214099208" w:history="1">
            <w:r w:rsidRPr="00871AA8">
              <w:rPr>
                <w:rStyle w:val="Hyperlink"/>
                <w:noProof/>
                <w:color w:val="000000" w:themeColor="text1"/>
              </w:rPr>
              <w:t>9.1 Risk Identification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_Toc214099208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16</w:t>
            </w:r>
            <w:r w:rsidRPr="00871AA8">
              <w:rPr>
                <w:noProof/>
                <w:webHidden/>
                <w:color w:val="000000" w:themeColor="text1"/>
              </w:rPr>
              <w:fldChar w:fldCharType="end"/>
            </w:r>
          </w:hyperlink>
        </w:p>
        <w:p w14:paraId="58C30152" w14:textId="7537B545" w:rsidR="00871AA8" w:rsidRPr="00871AA8" w:rsidRDefault="00871AA8">
          <w:pPr>
            <w:pStyle w:val="TOC3"/>
            <w:tabs>
              <w:tab w:val="right" w:leader="dot" w:pos="9016"/>
            </w:tabs>
            <w:rPr>
              <w:noProof/>
              <w:color w:val="000000" w:themeColor="text1"/>
            </w:rPr>
          </w:pPr>
          <w:hyperlink w:anchor="_Toc214099209" w:history="1">
            <w:r w:rsidRPr="00871AA8">
              <w:rPr>
                <w:rStyle w:val="Hyperlink"/>
                <w:noProof/>
                <w:color w:val="000000" w:themeColor="text1"/>
              </w:rPr>
              <w:t>9.2 Risk Assessment Matrix</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_Toc214099209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16</w:t>
            </w:r>
            <w:r w:rsidRPr="00871AA8">
              <w:rPr>
                <w:noProof/>
                <w:webHidden/>
                <w:color w:val="000000" w:themeColor="text1"/>
              </w:rPr>
              <w:fldChar w:fldCharType="end"/>
            </w:r>
          </w:hyperlink>
        </w:p>
        <w:p w14:paraId="4C169861" w14:textId="1E277D66" w:rsidR="00871AA8" w:rsidRPr="00871AA8" w:rsidRDefault="00871AA8">
          <w:pPr>
            <w:pStyle w:val="TOC3"/>
            <w:tabs>
              <w:tab w:val="right" w:leader="dot" w:pos="9016"/>
            </w:tabs>
            <w:rPr>
              <w:noProof/>
              <w:color w:val="000000" w:themeColor="text1"/>
            </w:rPr>
          </w:pPr>
          <w:hyperlink w:anchor="_Toc214099210" w:history="1">
            <w:r w:rsidRPr="00871AA8">
              <w:rPr>
                <w:rStyle w:val="Hyperlink"/>
                <w:noProof/>
                <w:color w:val="000000" w:themeColor="text1"/>
              </w:rPr>
              <w:t>9.3 Qualitative and Quantitative Techniques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_Toc214099210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17</w:t>
            </w:r>
            <w:r w:rsidRPr="00871AA8">
              <w:rPr>
                <w:noProof/>
                <w:webHidden/>
                <w:color w:val="000000" w:themeColor="text1"/>
              </w:rPr>
              <w:fldChar w:fldCharType="end"/>
            </w:r>
          </w:hyperlink>
        </w:p>
        <w:p w14:paraId="19E0A92B" w14:textId="3598C613" w:rsidR="00871AA8" w:rsidRPr="00871AA8" w:rsidRDefault="00871AA8">
          <w:pPr>
            <w:pStyle w:val="TOC2"/>
            <w:tabs>
              <w:tab w:val="right" w:leader="dot" w:pos="9016"/>
            </w:tabs>
            <w:rPr>
              <w:noProof/>
              <w:color w:val="000000" w:themeColor="text1"/>
            </w:rPr>
          </w:pPr>
          <w:hyperlink w:anchor="_Toc214099211" w:history="1">
            <w:r w:rsidRPr="00871AA8">
              <w:rPr>
                <w:rStyle w:val="Hyperlink"/>
                <w:noProof/>
                <w:color w:val="000000" w:themeColor="text1"/>
              </w:rPr>
              <w:t>10. Conclusion</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_Toc214099211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18</w:t>
            </w:r>
            <w:r w:rsidRPr="00871AA8">
              <w:rPr>
                <w:noProof/>
                <w:webHidden/>
                <w:color w:val="000000" w:themeColor="text1"/>
              </w:rPr>
              <w:fldChar w:fldCharType="end"/>
            </w:r>
          </w:hyperlink>
        </w:p>
        <w:p w14:paraId="5AC6879F" w14:textId="5DD1E60A" w:rsidR="00871AA8" w:rsidRPr="00871AA8" w:rsidRDefault="00871AA8">
          <w:pPr>
            <w:pStyle w:val="TOC1"/>
            <w:tabs>
              <w:tab w:val="right" w:leader="dot" w:pos="9016"/>
            </w:tabs>
            <w:rPr>
              <w:rFonts w:eastAsiaTheme="minorEastAsia"/>
              <w:noProof/>
              <w:color w:val="000000" w:themeColor="text1"/>
              <w:sz w:val="24"/>
              <w:szCs w:val="24"/>
              <w:lang w:eastAsia="en-GB"/>
            </w:rPr>
          </w:pPr>
          <w:hyperlink w:anchor="_Toc214099212" w:history="1">
            <w:r w:rsidRPr="00871AA8">
              <w:rPr>
                <w:rStyle w:val="Hyperlink"/>
                <w:noProof/>
                <w:color w:val="000000" w:themeColor="text1"/>
              </w:rPr>
              <w:t>References</w:t>
            </w:r>
            <w:r w:rsidRPr="00871AA8">
              <w:rPr>
                <w:noProof/>
                <w:webHidden/>
                <w:color w:val="000000" w:themeColor="text1"/>
              </w:rPr>
              <w:tab/>
            </w:r>
            <w:r w:rsidRPr="00871AA8">
              <w:rPr>
                <w:noProof/>
                <w:webHidden/>
                <w:color w:val="000000" w:themeColor="text1"/>
              </w:rPr>
              <w:fldChar w:fldCharType="begin"/>
            </w:r>
            <w:r w:rsidRPr="00871AA8">
              <w:rPr>
                <w:noProof/>
                <w:webHidden/>
                <w:color w:val="000000" w:themeColor="text1"/>
              </w:rPr>
              <w:instrText xml:space="preserve"> PAGEREF _Toc214099212 \h </w:instrText>
            </w:r>
            <w:r w:rsidRPr="00871AA8">
              <w:rPr>
                <w:noProof/>
                <w:webHidden/>
                <w:color w:val="000000" w:themeColor="text1"/>
              </w:rPr>
            </w:r>
            <w:r w:rsidRPr="00871AA8">
              <w:rPr>
                <w:noProof/>
                <w:webHidden/>
                <w:color w:val="000000" w:themeColor="text1"/>
              </w:rPr>
              <w:fldChar w:fldCharType="separate"/>
            </w:r>
            <w:r w:rsidRPr="00871AA8">
              <w:rPr>
                <w:noProof/>
                <w:webHidden/>
                <w:color w:val="000000" w:themeColor="text1"/>
              </w:rPr>
              <w:t>19</w:t>
            </w:r>
            <w:r w:rsidRPr="00871AA8">
              <w:rPr>
                <w:noProof/>
                <w:webHidden/>
                <w:color w:val="000000" w:themeColor="text1"/>
              </w:rPr>
              <w:fldChar w:fldCharType="end"/>
            </w:r>
          </w:hyperlink>
        </w:p>
        <w:p w14:paraId="3D6F4FDC" w14:textId="0D4DD706" w:rsidR="00BE5DF6" w:rsidRPr="00871AA8" w:rsidRDefault="00BE5DF6">
          <w:pPr>
            <w:rPr>
              <w:color w:val="000000" w:themeColor="text1"/>
            </w:rPr>
          </w:pPr>
          <w:r w:rsidRPr="00871AA8">
            <w:rPr>
              <w:b/>
              <w:bCs/>
              <w:noProof/>
              <w:color w:val="000000" w:themeColor="text1"/>
            </w:rPr>
            <w:fldChar w:fldCharType="end"/>
          </w:r>
        </w:p>
      </w:sdtContent>
    </w:sdt>
    <w:p w14:paraId="7BC0072F" w14:textId="77777777" w:rsidR="00BB6BBA" w:rsidRPr="00871AA8" w:rsidRDefault="00BB6BBA" w:rsidP="007B0413">
      <w:pPr>
        <w:spacing w:line="360" w:lineRule="auto"/>
        <w:rPr>
          <w:rFonts w:ascii="Arial" w:hAnsi="Arial" w:cs="Arial"/>
          <w:b/>
          <w:bCs/>
          <w:color w:val="000000" w:themeColor="text1"/>
          <w:sz w:val="52"/>
          <w:szCs w:val="52"/>
        </w:rPr>
      </w:pPr>
    </w:p>
    <w:p w14:paraId="1045D253" w14:textId="0676381F" w:rsidR="00BB6BBA" w:rsidRPr="00871AA8" w:rsidRDefault="00BB6BBA" w:rsidP="007B0413">
      <w:pPr>
        <w:spacing w:line="360" w:lineRule="auto"/>
        <w:rPr>
          <w:rFonts w:ascii="Arial" w:hAnsi="Arial" w:cs="Arial"/>
          <w:b/>
          <w:bCs/>
          <w:color w:val="000000" w:themeColor="text1"/>
          <w:sz w:val="52"/>
          <w:szCs w:val="52"/>
        </w:rPr>
      </w:pPr>
      <w:r w:rsidRPr="00871AA8">
        <w:rPr>
          <w:rFonts w:ascii="Arial" w:hAnsi="Arial" w:cs="Arial"/>
          <w:b/>
          <w:bCs/>
          <w:color w:val="000000" w:themeColor="text1"/>
          <w:sz w:val="52"/>
          <w:szCs w:val="52"/>
        </w:rPr>
        <w:t>CONTENT</w:t>
      </w:r>
    </w:p>
    <w:p w14:paraId="24AD5FF9" w14:textId="77777777" w:rsidR="00BB6BBA" w:rsidRPr="00871AA8" w:rsidRDefault="00BB6BBA" w:rsidP="007B0413">
      <w:pPr>
        <w:spacing w:line="360" w:lineRule="auto"/>
        <w:rPr>
          <w:rFonts w:ascii="Arial" w:hAnsi="Arial" w:cs="Arial"/>
          <w:b/>
          <w:bCs/>
          <w:color w:val="000000" w:themeColor="text1"/>
          <w:sz w:val="52"/>
          <w:szCs w:val="52"/>
        </w:rPr>
      </w:pPr>
    </w:p>
    <w:p w14:paraId="18D6336E" w14:textId="16B7CE38" w:rsidR="00BB6BBA" w:rsidRPr="00871AA8" w:rsidRDefault="00BB6BBA" w:rsidP="007B0413">
      <w:pPr>
        <w:spacing w:line="360" w:lineRule="auto"/>
        <w:rPr>
          <w:rFonts w:ascii="Arial" w:hAnsi="Arial" w:cs="Arial"/>
          <w:b/>
          <w:bCs/>
          <w:color w:val="000000" w:themeColor="text1"/>
          <w:sz w:val="52"/>
          <w:szCs w:val="52"/>
        </w:rPr>
      </w:pPr>
      <w:r w:rsidRPr="00871AA8">
        <w:rPr>
          <w:rFonts w:ascii="Arial" w:hAnsi="Arial" w:cs="Arial"/>
          <w:b/>
          <w:bCs/>
          <w:color w:val="000000" w:themeColor="text1"/>
          <w:sz w:val="52"/>
          <w:szCs w:val="52"/>
        </w:rPr>
        <w:t>PART A - Poster</w:t>
      </w:r>
    </w:p>
    <w:p w14:paraId="688C0087" w14:textId="79358EE5" w:rsidR="00BB6BBA" w:rsidRPr="00871AA8" w:rsidRDefault="00BB6BBA" w:rsidP="007B0413">
      <w:pPr>
        <w:spacing w:line="360" w:lineRule="auto"/>
        <w:rPr>
          <w:rFonts w:ascii="Arial" w:hAnsi="Arial" w:cs="Arial"/>
          <w:b/>
          <w:bCs/>
          <w:color w:val="000000" w:themeColor="text1"/>
          <w:sz w:val="52"/>
          <w:szCs w:val="52"/>
        </w:rPr>
      </w:pPr>
      <w:r w:rsidRPr="00871AA8">
        <w:rPr>
          <w:rFonts w:ascii="Arial" w:hAnsi="Arial" w:cs="Arial"/>
          <w:b/>
          <w:bCs/>
          <w:color w:val="000000" w:themeColor="text1"/>
          <w:sz w:val="52"/>
          <w:szCs w:val="52"/>
        </w:rPr>
        <w:t>PART B - Feedback Report</w:t>
      </w:r>
    </w:p>
    <w:p w14:paraId="1D7495A4" w14:textId="710C9229" w:rsidR="00BB6BBA" w:rsidRPr="00871AA8" w:rsidRDefault="00BB6BBA" w:rsidP="007B0413">
      <w:pPr>
        <w:spacing w:line="360" w:lineRule="auto"/>
        <w:rPr>
          <w:rFonts w:ascii="Arial" w:hAnsi="Arial" w:cs="Arial"/>
          <w:color w:val="000000" w:themeColor="text1"/>
          <w:sz w:val="52"/>
          <w:szCs w:val="52"/>
        </w:rPr>
      </w:pPr>
      <w:r w:rsidRPr="00871AA8">
        <w:rPr>
          <w:rFonts w:ascii="Arial" w:hAnsi="Arial" w:cs="Arial"/>
          <w:b/>
          <w:bCs/>
          <w:color w:val="000000" w:themeColor="text1"/>
          <w:sz w:val="52"/>
          <w:szCs w:val="52"/>
        </w:rPr>
        <w:t>PART C - Project Management Plan</w:t>
      </w:r>
    </w:p>
    <w:p w14:paraId="6F85B0CE" w14:textId="77777777" w:rsidR="00B81E24" w:rsidRPr="00871AA8" w:rsidRDefault="00B81E24" w:rsidP="007B0413">
      <w:pPr>
        <w:spacing w:line="360" w:lineRule="auto"/>
        <w:rPr>
          <w:rFonts w:ascii="Arial" w:hAnsi="Arial" w:cs="Arial"/>
          <w:color w:val="000000" w:themeColor="text1"/>
        </w:rPr>
      </w:pPr>
      <w:r w:rsidRPr="00871AA8">
        <w:rPr>
          <w:rFonts w:ascii="Arial" w:hAnsi="Arial" w:cs="Arial"/>
          <w:color w:val="000000" w:themeColor="text1"/>
        </w:rPr>
        <w:t> </w:t>
      </w:r>
    </w:p>
    <w:p w14:paraId="76DCC5BE" w14:textId="77777777" w:rsidR="00B81E24" w:rsidRPr="00871AA8" w:rsidRDefault="00B81E24" w:rsidP="007B0413">
      <w:pPr>
        <w:spacing w:line="360" w:lineRule="auto"/>
        <w:rPr>
          <w:rFonts w:ascii="Arial" w:hAnsi="Arial" w:cs="Arial"/>
          <w:color w:val="000000" w:themeColor="text1"/>
        </w:rPr>
      </w:pPr>
      <w:r w:rsidRPr="00871AA8">
        <w:rPr>
          <w:rFonts w:ascii="Arial" w:hAnsi="Arial" w:cs="Arial"/>
          <w:color w:val="000000" w:themeColor="text1"/>
        </w:rPr>
        <w:t> </w:t>
      </w:r>
    </w:p>
    <w:p w14:paraId="20A68382" w14:textId="77777777" w:rsidR="00B81E24" w:rsidRPr="00871AA8" w:rsidRDefault="00B81E24" w:rsidP="007B0413">
      <w:pPr>
        <w:spacing w:line="360" w:lineRule="auto"/>
        <w:rPr>
          <w:rFonts w:ascii="Arial" w:hAnsi="Arial" w:cs="Arial"/>
          <w:color w:val="000000" w:themeColor="text1"/>
        </w:rPr>
      </w:pPr>
    </w:p>
    <w:p w14:paraId="0F142E8B" w14:textId="77777777" w:rsidR="00B81E24" w:rsidRPr="00871AA8" w:rsidRDefault="00B81E24" w:rsidP="007B0413">
      <w:pPr>
        <w:spacing w:line="360" w:lineRule="auto"/>
        <w:rPr>
          <w:rFonts w:ascii="Arial" w:hAnsi="Arial" w:cs="Arial"/>
          <w:color w:val="000000" w:themeColor="text1"/>
        </w:rPr>
      </w:pPr>
    </w:p>
    <w:p w14:paraId="003AFF7E" w14:textId="77777777" w:rsidR="00B81E24" w:rsidRPr="00871AA8" w:rsidRDefault="00B81E24" w:rsidP="007B0413">
      <w:pPr>
        <w:spacing w:line="360" w:lineRule="auto"/>
        <w:rPr>
          <w:rFonts w:ascii="Arial" w:hAnsi="Arial" w:cs="Arial"/>
          <w:color w:val="000000" w:themeColor="text1"/>
        </w:rPr>
      </w:pPr>
    </w:p>
    <w:p w14:paraId="251A2BB7" w14:textId="77777777" w:rsidR="00B81E24" w:rsidRPr="00871AA8" w:rsidRDefault="00B81E24" w:rsidP="007B0413">
      <w:pPr>
        <w:spacing w:line="360" w:lineRule="auto"/>
        <w:rPr>
          <w:rFonts w:ascii="Arial" w:hAnsi="Arial" w:cs="Arial"/>
          <w:color w:val="000000" w:themeColor="text1"/>
        </w:rPr>
      </w:pPr>
    </w:p>
    <w:p w14:paraId="79F39D45" w14:textId="77777777" w:rsidR="00B81E24" w:rsidRPr="00871AA8" w:rsidRDefault="00B81E24" w:rsidP="007B0413">
      <w:pPr>
        <w:spacing w:line="360" w:lineRule="auto"/>
        <w:rPr>
          <w:rFonts w:ascii="Arial" w:hAnsi="Arial" w:cs="Arial"/>
          <w:color w:val="000000" w:themeColor="text1"/>
        </w:rPr>
      </w:pPr>
    </w:p>
    <w:p w14:paraId="2AD07B10" w14:textId="77777777" w:rsidR="00BB6BBA" w:rsidRPr="00871AA8" w:rsidRDefault="00BB6BBA" w:rsidP="007B0413">
      <w:pPr>
        <w:spacing w:line="360" w:lineRule="auto"/>
        <w:rPr>
          <w:rFonts w:ascii="Arial" w:hAnsi="Arial" w:cs="Arial"/>
          <w:color w:val="000000" w:themeColor="text1"/>
        </w:rPr>
      </w:pPr>
    </w:p>
    <w:p w14:paraId="7B7608CB" w14:textId="77777777" w:rsidR="00BB6BBA" w:rsidRPr="00871AA8" w:rsidRDefault="00BB6BBA" w:rsidP="007B0413">
      <w:pPr>
        <w:spacing w:line="360" w:lineRule="auto"/>
        <w:rPr>
          <w:rFonts w:ascii="Arial" w:hAnsi="Arial" w:cs="Arial"/>
          <w:color w:val="000000" w:themeColor="text1"/>
        </w:rPr>
      </w:pPr>
    </w:p>
    <w:p w14:paraId="74CCC149" w14:textId="77777777" w:rsidR="00BB6BBA" w:rsidRPr="00871AA8" w:rsidRDefault="00BB6BBA" w:rsidP="007B0413">
      <w:pPr>
        <w:spacing w:line="360" w:lineRule="auto"/>
        <w:rPr>
          <w:rFonts w:ascii="Arial" w:hAnsi="Arial" w:cs="Arial"/>
          <w:color w:val="000000" w:themeColor="text1"/>
        </w:rPr>
      </w:pPr>
    </w:p>
    <w:p w14:paraId="27660BEB" w14:textId="77777777" w:rsidR="00B81E24" w:rsidRPr="00871AA8" w:rsidRDefault="00B81E24" w:rsidP="007B0413">
      <w:pPr>
        <w:spacing w:line="360" w:lineRule="auto"/>
        <w:rPr>
          <w:rFonts w:ascii="Arial" w:hAnsi="Arial" w:cs="Arial"/>
          <w:color w:val="000000" w:themeColor="text1"/>
        </w:rPr>
      </w:pPr>
    </w:p>
    <w:p w14:paraId="0E4DF709" w14:textId="6E50E5EC" w:rsidR="00B81E24" w:rsidRPr="00871AA8" w:rsidRDefault="00B81E24" w:rsidP="00BE5DF6">
      <w:pPr>
        <w:pStyle w:val="Heading1"/>
        <w:rPr>
          <w:color w:val="000000" w:themeColor="text1"/>
        </w:rPr>
      </w:pPr>
      <w:bookmarkStart w:id="0" w:name="_Toc214099175"/>
      <w:r w:rsidRPr="00871AA8">
        <w:rPr>
          <w:color w:val="000000" w:themeColor="text1"/>
        </w:rPr>
        <w:t>Part A - Poster</w:t>
      </w:r>
      <w:bookmarkEnd w:id="0"/>
    </w:p>
    <w:p w14:paraId="27BE44C9" w14:textId="1D430DC3" w:rsidR="00B81E24" w:rsidRPr="00871AA8" w:rsidRDefault="00B81E24" w:rsidP="007B0413">
      <w:pPr>
        <w:spacing w:line="360" w:lineRule="auto"/>
        <w:rPr>
          <w:rFonts w:ascii="Arial" w:hAnsi="Arial" w:cs="Arial"/>
          <w:b/>
          <w:bCs/>
          <w:color w:val="000000" w:themeColor="text1"/>
          <w:sz w:val="48"/>
          <w:szCs w:val="48"/>
        </w:rPr>
      </w:pPr>
      <w:r w:rsidRPr="00871AA8">
        <w:rPr>
          <w:rFonts w:ascii="Arial" w:hAnsi="Arial" w:cs="Arial"/>
          <w:b/>
          <w:bCs/>
          <w:color w:val="000000" w:themeColor="text1"/>
          <w:sz w:val="48"/>
          <w:szCs w:val="48"/>
        </w:rPr>
        <w:t xml:space="preserve"> </w:t>
      </w:r>
      <w:r w:rsidR="00BB6BBA" w:rsidRPr="00871AA8">
        <w:rPr>
          <w:rFonts w:ascii="Arial" w:hAnsi="Arial" w:cs="Arial"/>
          <w:b/>
          <w:bCs/>
          <w:noProof/>
          <w:color w:val="000000" w:themeColor="text1"/>
          <w:sz w:val="48"/>
          <w:szCs w:val="48"/>
        </w:rPr>
        <w:drawing>
          <wp:inline distT="0" distB="0" distL="0" distR="0" wp14:anchorId="3073A218" wp14:editId="2008B684">
            <wp:extent cx="5731510" cy="4051300"/>
            <wp:effectExtent l="0" t="0" r="2540" b="6350"/>
            <wp:docPr id="176166603" name="Picture 1" descr="A brochure of a road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6603" name="Picture 1" descr="A brochure of a road construction site&#10;&#10;AI-generated content may be incorrect."/>
                    <pic:cNvPicPr/>
                  </pic:nvPicPr>
                  <pic:blipFill>
                    <a:blip r:embed="rId6"/>
                    <a:stretch>
                      <a:fillRect/>
                    </a:stretch>
                  </pic:blipFill>
                  <pic:spPr>
                    <a:xfrm>
                      <a:off x="0" y="0"/>
                      <a:ext cx="5731510" cy="4051300"/>
                    </a:xfrm>
                    <a:prstGeom prst="rect">
                      <a:avLst/>
                    </a:prstGeom>
                  </pic:spPr>
                </pic:pic>
              </a:graphicData>
            </a:graphic>
          </wp:inline>
        </w:drawing>
      </w:r>
    </w:p>
    <w:p w14:paraId="0AB93F70" w14:textId="70BD42F2" w:rsidR="005F5EE3" w:rsidRPr="00871AA8" w:rsidRDefault="005F5EE3" w:rsidP="007B0413">
      <w:pPr>
        <w:spacing w:line="360" w:lineRule="auto"/>
        <w:rPr>
          <w:rFonts w:ascii="Arial" w:hAnsi="Arial" w:cs="Arial"/>
          <w:color w:val="000000" w:themeColor="text1"/>
        </w:rPr>
      </w:pPr>
    </w:p>
    <w:p w14:paraId="44873C1D" w14:textId="77777777" w:rsidR="00B81E24" w:rsidRPr="00871AA8" w:rsidRDefault="00B81E24" w:rsidP="007B0413">
      <w:pPr>
        <w:spacing w:line="360" w:lineRule="auto"/>
        <w:rPr>
          <w:rFonts w:ascii="Arial" w:hAnsi="Arial" w:cs="Arial"/>
          <w:color w:val="000000" w:themeColor="text1"/>
        </w:rPr>
      </w:pPr>
    </w:p>
    <w:p w14:paraId="0CEDC1F5" w14:textId="77777777" w:rsidR="007B0413" w:rsidRPr="00871AA8" w:rsidRDefault="007B0413" w:rsidP="007B0413">
      <w:pPr>
        <w:spacing w:line="360" w:lineRule="auto"/>
        <w:rPr>
          <w:rFonts w:ascii="Arial" w:hAnsi="Arial" w:cs="Arial"/>
          <w:color w:val="000000" w:themeColor="text1"/>
        </w:rPr>
      </w:pPr>
    </w:p>
    <w:p w14:paraId="01AA2C52" w14:textId="77777777" w:rsidR="007B0413" w:rsidRPr="00871AA8" w:rsidRDefault="007B0413" w:rsidP="007B0413">
      <w:pPr>
        <w:spacing w:line="360" w:lineRule="auto"/>
        <w:rPr>
          <w:rFonts w:ascii="Arial" w:hAnsi="Arial" w:cs="Arial"/>
          <w:color w:val="000000" w:themeColor="text1"/>
        </w:rPr>
      </w:pPr>
    </w:p>
    <w:p w14:paraId="4F2F389B" w14:textId="06D3A317" w:rsidR="00B81E24" w:rsidRPr="00871AA8" w:rsidRDefault="00B81E24" w:rsidP="00BE5DF6">
      <w:pPr>
        <w:pStyle w:val="Heading1"/>
        <w:rPr>
          <w:color w:val="000000" w:themeColor="text1"/>
        </w:rPr>
      </w:pPr>
      <w:bookmarkStart w:id="1" w:name="_Toc214099176"/>
      <w:r w:rsidRPr="00871AA8">
        <w:rPr>
          <w:color w:val="000000" w:themeColor="text1"/>
        </w:rPr>
        <w:t>Part B – Feedback Report</w:t>
      </w:r>
      <w:bookmarkEnd w:id="1"/>
    </w:p>
    <w:p w14:paraId="3E0C87C8" w14:textId="77777777" w:rsidR="00BB6BBA" w:rsidRPr="00871AA8" w:rsidRDefault="00BB6BBA" w:rsidP="007B0413">
      <w:pPr>
        <w:spacing w:line="360" w:lineRule="auto"/>
        <w:rPr>
          <w:rFonts w:ascii="Arial" w:hAnsi="Arial" w:cs="Arial"/>
          <w:b/>
          <w:bCs/>
          <w:color w:val="000000" w:themeColor="text1"/>
        </w:rPr>
      </w:pPr>
    </w:p>
    <w:p w14:paraId="58846E9D" w14:textId="0A501A45" w:rsidR="00B81E24" w:rsidRPr="00871AA8" w:rsidRDefault="00B81E24" w:rsidP="007B0413">
      <w:pPr>
        <w:spacing w:line="360" w:lineRule="auto"/>
        <w:rPr>
          <w:rFonts w:ascii="Arial" w:hAnsi="Arial" w:cs="Arial"/>
          <w:color w:val="000000" w:themeColor="text1"/>
        </w:rPr>
      </w:pPr>
      <w:r w:rsidRPr="00871AA8">
        <w:rPr>
          <w:rFonts w:ascii="Arial" w:hAnsi="Arial" w:cs="Arial"/>
          <w:color w:val="000000" w:themeColor="text1"/>
        </w:rPr>
        <w:t>The in-class presentation of my project poster was an important opportunity to evaluate how effectively my initial ideas were communicated and structured. The feedback from both my tutor and peers was detailed and constructive, helping me to recognise key weaknesses in my poster and understand how to strengthen the final project plan.</w:t>
      </w:r>
    </w:p>
    <w:p w14:paraId="6B94591F" w14:textId="77777777" w:rsidR="00B81E24" w:rsidRPr="00871AA8" w:rsidRDefault="00B81E24" w:rsidP="00BE5DF6">
      <w:pPr>
        <w:pStyle w:val="Heading2"/>
        <w:rPr>
          <w:color w:val="000000" w:themeColor="text1"/>
        </w:rPr>
      </w:pPr>
      <w:bookmarkStart w:id="2" w:name="_Toc214099177"/>
      <w:r w:rsidRPr="00871AA8">
        <w:rPr>
          <w:color w:val="000000" w:themeColor="text1"/>
        </w:rPr>
        <w:t>Reflection on Strengths</w:t>
      </w:r>
      <w:bookmarkEnd w:id="2"/>
    </w:p>
    <w:p w14:paraId="352BDD2B" w14:textId="77777777" w:rsidR="00B81E24" w:rsidRPr="00871AA8" w:rsidRDefault="00B81E24" w:rsidP="007B0413">
      <w:pPr>
        <w:spacing w:line="360" w:lineRule="auto"/>
        <w:rPr>
          <w:rFonts w:ascii="Arial" w:hAnsi="Arial" w:cs="Arial"/>
          <w:color w:val="000000" w:themeColor="text1"/>
        </w:rPr>
      </w:pPr>
      <w:r w:rsidRPr="00871AA8">
        <w:rPr>
          <w:rFonts w:ascii="Arial" w:hAnsi="Arial" w:cs="Arial"/>
          <w:color w:val="000000" w:themeColor="text1"/>
        </w:rPr>
        <w:t>Despite the shortcomings, classmates and the tutor acknowledged that the poster demonstrated enthusiasm for the topic and an awareness of its relevance. They noted that the background information was well-researched and that I had gathered credible data from official sources. The overall concept of focusing on post-disaster infrastructure recovery was viewed as meaningful and timely. These comments confirmed that the project theme itself was strong and worth developing further, provided that its academic and professional presentation was improved.</w:t>
      </w:r>
    </w:p>
    <w:p w14:paraId="6ED08B77" w14:textId="77777777" w:rsidR="00B81E24" w:rsidRPr="00871AA8" w:rsidRDefault="00B81E24" w:rsidP="00BE5DF6">
      <w:pPr>
        <w:pStyle w:val="Heading2"/>
        <w:rPr>
          <w:color w:val="000000" w:themeColor="text1"/>
        </w:rPr>
      </w:pPr>
      <w:bookmarkStart w:id="3" w:name="_Toc214099178"/>
      <w:r w:rsidRPr="00871AA8">
        <w:rPr>
          <w:color w:val="000000" w:themeColor="text1"/>
        </w:rPr>
        <w:t>Reflection on Areas for Improvement</w:t>
      </w:r>
      <w:bookmarkEnd w:id="3"/>
    </w:p>
    <w:p w14:paraId="352D5CD6" w14:textId="00379158" w:rsidR="00FA280E" w:rsidRPr="00871AA8" w:rsidRDefault="00FA280E" w:rsidP="007B0413">
      <w:pPr>
        <w:spacing w:line="360" w:lineRule="auto"/>
        <w:rPr>
          <w:rFonts w:ascii="Arial" w:hAnsi="Arial" w:cs="Arial"/>
          <w:color w:val="000000" w:themeColor="text1"/>
        </w:rPr>
      </w:pPr>
      <w:bookmarkStart w:id="4" w:name="_Toc214099179"/>
      <w:r w:rsidRPr="00871AA8">
        <w:rPr>
          <w:rStyle w:val="Heading2Char"/>
          <w:color w:val="000000" w:themeColor="text1"/>
        </w:rPr>
        <w:t>Reflection on Strengths</w:t>
      </w:r>
      <w:bookmarkEnd w:id="4"/>
      <w:r w:rsidRPr="00871AA8">
        <w:rPr>
          <w:rFonts w:ascii="Arial" w:hAnsi="Arial" w:cs="Arial"/>
          <w:color w:val="000000" w:themeColor="text1"/>
        </w:rPr>
        <w:br/>
        <w:t>During the in-class presentation of my project poster, I received detailed feedback from both my tutor and peers which allowed me to evaluate how effectively my initial ideas were communicated and structured. The comments highlighted that the poster demonstrated enthusiasm for the topic and an awareness of its relevance (Tutor &amp; Peers, 2025). My background information was deemed well-researched and based on credible official sources. These remarks confirmed that the project theme</w:t>
      </w:r>
      <w:r w:rsidR="007B0413" w:rsidRPr="00871AA8">
        <w:rPr>
          <w:rFonts w:ascii="Arial" w:hAnsi="Arial" w:cs="Arial"/>
          <w:color w:val="000000" w:themeColor="text1"/>
        </w:rPr>
        <w:t xml:space="preserve"> </w:t>
      </w:r>
      <w:r w:rsidRPr="00871AA8">
        <w:rPr>
          <w:rFonts w:ascii="Arial" w:hAnsi="Arial" w:cs="Arial"/>
          <w:color w:val="000000" w:themeColor="text1"/>
        </w:rPr>
        <w:t xml:space="preserve">focusing on post-disaster infrastructure </w:t>
      </w:r>
      <w:r w:rsidR="007B0413" w:rsidRPr="00871AA8">
        <w:rPr>
          <w:rFonts w:ascii="Arial" w:hAnsi="Arial" w:cs="Arial"/>
          <w:color w:val="000000" w:themeColor="text1"/>
        </w:rPr>
        <w:t>recovery was</w:t>
      </w:r>
      <w:r w:rsidRPr="00871AA8">
        <w:rPr>
          <w:rFonts w:ascii="Arial" w:hAnsi="Arial" w:cs="Arial"/>
          <w:color w:val="000000" w:themeColor="text1"/>
        </w:rPr>
        <w:t xml:space="preserve"> strong and timely, and thus worth developing further provided its academic and professional presentation was enhanced.</w:t>
      </w:r>
    </w:p>
    <w:p w14:paraId="284F42E7" w14:textId="77777777" w:rsidR="00FA280E" w:rsidRPr="00871AA8" w:rsidRDefault="00FA280E" w:rsidP="007B0413">
      <w:pPr>
        <w:spacing w:line="360" w:lineRule="auto"/>
        <w:rPr>
          <w:rFonts w:ascii="Arial" w:hAnsi="Arial" w:cs="Arial"/>
          <w:color w:val="000000" w:themeColor="text1"/>
        </w:rPr>
      </w:pPr>
      <w:bookmarkStart w:id="5" w:name="_Toc214099180"/>
      <w:r w:rsidRPr="00871AA8">
        <w:rPr>
          <w:rStyle w:val="Heading2Char"/>
          <w:color w:val="000000" w:themeColor="text1"/>
        </w:rPr>
        <w:t>Reflection on Areas for Improvement</w:t>
      </w:r>
      <w:bookmarkEnd w:id="5"/>
      <w:r w:rsidRPr="00871AA8">
        <w:rPr>
          <w:rFonts w:ascii="Arial" w:hAnsi="Arial" w:cs="Arial"/>
          <w:color w:val="000000" w:themeColor="text1"/>
        </w:rPr>
        <w:br/>
        <w:t xml:space="preserve">One of the main criticisms concerned academic completeness: the poster lacked essential academic tools such as a Gantt chart, theoretical frameworks and conceptual models (Tutor &amp; Peers, 2025). Without these elements, the project appeared descriptive rather than </w:t>
      </w:r>
      <w:r w:rsidRPr="00871AA8">
        <w:rPr>
          <w:rFonts w:ascii="Arial" w:hAnsi="Arial" w:cs="Arial"/>
          <w:color w:val="000000" w:themeColor="text1"/>
        </w:rPr>
        <w:lastRenderedPageBreak/>
        <w:t>analytical. To address this, I will incorporate a Gantt chart that outlines a detailed timeline for each project stage, and integrate recognised theories of project management and sustainability (such as the PMBOK Guide framework and resilience-planning concepts) to provide stronger academic grounding.</w:t>
      </w:r>
      <w:r w:rsidRPr="00871AA8">
        <w:rPr>
          <w:rFonts w:ascii="Arial" w:hAnsi="Arial" w:cs="Arial"/>
          <w:color w:val="000000" w:themeColor="text1"/>
        </w:rPr>
        <w:br/>
        <w:t>Another issue identified was clarity of design: the font size and colour contrast were difficult to read, and the text was too dense for a poster format (Tutor &amp; Peers, 2025). Reviewers advised reducing the amount of text, using bullet points, and increasing visual balance through diagrams and infographics. I plan to revise the layout using professional design software, ensuring consistent typography and appropriate colour harmony.</w:t>
      </w:r>
      <w:r w:rsidRPr="00871AA8">
        <w:rPr>
          <w:rFonts w:ascii="Arial" w:hAnsi="Arial" w:cs="Arial"/>
          <w:color w:val="000000" w:themeColor="text1"/>
        </w:rPr>
        <w:br/>
        <w:t>Further feedback indicated that the timeline and budget presentation were lacking: my poster did not include a financial outline or scheduling details, which made the plan appear incomplete (Tutor &amp; Peers, 2025). In the final project I will divide the work into smaller, measurable phases with approximate cost estimates. Including a table of milestones and deliverables will clarify the schedule and help demonstrate feasibility.</w:t>
      </w:r>
      <w:r w:rsidRPr="00871AA8">
        <w:rPr>
          <w:rFonts w:ascii="Arial" w:hAnsi="Arial" w:cs="Arial"/>
          <w:color w:val="000000" w:themeColor="text1"/>
        </w:rPr>
        <w:br/>
        <w:t>Additionally, the project needed to identify key stakeholders and provide a clear implementation strategy. The audience felt it was unclear who would be responsible for major activities or decisions (Tutor &amp; Peers, 2025). To correct this, I will map stakeholders—such as government agencies, contractors and community groups—and describe their roles and interactions in a stakeholder analysis table.</w:t>
      </w:r>
      <w:r w:rsidRPr="00871AA8">
        <w:rPr>
          <w:rFonts w:ascii="Arial" w:hAnsi="Arial" w:cs="Arial"/>
          <w:color w:val="000000" w:themeColor="text1"/>
        </w:rPr>
        <w:br/>
        <w:t>Peers also suggested improving the use of visuals: the images in the first version did not effectively support the argument, and no tables or charts were included to summarise the data (Tutor &amp; Peers, 2025). I will therefore include high-resolution, relevant images along with concise tables and numbered sections to enhance readability and professional appearance.</w:t>
      </w:r>
    </w:p>
    <w:p w14:paraId="03C66480" w14:textId="77777777" w:rsidR="00FA280E" w:rsidRPr="00871AA8" w:rsidRDefault="00FA280E" w:rsidP="007B0413">
      <w:pPr>
        <w:spacing w:line="360" w:lineRule="auto"/>
        <w:rPr>
          <w:rFonts w:ascii="Arial" w:hAnsi="Arial" w:cs="Arial"/>
          <w:color w:val="000000" w:themeColor="text1"/>
        </w:rPr>
      </w:pPr>
      <w:bookmarkStart w:id="6" w:name="_Toc214099181"/>
      <w:r w:rsidRPr="00871AA8">
        <w:rPr>
          <w:rStyle w:val="Heading2Char"/>
          <w:color w:val="000000" w:themeColor="text1"/>
        </w:rPr>
        <w:t>Action Plan</w:t>
      </w:r>
      <w:bookmarkEnd w:id="6"/>
      <w:r w:rsidRPr="00871AA8">
        <w:rPr>
          <w:rFonts w:ascii="Arial" w:hAnsi="Arial" w:cs="Arial"/>
          <w:color w:val="000000" w:themeColor="text1"/>
        </w:rPr>
        <w:br/>
        <w:t>In summary, the feedback revealed that while my poster communicated a strong idea, it lacked academic structure, visual clarity and quantitative detail (Tutor &amp; Peers, 2025). I now plan to rebuild the design using clearer typography and balanced visuals, integrate theoretical and conceptual frameworks, introduce a Gantt chart and budget tables, define stakeholders and strategy, and reduce unnecessary text. Applying these improvements will transform my initial draft into a more analytical, visually engaging and academically credible final project plan that meets university standards for clarity, structure and critical reflection.</w:t>
      </w:r>
    </w:p>
    <w:p w14:paraId="668E4290" w14:textId="77777777" w:rsidR="00B81E24" w:rsidRPr="00871AA8" w:rsidRDefault="00B81E24" w:rsidP="007B0413">
      <w:pPr>
        <w:spacing w:line="360" w:lineRule="auto"/>
        <w:rPr>
          <w:rFonts w:ascii="Arial" w:hAnsi="Arial" w:cs="Arial"/>
          <w:color w:val="000000" w:themeColor="text1"/>
        </w:rPr>
      </w:pPr>
    </w:p>
    <w:p w14:paraId="6F0229AA" w14:textId="77777777" w:rsidR="007B0413" w:rsidRPr="00871AA8" w:rsidRDefault="007B0413" w:rsidP="007B0413">
      <w:pPr>
        <w:spacing w:line="360" w:lineRule="auto"/>
        <w:rPr>
          <w:rFonts w:ascii="Arial" w:hAnsi="Arial" w:cs="Arial"/>
          <w:color w:val="000000" w:themeColor="text1"/>
        </w:rPr>
      </w:pPr>
    </w:p>
    <w:p w14:paraId="05891B96" w14:textId="77777777" w:rsidR="007B0413" w:rsidRPr="00871AA8" w:rsidRDefault="007B0413" w:rsidP="007B0413">
      <w:pPr>
        <w:spacing w:line="360" w:lineRule="auto"/>
        <w:rPr>
          <w:rFonts w:ascii="Arial" w:hAnsi="Arial" w:cs="Arial"/>
          <w:color w:val="000000" w:themeColor="text1"/>
        </w:rPr>
      </w:pPr>
    </w:p>
    <w:p w14:paraId="63990628" w14:textId="77777777" w:rsidR="007B0413" w:rsidRPr="00871AA8" w:rsidRDefault="007B0413" w:rsidP="007B0413">
      <w:pPr>
        <w:spacing w:line="360" w:lineRule="auto"/>
        <w:rPr>
          <w:rFonts w:ascii="Arial" w:hAnsi="Arial" w:cs="Arial"/>
          <w:color w:val="000000" w:themeColor="text1"/>
        </w:rPr>
      </w:pPr>
    </w:p>
    <w:p w14:paraId="64F02CAA" w14:textId="77777777" w:rsidR="007B0413" w:rsidRPr="00871AA8" w:rsidRDefault="007B0413" w:rsidP="007B0413">
      <w:pPr>
        <w:spacing w:line="360" w:lineRule="auto"/>
        <w:rPr>
          <w:rFonts w:ascii="Arial" w:hAnsi="Arial" w:cs="Arial"/>
          <w:color w:val="000000" w:themeColor="text1"/>
        </w:rPr>
      </w:pPr>
    </w:p>
    <w:p w14:paraId="2CBEED91" w14:textId="77777777" w:rsidR="007B0413" w:rsidRPr="00871AA8" w:rsidRDefault="007B0413" w:rsidP="00871AA8">
      <w:pPr>
        <w:pStyle w:val="Heading1"/>
        <w:rPr>
          <w:color w:val="000000" w:themeColor="text1"/>
        </w:rPr>
      </w:pPr>
      <w:bookmarkStart w:id="7" w:name="_Toc214099182"/>
      <w:r w:rsidRPr="00871AA8">
        <w:rPr>
          <w:color w:val="000000" w:themeColor="text1"/>
        </w:rPr>
        <w:t>PART C - Project Management Plan</w:t>
      </w:r>
      <w:bookmarkEnd w:id="7"/>
    </w:p>
    <w:p w14:paraId="0078937E" w14:textId="77777777" w:rsidR="007B0413" w:rsidRPr="00871AA8" w:rsidRDefault="007B0413" w:rsidP="007B0413">
      <w:pPr>
        <w:spacing w:line="360" w:lineRule="auto"/>
        <w:rPr>
          <w:rFonts w:ascii="Arial" w:hAnsi="Arial" w:cs="Arial"/>
          <w:color w:val="000000" w:themeColor="text1"/>
        </w:rPr>
      </w:pPr>
    </w:p>
    <w:p w14:paraId="7E396812" w14:textId="6ACDFE03" w:rsidR="007B0413" w:rsidRPr="00871AA8" w:rsidRDefault="007B0413" w:rsidP="007B0413">
      <w:pPr>
        <w:tabs>
          <w:tab w:val="left" w:pos="142"/>
        </w:tabs>
        <w:spacing w:line="360" w:lineRule="auto"/>
        <w:rPr>
          <w:rFonts w:ascii="Arial" w:hAnsi="Arial" w:cs="Arial"/>
          <w:b/>
          <w:bCs/>
          <w:color w:val="000000" w:themeColor="text1"/>
        </w:rPr>
      </w:pPr>
    </w:p>
    <w:p w14:paraId="7B5A83E1" w14:textId="77777777" w:rsidR="007B0413" w:rsidRPr="00871AA8" w:rsidRDefault="007B0413" w:rsidP="007B0413">
      <w:pPr>
        <w:tabs>
          <w:tab w:val="left" w:pos="142"/>
        </w:tabs>
        <w:spacing w:line="360" w:lineRule="auto"/>
        <w:rPr>
          <w:rFonts w:ascii="Arial" w:hAnsi="Arial" w:cs="Arial"/>
          <w:b/>
          <w:bCs/>
          <w:color w:val="000000" w:themeColor="text1"/>
        </w:rPr>
      </w:pPr>
    </w:p>
    <w:p w14:paraId="5A824CFE" w14:textId="77777777" w:rsidR="007B0413" w:rsidRPr="00871AA8" w:rsidRDefault="007B0413" w:rsidP="00871AA8">
      <w:pPr>
        <w:pStyle w:val="Heading2"/>
        <w:rPr>
          <w:color w:val="000000" w:themeColor="text1"/>
        </w:rPr>
      </w:pPr>
      <w:bookmarkStart w:id="8" w:name="_Toc214099183"/>
      <w:r w:rsidRPr="00871AA8">
        <w:rPr>
          <w:color w:val="000000" w:themeColor="text1"/>
        </w:rPr>
        <w:t>1. Introduction</w:t>
      </w:r>
      <w:bookmarkEnd w:id="8"/>
    </w:p>
    <w:p w14:paraId="53D088A9"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This Project Management Plan (PMP) presents a structured, evidence-based approach for the reconstruction and climate-resilient enhancement of Highway 5 (Coquihalla) in British Columbia, Canada. As demonstrated in the poster material, the region experienced “unprecedented flooding and landslides” during a severe atmospheric river event, destroying major sections of Highway 5 and significantly disrupting freight mobility. This corridor is a critical transportation link connecting Metro Vancouver to interior British Columbia and the rest of Canada, and its closure forced freight movement onto long and inefficient detours. Transport Canada confirms that these disruptions affected national supply chains and increased economic losses </w:t>
      </w:r>
    </w:p>
    <w:p w14:paraId="021793D0"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The purpose of this PMP is to outline how the reconstruction project will be delivered using the PRINCE2 methodology, chosen for its suitability in managing complex, multi-stakeholder, high-risk infrastructure projects. PRINCE2 emphasises governance, stage boundaries, risk control, quality management, and continuous alignment to the business case (Axelos, 2017). To support a broader project-management perspective, complementary principles from the PMBOK Guide (PMI, 2021) are integrated, particularly in relation to stakeholder engagement, resource allocation, and procurement.</w:t>
      </w:r>
    </w:p>
    <w:p w14:paraId="5D8E52ED"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This plan reflects the academic requirements outlined in the assessment brief and incorporates feedback from the poster presentation, including the need for theoretical frameworks, clearer structure, improved visuals, stakeholder identification, and analytical tools. It contains a detailed project description, a clearly defined scope, a Work Breakdown Structure (WBS), a Quad Chart, a comprehensive Gantt Chart in table format, stakeholder analysis including a Power–Interest Grid, resource allocation, risk analysis with a fully developed SWOT, and a conclusion.</w:t>
      </w:r>
    </w:p>
    <w:p w14:paraId="38102910" w14:textId="77777777" w:rsidR="007B0413" w:rsidRPr="00871AA8" w:rsidRDefault="007B0413" w:rsidP="007B0413">
      <w:pPr>
        <w:tabs>
          <w:tab w:val="left" w:pos="142"/>
        </w:tabs>
        <w:spacing w:line="360" w:lineRule="auto"/>
        <w:rPr>
          <w:rFonts w:ascii="Arial" w:hAnsi="Arial" w:cs="Arial"/>
          <w:color w:val="000000" w:themeColor="text1"/>
        </w:rPr>
      </w:pPr>
    </w:p>
    <w:p w14:paraId="0E003741" w14:textId="77777777" w:rsidR="007B0413" w:rsidRPr="00871AA8" w:rsidRDefault="007B0413" w:rsidP="007B0413">
      <w:pPr>
        <w:tabs>
          <w:tab w:val="left" w:pos="142"/>
        </w:tabs>
        <w:spacing w:line="360" w:lineRule="auto"/>
        <w:rPr>
          <w:rFonts w:ascii="Arial" w:hAnsi="Arial" w:cs="Arial"/>
          <w:color w:val="000000" w:themeColor="text1"/>
        </w:rPr>
      </w:pPr>
    </w:p>
    <w:p w14:paraId="791F24DE" w14:textId="77777777" w:rsidR="007B0413" w:rsidRPr="00871AA8" w:rsidRDefault="007B0413" w:rsidP="007B0413">
      <w:pPr>
        <w:tabs>
          <w:tab w:val="left" w:pos="142"/>
        </w:tabs>
        <w:spacing w:line="360" w:lineRule="auto"/>
        <w:rPr>
          <w:rFonts w:ascii="Arial" w:hAnsi="Arial" w:cs="Arial"/>
          <w:color w:val="000000" w:themeColor="text1"/>
        </w:rPr>
      </w:pPr>
    </w:p>
    <w:p w14:paraId="5F0428EC" w14:textId="77777777" w:rsidR="007B0413" w:rsidRPr="00871AA8" w:rsidRDefault="007B0413" w:rsidP="00871AA8">
      <w:pPr>
        <w:pStyle w:val="Heading2"/>
        <w:rPr>
          <w:color w:val="000000" w:themeColor="text1"/>
        </w:rPr>
      </w:pPr>
      <w:bookmarkStart w:id="9" w:name="_Toc214099184"/>
      <w:r w:rsidRPr="00871AA8">
        <w:rPr>
          <w:color w:val="000000" w:themeColor="text1"/>
        </w:rPr>
        <w:t>2. Project Description</w:t>
      </w:r>
      <w:bookmarkEnd w:id="9"/>
    </w:p>
    <w:p w14:paraId="3DA2C4F8"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The project focuses on the reconstruction of Highway 5 following catastrophic infrastructure damage caused by severe flooding and landslides. The poster material clarifies that major sections of the highway, including bridges, asphalt surfaces, embankments, and culverts, were destroyed by the 2021-2022 atmospheric river event, which substantially exceeded normal hydrological conditions. The Insurance Bureau of Canada notes that the scale of losses from this disaster reflects the increasing severity of extreme weather events across the country (Insurance Bureau of Canada, 2022) </w:t>
      </w:r>
    </w:p>
    <w:p w14:paraId="3B9D1863" w14:textId="77777777" w:rsidR="007B0413" w:rsidRPr="00871AA8" w:rsidRDefault="007B0413" w:rsidP="007B0413">
      <w:pPr>
        <w:tabs>
          <w:tab w:val="left" w:pos="142"/>
        </w:tabs>
        <w:spacing w:line="360" w:lineRule="auto"/>
        <w:rPr>
          <w:rFonts w:ascii="Arial" w:hAnsi="Arial" w:cs="Arial"/>
          <w:color w:val="000000" w:themeColor="text1"/>
        </w:rPr>
      </w:pPr>
    </w:p>
    <w:p w14:paraId="286B32C4"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Highway 5 is the province's primary freight corridor, and its closure caused a chain reaction of delays, rerouting, fuel increases, safety concerns, and supply-chain inefficiencies. Restoring functionality is therefore critical not only for regional transportation but also for national logistics networks.</w:t>
      </w:r>
    </w:p>
    <w:p w14:paraId="426F0E0F" w14:textId="77777777" w:rsidR="007B0413" w:rsidRPr="00871AA8" w:rsidRDefault="007B0413" w:rsidP="007B0413">
      <w:pPr>
        <w:tabs>
          <w:tab w:val="left" w:pos="142"/>
        </w:tabs>
        <w:spacing w:line="360" w:lineRule="auto"/>
        <w:rPr>
          <w:rFonts w:ascii="Arial" w:hAnsi="Arial" w:cs="Arial"/>
          <w:color w:val="000000" w:themeColor="text1"/>
        </w:rPr>
      </w:pPr>
    </w:p>
    <w:p w14:paraId="3387466C"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The reconstruction involves:</w:t>
      </w:r>
    </w:p>
    <w:p w14:paraId="67A56011"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rebuilding damaged highway segments.</w:t>
      </w:r>
    </w:p>
    <w:p w14:paraId="4E636D47"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constructing resilient bridges and structural supports.</w:t>
      </w:r>
    </w:p>
    <w:p w14:paraId="5764155B"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stabilising slopes and preventing landslides.</w:t>
      </w:r>
    </w:p>
    <w:p w14:paraId="359438B9"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upgrading drainage systems.</w:t>
      </w:r>
    </w:p>
    <w:p w14:paraId="1250E3EE"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embedding climate-resilient engineering principles.</w:t>
      </w:r>
    </w:p>
    <w:p w14:paraId="4444E951" w14:textId="77777777" w:rsidR="007B0413" w:rsidRPr="00871AA8" w:rsidRDefault="007B0413" w:rsidP="007B0413">
      <w:pPr>
        <w:numPr>
          <w:ilvl w:val="0"/>
          <w:numId w:val="22"/>
        </w:numPr>
        <w:tabs>
          <w:tab w:val="left" w:pos="142"/>
        </w:tabs>
        <w:spacing w:line="360" w:lineRule="auto"/>
        <w:rPr>
          <w:rFonts w:ascii="Arial" w:hAnsi="Arial" w:cs="Arial"/>
          <w:color w:val="000000" w:themeColor="text1"/>
        </w:rPr>
      </w:pPr>
      <w:r w:rsidRPr="00871AA8">
        <w:rPr>
          <w:rFonts w:ascii="Arial" w:hAnsi="Arial" w:cs="Arial"/>
          <w:color w:val="000000" w:themeColor="text1"/>
        </w:rPr>
        <w:t>ensuring compliance with environmental and regulatory standards.</w:t>
      </w:r>
    </w:p>
    <w:p w14:paraId="22B7A9AF"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The project is divided into clearly defined PRINCE2 stages: Initiation, Planning, Construction, Monitoring &amp; Control, and Closure. Each stage requires approval from the Project Board before proceeding, ensuring that risk, cost, quality, and scope remain controlled.</w:t>
      </w:r>
    </w:p>
    <w:p w14:paraId="34C61B71" w14:textId="77777777" w:rsidR="007B0413" w:rsidRPr="00871AA8" w:rsidRDefault="007B0413" w:rsidP="007B0413">
      <w:pPr>
        <w:tabs>
          <w:tab w:val="left" w:pos="142"/>
        </w:tabs>
        <w:spacing w:line="360" w:lineRule="auto"/>
        <w:rPr>
          <w:rFonts w:ascii="Arial" w:hAnsi="Arial" w:cs="Arial"/>
          <w:color w:val="000000" w:themeColor="text1"/>
        </w:rPr>
      </w:pPr>
    </w:p>
    <w:p w14:paraId="353C6DBF" w14:textId="520EA83D" w:rsidR="007B0413" w:rsidRPr="00871AA8" w:rsidRDefault="007B0413" w:rsidP="00871AA8">
      <w:pPr>
        <w:pStyle w:val="Heading2"/>
        <w:rPr>
          <w:color w:val="000000" w:themeColor="text1"/>
        </w:rPr>
      </w:pPr>
      <w:bookmarkStart w:id="10" w:name="_Toc214099185"/>
      <w:r w:rsidRPr="00871AA8">
        <w:rPr>
          <w:color w:val="000000" w:themeColor="text1"/>
        </w:rPr>
        <w:lastRenderedPageBreak/>
        <w:t>3. Scope</w:t>
      </w:r>
      <w:bookmarkEnd w:id="10"/>
    </w:p>
    <w:p w14:paraId="6A4AFDB1" w14:textId="77777777" w:rsidR="007B0413" w:rsidRPr="00871AA8" w:rsidRDefault="007B0413" w:rsidP="00871AA8">
      <w:pPr>
        <w:pStyle w:val="Heading3"/>
        <w:rPr>
          <w:color w:val="000000" w:themeColor="text1"/>
        </w:rPr>
      </w:pPr>
      <w:bookmarkStart w:id="11" w:name="_Toc214099186"/>
      <w:r w:rsidRPr="00871AA8">
        <w:rPr>
          <w:color w:val="000000" w:themeColor="text1"/>
        </w:rPr>
        <w:t>3.1 In-Scope Activities</w:t>
      </w:r>
      <w:bookmarkEnd w:id="11"/>
    </w:p>
    <w:p w14:paraId="59F3702D"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Geotechnical assessment of damaged zones.</w:t>
      </w:r>
    </w:p>
    <w:p w14:paraId="6B23585E"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Reconstruction of washed-out highway segments.</w:t>
      </w:r>
    </w:p>
    <w:p w14:paraId="46020F2D"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Structural reinforcement of bridges and culverts.</w:t>
      </w:r>
    </w:p>
    <w:p w14:paraId="580D0318"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Implementation of upgraded drainage systems.</w:t>
      </w:r>
    </w:p>
    <w:p w14:paraId="063C9015"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Installation of protective barriers and slope-stabilisation systems.</w:t>
      </w:r>
    </w:p>
    <w:p w14:paraId="5C70195E"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Climate adaptation measures aligned with federal resilience guidelines.</w:t>
      </w:r>
    </w:p>
    <w:p w14:paraId="538A1DA3"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Development of a stakeholder communication plan.</w:t>
      </w:r>
    </w:p>
    <w:p w14:paraId="749FE508" w14:textId="77777777" w:rsidR="007B0413" w:rsidRPr="00871AA8" w:rsidRDefault="007B0413" w:rsidP="007B0413">
      <w:pPr>
        <w:numPr>
          <w:ilvl w:val="0"/>
          <w:numId w:val="10"/>
        </w:numPr>
        <w:tabs>
          <w:tab w:val="left" w:pos="142"/>
        </w:tabs>
        <w:spacing w:line="360" w:lineRule="auto"/>
        <w:rPr>
          <w:rFonts w:ascii="Arial" w:hAnsi="Arial" w:cs="Arial"/>
          <w:color w:val="000000" w:themeColor="text1"/>
        </w:rPr>
      </w:pPr>
      <w:r w:rsidRPr="00871AA8">
        <w:rPr>
          <w:rFonts w:ascii="Arial" w:hAnsi="Arial" w:cs="Arial"/>
          <w:color w:val="000000" w:themeColor="text1"/>
        </w:rPr>
        <w:t>Monitoring and evaluation of project outcomes.</w:t>
      </w:r>
    </w:p>
    <w:p w14:paraId="3522568C" w14:textId="77777777" w:rsidR="007B0413" w:rsidRPr="00871AA8" w:rsidRDefault="007B0413" w:rsidP="007B0413">
      <w:pPr>
        <w:tabs>
          <w:tab w:val="left" w:pos="142"/>
        </w:tabs>
        <w:spacing w:line="360" w:lineRule="auto"/>
        <w:ind w:left="720"/>
        <w:rPr>
          <w:rFonts w:ascii="Arial" w:hAnsi="Arial" w:cs="Arial"/>
          <w:color w:val="000000" w:themeColor="text1"/>
        </w:rPr>
      </w:pPr>
    </w:p>
    <w:p w14:paraId="015F0F68" w14:textId="77777777" w:rsidR="007B0413" w:rsidRPr="00871AA8" w:rsidRDefault="007B0413" w:rsidP="00871AA8">
      <w:pPr>
        <w:pStyle w:val="Heading3"/>
        <w:rPr>
          <w:color w:val="000000" w:themeColor="text1"/>
        </w:rPr>
      </w:pPr>
      <w:bookmarkStart w:id="12" w:name="_Toc214099187"/>
      <w:r w:rsidRPr="00871AA8">
        <w:rPr>
          <w:color w:val="000000" w:themeColor="text1"/>
        </w:rPr>
        <w:t>3.2 Out-of-Scope Activities</w:t>
      </w:r>
      <w:bookmarkEnd w:id="12"/>
    </w:p>
    <w:p w14:paraId="36DEB464" w14:textId="77777777" w:rsidR="007B0413" w:rsidRPr="00871AA8" w:rsidRDefault="007B0413" w:rsidP="007B0413">
      <w:pPr>
        <w:numPr>
          <w:ilvl w:val="0"/>
          <w:numId w:val="11"/>
        </w:numPr>
        <w:tabs>
          <w:tab w:val="left" w:pos="142"/>
        </w:tabs>
        <w:spacing w:line="360" w:lineRule="auto"/>
        <w:rPr>
          <w:rFonts w:ascii="Arial" w:hAnsi="Arial" w:cs="Arial"/>
          <w:color w:val="000000" w:themeColor="text1"/>
        </w:rPr>
      </w:pPr>
      <w:r w:rsidRPr="00871AA8">
        <w:rPr>
          <w:rFonts w:ascii="Arial" w:hAnsi="Arial" w:cs="Arial"/>
          <w:color w:val="000000" w:themeColor="text1"/>
        </w:rPr>
        <w:t>Reconstruction of unrelated transportation corridors.</w:t>
      </w:r>
    </w:p>
    <w:p w14:paraId="18BB2F3B" w14:textId="77777777" w:rsidR="007B0413" w:rsidRPr="00871AA8" w:rsidRDefault="007B0413" w:rsidP="007B0413">
      <w:pPr>
        <w:numPr>
          <w:ilvl w:val="0"/>
          <w:numId w:val="11"/>
        </w:numPr>
        <w:tabs>
          <w:tab w:val="left" w:pos="142"/>
        </w:tabs>
        <w:spacing w:line="360" w:lineRule="auto"/>
        <w:rPr>
          <w:rFonts w:ascii="Arial" w:hAnsi="Arial" w:cs="Arial"/>
          <w:color w:val="000000" w:themeColor="text1"/>
        </w:rPr>
      </w:pPr>
      <w:r w:rsidRPr="00871AA8">
        <w:rPr>
          <w:rFonts w:ascii="Arial" w:hAnsi="Arial" w:cs="Arial"/>
          <w:color w:val="000000" w:themeColor="text1"/>
        </w:rPr>
        <w:t>Broader provincial flood-mitigation planning.</w:t>
      </w:r>
    </w:p>
    <w:p w14:paraId="600FB3A3" w14:textId="77777777" w:rsidR="007B0413" w:rsidRPr="00871AA8" w:rsidRDefault="007B0413" w:rsidP="007B0413">
      <w:pPr>
        <w:numPr>
          <w:ilvl w:val="0"/>
          <w:numId w:val="11"/>
        </w:numPr>
        <w:tabs>
          <w:tab w:val="left" w:pos="142"/>
        </w:tabs>
        <w:spacing w:line="360" w:lineRule="auto"/>
        <w:rPr>
          <w:rFonts w:ascii="Arial" w:hAnsi="Arial" w:cs="Arial"/>
          <w:color w:val="000000" w:themeColor="text1"/>
        </w:rPr>
      </w:pPr>
      <w:r w:rsidRPr="00871AA8">
        <w:rPr>
          <w:rFonts w:ascii="Arial" w:hAnsi="Arial" w:cs="Arial"/>
          <w:color w:val="000000" w:themeColor="text1"/>
        </w:rPr>
        <w:t>Emergency relief services (already handled by government agencies).</w:t>
      </w:r>
    </w:p>
    <w:p w14:paraId="556B5FD0" w14:textId="77777777" w:rsidR="007B0413" w:rsidRPr="00871AA8" w:rsidRDefault="007B0413" w:rsidP="007B0413">
      <w:pPr>
        <w:numPr>
          <w:ilvl w:val="0"/>
          <w:numId w:val="11"/>
        </w:numPr>
        <w:tabs>
          <w:tab w:val="left" w:pos="142"/>
        </w:tabs>
        <w:spacing w:line="360" w:lineRule="auto"/>
        <w:rPr>
          <w:rFonts w:ascii="Arial" w:hAnsi="Arial" w:cs="Arial"/>
          <w:color w:val="000000" w:themeColor="text1"/>
        </w:rPr>
      </w:pPr>
      <w:r w:rsidRPr="00871AA8">
        <w:rPr>
          <w:rFonts w:ascii="Arial" w:hAnsi="Arial" w:cs="Arial"/>
          <w:color w:val="000000" w:themeColor="text1"/>
        </w:rPr>
        <w:t>Insurance assessments beyond the requirements of construction.</w:t>
      </w:r>
    </w:p>
    <w:p w14:paraId="1347821C" w14:textId="77777777" w:rsidR="007B0413" w:rsidRPr="00871AA8" w:rsidRDefault="007B0413" w:rsidP="007B0413">
      <w:pPr>
        <w:tabs>
          <w:tab w:val="left" w:pos="142"/>
        </w:tabs>
        <w:spacing w:line="360" w:lineRule="auto"/>
        <w:ind w:left="720"/>
        <w:rPr>
          <w:rFonts w:ascii="Arial" w:hAnsi="Arial" w:cs="Arial"/>
          <w:color w:val="000000" w:themeColor="text1"/>
        </w:rPr>
      </w:pPr>
    </w:p>
    <w:p w14:paraId="395733F4" w14:textId="77777777" w:rsidR="007B0413" w:rsidRPr="00871AA8" w:rsidRDefault="007B0413" w:rsidP="00871AA8">
      <w:pPr>
        <w:pStyle w:val="Heading3"/>
        <w:rPr>
          <w:color w:val="000000" w:themeColor="text1"/>
        </w:rPr>
      </w:pPr>
      <w:bookmarkStart w:id="13" w:name="_Toc214099188"/>
      <w:r w:rsidRPr="00871AA8">
        <w:rPr>
          <w:color w:val="000000" w:themeColor="text1"/>
        </w:rPr>
        <w:t>3.3 Scope Justification</w:t>
      </w:r>
      <w:bookmarkEnd w:id="13"/>
    </w:p>
    <w:p w14:paraId="6170F1ED"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Scope boundaries ensure that the project remains aligned with PRINCE2’s principle of continued business justification, limiting activity to what is necessary to reopen Highway 5 and address the risks posed by future climate events (Axelos, 2017).</w:t>
      </w:r>
    </w:p>
    <w:p w14:paraId="48D41AB4" w14:textId="77777777" w:rsidR="007B0413" w:rsidRPr="00871AA8" w:rsidRDefault="007B0413" w:rsidP="007B0413">
      <w:pPr>
        <w:tabs>
          <w:tab w:val="left" w:pos="142"/>
        </w:tabs>
        <w:spacing w:line="360" w:lineRule="auto"/>
        <w:rPr>
          <w:rFonts w:ascii="Arial" w:hAnsi="Arial" w:cs="Arial"/>
          <w:color w:val="000000" w:themeColor="text1"/>
        </w:rPr>
      </w:pPr>
    </w:p>
    <w:p w14:paraId="58EFEB57" w14:textId="77777777" w:rsidR="007B0413" w:rsidRPr="00871AA8" w:rsidRDefault="007B0413" w:rsidP="007B0413">
      <w:pPr>
        <w:tabs>
          <w:tab w:val="left" w:pos="142"/>
        </w:tabs>
        <w:spacing w:line="360" w:lineRule="auto"/>
        <w:rPr>
          <w:rFonts w:ascii="Arial" w:hAnsi="Arial" w:cs="Arial"/>
          <w:color w:val="000000" w:themeColor="text1"/>
        </w:rPr>
      </w:pPr>
    </w:p>
    <w:p w14:paraId="10B0368B" w14:textId="53293721" w:rsidR="007B0413" w:rsidRPr="00871AA8" w:rsidRDefault="007B0413" w:rsidP="00871AA8">
      <w:pPr>
        <w:pStyle w:val="Heading2"/>
        <w:rPr>
          <w:color w:val="000000" w:themeColor="text1"/>
        </w:rPr>
      </w:pPr>
      <w:bookmarkStart w:id="14" w:name="_Toc214099189"/>
      <w:r w:rsidRPr="00871AA8">
        <w:rPr>
          <w:color w:val="000000" w:themeColor="text1"/>
        </w:rPr>
        <w:t>4. Work Breakdown Structure (WBS)</w:t>
      </w:r>
      <w:bookmarkEnd w:id="14"/>
    </w:p>
    <w:p w14:paraId="613570CA" w14:textId="77777777" w:rsidR="007B0413" w:rsidRPr="00871AA8" w:rsidRDefault="007B0413" w:rsidP="00871AA8">
      <w:pPr>
        <w:pStyle w:val="Heading3"/>
        <w:rPr>
          <w:color w:val="000000" w:themeColor="text1"/>
        </w:rPr>
      </w:pPr>
      <w:bookmarkStart w:id="15" w:name="_Toc214099190"/>
      <w:r w:rsidRPr="00871AA8">
        <w:rPr>
          <w:color w:val="000000" w:themeColor="text1"/>
        </w:rPr>
        <w:t>Level 1: Highway 5 Post-Disaster Reconstruction Project</w:t>
      </w:r>
      <w:bookmarkEnd w:id="15"/>
    </w:p>
    <w:p w14:paraId="5A34EC38"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b/>
          <w:bCs/>
          <w:color w:val="000000" w:themeColor="text1"/>
        </w:rPr>
        <w:t>1. Project Initiation</w:t>
      </w:r>
      <w:r w:rsidRPr="00871AA8">
        <w:rPr>
          <w:rFonts w:ascii="Arial" w:hAnsi="Arial" w:cs="Arial"/>
          <w:color w:val="000000" w:themeColor="text1"/>
        </w:rPr>
        <w:br/>
        <w:t>1.1 Develop Project Brief</w:t>
      </w:r>
      <w:r w:rsidRPr="00871AA8">
        <w:rPr>
          <w:rFonts w:ascii="Arial" w:hAnsi="Arial" w:cs="Arial"/>
          <w:color w:val="000000" w:themeColor="text1"/>
        </w:rPr>
        <w:br/>
        <w:t>1.2 Appoint Project Board</w:t>
      </w:r>
      <w:r w:rsidRPr="00871AA8">
        <w:rPr>
          <w:rFonts w:ascii="Arial" w:hAnsi="Arial" w:cs="Arial"/>
          <w:color w:val="000000" w:themeColor="text1"/>
        </w:rPr>
        <w:br/>
      </w:r>
      <w:r w:rsidRPr="00871AA8">
        <w:rPr>
          <w:rFonts w:ascii="Arial" w:hAnsi="Arial" w:cs="Arial"/>
          <w:color w:val="000000" w:themeColor="text1"/>
        </w:rPr>
        <w:lastRenderedPageBreak/>
        <w:t>1.3 Initial Risk Assessment</w:t>
      </w:r>
      <w:r w:rsidRPr="00871AA8">
        <w:rPr>
          <w:rFonts w:ascii="Arial" w:hAnsi="Arial" w:cs="Arial"/>
          <w:color w:val="000000" w:themeColor="text1"/>
        </w:rPr>
        <w:br/>
        <w:t>1.4 Funding Approval (Government + Banks)</w:t>
      </w:r>
    </w:p>
    <w:p w14:paraId="3B56FD55" w14:textId="77777777" w:rsidR="007B0413" w:rsidRPr="00871AA8" w:rsidRDefault="007B0413" w:rsidP="007B0413">
      <w:pPr>
        <w:tabs>
          <w:tab w:val="left" w:pos="142"/>
        </w:tabs>
        <w:spacing w:line="360" w:lineRule="auto"/>
        <w:rPr>
          <w:rFonts w:ascii="Arial" w:hAnsi="Arial" w:cs="Arial"/>
          <w:color w:val="000000" w:themeColor="text1"/>
        </w:rPr>
      </w:pPr>
      <w:bookmarkStart w:id="16" w:name="_Toc214099191"/>
      <w:r w:rsidRPr="00871AA8">
        <w:rPr>
          <w:rStyle w:val="Heading3Char"/>
          <w:color w:val="000000" w:themeColor="text1"/>
        </w:rPr>
        <w:t>2. Planning Phase</w:t>
      </w:r>
      <w:bookmarkEnd w:id="16"/>
      <w:r w:rsidRPr="00871AA8">
        <w:rPr>
          <w:rFonts w:ascii="Arial" w:hAnsi="Arial" w:cs="Arial"/>
          <w:color w:val="000000" w:themeColor="text1"/>
        </w:rPr>
        <w:br/>
        <w:t>2.1 Detailed engineering surveys</w:t>
      </w:r>
      <w:r w:rsidRPr="00871AA8">
        <w:rPr>
          <w:rFonts w:ascii="Arial" w:hAnsi="Arial" w:cs="Arial"/>
          <w:color w:val="000000" w:themeColor="text1"/>
        </w:rPr>
        <w:br/>
        <w:t>2.2 Environmental impact assessment</w:t>
      </w:r>
      <w:r w:rsidRPr="00871AA8">
        <w:rPr>
          <w:rFonts w:ascii="Arial" w:hAnsi="Arial" w:cs="Arial"/>
          <w:color w:val="000000" w:themeColor="text1"/>
        </w:rPr>
        <w:br/>
        <w:t>2.3 Procurement planning</w:t>
      </w:r>
      <w:r w:rsidRPr="00871AA8">
        <w:rPr>
          <w:rFonts w:ascii="Arial" w:hAnsi="Arial" w:cs="Arial"/>
          <w:color w:val="000000" w:themeColor="text1"/>
        </w:rPr>
        <w:br/>
        <w:t>2.4 Stakeholder analysis and communication plan</w:t>
      </w:r>
      <w:r w:rsidRPr="00871AA8">
        <w:rPr>
          <w:rFonts w:ascii="Arial" w:hAnsi="Arial" w:cs="Arial"/>
          <w:color w:val="000000" w:themeColor="text1"/>
        </w:rPr>
        <w:br/>
        <w:t>2.5 Schedule and resource planning (Gantt)</w:t>
      </w:r>
    </w:p>
    <w:p w14:paraId="13416951" w14:textId="77777777" w:rsidR="007B0413" w:rsidRPr="00871AA8" w:rsidRDefault="007B0413" w:rsidP="007B0413">
      <w:pPr>
        <w:tabs>
          <w:tab w:val="left" w:pos="142"/>
        </w:tabs>
        <w:spacing w:line="360" w:lineRule="auto"/>
        <w:rPr>
          <w:rFonts w:ascii="Arial" w:hAnsi="Arial" w:cs="Arial"/>
          <w:color w:val="000000" w:themeColor="text1"/>
        </w:rPr>
      </w:pPr>
      <w:bookmarkStart w:id="17" w:name="_Toc214099192"/>
      <w:r w:rsidRPr="00871AA8">
        <w:rPr>
          <w:rStyle w:val="Heading3Char"/>
          <w:color w:val="000000" w:themeColor="text1"/>
        </w:rPr>
        <w:t>3. Construction Phase</w:t>
      </w:r>
      <w:bookmarkEnd w:id="17"/>
      <w:r w:rsidRPr="00871AA8">
        <w:rPr>
          <w:rFonts w:ascii="Arial" w:hAnsi="Arial" w:cs="Arial"/>
          <w:color w:val="000000" w:themeColor="text1"/>
        </w:rPr>
        <w:br/>
        <w:t>3.1 Site clearing and debris removal</w:t>
      </w:r>
      <w:r w:rsidRPr="00871AA8">
        <w:rPr>
          <w:rFonts w:ascii="Arial" w:hAnsi="Arial" w:cs="Arial"/>
          <w:color w:val="000000" w:themeColor="text1"/>
        </w:rPr>
        <w:br/>
        <w:t>3.2 Temporary access road creation</w:t>
      </w:r>
      <w:r w:rsidRPr="00871AA8">
        <w:rPr>
          <w:rFonts w:ascii="Arial" w:hAnsi="Arial" w:cs="Arial"/>
          <w:color w:val="000000" w:themeColor="text1"/>
        </w:rPr>
        <w:br/>
        <w:t>3.3 Slope rehabilitation</w:t>
      </w:r>
      <w:r w:rsidRPr="00871AA8">
        <w:rPr>
          <w:rFonts w:ascii="Arial" w:hAnsi="Arial" w:cs="Arial"/>
          <w:color w:val="000000" w:themeColor="text1"/>
        </w:rPr>
        <w:br/>
        <w:t>3.4 Structural rebuilding (bridges, retaining walls)</w:t>
      </w:r>
      <w:r w:rsidRPr="00871AA8">
        <w:rPr>
          <w:rFonts w:ascii="Arial" w:hAnsi="Arial" w:cs="Arial"/>
          <w:color w:val="000000" w:themeColor="text1"/>
        </w:rPr>
        <w:br/>
        <w:t>3.5 Pavement reconstruction</w:t>
      </w:r>
      <w:r w:rsidRPr="00871AA8">
        <w:rPr>
          <w:rFonts w:ascii="Arial" w:hAnsi="Arial" w:cs="Arial"/>
          <w:color w:val="000000" w:themeColor="text1"/>
        </w:rPr>
        <w:br/>
        <w:t>3.6 Drainage and climate-resilient upgrades</w:t>
      </w:r>
      <w:r w:rsidRPr="00871AA8">
        <w:rPr>
          <w:rFonts w:ascii="Arial" w:hAnsi="Arial" w:cs="Arial"/>
          <w:color w:val="000000" w:themeColor="text1"/>
        </w:rPr>
        <w:br/>
        <w:t>3.7 Quality assurance and inspections</w:t>
      </w:r>
    </w:p>
    <w:p w14:paraId="4F720E2F" w14:textId="77777777" w:rsidR="007B0413" w:rsidRPr="00871AA8" w:rsidRDefault="007B0413" w:rsidP="007B0413">
      <w:pPr>
        <w:tabs>
          <w:tab w:val="left" w:pos="142"/>
        </w:tabs>
        <w:spacing w:line="360" w:lineRule="auto"/>
        <w:rPr>
          <w:rFonts w:ascii="Arial" w:hAnsi="Arial" w:cs="Arial"/>
          <w:color w:val="000000" w:themeColor="text1"/>
        </w:rPr>
      </w:pPr>
      <w:bookmarkStart w:id="18" w:name="_Toc214099193"/>
      <w:r w:rsidRPr="00871AA8">
        <w:rPr>
          <w:rStyle w:val="Heading3Char"/>
          <w:color w:val="000000" w:themeColor="text1"/>
        </w:rPr>
        <w:t>4. Monitoring and Control</w:t>
      </w:r>
      <w:bookmarkEnd w:id="18"/>
      <w:r w:rsidRPr="00871AA8">
        <w:rPr>
          <w:rFonts w:ascii="Arial" w:hAnsi="Arial" w:cs="Arial"/>
          <w:color w:val="000000" w:themeColor="text1"/>
        </w:rPr>
        <w:br/>
        <w:t>4.1 Milestone tracking</w:t>
      </w:r>
      <w:r w:rsidRPr="00871AA8">
        <w:rPr>
          <w:rFonts w:ascii="Arial" w:hAnsi="Arial" w:cs="Arial"/>
          <w:color w:val="000000" w:themeColor="text1"/>
        </w:rPr>
        <w:br/>
        <w:t>4.2 Quality reviews</w:t>
      </w:r>
      <w:r w:rsidRPr="00871AA8">
        <w:rPr>
          <w:rFonts w:ascii="Arial" w:hAnsi="Arial" w:cs="Arial"/>
          <w:color w:val="000000" w:themeColor="text1"/>
        </w:rPr>
        <w:br/>
        <w:t>4.3 Risk monitoring</w:t>
      </w:r>
      <w:r w:rsidRPr="00871AA8">
        <w:rPr>
          <w:rFonts w:ascii="Arial" w:hAnsi="Arial" w:cs="Arial"/>
          <w:color w:val="000000" w:themeColor="text1"/>
        </w:rPr>
        <w:br/>
        <w:t>4.4 Stakeholder reporting</w:t>
      </w:r>
    </w:p>
    <w:p w14:paraId="6596FF08" w14:textId="77777777" w:rsidR="007B0413" w:rsidRPr="00871AA8" w:rsidRDefault="007B0413" w:rsidP="007B0413">
      <w:pPr>
        <w:tabs>
          <w:tab w:val="left" w:pos="142"/>
        </w:tabs>
        <w:spacing w:line="360" w:lineRule="auto"/>
        <w:rPr>
          <w:rFonts w:ascii="Arial" w:hAnsi="Arial" w:cs="Arial"/>
          <w:color w:val="000000" w:themeColor="text1"/>
        </w:rPr>
      </w:pPr>
      <w:bookmarkStart w:id="19" w:name="_Toc214099194"/>
      <w:r w:rsidRPr="00871AA8">
        <w:rPr>
          <w:rStyle w:val="Heading3Char"/>
          <w:color w:val="000000" w:themeColor="text1"/>
        </w:rPr>
        <w:t>5. Project Closure</w:t>
      </w:r>
      <w:bookmarkEnd w:id="19"/>
      <w:r w:rsidRPr="00871AA8">
        <w:rPr>
          <w:rFonts w:ascii="Arial" w:hAnsi="Arial" w:cs="Arial"/>
          <w:color w:val="000000" w:themeColor="text1"/>
        </w:rPr>
        <w:br/>
        <w:t>5.1 Handover to Transport Canada</w:t>
      </w:r>
      <w:r w:rsidRPr="00871AA8">
        <w:rPr>
          <w:rFonts w:ascii="Arial" w:hAnsi="Arial" w:cs="Arial"/>
          <w:color w:val="000000" w:themeColor="text1"/>
        </w:rPr>
        <w:br/>
        <w:t>5.2 Final audit</w:t>
      </w:r>
      <w:r w:rsidRPr="00871AA8">
        <w:rPr>
          <w:rFonts w:ascii="Arial" w:hAnsi="Arial" w:cs="Arial"/>
          <w:color w:val="000000" w:themeColor="text1"/>
        </w:rPr>
        <w:br/>
        <w:t>5.3 Lessons-learned documentation</w:t>
      </w:r>
      <w:r w:rsidRPr="00871AA8">
        <w:rPr>
          <w:rFonts w:ascii="Arial" w:hAnsi="Arial" w:cs="Arial"/>
          <w:color w:val="000000" w:themeColor="text1"/>
        </w:rPr>
        <w:br/>
        <w:t xml:space="preserve">5.4 </w:t>
      </w:r>
      <w:proofErr w:type="gramStart"/>
      <w:r w:rsidRPr="00871AA8">
        <w:rPr>
          <w:rFonts w:ascii="Arial" w:hAnsi="Arial" w:cs="Arial"/>
          <w:color w:val="000000" w:themeColor="text1"/>
        </w:rPr>
        <w:t>Post-project</w:t>
      </w:r>
      <w:proofErr w:type="gramEnd"/>
      <w:r w:rsidRPr="00871AA8">
        <w:rPr>
          <w:rFonts w:ascii="Arial" w:hAnsi="Arial" w:cs="Arial"/>
          <w:color w:val="000000" w:themeColor="text1"/>
        </w:rPr>
        <w:t xml:space="preserve"> evaluation</w:t>
      </w:r>
    </w:p>
    <w:p w14:paraId="6CC2CD90" w14:textId="77777777" w:rsidR="007B0413" w:rsidRPr="00871AA8" w:rsidRDefault="007B0413" w:rsidP="007B0413">
      <w:pPr>
        <w:tabs>
          <w:tab w:val="left" w:pos="142"/>
        </w:tabs>
        <w:spacing w:line="360" w:lineRule="auto"/>
        <w:rPr>
          <w:rFonts w:ascii="Arial" w:hAnsi="Arial" w:cs="Arial"/>
          <w:color w:val="000000" w:themeColor="text1"/>
        </w:rPr>
      </w:pPr>
    </w:p>
    <w:p w14:paraId="6E7F84FC" w14:textId="77777777" w:rsidR="007B0413" w:rsidRPr="00871AA8" w:rsidRDefault="007B0413" w:rsidP="007B0413">
      <w:pPr>
        <w:tabs>
          <w:tab w:val="left" w:pos="142"/>
        </w:tabs>
        <w:spacing w:line="360" w:lineRule="auto"/>
        <w:rPr>
          <w:rFonts w:ascii="Arial" w:hAnsi="Arial" w:cs="Arial"/>
          <w:color w:val="000000" w:themeColor="text1"/>
        </w:rPr>
      </w:pPr>
    </w:p>
    <w:p w14:paraId="63E08361" w14:textId="371D17D3" w:rsidR="007B0413" w:rsidRPr="00871AA8" w:rsidRDefault="007B0413" w:rsidP="00871AA8">
      <w:pPr>
        <w:pStyle w:val="Heading2"/>
        <w:rPr>
          <w:color w:val="000000" w:themeColor="text1"/>
        </w:rPr>
      </w:pPr>
      <w:bookmarkStart w:id="20" w:name="_Toc214099195"/>
      <w:r w:rsidRPr="00871AA8">
        <w:rPr>
          <w:color w:val="000000" w:themeColor="text1"/>
        </w:rPr>
        <w:t>5. Quad Chart</w:t>
      </w:r>
      <w:bookmarkEnd w:id="20"/>
    </w:p>
    <w:p w14:paraId="426A2D53" w14:textId="77777777" w:rsidR="007B0413" w:rsidRPr="00871AA8" w:rsidRDefault="007B0413" w:rsidP="007B0413">
      <w:pPr>
        <w:tabs>
          <w:tab w:val="left" w:pos="142"/>
        </w:tabs>
        <w:spacing w:line="360" w:lineRule="auto"/>
        <w:rPr>
          <w:rFonts w:ascii="Arial" w:hAnsi="Arial" w:cs="Arial"/>
          <w:b/>
          <w:bCs/>
          <w:color w:val="000000" w:themeColor="text1"/>
        </w:rPr>
      </w:pPr>
      <w:r w:rsidRPr="00871AA8">
        <w:rPr>
          <w:rFonts w:ascii="Arial" w:hAnsi="Arial" w:cs="Arial"/>
          <w:b/>
          <w:bCs/>
          <w:color w:val="000000" w:themeColor="text1"/>
        </w:rPr>
        <w:t>Project Title: Highway 5 Climate-Resilient Reconstruction Project</w:t>
      </w:r>
    </w:p>
    <w:p w14:paraId="7C53E12B" w14:textId="0BD9343E" w:rsidR="007B0413" w:rsidRPr="00871AA8" w:rsidRDefault="007B0413" w:rsidP="007B0413">
      <w:pPr>
        <w:tabs>
          <w:tab w:val="left" w:pos="142"/>
        </w:tabs>
        <w:spacing w:line="360" w:lineRule="auto"/>
        <w:rPr>
          <w:rFonts w:ascii="Arial" w:hAnsi="Arial" w:cs="Arial"/>
          <w:b/>
          <w:bCs/>
          <w:color w:val="000000" w:themeColor="text1"/>
        </w:rPr>
      </w:pPr>
      <w:r w:rsidRPr="00871AA8">
        <w:rPr>
          <w:rFonts w:ascii="Arial" w:hAnsi="Arial" w:cs="Arial"/>
          <w:b/>
          <w:bCs/>
          <w:color w:val="000000" w:themeColor="text1"/>
        </w:rPr>
        <w:t>Project Lead: Government of British Columbia</w:t>
      </w:r>
    </w:p>
    <w:tbl>
      <w:tblPr>
        <w:tblStyle w:val="TableGrid"/>
        <w:tblW w:w="0" w:type="auto"/>
        <w:tblLook w:val="04A0" w:firstRow="1" w:lastRow="0" w:firstColumn="1" w:lastColumn="0" w:noHBand="0" w:noVBand="1"/>
      </w:tblPr>
      <w:tblGrid>
        <w:gridCol w:w="5577"/>
        <w:gridCol w:w="3439"/>
      </w:tblGrid>
      <w:tr w:rsidR="00871AA8" w:rsidRPr="00871AA8" w14:paraId="61F81044" w14:textId="77777777" w:rsidTr="00B719AA">
        <w:tc>
          <w:tcPr>
            <w:tcW w:w="0" w:type="auto"/>
            <w:hideMark/>
          </w:tcPr>
          <w:p w14:paraId="36E50749"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lastRenderedPageBreak/>
              <w:t>Objectives</w:t>
            </w:r>
          </w:p>
        </w:tc>
        <w:tc>
          <w:tcPr>
            <w:tcW w:w="0" w:type="auto"/>
            <w:hideMark/>
          </w:tcPr>
          <w:p w14:paraId="0B5549AC"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Schedule</w:t>
            </w:r>
          </w:p>
        </w:tc>
      </w:tr>
      <w:tr w:rsidR="007B0413" w:rsidRPr="00871AA8" w14:paraId="25D3C53F" w14:textId="77777777" w:rsidTr="00B719AA">
        <w:trPr>
          <w:trHeight w:val="1888"/>
        </w:trPr>
        <w:tc>
          <w:tcPr>
            <w:tcW w:w="0" w:type="auto"/>
            <w:hideMark/>
          </w:tcPr>
          <w:p w14:paraId="0494F72B"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 xml:space="preserve">• Restore full freight mobility between Vancouver and Interior BC. </w:t>
            </w:r>
            <w:r w:rsidRPr="00871AA8">
              <w:rPr>
                <w:rFonts w:ascii="Arial" w:hAnsi="Arial" w:cs="Arial"/>
                <w:color w:val="000000" w:themeColor="text1"/>
              </w:rPr>
              <w:br/>
              <w:t xml:space="preserve">• Reduce long-term supply-chain disruptions. </w:t>
            </w:r>
            <w:r w:rsidRPr="00871AA8">
              <w:rPr>
                <w:rFonts w:ascii="Arial" w:hAnsi="Arial" w:cs="Arial"/>
                <w:color w:val="000000" w:themeColor="text1"/>
              </w:rPr>
              <w:br/>
              <w:t>• Integrate climate-resilient design.</w:t>
            </w:r>
          </w:p>
        </w:tc>
        <w:tc>
          <w:tcPr>
            <w:tcW w:w="0" w:type="auto"/>
            <w:hideMark/>
          </w:tcPr>
          <w:p w14:paraId="61DAE6C4"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 xml:space="preserve">• Phase 1: Assessment (Month 1–2) </w:t>
            </w:r>
            <w:r w:rsidRPr="00871AA8">
              <w:rPr>
                <w:rFonts w:ascii="Arial" w:hAnsi="Arial" w:cs="Arial"/>
                <w:color w:val="000000" w:themeColor="text1"/>
              </w:rPr>
              <w:br/>
              <w:t xml:space="preserve">• Phase 2: Planning (Month 2–3) </w:t>
            </w:r>
            <w:r w:rsidRPr="00871AA8">
              <w:rPr>
                <w:rFonts w:ascii="Arial" w:hAnsi="Arial" w:cs="Arial"/>
                <w:color w:val="000000" w:themeColor="text1"/>
              </w:rPr>
              <w:br/>
              <w:t xml:space="preserve">• Phase 3: Construction (Month 3–18) </w:t>
            </w:r>
            <w:r w:rsidRPr="00871AA8">
              <w:rPr>
                <w:rFonts w:ascii="Arial" w:hAnsi="Arial" w:cs="Arial"/>
                <w:color w:val="000000" w:themeColor="text1"/>
              </w:rPr>
              <w:br/>
              <w:t>• Phase 4: Handover (Month 19–20)</w:t>
            </w:r>
          </w:p>
        </w:tc>
      </w:tr>
    </w:tbl>
    <w:p w14:paraId="4842C5C6" w14:textId="77777777" w:rsidR="007B0413" w:rsidRPr="00871AA8" w:rsidRDefault="007B0413" w:rsidP="007B0413">
      <w:pPr>
        <w:tabs>
          <w:tab w:val="left" w:pos="142"/>
        </w:tabs>
        <w:spacing w:line="360" w:lineRule="auto"/>
        <w:rPr>
          <w:rFonts w:ascii="Arial" w:hAnsi="Arial" w:cs="Arial"/>
          <w:vanish/>
          <w:color w:val="000000" w:themeColor="text1"/>
        </w:rPr>
      </w:pPr>
    </w:p>
    <w:tbl>
      <w:tblPr>
        <w:tblStyle w:val="PlainTable5"/>
        <w:tblW w:w="0" w:type="auto"/>
        <w:tblLook w:val="04E0" w:firstRow="1" w:lastRow="1" w:firstColumn="1" w:lastColumn="0" w:noHBand="0" w:noVBand="1"/>
      </w:tblPr>
      <w:tblGrid>
        <w:gridCol w:w="9016"/>
      </w:tblGrid>
      <w:tr w:rsidR="00871AA8" w:rsidRPr="00871AA8" w14:paraId="50D2E1A3" w14:textId="77777777" w:rsidTr="00B719A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Style w:val="TableGrid"/>
              <w:tblW w:w="0" w:type="auto"/>
              <w:tblLook w:val="04A0" w:firstRow="1" w:lastRow="0" w:firstColumn="1" w:lastColumn="0" w:noHBand="0" w:noVBand="1"/>
            </w:tblPr>
            <w:tblGrid>
              <w:gridCol w:w="6167"/>
              <w:gridCol w:w="2623"/>
            </w:tblGrid>
            <w:tr w:rsidR="00871AA8" w:rsidRPr="00871AA8" w14:paraId="071B0AD4" w14:textId="77777777" w:rsidTr="00B719AA">
              <w:tc>
                <w:tcPr>
                  <w:tcW w:w="0" w:type="auto"/>
                  <w:hideMark/>
                </w:tcPr>
                <w:p w14:paraId="44AA0622"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Cost &amp; Resources</w:t>
                  </w:r>
                </w:p>
              </w:tc>
              <w:tc>
                <w:tcPr>
                  <w:tcW w:w="0" w:type="auto"/>
                  <w:hideMark/>
                </w:tcPr>
                <w:p w14:paraId="49BA31F3"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Risks</w:t>
                  </w:r>
                </w:p>
              </w:tc>
            </w:tr>
            <w:tr w:rsidR="00871AA8" w:rsidRPr="00871AA8" w14:paraId="0DC3B028" w14:textId="77777777" w:rsidTr="00B719AA">
              <w:tc>
                <w:tcPr>
                  <w:tcW w:w="0" w:type="auto"/>
                  <w:hideMark/>
                </w:tcPr>
                <w:p w14:paraId="337B086F"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 xml:space="preserve">• Estimated cost: CAD $1.2–1.6 billion (based on comparable Canadian infrastructure projects). </w:t>
                  </w:r>
                  <w:r w:rsidRPr="00871AA8">
                    <w:rPr>
                      <w:rFonts w:ascii="Arial" w:hAnsi="Arial" w:cs="Arial"/>
                      <w:color w:val="000000" w:themeColor="text1"/>
                    </w:rPr>
                    <w:br/>
                    <w:t xml:space="preserve">• Funding: Government + commercial banking partners (e.g., HSBC Canada for infrastructure lending). </w:t>
                  </w:r>
                  <w:r w:rsidRPr="00871AA8">
                    <w:rPr>
                      <w:rFonts w:ascii="Arial" w:hAnsi="Arial" w:cs="Arial"/>
                      <w:color w:val="000000" w:themeColor="text1"/>
                    </w:rPr>
                    <w:br/>
                    <w:t>• Resources: Engineers, contractors, geotechnical experts, heavy machinery.</w:t>
                  </w:r>
                </w:p>
              </w:tc>
              <w:tc>
                <w:tcPr>
                  <w:tcW w:w="0" w:type="auto"/>
                  <w:hideMark/>
                </w:tcPr>
                <w:p w14:paraId="11FF649E"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 xml:space="preserve">• Extreme weather delays </w:t>
                  </w:r>
                  <w:r w:rsidRPr="00871AA8">
                    <w:rPr>
                      <w:rFonts w:ascii="Arial" w:hAnsi="Arial" w:cs="Arial"/>
                      <w:color w:val="000000" w:themeColor="text1"/>
                    </w:rPr>
                    <w:br/>
                    <w:t xml:space="preserve">• Funding volatility </w:t>
                  </w:r>
                  <w:r w:rsidRPr="00871AA8">
                    <w:rPr>
                      <w:rFonts w:ascii="Arial" w:hAnsi="Arial" w:cs="Arial"/>
                      <w:color w:val="000000" w:themeColor="text1"/>
                    </w:rPr>
                    <w:br/>
                    <w:t xml:space="preserve">• Supply-chain shortages </w:t>
                  </w:r>
                  <w:r w:rsidRPr="00871AA8">
                    <w:rPr>
                      <w:rFonts w:ascii="Arial" w:hAnsi="Arial" w:cs="Arial"/>
                      <w:color w:val="000000" w:themeColor="text1"/>
                    </w:rPr>
                    <w:br/>
                    <w:t>• Environmental regulation delays</w:t>
                  </w:r>
                </w:p>
              </w:tc>
            </w:tr>
          </w:tbl>
          <w:p w14:paraId="2749AF32" w14:textId="77777777" w:rsidR="007B0413" w:rsidRPr="00871AA8" w:rsidRDefault="007B0413" w:rsidP="007B0413">
            <w:pPr>
              <w:tabs>
                <w:tab w:val="left" w:pos="142"/>
              </w:tabs>
              <w:spacing w:line="360" w:lineRule="auto"/>
              <w:rPr>
                <w:rFonts w:ascii="Arial" w:hAnsi="Arial" w:cs="Arial"/>
                <w:color w:val="000000" w:themeColor="text1"/>
              </w:rPr>
            </w:pPr>
          </w:p>
        </w:tc>
      </w:tr>
    </w:tbl>
    <w:p w14:paraId="45270733" w14:textId="77777777" w:rsidR="007B0413" w:rsidRPr="00871AA8" w:rsidRDefault="007B0413" w:rsidP="007B0413">
      <w:pPr>
        <w:tabs>
          <w:tab w:val="left" w:pos="142"/>
        </w:tabs>
        <w:spacing w:line="360" w:lineRule="auto"/>
        <w:rPr>
          <w:rFonts w:ascii="Arial" w:hAnsi="Arial" w:cs="Arial"/>
          <w:color w:val="000000" w:themeColor="text1"/>
        </w:rPr>
      </w:pPr>
    </w:p>
    <w:p w14:paraId="054C1954" w14:textId="77777777" w:rsidR="007B0413" w:rsidRPr="00871AA8" w:rsidRDefault="007B0413" w:rsidP="00871AA8">
      <w:pPr>
        <w:pStyle w:val="Heading2"/>
        <w:rPr>
          <w:color w:val="000000" w:themeColor="text1"/>
        </w:rPr>
      </w:pPr>
      <w:bookmarkStart w:id="21" w:name="_Toc214099196"/>
      <w:r w:rsidRPr="00871AA8">
        <w:rPr>
          <w:color w:val="000000" w:themeColor="text1"/>
        </w:rPr>
        <w:t>6. Gantt Chart</w:t>
      </w:r>
      <w:bookmarkEnd w:id="21"/>
      <w:r w:rsidRPr="00871AA8">
        <w:rPr>
          <w:color w:val="000000" w:themeColor="text1"/>
        </w:rPr>
        <w:t xml:space="preserve"> </w:t>
      </w:r>
    </w:p>
    <w:p w14:paraId="53747146" w14:textId="77777777" w:rsidR="007B0413" w:rsidRPr="00871AA8" w:rsidRDefault="007B0413" w:rsidP="007B0413">
      <w:pPr>
        <w:tabs>
          <w:tab w:val="left" w:pos="142"/>
        </w:tabs>
        <w:spacing w:line="360" w:lineRule="auto"/>
        <w:rPr>
          <w:rFonts w:ascii="Arial" w:hAnsi="Arial" w:cs="Arial"/>
          <w:color w:val="000000" w:themeColor="text1"/>
        </w:rPr>
      </w:pPr>
    </w:p>
    <w:tbl>
      <w:tblPr>
        <w:tblStyle w:val="PlainTable5"/>
        <w:tblW w:w="0" w:type="auto"/>
        <w:tblLook w:val="04A0" w:firstRow="1" w:lastRow="0" w:firstColumn="1" w:lastColumn="0" w:noHBand="0" w:noVBand="1"/>
      </w:tblPr>
      <w:tblGrid>
        <w:gridCol w:w="2627"/>
        <w:gridCol w:w="1059"/>
        <w:gridCol w:w="748"/>
        <w:gridCol w:w="1545"/>
        <w:gridCol w:w="1014"/>
        <w:gridCol w:w="767"/>
        <w:gridCol w:w="633"/>
        <w:gridCol w:w="633"/>
      </w:tblGrid>
      <w:tr w:rsidR="00871AA8" w:rsidRPr="00871AA8" w14:paraId="15406AB4" w14:textId="77777777" w:rsidTr="00B719A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52A6864" w14:textId="77777777" w:rsidR="007B0413" w:rsidRPr="00871AA8" w:rsidRDefault="007B0413" w:rsidP="007B0413">
            <w:pPr>
              <w:tabs>
                <w:tab w:val="left" w:pos="142"/>
              </w:tabs>
              <w:spacing w:line="360" w:lineRule="auto"/>
              <w:rPr>
                <w:rFonts w:ascii="Arial" w:hAnsi="Arial" w:cs="Arial"/>
                <w:b/>
                <w:bCs/>
                <w:color w:val="000000" w:themeColor="text1"/>
              </w:rPr>
            </w:pPr>
            <w:r w:rsidRPr="00871AA8">
              <w:rPr>
                <w:rFonts w:ascii="Arial" w:hAnsi="Arial" w:cs="Arial"/>
                <w:b/>
                <w:bCs/>
                <w:color w:val="000000" w:themeColor="text1"/>
              </w:rPr>
              <w:t>Phase</w:t>
            </w:r>
          </w:p>
        </w:tc>
        <w:tc>
          <w:tcPr>
            <w:tcW w:w="0" w:type="auto"/>
            <w:hideMark/>
          </w:tcPr>
          <w:p w14:paraId="36F395A0"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Month 0-3</w:t>
            </w:r>
          </w:p>
        </w:tc>
        <w:tc>
          <w:tcPr>
            <w:tcW w:w="0" w:type="auto"/>
            <w:hideMark/>
          </w:tcPr>
          <w:p w14:paraId="39BFF809"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4-6</w:t>
            </w:r>
          </w:p>
        </w:tc>
        <w:tc>
          <w:tcPr>
            <w:tcW w:w="0" w:type="auto"/>
            <w:hideMark/>
          </w:tcPr>
          <w:p w14:paraId="149B541A"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7-12</w:t>
            </w:r>
          </w:p>
        </w:tc>
        <w:tc>
          <w:tcPr>
            <w:tcW w:w="0" w:type="auto"/>
            <w:hideMark/>
          </w:tcPr>
          <w:p w14:paraId="25F63354"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13-18</w:t>
            </w:r>
          </w:p>
        </w:tc>
        <w:tc>
          <w:tcPr>
            <w:tcW w:w="0" w:type="auto"/>
            <w:hideMark/>
          </w:tcPr>
          <w:p w14:paraId="711BD4BC"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19-24</w:t>
            </w:r>
          </w:p>
        </w:tc>
        <w:tc>
          <w:tcPr>
            <w:tcW w:w="0" w:type="auto"/>
            <w:hideMark/>
          </w:tcPr>
          <w:p w14:paraId="53BD2B7A"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25-30</w:t>
            </w:r>
          </w:p>
        </w:tc>
        <w:tc>
          <w:tcPr>
            <w:tcW w:w="0" w:type="auto"/>
            <w:hideMark/>
          </w:tcPr>
          <w:p w14:paraId="1B39D8D7" w14:textId="77777777" w:rsidR="007B0413" w:rsidRPr="00871AA8" w:rsidRDefault="007B0413" w:rsidP="007B0413">
            <w:pPr>
              <w:tabs>
                <w:tab w:val="left" w:pos="142"/>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871AA8">
              <w:rPr>
                <w:rFonts w:ascii="Arial" w:hAnsi="Arial" w:cs="Arial"/>
                <w:b/>
                <w:bCs/>
                <w:color w:val="000000" w:themeColor="text1"/>
              </w:rPr>
              <w:t>31-36</w:t>
            </w:r>
          </w:p>
        </w:tc>
      </w:tr>
      <w:tr w:rsidR="00871AA8" w:rsidRPr="00871AA8" w14:paraId="3C674DBE" w14:textId="77777777" w:rsidTr="00B71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A3083"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Initiation</w:t>
            </w:r>
          </w:p>
        </w:tc>
        <w:tc>
          <w:tcPr>
            <w:tcW w:w="0" w:type="auto"/>
            <w:hideMark/>
          </w:tcPr>
          <w:p w14:paraId="3034097A"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575C58C6"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0CC67A66"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3552660F"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35222079"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79447F52"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53D563ED"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871AA8" w:rsidRPr="00871AA8" w14:paraId="5EE4A04C" w14:textId="77777777" w:rsidTr="00B719AA">
        <w:tc>
          <w:tcPr>
            <w:cnfStyle w:val="001000000000" w:firstRow="0" w:lastRow="0" w:firstColumn="1" w:lastColumn="0" w:oddVBand="0" w:evenVBand="0" w:oddHBand="0" w:evenHBand="0" w:firstRowFirstColumn="0" w:firstRowLastColumn="0" w:lastRowFirstColumn="0" w:lastRowLastColumn="0"/>
            <w:tcW w:w="0" w:type="auto"/>
            <w:hideMark/>
          </w:tcPr>
          <w:p w14:paraId="621E5946"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Planning</w:t>
            </w:r>
          </w:p>
        </w:tc>
        <w:tc>
          <w:tcPr>
            <w:tcW w:w="0" w:type="auto"/>
            <w:hideMark/>
          </w:tcPr>
          <w:p w14:paraId="4153B7CF"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43BF50D2"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1D8C7337"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302CC02D"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3FD544DB"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73BF5C79"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0F4B82C6"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871AA8" w:rsidRPr="00871AA8" w14:paraId="6F487831" w14:textId="77777777" w:rsidTr="00B71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E6708F"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Construction (Bridges/Corridors)</w:t>
            </w:r>
          </w:p>
        </w:tc>
        <w:tc>
          <w:tcPr>
            <w:tcW w:w="0" w:type="auto"/>
            <w:hideMark/>
          </w:tcPr>
          <w:p w14:paraId="3A78D579"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48A24D49"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157BCA8E"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491665AE"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7B47919C"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03A9FFDE"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2BC9943B"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871AA8" w:rsidRPr="00871AA8" w14:paraId="66C79BB9" w14:textId="77777777" w:rsidTr="00B719AA">
        <w:tc>
          <w:tcPr>
            <w:cnfStyle w:val="001000000000" w:firstRow="0" w:lastRow="0" w:firstColumn="1" w:lastColumn="0" w:oddVBand="0" w:evenVBand="0" w:oddHBand="0" w:evenHBand="0" w:firstRowFirstColumn="0" w:firstRowLastColumn="0" w:lastRowFirstColumn="0" w:lastRowLastColumn="0"/>
            <w:tcW w:w="0" w:type="auto"/>
            <w:hideMark/>
          </w:tcPr>
          <w:p w14:paraId="4A37EB0F"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Pavement &amp; Drainage</w:t>
            </w:r>
          </w:p>
        </w:tc>
        <w:tc>
          <w:tcPr>
            <w:tcW w:w="0" w:type="auto"/>
            <w:hideMark/>
          </w:tcPr>
          <w:p w14:paraId="5E4170A5"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0F8B4DC0"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6E327020"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2004705E"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6557799F"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67E1C0CB"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5AAE2B7F"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871AA8" w:rsidRPr="00871AA8" w14:paraId="43DEE478" w14:textId="77777777" w:rsidTr="00B71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DFA53"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Testing &amp; Commissioning</w:t>
            </w:r>
          </w:p>
        </w:tc>
        <w:tc>
          <w:tcPr>
            <w:tcW w:w="0" w:type="auto"/>
            <w:hideMark/>
          </w:tcPr>
          <w:p w14:paraId="37690E21"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544FE8DF"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18A58789"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214D420D"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2BEBB7CD"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0" w:type="auto"/>
            <w:hideMark/>
          </w:tcPr>
          <w:p w14:paraId="0CF70D77"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c>
          <w:tcPr>
            <w:tcW w:w="0" w:type="auto"/>
            <w:hideMark/>
          </w:tcPr>
          <w:p w14:paraId="7CCC4779" w14:textId="77777777" w:rsidR="007B0413" w:rsidRPr="00871AA8" w:rsidRDefault="007B0413" w:rsidP="007B0413">
            <w:pPr>
              <w:tabs>
                <w:tab w:val="left" w:pos="14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871AA8" w:rsidRPr="00871AA8" w14:paraId="0075FB42" w14:textId="77777777" w:rsidTr="00B719AA">
        <w:tc>
          <w:tcPr>
            <w:cnfStyle w:val="001000000000" w:firstRow="0" w:lastRow="0" w:firstColumn="1" w:lastColumn="0" w:oddVBand="0" w:evenVBand="0" w:oddHBand="0" w:evenHBand="0" w:firstRowFirstColumn="0" w:firstRowLastColumn="0" w:lastRowFirstColumn="0" w:lastRowLastColumn="0"/>
            <w:tcW w:w="0" w:type="auto"/>
            <w:hideMark/>
          </w:tcPr>
          <w:p w14:paraId="58EF9EA4"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Closure &amp; Evaluation</w:t>
            </w:r>
          </w:p>
        </w:tc>
        <w:tc>
          <w:tcPr>
            <w:tcW w:w="0" w:type="auto"/>
            <w:hideMark/>
          </w:tcPr>
          <w:p w14:paraId="7BA5EB9E"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274CF7C6"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4ECA25A5"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3C13060E"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40DC1C21"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572FFE0C"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14:paraId="6731E6F4" w14:textId="77777777" w:rsidR="007B0413" w:rsidRPr="00871AA8" w:rsidRDefault="007B0413" w:rsidP="007B0413">
            <w:pPr>
              <w:tabs>
                <w:tab w:val="left" w:pos="142"/>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w:t>
            </w:r>
          </w:p>
        </w:tc>
      </w:tr>
    </w:tbl>
    <w:p w14:paraId="05D9C268" w14:textId="38F21EA4" w:rsidR="007B0413" w:rsidRPr="00871AA8" w:rsidRDefault="007B0413" w:rsidP="007B0413">
      <w:pPr>
        <w:tabs>
          <w:tab w:val="left" w:pos="142"/>
        </w:tabs>
        <w:spacing w:line="360" w:lineRule="auto"/>
        <w:rPr>
          <w:rFonts w:ascii="Arial" w:hAnsi="Arial" w:cs="Arial"/>
          <w:color w:val="000000" w:themeColor="text1"/>
        </w:rPr>
      </w:pPr>
    </w:p>
    <w:p w14:paraId="0E03D0F9" w14:textId="77777777" w:rsidR="007B0413" w:rsidRPr="00871AA8" w:rsidRDefault="007B0413" w:rsidP="00871AA8">
      <w:pPr>
        <w:pStyle w:val="Heading2"/>
        <w:rPr>
          <w:color w:val="000000" w:themeColor="text1"/>
        </w:rPr>
      </w:pPr>
      <w:bookmarkStart w:id="22" w:name="_Toc214099197"/>
      <w:r w:rsidRPr="00871AA8">
        <w:rPr>
          <w:color w:val="000000" w:themeColor="text1"/>
        </w:rPr>
        <w:t>7. Stakeholders’ Involvement</w:t>
      </w:r>
      <w:bookmarkEnd w:id="22"/>
    </w:p>
    <w:p w14:paraId="437494FB"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Effective stakeholder management is central to the successful delivery of large infrastructure projects. According to the PMBOK Guide, stakeholders are “individuals, groups or organisations who may affect, be affected by, or perceive themselves to be affected by a project decision or outcome” (PMI, 2021). PRINCE2 reinforces this view by emphasising that stakeholders must be clearly identified, engaged, and communicated with through structured governance and defined responsibilities (Axelos, 2017). In the context of the Highway 5 reconstruction project, stakeholders hold different levels of authority, interest, expectations, and influence. The project management approach must therefore ensure that each stakeholder’s needs are understood and addressed appropriately.</w:t>
      </w:r>
    </w:p>
    <w:p w14:paraId="6A8447AF"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Given the scale and national importance of the reconstruction effort, stakeholder involvement is not merely beneficial—it is essential to securing funding, obtaining regulatory compliance, maintaining public trust, and ensuring on-time delivery. The catastrophic damage to Highway 5 affected multiple sectors, including government, logistics, finance, construction, and local communities. Coordinating their roles effectively supports the PRINCE2 principles of continued business justification, defined roles and responsibilities, and management by stages.</w:t>
      </w:r>
    </w:p>
    <w:p w14:paraId="6FBEF0FE" w14:textId="77777777" w:rsidR="007B0413" w:rsidRPr="00871AA8" w:rsidRDefault="007B0413" w:rsidP="007B0413">
      <w:pPr>
        <w:tabs>
          <w:tab w:val="left" w:pos="142"/>
        </w:tabs>
        <w:spacing w:line="360" w:lineRule="auto"/>
        <w:jc w:val="both"/>
        <w:rPr>
          <w:rFonts w:ascii="Arial" w:hAnsi="Arial" w:cs="Arial"/>
          <w:color w:val="000000" w:themeColor="text1"/>
        </w:rPr>
      </w:pPr>
    </w:p>
    <w:p w14:paraId="0B303A1C" w14:textId="77777777" w:rsidR="007B0413" w:rsidRPr="00871AA8" w:rsidRDefault="007B0413" w:rsidP="00871AA8">
      <w:pPr>
        <w:pStyle w:val="Heading3"/>
        <w:rPr>
          <w:color w:val="000000" w:themeColor="text1"/>
        </w:rPr>
      </w:pPr>
      <w:bookmarkStart w:id="23" w:name="_Toc214099198"/>
      <w:r w:rsidRPr="00871AA8">
        <w:rPr>
          <w:color w:val="000000" w:themeColor="text1"/>
        </w:rPr>
        <w:t>7.1 Key Stakeholders</w:t>
      </w:r>
      <w:bookmarkEnd w:id="23"/>
    </w:p>
    <w:p w14:paraId="54320522"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A detailed review of the project environment highlights the following key stakeholder groups:</w:t>
      </w:r>
    </w:p>
    <w:p w14:paraId="1DFBD5B3"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Government of British Columbia (Primary Sponsor)</w:t>
      </w:r>
    </w:p>
    <w:p w14:paraId="61420087"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The provincial government is the primary decision-maker and funding authority. It has high power and high interest in the project, as reconstruction directly affects economic stability, public safety, and provincial mobility. It also oversees legal and administrative approvals.</w:t>
      </w:r>
    </w:p>
    <w:p w14:paraId="3C1B2657"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Transport Canada</w:t>
      </w:r>
    </w:p>
    <w:p w14:paraId="789AB5A3"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Transport Canada is responsible for ensuring that the reconstructed highway meets national transportation standards. It will ultimately receive the completed infrastructure, making it a critical stakeholder with significant oversight responsibilities.</w:t>
      </w:r>
    </w:p>
    <w:p w14:paraId="5B939F07" w14:textId="77777777" w:rsidR="007B0413" w:rsidRPr="00871AA8" w:rsidRDefault="007B0413" w:rsidP="007B0413">
      <w:pPr>
        <w:tabs>
          <w:tab w:val="left" w:pos="142"/>
        </w:tabs>
        <w:spacing w:line="360" w:lineRule="auto"/>
        <w:jc w:val="both"/>
        <w:rPr>
          <w:rFonts w:ascii="Arial" w:hAnsi="Arial" w:cs="Arial"/>
          <w:color w:val="000000" w:themeColor="text1"/>
        </w:rPr>
      </w:pPr>
    </w:p>
    <w:p w14:paraId="065A0677" w14:textId="77777777" w:rsidR="007B0413" w:rsidRPr="00871AA8" w:rsidRDefault="007B0413" w:rsidP="007B0413">
      <w:pPr>
        <w:tabs>
          <w:tab w:val="left" w:pos="142"/>
        </w:tabs>
        <w:spacing w:line="360" w:lineRule="auto"/>
        <w:jc w:val="both"/>
        <w:rPr>
          <w:rFonts w:ascii="Arial" w:hAnsi="Arial" w:cs="Arial"/>
          <w:color w:val="000000" w:themeColor="text1"/>
        </w:rPr>
      </w:pPr>
    </w:p>
    <w:p w14:paraId="62372CD8"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lastRenderedPageBreak/>
        <w:t>Commercial Banks (e.g., HSBC Canada)</w:t>
      </w:r>
    </w:p>
    <w:p w14:paraId="79C03368"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Banks provide essential financial support and long-term capital through infrastructure financing instruments. As funding stakeholders, they have high power due to their financial influence, but varying levels of interest depending on loan structures and risk exposure.</w:t>
      </w:r>
    </w:p>
    <w:p w14:paraId="5D810DEC"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Construction and Engineering Contractors</w:t>
      </w:r>
    </w:p>
    <w:p w14:paraId="3AFFFB5D"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These stakeholders execute the technical work, including engineering design, geotechnical assessment, bridge reconstruction, slope stabilisation, and drainage enhancements. Their performance directly determines project quality and schedule adherence.</w:t>
      </w:r>
    </w:p>
    <w:p w14:paraId="095AF674"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Environmental and Regulatory Agencies</w:t>
      </w:r>
    </w:p>
    <w:p w14:paraId="01AD878D"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Environmental agencies ensure compliance with national and provincial environmental standards. Their role is crucial in approving environmental-impact assessments and monitoring ecological impacts throughout construction.</w:t>
      </w:r>
    </w:p>
    <w:p w14:paraId="7935E3AB"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Local Communities and Municipalities</w:t>
      </w:r>
    </w:p>
    <w:p w14:paraId="236C00D9"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Communities near the affected corridor experienced disruptions during and after the disaster. They hold vital local knowledge about land use, environmental conditions, and social impacts. Their interest is high because reconstruction affects safety, noise levels, travel times, and economic activity.</w:t>
      </w:r>
    </w:p>
    <w:p w14:paraId="01695AA1"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Freight and Logistics Companies</w:t>
      </w:r>
    </w:p>
    <w:p w14:paraId="41C68524"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As primary users of Highway 5, logistics companies rely on timely reopening to maintain supply-chain flows. Their operational requirements help inform project priorities, timing, and lane management.</w:t>
      </w:r>
    </w:p>
    <w:p w14:paraId="77EE87D3"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Insurance Bureau of Canada</w:t>
      </w:r>
    </w:p>
    <w:p w14:paraId="14DD957A"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While not directly involved in construction, the Insurance Bureau monitors national infrastructure risks. It provides important insights into disaster vulnerability trends and influences risk-related policy discussions.</w:t>
      </w:r>
    </w:p>
    <w:p w14:paraId="13BC2B7C"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Together, these stakeholders form a complex network requiring structured engagement to ensure transparency, accountability, and alignment of expectations.</w:t>
      </w:r>
    </w:p>
    <w:p w14:paraId="34DCF66F" w14:textId="77777777" w:rsidR="007B0413" w:rsidRPr="00871AA8" w:rsidRDefault="007B0413" w:rsidP="00871AA8">
      <w:pPr>
        <w:pStyle w:val="Heading3"/>
        <w:rPr>
          <w:color w:val="000000" w:themeColor="text1"/>
        </w:rPr>
      </w:pPr>
      <w:bookmarkStart w:id="24" w:name="_Toc214099199"/>
      <w:r w:rsidRPr="00871AA8">
        <w:rPr>
          <w:color w:val="000000" w:themeColor="text1"/>
        </w:rPr>
        <w:t>7.2 Stakeholder Definition in the Context of This Project</w:t>
      </w:r>
      <w:bookmarkEnd w:id="24"/>
    </w:p>
    <w:p w14:paraId="1BE6D79E"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 xml:space="preserve">Within the Highway 5 reconstruction project, stakeholders can be defined as any entity that has an interest in, influence over, or is impacted by the reconstruction of the highway, whether through direct involvement (e.g., contractors), regulatory power (e.g., environmental </w:t>
      </w:r>
      <w:r w:rsidRPr="00871AA8">
        <w:rPr>
          <w:rFonts w:ascii="Arial" w:hAnsi="Arial" w:cs="Arial"/>
          <w:color w:val="000000" w:themeColor="text1"/>
        </w:rPr>
        <w:lastRenderedPageBreak/>
        <w:t>agencies), strategic interest (e.g., government and banks), or practical reliance (e.g., freight companies and local communities).</w:t>
      </w:r>
    </w:p>
    <w:p w14:paraId="01EA9355"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This definition aligns with international project-management standards and acknowledges the multi-sectoral nature of post-disaster infrastructure restoration.</w:t>
      </w:r>
    </w:p>
    <w:p w14:paraId="1F22C992"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PRINCE2 requires that communication be planned, timely, and appropriate for each stakeholder group. For a project of this scale, the communication strategy includes:</w:t>
      </w:r>
    </w:p>
    <w:p w14:paraId="149BA788"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7,2,1. Formal Governance Communication</w:t>
      </w:r>
    </w:p>
    <w:p w14:paraId="3276CD72" w14:textId="77777777" w:rsidR="007B0413" w:rsidRPr="00871AA8" w:rsidRDefault="007B0413" w:rsidP="007B0413">
      <w:pPr>
        <w:numPr>
          <w:ilvl w:val="0"/>
          <w:numId w:val="23"/>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Monthly progress reports to the Government of BC, Transport Canada, and financial partners.</w:t>
      </w:r>
    </w:p>
    <w:p w14:paraId="12B45B5E" w14:textId="77777777" w:rsidR="007B0413" w:rsidRPr="00871AA8" w:rsidRDefault="007B0413" w:rsidP="007B0413">
      <w:pPr>
        <w:numPr>
          <w:ilvl w:val="0"/>
          <w:numId w:val="23"/>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Stage-boundary documentation submitted for approval before moving to subsequent phases.</w:t>
      </w:r>
    </w:p>
    <w:p w14:paraId="2C21ED88"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7,2,2. Operational Communication</w:t>
      </w:r>
    </w:p>
    <w:p w14:paraId="2CA23FB7" w14:textId="77777777" w:rsidR="007B0413" w:rsidRPr="00871AA8" w:rsidRDefault="007B0413" w:rsidP="007B0413">
      <w:pPr>
        <w:numPr>
          <w:ilvl w:val="0"/>
          <w:numId w:val="24"/>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Weekly technical coordination meetings among engineers, contractors, and environmental teams.</w:t>
      </w:r>
    </w:p>
    <w:p w14:paraId="677329FE" w14:textId="77777777" w:rsidR="007B0413" w:rsidRPr="00871AA8" w:rsidRDefault="007B0413" w:rsidP="007B0413">
      <w:pPr>
        <w:numPr>
          <w:ilvl w:val="0"/>
          <w:numId w:val="24"/>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Real-time reporting on safety, quality, and risk through a digital project-management platform.</w:t>
      </w:r>
    </w:p>
    <w:p w14:paraId="481EDF4C"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7,2,3. Community and Public Transparency</w:t>
      </w:r>
    </w:p>
    <w:p w14:paraId="63694145" w14:textId="77777777" w:rsidR="007B0413" w:rsidRPr="00871AA8" w:rsidRDefault="007B0413" w:rsidP="007B0413">
      <w:pPr>
        <w:numPr>
          <w:ilvl w:val="0"/>
          <w:numId w:val="25"/>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Quarterly community information sessions.</w:t>
      </w:r>
    </w:p>
    <w:p w14:paraId="57F9EC07" w14:textId="77777777" w:rsidR="007B0413" w:rsidRPr="00871AA8" w:rsidRDefault="007B0413" w:rsidP="007B0413">
      <w:pPr>
        <w:numPr>
          <w:ilvl w:val="0"/>
          <w:numId w:val="25"/>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Dedicated project website with updates, timelines, and contact details.</w:t>
      </w:r>
    </w:p>
    <w:p w14:paraId="29E09AF7" w14:textId="77777777" w:rsidR="007B0413" w:rsidRPr="00871AA8" w:rsidRDefault="007B0413" w:rsidP="007B0413">
      <w:pPr>
        <w:numPr>
          <w:ilvl w:val="0"/>
          <w:numId w:val="25"/>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Local radio and digital bulletins during key construction phases.</w:t>
      </w:r>
    </w:p>
    <w:p w14:paraId="28A5C814"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7,2,4. Regulatory Communication</w:t>
      </w:r>
    </w:p>
    <w:p w14:paraId="7AF972A4" w14:textId="77777777" w:rsidR="007B0413" w:rsidRPr="00871AA8" w:rsidRDefault="007B0413" w:rsidP="007B0413">
      <w:pPr>
        <w:numPr>
          <w:ilvl w:val="0"/>
          <w:numId w:val="26"/>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Scheduled submissions of environmental data and compliance evidence.</w:t>
      </w:r>
    </w:p>
    <w:p w14:paraId="4EAFF371" w14:textId="77777777" w:rsidR="007B0413" w:rsidRPr="00871AA8" w:rsidRDefault="007B0413" w:rsidP="007B0413">
      <w:pPr>
        <w:numPr>
          <w:ilvl w:val="0"/>
          <w:numId w:val="26"/>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Immediate reporting of any environmental incidents or deviations.</w:t>
      </w:r>
    </w:p>
    <w:p w14:paraId="4F1B0540" w14:textId="77777777" w:rsidR="007B0413" w:rsidRPr="00871AA8" w:rsidRDefault="007B0413" w:rsidP="007B0413">
      <w:pPr>
        <w:tabs>
          <w:tab w:val="left" w:pos="142"/>
        </w:tabs>
        <w:spacing w:line="360" w:lineRule="auto"/>
        <w:jc w:val="both"/>
        <w:rPr>
          <w:rFonts w:ascii="Arial" w:hAnsi="Arial" w:cs="Arial"/>
          <w:b/>
          <w:bCs/>
          <w:color w:val="000000" w:themeColor="text1"/>
        </w:rPr>
      </w:pPr>
      <w:r w:rsidRPr="00871AA8">
        <w:rPr>
          <w:rFonts w:ascii="Arial" w:hAnsi="Arial" w:cs="Arial"/>
          <w:b/>
          <w:bCs/>
          <w:color w:val="000000" w:themeColor="text1"/>
        </w:rPr>
        <w:t>7,2,5. Financial Stakeholder Communication</w:t>
      </w:r>
    </w:p>
    <w:p w14:paraId="5AA541DD" w14:textId="77777777" w:rsidR="007B0413" w:rsidRPr="00871AA8" w:rsidRDefault="007B0413" w:rsidP="007B0413">
      <w:pPr>
        <w:numPr>
          <w:ilvl w:val="0"/>
          <w:numId w:val="27"/>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Cost-tracking dashboards and risk-finance updates for banking partners.</w:t>
      </w:r>
    </w:p>
    <w:p w14:paraId="10DC9E6B" w14:textId="77777777" w:rsidR="007B0413" w:rsidRPr="00871AA8" w:rsidRDefault="007B0413" w:rsidP="007B0413">
      <w:pPr>
        <w:numPr>
          <w:ilvl w:val="0"/>
          <w:numId w:val="27"/>
        </w:num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Regular confirmation of funding drawdown sequences and loan conditions.</w:t>
      </w:r>
    </w:p>
    <w:p w14:paraId="7AB62E42"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This tiered communication strategy supports PRINCE2’s principle of management by exception, enabling escalation only when thresholds are exceeded.</w:t>
      </w:r>
    </w:p>
    <w:p w14:paraId="3A198D71" w14:textId="77777777" w:rsidR="007B0413" w:rsidRPr="00871AA8" w:rsidRDefault="007B0413" w:rsidP="007B0413">
      <w:pPr>
        <w:tabs>
          <w:tab w:val="left" w:pos="142"/>
        </w:tabs>
        <w:spacing w:line="360" w:lineRule="auto"/>
        <w:jc w:val="both"/>
        <w:rPr>
          <w:rFonts w:ascii="Arial" w:hAnsi="Arial" w:cs="Arial"/>
          <w:color w:val="000000" w:themeColor="text1"/>
        </w:rPr>
      </w:pPr>
    </w:p>
    <w:p w14:paraId="0153FE72" w14:textId="77777777"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7,2,6. The involvement of stakeholders is especially important because:</w:t>
      </w:r>
    </w:p>
    <w:p w14:paraId="0E551F74" w14:textId="77777777" w:rsidR="007B0413" w:rsidRPr="00871AA8" w:rsidRDefault="007B0413" w:rsidP="007B0413">
      <w:pPr>
        <w:numPr>
          <w:ilvl w:val="0"/>
          <w:numId w:val="28"/>
        </w:num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Funding stability</w:t>
      </w:r>
      <w:r w:rsidRPr="00871AA8">
        <w:rPr>
          <w:rFonts w:ascii="Arial" w:hAnsi="Arial" w:cs="Arial"/>
          <w:color w:val="000000" w:themeColor="text1"/>
        </w:rPr>
        <w:t xml:space="preserve"> depends on confidence among government and financial institutions.</w:t>
      </w:r>
    </w:p>
    <w:p w14:paraId="72A455EB" w14:textId="77777777" w:rsidR="007B0413" w:rsidRPr="00871AA8" w:rsidRDefault="007B0413" w:rsidP="007B0413">
      <w:pPr>
        <w:numPr>
          <w:ilvl w:val="0"/>
          <w:numId w:val="28"/>
        </w:num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Environmental approvals</w:t>
      </w:r>
      <w:r w:rsidRPr="00871AA8">
        <w:rPr>
          <w:rFonts w:ascii="Arial" w:hAnsi="Arial" w:cs="Arial"/>
          <w:color w:val="000000" w:themeColor="text1"/>
        </w:rPr>
        <w:t xml:space="preserve"> require continuous engagement with regulators.</w:t>
      </w:r>
    </w:p>
    <w:p w14:paraId="2581073B" w14:textId="77777777" w:rsidR="007B0413" w:rsidRPr="00871AA8" w:rsidRDefault="007B0413" w:rsidP="007B0413">
      <w:pPr>
        <w:numPr>
          <w:ilvl w:val="0"/>
          <w:numId w:val="28"/>
        </w:num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Construction quality and safety</w:t>
      </w:r>
      <w:r w:rsidRPr="00871AA8">
        <w:rPr>
          <w:rFonts w:ascii="Arial" w:hAnsi="Arial" w:cs="Arial"/>
          <w:color w:val="000000" w:themeColor="text1"/>
        </w:rPr>
        <w:t xml:space="preserve"> depend on contractor performance and oversight.</w:t>
      </w:r>
    </w:p>
    <w:p w14:paraId="61FF1F0D" w14:textId="77777777" w:rsidR="007B0413" w:rsidRPr="00871AA8" w:rsidRDefault="007B0413" w:rsidP="007B0413">
      <w:pPr>
        <w:numPr>
          <w:ilvl w:val="0"/>
          <w:numId w:val="28"/>
        </w:num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Community acceptance</w:t>
      </w:r>
      <w:r w:rsidRPr="00871AA8">
        <w:rPr>
          <w:rFonts w:ascii="Arial" w:hAnsi="Arial" w:cs="Arial"/>
          <w:color w:val="000000" w:themeColor="text1"/>
        </w:rPr>
        <w:t xml:space="preserve"> ensures smoother operations and reduces complaints or political resistance.</w:t>
      </w:r>
    </w:p>
    <w:p w14:paraId="13570D8B" w14:textId="77777777" w:rsidR="007B0413" w:rsidRPr="00871AA8" w:rsidRDefault="007B0413" w:rsidP="007B0413">
      <w:pPr>
        <w:numPr>
          <w:ilvl w:val="0"/>
          <w:numId w:val="28"/>
        </w:numPr>
        <w:tabs>
          <w:tab w:val="left" w:pos="142"/>
        </w:tabs>
        <w:spacing w:line="360" w:lineRule="auto"/>
        <w:jc w:val="both"/>
        <w:rPr>
          <w:rFonts w:ascii="Arial" w:hAnsi="Arial" w:cs="Arial"/>
          <w:color w:val="000000" w:themeColor="text1"/>
        </w:rPr>
      </w:pPr>
      <w:r w:rsidRPr="00871AA8">
        <w:rPr>
          <w:rFonts w:ascii="Arial" w:hAnsi="Arial" w:cs="Arial"/>
          <w:b/>
          <w:bCs/>
          <w:color w:val="000000" w:themeColor="text1"/>
        </w:rPr>
        <w:t>Freight-industry cooperation</w:t>
      </w:r>
      <w:r w:rsidRPr="00871AA8">
        <w:rPr>
          <w:rFonts w:ascii="Arial" w:hAnsi="Arial" w:cs="Arial"/>
          <w:color w:val="000000" w:themeColor="text1"/>
        </w:rPr>
        <w:t xml:space="preserve"> improves coordination of reopening phases and lane-management strategies.</w:t>
      </w:r>
    </w:p>
    <w:p w14:paraId="16AFE9E4" w14:textId="46B6A5EC" w:rsidR="007B0413" w:rsidRPr="00871AA8" w:rsidRDefault="007B0413" w:rsidP="007B0413">
      <w:pPr>
        <w:tabs>
          <w:tab w:val="left" w:pos="142"/>
        </w:tabs>
        <w:spacing w:line="360" w:lineRule="auto"/>
        <w:jc w:val="both"/>
        <w:rPr>
          <w:rFonts w:ascii="Arial" w:hAnsi="Arial" w:cs="Arial"/>
          <w:color w:val="000000" w:themeColor="text1"/>
        </w:rPr>
      </w:pPr>
      <w:r w:rsidRPr="00871AA8">
        <w:rPr>
          <w:rFonts w:ascii="Arial" w:hAnsi="Arial" w:cs="Arial"/>
          <w:color w:val="000000" w:themeColor="text1"/>
        </w:rPr>
        <w:t>In infrastructure recovery projects, stakeholder engagement is not merely a communication task it is a strategic project success factor.</w:t>
      </w:r>
    </w:p>
    <w:p w14:paraId="75AC93EF" w14:textId="022FC727" w:rsidR="007B0413" w:rsidRPr="00871AA8" w:rsidRDefault="007B0413" w:rsidP="00871AA8">
      <w:pPr>
        <w:pStyle w:val="Heading3"/>
        <w:rPr>
          <w:color w:val="000000" w:themeColor="text1"/>
        </w:rPr>
      </w:pPr>
      <w:bookmarkStart w:id="25" w:name="_Toc214099200"/>
      <w:r w:rsidRPr="00871AA8">
        <w:rPr>
          <w:color w:val="000000" w:themeColor="text1"/>
        </w:rPr>
        <w:t>7.3 RACI Summary</w:t>
      </w:r>
      <w:bookmarkEnd w:id="25"/>
    </w:p>
    <w:p w14:paraId="78B43C4B" w14:textId="77777777" w:rsidR="007B0413" w:rsidRPr="00871AA8" w:rsidRDefault="007B0413" w:rsidP="007B0413">
      <w:pPr>
        <w:numPr>
          <w:ilvl w:val="0"/>
          <w:numId w:val="12"/>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Responsible:</w:t>
      </w:r>
      <w:r w:rsidRPr="00871AA8">
        <w:rPr>
          <w:rFonts w:ascii="Arial" w:hAnsi="Arial" w:cs="Arial"/>
          <w:color w:val="000000" w:themeColor="text1"/>
        </w:rPr>
        <w:t xml:space="preserve"> Project Manager, Contractors</w:t>
      </w:r>
    </w:p>
    <w:p w14:paraId="357A0ED8" w14:textId="77777777" w:rsidR="007B0413" w:rsidRPr="00871AA8" w:rsidRDefault="007B0413" w:rsidP="007B0413">
      <w:pPr>
        <w:numPr>
          <w:ilvl w:val="0"/>
          <w:numId w:val="12"/>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Accountable:</w:t>
      </w:r>
      <w:r w:rsidRPr="00871AA8">
        <w:rPr>
          <w:rFonts w:ascii="Arial" w:hAnsi="Arial" w:cs="Arial"/>
          <w:color w:val="000000" w:themeColor="text1"/>
        </w:rPr>
        <w:t xml:space="preserve"> Project Board (Government of BC)</w:t>
      </w:r>
    </w:p>
    <w:p w14:paraId="26984937" w14:textId="77777777" w:rsidR="007B0413" w:rsidRPr="00871AA8" w:rsidRDefault="007B0413" w:rsidP="007B0413">
      <w:pPr>
        <w:numPr>
          <w:ilvl w:val="0"/>
          <w:numId w:val="12"/>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Consulted:</w:t>
      </w:r>
      <w:r w:rsidRPr="00871AA8">
        <w:rPr>
          <w:rFonts w:ascii="Arial" w:hAnsi="Arial" w:cs="Arial"/>
          <w:color w:val="000000" w:themeColor="text1"/>
        </w:rPr>
        <w:t xml:space="preserve"> Environmental agencies, community groups</w:t>
      </w:r>
    </w:p>
    <w:p w14:paraId="42773B56" w14:textId="5E8C28B3" w:rsidR="007B0413" w:rsidRPr="00871AA8" w:rsidRDefault="007B0413" w:rsidP="007B0413">
      <w:pPr>
        <w:numPr>
          <w:ilvl w:val="0"/>
          <w:numId w:val="12"/>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Informed:</w:t>
      </w:r>
      <w:r w:rsidRPr="00871AA8">
        <w:rPr>
          <w:rFonts w:ascii="Arial" w:hAnsi="Arial" w:cs="Arial"/>
          <w:color w:val="000000" w:themeColor="text1"/>
        </w:rPr>
        <w:t xml:space="preserve"> Logistics companies, </w:t>
      </w:r>
      <w:proofErr w:type="gramStart"/>
      <w:r w:rsidRPr="00871AA8">
        <w:rPr>
          <w:rFonts w:ascii="Arial" w:hAnsi="Arial" w:cs="Arial"/>
          <w:color w:val="000000" w:themeColor="text1"/>
        </w:rPr>
        <w:t>general public</w:t>
      </w:r>
      <w:proofErr w:type="gramEnd"/>
    </w:p>
    <w:p w14:paraId="732C2D5A" w14:textId="77777777" w:rsidR="007B0413" w:rsidRPr="00871AA8" w:rsidRDefault="007B0413" w:rsidP="00871AA8">
      <w:pPr>
        <w:pStyle w:val="Heading3"/>
        <w:rPr>
          <w:color w:val="000000" w:themeColor="text1"/>
        </w:rPr>
      </w:pPr>
      <w:bookmarkStart w:id="26" w:name="_Toc214099201"/>
      <w:r w:rsidRPr="00871AA8">
        <w:rPr>
          <w:color w:val="000000" w:themeColor="text1"/>
        </w:rPr>
        <w:t>7.4 Power–Interest Grid</w:t>
      </w:r>
      <w:bookmarkEnd w:id="26"/>
    </w:p>
    <w:tbl>
      <w:tblPr>
        <w:tblStyle w:val="TableGridLight"/>
        <w:tblW w:w="0" w:type="auto"/>
        <w:tblLook w:val="04A0" w:firstRow="1" w:lastRow="0" w:firstColumn="1" w:lastColumn="0" w:noHBand="0" w:noVBand="1"/>
      </w:tblPr>
      <w:tblGrid>
        <w:gridCol w:w="9016"/>
      </w:tblGrid>
      <w:tr w:rsidR="00871AA8" w:rsidRPr="00871AA8" w14:paraId="39B5D512" w14:textId="77777777" w:rsidTr="00B719AA">
        <w:tc>
          <w:tcPr>
            <w:tcW w:w="9016" w:type="dxa"/>
          </w:tcPr>
          <w:tbl>
            <w:tblPr>
              <w:tblStyle w:val="PlainTable3"/>
              <w:tblW w:w="0" w:type="auto"/>
              <w:tblLook w:val="04A0" w:firstRow="1" w:lastRow="0" w:firstColumn="1" w:lastColumn="0" w:noHBand="0" w:noVBand="1"/>
            </w:tblPr>
            <w:tblGrid>
              <w:gridCol w:w="3077"/>
              <w:gridCol w:w="5723"/>
            </w:tblGrid>
            <w:tr w:rsidR="00871AA8" w:rsidRPr="00871AA8" w14:paraId="21DDB355" w14:textId="77777777" w:rsidTr="00B719A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0D4D11B"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Power / Interest</w:t>
                  </w:r>
                </w:p>
              </w:tc>
              <w:tc>
                <w:tcPr>
                  <w:tcW w:w="0" w:type="auto"/>
                  <w:hideMark/>
                </w:tcPr>
                <w:p w14:paraId="7F66B293" w14:textId="77777777" w:rsidR="007B0413" w:rsidRPr="00871AA8" w:rsidRDefault="007B0413" w:rsidP="007B0413">
                  <w:pPr>
                    <w:tabs>
                      <w:tab w:val="left" w:pos="142"/>
                    </w:tabs>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Stakeholders</w:t>
                  </w:r>
                </w:p>
              </w:tc>
            </w:tr>
            <w:tr w:rsidR="00871AA8" w:rsidRPr="00871AA8" w14:paraId="7B3AB373" w14:textId="77777777" w:rsidTr="00B71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5818B"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 Power / High Interest</w:t>
                  </w:r>
                </w:p>
              </w:tc>
              <w:tc>
                <w:tcPr>
                  <w:tcW w:w="0" w:type="auto"/>
                  <w:hideMark/>
                </w:tcPr>
                <w:p w14:paraId="0CB79E25" w14:textId="77777777" w:rsidR="007B0413" w:rsidRPr="00871AA8" w:rsidRDefault="007B0413" w:rsidP="007B0413">
                  <w:pPr>
                    <w:tabs>
                      <w:tab w:val="left" w:pos="142"/>
                    </w:tabs>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Gov. of BC, Transport Canada, Banks (funding), Major Contractors</w:t>
                  </w:r>
                </w:p>
              </w:tc>
            </w:tr>
            <w:tr w:rsidR="00871AA8" w:rsidRPr="00871AA8" w14:paraId="00AFD388" w14:textId="77777777" w:rsidTr="00B719AA">
              <w:tc>
                <w:tcPr>
                  <w:cnfStyle w:val="001000000000" w:firstRow="0" w:lastRow="0" w:firstColumn="1" w:lastColumn="0" w:oddVBand="0" w:evenVBand="0" w:oddHBand="0" w:evenHBand="0" w:firstRowFirstColumn="0" w:firstRowLastColumn="0" w:lastRowFirstColumn="0" w:lastRowLastColumn="0"/>
                  <w:tcW w:w="0" w:type="auto"/>
                  <w:hideMark/>
                </w:tcPr>
                <w:p w14:paraId="160343F5"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 Power / Low Interest</w:t>
                  </w:r>
                </w:p>
              </w:tc>
              <w:tc>
                <w:tcPr>
                  <w:tcW w:w="0" w:type="auto"/>
                  <w:hideMark/>
                </w:tcPr>
                <w:p w14:paraId="1652C72D" w14:textId="77777777" w:rsidR="007B0413" w:rsidRPr="00871AA8" w:rsidRDefault="007B0413" w:rsidP="007B0413">
                  <w:pPr>
                    <w:tabs>
                      <w:tab w:val="left" w:pos="142"/>
                    </w:tabs>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Insurance Bureau of Canada</w:t>
                  </w:r>
                </w:p>
              </w:tc>
            </w:tr>
            <w:tr w:rsidR="00871AA8" w:rsidRPr="00871AA8" w14:paraId="125CBCB4" w14:textId="77777777" w:rsidTr="00B71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2B523"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Low Power / High Interest</w:t>
                  </w:r>
                </w:p>
              </w:tc>
              <w:tc>
                <w:tcPr>
                  <w:tcW w:w="0" w:type="auto"/>
                  <w:hideMark/>
                </w:tcPr>
                <w:p w14:paraId="23FBEA6A" w14:textId="77777777" w:rsidR="007B0413" w:rsidRPr="00871AA8" w:rsidRDefault="007B0413" w:rsidP="007B0413">
                  <w:pPr>
                    <w:tabs>
                      <w:tab w:val="left" w:pos="142"/>
                    </w:tabs>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Local communities, logistics companies</w:t>
                  </w:r>
                </w:p>
              </w:tc>
            </w:tr>
            <w:tr w:rsidR="00871AA8" w:rsidRPr="00871AA8" w14:paraId="6D7E96E0" w14:textId="77777777" w:rsidTr="00B719AA">
              <w:tc>
                <w:tcPr>
                  <w:cnfStyle w:val="001000000000" w:firstRow="0" w:lastRow="0" w:firstColumn="1" w:lastColumn="0" w:oddVBand="0" w:evenVBand="0" w:oddHBand="0" w:evenHBand="0" w:firstRowFirstColumn="0" w:firstRowLastColumn="0" w:lastRowFirstColumn="0" w:lastRowLastColumn="0"/>
                  <w:tcW w:w="0" w:type="auto"/>
                  <w:hideMark/>
                </w:tcPr>
                <w:p w14:paraId="0ABFF0DA"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Low Power / Low Interest</w:t>
                  </w:r>
                </w:p>
              </w:tc>
              <w:tc>
                <w:tcPr>
                  <w:tcW w:w="0" w:type="auto"/>
                  <w:hideMark/>
                </w:tcPr>
                <w:p w14:paraId="00879C2A" w14:textId="77777777" w:rsidR="007B0413" w:rsidRPr="00871AA8" w:rsidRDefault="007B0413" w:rsidP="007B0413">
                  <w:pPr>
                    <w:tabs>
                      <w:tab w:val="left" w:pos="142"/>
                    </w:tabs>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71AA8">
                    <w:rPr>
                      <w:rFonts w:ascii="Arial" w:hAnsi="Arial" w:cs="Arial"/>
                      <w:color w:val="000000" w:themeColor="text1"/>
                    </w:rPr>
                    <w:t>General public not directly affected</w:t>
                  </w:r>
                </w:p>
              </w:tc>
            </w:tr>
          </w:tbl>
          <w:p w14:paraId="2C6F023E" w14:textId="77777777" w:rsidR="007B0413" w:rsidRPr="00871AA8" w:rsidRDefault="007B0413" w:rsidP="007B0413">
            <w:pPr>
              <w:tabs>
                <w:tab w:val="left" w:pos="142"/>
              </w:tabs>
              <w:spacing w:line="360" w:lineRule="auto"/>
              <w:rPr>
                <w:rFonts w:ascii="Arial" w:hAnsi="Arial" w:cs="Arial"/>
                <w:color w:val="000000" w:themeColor="text1"/>
              </w:rPr>
            </w:pPr>
          </w:p>
        </w:tc>
      </w:tr>
    </w:tbl>
    <w:p w14:paraId="0FBBF77F"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Stakeholder strategy aligns with PMBOK’s stakeholder engagement processes (PMI, 2021), ensuring tailored communication and proactive conflict mitigation.</w:t>
      </w:r>
    </w:p>
    <w:p w14:paraId="39128274" w14:textId="77777777" w:rsidR="007B0413" w:rsidRPr="00871AA8" w:rsidRDefault="007B0413" w:rsidP="00871AA8">
      <w:pPr>
        <w:pStyle w:val="Heading2"/>
        <w:rPr>
          <w:color w:val="000000" w:themeColor="text1"/>
        </w:rPr>
      </w:pPr>
      <w:bookmarkStart w:id="27" w:name="_Toc214099202"/>
      <w:r w:rsidRPr="00871AA8">
        <w:rPr>
          <w:color w:val="000000" w:themeColor="text1"/>
        </w:rPr>
        <w:lastRenderedPageBreak/>
        <w:t>8. Allocation of Resources</w:t>
      </w:r>
      <w:bookmarkEnd w:id="27"/>
    </w:p>
    <w:p w14:paraId="16236247" w14:textId="77777777" w:rsidR="007B0413" w:rsidRPr="00871AA8" w:rsidRDefault="007B0413" w:rsidP="00871AA8">
      <w:pPr>
        <w:pStyle w:val="Heading3"/>
        <w:rPr>
          <w:color w:val="000000" w:themeColor="text1"/>
        </w:rPr>
      </w:pPr>
      <w:bookmarkStart w:id="28" w:name="_Toc214099203"/>
      <w:r w:rsidRPr="00871AA8">
        <w:rPr>
          <w:color w:val="000000" w:themeColor="text1"/>
        </w:rPr>
        <w:t>8.1 Human Resources</w:t>
      </w:r>
      <w:bookmarkEnd w:id="28"/>
    </w:p>
    <w:p w14:paraId="667DF1DE" w14:textId="77777777" w:rsidR="007B0413" w:rsidRPr="00871AA8" w:rsidRDefault="007B0413" w:rsidP="007B0413">
      <w:pPr>
        <w:numPr>
          <w:ilvl w:val="0"/>
          <w:numId w:val="13"/>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Project Manager</w:t>
      </w:r>
      <w:r w:rsidRPr="00871AA8">
        <w:rPr>
          <w:rFonts w:ascii="Arial" w:hAnsi="Arial" w:cs="Arial"/>
          <w:color w:val="000000" w:themeColor="text1"/>
        </w:rPr>
        <w:t xml:space="preserve"> (PRINCE2 certified)</w:t>
      </w:r>
    </w:p>
    <w:p w14:paraId="08B4B4B5" w14:textId="77777777" w:rsidR="007B0413" w:rsidRPr="00871AA8" w:rsidRDefault="007B0413" w:rsidP="007B0413">
      <w:pPr>
        <w:numPr>
          <w:ilvl w:val="0"/>
          <w:numId w:val="13"/>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Engineering teams</w:t>
      </w:r>
      <w:r w:rsidRPr="00871AA8">
        <w:rPr>
          <w:rFonts w:ascii="Arial" w:hAnsi="Arial" w:cs="Arial"/>
          <w:color w:val="000000" w:themeColor="text1"/>
        </w:rPr>
        <w:t xml:space="preserve"> (civil, geotechnical, structural)</w:t>
      </w:r>
    </w:p>
    <w:p w14:paraId="17853C2D" w14:textId="77777777" w:rsidR="007B0413" w:rsidRPr="00871AA8" w:rsidRDefault="007B0413" w:rsidP="007B0413">
      <w:pPr>
        <w:numPr>
          <w:ilvl w:val="0"/>
          <w:numId w:val="13"/>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Construction workforce</w:t>
      </w:r>
    </w:p>
    <w:p w14:paraId="6D625B91" w14:textId="77777777" w:rsidR="007B0413" w:rsidRPr="00871AA8" w:rsidRDefault="007B0413" w:rsidP="007B0413">
      <w:pPr>
        <w:numPr>
          <w:ilvl w:val="0"/>
          <w:numId w:val="13"/>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Environmental compliance officers</w:t>
      </w:r>
    </w:p>
    <w:p w14:paraId="715FC5FB" w14:textId="77777777" w:rsidR="007B0413" w:rsidRPr="00871AA8" w:rsidRDefault="007B0413" w:rsidP="007B0413">
      <w:pPr>
        <w:numPr>
          <w:ilvl w:val="0"/>
          <w:numId w:val="13"/>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Financial analysts and procurement officers</w:t>
      </w:r>
    </w:p>
    <w:p w14:paraId="023B1537"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Human-resource allocation follows PMBOK guidance on acquiring, developing, and managing the project team (PMI, 2021).</w:t>
      </w:r>
    </w:p>
    <w:p w14:paraId="2FA9892B" w14:textId="77777777" w:rsidR="007B0413" w:rsidRPr="00871AA8" w:rsidRDefault="007B0413" w:rsidP="007B0413">
      <w:pPr>
        <w:tabs>
          <w:tab w:val="left" w:pos="142"/>
        </w:tabs>
        <w:spacing w:line="360" w:lineRule="auto"/>
        <w:rPr>
          <w:rFonts w:ascii="Arial" w:hAnsi="Arial" w:cs="Arial"/>
          <w:color w:val="000000" w:themeColor="text1"/>
        </w:rPr>
      </w:pPr>
    </w:p>
    <w:p w14:paraId="15FFF438" w14:textId="77777777" w:rsidR="007B0413" w:rsidRPr="00871AA8" w:rsidRDefault="007B0413" w:rsidP="00871AA8">
      <w:pPr>
        <w:pStyle w:val="Heading3"/>
        <w:rPr>
          <w:color w:val="000000" w:themeColor="text1"/>
        </w:rPr>
      </w:pPr>
      <w:bookmarkStart w:id="29" w:name="_Toc214099204"/>
      <w:r w:rsidRPr="00871AA8">
        <w:rPr>
          <w:color w:val="000000" w:themeColor="text1"/>
        </w:rPr>
        <w:t>8.2 Financial Resources</w:t>
      </w:r>
      <w:bookmarkEnd w:id="29"/>
    </w:p>
    <w:p w14:paraId="1748B84D"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Funding streams include:</w:t>
      </w:r>
    </w:p>
    <w:p w14:paraId="5BD31F0A" w14:textId="77777777" w:rsidR="007B0413" w:rsidRPr="00871AA8" w:rsidRDefault="007B0413" w:rsidP="007B0413">
      <w:pPr>
        <w:numPr>
          <w:ilvl w:val="0"/>
          <w:numId w:val="14"/>
        </w:numPr>
        <w:tabs>
          <w:tab w:val="left" w:pos="142"/>
        </w:tabs>
        <w:spacing w:line="360" w:lineRule="auto"/>
        <w:rPr>
          <w:rFonts w:ascii="Arial" w:hAnsi="Arial" w:cs="Arial"/>
          <w:color w:val="000000" w:themeColor="text1"/>
        </w:rPr>
      </w:pPr>
      <w:r w:rsidRPr="00871AA8">
        <w:rPr>
          <w:rFonts w:ascii="Arial" w:hAnsi="Arial" w:cs="Arial"/>
          <w:color w:val="000000" w:themeColor="text1"/>
        </w:rPr>
        <w:t>Government infrastructure budgets,</w:t>
      </w:r>
    </w:p>
    <w:p w14:paraId="4D5A9DE5" w14:textId="77777777" w:rsidR="007B0413" w:rsidRPr="00871AA8" w:rsidRDefault="007B0413" w:rsidP="007B0413">
      <w:pPr>
        <w:numPr>
          <w:ilvl w:val="0"/>
          <w:numId w:val="14"/>
        </w:numPr>
        <w:tabs>
          <w:tab w:val="left" w:pos="142"/>
        </w:tabs>
        <w:spacing w:line="360" w:lineRule="auto"/>
        <w:rPr>
          <w:rFonts w:ascii="Arial" w:hAnsi="Arial" w:cs="Arial"/>
          <w:color w:val="000000" w:themeColor="text1"/>
        </w:rPr>
      </w:pPr>
      <w:r w:rsidRPr="00871AA8">
        <w:rPr>
          <w:rFonts w:ascii="Arial" w:hAnsi="Arial" w:cs="Arial"/>
          <w:color w:val="000000" w:themeColor="text1"/>
        </w:rPr>
        <w:t>Environmental resilience funds,</w:t>
      </w:r>
    </w:p>
    <w:p w14:paraId="28683D2C" w14:textId="77777777" w:rsidR="007B0413" w:rsidRPr="00871AA8" w:rsidRDefault="007B0413" w:rsidP="007B0413">
      <w:pPr>
        <w:numPr>
          <w:ilvl w:val="0"/>
          <w:numId w:val="14"/>
        </w:numPr>
        <w:tabs>
          <w:tab w:val="left" w:pos="142"/>
        </w:tabs>
        <w:spacing w:line="360" w:lineRule="auto"/>
        <w:rPr>
          <w:rFonts w:ascii="Arial" w:hAnsi="Arial" w:cs="Arial"/>
          <w:color w:val="000000" w:themeColor="text1"/>
        </w:rPr>
      </w:pPr>
      <w:r w:rsidRPr="00871AA8">
        <w:rPr>
          <w:rFonts w:ascii="Arial" w:hAnsi="Arial" w:cs="Arial"/>
          <w:color w:val="000000" w:themeColor="text1"/>
        </w:rPr>
        <w:t>Commercial bank loans (HSBC Canada; RBC; BMO),</w:t>
      </w:r>
    </w:p>
    <w:p w14:paraId="41FF98CD" w14:textId="77777777" w:rsidR="007B0413" w:rsidRPr="00871AA8" w:rsidRDefault="007B0413" w:rsidP="007B0413">
      <w:pPr>
        <w:numPr>
          <w:ilvl w:val="0"/>
          <w:numId w:val="14"/>
        </w:numPr>
        <w:tabs>
          <w:tab w:val="left" w:pos="142"/>
        </w:tabs>
        <w:spacing w:line="360" w:lineRule="auto"/>
        <w:rPr>
          <w:rFonts w:ascii="Arial" w:hAnsi="Arial" w:cs="Arial"/>
          <w:color w:val="000000" w:themeColor="text1"/>
        </w:rPr>
      </w:pPr>
      <w:r w:rsidRPr="00871AA8">
        <w:rPr>
          <w:rFonts w:ascii="Arial" w:hAnsi="Arial" w:cs="Arial"/>
          <w:color w:val="000000" w:themeColor="text1"/>
        </w:rPr>
        <w:t>Federal disaster-recovery grants.</w:t>
      </w:r>
    </w:p>
    <w:p w14:paraId="0595C5D2" w14:textId="77777777" w:rsidR="007B0413" w:rsidRPr="00871AA8" w:rsidRDefault="007B0413" w:rsidP="007B0413">
      <w:pPr>
        <w:tabs>
          <w:tab w:val="left" w:pos="142"/>
        </w:tabs>
        <w:spacing w:line="360" w:lineRule="auto"/>
        <w:ind w:left="720"/>
        <w:rPr>
          <w:rFonts w:ascii="Arial" w:hAnsi="Arial" w:cs="Arial"/>
          <w:color w:val="000000" w:themeColor="text1"/>
        </w:rPr>
      </w:pPr>
    </w:p>
    <w:p w14:paraId="5DD2B87E" w14:textId="77777777" w:rsidR="007B0413" w:rsidRPr="00871AA8" w:rsidRDefault="007B0413" w:rsidP="00871AA8">
      <w:pPr>
        <w:pStyle w:val="Heading3"/>
        <w:rPr>
          <w:color w:val="000000" w:themeColor="text1"/>
        </w:rPr>
      </w:pPr>
      <w:bookmarkStart w:id="30" w:name="_Toc214099205"/>
      <w:r w:rsidRPr="00871AA8">
        <w:rPr>
          <w:color w:val="000000" w:themeColor="text1"/>
        </w:rPr>
        <w:t>8.3 Material Resources</w:t>
      </w:r>
      <w:bookmarkEnd w:id="30"/>
    </w:p>
    <w:p w14:paraId="77FCA43E" w14:textId="77777777" w:rsidR="007B0413" w:rsidRPr="00871AA8" w:rsidRDefault="007B0413" w:rsidP="007B0413">
      <w:pPr>
        <w:numPr>
          <w:ilvl w:val="0"/>
          <w:numId w:val="15"/>
        </w:numPr>
        <w:tabs>
          <w:tab w:val="left" w:pos="142"/>
        </w:tabs>
        <w:spacing w:line="360" w:lineRule="auto"/>
        <w:rPr>
          <w:rFonts w:ascii="Arial" w:hAnsi="Arial" w:cs="Arial"/>
          <w:color w:val="000000" w:themeColor="text1"/>
        </w:rPr>
      </w:pPr>
      <w:r w:rsidRPr="00871AA8">
        <w:rPr>
          <w:rFonts w:ascii="Arial" w:hAnsi="Arial" w:cs="Arial"/>
          <w:color w:val="000000" w:themeColor="text1"/>
        </w:rPr>
        <w:t>Earth-moving equipment, asphalt plants, bridge-building materials, precast concrete components, drainage fixtures.</w:t>
      </w:r>
    </w:p>
    <w:p w14:paraId="3235E2FF" w14:textId="77777777" w:rsidR="007B0413" w:rsidRPr="00871AA8" w:rsidRDefault="007B0413" w:rsidP="007B0413">
      <w:pPr>
        <w:numPr>
          <w:ilvl w:val="0"/>
          <w:numId w:val="15"/>
        </w:numPr>
        <w:tabs>
          <w:tab w:val="left" w:pos="142"/>
        </w:tabs>
        <w:spacing w:line="360" w:lineRule="auto"/>
        <w:rPr>
          <w:rFonts w:ascii="Arial" w:hAnsi="Arial" w:cs="Arial"/>
          <w:color w:val="000000" w:themeColor="text1"/>
        </w:rPr>
      </w:pPr>
      <w:r w:rsidRPr="00871AA8">
        <w:rPr>
          <w:rFonts w:ascii="Arial" w:hAnsi="Arial" w:cs="Arial"/>
          <w:color w:val="000000" w:themeColor="text1"/>
        </w:rPr>
        <w:t>Supply procurement arranged through competitive tendering.</w:t>
      </w:r>
    </w:p>
    <w:p w14:paraId="58522FDF" w14:textId="77777777" w:rsidR="007B0413" w:rsidRPr="00871AA8" w:rsidRDefault="007B0413" w:rsidP="007B0413">
      <w:pPr>
        <w:tabs>
          <w:tab w:val="left" w:pos="142"/>
        </w:tabs>
        <w:spacing w:line="360" w:lineRule="auto"/>
        <w:ind w:left="360"/>
        <w:rPr>
          <w:rFonts w:ascii="Arial" w:hAnsi="Arial" w:cs="Arial"/>
          <w:color w:val="000000" w:themeColor="text1"/>
        </w:rPr>
      </w:pPr>
    </w:p>
    <w:p w14:paraId="640352AE" w14:textId="77777777" w:rsidR="007B0413" w:rsidRPr="00871AA8" w:rsidRDefault="007B0413" w:rsidP="00871AA8">
      <w:pPr>
        <w:pStyle w:val="Heading3"/>
        <w:rPr>
          <w:color w:val="000000" w:themeColor="text1"/>
        </w:rPr>
      </w:pPr>
      <w:bookmarkStart w:id="31" w:name="_Toc214099206"/>
      <w:r w:rsidRPr="00871AA8">
        <w:rPr>
          <w:color w:val="000000" w:themeColor="text1"/>
        </w:rPr>
        <w:t>8.4 Technological Resources</w:t>
      </w:r>
      <w:bookmarkEnd w:id="31"/>
    </w:p>
    <w:p w14:paraId="6E87C0CA" w14:textId="77777777" w:rsidR="007B0413" w:rsidRPr="00871AA8" w:rsidRDefault="007B0413" w:rsidP="007B0413">
      <w:pPr>
        <w:numPr>
          <w:ilvl w:val="0"/>
          <w:numId w:val="16"/>
        </w:numPr>
        <w:tabs>
          <w:tab w:val="left" w:pos="142"/>
        </w:tabs>
        <w:spacing w:line="360" w:lineRule="auto"/>
        <w:rPr>
          <w:rFonts w:ascii="Arial" w:hAnsi="Arial" w:cs="Arial"/>
          <w:color w:val="000000" w:themeColor="text1"/>
        </w:rPr>
      </w:pPr>
      <w:r w:rsidRPr="00871AA8">
        <w:rPr>
          <w:rFonts w:ascii="Arial" w:hAnsi="Arial" w:cs="Arial"/>
          <w:color w:val="000000" w:themeColor="text1"/>
        </w:rPr>
        <w:t>GIS modelling for landslide risk</w:t>
      </w:r>
    </w:p>
    <w:p w14:paraId="68FBEE94" w14:textId="77777777" w:rsidR="007B0413" w:rsidRPr="00871AA8" w:rsidRDefault="007B0413" w:rsidP="007B0413">
      <w:pPr>
        <w:numPr>
          <w:ilvl w:val="0"/>
          <w:numId w:val="16"/>
        </w:numPr>
        <w:tabs>
          <w:tab w:val="left" w:pos="142"/>
        </w:tabs>
        <w:spacing w:line="360" w:lineRule="auto"/>
        <w:rPr>
          <w:rFonts w:ascii="Arial" w:hAnsi="Arial" w:cs="Arial"/>
          <w:color w:val="000000" w:themeColor="text1"/>
        </w:rPr>
      </w:pPr>
      <w:r w:rsidRPr="00871AA8">
        <w:rPr>
          <w:rFonts w:ascii="Arial" w:hAnsi="Arial" w:cs="Arial"/>
          <w:color w:val="000000" w:themeColor="text1"/>
        </w:rPr>
        <w:t>Project management software (MS Project)</w:t>
      </w:r>
    </w:p>
    <w:p w14:paraId="23FCA4DE" w14:textId="77777777" w:rsidR="007B0413" w:rsidRPr="00871AA8" w:rsidRDefault="007B0413" w:rsidP="007B0413">
      <w:pPr>
        <w:numPr>
          <w:ilvl w:val="0"/>
          <w:numId w:val="16"/>
        </w:numPr>
        <w:tabs>
          <w:tab w:val="left" w:pos="142"/>
        </w:tabs>
        <w:spacing w:line="360" w:lineRule="auto"/>
        <w:rPr>
          <w:rFonts w:ascii="Arial" w:hAnsi="Arial" w:cs="Arial"/>
          <w:color w:val="000000" w:themeColor="text1"/>
        </w:rPr>
      </w:pPr>
      <w:r w:rsidRPr="00871AA8">
        <w:rPr>
          <w:rFonts w:ascii="Arial" w:hAnsi="Arial" w:cs="Arial"/>
          <w:color w:val="000000" w:themeColor="text1"/>
        </w:rPr>
        <w:t>Drone-based inspections for monitoring construction progress</w:t>
      </w:r>
    </w:p>
    <w:p w14:paraId="2E4DB137"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lastRenderedPageBreak/>
        <w:t xml:space="preserve">Resource planning is guided by PRINCE2’s </w:t>
      </w:r>
      <w:r w:rsidRPr="00871AA8">
        <w:rPr>
          <w:rFonts w:ascii="Arial" w:hAnsi="Arial" w:cs="Arial"/>
          <w:b/>
          <w:bCs/>
          <w:color w:val="000000" w:themeColor="text1"/>
        </w:rPr>
        <w:t>Plans Theme</w:t>
      </w:r>
      <w:r w:rsidRPr="00871AA8">
        <w:rPr>
          <w:rFonts w:ascii="Arial" w:hAnsi="Arial" w:cs="Arial"/>
          <w:color w:val="000000" w:themeColor="text1"/>
        </w:rPr>
        <w:t>, focusing on product-based planning and defined acceptance criteria.</w:t>
      </w:r>
    </w:p>
    <w:p w14:paraId="75945947" w14:textId="77777777" w:rsidR="007B0413" w:rsidRPr="00871AA8" w:rsidRDefault="007B0413" w:rsidP="007B0413">
      <w:pPr>
        <w:tabs>
          <w:tab w:val="left" w:pos="142"/>
        </w:tabs>
        <w:spacing w:line="360" w:lineRule="auto"/>
        <w:rPr>
          <w:rFonts w:ascii="Arial" w:hAnsi="Arial" w:cs="Arial"/>
          <w:color w:val="000000" w:themeColor="text1"/>
        </w:rPr>
      </w:pPr>
    </w:p>
    <w:p w14:paraId="5731F1E0" w14:textId="77777777" w:rsidR="007B0413" w:rsidRPr="00871AA8" w:rsidRDefault="007B0413" w:rsidP="00871AA8">
      <w:pPr>
        <w:pStyle w:val="Heading2"/>
        <w:rPr>
          <w:color w:val="000000" w:themeColor="text1"/>
        </w:rPr>
      </w:pPr>
      <w:bookmarkStart w:id="32" w:name="_Toc214099207"/>
      <w:r w:rsidRPr="00871AA8">
        <w:rPr>
          <w:color w:val="000000" w:themeColor="text1"/>
        </w:rPr>
        <w:t>9. Risk Analysis</w:t>
      </w:r>
      <w:bookmarkEnd w:id="32"/>
    </w:p>
    <w:p w14:paraId="32190C98"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Risk management is informed by PRINCE2’s </w:t>
      </w:r>
      <w:r w:rsidRPr="00871AA8">
        <w:rPr>
          <w:rFonts w:ascii="Arial" w:hAnsi="Arial" w:cs="Arial"/>
          <w:b/>
          <w:bCs/>
          <w:color w:val="000000" w:themeColor="text1"/>
        </w:rPr>
        <w:t>Risk Theme</w:t>
      </w:r>
      <w:r w:rsidRPr="00871AA8">
        <w:rPr>
          <w:rFonts w:ascii="Arial" w:hAnsi="Arial" w:cs="Arial"/>
          <w:color w:val="000000" w:themeColor="text1"/>
        </w:rPr>
        <w:t>, which requires continuous identification, assessment, and control, as well as PMBOK’s structured risk-management processes.</w:t>
      </w:r>
    </w:p>
    <w:p w14:paraId="09898D52" w14:textId="77777777" w:rsidR="007B0413" w:rsidRPr="00871AA8" w:rsidRDefault="007B0413" w:rsidP="007B0413">
      <w:pPr>
        <w:tabs>
          <w:tab w:val="left" w:pos="142"/>
        </w:tabs>
        <w:spacing w:line="360" w:lineRule="auto"/>
        <w:rPr>
          <w:rFonts w:ascii="Arial" w:hAnsi="Arial" w:cs="Arial"/>
          <w:color w:val="000000" w:themeColor="text1"/>
        </w:rPr>
      </w:pPr>
    </w:p>
    <w:p w14:paraId="7CFF43D3" w14:textId="77777777" w:rsidR="007B0413" w:rsidRPr="00871AA8" w:rsidRDefault="007B0413" w:rsidP="00871AA8">
      <w:pPr>
        <w:pStyle w:val="Heading3"/>
        <w:rPr>
          <w:color w:val="000000" w:themeColor="text1"/>
        </w:rPr>
      </w:pPr>
      <w:bookmarkStart w:id="33" w:name="_Toc214099208"/>
      <w:r w:rsidRPr="00871AA8">
        <w:rPr>
          <w:color w:val="000000" w:themeColor="text1"/>
        </w:rPr>
        <w:t>9.1 Risk Identification</w:t>
      </w:r>
      <w:bookmarkEnd w:id="33"/>
    </w:p>
    <w:p w14:paraId="67D9E8F7"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Extreme weather recurrences</w:t>
      </w:r>
      <w:r w:rsidRPr="00871AA8">
        <w:rPr>
          <w:rFonts w:ascii="Arial" w:hAnsi="Arial" w:cs="Arial"/>
          <w:color w:val="000000" w:themeColor="text1"/>
        </w:rPr>
        <w:t xml:space="preserve"> may delay construction.</w:t>
      </w:r>
    </w:p>
    <w:p w14:paraId="2DCB3A8D"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Supply-chain shortages</w:t>
      </w:r>
      <w:r w:rsidRPr="00871AA8">
        <w:rPr>
          <w:rFonts w:ascii="Arial" w:hAnsi="Arial" w:cs="Arial"/>
          <w:color w:val="000000" w:themeColor="text1"/>
        </w:rPr>
        <w:t xml:space="preserve"> of steel, concrete, or machinery.</w:t>
      </w:r>
    </w:p>
    <w:p w14:paraId="6891FF7F"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Cost overruns</w:t>
      </w:r>
      <w:r w:rsidRPr="00871AA8">
        <w:rPr>
          <w:rFonts w:ascii="Arial" w:hAnsi="Arial" w:cs="Arial"/>
          <w:color w:val="000000" w:themeColor="text1"/>
        </w:rPr>
        <w:t xml:space="preserve"> due to inflation.</w:t>
      </w:r>
    </w:p>
    <w:p w14:paraId="4403A7E4"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Environmental non-compliance penalties.</w:t>
      </w:r>
    </w:p>
    <w:p w14:paraId="5B4CC03A"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Funding risk</w:t>
      </w:r>
      <w:r w:rsidRPr="00871AA8">
        <w:rPr>
          <w:rFonts w:ascii="Arial" w:hAnsi="Arial" w:cs="Arial"/>
          <w:color w:val="000000" w:themeColor="text1"/>
        </w:rPr>
        <w:t xml:space="preserve"> if bank lending conditions tighten.</w:t>
      </w:r>
    </w:p>
    <w:p w14:paraId="2A774837" w14:textId="77777777" w:rsidR="007B0413" w:rsidRPr="00871AA8" w:rsidRDefault="007B0413" w:rsidP="007B0413">
      <w:pPr>
        <w:numPr>
          <w:ilvl w:val="0"/>
          <w:numId w:val="17"/>
        </w:numPr>
        <w:tabs>
          <w:tab w:val="left" w:pos="142"/>
        </w:tabs>
        <w:spacing w:line="360" w:lineRule="auto"/>
        <w:rPr>
          <w:rFonts w:ascii="Arial" w:hAnsi="Arial" w:cs="Arial"/>
          <w:color w:val="000000" w:themeColor="text1"/>
        </w:rPr>
      </w:pPr>
      <w:r w:rsidRPr="00871AA8">
        <w:rPr>
          <w:rFonts w:ascii="Arial" w:hAnsi="Arial" w:cs="Arial"/>
          <w:b/>
          <w:bCs/>
          <w:color w:val="000000" w:themeColor="text1"/>
        </w:rPr>
        <w:t>Workplace accidents</w:t>
      </w:r>
      <w:r w:rsidRPr="00871AA8">
        <w:rPr>
          <w:rFonts w:ascii="Arial" w:hAnsi="Arial" w:cs="Arial"/>
          <w:color w:val="000000" w:themeColor="text1"/>
        </w:rPr>
        <w:t xml:space="preserve"> during large-scale reconstruction.</w:t>
      </w:r>
    </w:p>
    <w:p w14:paraId="3D1A22F9" w14:textId="77777777" w:rsidR="007B0413" w:rsidRPr="00871AA8" w:rsidRDefault="007B0413" w:rsidP="007B0413">
      <w:pPr>
        <w:tabs>
          <w:tab w:val="left" w:pos="142"/>
        </w:tabs>
        <w:spacing w:line="360" w:lineRule="auto"/>
        <w:ind w:left="720"/>
        <w:rPr>
          <w:rFonts w:ascii="Arial" w:hAnsi="Arial" w:cs="Arial"/>
          <w:color w:val="000000" w:themeColor="text1"/>
        </w:rPr>
      </w:pPr>
    </w:p>
    <w:p w14:paraId="2EBC7EC1" w14:textId="77777777" w:rsidR="007B0413" w:rsidRPr="00871AA8" w:rsidRDefault="007B0413" w:rsidP="00871AA8">
      <w:pPr>
        <w:pStyle w:val="Heading3"/>
        <w:rPr>
          <w:color w:val="000000" w:themeColor="text1"/>
        </w:rPr>
      </w:pPr>
      <w:bookmarkStart w:id="34" w:name="_Toc214099209"/>
      <w:r w:rsidRPr="00871AA8">
        <w:rPr>
          <w:color w:val="000000" w:themeColor="text1"/>
        </w:rPr>
        <w:t>9.2 Risk Assessment Matrix</w:t>
      </w:r>
      <w:bookmarkEnd w:id="34"/>
    </w:p>
    <w:tbl>
      <w:tblPr>
        <w:tblStyle w:val="TableGridLight"/>
        <w:tblW w:w="0" w:type="auto"/>
        <w:tblLook w:val="04A0" w:firstRow="1" w:lastRow="0" w:firstColumn="1" w:lastColumn="0" w:noHBand="0" w:noVBand="1"/>
      </w:tblPr>
      <w:tblGrid>
        <w:gridCol w:w="2320"/>
        <w:gridCol w:w="1316"/>
        <w:gridCol w:w="999"/>
        <w:gridCol w:w="4264"/>
      </w:tblGrid>
      <w:tr w:rsidR="00871AA8" w:rsidRPr="00871AA8" w14:paraId="5D22E849" w14:textId="77777777" w:rsidTr="00B719AA">
        <w:tc>
          <w:tcPr>
            <w:tcW w:w="0" w:type="auto"/>
            <w:hideMark/>
          </w:tcPr>
          <w:p w14:paraId="105772DB"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Risk</w:t>
            </w:r>
          </w:p>
        </w:tc>
        <w:tc>
          <w:tcPr>
            <w:tcW w:w="0" w:type="auto"/>
            <w:hideMark/>
          </w:tcPr>
          <w:p w14:paraId="05DDECA4"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Likelihood</w:t>
            </w:r>
          </w:p>
        </w:tc>
        <w:tc>
          <w:tcPr>
            <w:tcW w:w="0" w:type="auto"/>
            <w:hideMark/>
          </w:tcPr>
          <w:p w14:paraId="2DCC0215"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Impact</w:t>
            </w:r>
          </w:p>
        </w:tc>
        <w:tc>
          <w:tcPr>
            <w:tcW w:w="0" w:type="auto"/>
            <w:hideMark/>
          </w:tcPr>
          <w:p w14:paraId="0678A371" w14:textId="77777777" w:rsidR="007B0413" w:rsidRPr="00871AA8" w:rsidRDefault="007B0413" w:rsidP="007B0413">
            <w:pPr>
              <w:tabs>
                <w:tab w:val="left" w:pos="142"/>
              </w:tabs>
              <w:spacing w:after="160" w:line="360" w:lineRule="auto"/>
              <w:rPr>
                <w:rFonts w:ascii="Arial" w:hAnsi="Arial" w:cs="Arial"/>
                <w:b/>
                <w:bCs/>
                <w:color w:val="000000" w:themeColor="text1"/>
              </w:rPr>
            </w:pPr>
            <w:r w:rsidRPr="00871AA8">
              <w:rPr>
                <w:rFonts w:ascii="Arial" w:hAnsi="Arial" w:cs="Arial"/>
                <w:b/>
                <w:bCs/>
                <w:color w:val="000000" w:themeColor="text1"/>
              </w:rPr>
              <w:t>Response Strategy</w:t>
            </w:r>
          </w:p>
        </w:tc>
      </w:tr>
      <w:tr w:rsidR="00871AA8" w:rsidRPr="00871AA8" w14:paraId="05D4D76E" w14:textId="77777777" w:rsidTr="00B719AA">
        <w:tc>
          <w:tcPr>
            <w:tcW w:w="0" w:type="auto"/>
            <w:hideMark/>
          </w:tcPr>
          <w:p w14:paraId="1F36283D"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Extreme weather</w:t>
            </w:r>
          </w:p>
        </w:tc>
        <w:tc>
          <w:tcPr>
            <w:tcW w:w="0" w:type="auto"/>
            <w:hideMark/>
          </w:tcPr>
          <w:p w14:paraId="7BB27F54"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w:t>
            </w:r>
          </w:p>
        </w:tc>
        <w:tc>
          <w:tcPr>
            <w:tcW w:w="0" w:type="auto"/>
            <w:hideMark/>
          </w:tcPr>
          <w:p w14:paraId="09CBAB2F"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w:t>
            </w:r>
          </w:p>
        </w:tc>
        <w:tc>
          <w:tcPr>
            <w:tcW w:w="0" w:type="auto"/>
            <w:hideMark/>
          </w:tcPr>
          <w:p w14:paraId="6572F2AE"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Contingency buffers; flexible scheduling</w:t>
            </w:r>
          </w:p>
        </w:tc>
      </w:tr>
      <w:tr w:rsidR="00871AA8" w:rsidRPr="00871AA8" w14:paraId="7329E692" w14:textId="77777777" w:rsidTr="00B719AA">
        <w:tc>
          <w:tcPr>
            <w:tcW w:w="0" w:type="auto"/>
            <w:hideMark/>
          </w:tcPr>
          <w:p w14:paraId="51593EBF"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Supply shortages</w:t>
            </w:r>
          </w:p>
        </w:tc>
        <w:tc>
          <w:tcPr>
            <w:tcW w:w="0" w:type="auto"/>
            <w:hideMark/>
          </w:tcPr>
          <w:p w14:paraId="67C91088"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278C27DF"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w:t>
            </w:r>
          </w:p>
        </w:tc>
        <w:tc>
          <w:tcPr>
            <w:tcW w:w="0" w:type="auto"/>
            <w:hideMark/>
          </w:tcPr>
          <w:p w14:paraId="46E25028"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Multiple suppliers; early procurement</w:t>
            </w:r>
          </w:p>
        </w:tc>
      </w:tr>
      <w:tr w:rsidR="00871AA8" w:rsidRPr="00871AA8" w14:paraId="0E6233AF" w14:textId="77777777" w:rsidTr="00B719AA">
        <w:tc>
          <w:tcPr>
            <w:tcW w:w="0" w:type="auto"/>
            <w:hideMark/>
          </w:tcPr>
          <w:p w14:paraId="297F594A"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Cost inflation</w:t>
            </w:r>
          </w:p>
        </w:tc>
        <w:tc>
          <w:tcPr>
            <w:tcW w:w="0" w:type="auto"/>
            <w:hideMark/>
          </w:tcPr>
          <w:p w14:paraId="1591353E"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7EB43854"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62E1E02E"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Contingency budget; fixed-price contracts</w:t>
            </w:r>
          </w:p>
        </w:tc>
      </w:tr>
      <w:tr w:rsidR="00871AA8" w:rsidRPr="00871AA8" w14:paraId="0E1D7D29" w14:textId="77777777" w:rsidTr="00B719AA">
        <w:tc>
          <w:tcPr>
            <w:tcW w:w="0" w:type="auto"/>
            <w:hideMark/>
          </w:tcPr>
          <w:p w14:paraId="6865746C"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Environmental delays</w:t>
            </w:r>
          </w:p>
        </w:tc>
        <w:tc>
          <w:tcPr>
            <w:tcW w:w="0" w:type="auto"/>
            <w:hideMark/>
          </w:tcPr>
          <w:p w14:paraId="173047C0"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323D5589"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760738DD"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Early regulatory engagement</w:t>
            </w:r>
          </w:p>
        </w:tc>
      </w:tr>
      <w:tr w:rsidR="00871AA8" w:rsidRPr="00871AA8" w14:paraId="0329B568" w14:textId="77777777" w:rsidTr="00B719AA">
        <w:tc>
          <w:tcPr>
            <w:tcW w:w="0" w:type="auto"/>
            <w:hideMark/>
          </w:tcPr>
          <w:p w14:paraId="1C573F93"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Funding volatility</w:t>
            </w:r>
          </w:p>
        </w:tc>
        <w:tc>
          <w:tcPr>
            <w:tcW w:w="0" w:type="auto"/>
            <w:hideMark/>
          </w:tcPr>
          <w:p w14:paraId="5A2EAE49"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Low</w:t>
            </w:r>
          </w:p>
        </w:tc>
        <w:tc>
          <w:tcPr>
            <w:tcW w:w="0" w:type="auto"/>
            <w:hideMark/>
          </w:tcPr>
          <w:p w14:paraId="4BE11616"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w:t>
            </w:r>
          </w:p>
        </w:tc>
        <w:tc>
          <w:tcPr>
            <w:tcW w:w="0" w:type="auto"/>
            <w:hideMark/>
          </w:tcPr>
          <w:p w14:paraId="15193598"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Diversified funding sources</w:t>
            </w:r>
          </w:p>
        </w:tc>
      </w:tr>
      <w:tr w:rsidR="007B0413" w:rsidRPr="00871AA8" w14:paraId="32B75908" w14:textId="77777777" w:rsidTr="00B719AA">
        <w:tc>
          <w:tcPr>
            <w:tcW w:w="0" w:type="auto"/>
            <w:hideMark/>
          </w:tcPr>
          <w:p w14:paraId="7220F832"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Safety incidents</w:t>
            </w:r>
          </w:p>
        </w:tc>
        <w:tc>
          <w:tcPr>
            <w:tcW w:w="0" w:type="auto"/>
            <w:hideMark/>
          </w:tcPr>
          <w:p w14:paraId="75DE96D1"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Medium</w:t>
            </w:r>
          </w:p>
        </w:tc>
        <w:tc>
          <w:tcPr>
            <w:tcW w:w="0" w:type="auto"/>
            <w:hideMark/>
          </w:tcPr>
          <w:p w14:paraId="774CBC0B"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High</w:t>
            </w:r>
          </w:p>
        </w:tc>
        <w:tc>
          <w:tcPr>
            <w:tcW w:w="0" w:type="auto"/>
            <w:hideMark/>
          </w:tcPr>
          <w:p w14:paraId="55D6F665" w14:textId="77777777" w:rsidR="007B0413" w:rsidRPr="00871AA8" w:rsidRDefault="007B0413" w:rsidP="007B0413">
            <w:pPr>
              <w:tabs>
                <w:tab w:val="left" w:pos="142"/>
              </w:tabs>
              <w:spacing w:after="160" w:line="360" w:lineRule="auto"/>
              <w:rPr>
                <w:rFonts w:ascii="Arial" w:hAnsi="Arial" w:cs="Arial"/>
                <w:color w:val="000000" w:themeColor="text1"/>
              </w:rPr>
            </w:pPr>
            <w:r w:rsidRPr="00871AA8">
              <w:rPr>
                <w:rFonts w:ascii="Arial" w:hAnsi="Arial" w:cs="Arial"/>
                <w:color w:val="000000" w:themeColor="text1"/>
              </w:rPr>
              <w:t>Strict safety protocols; training</w:t>
            </w:r>
          </w:p>
        </w:tc>
      </w:tr>
    </w:tbl>
    <w:p w14:paraId="3EDF67AA" w14:textId="77777777" w:rsidR="007B0413" w:rsidRPr="00871AA8" w:rsidRDefault="007B0413" w:rsidP="007B0413">
      <w:pPr>
        <w:tabs>
          <w:tab w:val="left" w:pos="142"/>
        </w:tabs>
        <w:spacing w:line="360" w:lineRule="auto"/>
        <w:rPr>
          <w:rFonts w:ascii="Arial" w:hAnsi="Arial" w:cs="Arial"/>
          <w:b/>
          <w:bCs/>
          <w:color w:val="000000" w:themeColor="text1"/>
        </w:rPr>
      </w:pPr>
    </w:p>
    <w:p w14:paraId="1B98C3D8" w14:textId="77777777" w:rsidR="007B0413" w:rsidRPr="00871AA8" w:rsidRDefault="007B0413" w:rsidP="007B0413">
      <w:pPr>
        <w:tabs>
          <w:tab w:val="left" w:pos="142"/>
        </w:tabs>
        <w:spacing w:line="360" w:lineRule="auto"/>
        <w:rPr>
          <w:rFonts w:ascii="Arial" w:hAnsi="Arial" w:cs="Arial"/>
          <w:b/>
          <w:bCs/>
          <w:color w:val="000000" w:themeColor="text1"/>
        </w:rPr>
      </w:pPr>
    </w:p>
    <w:p w14:paraId="697C6AA3" w14:textId="77777777" w:rsidR="007B0413" w:rsidRPr="00871AA8" w:rsidRDefault="007B0413" w:rsidP="007B0413">
      <w:pPr>
        <w:tabs>
          <w:tab w:val="left" w:pos="142"/>
        </w:tabs>
        <w:spacing w:line="360" w:lineRule="auto"/>
        <w:rPr>
          <w:rFonts w:ascii="Arial" w:hAnsi="Arial" w:cs="Arial"/>
          <w:b/>
          <w:bCs/>
          <w:color w:val="000000" w:themeColor="text1"/>
        </w:rPr>
      </w:pPr>
    </w:p>
    <w:p w14:paraId="4E9DFC33" w14:textId="77777777" w:rsidR="007B0413" w:rsidRPr="00871AA8" w:rsidRDefault="007B0413" w:rsidP="00871AA8">
      <w:pPr>
        <w:pStyle w:val="Heading3"/>
        <w:rPr>
          <w:color w:val="000000" w:themeColor="text1"/>
        </w:rPr>
      </w:pPr>
      <w:bookmarkStart w:id="35" w:name="_Toc214099210"/>
      <w:r w:rsidRPr="00871AA8">
        <w:rPr>
          <w:color w:val="000000" w:themeColor="text1"/>
        </w:rPr>
        <w:lastRenderedPageBreak/>
        <w:t>9.3 Qualitative and Quantitative Techniques</w:t>
      </w:r>
      <w:bookmarkEnd w:id="35"/>
    </w:p>
    <w:p w14:paraId="1DE11C5A" w14:textId="77777777" w:rsidR="007B0413" w:rsidRPr="00871AA8" w:rsidRDefault="007B0413" w:rsidP="007B0413">
      <w:pPr>
        <w:tabs>
          <w:tab w:val="left" w:pos="142"/>
        </w:tabs>
        <w:spacing w:line="360" w:lineRule="auto"/>
        <w:ind w:left="284"/>
        <w:rPr>
          <w:rFonts w:ascii="Arial" w:hAnsi="Arial" w:cs="Arial"/>
          <w:color w:val="000000" w:themeColor="text1"/>
        </w:rPr>
      </w:pPr>
      <w:r w:rsidRPr="00871AA8">
        <w:rPr>
          <w:rFonts w:ascii="Arial" w:hAnsi="Arial" w:cs="Arial"/>
          <w:color w:val="000000" w:themeColor="text1"/>
        </w:rPr>
        <w:t>To strengthen the project’s risk-management capability, several advanced analytical tools are incorporated in alignment with PRINCE2’s Risk Theme and PMBOK’s structured guidelines (Axelos, 2017; PMI, 2021). These techniques support more accurate planning, improved preparedness, and proactive mitigation.</w:t>
      </w:r>
    </w:p>
    <w:p w14:paraId="60096AC8" w14:textId="77777777" w:rsidR="007B0413" w:rsidRPr="00871AA8" w:rsidRDefault="007B0413" w:rsidP="007B0413">
      <w:pPr>
        <w:tabs>
          <w:tab w:val="left" w:pos="142"/>
        </w:tabs>
        <w:spacing w:line="360" w:lineRule="auto"/>
        <w:ind w:left="284"/>
        <w:rPr>
          <w:rFonts w:ascii="Arial" w:hAnsi="Arial" w:cs="Arial"/>
          <w:color w:val="000000" w:themeColor="text1"/>
        </w:rPr>
      </w:pPr>
    </w:p>
    <w:p w14:paraId="64525C70" w14:textId="77777777" w:rsidR="007B0413" w:rsidRPr="00871AA8" w:rsidRDefault="007B0413" w:rsidP="007B0413">
      <w:pPr>
        <w:tabs>
          <w:tab w:val="left" w:pos="142"/>
        </w:tabs>
        <w:spacing w:line="360" w:lineRule="auto"/>
        <w:ind w:left="284"/>
        <w:rPr>
          <w:rFonts w:ascii="Arial" w:hAnsi="Arial" w:cs="Arial"/>
          <w:b/>
          <w:bCs/>
          <w:color w:val="000000" w:themeColor="text1"/>
        </w:rPr>
      </w:pPr>
      <w:r w:rsidRPr="00871AA8">
        <w:rPr>
          <w:rFonts w:ascii="Arial" w:hAnsi="Arial" w:cs="Arial"/>
          <w:b/>
          <w:bCs/>
          <w:color w:val="000000" w:themeColor="text1"/>
        </w:rPr>
        <w:t>SWOT Analysis</w:t>
      </w:r>
    </w:p>
    <w:p w14:paraId="46B1101A" w14:textId="77777777" w:rsidR="007B0413" w:rsidRPr="00871AA8" w:rsidRDefault="007B0413" w:rsidP="007B0413">
      <w:pPr>
        <w:tabs>
          <w:tab w:val="left" w:pos="142"/>
        </w:tabs>
        <w:spacing w:line="360" w:lineRule="auto"/>
        <w:ind w:left="284"/>
        <w:rPr>
          <w:rFonts w:ascii="Arial" w:hAnsi="Arial" w:cs="Arial"/>
          <w:color w:val="000000" w:themeColor="text1"/>
        </w:rPr>
      </w:pPr>
      <w:r w:rsidRPr="00871AA8">
        <w:rPr>
          <w:rFonts w:ascii="Arial" w:hAnsi="Arial" w:cs="Arial"/>
          <w:color w:val="000000" w:themeColor="text1"/>
        </w:rPr>
        <w:t>A SWOT analysis provides a structured overview of internal and external factors influencing the project, allowing the project board and management team to better anticipate vulnerabilities and opportunities.</w:t>
      </w:r>
    </w:p>
    <w:p w14:paraId="11C38001" w14:textId="77777777" w:rsidR="007B0413" w:rsidRPr="00871AA8" w:rsidRDefault="007B0413" w:rsidP="007B0413">
      <w:pPr>
        <w:tabs>
          <w:tab w:val="left" w:pos="142"/>
        </w:tabs>
        <w:spacing w:line="360" w:lineRule="auto"/>
        <w:ind w:left="284"/>
        <w:rPr>
          <w:rFonts w:ascii="Arial" w:hAnsi="Arial" w:cs="Arial"/>
          <w:b/>
          <w:bCs/>
          <w:color w:val="000000" w:themeColor="text1"/>
        </w:rPr>
      </w:pPr>
      <w:r w:rsidRPr="00871AA8">
        <w:rPr>
          <w:rFonts w:ascii="Arial" w:hAnsi="Arial" w:cs="Arial"/>
          <w:b/>
          <w:bCs/>
          <w:color w:val="000000" w:themeColor="text1"/>
        </w:rPr>
        <w:t>Strengths</w:t>
      </w:r>
    </w:p>
    <w:p w14:paraId="14124F94" w14:textId="77777777" w:rsidR="007B0413" w:rsidRPr="00871AA8" w:rsidRDefault="007B0413" w:rsidP="007B0413">
      <w:pPr>
        <w:numPr>
          <w:ilvl w:val="0"/>
          <w:numId w:val="18"/>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Strong governmental commitment, ensuring prioritisation, policy support, and rapid decision-making.</w:t>
      </w:r>
    </w:p>
    <w:p w14:paraId="1D83907F" w14:textId="77777777" w:rsidR="007B0413" w:rsidRPr="00871AA8" w:rsidRDefault="007B0413" w:rsidP="007B0413">
      <w:pPr>
        <w:numPr>
          <w:ilvl w:val="0"/>
          <w:numId w:val="18"/>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Availability of specialist engineering, environmental and geotechnical expertise in Canada.</w:t>
      </w:r>
    </w:p>
    <w:p w14:paraId="5B4B26A9" w14:textId="77777777" w:rsidR="007B0413" w:rsidRPr="00871AA8" w:rsidRDefault="007B0413" w:rsidP="007B0413">
      <w:pPr>
        <w:numPr>
          <w:ilvl w:val="0"/>
          <w:numId w:val="18"/>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PRINCE2 governance ensures clear roles, defined responsibilities, and consistent risk escalation pathways.</w:t>
      </w:r>
    </w:p>
    <w:p w14:paraId="6D170905" w14:textId="77777777" w:rsidR="007B0413" w:rsidRPr="00871AA8" w:rsidRDefault="007B0413" w:rsidP="007B0413">
      <w:pPr>
        <w:numPr>
          <w:ilvl w:val="0"/>
          <w:numId w:val="18"/>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High stakeholder alignment, as economic and community interests strongly favour rapid reconstruction of Highway 5.</w:t>
      </w:r>
    </w:p>
    <w:p w14:paraId="27C1E6AD" w14:textId="77777777" w:rsidR="007B0413" w:rsidRPr="00871AA8" w:rsidRDefault="007B0413" w:rsidP="007B0413">
      <w:pPr>
        <w:tabs>
          <w:tab w:val="left" w:pos="142"/>
          <w:tab w:val="left" w:pos="426"/>
          <w:tab w:val="num" w:pos="567"/>
        </w:tabs>
        <w:spacing w:line="360" w:lineRule="auto"/>
        <w:ind w:left="709"/>
        <w:rPr>
          <w:rFonts w:ascii="Arial" w:hAnsi="Arial" w:cs="Arial"/>
          <w:b/>
          <w:bCs/>
          <w:color w:val="000000" w:themeColor="text1"/>
        </w:rPr>
      </w:pPr>
      <w:r w:rsidRPr="00871AA8">
        <w:rPr>
          <w:rFonts w:ascii="Arial" w:hAnsi="Arial" w:cs="Arial"/>
          <w:b/>
          <w:bCs/>
          <w:color w:val="000000" w:themeColor="text1"/>
        </w:rPr>
        <w:t>Weaknesses</w:t>
      </w:r>
    </w:p>
    <w:p w14:paraId="54BB3704" w14:textId="77777777" w:rsidR="007B0413" w:rsidRPr="00871AA8" w:rsidRDefault="007B0413" w:rsidP="007B0413">
      <w:pPr>
        <w:numPr>
          <w:ilvl w:val="0"/>
          <w:numId w:val="19"/>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Difficult mountainous terrain increases construction complexity and hazard exposure.</w:t>
      </w:r>
    </w:p>
    <w:p w14:paraId="2D3A68D3" w14:textId="77777777" w:rsidR="007B0413" w:rsidRPr="00871AA8" w:rsidRDefault="007B0413" w:rsidP="007B0413">
      <w:pPr>
        <w:numPr>
          <w:ilvl w:val="0"/>
          <w:numId w:val="19"/>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Heavy dependence on global supply chains for steel, asphalt, and heavy machinery.</w:t>
      </w:r>
    </w:p>
    <w:p w14:paraId="34D42E5C" w14:textId="77777777" w:rsidR="007B0413" w:rsidRPr="00871AA8" w:rsidRDefault="007B0413" w:rsidP="007B0413">
      <w:pPr>
        <w:numPr>
          <w:ilvl w:val="0"/>
          <w:numId w:val="19"/>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Existing labour shortages in skilled construction trades may extend timelines.</w:t>
      </w:r>
    </w:p>
    <w:p w14:paraId="4B0352BE" w14:textId="77777777" w:rsidR="007B0413" w:rsidRPr="00871AA8" w:rsidRDefault="007B0413" w:rsidP="007B0413">
      <w:pPr>
        <w:numPr>
          <w:ilvl w:val="0"/>
          <w:numId w:val="19"/>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High sensitivity of project costs to inflation, limiting financial predictability.</w:t>
      </w:r>
    </w:p>
    <w:p w14:paraId="598A1C43" w14:textId="77777777" w:rsidR="007B0413" w:rsidRPr="00871AA8" w:rsidRDefault="007B0413" w:rsidP="007B0413">
      <w:pPr>
        <w:tabs>
          <w:tab w:val="left" w:pos="142"/>
          <w:tab w:val="left" w:pos="426"/>
          <w:tab w:val="num" w:pos="567"/>
        </w:tabs>
        <w:spacing w:line="360" w:lineRule="auto"/>
        <w:ind w:left="709"/>
        <w:rPr>
          <w:rFonts w:ascii="Arial" w:hAnsi="Arial" w:cs="Arial"/>
          <w:b/>
          <w:bCs/>
          <w:color w:val="000000" w:themeColor="text1"/>
        </w:rPr>
      </w:pPr>
      <w:r w:rsidRPr="00871AA8">
        <w:rPr>
          <w:rFonts w:ascii="Arial" w:hAnsi="Arial" w:cs="Arial"/>
          <w:b/>
          <w:bCs/>
          <w:color w:val="000000" w:themeColor="text1"/>
        </w:rPr>
        <w:t>Opportunities</w:t>
      </w:r>
    </w:p>
    <w:p w14:paraId="226B1CFE" w14:textId="77777777" w:rsidR="007B0413" w:rsidRPr="00871AA8" w:rsidRDefault="007B0413" w:rsidP="007B0413">
      <w:pPr>
        <w:numPr>
          <w:ilvl w:val="0"/>
          <w:numId w:val="20"/>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Ability to integrate modern climate-resilient design principles, enhancing long-term infrastructure durability.</w:t>
      </w:r>
    </w:p>
    <w:p w14:paraId="02441046" w14:textId="77777777" w:rsidR="007B0413" w:rsidRPr="00871AA8" w:rsidRDefault="007B0413" w:rsidP="007B0413">
      <w:pPr>
        <w:numPr>
          <w:ilvl w:val="0"/>
          <w:numId w:val="20"/>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Potential to introduce innovative drainage and slope-stabilisation technologies.</w:t>
      </w:r>
    </w:p>
    <w:p w14:paraId="0830F24C" w14:textId="77777777" w:rsidR="007B0413" w:rsidRPr="00871AA8" w:rsidRDefault="007B0413" w:rsidP="007B0413">
      <w:pPr>
        <w:numPr>
          <w:ilvl w:val="0"/>
          <w:numId w:val="20"/>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lastRenderedPageBreak/>
        <w:t>Strengthened collaboration with financial institutions such as HSBC Canada, which support resilient infrastructure investment.</w:t>
      </w:r>
    </w:p>
    <w:p w14:paraId="58CC0F2C" w14:textId="77777777" w:rsidR="007B0413" w:rsidRPr="00871AA8" w:rsidRDefault="007B0413" w:rsidP="007B0413">
      <w:pPr>
        <w:numPr>
          <w:ilvl w:val="0"/>
          <w:numId w:val="20"/>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Improved design standards may significantly reduce economic losses from future extreme weather events.</w:t>
      </w:r>
    </w:p>
    <w:p w14:paraId="276EF959" w14:textId="77777777" w:rsidR="007B0413" w:rsidRPr="00871AA8" w:rsidRDefault="007B0413" w:rsidP="007B0413">
      <w:pPr>
        <w:tabs>
          <w:tab w:val="left" w:pos="142"/>
          <w:tab w:val="left" w:pos="426"/>
          <w:tab w:val="num" w:pos="567"/>
        </w:tabs>
        <w:spacing w:line="360" w:lineRule="auto"/>
        <w:ind w:left="709"/>
        <w:rPr>
          <w:rFonts w:ascii="Arial" w:hAnsi="Arial" w:cs="Arial"/>
          <w:b/>
          <w:bCs/>
          <w:color w:val="000000" w:themeColor="text1"/>
        </w:rPr>
      </w:pPr>
      <w:r w:rsidRPr="00871AA8">
        <w:rPr>
          <w:rFonts w:ascii="Arial" w:hAnsi="Arial" w:cs="Arial"/>
          <w:b/>
          <w:bCs/>
          <w:color w:val="000000" w:themeColor="text1"/>
        </w:rPr>
        <w:t>Threats</w:t>
      </w:r>
    </w:p>
    <w:p w14:paraId="676084E0" w14:textId="77777777" w:rsidR="007B0413" w:rsidRPr="00871AA8" w:rsidRDefault="007B0413" w:rsidP="007B0413">
      <w:pPr>
        <w:numPr>
          <w:ilvl w:val="0"/>
          <w:numId w:val="21"/>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Recurring severe weather events may cause delays or damage partially completed works.</w:t>
      </w:r>
    </w:p>
    <w:p w14:paraId="7CD67264" w14:textId="77777777" w:rsidR="007B0413" w:rsidRPr="00871AA8" w:rsidRDefault="007B0413" w:rsidP="007B0413">
      <w:pPr>
        <w:numPr>
          <w:ilvl w:val="0"/>
          <w:numId w:val="21"/>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Changes in environmental regulations could introduce additional compliance steps or redesigns.</w:t>
      </w:r>
    </w:p>
    <w:p w14:paraId="49EF718B" w14:textId="77777777" w:rsidR="007B0413" w:rsidRPr="00871AA8" w:rsidRDefault="007B0413" w:rsidP="007B0413">
      <w:pPr>
        <w:numPr>
          <w:ilvl w:val="0"/>
          <w:numId w:val="21"/>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Funding risks may emerge if market or interest-rate conditions shift unfavourably.</w:t>
      </w:r>
    </w:p>
    <w:p w14:paraId="01E3CE39" w14:textId="77777777" w:rsidR="007B0413" w:rsidRPr="00871AA8" w:rsidRDefault="007B0413" w:rsidP="007B0413">
      <w:pPr>
        <w:numPr>
          <w:ilvl w:val="0"/>
          <w:numId w:val="21"/>
        </w:numPr>
        <w:tabs>
          <w:tab w:val="clear" w:pos="720"/>
          <w:tab w:val="left" w:pos="142"/>
          <w:tab w:val="left" w:pos="426"/>
          <w:tab w:val="num" w:pos="567"/>
        </w:tabs>
        <w:spacing w:line="360" w:lineRule="auto"/>
        <w:ind w:left="709"/>
        <w:rPr>
          <w:rFonts w:ascii="Arial" w:hAnsi="Arial" w:cs="Arial"/>
          <w:color w:val="000000" w:themeColor="text1"/>
        </w:rPr>
      </w:pPr>
      <w:r w:rsidRPr="00871AA8">
        <w:rPr>
          <w:rFonts w:ascii="Arial" w:hAnsi="Arial" w:cs="Arial"/>
          <w:color w:val="000000" w:themeColor="text1"/>
        </w:rPr>
        <w:t>Safety hazards associated with unstable terrain, steep embankments, and post-disaster work environments.</w:t>
      </w:r>
    </w:p>
    <w:p w14:paraId="1B6B0354" w14:textId="77777777" w:rsidR="007B0413" w:rsidRPr="00871AA8" w:rsidRDefault="007B0413" w:rsidP="007B0413">
      <w:pPr>
        <w:tabs>
          <w:tab w:val="left" w:pos="142"/>
        </w:tabs>
        <w:spacing w:line="360" w:lineRule="auto"/>
        <w:rPr>
          <w:rFonts w:ascii="Arial" w:hAnsi="Arial" w:cs="Arial"/>
          <w:color w:val="000000" w:themeColor="text1"/>
        </w:rPr>
      </w:pPr>
    </w:p>
    <w:p w14:paraId="736B5DD8" w14:textId="77777777" w:rsidR="007B0413" w:rsidRPr="00871AA8" w:rsidRDefault="007B0413" w:rsidP="00871AA8">
      <w:pPr>
        <w:pStyle w:val="Heading2"/>
        <w:rPr>
          <w:color w:val="000000" w:themeColor="text1"/>
        </w:rPr>
      </w:pPr>
      <w:bookmarkStart w:id="36" w:name="_Toc214099211"/>
      <w:r w:rsidRPr="00871AA8">
        <w:rPr>
          <w:color w:val="000000" w:themeColor="text1"/>
        </w:rPr>
        <w:t>10. Conclusion</w:t>
      </w:r>
      <w:bookmarkEnd w:id="36"/>
    </w:p>
    <w:p w14:paraId="78FC1E60"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The post-disaster reconstruction of Highway 5 requires a structured and methodologically sound Project Management Plan due to its complexity, high cost, and socio-economic significance. This PMP demonstrates how PRINCE2 principles, supported by PMBOK processes, can guide the planning, execution, monitoring, and completion of a major infrastructure project. The plan defines a clear scope, structured WBS, Quad Chart, and a Gantt-based schedule, while also detailing stakeholder involvement, resource allocation, and robust risk-management strategies. These components collectively ensure that the project is feasible, well-governed, and capable of restoring a critical transportation corridor in a climate-resilient manner.</w:t>
      </w:r>
    </w:p>
    <w:p w14:paraId="7B265344" w14:textId="77777777" w:rsidR="007B0413" w:rsidRPr="00871AA8" w:rsidRDefault="007B0413" w:rsidP="007B0413">
      <w:pPr>
        <w:tabs>
          <w:tab w:val="left" w:pos="142"/>
        </w:tabs>
        <w:spacing w:line="360" w:lineRule="auto"/>
        <w:rPr>
          <w:rFonts w:ascii="Arial" w:hAnsi="Arial" w:cs="Arial"/>
          <w:color w:val="000000" w:themeColor="text1"/>
        </w:rPr>
      </w:pPr>
    </w:p>
    <w:p w14:paraId="0855446E" w14:textId="77777777" w:rsidR="007B0413" w:rsidRPr="00871AA8" w:rsidRDefault="007B0413" w:rsidP="007B0413">
      <w:pPr>
        <w:tabs>
          <w:tab w:val="left" w:pos="142"/>
        </w:tabs>
        <w:spacing w:line="360" w:lineRule="auto"/>
        <w:rPr>
          <w:rFonts w:ascii="Arial" w:hAnsi="Arial" w:cs="Arial"/>
          <w:color w:val="000000" w:themeColor="text1"/>
        </w:rPr>
      </w:pPr>
    </w:p>
    <w:p w14:paraId="46B845DB" w14:textId="77777777" w:rsidR="007B0413" w:rsidRPr="00871AA8" w:rsidRDefault="007B0413" w:rsidP="007B0413">
      <w:pPr>
        <w:tabs>
          <w:tab w:val="left" w:pos="142"/>
        </w:tabs>
        <w:spacing w:line="360" w:lineRule="auto"/>
        <w:rPr>
          <w:rFonts w:ascii="Arial" w:hAnsi="Arial" w:cs="Arial"/>
          <w:color w:val="000000" w:themeColor="text1"/>
        </w:rPr>
      </w:pPr>
    </w:p>
    <w:p w14:paraId="4FC29A92" w14:textId="77777777" w:rsidR="007B0413" w:rsidRPr="00871AA8" w:rsidRDefault="007B0413" w:rsidP="007B0413">
      <w:pPr>
        <w:tabs>
          <w:tab w:val="left" w:pos="142"/>
        </w:tabs>
        <w:spacing w:line="360" w:lineRule="auto"/>
        <w:rPr>
          <w:rFonts w:ascii="Arial" w:hAnsi="Arial" w:cs="Arial"/>
          <w:color w:val="000000" w:themeColor="text1"/>
        </w:rPr>
      </w:pPr>
    </w:p>
    <w:p w14:paraId="4F440CA7" w14:textId="77777777" w:rsidR="007B0413" w:rsidRPr="00871AA8" w:rsidRDefault="007B0413" w:rsidP="007B0413">
      <w:pPr>
        <w:tabs>
          <w:tab w:val="left" w:pos="142"/>
        </w:tabs>
        <w:spacing w:line="360" w:lineRule="auto"/>
        <w:rPr>
          <w:rFonts w:ascii="Arial" w:hAnsi="Arial" w:cs="Arial"/>
          <w:color w:val="000000" w:themeColor="text1"/>
        </w:rPr>
      </w:pPr>
    </w:p>
    <w:p w14:paraId="04779863" w14:textId="77777777" w:rsidR="007B0413" w:rsidRPr="00871AA8" w:rsidRDefault="007B0413" w:rsidP="007B0413">
      <w:pPr>
        <w:tabs>
          <w:tab w:val="left" w:pos="142"/>
        </w:tabs>
        <w:spacing w:line="360" w:lineRule="auto"/>
        <w:rPr>
          <w:rFonts w:ascii="Arial" w:hAnsi="Arial" w:cs="Arial"/>
          <w:color w:val="000000" w:themeColor="text1"/>
        </w:rPr>
      </w:pPr>
    </w:p>
    <w:p w14:paraId="4A2ED2A7" w14:textId="77777777" w:rsidR="007B0413" w:rsidRPr="00871AA8" w:rsidRDefault="007B0413" w:rsidP="007B0413">
      <w:pPr>
        <w:tabs>
          <w:tab w:val="left" w:pos="142"/>
        </w:tabs>
        <w:spacing w:line="360" w:lineRule="auto"/>
        <w:rPr>
          <w:rFonts w:ascii="Arial" w:hAnsi="Arial" w:cs="Arial"/>
          <w:color w:val="000000" w:themeColor="text1"/>
        </w:rPr>
      </w:pPr>
    </w:p>
    <w:p w14:paraId="01542E55" w14:textId="77777777" w:rsidR="007B0413" w:rsidRPr="00871AA8" w:rsidRDefault="007B0413" w:rsidP="00871AA8">
      <w:pPr>
        <w:pStyle w:val="Heading1"/>
        <w:rPr>
          <w:color w:val="000000" w:themeColor="text1"/>
        </w:rPr>
      </w:pPr>
      <w:bookmarkStart w:id="37" w:name="_Toc214099212"/>
      <w:r w:rsidRPr="00871AA8">
        <w:rPr>
          <w:color w:val="000000" w:themeColor="text1"/>
        </w:rPr>
        <w:lastRenderedPageBreak/>
        <w:t>References</w:t>
      </w:r>
      <w:bookmarkEnd w:id="37"/>
      <w:r w:rsidRPr="00871AA8">
        <w:rPr>
          <w:color w:val="000000" w:themeColor="text1"/>
        </w:rPr>
        <w:t xml:space="preserve"> </w:t>
      </w:r>
    </w:p>
    <w:p w14:paraId="1582284E"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br/>
        <w:t xml:space="preserve">Axelos (2017) </w:t>
      </w:r>
      <w:r w:rsidRPr="00871AA8">
        <w:rPr>
          <w:rFonts w:ascii="Arial" w:hAnsi="Arial" w:cs="Arial"/>
          <w:i/>
          <w:iCs/>
          <w:color w:val="000000" w:themeColor="text1"/>
        </w:rPr>
        <w:t>Managing Successful Projects with PRINCE2</w:t>
      </w:r>
      <w:r w:rsidRPr="00871AA8">
        <w:rPr>
          <w:rFonts w:ascii="Arial" w:hAnsi="Arial" w:cs="Arial"/>
          <w:color w:val="000000" w:themeColor="text1"/>
        </w:rPr>
        <w:t>. 6th ed. London: The Stationery Office.</w:t>
      </w:r>
    </w:p>
    <w:p w14:paraId="3D50FF5F"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Canadian Construction Association (2022) </w:t>
      </w:r>
      <w:r w:rsidRPr="00871AA8">
        <w:rPr>
          <w:rFonts w:ascii="Arial" w:hAnsi="Arial" w:cs="Arial"/>
          <w:i/>
          <w:iCs/>
          <w:color w:val="000000" w:themeColor="text1"/>
        </w:rPr>
        <w:t>Best Practices for Infrastructure Resilience</w:t>
      </w:r>
      <w:r w:rsidRPr="00871AA8">
        <w:rPr>
          <w:rFonts w:ascii="Arial" w:hAnsi="Arial" w:cs="Arial"/>
          <w:color w:val="000000" w:themeColor="text1"/>
        </w:rPr>
        <w:t>. Ottawa: CCA.</w:t>
      </w:r>
    </w:p>
    <w:p w14:paraId="6761A5FB"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Flyvbjerg, B. (2014) ‘What You Should Know About Megaprojects’, </w:t>
      </w:r>
      <w:r w:rsidRPr="00871AA8">
        <w:rPr>
          <w:rFonts w:ascii="Arial" w:hAnsi="Arial" w:cs="Arial"/>
          <w:i/>
          <w:iCs/>
          <w:color w:val="000000" w:themeColor="text1"/>
        </w:rPr>
        <w:t>Project Management Journal</w:t>
      </w:r>
      <w:r w:rsidRPr="00871AA8">
        <w:rPr>
          <w:rFonts w:ascii="Arial" w:hAnsi="Arial" w:cs="Arial"/>
          <w:color w:val="000000" w:themeColor="text1"/>
        </w:rPr>
        <w:t>, 45(2), pp. 6–19.</w:t>
      </w:r>
    </w:p>
    <w:p w14:paraId="282974D6"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HSBC Canada (2023) </w:t>
      </w:r>
      <w:r w:rsidRPr="00871AA8">
        <w:rPr>
          <w:rFonts w:ascii="Arial" w:hAnsi="Arial" w:cs="Arial"/>
          <w:i/>
          <w:iCs/>
          <w:color w:val="000000" w:themeColor="text1"/>
        </w:rPr>
        <w:t>Infrastructure and Project Finance Services</w:t>
      </w:r>
      <w:r w:rsidRPr="00871AA8">
        <w:rPr>
          <w:rFonts w:ascii="Arial" w:hAnsi="Arial" w:cs="Arial"/>
          <w:color w:val="000000" w:themeColor="text1"/>
        </w:rPr>
        <w:t xml:space="preserve">. Available at: </w:t>
      </w:r>
      <w:hyperlink r:id="rId7" w:tgtFrame="_new" w:history="1">
        <w:r w:rsidRPr="00871AA8">
          <w:rPr>
            <w:rStyle w:val="Hyperlink"/>
            <w:rFonts w:ascii="Arial" w:hAnsi="Arial" w:cs="Arial"/>
            <w:color w:val="000000" w:themeColor="text1"/>
          </w:rPr>
          <w:t>https://www.hsbc.ca/commercial</w:t>
        </w:r>
      </w:hyperlink>
      <w:r w:rsidRPr="00871AA8">
        <w:rPr>
          <w:rFonts w:ascii="Arial" w:hAnsi="Arial" w:cs="Arial"/>
          <w:color w:val="000000" w:themeColor="text1"/>
        </w:rPr>
        <w:t>.</w:t>
      </w:r>
    </w:p>
    <w:p w14:paraId="597409BC"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Kerzner, H. (2022) </w:t>
      </w:r>
      <w:r w:rsidRPr="00871AA8">
        <w:rPr>
          <w:rFonts w:ascii="Arial" w:hAnsi="Arial" w:cs="Arial"/>
          <w:i/>
          <w:iCs/>
          <w:color w:val="000000" w:themeColor="text1"/>
        </w:rPr>
        <w:t>Project Management: A Systems Approach to Planning, Scheduling, and Controlling</w:t>
      </w:r>
      <w:r w:rsidRPr="00871AA8">
        <w:rPr>
          <w:rFonts w:ascii="Arial" w:hAnsi="Arial" w:cs="Arial"/>
          <w:color w:val="000000" w:themeColor="text1"/>
        </w:rPr>
        <w:t>. 13th ed. Wiley.</w:t>
      </w:r>
    </w:p>
    <w:p w14:paraId="53A662E3"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Lock, D. (2020) </w:t>
      </w:r>
      <w:r w:rsidRPr="00871AA8">
        <w:rPr>
          <w:rFonts w:ascii="Arial" w:hAnsi="Arial" w:cs="Arial"/>
          <w:i/>
          <w:iCs/>
          <w:color w:val="000000" w:themeColor="text1"/>
        </w:rPr>
        <w:t>Project Management</w:t>
      </w:r>
      <w:r w:rsidRPr="00871AA8">
        <w:rPr>
          <w:rFonts w:ascii="Arial" w:hAnsi="Arial" w:cs="Arial"/>
          <w:color w:val="000000" w:themeColor="text1"/>
        </w:rPr>
        <w:t>. 11th ed. Gower.</w:t>
      </w:r>
    </w:p>
    <w:p w14:paraId="312C8664"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Meredith, J. &amp; Mantel, S. (2017) </w:t>
      </w:r>
      <w:r w:rsidRPr="00871AA8">
        <w:rPr>
          <w:rFonts w:ascii="Arial" w:hAnsi="Arial" w:cs="Arial"/>
          <w:i/>
          <w:iCs/>
          <w:color w:val="000000" w:themeColor="text1"/>
        </w:rPr>
        <w:t>Project Management: A Managerial Approach</w:t>
      </w:r>
      <w:r w:rsidRPr="00871AA8">
        <w:rPr>
          <w:rFonts w:ascii="Arial" w:hAnsi="Arial" w:cs="Arial"/>
          <w:color w:val="000000" w:themeColor="text1"/>
        </w:rPr>
        <w:t>. 10th ed. Wiley.</w:t>
      </w:r>
    </w:p>
    <w:p w14:paraId="142C81B3"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Muller, R. (2017) </w:t>
      </w:r>
      <w:r w:rsidRPr="00871AA8">
        <w:rPr>
          <w:rFonts w:ascii="Arial" w:hAnsi="Arial" w:cs="Arial"/>
          <w:i/>
          <w:iCs/>
          <w:color w:val="000000" w:themeColor="text1"/>
        </w:rPr>
        <w:t>Project Governance</w:t>
      </w:r>
      <w:r w:rsidRPr="00871AA8">
        <w:rPr>
          <w:rFonts w:ascii="Arial" w:hAnsi="Arial" w:cs="Arial"/>
          <w:color w:val="000000" w:themeColor="text1"/>
        </w:rPr>
        <w:t>. Gower Publishing.</w:t>
      </w:r>
    </w:p>
    <w:p w14:paraId="0A785B90"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Pears, R. &amp; Shields, G. (2019) </w:t>
      </w:r>
      <w:r w:rsidRPr="00871AA8">
        <w:rPr>
          <w:rFonts w:ascii="Arial" w:hAnsi="Arial" w:cs="Arial"/>
          <w:i/>
          <w:iCs/>
          <w:color w:val="000000" w:themeColor="text1"/>
        </w:rPr>
        <w:t>Cite Them Right: The essential referencing guide</w:t>
      </w:r>
      <w:r w:rsidRPr="00871AA8">
        <w:rPr>
          <w:rFonts w:ascii="Arial" w:hAnsi="Arial" w:cs="Arial"/>
          <w:color w:val="000000" w:themeColor="text1"/>
        </w:rPr>
        <w:t xml:space="preserve">. 11th </w:t>
      </w:r>
      <w:proofErr w:type="spellStart"/>
      <w:r w:rsidRPr="00871AA8">
        <w:rPr>
          <w:rFonts w:ascii="Arial" w:hAnsi="Arial" w:cs="Arial"/>
          <w:color w:val="000000" w:themeColor="text1"/>
        </w:rPr>
        <w:t>edn</w:t>
      </w:r>
      <w:proofErr w:type="spellEnd"/>
      <w:r w:rsidRPr="00871AA8">
        <w:rPr>
          <w:rFonts w:ascii="Arial" w:hAnsi="Arial" w:cs="Arial"/>
          <w:color w:val="000000" w:themeColor="text1"/>
        </w:rPr>
        <w:t>. Basingstoke: Palgrave.</w:t>
      </w:r>
    </w:p>
    <w:p w14:paraId="465D6B3E"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Project Management Institute (PMI) (2021) </w:t>
      </w:r>
      <w:r w:rsidRPr="00871AA8">
        <w:rPr>
          <w:rFonts w:ascii="Arial" w:hAnsi="Arial" w:cs="Arial"/>
          <w:i/>
          <w:iCs/>
          <w:color w:val="000000" w:themeColor="text1"/>
        </w:rPr>
        <w:t>A Guide to the Project Management Body of Knowledge (PMBOK® Guide)</w:t>
      </w:r>
      <w:r w:rsidRPr="00871AA8">
        <w:rPr>
          <w:rFonts w:ascii="Arial" w:hAnsi="Arial" w:cs="Arial"/>
          <w:color w:val="000000" w:themeColor="text1"/>
        </w:rPr>
        <w:t xml:space="preserve"> – 7th ed. PMI: Pennsylvania.</w:t>
      </w:r>
    </w:p>
    <w:p w14:paraId="08E811C1"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University of Wales Trinity Saint David. (2023) </w:t>
      </w:r>
      <w:r w:rsidRPr="00871AA8">
        <w:rPr>
          <w:rFonts w:ascii="Arial" w:hAnsi="Arial" w:cs="Arial"/>
          <w:i/>
          <w:iCs/>
          <w:color w:val="000000" w:themeColor="text1"/>
        </w:rPr>
        <w:t>Harvard Referencing Handbook: Essential Guide (Version 1.3)</w:t>
      </w:r>
      <w:r w:rsidRPr="00871AA8">
        <w:rPr>
          <w:rFonts w:ascii="Arial" w:hAnsi="Arial" w:cs="Arial"/>
          <w:color w:val="000000" w:themeColor="text1"/>
        </w:rPr>
        <w:t xml:space="preserve">. Swansea: Library &amp; Learning Resources. Available at: </w:t>
      </w:r>
      <w:hyperlink r:id="rId8" w:tgtFrame="_new" w:history="1">
        <w:r w:rsidRPr="00871AA8">
          <w:rPr>
            <w:rStyle w:val="Hyperlink"/>
            <w:rFonts w:ascii="Arial" w:hAnsi="Arial" w:cs="Arial"/>
            <w:color w:val="000000" w:themeColor="text1"/>
          </w:rPr>
          <w:t>https://intranet.uwtsd.ac.uk/sites/intranet/files/2023-10/Harvard%20en_v.1.3%20%28V6%29.pdf</w:t>
        </w:r>
      </w:hyperlink>
      <w:r w:rsidRPr="00871AA8">
        <w:rPr>
          <w:rFonts w:ascii="Arial" w:hAnsi="Arial" w:cs="Arial"/>
          <w:color w:val="000000" w:themeColor="text1"/>
        </w:rPr>
        <w:t xml:space="preserve"> (Accessed: 4 October 2025).</w:t>
      </w:r>
    </w:p>
    <w:p w14:paraId="49FDBFA0" w14:textId="77777777" w:rsidR="007B0413" w:rsidRPr="00871AA8" w:rsidRDefault="007B0413" w:rsidP="007B0413">
      <w:pPr>
        <w:tabs>
          <w:tab w:val="left" w:pos="142"/>
        </w:tabs>
        <w:spacing w:line="360" w:lineRule="auto"/>
        <w:rPr>
          <w:rFonts w:ascii="Arial" w:hAnsi="Arial" w:cs="Arial"/>
          <w:color w:val="000000" w:themeColor="text1"/>
        </w:rPr>
      </w:pPr>
      <w:r w:rsidRPr="00871AA8">
        <w:rPr>
          <w:rFonts w:ascii="Arial" w:hAnsi="Arial" w:cs="Arial"/>
          <w:color w:val="000000" w:themeColor="text1"/>
        </w:rPr>
        <w:t xml:space="preserve">Ward, S. &amp; Chapman, C. (2003) ‘Transforming project risk management into project uncertainty management’, </w:t>
      </w:r>
      <w:r w:rsidRPr="00871AA8">
        <w:rPr>
          <w:rFonts w:ascii="Arial" w:hAnsi="Arial" w:cs="Arial"/>
          <w:i/>
          <w:iCs/>
          <w:color w:val="000000" w:themeColor="text1"/>
        </w:rPr>
        <w:t>International Journal of Project Management</w:t>
      </w:r>
      <w:r w:rsidRPr="00871AA8">
        <w:rPr>
          <w:rFonts w:ascii="Arial" w:hAnsi="Arial" w:cs="Arial"/>
          <w:color w:val="000000" w:themeColor="text1"/>
        </w:rPr>
        <w:t>, 21(2), pp. 97–105</w:t>
      </w:r>
    </w:p>
    <w:p w14:paraId="26AD44E7" w14:textId="77777777" w:rsidR="007B0413" w:rsidRPr="00871AA8" w:rsidRDefault="007B0413" w:rsidP="007B0413">
      <w:pPr>
        <w:tabs>
          <w:tab w:val="left" w:pos="142"/>
        </w:tabs>
        <w:spacing w:line="360" w:lineRule="auto"/>
        <w:rPr>
          <w:rFonts w:ascii="Arial" w:hAnsi="Arial" w:cs="Arial"/>
          <w:color w:val="000000" w:themeColor="text1"/>
        </w:rPr>
      </w:pPr>
    </w:p>
    <w:p w14:paraId="60391B59" w14:textId="77777777" w:rsidR="007B0413" w:rsidRPr="00871AA8" w:rsidRDefault="007B0413" w:rsidP="007B0413">
      <w:pPr>
        <w:tabs>
          <w:tab w:val="left" w:pos="142"/>
        </w:tabs>
        <w:spacing w:line="360" w:lineRule="auto"/>
        <w:rPr>
          <w:rFonts w:ascii="Arial" w:hAnsi="Arial" w:cs="Arial"/>
          <w:color w:val="000000" w:themeColor="text1"/>
        </w:rPr>
      </w:pPr>
    </w:p>
    <w:p w14:paraId="72C7A1DE" w14:textId="09DAFF79" w:rsidR="007B0413" w:rsidRPr="00871AA8" w:rsidRDefault="007B0413" w:rsidP="007B0413">
      <w:pPr>
        <w:spacing w:line="360" w:lineRule="auto"/>
        <w:rPr>
          <w:rFonts w:ascii="Arial" w:hAnsi="Arial" w:cs="Arial"/>
          <w:color w:val="000000" w:themeColor="text1"/>
        </w:rPr>
      </w:pPr>
    </w:p>
    <w:p w14:paraId="074D4886" w14:textId="77777777" w:rsidR="007B0413" w:rsidRPr="00871AA8" w:rsidRDefault="007B0413" w:rsidP="007B0413">
      <w:pPr>
        <w:spacing w:line="360" w:lineRule="auto"/>
        <w:rPr>
          <w:rFonts w:ascii="Arial" w:hAnsi="Arial" w:cs="Arial"/>
          <w:color w:val="000000" w:themeColor="text1"/>
        </w:rPr>
      </w:pPr>
    </w:p>
    <w:sectPr w:rsidR="007B0413" w:rsidRPr="00871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86D"/>
    <w:multiLevelType w:val="multilevel"/>
    <w:tmpl w:val="73D4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70AEA"/>
    <w:multiLevelType w:val="multilevel"/>
    <w:tmpl w:val="D984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14679"/>
    <w:multiLevelType w:val="multilevel"/>
    <w:tmpl w:val="9B02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9687A"/>
    <w:multiLevelType w:val="multilevel"/>
    <w:tmpl w:val="AA6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717D2"/>
    <w:multiLevelType w:val="multilevel"/>
    <w:tmpl w:val="21AC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91C8F"/>
    <w:multiLevelType w:val="multilevel"/>
    <w:tmpl w:val="9C50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94D3B"/>
    <w:multiLevelType w:val="multilevel"/>
    <w:tmpl w:val="30966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297B5E"/>
    <w:multiLevelType w:val="multilevel"/>
    <w:tmpl w:val="21806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B3931"/>
    <w:multiLevelType w:val="multilevel"/>
    <w:tmpl w:val="7F3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A7DAE"/>
    <w:multiLevelType w:val="multilevel"/>
    <w:tmpl w:val="B5CE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D5F1E"/>
    <w:multiLevelType w:val="multilevel"/>
    <w:tmpl w:val="AA98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DE5BC1"/>
    <w:multiLevelType w:val="multilevel"/>
    <w:tmpl w:val="A8E4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936228"/>
    <w:multiLevelType w:val="multilevel"/>
    <w:tmpl w:val="B606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B6534"/>
    <w:multiLevelType w:val="multilevel"/>
    <w:tmpl w:val="ABE2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748CD"/>
    <w:multiLevelType w:val="multilevel"/>
    <w:tmpl w:val="35D6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81047"/>
    <w:multiLevelType w:val="multilevel"/>
    <w:tmpl w:val="41FE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AE3C91"/>
    <w:multiLevelType w:val="multilevel"/>
    <w:tmpl w:val="745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603979"/>
    <w:multiLevelType w:val="multilevel"/>
    <w:tmpl w:val="1DE6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E3F3E"/>
    <w:multiLevelType w:val="multilevel"/>
    <w:tmpl w:val="DEAC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8821BD"/>
    <w:multiLevelType w:val="multilevel"/>
    <w:tmpl w:val="0168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FA6BE7"/>
    <w:multiLevelType w:val="multilevel"/>
    <w:tmpl w:val="A6D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81710A"/>
    <w:multiLevelType w:val="multilevel"/>
    <w:tmpl w:val="B2BE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6468D"/>
    <w:multiLevelType w:val="multilevel"/>
    <w:tmpl w:val="9D1A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B76"/>
    <w:multiLevelType w:val="multilevel"/>
    <w:tmpl w:val="D49A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A542F"/>
    <w:multiLevelType w:val="multilevel"/>
    <w:tmpl w:val="A9B8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970109"/>
    <w:multiLevelType w:val="multilevel"/>
    <w:tmpl w:val="CDD8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5631B9"/>
    <w:multiLevelType w:val="multilevel"/>
    <w:tmpl w:val="7566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02B9B"/>
    <w:multiLevelType w:val="multilevel"/>
    <w:tmpl w:val="2842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630375">
    <w:abstractNumId w:val="0"/>
  </w:num>
  <w:num w:numId="2" w16cid:durableId="2080010889">
    <w:abstractNumId w:val="6"/>
  </w:num>
  <w:num w:numId="3" w16cid:durableId="1302343367">
    <w:abstractNumId w:val="19"/>
  </w:num>
  <w:num w:numId="4" w16cid:durableId="676616403">
    <w:abstractNumId w:val="20"/>
  </w:num>
  <w:num w:numId="5" w16cid:durableId="2086145292">
    <w:abstractNumId w:val="21"/>
  </w:num>
  <w:num w:numId="6" w16cid:durableId="1005473609">
    <w:abstractNumId w:val="15"/>
  </w:num>
  <w:num w:numId="7" w16cid:durableId="947345989">
    <w:abstractNumId w:val="23"/>
  </w:num>
  <w:num w:numId="8" w16cid:durableId="378820857">
    <w:abstractNumId w:val="16"/>
  </w:num>
  <w:num w:numId="9" w16cid:durableId="1110975849">
    <w:abstractNumId w:val="7"/>
  </w:num>
  <w:num w:numId="10" w16cid:durableId="217785263">
    <w:abstractNumId w:val="11"/>
  </w:num>
  <w:num w:numId="11" w16cid:durableId="1585803229">
    <w:abstractNumId w:val="13"/>
  </w:num>
  <w:num w:numId="12" w16cid:durableId="2012561242">
    <w:abstractNumId w:val="5"/>
  </w:num>
  <w:num w:numId="13" w16cid:durableId="1899969618">
    <w:abstractNumId w:val="4"/>
  </w:num>
  <w:num w:numId="14" w16cid:durableId="709721476">
    <w:abstractNumId w:val="22"/>
  </w:num>
  <w:num w:numId="15" w16cid:durableId="1621297448">
    <w:abstractNumId w:val="1"/>
  </w:num>
  <w:num w:numId="16" w16cid:durableId="1784809496">
    <w:abstractNumId w:val="27"/>
  </w:num>
  <w:num w:numId="17" w16cid:durableId="1188370305">
    <w:abstractNumId w:val="8"/>
  </w:num>
  <w:num w:numId="18" w16cid:durableId="989554034">
    <w:abstractNumId w:val="26"/>
  </w:num>
  <w:num w:numId="19" w16cid:durableId="169950580">
    <w:abstractNumId w:val="3"/>
  </w:num>
  <w:num w:numId="20" w16cid:durableId="962806412">
    <w:abstractNumId w:val="14"/>
  </w:num>
  <w:num w:numId="21" w16cid:durableId="1483036973">
    <w:abstractNumId w:val="10"/>
  </w:num>
  <w:num w:numId="22" w16cid:durableId="1107192495">
    <w:abstractNumId w:val="12"/>
  </w:num>
  <w:num w:numId="23" w16cid:durableId="1712921110">
    <w:abstractNumId w:val="17"/>
  </w:num>
  <w:num w:numId="24" w16cid:durableId="1104615816">
    <w:abstractNumId w:val="24"/>
  </w:num>
  <w:num w:numId="25" w16cid:durableId="1535147722">
    <w:abstractNumId w:val="9"/>
  </w:num>
  <w:num w:numId="26" w16cid:durableId="1475444334">
    <w:abstractNumId w:val="25"/>
  </w:num>
  <w:num w:numId="27" w16cid:durableId="506019645">
    <w:abstractNumId w:val="2"/>
  </w:num>
  <w:num w:numId="28" w16cid:durableId="6561538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7CA"/>
    <w:rsid w:val="001839D6"/>
    <w:rsid w:val="00485764"/>
    <w:rsid w:val="005F5EE3"/>
    <w:rsid w:val="007405CF"/>
    <w:rsid w:val="007B0413"/>
    <w:rsid w:val="00871AA8"/>
    <w:rsid w:val="009C34E7"/>
    <w:rsid w:val="00A42B64"/>
    <w:rsid w:val="00B81E24"/>
    <w:rsid w:val="00BB6BBA"/>
    <w:rsid w:val="00BE5DF6"/>
    <w:rsid w:val="00C207CA"/>
    <w:rsid w:val="00C33B3B"/>
    <w:rsid w:val="00CF66FF"/>
    <w:rsid w:val="00EC1CA7"/>
    <w:rsid w:val="00F11D7A"/>
    <w:rsid w:val="00F74877"/>
    <w:rsid w:val="00FA2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CFC91"/>
  <w15:chartTrackingRefBased/>
  <w15:docId w15:val="{3E6E4967-CB23-498F-BA33-24492C393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0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0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0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0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7CA"/>
    <w:rPr>
      <w:rFonts w:eastAsiaTheme="majorEastAsia" w:cstheme="majorBidi"/>
      <w:color w:val="272727" w:themeColor="text1" w:themeTint="D8"/>
    </w:rPr>
  </w:style>
  <w:style w:type="paragraph" w:styleId="Title">
    <w:name w:val="Title"/>
    <w:basedOn w:val="Normal"/>
    <w:next w:val="Normal"/>
    <w:link w:val="TitleChar"/>
    <w:uiPriority w:val="10"/>
    <w:qFormat/>
    <w:rsid w:val="00C20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7CA"/>
    <w:pPr>
      <w:spacing w:before="160"/>
      <w:jc w:val="center"/>
    </w:pPr>
    <w:rPr>
      <w:i/>
      <w:iCs/>
      <w:color w:val="404040" w:themeColor="text1" w:themeTint="BF"/>
    </w:rPr>
  </w:style>
  <w:style w:type="character" w:customStyle="1" w:styleId="QuoteChar">
    <w:name w:val="Quote Char"/>
    <w:basedOn w:val="DefaultParagraphFont"/>
    <w:link w:val="Quote"/>
    <w:uiPriority w:val="29"/>
    <w:rsid w:val="00C207CA"/>
    <w:rPr>
      <w:i/>
      <w:iCs/>
      <w:color w:val="404040" w:themeColor="text1" w:themeTint="BF"/>
    </w:rPr>
  </w:style>
  <w:style w:type="paragraph" w:styleId="ListParagraph">
    <w:name w:val="List Paragraph"/>
    <w:basedOn w:val="Normal"/>
    <w:uiPriority w:val="34"/>
    <w:qFormat/>
    <w:rsid w:val="00C207CA"/>
    <w:pPr>
      <w:ind w:left="720"/>
      <w:contextualSpacing/>
    </w:pPr>
  </w:style>
  <w:style w:type="character" w:styleId="IntenseEmphasis">
    <w:name w:val="Intense Emphasis"/>
    <w:basedOn w:val="DefaultParagraphFont"/>
    <w:uiPriority w:val="21"/>
    <w:qFormat/>
    <w:rsid w:val="00C207CA"/>
    <w:rPr>
      <w:i/>
      <w:iCs/>
      <w:color w:val="0F4761" w:themeColor="accent1" w:themeShade="BF"/>
    </w:rPr>
  </w:style>
  <w:style w:type="paragraph" w:styleId="IntenseQuote">
    <w:name w:val="Intense Quote"/>
    <w:basedOn w:val="Normal"/>
    <w:next w:val="Normal"/>
    <w:link w:val="IntenseQuoteChar"/>
    <w:uiPriority w:val="30"/>
    <w:qFormat/>
    <w:rsid w:val="00C20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7CA"/>
    <w:rPr>
      <w:i/>
      <w:iCs/>
      <w:color w:val="0F4761" w:themeColor="accent1" w:themeShade="BF"/>
    </w:rPr>
  </w:style>
  <w:style w:type="character" w:styleId="IntenseReference">
    <w:name w:val="Intense Reference"/>
    <w:basedOn w:val="DefaultParagraphFont"/>
    <w:uiPriority w:val="32"/>
    <w:qFormat/>
    <w:rsid w:val="00C207CA"/>
    <w:rPr>
      <w:b/>
      <w:bCs/>
      <w:smallCaps/>
      <w:color w:val="0F4761" w:themeColor="accent1" w:themeShade="BF"/>
      <w:spacing w:val="5"/>
    </w:rPr>
  </w:style>
  <w:style w:type="character" w:styleId="Hyperlink">
    <w:name w:val="Hyperlink"/>
    <w:basedOn w:val="DefaultParagraphFont"/>
    <w:uiPriority w:val="99"/>
    <w:unhideWhenUsed/>
    <w:rsid w:val="007B0413"/>
    <w:rPr>
      <w:color w:val="467886" w:themeColor="hyperlink"/>
      <w:u w:val="single"/>
    </w:rPr>
  </w:style>
  <w:style w:type="table" w:styleId="PlainTable3">
    <w:name w:val="Plain Table 3"/>
    <w:basedOn w:val="TableNormal"/>
    <w:uiPriority w:val="43"/>
    <w:rsid w:val="007B041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7B0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B04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7B041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BE5DF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E5DF6"/>
    <w:pPr>
      <w:spacing w:after="100"/>
    </w:pPr>
  </w:style>
  <w:style w:type="paragraph" w:styleId="TOC2">
    <w:name w:val="toc 2"/>
    <w:basedOn w:val="Normal"/>
    <w:next w:val="Normal"/>
    <w:autoRedefine/>
    <w:uiPriority w:val="39"/>
    <w:unhideWhenUsed/>
    <w:rsid w:val="00871AA8"/>
    <w:pPr>
      <w:spacing w:after="100"/>
      <w:ind w:left="220"/>
    </w:pPr>
  </w:style>
  <w:style w:type="paragraph" w:styleId="TOC3">
    <w:name w:val="toc 3"/>
    <w:basedOn w:val="Normal"/>
    <w:next w:val="Normal"/>
    <w:autoRedefine/>
    <w:uiPriority w:val="39"/>
    <w:unhideWhenUsed/>
    <w:rsid w:val="00871A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sites/intranet/files/2023-10/Harvard%20en_v.1.3%20%28V6%29.pdf?utm_source=chatgpt.com" TargetMode="External"/><Relationship Id="rId3" Type="http://schemas.openxmlformats.org/officeDocument/2006/relationships/styles" Target="styles.xml"/><Relationship Id="rId7" Type="http://schemas.openxmlformats.org/officeDocument/2006/relationships/hyperlink" Target="https://www.hsbc.ca/commerci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6E725-A199-42E9-827F-5C2FC0067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19</Pages>
  <Words>4249</Words>
  <Characters>24221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 Cristian</dc:creator>
  <cp:keywords/>
  <dc:description/>
  <cp:lastModifiedBy>Dica Cristian</cp:lastModifiedBy>
  <cp:revision>7</cp:revision>
  <dcterms:created xsi:type="dcterms:W3CDTF">2025-11-08T09:35:00Z</dcterms:created>
  <dcterms:modified xsi:type="dcterms:W3CDTF">2025-11-20T21:03:00Z</dcterms:modified>
</cp:coreProperties>
</file>