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F41EF" w14:textId="7256D951" w:rsidR="005F136C" w:rsidRDefault="005F136C" w:rsidP="1ACE938C">
      <w:pPr>
        <w:pStyle w:val="Nornal"/>
        <w:spacing w:after="0" w:line="240" w:lineRule="auto"/>
        <w:rPr>
          <w:rFonts w:ascii="Trebuchet MS" w:hAnsi="Trebuchet MS"/>
        </w:rPr>
      </w:pPr>
    </w:p>
    <w:p w14:paraId="0232ACFB" w14:textId="77777777" w:rsidR="004C316D" w:rsidRDefault="004C316D" w:rsidP="1ACE938C">
      <w:pPr>
        <w:pStyle w:val="Nornal"/>
        <w:spacing w:after="0" w:line="240" w:lineRule="auto"/>
        <w:rPr>
          <w:rFonts w:ascii="Trebuchet MS" w:hAnsi="Trebuchet MS"/>
        </w:rPr>
      </w:pPr>
    </w:p>
    <w:p w14:paraId="6C14F56D" w14:textId="77777777" w:rsidR="004C316D" w:rsidRDefault="004C316D" w:rsidP="1ACE938C">
      <w:pPr>
        <w:pStyle w:val="Nornal"/>
        <w:spacing w:after="0" w:line="240" w:lineRule="auto"/>
        <w:rPr>
          <w:rFonts w:ascii="Trebuchet MS" w:hAnsi="Trebuchet MS"/>
        </w:rPr>
      </w:pPr>
    </w:p>
    <w:p w14:paraId="47DB5225" w14:textId="77777777" w:rsidR="00B66E4F" w:rsidRDefault="00B66E4F" w:rsidP="1ACE938C">
      <w:pPr>
        <w:pStyle w:val="Nornal"/>
        <w:spacing w:after="0" w:line="240" w:lineRule="auto"/>
        <w:rPr>
          <w:rFonts w:ascii="Trebuchet MS" w:hAnsi="Trebuchet MS"/>
        </w:rPr>
      </w:pPr>
    </w:p>
    <w:p w14:paraId="308D2E50" w14:textId="77777777" w:rsidR="00B66E4F" w:rsidRDefault="00B66E4F" w:rsidP="1ACE938C">
      <w:pPr>
        <w:pStyle w:val="Nornal"/>
        <w:spacing w:after="0" w:line="240" w:lineRule="auto"/>
        <w:rPr>
          <w:rFonts w:ascii="Trebuchet MS" w:hAnsi="Trebuchet MS"/>
        </w:rPr>
      </w:pPr>
    </w:p>
    <w:p w14:paraId="2A3ADCAA" w14:textId="77777777" w:rsidR="00B66E4F" w:rsidRDefault="00B66E4F" w:rsidP="1ACE938C">
      <w:pPr>
        <w:pStyle w:val="Nornal"/>
        <w:spacing w:after="0" w:line="240" w:lineRule="auto"/>
        <w:rPr>
          <w:rFonts w:ascii="Trebuchet MS" w:hAnsi="Trebuchet MS"/>
        </w:rPr>
      </w:pPr>
    </w:p>
    <w:p w14:paraId="6606A038" w14:textId="77777777" w:rsidR="00B66E4F" w:rsidRDefault="00B66E4F" w:rsidP="1ACE938C">
      <w:pPr>
        <w:pStyle w:val="Nornal"/>
        <w:spacing w:after="0" w:line="240" w:lineRule="auto"/>
        <w:rPr>
          <w:rFonts w:ascii="Trebuchet MS" w:hAnsi="Trebuchet MS"/>
        </w:rPr>
      </w:pPr>
    </w:p>
    <w:p w14:paraId="4C3EA8D1" w14:textId="77777777" w:rsidR="00B66E4F" w:rsidRDefault="00B66E4F" w:rsidP="1ACE938C">
      <w:pPr>
        <w:pStyle w:val="Nornal"/>
        <w:spacing w:after="0" w:line="240" w:lineRule="auto"/>
        <w:rPr>
          <w:rFonts w:ascii="Trebuchet MS" w:hAnsi="Trebuchet MS"/>
        </w:rPr>
      </w:pPr>
    </w:p>
    <w:p w14:paraId="0158A64A" w14:textId="77777777" w:rsidR="00B66E4F" w:rsidRDefault="00B66E4F" w:rsidP="1ACE938C">
      <w:pPr>
        <w:pStyle w:val="Nornal"/>
        <w:spacing w:after="0" w:line="240" w:lineRule="auto"/>
        <w:rPr>
          <w:rFonts w:ascii="Trebuchet MS" w:hAnsi="Trebuchet MS"/>
        </w:rPr>
      </w:pPr>
    </w:p>
    <w:p w14:paraId="5810FA01" w14:textId="77777777" w:rsidR="00B66E4F" w:rsidRDefault="00B66E4F" w:rsidP="1ACE938C">
      <w:pPr>
        <w:pStyle w:val="Nornal"/>
        <w:spacing w:after="0" w:line="240" w:lineRule="auto"/>
        <w:rPr>
          <w:rFonts w:ascii="Trebuchet MS" w:hAnsi="Trebuchet MS"/>
        </w:rPr>
      </w:pPr>
    </w:p>
    <w:p w14:paraId="134628F3" w14:textId="77777777" w:rsidR="00B66E4F" w:rsidRDefault="00B66E4F" w:rsidP="1ACE938C">
      <w:pPr>
        <w:pStyle w:val="Nornal"/>
        <w:spacing w:after="0" w:line="240" w:lineRule="auto"/>
        <w:rPr>
          <w:rFonts w:ascii="Trebuchet MS" w:hAnsi="Trebuchet MS"/>
        </w:rPr>
      </w:pPr>
    </w:p>
    <w:p w14:paraId="0E28B50D" w14:textId="77777777" w:rsidR="00B66E4F" w:rsidRDefault="00B66E4F" w:rsidP="1ACE938C">
      <w:pPr>
        <w:pStyle w:val="Nornal"/>
        <w:spacing w:after="0" w:line="240" w:lineRule="auto"/>
        <w:rPr>
          <w:rFonts w:ascii="Trebuchet MS" w:hAnsi="Trebuchet MS"/>
        </w:rPr>
      </w:pPr>
    </w:p>
    <w:p w14:paraId="6F53CD64" w14:textId="77777777" w:rsidR="004C316D" w:rsidRDefault="004C316D" w:rsidP="1ACE938C">
      <w:pPr>
        <w:pStyle w:val="Nornal"/>
        <w:spacing w:after="0" w:line="240" w:lineRule="auto"/>
        <w:rPr>
          <w:rFonts w:ascii="Trebuchet MS" w:hAnsi="Trebuchet MS"/>
        </w:rPr>
      </w:pPr>
    </w:p>
    <w:p w14:paraId="52CAD754" w14:textId="77777777" w:rsidR="004C316D" w:rsidRDefault="004C316D" w:rsidP="1ACE938C">
      <w:pPr>
        <w:pStyle w:val="Nornal"/>
        <w:spacing w:after="0" w:line="240" w:lineRule="auto"/>
        <w:rPr>
          <w:rFonts w:ascii="Trebuchet MS" w:hAnsi="Trebuchet MS"/>
        </w:rPr>
      </w:pPr>
    </w:p>
    <w:p w14:paraId="31812442" w14:textId="77777777" w:rsidR="0092603A" w:rsidRDefault="0092603A" w:rsidP="00B66E4F">
      <w:pPr>
        <w:pStyle w:val="Nornal"/>
        <w:spacing w:after="0" w:line="240" w:lineRule="auto"/>
        <w:jc w:val="center"/>
        <w:rPr>
          <w:sz w:val="44"/>
          <w:szCs w:val="44"/>
        </w:rPr>
      </w:pPr>
      <w:r w:rsidRPr="00B66E4F">
        <w:rPr>
          <w:sz w:val="44"/>
          <w:szCs w:val="44"/>
        </w:rPr>
        <w:t>5HR03</w:t>
      </w:r>
    </w:p>
    <w:p w14:paraId="14B79FD9" w14:textId="77777777" w:rsidR="00B66E4F" w:rsidRPr="00B66E4F" w:rsidRDefault="00B66E4F" w:rsidP="00B66E4F">
      <w:pPr>
        <w:pStyle w:val="Nornal"/>
        <w:spacing w:after="0" w:line="240" w:lineRule="auto"/>
        <w:jc w:val="center"/>
        <w:rPr>
          <w:sz w:val="44"/>
          <w:szCs w:val="44"/>
        </w:rPr>
      </w:pPr>
    </w:p>
    <w:p w14:paraId="6734D9DD" w14:textId="6350BD94" w:rsidR="004C316D" w:rsidRDefault="0092603A" w:rsidP="00B66E4F">
      <w:pPr>
        <w:pStyle w:val="Nornal"/>
        <w:spacing w:after="0" w:line="240" w:lineRule="auto"/>
        <w:jc w:val="center"/>
        <w:rPr>
          <w:sz w:val="44"/>
          <w:szCs w:val="44"/>
        </w:rPr>
      </w:pPr>
      <w:r w:rsidRPr="00B66E4F">
        <w:rPr>
          <w:sz w:val="44"/>
          <w:szCs w:val="44"/>
        </w:rPr>
        <w:t xml:space="preserve">Reward for performance and </w:t>
      </w:r>
      <w:r w:rsidRPr="00B66E4F">
        <w:rPr>
          <w:sz w:val="44"/>
          <w:szCs w:val="44"/>
        </w:rPr>
        <w:t>contribution</w:t>
      </w:r>
      <w:r w:rsidR="00B66E4F">
        <w:rPr>
          <w:sz w:val="44"/>
          <w:szCs w:val="44"/>
        </w:rPr>
        <w:t>.</w:t>
      </w:r>
    </w:p>
    <w:p w14:paraId="27C66777" w14:textId="77777777" w:rsidR="00B66E4F" w:rsidRPr="00B66E4F" w:rsidRDefault="00B66E4F" w:rsidP="00B66E4F">
      <w:pPr>
        <w:pStyle w:val="Nornal"/>
        <w:spacing w:after="0" w:line="240" w:lineRule="auto"/>
        <w:jc w:val="center"/>
        <w:rPr>
          <w:sz w:val="44"/>
          <w:szCs w:val="44"/>
        </w:rPr>
      </w:pPr>
    </w:p>
    <w:p w14:paraId="08F954AD" w14:textId="6DE0F536" w:rsidR="0092603A" w:rsidRPr="00B66E4F" w:rsidRDefault="0092603A" w:rsidP="00B66E4F">
      <w:pPr>
        <w:pStyle w:val="Nornal"/>
        <w:spacing w:after="0" w:line="240" w:lineRule="auto"/>
        <w:jc w:val="center"/>
        <w:rPr>
          <w:sz w:val="44"/>
          <w:szCs w:val="44"/>
        </w:rPr>
      </w:pPr>
      <w:r w:rsidRPr="00B66E4F">
        <w:rPr>
          <w:sz w:val="44"/>
          <w:szCs w:val="44"/>
        </w:rPr>
        <w:t>Word count: 4,3</w:t>
      </w:r>
      <w:r w:rsidR="00011FC3">
        <w:rPr>
          <w:sz w:val="44"/>
          <w:szCs w:val="44"/>
        </w:rPr>
        <w:t>49</w:t>
      </w:r>
    </w:p>
    <w:p w14:paraId="442DB4EE" w14:textId="77777777" w:rsidR="004C316D" w:rsidRDefault="004C316D" w:rsidP="1ACE938C">
      <w:pPr>
        <w:pStyle w:val="Nornal"/>
        <w:spacing w:after="0" w:line="240" w:lineRule="auto"/>
        <w:rPr>
          <w:rFonts w:ascii="Trebuchet MS" w:hAnsi="Trebuchet MS"/>
        </w:rPr>
      </w:pPr>
    </w:p>
    <w:p w14:paraId="42A9118A" w14:textId="77777777" w:rsidR="004C316D" w:rsidRDefault="004C316D" w:rsidP="1ACE938C">
      <w:pPr>
        <w:pStyle w:val="Nornal"/>
        <w:spacing w:after="0" w:line="240" w:lineRule="auto"/>
        <w:rPr>
          <w:rFonts w:ascii="Trebuchet MS" w:hAnsi="Trebuchet MS"/>
        </w:rPr>
      </w:pPr>
    </w:p>
    <w:p w14:paraId="476AC97E" w14:textId="77777777" w:rsidR="004C316D" w:rsidRDefault="004C316D" w:rsidP="1ACE938C">
      <w:pPr>
        <w:pStyle w:val="Nornal"/>
        <w:spacing w:after="0" w:line="240" w:lineRule="auto"/>
        <w:rPr>
          <w:rFonts w:ascii="Trebuchet MS" w:hAnsi="Trebuchet MS"/>
        </w:rPr>
      </w:pPr>
    </w:p>
    <w:p w14:paraId="0A682732" w14:textId="77777777" w:rsidR="004C316D" w:rsidRDefault="004C316D" w:rsidP="1ACE938C">
      <w:pPr>
        <w:pStyle w:val="Nornal"/>
        <w:spacing w:after="0" w:line="240" w:lineRule="auto"/>
        <w:rPr>
          <w:rFonts w:ascii="Trebuchet MS" w:hAnsi="Trebuchet MS"/>
        </w:rPr>
      </w:pPr>
    </w:p>
    <w:p w14:paraId="1A6F8FF6" w14:textId="77777777" w:rsidR="004C316D" w:rsidRDefault="004C316D" w:rsidP="1ACE938C">
      <w:pPr>
        <w:pStyle w:val="Nornal"/>
        <w:spacing w:after="0" w:line="240" w:lineRule="auto"/>
        <w:rPr>
          <w:rFonts w:ascii="Trebuchet MS" w:hAnsi="Trebuchet MS"/>
        </w:rPr>
      </w:pPr>
    </w:p>
    <w:p w14:paraId="263A4CD5" w14:textId="77777777" w:rsidR="004C316D" w:rsidRDefault="004C316D" w:rsidP="1ACE938C">
      <w:pPr>
        <w:pStyle w:val="Nornal"/>
        <w:spacing w:after="0" w:line="240" w:lineRule="auto"/>
        <w:rPr>
          <w:rFonts w:ascii="Trebuchet MS" w:hAnsi="Trebuchet MS"/>
        </w:rPr>
      </w:pPr>
    </w:p>
    <w:p w14:paraId="5FD4C5E5" w14:textId="77777777" w:rsidR="004C316D" w:rsidRDefault="004C316D" w:rsidP="1ACE938C">
      <w:pPr>
        <w:pStyle w:val="Nornal"/>
        <w:spacing w:after="0" w:line="240" w:lineRule="auto"/>
        <w:rPr>
          <w:rFonts w:ascii="Trebuchet MS" w:hAnsi="Trebuchet MS"/>
        </w:rPr>
      </w:pPr>
    </w:p>
    <w:p w14:paraId="4DEF2417" w14:textId="77777777" w:rsidR="004C316D" w:rsidRDefault="004C316D" w:rsidP="1ACE938C">
      <w:pPr>
        <w:pStyle w:val="Nornal"/>
        <w:spacing w:after="0" w:line="240" w:lineRule="auto"/>
        <w:rPr>
          <w:rFonts w:ascii="Trebuchet MS" w:hAnsi="Trebuchet MS"/>
        </w:rPr>
      </w:pPr>
    </w:p>
    <w:p w14:paraId="75D2F8F8" w14:textId="77777777" w:rsidR="004C316D" w:rsidRDefault="004C316D" w:rsidP="1ACE938C">
      <w:pPr>
        <w:pStyle w:val="Nornal"/>
        <w:spacing w:after="0" w:line="240" w:lineRule="auto"/>
        <w:rPr>
          <w:rFonts w:ascii="Trebuchet MS" w:hAnsi="Trebuchet MS"/>
        </w:rPr>
      </w:pPr>
    </w:p>
    <w:p w14:paraId="39671980" w14:textId="77777777" w:rsidR="004C316D" w:rsidRDefault="004C316D" w:rsidP="1ACE938C">
      <w:pPr>
        <w:pStyle w:val="Nornal"/>
        <w:spacing w:after="0" w:line="240" w:lineRule="auto"/>
        <w:rPr>
          <w:rFonts w:ascii="Trebuchet MS" w:hAnsi="Trebuchet MS"/>
        </w:rPr>
      </w:pPr>
    </w:p>
    <w:p w14:paraId="0A4F2712" w14:textId="77777777" w:rsidR="004C316D" w:rsidRDefault="004C316D" w:rsidP="1ACE938C">
      <w:pPr>
        <w:pStyle w:val="Nornal"/>
        <w:spacing w:after="0" w:line="240" w:lineRule="auto"/>
        <w:rPr>
          <w:rFonts w:ascii="Trebuchet MS" w:hAnsi="Trebuchet MS"/>
        </w:rPr>
      </w:pPr>
    </w:p>
    <w:p w14:paraId="59107FC1" w14:textId="77777777" w:rsidR="004C316D" w:rsidRDefault="004C316D" w:rsidP="1ACE938C">
      <w:pPr>
        <w:pStyle w:val="Nornal"/>
        <w:spacing w:after="0" w:line="240" w:lineRule="auto"/>
        <w:rPr>
          <w:rFonts w:ascii="Trebuchet MS" w:hAnsi="Trebuchet MS"/>
        </w:rPr>
      </w:pPr>
    </w:p>
    <w:p w14:paraId="0B32B4B8" w14:textId="77777777" w:rsidR="004C316D" w:rsidRDefault="004C316D" w:rsidP="1ACE938C">
      <w:pPr>
        <w:pStyle w:val="Nornal"/>
        <w:spacing w:after="0" w:line="240" w:lineRule="auto"/>
        <w:rPr>
          <w:rFonts w:ascii="Trebuchet MS" w:hAnsi="Trebuchet MS"/>
        </w:rPr>
      </w:pPr>
    </w:p>
    <w:p w14:paraId="7919BA39" w14:textId="77777777" w:rsidR="004C316D" w:rsidRDefault="004C316D" w:rsidP="1ACE938C">
      <w:pPr>
        <w:pStyle w:val="Nornal"/>
        <w:spacing w:after="0" w:line="240" w:lineRule="auto"/>
        <w:rPr>
          <w:rFonts w:ascii="Trebuchet MS" w:hAnsi="Trebuchet MS"/>
        </w:rPr>
      </w:pPr>
    </w:p>
    <w:p w14:paraId="7FC1746B" w14:textId="77777777" w:rsidR="004C316D" w:rsidRDefault="004C316D" w:rsidP="1ACE938C">
      <w:pPr>
        <w:pStyle w:val="Nornal"/>
        <w:spacing w:after="0" w:line="240" w:lineRule="auto"/>
        <w:rPr>
          <w:rFonts w:ascii="Trebuchet MS" w:hAnsi="Trebuchet MS"/>
        </w:rPr>
      </w:pPr>
    </w:p>
    <w:p w14:paraId="6FC5174E" w14:textId="77777777" w:rsidR="004C316D" w:rsidRDefault="004C316D" w:rsidP="1ACE938C">
      <w:pPr>
        <w:pStyle w:val="Nornal"/>
        <w:spacing w:after="0" w:line="240" w:lineRule="auto"/>
        <w:rPr>
          <w:rFonts w:ascii="Trebuchet MS" w:hAnsi="Trebuchet MS"/>
        </w:rPr>
      </w:pPr>
    </w:p>
    <w:p w14:paraId="0710C032" w14:textId="77777777" w:rsidR="004C316D" w:rsidRDefault="004C316D" w:rsidP="1ACE938C">
      <w:pPr>
        <w:pStyle w:val="Nornal"/>
        <w:spacing w:after="0" w:line="240" w:lineRule="auto"/>
        <w:rPr>
          <w:rFonts w:ascii="Trebuchet MS" w:hAnsi="Trebuchet MS"/>
        </w:rPr>
      </w:pPr>
    </w:p>
    <w:p w14:paraId="1A6E74D7" w14:textId="77777777" w:rsidR="004C316D" w:rsidRDefault="004C316D" w:rsidP="1ACE938C">
      <w:pPr>
        <w:pStyle w:val="Nornal"/>
        <w:spacing w:after="0" w:line="240" w:lineRule="auto"/>
        <w:rPr>
          <w:rFonts w:ascii="Trebuchet MS" w:hAnsi="Trebuchet MS"/>
        </w:rPr>
      </w:pPr>
    </w:p>
    <w:p w14:paraId="7E7CCFBF" w14:textId="77777777" w:rsidR="004C316D" w:rsidRDefault="004C316D" w:rsidP="1ACE938C">
      <w:pPr>
        <w:pStyle w:val="Nornal"/>
        <w:spacing w:after="0" w:line="240" w:lineRule="auto"/>
        <w:rPr>
          <w:rFonts w:ascii="Trebuchet MS" w:hAnsi="Trebuchet MS"/>
        </w:rPr>
      </w:pPr>
    </w:p>
    <w:p w14:paraId="099FDFC8" w14:textId="77777777" w:rsidR="004C316D" w:rsidRDefault="004C316D" w:rsidP="1ACE938C">
      <w:pPr>
        <w:pStyle w:val="Nornal"/>
        <w:spacing w:after="0" w:line="240" w:lineRule="auto"/>
        <w:rPr>
          <w:rFonts w:ascii="Trebuchet MS" w:hAnsi="Trebuchet MS"/>
        </w:rPr>
      </w:pPr>
    </w:p>
    <w:p w14:paraId="487F834A" w14:textId="77777777" w:rsidR="004C316D" w:rsidRDefault="004C316D" w:rsidP="1ACE938C">
      <w:pPr>
        <w:pStyle w:val="Nornal"/>
        <w:spacing w:after="0" w:line="240" w:lineRule="auto"/>
        <w:rPr>
          <w:rFonts w:ascii="Trebuchet MS" w:hAnsi="Trebuchet MS"/>
        </w:rPr>
      </w:pPr>
    </w:p>
    <w:p w14:paraId="4B138F9D" w14:textId="77777777" w:rsidR="004C316D" w:rsidRDefault="004C316D" w:rsidP="1ACE938C">
      <w:pPr>
        <w:pStyle w:val="Nornal"/>
        <w:spacing w:after="0" w:line="240" w:lineRule="auto"/>
        <w:rPr>
          <w:rFonts w:ascii="Trebuchet MS" w:hAnsi="Trebuchet MS"/>
        </w:rPr>
      </w:pPr>
    </w:p>
    <w:p w14:paraId="73AD11DC" w14:textId="77777777" w:rsidR="004C316D" w:rsidRDefault="004C316D" w:rsidP="1ACE938C">
      <w:pPr>
        <w:pStyle w:val="Nornal"/>
        <w:spacing w:after="0" w:line="240" w:lineRule="auto"/>
        <w:rPr>
          <w:rFonts w:ascii="Trebuchet MS" w:hAnsi="Trebuchet MS"/>
        </w:rPr>
      </w:pPr>
    </w:p>
    <w:p w14:paraId="147174E5" w14:textId="77777777" w:rsidR="004C316D" w:rsidRDefault="004C316D" w:rsidP="1ACE938C">
      <w:pPr>
        <w:pStyle w:val="Nornal"/>
        <w:spacing w:after="0" w:line="240" w:lineRule="auto"/>
        <w:rPr>
          <w:rFonts w:ascii="Trebuchet MS" w:hAnsi="Trebuchet MS"/>
        </w:rPr>
      </w:pPr>
    </w:p>
    <w:p w14:paraId="5439FAE2" w14:textId="77777777" w:rsidR="004C316D" w:rsidRDefault="004C316D" w:rsidP="1ACE938C">
      <w:pPr>
        <w:pStyle w:val="Nornal"/>
        <w:spacing w:after="0" w:line="240" w:lineRule="auto"/>
        <w:rPr>
          <w:rFonts w:ascii="Trebuchet MS" w:hAnsi="Trebuchet MS"/>
        </w:rPr>
      </w:pPr>
    </w:p>
    <w:p w14:paraId="61397F66" w14:textId="77777777" w:rsidR="004C316D" w:rsidRDefault="004C316D" w:rsidP="1ACE938C">
      <w:pPr>
        <w:pStyle w:val="Nornal"/>
        <w:spacing w:after="0" w:line="240" w:lineRule="auto"/>
        <w:rPr>
          <w:rFonts w:ascii="Trebuchet MS" w:hAnsi="Trebuchet MS"/>
        </w:rPr>
      </w:pPr>
    </w:p>
    <w:p w14:paraId="2F57A5F4" w14:textId="77777777" w:rsidR="004C316D" w:rsidRDefault="004C316D" w:rsidP="1ACE938C">
      <w:pPr>
        <w:pStyle w:val="Nornal"/>
        <w:spacing w:after="0" w:line="240" w:lineRule="auto"/>
        <w:rPr>
          <w:rFonts w:ascii="Trebuchet MS" w:hAnsi="Trebuchet MS"/>
        </w:rPr>
      </w:pPr>
    </w:p>
    <w:p w14:paraId="4324E9B7" w14:textId="77777777" w:rsidR="004C316D" w:rsidRDefault="004C316D" w:rsidP="1ACE938C">
      <w:pPr>
        <w:pStyle w:val="Nornal"/>
        <w:spacing w:after="0" w:line="240" w:lineRule="auto"/>
        <w:rPr>
          <w:rFonts w:ascii="Trebuchet MS" w:hAnsi="Trebuchet MS"/>
        </w:rPr>
      </w:pPr>
    </w:p>
    <w:p w14:paraId="4229F9F2" w14:textId="77777777" w:rsidR="004C316D" w:rsidRDefault="004C316D" w:rsidP="1ACE938C">
      <w:pPr>
        <w:pStyle w:val="Nornal"/>
        <w:spacing w:after="0" w:line="240" w:lineRule="auto"/>
        <w:rPr>
          <w:rFonts w:ascii="Trebuchet MS" w:hAnsi="Trebuchet MS"/>
        </w:rPr>
      </w:pPr>
    </w:p>
    <w:p w14:paraId="7A94E4C0" w14:textId="77777777" w:rsidR="004C316D" w:rsidRDefault="004C316D" w:rsidP="1ACE938C">
      <w:pPr>
        <w:pStyle w:val="Nornal"/>
        <w:spacing w:after="0" w:line="240" w:lineRule="auto"/>
        <w:rPr>
          <w:rFonts w:ascii="Trebuchet MS" w:hAnsi="Trebuchet MS"/>
        </w:rPr>
      </w:pPr>
    </w:p>
    <w:p w14:paraId="43B60AFA" w14:textId="77777777" w:rsidR="004C316D" w:rsidRPr="00E446B9" w:rsidRDefault="004C316D" w:rsidP="1ACE938C">
      <w:pPr>
        <w:pStyle w:val="Nornal"/>
        <w:spacing w:after="0" w:line="240" w:lineRule="auto"/>
        <w:rPr>
          <w:rFonts w:ascii="Trebuchet MS" w:hAnsi="Trebuchet MS"/>
        </w:rPr>
      </w:pPr>
    </w:p>
    <w:p w14:paraId="719E8F8F" w14:textId="77777777" w:rsidR="005526E9"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r w:rsidR="005526E9">
        <w:rPr>
          <w:rFonts w:ascii="Trebuchet MS" w:hAnsi="Trebuchet MS"/>
          <w:color w:val="000000"/>
        </w:rPr>
        <w:t xml:space="preserve"> </w:t>
      </w:r>
    </w:p>
    <w:p w14:paraId="03869E00" w14:textId="0744CAB4" w:rsidR="008C0FA5" w:rsidRDefault="008C0FA5" w:rsidP="004C316D">
      <w:pPr>
        <w:pStyle w:val="Nornal"/>
        <w:spacing w:after="0" w:line="240" w:lineRule="auto"/>
        <w:rPr>
          <w:rFonts w:ascii="Trebuchet MS" w:hAnsi="Trebuchet MS"/>
        </w:rPr>
      </w:pPr>
    </w:p>
    <w:p w14:paraId="35485296" w14:textId="23435E72" w:rsidR="00343C5F" w:rsidRDefault="00343C5F" w:rsidP="00343C5F">
      <w:pPr>
        <w:pStyle w:val="Nornal"/>
        <w:spacing w:after="0" w:line="240" w:lineRule="auto"/>
        <w:ind w:left="720"/>
        <w:rPr>
          <w:rFonts w:ascii="Trebuchet MS" w:hAnsi="Trebuchet MS"/>
          <w:color w:val="000000"/>
        </w:rPr>
      </w:pPr>
    </w:p>
    <w:p w14:paraId="3E46431F" w14:textId="6E2717D9" w:rsidR="00343C5F" w:rsidRPr="008C0FA5" w:rsidRDefault="00343C5F" w:rsidP="008C0FA5">
      <w:pPr>
        <w:rPr>
          <w:rFonts w:ascii="Calibri" w:hAnsi="Calibri" w:cs="Calibri"/>
          <w:sz w:val="24"/>
        </w:rPr>
      </w:pPr>
      <w:r w:rsidRPr="008C0FA5">
        <w:rPr>
          <w:rFonts w:ascii="Calibri" w:hAnsi="Calibri" w:cs="Calibri"/>
          <w:sz w:val="24"/>
        </w:rPr>
        <w:t>Reward management is a core component of human resource management (HRM), encompassing the strategic design and implementation of policies that recognise and compensate employees fairly and consistently (Perkins and Jones, 2024). It plays a vital role in shaping organisational culture and driving performance, particularly in organisations like Eco-Insulate, where high turnover and low morale indicate a need for more effective reward strategies (Armstrong and Brown, 2023).</w:t>
      </w:r>
      <w:r w:rsidRPr="008C0FA5">
        <w:rPr>
          <w:rFonts w:ascii="Calibri" w:hAnsi="Calibri" w:cs="Calibri"/>
          <w:sz w:val="24"/>
        </w:rPr>
        <w:t xml:space="preserve"> </w:t>
      </w:r>
    </w:p>
    <w:p w14:paraId="6571195D" w14:textId="77777777" w:rsidR="008C0FA5" w:rsidRPr="008C0FA5" w:rsidRDefault="008C0FA5" w:rsidP="008C0FA5">
      <w:pPr>
        <w:rPr>
          <w:rFonts w:ascii="Calibri" w:hAnsi="Calibri" w:cs="Calibri"/>
          <w:sz w:val="24"/>
        </w:rPr>
      </w:pPr>
    </w:p>
    <w:p w14:paraId="06BC44E2" w14:textId="1EAF90B3" w:rsidR="00AE5E78" w:rsidRPr="008C0FA5" w:rsidRDefault="00707086" w:rsidP="008C0FA5">
      <w:pPr>
        <w:rPr>
          <w:rFonts w:ascii="Calibri" w:hAnsi="Calibri" w:cs="Calibri"/>
          <w:sz w:val="24"/>
        </w:rPr>
      </w:pPr>
      <w:r w:rsidRPr="008C0FA5">
        <w:rPr>
          <w:rFonts w:ascii="Calibri" w:hAnsi="Calibri" w:cs="Calibri"/>
          <w:sz w:val="24"/>
        </w:rPr>
        <w:t>Reward strategies must be closely aligned with organisational objectives to effectively support performance management and shape a positive organisational culture. By linking rewards to desired behaviours such as innovation, collaboration, and customer service, organisations reinforce strategic goals and encourage high performance (Perkins and Jones, 2020). This alignment ensures that reward systems are not only motivational but also purposeful, driving behaviours that contribute directly to business success.</w:t>
      </w:r>
    </w:p>
    <w:p w14:paraId="3C5036C5" w14:textId="77777777" w:rsidR="008C0FA5" w:rsidRPr="008C0FA5" w:rsidRDefault="008C0FA5" w:rsidP="008C0FA5">
      <w:pPr>
        <w:rPr>
          <w:rFonts w:ascii="Calibri" w:hAnsi="Calibri" w:cs="Calibri"/>
          <w:sz w:val="24"/>
        </w:rPr>
      </w:pPr>
    </w:p>
    <w:p w14:paraId="117355CE" w14:textId="07CBEDBB" w:rsidR="00707086" w:rsidRPr="008C0FA5" w:rsidRDefault="00707086" w:rsidP="008C0FA5">
      <w:pPr>
        <w:rPr>
          <w:rFonts w:ascii="Calibri" w:hAnsi="Calibri" w:cs="Calibri"/>
          <w:sz w:val="24"/>
        </w:rPr>
      </w:pPr>
      <w:r w:rsidRPr="008C0FA5">
        <w:rPr>
          <w:rFonts w:ascii="Calibri" w:hAnsi="Calibri" w:cs="Calibri"/>
          <w:sz w:val="24"/>
        </w:rPr>
        <w:t>The total reward approach, as defined by Rose (2022), expands the concept of reward beyond financial compensation to include both intrinsic and extrinsic motivators. Intrinsic rewards</w:t>
      </w:r>
      <w:r w:rsidR="00CE71F5">
        <w:rPr>
          <w:rFonts w:ascii="Calibri" w:hAnsi="Calibri" w:cs="Calibri"/>
          <w:sz w:val="24"/>
        </w:rPr>
        <w:t xml:space="preserve"> </w:t>
      </w:r>
      <w:r w:rsidRPr="008C0FA5">
        <w:rPr>
          <w:rFonts w:ascii="Calibri" w:hAnsi="Calibri" w:cs="Calibri"/>
          <w:sz w:val="24"/>
        </w:rPr>
        <w:t>such as recognition, personal development, and job satisfaction</w:t>
      </w:r>
      <w:r w:rsidR="00CE71F5">
        <w:rPr>
          <w:rFonts w:ascii="Calibri" w:hAnsi="Calibri" w:cs="Calibri"/>
          <w:sz w:val="24"/>
        </w:rPr>
        <w:t xml:space="preserve"> </w:t>
      </w:r>
      <w:r w:rsidRPr="008C0FA5">
        <w:rPr>
          <w:rFonts w:ascii="Calibri" w:hAnsi="Calibri" w:cs="Calibri"/>
          <w:sz w:val="24"/>
        </w:rPr>
        <w:t>are increasingly valued by employees and play a critical role in sustaining long-term engagement. Extrinsic rewards, including salary, bonuses, and benefits, remain important but are most effective when combined with non-financial elements. For Eco-Insulate, where there is a lack of incentive schemes and recognition, adopting a total reward strategy could significantly enhance employee motivation and reinforce a culture of appreciation and performance.</w:t>
      </w:r>
    </w:p>
    <w:p w14:paraId="1DCA0F1B" w14:textId="77777777" w:rsidR="008C0FA5" w:rsidRPr="008C0FA5" w:rsidRDefault="008C0FA5" w:rsidP="008C0FA5">
      <w:pPr>
        <w:rPr>
          <w:rFonts w:ascii="Calibri" w:hAnsi="Calibri" w:cs="Calibri"/>
          <w:sz w:val="24"/>
        </w:rPr>
      </w:pPr>
    </w:p>
    <w:p w14:paraId="3654D0D2" w14:textId="7CAC4DA9" w:rsidR="00707086" w:rsidRDefault="00707086" w:rsidP="008C0FA5">
      <w:pPr>
        <w:rPr>
          <w:rFonts w:ascii="Calibri" w:hAnsi="Calibri" w:cs="Calibri"/>
          <w:sz w:val="24"/>
        </w:rPr>
      </w:pPr>
      <w:r w:rsidRPr="008C0FA5">
        <w:rPr>
          <w:rFonts w:ascii="Calibri" w:hAnsi="Calibri" w:cs="Calibri"/>
          <w:sz w:val="24"/>
        </w:rPr>
        <w:t>Reward systems also contribute to organisational culture by signalling what behaviours and values are recognised and rewarded. When rewards are aligned with ethical conduct, teamwork, and continuous improvement, they help embed these values into the culture (Armstrong and Chapman, 2011). Conversely, poorly designed reward systems can undermine culture by encouraging unhealthy competition or short-termism.</w:t>
      </w:r>
      <w:r w:rsidR="008C0FA5" w:rsidRPr="008C0FA5">
        <w:rPr>
          <w:rFonts w:ascii="Calibri" w:hAnsi="Calibri" w:cs="Calibri"/>
          <w:sz w:val="24"/>
        </w:rPr>
        <w:t xml:space="preserve"> </w:t>
      </w:r>
      <w:r w:rsidRPr="008C0FA5">
        <w:rPr>
          <w:rFonts w:ascii="Calibri" w:hAnsi="Calibri" w:cs="Calibri"/>
          <w:sz w:val="24"/>
        </w:rPr>
        <w:t>In the context of performance management, reward strategies serve as a mechanism for reinforcing performance expectations and outcomes. They provide tangible recognition for achievement and progress, helping to create a performance-oriented environment. The CIPD (2021) highlights that organisations with flexible and inclusive reward practices are better positioned to meet diverse employee needs, which in turn supports retention and engagement.</w:t>
      </w:r>
    </w:p>
    <w:p w14:paraId="0CE4796E" w14:textId="77777777" w:rsidR="008C0FA5" w:rsidRPr="008C0FA5" w:rsidRDefault="008C0FA5" w:rsidP="008C0FA5">
      <w:pPr>
        <w:rPr>
          <w:rFonts w:ascii="Calibri" w:hAnsi="Calibri" w:cs="Calibri"/>
          <w:sz w:val="24"/>
        </w:rPr>
      </w:pPr>
    </w:p>
    <w:p w14:paraId="6EDBDE87" w14:textId="1F50C36F" w:rsidR="00707086" w:rsidRPr="008C0FA5" w:rsidRDefault="00707086" w:rsidP="008C0FA5">
      <w:pPr>
        <w:rPr>
          <w:rFonts w:ascii="Calibri" w:hAnsi="Calibri" w:cs="Calibri"/>
          <w:sz w:val="24"/>
        </w:rPr>
      </w:pPr>
      <w:r w:rsidRPr="008C0FA5">
        <w:rPr>
          <w:rFonts w:ascii="Calibri" w:hAnsi="Calibri" w:cs="Calibri"/>
          <w:sz w:val="24"/>
        </w:rPr>
        <w:t>Ultimately, reward strategies that are transparent, fair, and aligned with organisational goals contribute to a culture of trust and accountability. They also ensure that performance management is not just about evaluation, but about continuous development and recognition</w:t>
      </w:r>
      <w:r w:rsidR="008C0FA5" w:rsidRPr="008C0FA5">
        <w:rPr>
          <w:rFonts w:ascii="Calibri" w:hAnsi="Calibri" w:cs="Calibri"/>
          <w:sz w:val="24"/>
        </w:rPr>
        <w:t xml:space="preserve"> (Cotton, 2022a).</w:t>
      </w:r>
      <w:r w:rsidRPr="008C0FA5">
        <w:rPr>
          <w:rFonts w:ascii="Calibri" w:hAnsi="Calibri" w:cs="Calibri"/>
          <w:sz w:val="24"/>
        </w:rPr>
        <w:t xml:space="preserve"> For Eco-Insulate</w:t>
      </w:r>
      <w:r w:rsidR="008C0FA5" w:rsidRPr="008C0FA5">
        <w:rPr>
          <w:rFonts w:ascii="Calibri" w:hAnsi="Calibri" w:cs="Calibri"/>
          <w:sz w:val="24"/>
        </w:rPr>
        <w:t>,</w:t>
      </w:r>
      <w:r w:rsidRPr="008C0FA5">
        <w:rPr>
          <w:rFonts w:ascii="Calibri" w:hAnsi="Calibri" w:cs="Calibri"/>
          <w:sz w:val="24"/>
        </w:rPr>
        <w:t xml:space="preserve"> embedding these principles into a refreshed </w:t>
      </w:r>
      <w:r w:rsidRPr="008C0FA5">
        <w:rPr>
          <w:rFonts w:ascii="Calibri" w:hAnsi="Calibri" w:cs="Calibri"/>
          <w:sz w:val="24"/>
        </w:rPr>
        <w:lastRenderedPageBreak/>
        <w:t>reward framework could help address current cultural challenges and drive improved performance across the organisation.</w:t>
      </w:r>
    </w:p>
    <w:p w14:paraId="4A8AE203" w14:textId="77777777" w:rsidR="00343C5F" w:rsidRPr="00343C5F" w:rsidRDefault="00343C5F" w:rsidP="00343C5F">
      <w:pPr>
        <w:rPr>
          <w:rFonts w:ascii="Calibri" w:hAnsi="Calibri" w:cs="Calibri"/>
          <w:sz w:val="24"/>
        </w:rPr>
      </w:pPr>
    </w:p>
    <w:p w14:paraId="4489451A" w14:textId="77777777" w:rsidR="00343C5F" w:rsidRPr="00E446B9" w:rsidRDefault="00343C5F" w:rsidP="0076158F">
      <w:pPr>
        <w:pStyle w:val="Listparag"/>
        <w:spacing w:after="0" w:line="240" w:lineRule="auto"/>
        <w:rPr>
          <w:rFonts w:ascii="Trebuchet MS" w:hAnsi="Trebuchet MS"/>
          <w:color w:val="FF0000"/>
        </w:rPr>
      </w:pPr>
    </w:p>
    <w:p w14:paraId="21EF9DCB" w14:textId="77777777" w:rsidR="005F136C" w:rsidRPr="003241A1"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47184EA0" w14:textId="750B6800" w:rsidR="003241A1" w:rsidRPr="005F136C" w:rsidRDefault="003241A1" w:rsidP="00A40636">
      <w:pPr>
        <w:pStyle w:val="Nornal"/>
        <w:spacing w:after="0" w:line="240" w:lineRule="auto"/>
        <w:rPr>
          <w:rFonts w:ascii="Trebuchet MS" w:hAnsi="Trebuchet MS"/>
          <w:color w:val="000000"/>
        </w:rPr>
      </w:pPr>
    </w:p>
    <w:p w14:paraId="2E856671" w14:textId="77777777" w:rsidR="005F136C" w:rsidRPr="00E446B9" w:rsidRDefault="005F136C" w:rsidP="005F136C">
      <w:pPr>
        <w:pStyle w:val="Nornal"/>
        <w:spacing w:after="0" w:line="240" w:lineRule="auto"/>
        <w:rPr>
          <w:rFonts w:ascii="Trebuchet MS" w:hAnsi="Trebuchet MS"/>
          <w:color w:val="000000"/>
        </w:rPr>
      </w:pPr>
    </w:p>
    <w:p w14:paraId="646F759A" w14:textId="77777777" w:rsidR="00A111A1" w:rsidRDefault="00A111A1" w:rsidP="003241A1">
      <w:pPr>
        <w:rPr>
          <w:rFonts w:asciiTheme="minorHAnsi" w:hAnsiTheme="minorHAnsi" w:cstheme="minorHAnsi"/>
          <w:sz w:val="24"/>
        </w:rPr>
      </w:pPr>
    </w:p>
    <w:p w14:paraId="15597ED7" w14:textId="24A54F59" w:rsidR="002438A7" w:rsidRDefault="00A779E9" w:rsidP="004470E6">
      <w:pPr>
        <w:rPr>
          <w:rFonts w:ascii="Calibri" w:hAnsi="Calibri" w:cs="Calibri"/>
          <w:sz w:val="24"/>
        </w:rPr>
      </w:pPr>
      <w:r w:rsidRPr="004470E6">
        <w:rPr>
          <w:rFonts w:ascii="Calibri" w:hAnsi="Calibri" w:cs="Calibri"/>
          <w:sz w:val="24"/>
        </w:rPr>
        <w:t xml:space="preserve">Perkins and Jones (2024) state that reward systems are a central pillar of human resource strategy, directly influencing employee motivation, engagement, and overall organisational performance. </w:t>
      </w:r>
      <w:r w:rsidR="00C30E7A" w:rsidRPr="004470E6">
        <w:rPr>
          <w:rFonts w:ascii="Calibri" w:hAnsi="Calibri" w:cs="Calibri"/>
          <w:sz w:val="24"/>
        </w:rPr>
        <w:t>Extrinsic rewards such as pay, bonuses, and benefits offer tangible recognition for performance and are often the most immediate motivators. For example, performance-related pay can incentivise employees to meet or exceed targets, thereby improving productivity thus better organisational performance.</w:t>
      </w:r>
      <w:r w:rsidR="00D021DE" w:rsidRPr="00D021DE">
        <w:rPr>
          <w:rFonts w:ascii="Calibri" w:hAnsi="Calibri" w:cs="Calibri"/>
          <w:sz w:val="24"/>
        </w:rPr>
        <w:t xml:space="preserve"> </w:t>
      </w:r>
      <w:r w:rsidR="00D021DE" w:rsidRPr="004470E6">
        <w:rPr>
          <w:rFonts w:ascii="Calibri" w:hAnsi="Calibri" w:cs="Calibri"/>
          <w:sz w:val="24"/>
        </w:rPr>
        <w:t xml:space="preserve">Armstrong &amp; Brown </w:t>
      </w:r>
      <w:r w:rsidR="00D021DE">
        <w:rPr>
          <w:rFonts w:ascii="Calibri" w:hAnsi="Calibri" w:cs="Calibri"/>
          <w:sz w:val="24"/>
        </w:rPr>
        <w:t>(</w:t>
      </w:r>
      <w:r w:rsidR="00D021DE" w:rsidRPr="004470E6">
        <w:rPr>
          <w:rFonts w:ascii="Calibri" w:hAnsi="Calibri" w:cs="Calibri"/>
          <w:sz w:val="24"/>
        </w:rPr>
        <w:t>2023)</w:t>
      </w:r>
      <w:r w:rsidR="00D021DE">
        <w:rPr>
          <w:rFonts w:ascii="Calibri" w:hAnsi="Calibri" w:cs="Calibri"/>
          <w:sz w:val="24"/>
        </w:rPr>
        <w:t xml:space="preserve"> state</w:t>
      </w:r>
      <w:r w:rsidR="00C30E7A" w:rsidRPr="004470E6">
        <w:rPr>
          <w:rFonts w:ascii="Calibri" w:hAnsi="Calibri" w:cs="Calibri"/>
          <w:sz w:val="24"/>
        </w:rPr>
        <w:t xml:space="preserve"> </w:t>
      </w:r>
      <w:r w:rsidR="003C6BD8">
        <w:rPr>
          <w:rFonts w:ascii="Calibri" w:hAnsi="Calibri" w:cs="Calibri"/>
          <w:sz w:val="24"/>
        </w:rPr>
        <w:t>b</w:t>
      </w:r>
      <w:r w:rsidR="00C30E7A" w:rsidRPr="004470E6">
        <w:rPr>
          <w:rFonts w:ascii="Calibri" w:hAnsi="Calibri" w:cs="Calibri"/>
          <w:sz w:val="24"/>
        </w:rPr>
        <w:t>onuses tied to team outcomes can also encourage collaboration and alignment with organisational goals</w:t>
      </w:r>
      <w:r w:rsidR="001D1C2E">
        <w:rPr>
          <w:rFonts w:ascii="Calibri" w:hAnsi="Calibri" w:cs="Calibri"/>
          <w:sz w:val="24"/>
        </w:rPr>
        <w:t>, t</w:t>
      </w:r>
      <w:r w:rsidR="00C30E7A" w:rsidRPr="004470E6">
        <w:rPr>
          <w:rFonts w:ascii="Calibri" w:hAnsi="Calibri" w:cs="Calibri"/>
          <w:sz w:val="24"/>
        </w:rPr>
        <w:t>hese rewards are particularly effective in attracting and retaining talent, especially in competitive markets.</w:t>
      </w:r>
      <w:r w:rsidR="00CC4216" w:rsidRPr="004470E6">
        <w:rPr>
          <w:rFonts w:ascii="Calibri" w:hAnsi="Calibri" w:cs="Calibri"/>
          <w:sz w:val="24"/>
        </w:rPr>
        <w:t xml:space="preserve"> These rewards can be</w:t>
      </w:r>
      <w:r w:rsidR="00CC4216" w:rsidRPr="004470E6">
        <w:rPr>
          <w:rFonts w:ascii="Calibri" w:hAnsi="Calibri" w:cs="Calibri"/>
          <w:sz w:val="24"/>
        </w:rPr>
        <w:t xml:space="preserve"> critical for meeting employees’ financial expectations and are often the primary drivers in recruitment and retention strategies</w:t>
      </w:r>
      <w:r w:rsidR="00C215B8">
        <w:rPr>
          <w:rFonts w:ascii="Calibri" w:hAnsi="Calibri" w:cs="Calibri"/>
          <w:sz w:val="24"/>
        </w:rPr>
        <w:t xml:space="preserve"> (Rose, 2022).</w:t>
      </w:r>
    </w:p>
    <w:p w14:paraId="7CEE0F4E" w14:textId="77777777" w:rsidR="002438A7" w:rsidRDefault="002438A7" w:rsidP="004470E6">
      <w:pPr>
        <w:rPr>
          <w:rFonts w:ascii="Calibri" w:hAnsi="Calibri" w:cs="Calibri"/>
          <w:sz w:val="24"/>
        </w:rPr>
      </w:pPr>
    </w:p>
    <w:p w14:paraId="3A3616E8" w14:textId="2563B39B" w:rsidR="0004082E" w:rsidRPr="004470E6" w:rsidRDefault="00190343" w:rsidP="004470E6">
      <w:pPr>
        <w:rPr>
          <w:rFonts w:ascii="Calibri" w:hAnsi="Calibri" w:cs="Calibri"/>
          <w:sz w:val="24"/>
        </w:rPr>
      </w:pPr>
      <w:r w:rsidRPr="004470E6">
        <w:rPr>
          <w:rFonts w:ascii="Calibri" w:hAnsi="Calibri" w:cs="Calibri"/>
          <w:sz w:val="24"/>
        </w:rPr>
        <w:t xml:space="preserve">For Eco-Insulate, implementing such a </w:t>
      </w:r>
      <w:r w:rsidR="002A2CB2" w:rsidRPr="004470E6">
        <w:rPr>
          <w:rFonts w:ascii="Calibri" w:hAnsi="Calibri" w:cs="Calibri"/>
          <w:sz w:val="24"/>
        </w:rPr>
        <w:t xml:space="preserve">reward </w:t>
      </w:r>
      <w:r w:rsidRPr="004470E6">
        <w:rPr>
          <w:rFonts w:ascii="Calibri" w:hAnsi="Calibri" w:cs="Calibri"/>
          <w:sz w:val="24"/>
        </w:rPr>
        <w:t>strategy could address immediate retention issues while also fostering a culture of recognition, development, and purpose. This not only supports individual performance</w:t>
      </w:r>
      <w:r w:rsidR="00B05C74" w:rsidRPr="004470E6">
        <w:rPr>
          <w:rFonts w:ascii="Calibri" w:hAnsi="Calibri" w:cs="Calibri"/>
          <w:sz w:val="24"/>
        </w:rPr>
        <w:t xml:space="preserve"> and knowledge retention</w:t>
      </w:r>
      <w:r w:rsidRPr="004470E6">
        <w:rPr>
          <w:rFonts w:ascii="Calibri" w:hAnsi="Calibri" w:cs="Calibri"/>
          <w:sz w:val="24"/>
        </w:rPr>
        <w:t xml:space="preserve"> but also contributes to long-term organisational success.</w:t>
      </w:r>
      <w:r w:rsidR="0004483C" w:rsidRPr="004470E6">
        <w:rPr>
          <w:rFonts w:ascii="Calibri" w:hAnsi="Calibri" w:cs="Calibri"/>
          <w:sz w:val="24"/>
        </w:rPr>
        <w:t xml:space="preserve"> </w:t>
      </w:r>
      <w:r w:rsidR="005526E9" w:rsidRPr="004470E6">
        <w:rPr>
          <w:rFonts w:ascii="Calibri" w:hAnsi="Calibri" w:cs="Calibri"/>
          <w:sz w:val="24"/>
        </w:rPr>
        <w:t xml:space="preserve">These rewards serve as tangible indicators of value and competitiveness in the labour market they also remain essential for attracting and retaining talent </w:t>
      </w:r>
      <w:r w:rsidR="003241A1" w:rsidRPr="004470E6">
        <w:rPr>
          <w:rFonts w:ascii="Calibri" w:hAnsi="Calibri" w:cs="Calibri"/>
          <w:sz w:val="24"/>
        </w:rPr>
        <w:t xml:space="preserve">thus raises the overall capability and performance of the workforce (Perkins and Jones 2024). </w:t>
      </w:r>
      <w:r w:rsidR="0004082E" w:rsidRPr="004470E6">
        <w:rPr>
          <w:rFonts w:ascii="Calibri" w:hAnsi="Calibri" w:cs="Calibri"/>
          <w:sz w:val="24"/>
        </w:rPr>
        <w:t>However, research also indicates that while extrinsic rewards can drive short-term motivation, their long-term impact is limited unless embedded within a broader, integrated reward strategy (CIPD, 2022)</w:t>
      </w:r>
      <w:r w:rsidR="003241A1" w:rsidRPr="004470E6">
        <w:rPr>
          <w:rFonts w:ascii="Calibri" w:hAnsi="Calibri" w:cs="Calibri"/>
          <w:sz w:val="24"/>
        </w:rPr>
        <w:t>.</w:t>
      </w:r>
      <w:r w:rsidR="004D2BFF" w:rsidRPr="004470E6">
        <w:rPr>
          <w:rFonts w:ascii="Calibri" w:hAnsi="Calibri" w:cs="Calibri"/>
          <w:sz w:val="24"/>
        </w:rPr>
        <w:t xml:space="preserve"> </w:t>
      </w:r>
    </w:p>
    <w:p w14:paraId="503A68FF" w14:textId="77777777" w:rsidR="005526E9" w:rsidRPr="004470E6" w:rsidRDefault="005526E9" w:rsidP="004470E6">
      <w:pPr>
        <w:rPr>
          <w:rFonts w:ascii="Calibri" w:hAnsi="Calibri" w:cs="Calibri"/>
          <w:sz w:val="24"/>
        </w:rPr>
      </w:pPr>
    </w:p>
    <w:p w14:paraId="636C271E" w14:textId="0756ACCF" w:rsidR="00A37747" w:rsidRPr="004470E6" w:rsidRDefault="0083661B" w:rsidP="004470E6">
      <w:pPr>
        <w:rPr>
          <w:rFonts w:ascii="Calibri" w:hAnsi="Calibri" w:cs="Calibri"/>
          <w:sz w:val="24"/>
        </w:rPr>
      </w:pPr>
      <w:r w:rsidRPr="004470E6">
        <w:rPr>
          <w:rFonts w:ascii="Calibri" w:hAnsi="Calibri" w:cs="Calibri"/>
          <w:sz w:val="24"/>
        </w:rPr>
        <w:t xml:space="preserve">Intrinsic rewards, such as autonomy, purpose, and personal growth, are increasingly recognised as key drivers of sustained engagement. The CIPD’s behavioural science report (Lupton, Rowe &amp; Whittle, 2015) notes that feelings of competence and connection are more effective for long-term performance than financial incentives. Success with intrinsic rewards depends on a supportive culture that fosters trust, recognition, and meaningful work. This aligns with Maslow’s hierarchy of needs, where higher-level needs like esteem and self-actualisation are fulfilled through intrinsic </w:t>
      </w:r>
      <w:r w:rsidR="004A6069" w:rsidRPr="004470E6">
        <w:rPr>
          <w:rFonts w:ascii="Calibri" w:hAnsi="Calibri" w:cs="Calibri"/>
          <w:sz w:val="24"/>
        </w:rPr>
        <w:t>motivators (</w:t>
      </w:r>
      <w:r w:rsidR="004A6069" w:rsidRPr="004470E6">
        <w:rPr>
          <w:rFonts w:ascii="Calibri" w:hAnsi="Calibri" w:cs="Calibri"/>
          <w:sz w:val="24"/>
        </w:rPr>
        <w:t>Maslow, 1943)</w:t>
      </w:r>
      <w:r w:rsidR="004A6069" w:rsidRPr="004470E6">
        <w:rPr>
          <w:rFonts w:ascii="Calibri" w:hAnsi="Calibri" w:cs="Calibri"/>
          <w:sz w:val="24"/>
        </w:rPr>
        <w:t xml:space="preserve">. </w:t>
      </w:r>
      <w:r w:rsidRPr="004470E6">
        <w:rPr>
          <w:rFonts w:ascii="Calibri" w:hAnsi="Calibri" w:cs="Calibri"/>
          <w:sz w:val="24"/>
        </w:rPr>
        <w:t>In sectors driven by innovation and knowledge, such rewards are vital for encouraging discretionary effort and enhancing organisational performance (Armstrong &amp; Brown, 2023).</w:t>
      </w:r>
    </w:p>
    <w:p w14:paraId="6BF4C6B7" w14:textId="77777777" w:rsidR="0083661B" w:rsidRPr="004470E6" w:rsidRDefault="0083661B" w:rsidP="004470E6">
      <w:pPr>
        <w:rPr>
          <w:rFonts w:ascii="Calibri" w:hAnsi="Calibri" w:cs="Calibri"/>
          <w:sz w:val="24"/>
        </w:rPr>
      </w:pPr>
    </w:p>
    <w:p w14:paraId="3B4E2709" w14:textId="44F52E2A" w:rsidR="002A7FDC" w:rsidRPr="004470E6" w:rsidRDefault="00B15299" w:rsidP="004470E6">
      <w:pPr>
        <w:rPr>
          <w:rFonts w:ascii="Calibri" w:hAnsi="Calibri" w:cs="Calibri"/>
          <w:sz w:val="24"/>
        </w:rPr>
      </w:pPr>
      <w:r w:rsidRPr="004470E6">
        <w:rPr>
          <w:rFonts w:ascii="Calibri" w:hAnsi="Calibri" w:cs="Calibri"/>
          <w:sz w:val="24"/>
        </w:rPr>
        <w:t>B</w:t>
      </w:r>
      <w:r w:rsidR="00A37747" w:rsidRPr="004470E6">
        <w:rPr>
          <w:rFonts w:ascii="Calibri" w:hAnsi="Calibri" w:cs="Calibri"/>
          <w:sz w:val="24"/>
        </w:rPr>
        <w:t>oth extrinsic and intrinsic rewards are not only complementary but also interdependent in driving employee contribution.</w:t>
      </w:r>
      <w:r w:rsidR="00C01D37" w:rsidRPr="00C01D37">
        <w:rPr>
          <w:rFonts w:ascii="Calibri" w:hAnsi="Calibri" w:cs="Calibri"/>
          <w:sz w:val="24"/>
        </w:rPr>
        <w:t xml:space="preserve"> </w:t>
      </w:r>
      <w:r w:rsidR="00C01D37" w:rsidRPr="004470E6">
        <w:rPr>
          <w:rFonts w:ascii="Calibri" w:hAnsi="Calibri" w:cs="Calibri"/>
          <w:sz w:val="24"/>
        </w:rPr>
        <w:t xml:space="preserve">For example, a bonus scheme may encourage short-term goal achievement, while a culture of recognition and meaningful work ensures employees remain engaged and committed over time. </w:t>
      </w:r>
      <w:r w:rsidR="00A37747" w:rsidRPr="004470E6">
        <w:rPr>
          <w:rFonts w:ascii="Calibri" w:hAnsi="Calibri" w:cs="Calibri"/>
          <w:sz w:val="24"/>
        </w:rPr>
        <w:t xml:space="preserve"> Extrinsic rewards may initiate motivation, but </w:t>
      </w:r>
      <w:r w:rsidR="00A37747" w:rsidRPr="004470E6">
        <w:rPr>
          <w:rFonts w:ascii="Calibri" w:hAnsi="Calibri" w:cs="Calibri"/>
          <w:sz w:val="24"/>
        </w:rPr>
        <w:lastRenderedPageBreak/>
        <w:t>intrinsic rewards sustain it. Together, they create a holistic reward environment that supports continuous performance improvement and organisational resilience</w:t>
      </w:r>
      <w:r w:rsidR="002A0F0B" w:rsidRPr="004470E6">
        <w:rPr>
          <w:rFonts w:ascii="Calibri" w:hAnsi="Calibri" w:cs="Calibri"/>
          <w:sz w:val="24"/>
        </w:rPr>
        <w:t xml:space="preserve"> (</w:t>
      </w:r>
      <w:r w:rsidR="002A0F0B" w:rsidRPr="004470E6">
        <w:rPr>
          <w:rFonts w:ascii="Calibri" w:hAnsi="Calibri" w:cs="Calibri"/>
          <w:sz w:val="24"/>
        </w:rPr>
        <w:t>Figueiredo et al. 2025)</w:t>
      </w:r>
      <w:r w:rsidR="002A0F0B" w:rsidRPr="004470E6">
        <w:rPr>
          <w:rFonts w:ascii="Calibri" w:hAnsi="Calibri" w:cs="Calibri"/>
          <w:sz w:val="24"/>
        </w:rPr>
        <w:t xml:space="preserve">. </w:t>
      </w:r>
    </w:p>
    <w:p w14:paraId="49EF9A06" w14:textId="77777777" w:rsidR="00D53529" w:rsidRPr="00C30F16" w:rsidRDefault="00D53529" w:rsidP="00C30F16">
      <w:pPr>
        <w:rPr>
          <w:rFonts w:asciiTheme="minorHAnsi" w:hAnsiTheme="minorHAnsi" w:cstheme="minorHAnsi"/>
          <w:sz w:val="24"/>
        </w:rPr>
      </w:pPr>
    </w:p>
    <w:p w14:paraId="58FC0F49" w14:textId="77777777" w:rsidR="003241A1" w:rsidRPr="00E446B9" w:rsidRDefault="003241A1" w:rsidP="005F136C">
      <w:pPr>
        <w:pStyle w:val="Nornal"/>
        <w:spacing w:after="0" w:line="240" w:lineRule="auto"/>
        <w:rPr>
          <w:rFonts w:ascii="Trebuchet MS" w:hAnsi="Trebuchet MS"/>
          <w:color w:val="000000"/>
        </w:rPr>
      </w:pPr>
    </w:p>
    <w:p w14:paraId="149D883F" w14:textId="77777777" w:rsidR="005F136C" w:rsidRPr="003241A1"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22DDAB44" w14:textId="77777777" w:rsidR="003241A1" w:rsidRDefault="003241A1" w:rsidP="003241A1">
      <w:pPr>
        <w:pStyle w:val="Nornal"/>
        <w:spacing w:after="0" w:line="240" w:lineRule="auto"/>
        <w:ind w:left="720"/>
        <w:rPr>
          <w:rFonts w:ascii="Trebuchet MS" w:hAnsi="Trebuchet MS"/>
          <w:color w:val="000000"/>
        </w:rPr>
      </w:pPr>
    </w:p>
    <w:p w14:paraId="681CAE5A" w14:textId="3C8549FE" w:rsidR="00295664" w:rsidRDefault="00295664" w:rsidP="003241A1">
      <w:pPr>
        <w:pStyle w:val="Nornal"/>
        <w:spacing w:after="0" w:line="240" w:lineRule="auto"/>
        <w:ind w:left="720"/>
        <w:rPr>
          <w:rFonts w:ascii="Trebuchet MS" w:hAnsi="Trebuchet MS"/>
          <w:color w:val="000000"/>
        </w:rPr>
      </w:pPr>
    </w:p>
    <w:p w14:paraId="0CE55241" w14:textId="77777777" w:rsidR="002042EB" w:rsidRPr="00E446B9" w:rsidRDefault="002042EB" w:rsidP="003241A1">
      <w:pPr>
        <w:pStyle w:val="Nornal"/>
        <w:spacing w:after="0" w:line="240" w:lineRule="auto"/>
        <w:ind w:left="720"/>
        <w:rPr>
          <w:rFonts w:ascii="Trebuchet MS" w:hAnsi="Trebuchet MS"/>
          <w:color w:val="000000"/>
        </w:rPr>
      </w:pPr>
    </w:p>
    <w:p w14:paraId="2FE41066" w14:textId="3FD1DE02" w:rsidR="00AD10F2" w:rsidRPr="002042EB" w:rsidRDefault="00AD10F2" w:rsidP="002042EB">
      <w:pPr>
        <w:rPr>
          <w:rFonts w:ascii="Calibri" w:hAnsi="Calibri" w:cs="Calibri"/>
          <w:sz w:val="24"/>
        </w:rPr>
      </w:pPr>
      <w:r w:rsidRPr="002042EB">
        <w:rPr>
          <w:rFonts w:ascii="Calibri" w:hAnsi="Calibri" w:cs="Calibri"/>
          <w:sz w:val="24"/>
        </w:rPr>
        <w:t>Pay structures are a critical aspect of reward management, offering a systematic framework for determining employee compensation based on roles, responsibilities, and performance (Rose, 2022). These structures can be broadly divided into formal and informal systems, each with distinct implications for fairness, flexibility, and transparency (Perkins, 2019). According to ACAS (no date), fair and transparent pay systems are essential for maintaining employee morale, as unclear or inequitable practices can lead to dissatisfaction and disengagement.</w:t>
      </w:r>
    </w:p>
    <w:p w14:paraId="4CE66F6C" w14:textId="77777777" w:rsidR="00AD10F2" w:rsidRPr="002042EB" w:rsidRDefault="00AD10F2" w:rsidP="002042EB">
      <w:pPr>
        <w:rPr>
          <w:rFonts w:ascii="Calibri" w:hAnsi="Calibri" w:cs="Calibri"/>
          <w:sz w:val="24"/>
        </w:rPr>
      </w:pPr>
    </w:p>
    <w:p w14:paraId="5B55DE5D" w14:textId="30A71A7E" w:rsidR="00AD10F2" w:rsidRPr="002042EB" w:rsidRDefault="00AD10F2" w:rsidP="002042EB">
      <w:pPr>
        <w:rPr>
          <w:rFonts w:ascii="Calibri" w:hAnsi="Calibri" w:cs="Calibri"/>
          <w:sz w:val="24"/>
        </w:rPr>
      </w:pPr>
      <w:r w:rsidRPr="002042EB">
        <w:rPr>
          <w:rFonts w:ascii="Calibri" w:hAnsi="Calibri" w:cs="Calibri"/>
          <w:sz w:val="24"/>
        </w:rPr>
        <w:t xml:space="preserve">Formal pay structures are typically codified systems that categorise jobs into defined grades or bands, each linked to a specific pay range. These structures are often supported by job evaluation processes and aim to ensure internal equity and consistency (Armstrong &amp; Brown, 2019). Multi-graded structures, commonly used in large public sector organisations, allow for fine distinctions between roles but may lack the flexibility needed in dynamic environments (Marchington et al., 2020). </w:t>
      </w:r>
      <w:r w:rsidR="002042EB" w:rsidRPr="002042EB">
        <w:rPr>
          <w:rFonts w:ascii="Calibri" w:hAnsi="Calibri" w:cs="Calibri"/>
          <w:sz w:val="24"/>
        </w:rPr>
        <w:t>Broad-graded structures, which consolidate multiple narrow grades into fewer, wider bands, offer greater flexibility in job design and career progression. Unlike narrow-graded structures where roles are divided into many small, incremental grades with tightly defined pay ranges broad-graded systems reduce complexity and allow for broader role definitions. However, this flexibility can come at the cost of clarity, as it may obscure pay progression and make it harder for employees to understand how to advance (Perkins &amp; Jones, 2020). Broad-banded structures extend this concept further by collapsing numerous grades into just a few very wide bands. This supports flatter organisational hierarchies and encourages lateral career development, but it can also lead to pay drift and challenges in maintaining internal equity (Rose, 2022). The job family model, which groups similar roles into families with tailored progression paths, is effective in large organisations but may be too complex for Eco-Insulate medium-sized workforce (Taylor &amp; Woodhams, 2022).</w:t>
      </w:r>
    </w:p>
    <w:p w14:paraId="3F5B5A9F" w14:textId="77777777" w:rsidR="00AD10F2" w:rsidRPr="002042EB" w:rsidRDefault="00AD10F2" w:rsidP="002042EB">
      <w:pPr>
        <w:rPr>
          <w:rFonts w:ascii="Calibri" w:hAnsi="Calibri" w:cs="Calibri"/>
          <w:sz w:val="24"/>
        </w:rPr>
      </w:pPr>
    </w:p>
    <w:p w14:paraId="2BAF0A84" w14:textId="65300260" w:rsidR="00AD10F2" w:rsidRPr="002042EB" w:rsidRDefault="00E909AB" w:rsidP="002042EB">
      <w:pPr>
        <w:rPr>
          <w:rFonts w:ascii="Calibri" w:hAnsi="Calibri" w:cs="Calibri"/>
          <w:sz w:val="24"/>
        </w:rPr>
      </w:pPr>
      <w:r>
        <w:rPr>
          <w:rFonts w:ascii="Calibri" w:hAnsi="Calibri" w:cs="Calibri"/>
          <w:sz w:val="24"/>
        </w:rPr>
        <w:t>I</w:t>
      </w:r>
      <w:r w:rsidR="00AD10F2" w:rsidRPr="002042EB">
        <w:rPr>
          <w:rFonts w:ascii="Calibri" w:hAnsi="Calibri" w:cs="Calibri"/>
          <w:sz w:val="24"/>
        </w:rPr>
        <w:t xml:space="preserve">nformal pay structures are more fluid and often evolve organically, particularly in smaller businesses or those with a culture of individual negotiation (Wilton, 2022). Spot rates, where a fixed pay is assigned to a role without progression, are simple to administer but may limit motivation and development (Waite et al., 2021). Individual job grading offers flexibility and market alignment but can lead to inconsistencies if not managed transparently (Armstrong &amp; Chapman, 2011). External bodies such as the Low Pay Commission, Office of Manpower Economics, and the High Pay Centre influence pay structure design in the UK, promoting fairness, legal compliance, and transparency (Low Pay Commission, no date.; Office of Manpower Economics, no date.; High Pay Centre, no date). </w:t>
      </w:r>
      <w:r w:rsidR="00AD10F2" w:rsidRPr="002042EB">
        <w:rPr>
          <w:rFonts w:ascii="Calibri" w:hAnsi="Calibri" w:cs="Calibri"/>
          <w:sz w:val="24"/>
        </w:rPr>
        <w:lastRenderedPageBreak/>
        <w:t>Given Eco-Insulate lack of incentive schemes and the MD’s concerns about turnover and negative culture, implementing a structured reward system could significantly enhance employee engagement, retention, and overall organisational performance.</w:t>
      </w:r>
    </w:p>
    <w:p w14:paraId="55F03F30" w14:textId="77777777" w:rsidR="0004082E" w:rsidRDefault="0004082E" w:rsidP="005F136C">
      <w:pPr>
        <w:pStyle w:val="Nornal"/>
        <w:spacing w:after="0" w:line="240" w:lineRule="auto"/>
        <w:rPr>
          <w:rFonts w:ascii="Trebuchet MS" w:hAnsi="Trebuchet MS"/>
          <w:color w:val="000000"/>
        </w:rPr>
      </w:pPr>
    </w:p>
    <w:p w14:paraId="128D2EE6" w14:textId="6AD549D1" w:rsidR="1ACE938C" w:rsidRDefault="1ACE938C" w:rsidP="1ACE938C">
      <w:pPr>
        <w:pStyle w:val="Nornal"/>
        <w:spacing w:after="0" w:line="240" w:lineRule="auto"/>
        <w:rPr>
          <w:rFonts w:ascii="Trebuchet MS" w:hAnsi="Trebuchet MS"/>
          <w:color w:val="000000" w:themeColor="text1"/>
        </w:rPr>
      </w:pPr>
    </w:p>
    <w:p w14:paraId="123A21C8" w14:textId="22161C6A" w:rsidR="1ACE938C" w:rsidRDefault="1ACE938C" w:rsidP="1ACE938C">
      <w:pPr>
        <w:pStyle w:val="Nornal"/>
        <w:spacing w:after="0" w:line="240" w:lineRule="auto"/>
        <w:rPr>
          <w:rFonts w:ascii="Trebuchet MS" w:hAnsi="Trebuchet MS"/>
          <w:color w:val="000000" w:themeColor="text1"/>
        </w:rPr>
      </w:pPr>
    </w:p>
    <w:p w14:paraId="0CB8D06D" w14:textId="4C3BFB30" w:rsidR="1ACE938C" w:rsidRDefault="1ACE938C" w:rsidP="1ACE938C">
      <w:pPr>
        <w:pStyle w:val="Nornal"/>
        <w:spacing w:after="0" w:line="240" w:lineRule="auto"/>
        <w:rPr>
          <w:rFonts w:ascii="Trebuchet MS" w:hAnsi="Trebuchet MS"/>
          <w:color w:val="000000" w:themeColor="text1"/>
        </w:rPr>
      </w:pPr>
    </w:p>
    <w:p w14:paraId="34701E4F" w14:textId="639C73C2" w:rsidR="1ACE938C" w:rsidRDefault="1ACE938C" w:rsidP="1ACE938C">
      <w:pPr>
        <w:pStyle w:val="Nornal"/>
        <w:spacing w:after="0" w:line="240" w:lineRule="auto"/>
        <w:rPr>
          <w:rFonts w:ascii="Trebuchet MS" w:hAnsi="Trebuchet MS"/>
          <w:color w:val="000000" w:themeColor="text1"/>
        </w:rPr>
      </w:pPr>
    </w:p>
    <w:p w14:paraId="1180B4A9" w14:textId="77777777" w:rsidR="00270A94" w:rsidRDefault="00270A94" w:rsidP="00270A94"/>
    <w:p w14:paraId="431A977E" w14:textId="77777777" w:rsidR="0004082E" w:rsidRPr="00E446B9" w:rsidRDefault="0004082E" w:rsidP="005F136C">
      <w:pPr>
        <w:pStyle w:val="Nornal"/>
        <w:spacing w:after="0" w:line="240" w:lineRule="auto"/>
        <w:rPr>
          <w:rFonts w:ascii="Trebuchet MS" w:hAnsi="Trebuchet MS"/>
          <w:color w:val="000000"/>
        </w:rPr>
      </w:pPr>
    </w:p>
    <w:p w14:paraId="30CC4681" w14:textId="77777777" w:rsidR="005F136C" w:rsidRPr="00436869"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472B6206" w14:textId="52C0299B" w:rsidR="00436869" w:rsidRDefault="00436869" w:rsidP="00436869">
      <w:pPr>
        <w:pStyle w:val="Nornal"/>
        <w:spacing w:after="0" w:line="240" w:lineRule="auto"/>
        <w:rPr>
          <w:rFonts w:ascii="Trebuchet MS" w:hAnsi="Trebuchet MS"/>
          <w:color w:val="000000" w:themeColor="text1"/>
        </w:rPr>
      </w:pPr>
    </w:p>
    <w:p w14:paraId="7E415724" w14:textId="77777777" w:rsidR="00436869" w:rsidRPr="0078183F" w:rsidRDefault="00436869" w:rsidP="0078183F">
      <w:pPr>
        <w:rPr>
          <w:rFonts w:ascii="Calibri" w:hAnsi="Calibri" w:cs="Calibri"/>
          <w:sz w:val="24"/>
        </w:rPr>
      </w:pPr>
    </w:p>
    <w:p w14:paraId="3F85CCB9" w14:textId="12BE495C" w:rsidR="00570710" w:rsidRPr="00226FA9" w:rsidRDefault="009D3485" w:rsidP="00226FA9">
      <w:pPr>
        <w:rPr>
          <w:rFonts w:ascii="Calibri" w:hAnsi="Calibri" w:cs="Calibri"/>
          <w:sz w:val="24"/>
        </w:rPr>
      </w:pPr>
      <w:r w:rsidRPr="00226FA9">
        <w:rPr>
          <w:rFonts w:ascii="Calibri" w:hAnsi="Calibri" w:cs="Calibri"/>
          <w:sz w:val="24"/>
        </w:rPr>
        <w:t xml:space="preserve">Contingent rewards linked to individual performance, skills, or contributions are a key element of strategic reward management and can significantly influence organisational outcomes. </w:t>
      </w:r>
      <w:r w:rsidR="00570710" w:rsidRPr="00226FA9">
        <w:rPr>
          <w:rFonts w:ascii="Calibri" w:hAnsi="Calibri" w:cs="Calibri"/>
          <w:sz w:val="24"/>
        </w:rPr>
        <w:t>Contingent rewards are incentives directly linked to individual performance outcomes, such as bonuses, commission, or recognition. These rewards can significantly enhance motivation by reinforcing the connection between effort and reward (Armstrong and Taylor, 2023). When employees understand that their contributions are acknowledged through tangible benefits, they are more likely to focus on achieving performance targets (Perkins and Jones, 2020).</w:t>
      </w:r>
      <w:r w:rsidR="00570710" w:rsidRPr="00226FA9">
        <w:rPr>
          <w:rFonts w:ascii="Calibri" w:hAnsi="Calibri" w:cs="Calibri"/>
          <w:sz w:val="24"/>
        </w:rPr>
        <w:t xml:space="preserve"> </w:t>
      </w:r>
      <w:r w:rsidR="00570710" w:rsidRPr="00226FA9">
        <w:rPr>
          <w:rFonts w:ascii="Calibri" w:hAnsi="Calibri" w:cs="Calibri"/>
          <w:sz w:val="24"/>
        </w:rPr>
        <w:t>Contingent rewards also support performance management by differentiating high performers and encouraging continuous improvement. However, their effectiveness depends on fairness, transparency, and alignment with organisational values. Poorly designed schemes may lead to unethical behaviour or short-termism if rewards are based solely on outcomes (Armstrong and Chapman, 2011).</w:t>
      </w:r>
      <w:r w:rsidR="00570710" w:rsidRPr="00226FA9">
        <w:rPr>
          <w:rFonts w:ascii="Calibri" w:hAnsi="Calibri" w:cs="Calibri"/>
          <w:sz w:val="24"/>
        </w:rPr>
        <w:t xml:space="preserve"> </w:t>
      </w:r>
      <w:r w:rsidR="00A12101" w:rsidRPr="00226FA9">
        <w:rPr>
          <w:rFonts w:ascii="Calibri" w:hAnsi="Calibri" w:cs="Calibri"/>
          <w:sz w:val="24"/>
        </w:rPr>
        <w:t>I</w:t>
      </w:r>
      <w:r w:rsidR="00570710" w:rsidRPr="00226FA9">
        <w:rPr>
          <w:rFonts w:ascii="Calibri" w:hAnsi="Calibri" w:cs="Calibri"/>
          <w:sz w:val="24"/>
        </w:rPr>
        <w:t>ntroducing well-structured contingent rewards could improve individual performance and foster a culture of accountability and recognition. When aligned with strategic goals, contingent rewards become a powerful tool for driving both individual and organisational success.</w:t>
      </w:r>
    </w:p>
    <w:p w14:paraId="7EAF6997" w14:textId="77777777" w:rsidR="005514BD" w:rsidRPr="00226FA9" w:rsidRDefault="005514BD" w:rsidP="00436869">
      <w:pPr>
        <w:rPr>
          <w:rFonts w:asciiTheme="minorHAnsi" w:hAnsiTheme="minorHAnsi" w:cstheme="minorHAnsi"/>
          <w:sz w:val="24"/>
        </w:rPr>
      </w:pPr>
    </w:p>
    <w:p w14:paraId="0FDC945D" w14:textId="04BB15F3" w:rsidR="00F23CB5" w:rsidRPr="00226FA9" w:rsidRDefault="00F23CB5" w:rsidP="00226FA9">
      <w:pPr>
        <w:rPr>
          <w:rFonts w:asciiTheme="minorHAnsi" w:hAnsiTheme="minorHAnsi" w:cstheme="minorHAnsi"/>
          <w:sz w:val="24"/>
        </w:rPr>
      </w:pPr>
      <w:r w:rsidRPr="00226FA9">
        <w:rPr>
          <w:rFonts w:asciiTheme="minorHAnsi" w:hAnsiTheme="minorHAnsi" w:cstheme="minorHAnsi"/>
          <w:sz w:val="24"/>
        </w:rPr>
        <w:t>At team level, contingent rewards can significantly influence collective performance by reinforcing shared goals and encouraging collaboration. When rewards are tied to team outcomes</w:t>
      </w:r>
      <w:r w:rsidRPr="00226FA9">
        <w:rPr>
          <w:rFonts w:asciiTheme="minorHAnsi" w:hAnsiTheme="minorHAnsi" w:cstheme="minorHAnsi"/>
          <w:sz w:val="24"/>
        </w:rPr>
        <w:t xml:space="preserve"> </w:t>
      </w:r>
      <w:r w:rsidRPr="00226FA9">
        <w:rPr>
          <w:rFonts w:asciiTheme="minorHAnsi" w:hAnsiTheme="minorHAnsi" w:cstheme="minorHAnsi"/>
          <w:sz w:val="24"/>
        </w:rPr>
        <w:t>such as project completion, quality improvements, or customer satisfaction</w:t>
      </w:r>
      <w:r w:rsidRPr="00226FA9">
        <w:rPr>
          <w:rFonts w:asciiTheme="minorHAnsi" w:hAnsiTheme="minorHAnsi" w:cstheme="minorHAnsi"/>
          <w:sz w:val="24"/>
        </w:rPr>
        <w:t xml:space="preserve"> </w:t>
      </w:r>
      <w:r w:rsidRPr="00226FA9">
        <w:rPr>
          <w:rFonts w:asciiTheme="minorHAnsi" w:hAnsiTheme="minorHAnsi" w:cstheme="minorHAnsi"/>
          <w:sz w:val="24"/>
        </w:rPr>
        <w:t>members are more likely to coordinate efforts and support one another (Armstrong and Taylor, 2023). This fosters a sense of collective accountability and strengthens team cohesion.</w:t>
      </w:r>
      <w:r w:rsidRPr="00226FA9">
        <w:rPr>
          <w:rFonts w:asciiTheme="minorHAnsi" w:hAnsiTheme="minorHAnsi" w:cstheme="minorHAnsi"/>
          <w:sz w:val="24"/>
        </w:rPr>
        <w:t xml:space="preserve"> </w:t>
      </w:r>
      <w:r w:rsidRPr="00226FA9">
        <w:rPr>
          <w:rFonts w:asciiTheme="minorHAnsi" w:hAnsiTheme="minorHAnsi" w:cstheme="minorHAnsi"/>
          <w:sz w:val="24"/>
        </w:rPr>
        <w:t>Perkins and Jones (2020) highlight that team-based rewards can also promote a culture of mutual recognition, where success is celebrated collectively rather than competitively. However, the design of such schemes is critical. If rewards are distributed unevenly or lack transparency, they may lead to conflict or disengagement.</w:t>
      </w:r>
      <w:r w:rsidRPr="00226FA9">
        <w:rPr>
          <w:rFonts w:asciiTheme="minorHAnsi" w:hAnsiTheme="minorHAnsi" w:cstheme="minorHAnsi"/>
          <w:sz w:val="24"/>
        </w:rPr>
        <w:t xml:space="preserve"> </w:t>
      </w:r>
      <w:r w:rsidRPr="00226FA9">
        <w:rPr>
          <w:rFonts w:asciiTheme="minorHAnsi" w:hAnsiTheme="minorHAnsi" w:cstheme="minorHAnsi"/>
          <w:sz w:val="24"/>
        </w:rPr>
        <w:t>For organisations like Eco-Insulate, where cultural challenges exist, implementing team-based contingent rewards could help build trust, improve collaboration, and align group efforts with organisational objectives. When well-managed, these rewards enhance both team morale and overall performance.</w:t>
      </w:r>
    </w:p>
    <w:p w14:paraId="58EBA7BE" w14:textId="77777777" w:rsidR="00436869" w:rsidRPr="00226FA9" w:rsidRDefault="00436869" w:rsidP="00436869">
      <w:pPr>
        <w:rPr>
          <w:rFonts w:asciiTheme="minorHAnsi" w:hAnsiTheme="minorHAnsi" w:cstheme="minorHAnsi"/>
          <w:sz w:val="24"/>
        </w:rPr>
      </w:pPr>
    </w:p>
    <w:p w14:paraId="1EA34D64" w14:textId="23053DAB" w:rsidR="00C7024C" w:rsidRPr="00226FA9" w:rsidRDefault="006F2352" w:rsidP="006F2352">
      <w:pPr>
        <w:rPr>
          <w:rFonts w:asciiTheme="minorHAnsi" w:hAnsiTheme="minorHAnsi" w:cstheme="minorHAnsi"/>
          <w:sz w:val="24"/>
        </w:rPr>
      </w:pPr>
      <w:r w:rsidRPr="00226FA9">
        <w:rPr>
          <w:rFonts w:asciiTheme="minorHAnsi" w:hAnsiTheme="minorHAnsi" w:cstheme="minorHAnsi"/>
          <w:sz w:val="24"/>
        </w:rPr>
        <w:t xml:space="preserve">Organisationally, contingent rewards can serve as strategic levers for cultural transformation. For Eco-Insulate, implementing a mix of performance, competency, and </w:t>
      </w:r>
      <w:r w:rsidRPr="00226FA9">
        <w:rPr>
          <w:rFonts w:asciiTheme="minorHAnsi" w:hAnsiTheme="minorHAnsi" w:cstheme="minorHAnsi"/>
          <w:sz w:val="24"/>
        </w:rPr>
        <w:lastRenderedPageBreak/>
        <w:t>contribution-based pay could help shift the culture from one of stagnation to one of recognition, development, and achievement (Armstrong and Brown, 2019</w:t>
      </w:r>
      <w:r w:rsidR="00B6626F" w:rsidRPr="00226FA9">
        <w:rPr>
          <w:rFonts w:asciiTheme="minorHAnsi" w:hAnsiTheme="minorHAnsi" w:cstheme="minorHAnsi"/>
          <w:sz w:val="24"/>
        </w:rPr>
        <w:t xml:space="preserve">). </w:t>
      </w:r>
      <w:r w:rsidRPr="00226FA9">
        <w:rPr>
          <w:rFonts w:asciiTheme="minorHAnsi" w:hAnsiTheme="minorHAnsi" w:cstheme="minorHAnsi"/>
          <w:sz w:val="24"/>
        </w:rPr>
        <w:t xml:space="preserve">This would not only improve retention and morale but also align employee efforts with the company’s sustainability and innovation goals (Perkins and Jones, 2020; Taylor and Woodhams, 2022). </w:t>
      </w:r>
      <w:r w:rsidR="00B6626F" w:rsidRPr="00226FA9">
        <w:rPr>
          <w:rFonts w:asciiTheme="minorHAnsi" w:hAnsiTheme="minorHAnsi" w:cstheme="minorHAnsi"/>
          <w:sz w:val="24"/>
        </w:rPr>
        <w:t>C</w:t>
      </w:r>
      <w:r w:rsidRPr="00226FA9">
        <w:rPr>
          <w:rFonts w:asciiTheme="minorHAnsi" w:hAnsiTheme="minorHAnsi" w:cstheme="minorHAnsi"/>
          <w:sz w:val="24"/>
        </w:rPr>
        <w:t>ontingent rewards offer a practical and strategic solution to many of the challenges facing Eco-Insulate, and their thoughtful implementation could lead to meaningful improvements in individual, team, and organisational performance</w:t>
      </w:r>
      <w:r w:rsidR="00CC614F" w:rsidRPr="00226FA9">
        <w:rPr>
          <w:rFonts w:asciiTheme="minorHAnsi" w:hAnsiTheme="minorHAnsi" w:cstheme="minorHAnsi"/>
          <w:sz w:val="24"/>
        </w:rPr>
        <w:t xml:space="preserve"> (</w:t>
      </w:r>
      <w:r w:rsidRPr="00226FA9">
        <w:rPr>
          <w:rFonts w:asciiTheme="minorHAnsi" w:hAnsiTheme="minorHAnsi" w:cstheme="minorHAnsi"/>
          <w:sz w:val="24"/>
        </w:rPr>
        <w:t>Waite et al., 2021).</w:t>
      </w:r>
    </w:p>
    <w:p w14:paraId="23052456" w14:textId="77777777" w:rsidR="00C7024C" w:rsidRPr="00226FA9" w:rsidRDefault="00C7024C" w:rsidP="00436869">
      <w:pPr>
        <w:rPr>
          <w:rFonts w:asciiTheme="minorHAnsi" w:hAnsiTheme="minorHAnsi" w:cstheme="minorHAnsi"/>
          <w:sz w:val="24"/>
        </w:rPr>
      </w:pPr>
    </w:p>
    <w:p w14:paraId="57350476" w14:textId="77777777" w:rsidR="00655C74" w:rsidRDefault="00655C74" w:rsidP="00436869">
      <w:pPr>
        <w:rPr>
          <w:rFonts w:asciiTheme="minorHAnsi" w:hAnsiTheme="minorHAnsi" w:cstheme="minorHAnsi"/>
          <w:sz w:val="24"/>
        </w:rPr>
      </w:pPr>
    </w:p>
    <w:p w14:paraId="1784AC19" w14:textId="77777777" w:rsidR="00655C74" w:rsidRDefault="00655C74" w:rsidP="00436869">
      <w:pPr>
        <w:rPr>
          <w:rFonts w:asciiTheme="minorHAnsi" w:hAnsiTheme="minorHAnsi" w:cstheme="minorHAnsi"/>
          <w:sz w:val="24"/>
        </w:rPr>
      </w:pPr>
    </w:p>
    <w:p w14:paraId="22988E4F" w14:textId="77777777" w:rsidR="00655C74" w:rsidRPr="00C7024C" w:rsidRDefault="00655C74" w:rsidP="00436869">
      <w:pPr>
        <w:rPr>
          <w:rFonts w:asciiTheme="minorHAnsi" w:hAnsiTheme="minorHAnsi" w:cstheme="minorHAnsi"/>
          <w:sz w:val="24"/>
        </w:rPr>
      </w:pPr>
    </w:p>
    <w:p w14:paraId="2C8BB669" w14:textId="77777777" w:rsidR="00270A94" w:rsidRPr="00E446B9" w:rsidRDefault="00270A94" w:rsidP="00270A94">
      <w:pPr>
        <w:pStyle w:val="Nornal"/>
        <w:spacing w:after="0" w:line="240" w:lineRule="auto"/>
        <w:rPr>
          <w:rFonts w:ascii="Trebuchet MS" w:hAnsi="Trebuchet MS"/>
          <w:color w:val="000000"/>
        </w:rPr>
      </w:pPr>
    </w:p>
    <w:p w14:paraId="27B98314" w14:textId="77777777" w:rsidR="005F136C" w:rsidRPr="00E446B9" w:rsidRDefault="005F136C" w:rsidP="005F136C">
      <w:pPr>
        <w:pStyle w:val="Nornal"/>
        <w:spacing w:after="0" w:line="240" w:lineRule="auto"/>
        <w:ind w:left="720"/>
        <w:rPr>
          <w:rFonts w:ascii="Trebuchet MS" w:hAnsi="Trebuchet MS"/>
          <w:color w:val="000000"/>
        </w:rPr>
      </w:pPr>
    </w:p>
    <w:p w14:paraId="4CFE545D" w14:textId="3AA95DC2" w:rsidR="00436869" w:rsidRDefault="005F136C" w:rsidP="00436869">
      <w:pPr>
        <w:pStyle w:val="Nornal"/>
        <w:numPr>
          <w:ilvl w:val="0"/>
          <w:numId w:val="1"/>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7E95C20E" w14:textId="77777777" w:rsidR="00A0651E" w:rsidRDefault="00A0651E" w:rsidP="00A0651E">
      <w:pPr>
        <w:pStyle w:val="Nornal"/>
        <w:spacing w:after="0" w:line="240" w:lineRule="auto"/>
        <w:ind w:left="720"/>
        <w:rPr>
          <w:rFonts w:ascii="Trebuchet MS" w:hAnsi="Trebuchet MS"/>
          <w:color w:val="000000"/>
        </w:rPr>
      </w:pPr>
    </w:p>
    <w:p w14:paraId="5C70642D" w14:textId="784EFD43" w:rsidR="00517E65" w:rsidRDefault="00517E65" w:rsidP="00A0651E">
      <w:pPr>
        <w:pStyle w:val="Nornal"/>
        <w:spacing w:after="0" w:line="240" w:lineRule="auto"/>
        <w:ind w:left="720"/>
        <w:rPr>
          <w:rFonts w:ascii="Trebuchet MS" w:hAnsi="Trebuchet MS"/>
          <w:color w:val="000000"/>
        </w:rPr>
      </w:pPr>
    </w:p>
    <w:p w14:paraId="2A6C9F3A" w14:textId="77777777" w:rsidR="00436869" w:rsidRDefault="00436869" w:rsidP="00436869">
      <w:pPr>
        <w:pStyle w:val="Nornal"/>
        <w:spacing w:after="0" w:line="240" w:lineRule="auto"/>
        <w:ind w:left="720"/>
        <w:rPr>
          <w:rFonts w:ascii="Trebuchet MS" w:hAnsi="Trebuchet MS"/>
          <w:color w:val="000000"/>
        </w:rPr>
      </w:pPr>
    </w:p>
    <w:p w14:paraId="45C8FA9D" w14:textId="3D1F9AE8" w:rsidR="00677E50" w:rsidRPr="00677E50" w:rsidRDefault="00677E50" w:rsidP="003E723A">
      <w:pPr>
        <w:rPr>
          <w:rFonts w:ascii="Calibri" w:hAnsi="Calibri" w:cs="Calibri"/>
          <w:sz w:val="24"/>
          <w:lang w:eastAsia="en-GB"/>
        </w:rPr>
      </w:pPr>
      <w:r w:rsidRPr="00677E50">
        <w:rPr>
          <w:rFonts w:ascii="Calibri" w:hAnsi="Calibri" w:cs="Calibri"/>
          <w:sz w:val="24"/>
          <w:lang w:eastAsia="en-GB"/>
        </w:rPr>
        <w:t>Organisations implement a wide array of employee benefits, each offering distinct advantages that contribute to motivation, engagement, and retention. Financial and performance-based benefits</w:t>
      </w:r>
      <w:r w:rsidR="00DE49EE" w:rsidRPr="003E723A">
        <w:rPr>
          <w:rFonts w:ascii="Calibri" w:hAnsi="Calibri" w:cs="Calibri"/>
          <w:sz w:val="24"/>
        </w:rPr>
        <w:t xml:space="preserve"> </w:t>
      </w:r>
      <w:r w:rsidRPr="00677E50">
        <w:rPr>
          <w:rFonts w:ascii="Calibri" w:hAnsi="Calibri" w:cs="Calibri"/>
          <w:sz w:val="24"/>
          <w:lang w:eastAsia="en-GB"/>
        </w:rPr>
        <w:t>such as performance-related pay, profit-sharing, gainsharing, and payment by results</w:t>
      </w:r>
      <w:r w:rsidR="00DE49EE" w:rsidRPr="003E723A">
        <w:rPr>
          <w:rFonts w:ascii="Calibri" w:hAnsi="Calibri" w:cs="Calibri"/>
          <w:sz w:val="24"/>
        </w:rPr>
        <w:t xml:space="preserve"> </w:t>
      </w:r>
      <w:r w:rsidRPr="00677E50">
        <w:rPr>
          <w:rFonts w:ascii="Calibri" w:hAnsi="Calibri" w:cs="Calibri"/>
          <w:sz w:val="24"/>
          <w:lang w:eastAsia="en-GB"/>
        </w:rPr>
        <w:t>are particularly effective in aligning employee efforts with organisational objectives by directly linking rewards to individual or team outcomes (Armstrong and Brown, 202</w:t>
      </w:r>
      <w:r w:rsidR="004507AE" w:rsidRPr="003E723A">
        <w:rPr>
          <w:rFonts w:ascii="Calibri" w:hAnsi="Calibri" w:cs="Calibri"/>
          <w:sz w:val="24"/>
        </w:rPr>
        <w:t xml:space="preserve">3). </w:t>
      </w:r>
      <w:r w:rsidRPr="00677E50">
        <w:rPr>
          <w:rFonts w:ascii="Calibri" w:hAnsi="Calibri" w:cs="Calibri"/>
          <w:sz w:val="24"/>
          <w:lang w:eastAsia="en-GB"/>
        </w:rPr>
        <w:t>According to the CIPD, well-designed benefits not only support business strategy but also reinforce organisational values and enhance workforce resilience and agility</w:t>
      </w:r>
      <w:r w:rsidR="004507AE" w:rsidRPr="003E723A">
        <w:rPr>
          <w:rFonts w:ascii="Calibri" w:hAnsi="Calibri" w:cs="Calibri"/>
          <w:sz w:val="24"/>
        </w:rPr>
        <w:t xml:space="preserve">. </w:t>
      </w:r>
      <w:r w:rsidRPr="00677E50">
        <w:rPr>
          <w:rFonts w:ascii="Calibri" w:hAnsi="Calibri" w:cs="Calibri"/>
          <w:sz w:val="24"/>
          <w:lang w:eastAsia="en-GB"/>
        </w:rPr>
        <w:t>Strategic reward management frameworks emphasise that when employees perceive a clear and fair connection between their contributions and the rewards they receive, their engagement and discretionary effort increase, ultimately driving organisational performance (CIPD, 2021; Armstrong and Brown, 2023</w:t>
      </w:r>
      <w:r w:rsidR="003E723A">
        <w:rPr>
          <w:rFonts w:ascii="Calibri" w:hAnsi="Calibri" w:cs="Calibri"/>
          <w:sz w:val="24"/>
          <w:lang w:eastAsia="en-GB"/>
        </w:rPr>
        <w:t>).</w:t>
      </w:r>
    </w:p>
    <w:p w14:paraId="279D348E" w14:textId="77777777" w:rsidR="004507AE" w:rsidRPr="003E723A" w:rsidRDefault="004507AE" w:rsidP="003E723A">
      <w:pPr>
        <w:rPr>
          <w:rFonts w:ascii="Calibri" w:hAnsi="Calibri" w:cs="Calibri"/>
          <w:sz w:val="24"/>
        </w:rPr>
      </w:pPr>
    </w:p>
    <w:p w14:paraId="141D25F8" w14:textId="2507643D" w:rsidR="00A0651E" w:rsidRPr="003E723A" w:rsidRDefault="00A0651E" w:rsidP="003E723A">
      <w:pPr>
        <w:rPr>
          <w:rFonts w:ascii="Calibri" w:hAnsi="Calibri" w:cs="Calibri"/>
          <w:sz w:val="24"/>
          <w:lang w:eastAsia="en-GB"/>
        </w:rPr>
      </w:pPr>
      <w:r w:rsidRPr="003E723A">
        <w:rPr>
          <w:rFonts w:ascii="Calibri" w:hAnsi="Calibri" w:cs="Calibri"/>
          <w:sz w:val="24"/>
        </w:rPr>
        <w:t>Bonus schemes and commission are particularly effective in sales environments, offering immediate recognition for high performance (ACAS, no date.). Share ownership plans further enhance commitment by fostering a sense of belonging and long-term investment in the company’s success (CIPD, 2023). Core benefits such as pensions, healthcare, insurance cover, and sick pay provide financial security and peace of mind, which are especially valued by employees planning for long-term stability (ONS, 2023). Enhanced redundancy pay and family-related leave policies, including maternity, paternity, and adoption benefits, demonstrate organisational support for employee wellbeing and life events, contributing to a more inclusive workplace culture (CIPD, 2023).</w:t>
      </w:r>
    </w:p>
    <w:p w14:paraId="5DEB7D48" w14:textId="77777777" w:rsidR="00A0651E" w:rsidRDefault="00A0651E" w:rsidP="00A0651E">
      <w:pPr>
        <w:rPr>
          <w:rFonts w:ascii="Calibri" w:hAnsi="Calibri" w:cs="Calibri"/>
          <w:sz w:val="24"/>
        </w:rPr>
      </w:pPr>
    </w:p>
    <w:p w14:paraId="54C9DA89" w14:textId="77777777" w:rsidR="00A0651E" w:rsidRPr="00A0651E" w:rsidRDefault="00A0651E" w:rsidP="00A0651E">
      <w:pPr>
        <w:rPr>
          <w:rFonts w:ascii="Calibri" w:hAnsi="Calibri" w:cs="Calibri"/>
          <w:sz w:val="24"/>
        </w:rPr>
      </w:pPr>
    </w:p>
    <w:p w14:paraId="3D465936" w14:textId="716F3EE5" w:rsidR="00A0651E" w:rsidRDefault="00A0651E" w:rsidP="00A0651E">
      <w:pPr>
        <w:rPr>
          <w:rFonts w:ascii="Calibri" w:hAnsi="Calibri" w:cs="Calibri"/>
          <w:sz w:val="24"/>
        </w:rPr>
      </w:pPr>
      <w:r w:rsidRPr="00A0651E">
        <w:rPr>
          <w:rFonts w:ascii="Calibri" w:hAnsi="Calibri" w:cs="Calibri"/>
          <w:sz w:val="24"/>
        </w:rPr>
        <w:t xml:space="preserve">In addition to financial rewards, </w:t>
      </w:r>
      <w:r w:rsidR="00B4528F" w:rsidRPr="00A0651E">
        <w:rPr>
          <w:rFonts w:ascii="Calibri" w:hAnsi="Calibri" w:cs="Calibri"/>
          <w:sz w:val="24"/>
        </w:rPr>
        <w:t>lifestyle,</w:t>
      </w:r>
      <w:r w:rsidRPr="00A0651E">
        <w:rPr>
          <w:rFonts w:ascii="Calibri" w:hAnsi="Calibri" w:cs="Calibri"/>
          <w:sz w:val="24"/>
        </w:rPr>
        <w:t xml:space="preserve"> and supportive benefits such as career counselling, company loans, season ticket loans, and childcare support address practical needs and promote work-life balance </w:t>
      </w:r>
      <w:r w:rsidR="00765256">
        <w:rPr>
          <w:rFonts w:ascii="Calibri" w:hAnsi="Calibri" w:cs="Calibri"/>
          <w:sz w:val="24"/>
        </w:rPr>
        <w:t xml:space="preserve">thus </w:t>
      </w:r>
      <w:r w:rsidR="00AB7458">
        <w:rPr>
          <w:rFonts w:ascii="Calibri" w:hAnsi="Calibri" w:cs="Calibri"/>
          <w:sz w:val="24"/>
        </w:rPr>
        <w:t xml:space="preserve">strengthens organisation reputation and </w:t>
      </w:r>
      <w:r w:rsidR="00B4528F">
        <w:rPr>
          <w:rFonts w:ascii="Calibri" w:hAnsi="Calibri" w:cs="Calibri"/>
          <w:sz w:val="24"/>
        </w:rPr>
        <w:t>can be viewed as an employer of choice</w:t>
      </w:r>
      <w:r w:rsidR="00AB7458">
        <w:rPr>
          <w:rFonts w:ascii="Calibri" w:hAnsi="Calibri" w:cs="Calibri"/>
          <w:sz w:val="24"/>
        </w:rPr>
        <w:t xml:space="preserve"> </w:t>
      </w:r>
      <w:r w:rsidRPr="00A0651E">
        <w:rPr>
          <w:rFonts w:ascii="Calibri" w:hAnsi="Calibri" w:cs="Calibri"/>
          <w:sz w:val="24"/>
        </w:rPr>
        <w:t xml:space="preserve">(CIPD, 2021). Flexible benefits schemes, which allow employees to tailor their reward packages to their individual preferences, are increasingly popular. </w:t>
      </w:r>
      <w:r w:rsidRPr="00A0651E">
        <w:rPr>
          <w:rFonts w:ascii="Calibri" w:hAnsi="Calibri" w:cs="Calibri"/>
          <w:sz w:val="24"/>
        </w:rPr>
        <w:lastRenderedPageBreak/>
        <w:t>According to the CIPD (2023) such schemes are particularly effective in diverse workforces, as they increase perceived value and satisfaction. However, the implementation of comprehensive benefits packages must be balanced against organisational resources. Reward costs can be significant, and strategic planning is essential to ensure that benefits are sustainable and aligned with business objectives (E-reward, 2022). Developing realistic budgets and making informed resource recommendations are therefore critical components of effective reward management (CIPD, 2021).</w:t>
      </w:r>
    </w:p>
    <w:p w14:paraId="11BA0AB0" w14:textId="77777777" w:rsidR="00A0651E" w:rsidRPr="00A0651E" w:rsidRDefault="00A0651E" w:rsidP="00A0651E">
      <w:pPr>
        <w:rPr>
          <w:rFonts w:ascii="Calibri" w:hAnsi="Calibri" w:cs="Calibri"/>
          <w:sz w:val="24"/>
        </w:rPr>
      </w:pPr>
    </w:p>
    <w:p w14:paraId="4ED93659" w14:textId="51C94E36" w:rsidR="00A0651E" w:rsidRPr="00A0651E" w:rsidRDefault="00A0651E" w:rsidP="00A0651E">
      <w:pPr>
        <w:rPr>
          <w:rFonts w:ascii="Calibri" w:hAnsi="Calibri" w:cs="Calibri"/>
          <w:sz w:val="24"/>
        </w:rPr>
      </w:pPr>
      <w:r w:rsidRPr="00A0651E">
        <w:rPr>
          <w:rFonts w:ascii="Calibri" w:hAnsi="Calibri" w:cs="Calibri"/>
          <w:sz w:val="24"/>
        </w:rPr>
        <w:t>It is also important to recognise that employees value different benefits depending on their personal circumstances, career stage, and lifestyle. Offering a varied and adaptable benefits package enables organisations to meet these diverse needs, enhancing overall satisfaction and commitment. As highlighted by E-reward (2002)</w:t>
      </w:r>
      <w:r w:rsidR="009048C8">
        <w:rPr>
          <w:rFonts w:ascii="Calibri" w:hAnsi="Calibri" w:cs="Calibri"/>
          <w:sz w:val="24"/>
        </w:rPr>
        <w:t xml:space="preserve"> </w:t>
      </w:r>
      <w:r w:rsidRPr="00A0651E">
        <w:rPr>
          <w:rFonts w:ascii="Calibri" w:hAnsi="Calibri" w:cs="Calibri"/>
          <w:sz w:val="24"/>
        </w:rPr>
        <w:t>non-cash benefits tailored to individual preferences can deliver greater impact at a lower cost. Ultimately, well-designed benefits not only attract and retain talent but also contribute to a positive organisational culture and improved performance (CIPD, 2023).</w:t>
      </w:r>
      <w:r w:rsidR="00572883" w:rsidRPr="00572883">
        <w:rPr>
          <w:rFonts w:ascii="Segoe UI" w:hAnsi="Segoe UI" w:cs="Segoe UI"/>
          <w:color w:val="424242"/>
          <w:shd w:val="clear" w:color="auto" w:fill="FAFAFA"/>
        </w:rPr>
        <w:t xml:space="preserve"> </w:t>
      </w:r>
      <w:r w:rsidR="00572883" w:rsidRPr="00572883">
        <w:rPr>
          <w:rFonts w:asciiTheme="minorHAnsi" w:hAnsiTheme="minorHAnsi" w:cstheme="minorHAnsi"/>
          <w:sz w:val="24"/>
        </w:rPr>
        <w:t>For Eco-Insulate, adopting a more inclusive and strategically aligned benefits framework could not only improve retention and morale but also support a shift toward a more positive and performance-oriented culture.</w:t>
      </w:r>
    </w:p>
    <w:p w14:paraId="26114A96" w14:textId="77777777" w:rsidR="00972A5E" w:rsidRPr="00363D27" w:rsidRDefault="00972A5E" w:rsidP="00363D27">
      <w:pPr>
        <w:rPr>
          <w:rFonts w:ascii="Calibri" w:hAnsi="Calibri" w:cs="Calibri"/>
          <w:sz w:val="24"/>
        </w:rPr>
      </w:pPr>
    </w:p>
    <w:p w14:paraId="6A2D6284" w14:textId="77777777" w:rsidR="00436869" w:rsidRPr="00E446B9" w:rsidRDefault="00436869" w:rsidP="00436869">
      <w:pPr>
        <w:pStyle w:val="Nornal"/>
        <w:spacing w:after="0" w:line="240" w:lineRule="auto"/>
        <w:rPr>
          <w:rFonts w:ascii="Trebuchet MS" w:hAnsi="Trebuchet MS"/>
          <w:color w:val="000000"/>
        </w:rPr>
      </w:pPr>
    </w:p>
    <w:p w14:paraId="2B7C0399" w14:textId="77777777" w:rsidR="005F136C" w:rsidRPr="00E446B9" w:rsidRDefault="005F136C" w:rsidP="005F136C">
      <w:pPr>
        <w:pStyle w:val="ListParagraph"/>
        <w:rPr>
          <w:rFonts w:ascii="Trebuchet MS" w:hAnsi="Trebuchet MS"/>
          <w:color w:val="000000"/>
        </w:rPr>
      </w:pPr>
    </w:p>
    <w:p w14:paraId="4FA2C5C5" w14:textId="77777777" w:rsidR="005F136C"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color w:val="000000"/>
        </w:rPr>
        <w:t>Explain the merits of different types of recognition schemes offered by organisations. (AC 2.4)</w:t>
      </w:r>
    </w:p>
    <w:p w14:paraId="242A7BF0" w14:textId="77777777" w:rsidR="002625B6" w:rsidRDefault="002625B6" w:rsidP="002625B6">
      <w:pPr>
        <w:pStyle w:val="Nornal"/>
        <w:spacing w:after="0" w:line="240" w:lineRule="auto"/>
        <w:ind w:left="720"/>
        <w:rPr>
          <w:rFonts w:ascii="Trebuchet MS" w:hAnsi="Trebuchet MS"/>
          <w:color w:val="000000"/>
        </w:rPr>
      </w:pPr>
    </w:p>
    <w:p w14:paraId="3C5C1EE1" w14:textId="34754BB0" w:rsidR="002625B6" w:rsidRDefault="002625B6" w:rsidP="002625B6">
      <w:pPr>
        <w:pStyle w:val="Nornal"/>
        <w:spacing w:after="0" w:line="240" w:lineRule="auto"/>
        <w:ind w:left="720"/>
        <w:rPr>
          <w:rFonts w:ascii="Trebuchet MS" w:hAnsi="Trebuchet MS"/>
          <w:color w:val="000000"/>
        </w:rPr>
      </w:pPr>
    </w:p>
    <w:p w14:paraId="55A58134" w14:textId="77777777" w:rsidR="00912DF9" w:rsidRPr="00E446B9" w:rsidRDefault="00912DF9" w:rsidP="002625B6">
      <w:pPr>
        <w:pStyle w:val="Nornal"/>
        <w:spacing w:after="0" w:line="240" w:lineRule="auto"/>
        <w:ind w:left="720"/>
        <w:rPr>
          <w:rFonts w:ascii="Trebuchet MS" w:hAnsi="Trebuchet MS"/>
          <w:color w:val="000000"/>
        </w:rPr>
      </w:pPr>
    </w:p>
    <w:p w14:paraId="3046FF6F" w14:textId="5B0E8121" w:rsidR="00D026D5" w:rsidRPr="00294E57" w:rsidRDefault="00E46B6B" w:rsidP="00294E57">
      <w:pPr>
        <w:rPr>
          <w:rFonts w:ascii="Calibri" w:hAnsi="Calibri" w:cs="Calibri"/>
          <w:sz w:val="24"/>
        </w:rPr>
      </w:pPr>
      <w:r w:rsidRPr="00294E57">
        <w:rPr>
          <w:rFonts w:ascii="Calibri" w:hAnsi="Calibri" w:cs="Calibri"/>
          <w:sz w:val="24"/>
        </w:rPr>
        <w:t xml:space="preserve">Recognition is a fundamental element of an effective reward strategy and plays a key role within a broader total reward framework. Whether delivered through formal programmes or informal gestures, recognition schemes can have a transformative impact on organisational culture and performance. They help reinforce organisational values, encourage desired behaviours, and enhance employee engagement (Cotton, 2022a). The true value of recognition lies in its ability to improve morale, support retention, and foster a sense of belonging. As Armstrong and Chapman (2011) note, recognition acts as a powerful intrinsic motivator, often proving more effective than financial rewards in sustaining long-term commitment and performance. </w:t>
      </w:r>
    </w:p>
    <w:p w14:paraId="6B6978E7" w14:textId="77777777" w:rsidR="00E46B6B" w:rsidRPr="00294E57" w:rsidRDefault="00E46B6B" w:rsidP="00294E57">
      <w:pPr>
        <w:rPr>
          <w:rFonts w:ascii="Calibri" w:hAnsi="Calibri" w:cs="Calibri"/>
          <w:sz w:val="24"/>
        </w:rPr>
      </w:pPr>
    </w:p>
    <w:p w14:paraId="08860D98" w14:textId="6265E782" w:rsidR="002625B6" w:rsidRPr="00294E57" w:rsidRDefault="002625B6" w:rsidP="00294E57">
      <w:pPr>
        <w:rPr>
          <w:rFonts w:ascii="Calibri" w:hAnsi="Calibri" w:cs="Calibri"/>
          <w:sz w:val="24"/>
        </w:rPr>
      </w:pPr>
      <w:r w:rsidRPr="00294E57">
        <w:rPr>
          <w:rFonts w:ascii="Calibri" w:hAnsi="Calibri" w:cs="Calibri"/>
          <w:sz w:val="24"/>
        </w:rPr>
        <w:t>At Eco-Insulate, where there is currently no incentive scheme and performance is measured through standardised day work, the introduction of a structured recognition programme could provide much</w:t>
      </w:r>
      <w:r w:rsidR="00A4760B" w:rsidRPr="00294E57">
        <w:rPr>
          <w:rFonts w:ascii="Calibri" w:hAnsi="Calibri" w:cs="Calibri"/>
          <w:sz w:val="24"/>
        </w:rPr>
        <w:t xml:space="preserve"> </w:t>
      </w:r>
      <w:r w:rsidRPr="00294E57">
        <w:rPr>
          <w:rFonts w:ascii="Calibri" w:hAnsi="Calibri" w:cs="Calibri"/>
          <w:sz w:val="24"/>
        </w:rPr>
        <w:t>needed motivation and engagement. Formal recognition schemes, such as annual awards or performance-based bonuses, offer visibility and prestige, reinforcing performance standards and organisational culture (Armstrong and Brown, 2019). However, these may lack the immediacy and personalisation needed to address the company’s current morale issues. Informal recognition</w:t>
      </w:r>
      <w:r w:rsidR="00465563" w:rsidRPr="00294E57">
        <w:rPr>
          <w:rFonts w:ascii="Calibri" w:hAnsi="Calibri" w:cs="Calibri"/>
          <w:sz w:val="24"/>
        </w:rPr>
        <w:t xml:space="preserve"> </w:t>
      </w:r>
      <w:r w:rsidRPr="00294E57">
        <w:rPr>
          <w:rFonts w:ascii="Calibri" w:hAnsi="Calibri" w:cs="Calibri"/>
          <w:sz w:val="24"/>
        </w:rPr>
        <w:t>delivered spontaneously by line managers or peers through verbal praise or small gestures and when applied consistently</w:t>
      </w:r>
      <w:r w:rsidR="00595DC2" w:rsidRPr="00294E57">
        <w:rPr>
          <w:rFonts w:ascii="Calibri" w:hAnsi="Calibri" w:cs="Calibri"/>
          <w:sz w:val="24"/>
        </w:rPr>
        <w:t xml:space="preserve"> </w:t>
      </w:r>
      <w:r w:rsidRPr="00294E57">
        <w:rPr>
          <w:rFonts w:ascii="Calibri" w:hAnsi="Calibri" w:cs="Calibri"/>
          <w:sz w:val="24"/>
        </w:rPr>
        <w:t>can significantly boost morale and discretionary effort (Rose, 2022; Taylor and Woodhams, 2022).</w:t>
      </w:r>
    </w:p>
    <w:p w14:paraId="2B528E5B" w14:textId="77777777" w:rsidR="002625B6" w:rsidRPr="00294E57" w:rsidRDefault="002625B6" w:rsidP="00294E57">
      <w:pPr>
        <w:rPr>
          <w:rFonts w:ascii="Calibri" w:hAnsi="Calibri" w:cs="Calibri"/>
          <w:sz w:val="24"/>
        </w:rPr>
      </w:pPr>
    </w:p>
    <w:p w14:paraId="64223B48" w14:textId="4761C7C5" w:rsidR="00003A55" w:rsidRPr="00294E57" w:rsidRDefault="002625B6" w:rsidP="00294E57">
      <w:pPr>
        <w:rPr>
          <w:rFonts w:ascii="Calibri" w:hAnsi="Calibri" w:cs="Calibri"/>
          <w:sz w:val="24"/>
        </w:rPr>
      </w:pPr>
      <w:r w:rsidRPr="00294E57">
        <w:rPr>
          <w:rFonts w:ascii="Calibri" w:hAnsi="Calibri" w:cs="Calibri"/>
          <w:sz w:val="24"/>
        </w:rPr>
        <w:t xml:space="preserve">Day-to-day recognition, such as a supervisor acknowledging an employee’s effort during a shift, is a low-cost, high-impact practice that could be easily implemented at Eco-Insulate. It reinforces a culture of appreciation and has been shown to improve engagement and innovation (Cotton, 2022b). Public recognition, such as employee-of-the-month awards or shout-outs in internal communications, could also enhance visibility and social status, though care must be taken to ensure fairness and inclusivity (Marchington et al., 2020). Cash awards, including bonuses or spot payments, are highly valued by employees and could be introduced to reward exceptional performance. However, their motivational impact may be short-lived if not part of a broader recognition strategy (Perkins and Jones, 2020). </w:t>
      </w:r>
    </w:p>
    <w:p w14:paraId="5E50B379" w14:textId="77777777" w:rsidR="00003A55" w:rsidRPr="00294E57" w:rsidRDefault="00003A55" w:rsidP="00294E57">
      <w:pPr>
        <w:rPr>
          <w:rFonts w:ascii="Calibri" w:hAnsi="Calibri" w:cs="Calibri"/>
          <w:sz w:val="24"/>
        </w:rPr>
      </w:pPr>
    </w:p>
    <w:p w14:paraId="591E9F03" w14:textId="5F767AB0" w:rsidR="008E6BAB" w:rsidRPr="00294E57" w:rsidRDefault="008E6BAB" w:rsidP="00294E57">
      <w:pPr>
        <w:rPr>
          <w:rFonts w:ascii="Calibri" w:hAnsi="Calibri" w:cs="Calibri"/>
          <w:sz w:val="24"/>
        </w:rPr>
      </w:pPr>
      <w:r w:rsidRPr="00294E57">
        <w:rPr>
          <w:rFonts w:ascii="Calibri" w:hAnsi="Calibri" w:cs="Calibri"/>
          <w:sz w:val="24"/>
        </w:rPr>
        <w:t>For organisations like Eco-Insulate, where financial incentives are currently absent, even modest cash awards</w:t>
      </w:r>
      <w:r w:rsidR="00E0747A" w:rsidRPr="00294E57">
        <w:rPr>
          <w:rFonts w:ascii="Calibri" w:hAnsi="Calibri" w:cs="Calibri"/>
          <w:sz w:val="24"/>
        </w:rPr>
        <w:t xml:space="preserve"> </w:t>
      </w:r>
      <w:r w:rsidRPr="00294E57">
        <w:rPr>
          <w:rFonts w:ascii="Calibri" w:hAnsi="Calibri" w:cs="Calibri"/>
          <w:sz w:val="24"/>
        </w:rPr>
        <w:t>such as bonuses or spot payments</w:t>
      </w:r>
      <w:r w:rsidR="00E0747A" w:rsidRPr="00294E57">
        <w:rPr>
          <w:rFonts w:ascii="Calibri" w:hAnsi="Calibri" w:cs="Calibri"/>
          <w:sz w:val="24"/>
        </w:rPr>
        <w:t xml:space="preserve"> </w:t>
      </w:r>
      <w:r w:rsidRPr="00294E57">
        <w:rPr>
          <w:rFonts w:ascii="Calibri" w:hAnsi="Calibri" w:cs="Calibri"/>
          <w:sz w:val="24"/>
        </w:rPr>
        <w:t>can have a strong short-term impact by acknowledging exceptional performance (Perkins and Jones, 2020). However, their motivational effect may be limited if not part of a broader recognition strategy.</w:t>
      </w:r>
      <w:r w:rsidRPr="00294E57">
        <w:rPr>
          <w:rFonts w:ascii="Calibri" w:hAnsi="Calibri" w:cs="Calibri"/>
          <w:sz w:val="24"/>
        </w:rPr>
        <w:t xml:space="preserve"> </w:t>
      </w:r>
      <w:r w:rsidRPr="00294E57">
        <w:rPr>
          <w:rFonts w:ascii="Calibri" w:hAnsi="Calibri" w:cs="Calibri"/>
          <w:sz w:val="24"/>
        </w:rPr>
        <w:t>Non-cash awards, including gift cards, vouchers, or event tickets, offer a more personalised and memorable form of recognition. These are often associated with positive experiences and can carry greater perceived value than their monetary equivalent (Armstrong and Chapman, 2011). E-reward (2022)</w:t>
      </w:r>
      <w:r w:rsidR="00011FC3">
        <w:rPr>
          <w:rFonts w:ascii="Calibri" w:hAnsi="Calibri" w:cs="Calibri"/>
          <w:sz w:val="24"/>
        </w:rPr>
        <w:t xml:space="preserve"> further</w:t>
      </w:r>
      <w:r w:rsidRPr="00294E57">
        <w:rPr>
          <w:rFonts w:ascii="Calibri" w:hAnsi="Calibri" w:cs="Calibri"/>
          <w:sz w:val="24"/>
        </w:rPr>
        <w:t xml:space="preserve"> notes that non-cash awards can deliver greater impact at lower cost, especially when tailored to individual preferences.</w:t>
      </w:r>
    </w:p>
    <w:p w14:paraId="1743C131" w14:textId="77777777" w:rsidR="00003A55" w:rsidRDefault="00003A55" w:rsidP="003B2C3D">
      <w:pPr>
        <w:rPr>
          <w:rFonts w:ascii="Calibri" w:hAnsi="Calibri" w:cs="Calibri"/>
          <w:sz w:val="24"/>
        </w:rPr>
      </w:pPr>
    </w:p>
    <w:p w14:paraId="33801FAA" w14:textId="77777777" w:rsidR="00003A55" w:rsidRPr="00003A55" w:rsidRDefault="00003A55" w:rsidP="003B2C3D"/>
    <w:p w14:paraId="3289F175" w14:textId="77777777" w:rsidR="005F136C" w:rsidRDefault="005F136C" w:rsidP="005F136C">
      <w:pPr>
        <w:rPr>
          <w:rFonts w:ascii="Trebuchet MS" w:hAnsi="Trebuchet MS"/>
          <w:color w:val="000000"/>
        </w:rPr>
      </w:pPr>
    </w:p>
    <w:p w14:paraId="14350A36" w14:textId="77777777" w:rsidR="00517E65" w:rsidRDefault="00517E65" w:rsidP="005F136C">
      <w:pPr>
        <w:rPr>
          <w:rFonts w:ascii="Trebuchet MS" w:hAnsi="Trebuchet MS"/>
          <w:color w:val="000000"/>
        </w:rPr>
      </w:pPr>
    </w:p>
    <w:p w14:paraId="0559714A" w14:textId="77777777" w:rsidR="00517E65" w:rsidRDefault="00517E65" w:rsidP="005F136C">
      <w:pPr>
        <w:rPr>
          <w:rFonts w:ascii="Trebuchet MS" w:hAnsi="Trebuchet MS"/>
          <w:color w:val="000000"/>
        </w:rPr>
      </w:pPr>
    </w:p>
    <w:p w14:paraId="0516F976" w14:textId="77777777" w:rsidR="00517E65" w:rsidRPr="00E446B9" w:rsidRDefault="00517E65" w:rsidP="005F136C">
      <w:pPr>
        <w:rPr>
          <w:rFonts w:ascii="Trebuchet MS" w:hAnsi="Trebuchet MS"/>
          <w:color w:val="000000"/>
        </w:rPr>
      </w:pPr>
    </w:p>
    <w:p w14:paraId="7100D5A4" w14:textId="77777777" w:rsidR="005F136C" w:rsidRDefault="005F136C" w:rsidP="005F136C">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Pr>
          <w:rFonts w:ascii="Trebuchet MS" w:hAnsi="Trebuchet MS"/>
          <w:color w:val="000000" w:themeColor="text1"/>
        </w:rPr>
        <w:t xml:space="preserve">AC </w:t>
      </w:r>
      <w:r w:rsidRPr="00E446B9">
        <w:rPr>
          <w:rFonts w:ascii="Trebuchet MS" w:hAnsi="Trebuchet MS"/>
          <w:color w:val="000000" w:themeColor="text1"/>
        </w:rPr>
        <w:t>3.1)</w:t>
      </w:r>
    </w:p>
    <w:p w14:paraId="428B48C7" w14:textId="5AD8558C" w:rsidR="00E42E0C" w:rsidRDefault="00E42E0C" w:rsidP="00E42E0C">
      <w:pPr>
        <w:pStyle w:val="Nornal"/>
        <w:spacing w:after="0" w:line="240" w:lineRule="auto"/>
        <w:ind w:left="720"/>
        <w:rPr>
          <w:rFonts w:ascii="Trebuchet MS" w:hAnsi="Trebuchet MS"/>
          <w:color w:val="000000" w:themeColor="text1"/>
        </w:rPr>
      </w:pPr>
    </w:p>
    <w:p w14:paraId="73D58B0E" w14:textId="67B0A83C" w:rsidR="00E42E0C" w:rsidRDefault="00E42E0C" w:rsidP="00E42E0C">
      <w:pPr>
        <w:pStyle w:val="Nornal"/>
        <w:spacing w:after="0" w:line="240" w:lineRule="auto"/>
        <w:ind w:left="720"/>
        <w:rPr>
          <w:rFonts w:ascii="Trebuchet MS" w:hAnsi="Trebuchet MS"/>
          <w:color w:val="000000" w:themeColor="text1"/>
        </w:rPr>
      </w:pPr>
    </w:p>
    <w:p w14:paraId="06D4196F" w14:textId="77777777" w:rsidR="002625B6" w:rsidRDefault="002625B6" w:rsidP="002625B6">
      <w:pPr>
        <w:pStyle w:val="Nornal"/>
        <w:spacing w:after="0" w:line="240" w:lineRule="auto"/>
        <w:ind w:left="720"/>
        <w:rPr>
          <w:rFonts w:ascii="Trebuchet MS" w:hAnsi="Trebuchet MS"/>
          <w:color w:val="000000" w:themeColor="text1"/>
        </w:rPr>
      </w:pPr>
    </w:p>
    <w:p w14:paraId="55DA6BEA" w14:textId="44E6955A" w:rsidR="001342CB" w:rsidRPr="001C1938" w:rsidRDefault="001342CB" w:rsidP="001C1938">
      <w:pPr>
        <w:rPr>
          <w:rFonts w:ascii="Calibri" w:hAnsi="Calibri" w:cs="Calibri"/>
          <w:sz w:val="24"/>
        </w:rPr>
      </w:pPr>
      <w:r w:rsidRPr="001C1938">
        <w:rPr>
          <w:rFonts w:ascii="Calibri" w:hAnsi="Calibri" w:cs="Calibri"/>
          <w:sz w:val="24"/>
        </w:rPr>
        <w:t xml:space="preserve">Understanding the reward environment is essential for organisations seeking to attract, retain, and motivate their workforce. For Eco-Insulate UK, a medium-sized private sector manufacturer, this is particularly important given rising employee turnover and a negative organisational culture (Armstrong &amp; Taylor, 2014). </w:t>
      </w:r>
    </w:p>
    <w:p w14:paraId="739DED64" w14:textId="77777777" w:rsidR="001342CB" w:rsidRPr="001C1938" w:rsidRDefault="001342CB" w:rsidP="001C1938">
      <w:pPr>
        <w:rPr>
          <w:rFonts w:ascii="Calibri" w:hAnsi="Calibri" w:cs="Calibri"/>
          <w:sz w:val="24"/>
        </w:rPr>
      </w:pPr>
    </w:p>
    <w:p w14:paraId="1577D1C1" w14:textId="10C600F9" w:rsidR="00D4407E" w:rsidRPr="001C1938" w:rsidRDefault="006405D5" w:rsidP="001C1938">
      <w:pPr>
        <w:rPr>
          <w:rFonts w:ascii="Calibri" w:hAnsi="Calibri" w:cs="Calibri"/>
          <w:sz w:val="24"/>
        </w:rPr>
      </w:pPr>
      <w:r w:rsidRPr="001C1938">
        <w:rPr>
          <w:rFonts w:ascii="Calibri" w:hAnsi="Calibri" w:cs="Calibri"/>
          <w:sz w:val="24"/>
        </w:rPr>
        <w:t xml:space="preserve">Externally, reward strategies are influenced by macroeconomic conditions, sectoral trends, legal frameworks, and labour market dynamics (Rose, 2022). For Eco-Insulate, understanding these factors </w:t>
      </w:r>
      <w:r w:rsidR="00170B9A" w:rsidRPr="001C1938">
        <w:rPr>
          <w:rFonts w:ascii="Calibri" w:hAnsi="Calibri" w:cs="Calibri"/>
          <w:sz w:val="24"/>
        </w:rPr>
        <w:t xml:space="preserve">are </w:t>
      </w:r>
      <w:r w:rsidRPr="001C1938">
        <w:rPr>
          <w:rFonts w:ascii="Calibri" w:hAnsi="Calibri" w:cs="Calibri"/>
          <w:sz w:val="24"/>
        </w:rPr>
        <w:t xml:space="preserve">essential for maintaining a sustainable reward environment. </w:t>
      </w:r>
      <w:r w:rsidR="00170B9A" w:rsidRPr="001C1938">
        <w:rPr>
          <w:rFonts w:ascii="Calibri" w:hAnsi="Calibri" w:cs="Calibri"/>
          <w:sz w:val="24"/>
        </w:rPr>
        <w:t>Labour</w:t>
      </w:r>
      <w:r w:rsidRPr="001C1938">
        <w:rPr>
          <w:rFonts w:ascii="Calibri" w:hAnsi="Calibri" w:cs="Calibri"/>
          <w:sz w:val="24"/>
        </w:rPr>
        <w:t xml:space="preserve"> market pressures</w:t>
      </w:r>
      <w:r w:rsidR="00170B9A" w:rsidRPr="001C1938">
        <w:rPr>
          <w:rFonts w:ascii="Calibri" w:hAnsi="Calibri" w:cs="Calibri"/>
          <w:sz w:val="24"/>
        </w:rPr>
        <w:t xml:space="preserve"> </w:t>
      </w:r>
      <w:r w:rsidRPr="001C1938">
        <w:rPr>
          <w:rFonts w:ascii="Calibri" w:hAnsi="Calibri" w:cs="Calibri"/>
          <w:sz w:val="24"/>
        </w:rPr>
        <w:t>such as the cost-of-living crisis and skills shortages</w:t>
      </w:r>
      <w:r w:rsidR="00170B9A" w:rsidRPr="001C1938">
        <w:rPr>
          <w:rFonts w:ascii="Calibri" w:hAnsi="Calibri" w:cs="Calibri"/>
          <w:sz w:val="24"/>
        </w:rPr>
        <w:t xml:space="preserve"> </w:t>
      </w:r>
      <w:r w:rsidRPr="001C1938">
        <w:rPr>
          <w:rFonts w:ascii="Calibri" w:hAnsi="Calibri" w:cs="Calibri"/>
          <w:sz w:val="24"/>
        </w:rPr>
        <w:t>directly affect pay and benefit expectations, requiring the organisation to adapt its reward offerings to remain competitive and retain talent</w:t>
      </w:r>
      <w:r w:rsidR="00CE63EC" w:rsidRPr="001C1938">
        <w:rPr>
          <w:rFonts w:ascii="Calibri" w:hAnsi="Calibri" w:cs="Calibri"/>
          <w:sz w:val="24"/>
        </w:rPr>
        <w:t xml:space="preserve">. Rising inflation has increased pressure on organisations like Eco-Insulate to offer competitive salaries and enhanced benefits to attract and retain talent. This may include cost-of-living bonuses, healthcare support, or travel </w:t>
      </w:r>
      <w:r w:rsidR="00CE63EC" w:rsidRPr="001C1938">
        <w:rPr>
          <w:rFonts w:ascii="Calibri" w:hAnsi="Calibri" w:cs="Calibri"/>
          <w:sz w:val="24"/>
        </w:rPr>
        <w:lastRenderedPageBreak/>
        <w:t>allowances, aligning with efficiency wage theory and external benchmarking to maintain competitiveness and employee engagement.</w:t>
      </w:r>
    </w:p>
    <w:p w14:paraId="69B1A6B1" w14:textId="77777777" w:rsidR="00D4407E" w:rsidRPr="001C1938" w:rsidRDefault="00D4407E" w:rsidP="001C1938">
      <w:pPr>
        <w:rPr>
          <w:rFonts w:ascii="Calibri" w:hAnsi="Calibri" w:cs="Calibri"/>
          <w:sz w:val="24"/>
        </w:rPr>
      </w:pPr>
    </w:p>
    <w:p w14:paraId="47282744" w14:textId="16DC6C3B" w:rsidR="006A0DD1" w:rsidRPr="001C1938" w:rsidRDefault="00E96430" w:rsidP="001C1938">
      <w:pPr>
        <w:rPr>
          <w:rFonts w:ascii="Calibri" w:hAnsi="Calibri" w:cs="Calibri"/>
          <w:sz w:val="24"/>
        </w:rPr>
      </w:pPr>
      <w:r w:rsidRPr="001C1938">
        <w:rPr>
          <w:rFonts w:ascii="Calibri" w:hAnsi="Calibri" w:cs="Calibri"/>
          <w:sz w:val="24"/>
        </w:rPr>
        <w:t>F</w:t>
      </w:r>
      <w:r w:rsidR="006A0DD1" w:rsidRPr="001C1938">
        <w:rPr>
          <w:rFonts w:ascii="Calibri" w:hAnsi="Calibri" w:cs="Calibri"/>
          <w:sz w:val="24"/>
        </w:rPr>
        <w:t>or Eco-Insulate, this means that offering competitive salaries is no longer optional but essential to attract and retain skilled workers, particularly in technical and operational roles where shortages are most acute.</w:t>
      </w:r>
      <w:r w:rsidR="006B6145" w:rsidRPr="001C1938">
        <w:rPr>
          <w:rFonts w:ascii="Calibri" w:hAnsi="Calibri" w:cs="Calibri"/>
          <w:sz w:val="24"/>
        </w:rPr>
        <w:t xml:space="preserve"> </w:t>
      </w:r>
      <w:r w:rsidR="006A0DD1" w:rsidRPr="001C1938">
        <w:rPr>
          <w:rFonts w:ascii="Calibri" w:hAnsi="Calibri" w:cs="Calibri"/>
          <w:sz w:val="24"/>
        </w:rPr>
        <w:t>The efficiency wage theory supports this approach, suggesting that paying above-market wages can enhance productivity and reduce turnover by attracting higher-quality candidates and increasing employee loyalty. In addition to base pay, organisations may need to offer enhanced benefits such as healthcare, travel allowances, or cost-of-living bonuses to remain competitive.</w:t>
      </w:r>
      <w:r w:rsidR="00D4407E" w:rsidRPr="001C1938">
        <w:rPr>
          <w:rFonts w:ascii="Calibri" w:hAnsi="Calibri" w:cs="Calibri"/>
          <w:sz w:val="24"/>
        </w:rPr>
        <w:t xml:space="preserve"> </w:t>
      </w:r>
      <w:r w:rsidR="006A0DD1" w:rsidRPr="001C1938">
        <w:rPr>
          <w:rFonts w:ascii="Calibri" w:hAnsi="Calibri" w:cs="Calibri"/>
          <w:sz w:val="24"/>
        </w:rPr>
        <w:t>Furthermore, external benchmarking becomes critical in this context, ensuring that reward packages are aligned with regional and sectoral norms. For example, if competitors in the South-West are increasing pay to offset inflationary pressures, Eco-Insulate must respond accordingly to maintain external equity and avoid losing talent to better-paying employers.</w:t>
      </w:r>
    </w:p>
    <w:p w14:paraId="0267516D" w14:textId="77777777" w:rsidR="006923CD" w:rsidRPr="001C1938" w:rsidRDefault="006923CD" w:rsidP="001C1938">
      <w:pPr>
        <w:rPr>
          <w:rFonts w:ascii="Calibri" w:hAnsi="Calibri" w:cs="Calibri"/>
          <w:sz w:val="24"/>
        </w:rPr>
      </w:pPr>
    </w:p>
    <w:p w14:paraId="3071DAE0" w14:textId="041C2A7C" w:rsidR="00C1659C" w:rsidRPr="001C1938" w:rsidRDefault="00C1659C" w:rsidP="001C1938">
      <w:pPr>
        <w:rPr>
          <w:rFonts w:ascii="Calibri" w:hAnsi="Calibri" w:cs="Calibri"/>
          <w:sz w:val="24"/>
        </w:rPr>
      </w:pPr>
      <w:r w:rsidRPr="001C1938">
        <w:rPr>
          <w:rFonts w:ascii="Calibri" w:hAnsi="Calibri" w:cs="Calibri"/>
          <w:sz w:val="24"/>
        </w:rPr>
        <w:t>Internally, reward strategies must align with organisational culture, structure, and</w:t>
      </w:r>
      <w:r w:rsidR="009F5090" w:rsidRPr="001C1938">
        <w:rPr>
          <w:rFonts w:ascii="Calibri" w:hAnsi="Calibri" w:cs="Calibri"/>
          <w:sz w:val="24"/>
        </w:rPr>
        <w:t xml:space="preserve"> strategic</w:t>
      </w:r>
      <w:r w:rsidR="006923CD" w:rsidRPr="001C1938">
        <w:rPr>
          <w:rFonts w:ascii="Calibri" w:hAnsi="Calibri" w:cs="Calibri"/>
          <w:sz w:val="24"/>
        </w:rPr>
        <w:t xml:space="preserve"> vision</w:t>
      </w:r>
      <w:r w:rsidRPr="001C1938">
        <w:rPr>
          <w:rFonts w:ascii="Calibri" w:hAnsi="Calibri" w:cs="Calibri"/>
          <w:sz w:val="24"/>
        </w:rPr>
        <w:t>. At Eco-Insulate, the current organisational structure appears to prioritise senior leadership through exclusive pension schemes and incentives, while offering limited rewards to other staff. This imbalance may be undermining morale and productivity, as perceived inequities can</w:t>
      </w:r>
      <w:r w:rsidR="006923CD" w:rsidRPr="001C1938">
        <w:rPr>
          <w:rFonts w:ascii="Calibri" w:hAnsi="Calibri" w:cs="Calibri"/>
          <w:sz w:val="24"/>
        </w:rPr>
        <w:t xml:space="preserve"> negatively influence</w:t>
      </w:r>
      <w:r w:rsidRPr="001C1938">
        <w:rPr>
          <w:rFonts w:ascii="Calibri" w:hAnsi="Calibri" w:cs="Calibri"/>
          <w:sz w:val="24"/>
        </w:rPr>
        <w:t xml:space="preserve"> trust and engagement. The psychological contract</w:t>
      </w:r>
      <w:r w:rsidR="00760963" w:rsidRPr="001C1938">
        <w:rPr>
          <w:rFonts w:ascii="Calibri" w:hAnsi="Calibri" w:cs="Calibri"/>
          <w:sz w:val="24"/>
        </w:rPr>
        <w:t xml:space="preserve"> -</w:t>
      </w:r>
      <w:r w:rsidRPr="001C1938">
        <w:rPr>
          <w:rFonts w:ascii="Calibri" w:hAnsi="Calibri" w:cs="Calibri"/>
          <w:sz w:val="24"/>
        </w:rPr>
        <w:t>employees’ expectations of fair and reciprocal treatment</w:t>
      </w:r>
      <w:r w:rsidR="00760963" w:rsidRPr="001C1938">
        <w:rPr>
          <w:rFonts w:ascii="Calibri" w:hAnsi="Calibri" w:cs="Calibri"/>
          <w:sz w:val="24"/>
        </w:rPr>
        <w:t xml:space="preserve"> </w:t>
      </w:r>
      <w:r w:rsidRPr="001C1938">
        <w:rPr>
          <w:rFonts w:ascii="Calibri" w:hAnsi="Calibri" w:cs="Calibri"/>
          <w:sz w:val="24"/>
        </w:rPr>
        <w:t>is central to motivation and retention (Marchington et al., 2020). When breached, it can lead to disengagement and reduced organisational commitment.</w:t>
      </w:r>
      <w:r w:rsidR="00E02FEE" w:rsidRPr="001C1938">
        <w:rPr>
          <w:rFonts w:ascii="Calibri" w:hAnsi="Calibri" w:cs="Calibri"/>
          <w:sz w:val="24"/>
        </w:rPr>
        <w:t xml:space="preserve"> </w:t>
      </w:r>
      <w:r w:rsidRPr="001C1938">
        <w:rPr>
          <w:rFonts w:ascii="Calibri" w:hAnsi="Calibri" w:cs="Calibri"/>
          <w:sz w:val="24"/>
        </w:rPr>
        <w:t>Motivational theories such as equity theory (Adams, 1965) and expectancy theory (Armstrong &amp; Chapman, 2011) reinforce the need for transparent and fair reward systems. If employees perceive that rewards are disproportionately allocated based on hierarchy rather than contribution, dissatisfaction and reduced performance may follow. Organisational structure, therefore, directly influences reward choices: if rewards are concentrated at the top, it risks creating divisions and weakening team cohesion. To mitigate this, Eco-Insulate should consider more inclusive reward practices</w:t>
      </w:r>
      <w:r w:rsidR="007827FD" w:rsidRPr="001C1938">
        <w:rPr>
          <w:rFonts w:ascii="Calibri" w:hAnsi="Calibri" w:cs="Calibri"/>
          <w:sz w:val="24"/>
        </w:rPr>
        <w:t xml:space="preserve"> </w:t>
      </w:r>
      <w:r w:rsidRPr="001C1938">
        <w:rPr>
          <w:rFonts w:ascii="Calibri" w:hAnsi="Calibri" w:cs="Calibri"/>
          <w:sz w:val="24"/>
        </w:rPr>
        <w:t>such as performance-based incentives or recognition schemes across all levels</w:t>
      </w:r>
      <w:r w:rsidR="007827FD" w:rsidRPr="001C1938">
        <w:rPr>
          <w:rFonts w:ascii="Calibri" w:hAnsi="Calibri" w:cs="Calibri"/>
          <w:sz w:val="24"/>
        </w:rPr>
        <w:t xml:space="preserve"> </w:t>
      </w:r>
      <w:r w:rsidRPr="001C1938">
        <w:rPr>
          <w:rFonts w:ascii="Calibri" w:hAnsi="Calibri" w:cs="Calibri"/>
          <w:sz w:val="24"/>
        </w:rPr>
        <w:t>to ensure internal equity and support a more engaged workforce.</w:t>
      </w:r>
    </w:p>
    <w:p w14:paraId="0619AE8F" w14:textId="77777777" w:rsidR="00FE4633" w:rsidRDefault="00FE4633" w:rsidP="009706BD">
      <w:pPr>
        <w:rPr>
          <w:rFonts w:asciiTheme="minorHAnsi" w:hAnsiTheme="minorHAnsi" w:cstheme="minorHAnsi"/>
          <w:sz w:val="24"/>
        </w:rPr>
      </w:pPr>
    </w:p>
    <w:p w14:paraId="791A3EA1" w14:textId="77777777" w:rsidR="001342CB" w:rsidRPr="001342CB" w:rsidRDefault="001342CB" w:rsidP="001342CB">
      <w:pPr>
        <w:rPr>
          <w:rFonts w:ascii="Calibri" w:hAnsi="Calibri" w:cs="Calibri"/>
          <w:sz w:val="24"/>
        </w:rPr>
      </w:pPr>
    </w:p>
    <w:p w14:paraId="677FA263" w14:textId="77777777" w:rsidR="002625B6" w:rsidRPr="00E446B9" w:rsidRDefault="002625B6" w:rsidP="002625B6">
      <w:pPr>
        <w:pStyle w:val="Nornal"/>
        <w:spacing w:after="0" w:line="240" w:lineRule="auto"/>
        <w:ind w:left="720"/>
        <w:rPr>
          <w:rFonts w:ascii="Trebuchet MS" w:hAnsi="Trebuchet MS"/>
          <w:color w:val="000000" w:themeColor="text1"/>
        </w:rPr>
      </w:pPr>
    </w:p>
    <w:p w14:paraId="6BAC9190" w14:textId="77777777" w:rsidR="002625B6" w:rsidRDefault="002625B6" w:rsidP="00E42E0C">
      <w:pPr>
        <w:pStyle w:val="Nornal"/>
        <w:spacing w:after="0" w:line="240" w:lineRule="auto"/>
        <w:rPr>
          <w:rFonts w:ascii="Trebuchet MS" w:hAnsi="Trebuchet MS"/>
          <w:color w:val="000000" w:themeColor="text1"/>
        </w:rPr>
      </w:pPr>
    </w:p>
    <w:p w14:paraId="172580B2" w14:textId="77777777" w:rsidR="005E0501" w:rsidRDefault="005E0501" w:rsidP="00E42E0C">
      <w:pPr>
        <w:pStyle w:val="Nornal"/>
        <w:spacing w:after="0" w:line="240" w:lineRule="auto"/>
        <w:rPr>
          <w:rFonts w:ascii="Trebuchet MS" w:hAnsi="Trebuchet MS"/>
          <w:color w:val="000000" w:themeColor="text1"/>
        </w:rPr>
      </w:pPr>
    </w:p>
    <w:p w14:paraId="30E16517" w14:textId="77777777" w:rsidR="005E0501" w:rsidRDefault="005E0501" w:rsidP="00E42E0C">
      <w:pPr>
        <w:pStyle w:val="Nornal"/>
        <w:spacing w:after="0" w:line="240" w:lineRule="auto"/>
        <w:rPr>
          <w:rFonts w:ascii="Trebuchet MS" w:hAnsi="Trebuchet MS"/>
          <w:color w:val="000000" w:themeColor="text1"/>
        </w:rPr>
      </w:pPr>
    </w:p>
    <w:p w14:paraId="7D500A2A" w14:textId="77777777" w:rsidR="005E0501" w:rsidRDefault="005E0501" w:rsidP="00E42E0C">
      <w:pPr>
        <w:pStyle w:val="Nornal"/>
        <w:spacing w:after="0" w:line="240" w:lineRule="auto"/>
        <w:rPr>
          <w:rFonts w:ascii="Trebuchet MS" w:hAnsi="Trebuchet MS"/>
          <w:color w:val="000000" w:themeColor="text1"/>
        </w:rPr>
      </w:pPr>
    </w:p>
    <w:p w14:paraId="3BF0427B" w14:textId="77777777" w:rsidR="005E0501" w:rsidRDefault="005E0501" w:rsidP="00E42E0C">
      <w:pPr>
        <w:pStyle w:val="Nornal"/>
        <w:spacing w:after="0" w:line="240" w:lineRule="auto"/>
        <w:rPr>
          <w:rFonts w:ascii="Trebuchet MS" w:hAnsi="Trebuchet MS"/>
          <w:color w:val="000000" w:themeColor="text1"/>
        </w:rPr>
      </w:pPr>
    </w:p>
    <w:p w14:paraId="49358FB9" w14:textId="77777777" w:rsidR="005E0501" w:rsidRDefault="005E0501" w:rsidP="00E42E0C">
      <w:pPr>
        <w:pStyle w:val="Nornal"/>
        <w:spacing w:after="0" w:line="240" w:lineRule="auto"/>
        <w:rPr>
          <w:rFonts w:ascii="Trebuchet MS" w:hAnsi="Trebuchet MS"/>
          <w:color w:val="000000" w:themeColor="text1"/>
        </w:rPr>
      </w:pPr>
    </w:p>
    <w:p w14:paraId="0D18AA7E" w14:textId="77777777" w:rsidR="00A40636" w:rsidRDefault="00A40636" w:rsidP="00E42E0C">
      <w:pPr>
        <w:pStyle w:val="Nornal"/>
        <w:spacing w:after="0" w:line="240" w:lineRule="auto"/>
        <w:rPr>
          <w:rFonts w:ascii="Trebuchet MS" w:hAnsi="Trebuchet MS"/>
          <w:color w:val="000000" w:themeColor="text1"/>
        </w:rPr>
      </w:pPr>
    </w:p>
    <w:p w14:paraId="79286872" w14:textId="77777777" w:rsidR="00A40636" w:rsidRDefault="00A40636" w:rsidP="00E42E0C">
      <w:pPr>
        <w:pStyle w:val="Nornal"/>
        <w:spacing w:after="0" w:line="240" w:lineRule="auto"/>
        <w:rPr>
          <w:rFonts w:ascii="Trebuchet MS" w:hAnsi="Trebuchet MS"/>
          <w:color w:val="000000" w:themeColor="text1"/>
        </w:rPr>
      </w:pPr>
    </w:p>
    <w:p w14:paraId="783EF8E6" w14:textId="77777777" w:rsidR="00A40636" w:rsidRDefault="00A40636" w:rsidP="00E42E0C">
      <w:pPr>
        <w:pStyle w:val="Nornal"/>
        <w:spacing w:after="0" w:line="240" w:lineRule="auto"/>
        <w:rPr>
          <w:rFonts w:ascii="Trebuchet MS" w:hAnsi="Trebuchet MS"/>
          <w:color w:val="000000" w:themeColor="text1"/>
        </w:rPr>
      </w:pPr>
    </w:p>
    <w:p w14:paraId="379FB09D" w14:textId="77777777" w:rsidR="005E0501" w:rsidRDefault="005E0501" w:rsidP="00E42E0C">
      <w:pPr>
        <w:pStyle w:val="Nornal"/>
        <w:spacing w:after="0" w:line="240" w:lineRule="auto"/>
        <w:rPr>
          <w:rFonts w:ascii="Trebuchet MS" w:hAnsi="Trebuchet MS"/>
          <w:color w:val="000000" w:themeColor="text1"/>
        </w:rPr>
      </w:pPr>
    </w:p>
    <w:p w14:paraId="3602DB6E" w14:textId="77777777" w:rsidR="002625B6" w:rsidRPr="00E446B9" w:rsidRDefault="002625B6" w:rsidP="005F136C">
      <w:pPr>
        <w:pStyle w:val="Nornal"/>
        <w:spacing w:after="0" w:line="240" w:lineRule="auto"/>
        <w:ind w:left="720"/>
        <w:rPr>
          <w:rFonts w:ascii="Trebuchet MS" w:hAnsi="Trebuchet MS"/>
          <w:color w:val="000000" w:themeColor="text1"/>
        </w:rPr>
      </w:pPr>
    </w:p>
    <w:p w14:paraId="4A94908B" w14:textId="6745AFC1" w:rsidR="005F136C" w:rsidRDefault="005F136C" w:rsidP="005F136C">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lastRenderedPageBreak/>
        <w:t>Evaluate the most appropriate ways in which benchmarking data can be gathered and  measured to develop insight. (AC 3.2)</w:t>
      </w:r>
    </w:p>
    <w:p w14:paraId="5D3DCBE8" w14:textId="661B0AA1" w:rsidR="006B4CD3" w:rsidRDefault="006B4CD3" w:rsidP="006B4CD3">
      <w:pPr>
        <w:pStyle w:val="Nornal"/>
        <w:spacing w:after="0" w:line="240" w:lineRule="auto"/>
        <w:rPr>
          <w:rFonts w:ascii="Trebuchet MS" w:hAnsi="Trebuchet MS"/>
          <w:color w:val="000000" w:themeColor="text1"/>
        </w:rPr>
      </w:pPr>
    </w:p>
    <w:p w14:paraId="1AB1818B" w14:textId="77777777" w:rsidR="003418A2" w:rsidRDefault="003418A2" w:rsidP="006B4CD3">
      <w:pPr>
        <w:pStyle w:val="Nornal"/>
        <w:spacing w:after="0" w:line="240" w:lineRule="auto"/>
        <w:rPr>
          <w:rFonts w:ascii="Trebuchet MS" w:hAnsi="Trebuchet MS"/>
          <w:color w:val="000000" w:themeColor="text1"/>
        </w:rPr>
      </w:pPr>
    </w:p>
    <w:p w14:paraId="06D6086E" w14:textId="77777777" w:rsidR="003418A2" w:rsidRPr="00195430" w:rsidRDefault="003418A2" w:rsidP="00195430">
      <w:pPr>
        <w:rPr>
          <w:rFonts w:asciiTheme="minorHAnsi" w:hAnsiTheme="minorHAnsi" w:cstheme="minorHAnsi"/>
          <w:sz w:val="24"/>
        </w:rPr>
      </w:pPr>
      <w:r w:rsidRPr="00195430">
        <w:rPr>
          <w:rFonts w:asciiTheme="minorHAnsi" w:hAnsiTheme="minorHAnsi" w:cstheme="minorHAnsi"/>
          <w:sz w:val="24"/>
        </w:rPr>
        <w:t>Benchmarking is a vital process in reward management, enabling organisations to assess the fairness and competitiveness of their pay structures. To be effective, benchmarking data must be valid, reliable, and applicable to the organisation’s context.</w:t>
      </w:r>
    </w:p>
    <w:p w14:paraId="5C0E1FE7" w14:textId="0E3EDF16" w:rsidR="003418A2" w:rsidRPr="00195430" w:rsidRDefault="003418A2" w:rsidP="00195430">
      <w:pPr>
        <w:rPr>
          <w:rFonts w:asciiTheme="minorHAnsi" w:hAnsiTheme="minorHAnsi" w:cstheme="minorHAnsi"/>
          <w:sz w:val="24"/>
        </w:rPr>
      </w:pPr>
      <w:r w:rsidRPr="00195430">
        <w:rPr>
          <w:rFonts w:asciiTheme="minorHAnsi" w:hAnsiTheme="minorHAnsi" w:cstheme="minorHAnsi"/>
          <w:sz w:val="24"/>
        </w:rPr>
        <w:t xml:space="preserve">One widely used source is the Office for National Statistics (ONS), which provides labour market data including wage levels, employment rates, and sector-specific trends. For Eco-Insulate UK, ONS data can support external equity by benchmarking salaries against regional and industry averages. </w:t>
      </w:r>
      <w:r w:rsidR="00642972" w:rsidRPr="00195430">
        <w:rPr>
          <w:rFonts w:asciiTheme="minorHAnsi" w:hAnsiTheme="minorHAnsi" w:cstheme="minorHAnsi"/>
          <w:sz w:val="24"/>
        </w:rPr>
        <w:t>Insight is measured by comparing ONS wage data with internal pay structures to identify alignment or disparities.</w:t>
      </w:r>
      <w:r w:rsidR="00642972" w:rsidRPr="00195430">
        <w:rPr>
          <w:rFonts w:asciiTheme="minorHAnsi" w:hAnsiTheme="minorHAnsi" w:cstheme="minorHAnsi"/>
          <w:sz w:val="24"/>
        </w:rPr>
        <w:t xml:space="preserve"> </w:t>
      </w:r>
      <w:r w:rsidRPr="00195430">
        <w:rPr>
          <w:rFonts w:asciiTheme="minorHAnsi" w:hAnsiTheme="minorHAnsi" w:cstheme="minorHAnsi"/>
          <w:sz w:val="24"/>
        </w:rPr>
        <w:t>The validity of ONS data is generally high due to its rigorous statistical methodology and national coverage (Armstrong and Brown, 2023). However, its reliability has been questioned due to declining response rates in the Labour Force Survey</w:t>
      </w:r>
      <w:r w:rsidR="00A05767" w:rsidRPr="00195430">
        <w:rPr>
          <w:rFonts w:asciiTheme="minorHAnsi" w:hAnsiTheme="minorHAnsi" w:cstheme="minorHAnsi"/>
          <w:sz w:val="24"/>
        </w:rPr>
        <w:t xml:space="preserve"> </w:t>
      </w:r>
      <w:r w:rsidRPr="00195430">
        <w:rPr>
          <w:rFonts w:asciiTheme="minorHAnsi" w:hAnsiTheme="minorHAnsi" w:cstheme="minorHAnsi"/>
          <w:sz w:val="24"/>
        </w:rPr>
        <w:t>from 47.9% in 2013 to 14.6% in 2023</w:t>
      </w:r>
      <w:r w:rsidR="00A05767" w:rsidRPr="00195430">
        <w:rPr>
          <w:rFonts w:asciiTheme="minorHAnsi" w:hAnsiTheme="minorHAnsi" w:cstheme="minorHAnsi"/>
          <w:sz w:val="24"/>
        </w:rPr>
        <w:t xml:space="preserve"> </w:t>
      </w:r>
      <w:r w:rsidRPr="00195430">
        <w:rPr>
          <w:rFonts w:asciiTheme="minorHAnsi" w:hAnsiTheme="minorHAnsi" w:cstheme="minorHAnsi"/>
          <w:sz w:val="24"/>
        </w:rPr>
        <w:t>raising concerns about sample representativeness (ONS, 2023). Consequently, some datasets have been reclassified as “experimental,” limiting their precision. Despite this, ONS data remains applicable for high-level benchmarking, though it should be supplemented with more granular sources.</w:t>
      </w:r>
    </w:p>
    <w:p w14:paraId="223BC99E" w14:textId="77777777" w:rsidR="00023796" w:rsidRPr="00195430" w:rsidRDefault="00023796" w:rsidP="00195430">
      <w:pPr>
        <w:rPr>
          <w:rFonts w:asciiTheme="minorHAnsi" w:hAnsiTheme="minorHAnsi" w:cstheme="minorHAnsi"/>
          <w:sz w:val="24"/>
        </w:rPr>
      </w:pPr>
    </w:p>
    <w:p w14:paraId="24EAC6BF" w14:textId="381AA5BA" w:rsidR="003418A2" w:rsidRPr="00195430" w:rsidRDefault="003418A2" w:rsidP="00195430">
      <w:pPr>
        <w:rPr>
          <w:rFonts w:asciiTheme="minorHAnsi" w:hAnsiTheme="minorHAnsi" w:cstheme="minorHAnsi"/>
          <w:sz w:val="24"/>
        </w:rPr>
      </w:pPr>
      <w:r w:rsidRPr="00195430">
        <w:rPr>
          <w:rFonts w:asciiTheme="minorHAnsi" w:hAnsiTheme="minorHAnsi" w:cstheme="minorHAnsi"/>
          <w:sz w:val="24"/>
        </w:rPr>
        <w:t xml:space="preserve">A more detailed commercial source is XpertHR, particularly through its Cendex platform. It offers role-specific benchmarking across sectors and regions, drawing data from verified employer submissions. </w:t>
      </w:r>
      <w:r w:rsidR="000B1FDD" w:rsidRPr="00195430">
        <w:rPr>
          <w:rFonts w:asciiTheme="minorHAnsi" w:hAnsiTheme="minorHAnsi" w:cstheme="minorHAnsi"/>
          <w:sz w:val="24"/>
        </w:rPr>
        <w:t> Insight is measured by matching job roles and levels to market data, enabling accurate comparisons of base pay, bonuses, and total reward packages</w:t>
      </w:r>
      <w:r w:rsidR="000B1FDD" w:rsidRPr="00195430">
        <w:rPr>
          <w:rFonts w:asciiTheme="minorHAnsi" w:hAnsiTheme="minorHAnsi" w:cstheme="minorHAnsi"/>
          <w:sz w:val="24"/>
        </w:rPr>
        <w:t xml:space="preserve">. </w:t>
      </w:r>
      <w:r w:rsidRPr="00195430">
        <w:rPr>
          <w:rFonts w:asciiTheme="minorHAnsi" w:hAnsiTheme="minorHAnsi" w:cstheme="minorHAnsi"/>
          <w:sz w:val="24"/>
        </w:rPr>
        <w:t>Its validity is strengthened by structured job matching and standardised role definitions, ensuring accurate comparisons (Milkovich, Newman and Gerhart, 2014). The platform is updated quarterly, and its large sample sizes and sector breakdowns enhance reliability (CIPD, 2021). For Eco-Insulate, XpertHR is highly applicable for benchmarking technical, operational, and managerial roles, supporting decisions on pay banding, market positioning, and reward strategy development (Armstrong and Taylor, 2020).</w:t>
      </w:r>
    </w:p>
    <w:p w14:paraId="5BE0B2AE" w14:textId="77777777" w:rsidR="00023796" w:rsidRPr="00195430" w:rsidRDefault="00023796" w:rsidP="00195430">
      <w:pPr>
        <w:rPr>
          <w:rFonts w:asciiTheme="minorHAnsi" w:hAnsiTheme="minorHAnsi" w:cstheme="minorHAnsi"/>
          <w:sz w:val="24"/>
        </w:rPr>
      </w:pPr>
    </w:p>
    <w:p w14:paraId="68EA01E9" w14:textId="1F402C16" w:rsidR="005A443F" w:rsidRPr="00195430" w:rsidRDefault="003418A2" w:rsidP="00195430">
      <w:pPr>
        <w:rPr>
          <w:rFonts w:asciiTheme="minorHAnsi" w:hAnsiTheme="minorHAnsi" w:cstheme="minorHAnsi"/>
          <w:sz w:val="24"/>
        </w:rPr>
      </w:pPr>
      <w:r w:rsidRPr="00195430">
        <w:rPr>
          <w:rFonts w:asciiTheme="minorHAnsi" w:hAnsiTheme="minorHAnsi" w:cstheme="minorHAnsi"/>
          <w:sz w:val="24"/>
        </w:rPr>
        <w:t>In addition to external sources, internal payroll data is a valuable benchmarking tool. It includes detailed records of salaries, bonuses, and benefits, enabling organisations to assess internal equity and alignment with performance and role level.</w:t>
      </w:r>
      <w:r w:rsidR="00195430" w:rsidRPr="00195430">
        <w:rPr>
          <w:rFonts w:asciiTheme="minorHAnsi" w:hAnsiTheme="minorHAnsi" w:cstheme="minorHAnsi"/>
          <w:sz w:val="24"/>
        </w:rPr>
        <w:t xml:space="preserve"> </w:t>
      </w:r>
      <w:r w:rsidR="00195430" w:rsidRPr="00195430">
        <w:rPr>
          <w:rFonts w:asciiTheme="minorHAnsi" w:hAnsiTheme="minorHAnsi" w:cstheme="minorHAnsi"/>
          <w:sz w:val="24"/>
        </w:rPr>
        <w:t>Insight is measured by analysing pay distribution across departments, roles, and demographics to identify inconsistencies or gaps.</w:t>
      </w:r>
      <w:r w:rsidRPr="00195430">
        <w:rPr>
          <w:rFonts w:asciiTheme="minorHAnsi" w:hAnsiTheme="minorHAnsi" w:cstheme="minorHAnsi"/>
          <w:sz w:val="24"/>
        </w:rPr>
        <w:t xml:space="preserve"> Its validity is high as it reflects actual organisational practices, though it depends on accurate and complete data entry (Marchington et al., 2020). When managed through robust HRIS systems, internal data is reliable, especially when supported by regular audits (Torrington, Hall and Taylor, 2020). It is particularly applicable for identifying pay gaps and guiding inclusive reward practices. For example, Eco-Insulate UK could use internal data to evaluate whether exclusive pension schemes for senior staff are creating perceived inequities.</w:t>
      </w:r>
    </w:p>
    <w:p w14:paraId="763643C0" w14:textId="2F0253CD" w:rsidR="1ACE938C" w:rsidRPr="00B7162B" w:rsidRDefault="1ACE938C" w:rsidP="00B7162B">
      <w:pPr>
        <w:rPr>
          <w:rFonts w:asciiTheme="minorHAnsi" w:eastAsiaTheme="minorEastAsia" w:hAnsiTheme="minorHAnsi"/>
          <w:sz w:val="24"/>
        </w:rPr>
      </w:pPr>
    </w:p>
    <w:p w14:paraId="2AC7DEB8" w14:textId="05F6922E" w:rsidR="1ACE938C" w:rsidRDefault="1ACE938C" w:rsidP="1ACE938C">
      <w:pPr>
        <w:pStyle w:val="Nornal"/>
        <w:spacing w:after="0" w:line="240" w:lineRule="auto"/>
        <w:rPr>
          <w:rFonts w:ascii="Trebuchet MS" w:hAnsi="Trebuchet MS"/>
          <w:color w:val="000000" w:themeColor="text1"/>
        </w:rPr>
      </w:pPr>
    </w:p>
    <w:p w14:paraId="7C5765BC" w14:textId="77777777" w:rsidR="00A40636" w:rsidRDefault="00A40636" w:rsidP="1ACE938C">
      <w:pPr>
        <w:pStyle w:val="Nornal"/>
        <w:spacing w:after="0" w:line="240" w:lineRule="auto"/>
        <w:rPr>
          <w:rFonts w:ascii="Trebuchet MS" w:hAnsi="Trebuchet MS"/>
          <w:color w:val="000000" w:themeColor="text1"/>
        </w:rPr>
      </w:pPr>
    </w:p>
    <w:p w14:paraId="175C02C9" w14:textId="77777777" w:rsidR="00A40636" w:rsidRDefault="00A40636" w:rsidP="1ACE938C">
      <w:pPr>
        <w:pStyle w:val="Nornal"/>
        <w:spacing w:after="0" w:line="240" w:lineRule="auto"/>
        <w:rPr>
          <w:rFonts w:ascii="Trebuchet MS" w:hAnsi="Trebuchet MS"/>
          <w:color w:val="000000" w:themeColor="text1"/>
        </w:rPr>
      </w:pPr>
    </w:p>
    <w:p w14:paraId="1669A322" w14:textId="77777777" w:rsidR="00A40636" w:rsidRDefault="00A40636" w:rsidP="1ACE938C">
      <w:pPr>
        <w:pStyle w:val="Nornal"/>
        <w:spacing w:after="0" w:line="240" w:lineRule="auto"/>
        <w:rPr>
          <w:rFonts w:ascii="Trebuchet MS" w:hAnsi="Trebuchet MS"/>
          <w:color w:val="000000" w:themeColor="text1"/>
        </w:rPr>
      </w:pPr>
    </w:p>
    <w:p w14:paraId="485AED32" w14:textId="77777777" w:rsidR="00A40636" w:rsidRDefault="00A40636" w:rsidP="1ACE938C">
      <w:pPr>
        <w:pStyle w:val="Nornal"/>
        <w:spacing w:after="0" w:line="240" w:lineRule="auto"/>
        <w:rPr>
          <w:rFonts w:ascii="Trebuchet MS" w:hAnsi="Trebuchet MS"/>
          <w:color w:val="000000" w:themeColor="text1"/>
        </w:rPr>
      </w:pPr>
    </w:p>
    <w:p w14:paraId="22CF490C" w14:textId="77777777" w:rsidR="00AF2351" w:rsidRPr="00E446B9" w:rsidRDefault="00AF2351" w:rsidP="005F136C">
      <w:pPr>
        <w:pStyle w:val="Nornal"/>
        <w:spacing w:after="0" w:line="240" w:lineRule="auto"/>
        <w:rPr>
          <w:rFonts w:ascii="Trebuchet MS" w:hAnsi="Trebuchet MS"/>
          <w:color w:val="000000" w:themeColor="text1"/>
        </w:rPr>
      </w:pPr>
    </w:p>
    <w:p w14:paraId="7093CCF1" w14:textId="2CEE8424" w:rsidR="00F77EC5" w:rsidRPr="001E05E5" w:rsidRDefault="005F136C" w:rsidP="005F136C">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r w:rsidR="00C246CF">
        <w:rPr>
          <w:rFonts w:ascii="Trebuchet MS" w:hAnsi="Trebuchet MS"/>
          <w:color w:val="000000" w:themeColor="text1"/>
        </w:rPr>
        <w:t xml:space="preserve"> </w:t>
      </w:r>
    </w:p>
    <w:p w14:paraId="2391B7D3" w14:textId="77777777" w:rsidR="001E05E5" w:rsidRPr="00F77EC5" w:rsidRDefault="001E05E5" w:rsidP="001E05E5">
      <w:pPr>
        <w:pStyle w:val="Nornal"/>
        <w:spacing w:after="0" w:line="240" w:lineRule="auto"/>
        <w:ind w:left="720"/>
        <w:rPr>
          <w:rFonts w:ascii="Trebuchet MS" w:hAnsi="Trebuchet MS"/>
          <w:color w:val="000000"/>
        </w:rPr>
      </w:pPr>
    </w:p>
    <w:p w14:paraId="0B49BBE3" w14:textId="77777777" w:rsidR="00F77EC5" w:rsidRPr="00F77EC5" w:rsidRDefault="00F77EC5" w:rsidP="00F77EC5">
      <w:pPr>
        <w:pStyle w:val="Nornal"/>
        <w:spacing w:after="0" w:line="240" w:lineRule="auto"/>
        <w:ind w:left="720"/>
        <w:rPr>
          <w:rFonts w:ascii="Trebuchet MS" w:hAnsi="Trebuchet MS"/>
          <w:color w:val="000000"/>
        </w:rPr>
      </w:pPr>
    </w:p>
    <w:p w14:paraId="3D2C5BB6" w14:textId="1FD79DB1" w:rsidR="00992BAE" w:rsidRPr="001E05E5" w:rsidRDefault="00992BAE" w:rsidP="001E05E5">
      <w:pPr>
        <w:rPr>
          <w:rFonts w:ascii="Calibri" w:hAnsi="Calibri" w:cs="Calibri"/>
          <w:sz w:val="24"/>
        </w:rPr>
      </w:pPr>
      <w:r w:rsidRPr="001E05E5">
        <w:rPr>
          <w:rFonts w:ascii="Calibri" w:hAnsi="Calibri" w:cs="Calibri"/>
          <w:sz w:val="24"/>
        </w:rPr>
        <w:t>Eco-Insulate UK is currently facing significant workforce challenges, including high turnover and low morale among both skilled and non-skilled employees. The absence of an incentive scheme and perceived unequal treatment</w:t>
      </w:r>
      <w:r w:rsidR="001E05E5">
        <w:rPr>
          <w:rFonts w:ascii="Calibri" w:hAnsi="Calibri" w:cs="Calibri"/>
          <w:sz w:val="24"/>
        </w:rPr>
        <w:t xml:space="preserve"> </w:t>
      </w:r>
      <w:r w:rsidRPr="001E05E5">
        <w:rPr>
          <w:rFonts w:ascii="Calibri" w:hAnsi="Calibri" w:cs="Calibri"/>
          <w:sz w:val="24"/>
        </w:rPr>
        <w:t>particularly regarding pension arrangements for senior staff</w:t>
      </w:r>
      <w:r w:rsidR="001E05E5">
        <w:rPr>
          <w:rFonts w:ascii="Calibri" w:hAnsi="Calibri" w:cs="Calibri"/>
          <w:sz w:val="24"/>
        </w:rPr>
        <w:t xml:space="preserve"> </w:t>
      </w:r>
      <w:r w:rsidRPr="001E05E5">
        <w:rPr>
          <w:rFonts w:ascii="Calibri" w:hAnsi="Calibri" w:cs="Calibri"/>
          <w:sz w:val="24"/>
        </w:rPr>
        <w:t>highlight the need for a more structured and transparent approach to reward management. A foundational step in addressing this is the implementation of a robust job evaluation system, which helps determine the relative value of roles and ensures fair, consistent pay structures aligned with internal equity and external market rates (Armstrong and Brown, 2019).</w:t>
      </w:r>
      <w:r w:rsidR="001E05E5">
        <w:rPr>
          <w:rFonts w:ascii="Calibri" w:hAnsi="Calibri" w:cs="Calibri"/>
          <w:sz w:val="24"/>
        </w:rPr>
        <w:t xml:space="preserve"> </w:t>
      </w:r>
      <w:r w:rsidRPr="001E05E5">
        <w:rPr>
          <w:rFonts w:ascii="Calibri" w:hAnsi="Calibri" w:cs="Calibri"/>
          <w:sz w:val="24"/>
        </w:rPr>
        <w:t>Job evaluation supports evidence-based reward strategies and is particularly important for compliance with equal pay legislation. As ACAS (2014) notes, when applied effectively, job evaluation enhances internal equity and helps build defensible pay structures</w:t>
      </w:r>
      <w:r w:rsidR="001E05E5">
        <w:rPr>
          <w:rFonts w:ascii="Calibri" w:hAnsi="Calibri" w:cs="Calibri"/>
          <w:sz w:val="24"/>
        </w:rPr>
        <w:t xml:space="preserve"> are </w:t>
      </w:r>
      <w:r w:rsidRPr="001E05E5">
        <w:rPr>
          <w:rFonts w:ascii="Calibri" w:hAnsi="Calibri" w:cs="Calibri"/>
          <w:sz w:val="24"/>
        </w:rPr>
        <w:t>critical for maintaining employee trust and encouraging contribution.</w:t>
      </w:r>
    </w:p>
    <w:p w14:paraId="431064F0" w14:textId="77777777" w:rsidR="001E05E5" w:rsidRPr="001E05E5" w:rsidRDefault="001E05E5" w:rsidP="001E05E5">
      <w:pPr>
        <w:rPr>
          <w:rFonts w:ascii="Calibri" w:hAnsi="Calibri" w:cs="Calibri"/>
          <w:sz w:val="24"/>
        </w:rPr>
      </w:pPr>
    </w:p>
    <w:p w14:paraId="17461D72" w14:textId="77777777" w:rsidR="001E05E5" w:rsidRPr="001E05E5" w:rsidRDefault="001E05E5" w:rsidP="001E05E5">
      <w:pPr>
        <w:rPr>
          <w:rFonts w:ascii="Calibri" w:hAnsi="Calibri" w:cs="Calibri"/>
          <w:sz w:val="24"/>
        </w:rPr>
      </w:pPr>
    </w:p>
    <w:p w14:paraId="69C724EA" w14:textId="48F2DCB3" w:rsidR="00992BAE" w:rsidRPr="001E05E5" w:rsidRDefault="00992BAE" w:rsidP="001E05E5">
      <w:pPr>
        <w:rPr>
          <w:rFonts w:ascii="Calibri" w:hAnsi="Calibri" w:cs="Calibri"/>
          <w:sz w:val="24"/>
        </w:rPr>
      </w:pPr>
      <w:r w:rsidRPr="001E05E5">
        <w:rPr>
          <w:rFonts w:ascii="Calibri" w:hAnsi="Calibri" w:cs="Calibri"/>
          <w:sz w:val="24"/>
        </w:rPr>
        <w:t xml:space="preserve">Armstrong and Brown (2019) outline two broad approaches: formal and informal. Formal job evaluation involves structured methodologies, documentation, and governance. It is most suitable for larger organisations or those with hierarchical structures, such as Eco-Insulate, where transparency and consistency are essential to rebuild trust. Formal systems are also appropriate in unionised environments or where legal compliance is a priority. In contrast, informal approaches are typically found in smaller or more agile organisations, where flexibility is </w:t>
      </w:r>
      <w:r w:rsidR="001E05E5" w:rsidRPr="001E05E5">
        <w:rPr>
          <w:rFonts w:ascii="Calibri" w:hAnsi="Calibri" w:cs="Calibri"/>
          <w:sz w:val="24"/>
        </w:rPr>
        <w:t>valued,</w:t>
      </w:r>
      <w:r w:rsidRPr="001E05E5">
        <w:rPr>
          <w:rFonts w:ascii="Calibri" w:hAnsi="Calibri" w:cs="Calibri"/>
          <w:sz w:val="24"/>
        </w:rPr>
        <w:t xml:space="preserve"> and resources may be limited. However, informal methods rely heavily on managerial discretion and are more prone to bias, making them less effective in contexts where fairness and equality are under scrutiny (Taylor &amp; Woodhams, 2022).</w:t>
      </w:r>
    </w:p>
    <w:p w14:paraId="17E01002" w14:textId="537DC9D9" w:rsidR="00992BAE" w:rsidRPr="001E05E5" w:rsidRDefault="00992BAE" w:rsidP="001E05E5">
      <w:pPr>
        <w:rPr>
          <w:rFonts w:ascii="Calibri" w:hAnsi="Calibri" w:cs="Calibri"/>
          <w:sz w:val="24"/>
        </w:rPr>
      </w:pPr>
      <w:r w:rsidRPr="001E05E5">
        <w:rPr>
          <w:rFonts w:ascii="Calibri" w:hAnsi="Calibri" w:cs="Calibri"/>
          <w:sz w:val="24"/>
        </w:rPr>
        <w:t>Job evaluation methods can also be classified as analytical or non-analytical. Analytical methods, such as the point factor system, break down jobs into measurable components</w:t>
      </w:r>
      <w:r w:rsidR="001E05E5" w:rsidRPr="001E05E5">
        <w:rPr>
          <w:rFonts w:ascii="Calibri" w:hAnsi="Calibri" w:cs="Calibri"/>
          <w:sz w:val="24"/>
        </w:rPr>
        <w:t xml:space="preserve"> </w:t>
      </w:r>
      <w:r w:rsidRPr="001E05E5">
        <w:rPr>
          <w:rFonts w:ascii="Calibri" w:hAnsi="Calibri" w:cs="Calibri"/>
          <w:sz w:val="24"/>
        </w:rPr>
        <w:t>skills, effort, responsibility</w:t>
      </w:r>
      <w:r w:rsidR="001E05E5" w:rsidRPr="001E05E5">
        <w:rPr>
          <w:rFonts w:ascii="Calibri" w:hAnsi="Calibri" w:cs="Calibri"/>
          <w:sz w:val="24"/>
        </w:rPr>
        <w:t xml:space="preserve"> </w:t>
      </w:r>
      <w:r w:rsidRPr="001E05E5">
        <w:rPr>
          <w:rFonts w:ascii="Calibri" w:hAnsi="Calibri" w:cs="Calibri"/>
          <w:sz w:val="24"/>
        </w:rPr>
        <w:t>and assign scores. This method is particularly suited to organisations with complex role structures or those needing to defend pay decisions under the Equality Act 2010 (Perkins &amp; Jones, 2020). Non-analytical methods, such as job ranking or classification, are simpler and often used in smaller organisations or those with fewer job types, but they lack the transparency and rigour needed in Eco-Insulate’s current context.</w:t>
      </w:r>
    </w:p>
    <w:p w14:paraId="0C06F670" w14:textId="77777777" w:rsidR="001E05E5" w:rsidRPr="001E05E5" w:rsidRDefault="001E05E5" w:rsidP="001E05E5">
      <w:pPr>
        <w:rPr>
          <w:rFonts w:ascii="Calibri" w:hAnsi="Calibri" w:cs="Calibri"/>
          <w:sz w:val="24"/>
        </w:rPr>
      </w:pPr>
    </w:p>
    <w:p w14:paraId="79BD9336" w14:textId="61967A05" w:rsidR="00992BAE" w:rsidRPr="001E05E5" w:rsidRDefault="00992BAE" w:rsidP="001E05E5">
      <w:pPr>
        <w:rPr>
          <w:rFonts w:ascii="Calibri" w:hAnsi="Calibri" w:cs="Calibri"/>
          <w:sz w:val="24"/>
        </w:rPr>
      </w:pPr>
      <w:r w:rsidRPr="001E05E5">
        <w:rPr>
          <w:rFonts w:ascii="Calibri" w:hAnsi="Calibri" w:cs="Calibri"/>
          <w:sz w:val="24"/>
        </w:rPr>
        <w:t>The point factor method is especially relevant for Eco-Insulate. It enables the organisation to quantify the value of each role and create a hierarchy based on objective criteria, addressing fairness concerns and supporting a structured pay and incentive system. Other useful techniques include job matching, which compares internal roles to external benchmarks, and levelling, which places jobs within a graded structure</w:t>
      </w:r>
      <w:r w:rsidR="001E05E5" w:rsidRPr="001E05E5">
        <w:rPr>
          <w:rFonts w:ascii="Calibri" w:hAnsi="Calibri" w:cs="Calibri"/>
          <w:sz w:val="24"/>
        </w:rPr>
        <w:t xml:space="preserve"> </w:t>
      </w:r>
      <w:r w:rsidRPr="001E05E5">
        <w:rPr>
          <w:rFonts w:ascii="Calibri" w:hAnsi="Calibri" w:cs="Calibri"/>
          <w:sz w:val="24"/>
        </w:rPr>
        <w:t>both commonly used in multi-site or regionally dispersed organisations (Waite et al., 2021).</w:t>
      </w:r>
      <w:r w:rsidR="00C246CF">
        <w:rPr>
          <w:rFonts w:ascii="Calibri" w:hAnsi="Calibri" w:cs="Calibri"/>
          <w:sz w:val="24"/>
        </w:rPr>
        <w:t xml:space="preserve"> </w:t>
      </w:r>
      <w:r w:rsidRPr="001E05E5">
        <w:rPr>
          <w:rFonts w:ascii="Calibri" w:hAnsi="Calibri" w:cs="Calibri"/>
          <w:sz w:val="24"/>
        </w:rPr>
        <w:t xml:space="preserve">To ensure accuracy, managers should engage with staff to update job descriptions and reflect current responsibilities. </w:t>
      </w:r>
      <w:r w:rsidRPr="001E05E5">
        <w:rPr>
          <w:rFonts w:ascii="Calibri" w:hAnsi="Calibri" w:cs="Calibri"/>
          <w:sz w:val="24"/>
        </w:rPr>
        <w:lastRenderedPageBreak/>
        <w:t>Importantly, a well-documented analytical scheme also strengthens equal pay defences by demonstrating that pay differences are based on job content rather than protected characteristics, supporting legal compliance and fostering a culture of fairness and inclusion (ACAS, no date).</w:t>
      </w:r>
    </w:p>
    <w:p w14:paraId="707ACA9C" w14:textId="77777777" w:rsidR="00F77EC5" w:rsidRDefault="00F77EC5" w:rsidP="00F77EC5">
      <w:pPr>
        <w:pStyle w:val="Nornal"/>
        <w:spacing w:after="0" w:line="240" w:lineRule="auto"/>
        <w:ind w:left="720"/>
        <w:rPr>
          <w:rFonts w:ascii="Trebuchet MS" w:hAnsi="Trebuchet MS"/>
          <w:color w:val="000000" w:themeColor="text1"/>
        </w:rPr>
      </w:pPr>
    </w:p>
    <w:p w14:paraId="4BDF5204" w14:textId="77777777" w:rsidR="00341449" w:rsidRDefault="00341449" w:rsidP="00341449">
      <w:pPr>
        <w:rPr>
          <w:sz w:val="24"/>
        </w:rPr>
      </w:pPr>
    </w:p>
    <w:p w14:paraId="52C8F19A" w14:textId="77777777" w:rsidR="00341449" w:rsidRDefault="00341449" w:rsidP="00341449">
      <w:pPr>
        <w:rPr>
          <w:sz w:val="24"/>
        </w:rPr>
      </w:pPr>
    </w:p>
    <w:p w14:paraId="75EA193F" w14:textId="77777777" w:rsidR="00341449" w:rsidRPr="00341449" w:rsidRDefault="00341449" w:rsidP="00341449">
      <w:pPr>
        <w:rPr>
          <w:sz w:val="24"/>
        </w:rPr>
      </w:pPr>
    </w:p>
    <w:p w14:paraId="79F92BC1" w14:textId="77777777" w:rsidR="00AF2351" w:rsidRDefault="00AF2351" w:rsidP="00AF2351">
      <w:pPr>
        <w:pStyle w:val="Nornal"/>
        <w:spacing w:after="0" w:line="240" w:lineRule="auto"/>
        <w:ind w:left="720"/>
        <w:rPr>
          <w:rFonts w:ascii="Trebuchet MS" w:hAnsi="Trebuchet MS"/>
          <w:color w:val="000000"/>
        </w:rPr>
      </w:pPr>
    </w:p>
    <w:p w14:paraId="0753EE8C" w14:textId="77777777" w:rsidR="00BC0DD5" w:rsidRPr="00E446B9" w:rsidRDefault="00BC0DD5" w:rsidP="00AF2351">
      <w:pPr>
        <w:pStyle w:val="Nornal"/>
        <w:spacing w:after="0" w:line="240" w:lineRule="auto"/>
        <w:ind w:left="720"/>
        <w:rPr>
          <w:rFonts w:ascii="Trebuchet MS" w:hAnsi="Trebuchet MS"/>
          <w:color w:val="000000"/>
        </w:rPr>
      </w:pPr>
    </w:p>
    <w:p w14:paraId="3316D4C5" w14:textId="77777777" w:rsidR="005F136C" w:rsidRPr="00E446B9" w:rsidRDefault="005F136C" w:rsidP="005F136C">
      <w:pPr>
        <w:pStyle w:val="Nornal"/>
        <w:spacing w:after="0" w:line="240" w:lineRule="auto"/>
        <w:ind w:left="360"/>
        <w:rPr>
          <w:rFonts w:ascii="Trebuchet MS" w:hAnsi="Trebuchet MS"/>
          <w:color w:val="000000"/>
        </w:rPr>
      </w:pPr>
    </w:p>
    <w:p w14:paraId="0DED4A3C" w14:textId="77777777" w:rsidR="005F136C" w:rsidRDefault="005F136C" w:rsidP="005F136C">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19E0B6EA" w14:textId="2B69E493" w:rsidR="005F136C" w:rsidRDefault="005F136C">
      <w:pPr>
        <w:rPr>
          <w:rFonts w:ascii="Segoe UI" w:hAnsi="Segoe UI" w:cs="Segoe UI"/>
          <w:color w:val="424242"/>
          <w:shd w:val="clear" w:color="auto" w:fill="FAFAFA"/>
        </w:rPr>
      </w:pPr>
    </w:p>
    <w:p w14:paraId="7D6AF983" w14:textId="04444041" w:rsidR="00E1534C" w:rsidRPr="00E1534C" w:rsidRDefault="00E1534C" w:rsidP="1ACE938C">
      <w:pPr>
        <w:rPr>
          <w:rFonts w:ascii="Segoe UI" w:hAnsi="Segoe UI" w:cs="Segoe UI"/>
          <w:color w:val="424242"/>
        </w:rPr>
      </w:pPr>
    </w:p>
    <w:p w14:paraId="3DEE3E12" w14:textId="02A4D7EB" w:rsidR="00725214" w:rsidRPr="00FF37C9" w:rsidRDefault="00725214" w:rsidP="00FF37C9">
      <w:pPr>
        <w:rPr>
          <w:rFonts w:ascii="Calibri" w:hAnsi="Calibri" w:cs="Calibri"/>
          <w:sz w:val="24"/>
        </w:rPr>
      </w:pPr>
      <w:r w:rsidRPr="00FF37C9">
        <w:rPr>
          <w:rFonts w:ascii="Calibri" w:hAnsi="Calibri" w:cs="Calibri"/>
          <w:sz w:val="24"/>
        </w:rPr>
        <w:t>Reward practices in the UK are shaped by key legislative requirements that promote fairness, transparency, and legal compliance.</w:t>
      </w:r>
      <w:r w:rsidRPr="00FF37C9">
        <w:rPr>
          <w:rFonts w:ascii="Calibri" w:hAnsi="Calibri" w:cs="Calibri"/>
          <w:sz w:val="24"/>
        </w:rPr>
        <w:t xml:space="preserve"> </w:t>
      </w:r>
      <w:r w:rsidRPr="00FF37C9">
        <w:rPr>
          <w:rFonts w:ascii="Calibri" w:hAnsi="Calibri" w:cs="Calibri"/>
          <w:sz w:val="24"/>
        </w:rPr>
        <w:t>One major framework is the Equality Act 2010, which mandates equal pay for equal work, including “like work,” “work rated as equivalent,” or “work of equal value.” Employers must ensure any pay differences between men and women are based on objective, non-discriminatory criteria (UK Government, 2010; ACAS; EHRC).</w:t>
      </w:r>
      <w:r w:rsidRPr="00FF37C9">
        <w:rPr>
          <w:rFonts w:ascii="Calibri" w:hAnsi="Calibri" w:cs="Calibri"/>
          <w:sz w:val="24"/>
        </w:rPr>
        <w:t xml:space="preserve"> </w:t>
      </w:r>
      <w:r w:rsidRPr="00FF37C9">
        <w:rPr>
          <w:rFonts w:ascii="Calibri" w:hAnsi="Calibri" w:cs="Calibri"/>
          <w:sz w:val="24"/>
        </w:rPr>
        <w:t>This directly impacts reward practice by requiring transparent pay structures and fair job evaluation systems to prevent bias and support legal compliance. For Eco-Insulate, where concerns exist around senior staff benefits, this highlights the need for a more balanced and defensible approach to rewards (Golden Moments; ACAS, 2021).</w:t>
      </w:r>
    </w:p>
    <w:p w14:paraId="2AED9240" w14:textId="37E6D572" w:rsidR="1ACE938C" w:rsidRPr="00FF37C9" w:rsidRDefault="1ACE938C" w:rsidP="00FF37C9">
      <w:pPr>
        <w:rPr>
          <w:rFonts w:ascii="Calibri" w:hAnsi="Calibri" w:cs="Calibri"/>
          <w:sz w:val="24"/>
        </w:rPr>
      </w:pPr>
    </w:p>
    <w:p w14:paraId="67218C18" w14:textId="428414E6" w:rsidR="00976B37" w:rsidRPr="00FF37C9" w:rsidRDefault="0000040F" w:rsidP="00FF37C9">
      <w:pPr>
        <w:rPr>
          <w:rFonts w:ascii="Calibri" w:hAnsi="Calibri" w:cs="Calibri"/>
          <w:sz w:val="24"/>
        </w:rPr>
      </w:pPr>
      <w:r w:rsidRPr="00FF37C9">
        <w:rPr>
          <w:rFonts w:ascii="Calibri" w:hAnsi="Calibri" w:cs="Calibri"/>
          <w:sz w:val="24"/>
        </w:rPr>
        <w:t>The National Minimum Wage (NMW) and National Living Wage (NLW) set the legal minimum hourly rates based on age and employment status. From April 2025, the NLW for workers aged 21 and over is £12.21 (GOV.UK, 2024).</w:t>
      </w:r>
      <w:r w:rsidR="004908F7" w:rsidRPr="00FF37C9">
        <w:rPr>
          <w:rFonts w:ascii="Calibri" w:hAnsi="Calibri" w:cs="Calibri"/>
          <w:sz w:val="24"/>
        </w:rPr>
        <w:t xml:space="preserve"> </w:t>
      </w:r>
      <w:r w:rsidR="00976B37" w:rsidRPr="00FF37C9">
        <w:rPr>
          <w:rFonts w:ascii="Calibri" w:hAnsi="Calibri" w:cs="Calibri"/>
          <w:sz w:val="24"/>
        </w:rPr>
        <w:t>Non-compliance can result in financial penalties and reputational damage. Ensuring that all employees at Eco-Insulate</w:t>
      </w:r>
      <w:r w:rsidR="0082462F" w:rsidRPr="00FF37C9">
        <w:rPr>
          <w:rFonts w:ascii="Calibri" w:hAnsi="Calibri" w:cs="Calibri"/>
          <w:sz w:val="24"/>
        </w:rPr>
        <w:t xml:space="preserve"> </w:t>
      </w:r>
      <w:r w:rsidR="00976B37" w:rsidRPr="00FF37C9">
        <w:rPr>
          <w:rFonts w:ascii="Calibri" w:hAnsi="Calibri" w:cs="Calibri"/>
          <w:sz w:val="24"/>
        </w:rPr>
        <w:t>are paid at or above the legal minimum is a basic but critical component of lawful reward practice (Waite et al., 2021).</w:t>
      </w:r>
      <w:r w:rsidR="008E0E6D" w:rsidRPr="00FF37C9">
        <w:rPr>
          <w:rFonts w:ascii="Calibri" w:hAnsi="Calibri" w:cs="Calibri"/>
          <w:sz w:val="24"/>
        </w:rPr>
        <w:t xml:space="preserve"> </w:t>
      </w:r>
      <w:r w:rsidR="00976B37" w:rsidRPr="00FF37C9">
        <w:rPr>
          <w:rFonts w:ascii="Calibri" w:hAnsi="Calibri" w:cs="Calibri"/>
          <w:sz w:val="24"/>
        </w:rPr>
        <w:t>This directly impacts reward practice by setting the baseline for pay structures. When the minimum wage increases, it can lead to higher wage costs for the business, which may result in adjustments to other reward elements such as bonuses, paid leave, or non-cash benefits. Additionally, some pre-tax benefits (e.g., salary sacrifice schemes) may not be applicable to minimum wage earners if they reduce take-home pay below the legal threshold, influencing the fairness and accessibility of the overall reward package.</w:t>
      </w:r>
    </w:p>
    <w:p w14:paraId="79AB0CAF" w14:textId="77777777" w:rsidR="0067618D" w:rsidRPr="00FF37C9" w:rsidRDefault="0067618D" w:rsidP="00FF37C9">
      <w:pPr>
        <w:rPr>
          <w:rFonts w:ascii="Calibri" w:hAnsi="Calibri" w:cs="Calibri"/>
          <w:sz w:val="24"/>
        </w:rPr>
      </w:pPr>
    </w:p>
    <w:p w14:paraId="1732A227" w14:textId="43403E91" w:rsidR="00976B37" w:rsidRPr="00FF37C9" w:rsidRDefault="00976B37" w:rsidP="00FF37C9">
      <w:pPr>
        <w:rPr>
          <w:rFonts w:ascii="Calibri" w:hAnsi="Calibri" w:cs="Calibri"/>
          <w:sz w:val="24"/>
        </w:rPr>
      </w:pPr>
      <w:r w:rsidRPr="00FF37C9">
        <w:rPr>
          <w:rFonts w:ascii="Calibri" w:hAnsi="Calibri" w:cs="Calibri"/>
          <w:sz w:val="24"/>
        </w:rPr>
        <w:t>Under the Employment Rights Act 1996, employees are entitled to an itemised pay statement that details gross pay, deductions, and net pay. This promotes transparency and helps employees understand how their wages are calculated. For Eco-Insulate, where standard times are maintained by the Finance and Administration Department, ensuring accurate and clear payslips is essential for building trust.</w:t>
      </w:r>
      <w:r w:rsidRPr="00FF37C9">
        <w:rPr>
          <w:rFonts w:ascii="Calibri" w:hAnsi="Calibri" w:cs="Calibri"/>
          <w:sz w:val="24"/>
        </w:rPr>
        <w:t xml:space="preserve"> </w:t>
      </w:r>
      <w:r w:rsidRPr="00FF37C9">
        <w:rPr>
          <w:rFonts w:ascii="Calibri" w:hAnsi="Calibri" w:cs="Calibri"/>
          <w:sz w:val="24"/>
        </w:rPr>
        <w:t>This links to reward practice by reinforcing transparency and accountability in pay processes. Clear payslips help employees understand the value of their total reward package, including any deductions for benefits or contributions, which supports a culture of fairness and openness in the organisation.</w:t>
      </w:r>
    </w:p>
    <w:p w14:paraId="0D77FD27" w14:textId="77777777" w:rsidR="00E1534C" w:rsidRPr="00FF37C9" w:rsidRDefault="00E1534C" w:rsidP="00FF37C9">
      <w:pPr>
        <w:rPr>
          <w:rFonts w:ascii="Calibri" w:hAnsi="Calibri" w:cs="Calibri"/>
          <w:sz w:val="24"/>
        </w:rPr>
      </w:pPr>
    </w:p>
    <w:p w14:paraId="2D0CC628" w14:textId="0D0BC2CC" w:rsidR="00B076A3" w:rsidRPr="00FF37C9" w:rsidRDefault="00D667B2" w:rsidP="00FF37C9">
      <w:pPr>
        <w:rPr>
          <w:rFonts w:ascii="Calibri" w:hAnsi="Calibri" w:cs="Calibri"/>
          <w:sz w:val="24"/>
        </w:rPr>
      </w:pPr>
      <w:r w:rsidRPr="00FF37C9">
        <w:rPr>
          <w:rFonts w:ascii="Calibri" w:hAnsi="Calibri" w:cs="Calibri"/>
          <w:sz w:val="24"/>
        </w:rPr>
        <w:t>Employers must also comply with income tax and National Insurance obligations through the PAYE (Pay As You Earn) system. This includes deducting the correct amounts from employee wages and reporting them to HMRC. Failure to meet these obligations can lead to legal and financial consequences (Taylor &amp; Woodhams, 2022).</w:t>
      </w:r>
      <w:r w:rsidR="00626314" w:rsidRPr="00FF37C9">
        <w:rPr>
          <w:rFonts w:ascii="Calibri" w:hAnsi="Calibri" w:cs="Calibri"/>
          <w:sz w:val="24"/>
        </w:rPr>
        <w:t xml:space="preserve"> </w:t>
      </w:r>
      <w:r w:rsidRPr="00FF37C9">
        <w:rPr>
          <w:rFonts w:ascii="Calibri" w:hAnsi="Calibri" w:cs="Calibri"/>
          <w:sz w:val="24"/>
        </w:rPr>
        <w:t>This links to reward practice by ensuring that employees receive accurate net pay and that all statutory deductions are handled correctly. It also affects the design of reward packages, especially when considering benefits like salary sacrifice schemes, which must be managed carefully to avoid breaching PAYE rules. A compliant PAYE system supports trust and transparency in how rewards are administered.</w:t>
      </w:r>
    </w:p>
    <w:p w14:paraId="1FA1F72C" w14:textId="77777777" w:rsidR="00E1534C" w:rsidRPr="00E1534C" w:rsidRDefault="00E1534C" w:rsidP="1ACE938C">
      <w:pPr>
        <w:rPr>
          <w:rFonts w:ascii="Calibri" w:eastAsia="Calibri" w:hAnsi="Calibri" w:cs="Calibri"/>
          <w:sz w:val="24"/>
        </w:rPr>
      </w:pPr>
    </w:p>
    <w:p w14:paraId="13CBE751" w14:textId="77777777" w:rsidR="005F136C" w:rsidRDefault="005F136C">
      <w:pPr>
        <w:rPr>
          <w:rFonts w:ascii="Segoe UI" w:hAnsi="Segoe UI" w:cs="Segoe UI"/>
          <w:color w:val="424242"/>
          <w:shd w:val="clear" w:color="auto" w:fill="FAFAFA"/>
        </w:rPr>
      </w:pPr>
    </w:p>
    <w:p w14:paraId="134B8DAF" w14:textId="77777777" w:rsidR="005F136C" w:rsidRDefault="005F136C">
      <w:pPr>
        <w:rPr>
          <w:rFonts w:ascii="Segoe UI" w:hAnsi="Segoe UI" w:cs="Segoe UI"/>
          <w:color w:val="424242"/>
          <w:shd w:val="clear" w:color="auto" w:fill="FAFAFA"/>
        </w:rPr>
      </w:pPr>
    </w:p>
    <w:p w14:paraId="619A5D92" w14:textId="77777777" w:rsidR="005F136C" w:rsidRDefault="005F136C">
      <w:pPr>
        <w:rPr>
          <w:rFonts w:ascii="Segoe UI" w:hAnsi="Segoe UI" w:cs="Segoe UI"/>
          <w:color w:val="424242"/>
          <w:shd w:val="clear" w:color="auto" w:fill="FAFAFA"/>
        </w:rPr>
      </w:pPr>
    </w:p>
    <w:p w14:paraId="1E409280" w14:textId="77777777" w:rsidR="005F136C" w:rsidRDefault="005F136C">
      <w:pPr>
        <w:rPr>
          <w:rFonts w:ascii="Segoe UI" w:hAnsi="Segoe UI" w:cs="Segoe UI"/>
          <w:color w:val="424242"/>
          <w:shd w:val="clear" w:color="auto" w:fill="FAFAFA"/>
        </w:rPr>
      </w:pPr>
    </w:p>
    <w:p w14:paraId="1094AEDA" w14:textId="77777777" w:rsidR="005F136C" w:rsidRDefault="005F136C">
      <w:pPr>
        <w:rPr>
          <w:rFonts w:ascii="Segoe UI" w:hAnsi="Segoe UI" w:cs="Segoe UI"/>
          <w:color w:val="424242"/>
          <w:shd w:val="clear" w:color="auto" w:fill="FAFAFA"/>
        </w:rPr>
      </w:pPr>
    </w:p>
    <w:p w14:paraId="23B2DEB5" w14:textId="03A0A736" w:rsidR="1ACE938C" w:rsidRDefault="1ACE938C" w:rsidP="1ACE938C">
      <w:pPr>
        <w:rPr>
          <w:rFonts w:ascii="Segoe UI" w:hAnsi="Segoe UI" w:cs="Segoe UI"/>
          <w:color w:val="424242"/>
        </w:rPr>
      </w:pPr>
    </w:p>
    <w:p w14:paraId="6EE6EBA0" w14:textId="06E9EC94" w:rsidR="1ACE938C" w:rsidRDefault="1ACE938C" w:rsidP="1ACE938C">
      <w:pPr>
        <w:rPr>
          <w:rFonts w:ascii="Segoe UI" w:hAnsi="Segoe UI" w:cs="Segoe UI"/>
          <w:color w:val="424242"/>
        </w:rPr>
      </w:pPr>
    </w:p>
    <w:p w14:paraId="65F1749B" w14:textId="58575384" w:rsidR="1ACE938C" w:rsidRDefault="1ACE938C" w:rsidP="1ACE938C">
      <w:pPr>
        <w:rPr>
          <w:rFonts w:ascii="Segoe UI" w:hAnsi="Segoe UI" w:cs="Segoe UI"/>
          <w:color w:val="424242"/>
        </w:rPr>
      </w:pPr>
    </w:p>
    <w:p w14:paraId="32619897" w14:textId="77777777" w:rsidR="00FF37C9" w:rsidRDefault="00FF37C9" w:rsidP="1ACE938C">
      <w:pPr>
        <w:rPr>
          <w:rFonts w:ascii="Segoe UI" w:hAnsi="Segoe UI" w:cs="Segoe UI"/>
          <w:color w:val="424242"/>
        </w:rPr>
      </w:pPr>
    </w:p>
    <w:p w14:paraId="3F7AC2C6" w14:textId="77777777" w:rsidR="00FF37C9" w:rsidRDefault="00FF37C9" w:rsidP="1ACE938C">
      <w:pPr>
        <w:rPr>
          <w:rFonts w:ascii="Segoe UI" w:hAnsi="Segoe UI" w:cs="Segoe UI"/>
          <w:color w:val="424242"/>
        </w:rPr>
      </w:pPr>
    </w:p>
    <w:p w14:paraId="021641CD" w14:textId="77777777" w:rsidR="00FF37C9" w:rsidRDefault="00FF37C9" w:rsidP="1ACE938C">
      <w:pPr>
        <w:rPr>
          <w:rFonts w:ascii="Segoe UI" w:hAnsi="Segoe UI" w:cs="Segoe UI"/>
          <w:color w:val="424242"/>
        </w:rPr>
      </w:pPr>
    </w:p>
    <w:p w14:paraId="7A8058C5" w14:textId="77777777" w:rsidR="00FF37C9" w:rsidRDefault="00FF37C9" w:rsidP="1ACE938C">
      <w:pPr>
        <w:rPr>
          <w:rFonts w:ascii="Segoe UI" w:hAnsi="Segoe UI" w:cs="Segoe UI"/>
          <w:color w:val="424242"/>
        </w:rPr>
      </w:pPr>
    </w:p>
    <w:p w14:paraId="606B4812" w14:textId="77777777" w:rsidR="00FF37C9" w:rsidRDefault="00FF37C9" w:rsidP="1ACE938C">
      <w:pPr>
        <w:rPr>
          <w:rFonts w:ascii="Segoe UI" w:hAnsi="Segoe UI" w:cs="Segoe UI"/>
          <w:color w:val="424242"/>
        </w:rPr>
      </w:pPr>
    </w:p>
    <w:p w14:paraId="6276362C" w14:textId="77777777" w:rsidR="00FF37C9" w:rsidRDefault="00FF37C9" w:rsidP="1ACE938C">
      <w:pPr>
        <w:rPr>
          <w:rFonts w:ascii="Segoe UI" w:hAnsi="Segoe UI" w:cs="Segoe UI"/>
          <w:color w:val="424242"/>
        </w:rPr>
      </w:pPr>
    </w:p>
    <w:p w14:paraId="338E395E" w14:textId="77777777" w:rsidR="00FF37C9" w:rsidRDefault="00FF37C9" w:rsidP="1ACE938C">
      <w:pPr>
        <w:rPr>
          <w:rFonts w:ascii="Segoe UI" w:hAnsi="Segoe UI" w:cs="Segoe UI"/>
          <w:color w:val="424242"/>
        </w:rPr>
      </w:pPr>
    </w:p>
    <w:p w14:paraId="73976234" w14:textId="77777777" w:rsidR="00FF37C9" w:rsidRDefault="00FF37C9" w:rsidP="1ACE938C">
      <w:pPr>
        <w:rPr>
          <w:rFonts w:ascii="Segoe UI" w:hAnsi="Segoe UI" w:cs="Segoe UI"/>
          <w:color w:val="424242"/>
        </w:rPr>
      </w:pPr>
    </w:p>
    <w:p w14:paraId="27DCBF29" w14:textId="77777777" w:rsidR="00FF37C9" w:rsidRDefault="00FF37C9" w:rsidP="1ACE938C">
      <w:pPr>
        <w:rPr>
          <w:rFonts w:ascii="Segoe UI" w:hAnsi="Segoe UI" w:cs="Segoe UI"/>
          <w:color w:val="424242"/>
        </w:rPr>
      </w:pPr>
    </w:p>
    <w:p w14:paraId="080CE700" w14:textId="77777777" w:rsidR="00FF37C9" w:rsidRDefault="00FF37C9" w:rsidP="1ACE938C">
      <w:pPr>
        <w:rPr>
          <w:rFonts w:ascii="Segoe UI" w:hAnsi="Segoe UI" w:cs="Segoe UI"/>
          <w:color w:val="424242"/>
        </w:rPr>
      </w:pPr>
    </w:p>
    <w:p w14:paraId="02DAE16B" w14:textId="77777777" w:rsidR="00FF37C9" w:rsidRDefault="00FF37C9" w:rsidP="1ACE938C">
      <w:pPr>
        <w:rPr>
          <w:rFonts w:ascii="Segoe UI" w:hAnsi="Segoe UI" w:cs="Segoe UI"/>
          <w:color w:val="424242"/>
        </w:rPr>
      </w:pPr>
    </w:p>
    <w:p w14:paraId="6E67119F" w14:textId="77777777" w:rsidR="00FF37C9" w:rsidRDefault="00FF37C9" w:rsidP="1ACE938C">
      <w:pPr>
        <w:rPr>
          <w:rFonts w:ascii="Segoe UI" w:hAnsi="Segoe UI" w:cs="Segoe UI"/>
          <w:color w:val="424242"/>
        </w:rPr>
      </w:pPr>
    </w:p>
    <w:p w14:paraId="65242C7A" w14:textId="77777777" w:rsidR="00FF37C9" w:rsidRDefault="00FF37C9" w:rsidP="1ACE938C">
      <w:pPr>
        <w:rPr>
          <w:rFonts w:ascii="Segoe UI" w:hAnsi="Segoe UI" w:cs="Segoe UI"/>
          <w:color w:val="424242"/>
        </w:rPr>
      </w:pPr>
    </w:p>
    <w:p w14:paraId="09A0ED6C" w14:textId="77777777" w:rsidR="00FF37C9" w:rsidRDefault="00FF37C9" w:rsidP="1ACE938C">
      <w:pPr>
        <w:rPr>
          <w:rFonts w:ascii="Segoe UI" w:hAnsi="Segoe UI" w:cs="Segoe UI"/>
          <w:color w:val="424242"/>
        </w:rPr>
      </w:pPr>
    </w:p>
    <w:p w14:paraId="6FE142A6" w14:textId="77777777" w:rsidR="00FF37C9" w:rsidRDefault="00FF37C9" w:rsidP="1ACE938C">
      <w:pPr>
        <w:rPr>
          <w:rFonts w:ascii="Segoe UI" w:hAnsi="Segoe UI" w:cs="Segoe UI"/>
          <w:color w:val="424242"/>
        </w:rPr>
      </w:pPr>
    </w:p>
    <w:p w14:paraId="782A1C75" w14:textId="77777777" w:rsidR="00FF37C9" w:rsidRDefault="00FF37C9" w:rsidP="1ACE938C">
      <w:pPr>
        <w:rPr>
          <w:rFonts w:ascii="Segoe UI" w:hAnsi="Segoe UI" w:cs="Segoe UI"/>
          <w:color w:val="424242"/>
        </w:rPr>
      </w:pPr>
    </w:p>
    <w:p w14:paraId="4F3A0BF3" w14:textId="77777777" w:rsidR="00FF37C9" w:rsidRDefault="00FF37C9" w:rsidP="1ACE938C">
      <w:pPr>
        <w:rPr>
          <w:rFonts w:ascii="Segoe UI" w:hAnsi="Segoe UI" w:cs="Segoe UI"/>
          <w:color w:val="424242"/>
        </w:rPr>
      </w:pPr>
    </w:p>
    <w:p w14:paraId="0F61E2D8" w14:textId="77777777" w:rsidR="00FF37C9" w:rsidRDefault="00FF37C9" w:rsidP="1ACE938C">
      <w:pPr>
        <w:rPr>
          <w:rFonts w:ascii="Segoe UI" w:hAnsi="Segoe UI" w:cs="Segoe UI"/>
          <w:color w:val="424242"/>
        </w:rPr>
      </w:pPr>
    </w:p>
    <w:p w14:paraId="227FAC6F" w14:textId="77777777" w:rsidR="00FF37C9" w:rsidRDefault="00FF37C9" w:rsidP="1ACE938C">
      <w:pPr>
        <w:rPr>
          <w:rFonts w:ascii="Segoe UI" w:hAnsi="Segoe UI" w:cs="Segoe UI"/>
          <w:color w:val="424242"/>
        </w:rPr>
      </w:pPr>
    </w:p>
    <w:p w14:paraId="7BE7D46D" w14:textId="77777777" w:rsidR="00FF37C9" w:rsidRDefault="00FF37C9" w:rsidP="1ACE938C">
      <w:pPr>
        <w:rPr>
          <w:rFonts w:ascii="Segoe UI" w:hAnsi="Segoe UI" w:cs="Segoe UI"/>
          <w:color w:val="424242"/>
        </w:rPr>
      </w:pPr>
    </w:p>
    <w:p w14:paraId="6A711102" w14:textId="77777777" w:rsidR="00FF37C9" w:rsidRDefault="00FF37C9" w:rsidP="1ACE938C">
      <w:pPr>
        <w:rPr>
          <w:rFonts w:ascii="Segoe UI" w:hAnsi="Segoe UI" w:cs="Segoe UI"/>
          <w:color w:val="424242"/>
        </w:rPr>
      </w:pPr>
    </w:p>
    <w:p w14:paraId="24050C9C" w14:textId="77777777" w:rsidR="00FF37C9" w:rsidRDefault="00FF37C9" w:rsidP="1ACE938C">
      <w:pPr>
        <w:rPr>
          <w:rFonts w:ascii="Segoe UI" w:hAnsi="Segoe UI" w:cs="Segoe UI"/>
          <w:color w:val="424242"/>
        </w:rPr>
      </w:pPr>
    </w:p>
    <w:p w14:paraId="49488458" w14:textId="77777777" w:rsidR="00FF37C9" w:rsidRDefault="00FF37C9" w:rsidP="1ACE938C">
      <w:pPr>
        <w:rPr>
          <w:rFonts w:ascii="Segoe UI" w:hAnsi="Segoe UI" w:cs="Segoe UI"/>
          <w:color w:val="424242"/>
        </w:rPr>
      </w:pPr>
    </w:p>
    <w:p w14:paraId="62C7A3EF" w14:textId="77777777" w:rsidR="00FF37C9" w:rsidRDefault="00FF37C9" w:rsidP="1ACE938C">
      <w:pPr>
        <w:rPr>
          <w:rFonts w:ascii="Segoe UI" w:hAnsi="Segoe UI" w:cs="Segoe UI"/>
          <w:color w:val="424242"/>
        </w:rPr>
      </w:pPr>
    </w:p>
    <w:p w14:paraId="48AF542F" w14:textId="77777777" w:rsidR="00FF37C9" w:rsidRDefault="00FF37C9" w:rsidP="1ACE938C">
      <w:pPr>
        <w:rPr>
          <w:rFonts w:ascii="Segoe UI" w:hAnsi="Segoe UI" w:cs="Segoe UI"/>
          <w:color w:val="424242"/>
        </w:rPr>
      </w:pPr>
    </w:p>
    <w:p w14:paraId="08AB82EB" w14:textId="77777777" w:rsidR="00FF37C9" w:rsidRDefault="00FF37C9" w:rsidP="1ACE938C">
      <w:pPr>
        <w:rPr>
          <w:rFonts w:ascii="Segoe UI" w:hAnsi="Segoe UI" w:cs="Segoe UI"/>
          <w:color w:val="424242"/>
        </w:rPr>
      </w:pPr>
    </w:p>
    <w:p w14:paraId="659DC2FA" w14:textId="3B59BB4F"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u w:val="single"/>
        </w:rPr>
        <w:t xml:space="preserve">Reference List </w:t>
      </w:r>
    </w:p>
    <w:p w14:paraId="777E297B" w14:textId="2E130B87" w:rsidR="1ACE938C" w:rsidRDefault="1ACE938C" w:rsidP="1ACE938C">
      <w:pPr>
        <w:rPr>
          <w:rFonts w:ascii="Calibri" w:eastAsia="Calibri" w:hAnsi="Calibri" w:cs="Calibri"/>
          <w:color w:val="000000" w:themeColor="text1"/>
          <w:sz w:val="24"/>
        </w:rPr>
      </w:pPr>
    </w:p>
    <w:p w14:paraId="6D5AD1B6" w14:textId="033B6D8C"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ACAS. (2014) Job evaluation: </w:t>
      </w:r>
      <w:r w:rsidRPr="1ACE938C">
        <w:rPr>
          <w:rFonts w:ascii="Calibri" w:eastAsia="Calibri" w:hAnsi="Calibri" w:cs="Calibri"/>
          <w:i/>
          <w:iCs/>
          <w:color w:val="000000" w:themeColor="text1"/>
          <w:sz w:val="24"/>
        </w:rPr>
        <w:t>considerations and risks</w:t>
      </w:r>
      <w:r w:rsidRPr="1ACE938C">
        <w:rPr>
          <w:rFonts w:ascii="Calibri" w:eastAsia="Calibri" w:hAnsi="Calibri" w:cs="Calibri"/>
          <w:color w:val="000000" w:themeColor="text1"/>
          <w:sz w:val="24"/>
        </w:rPr>
        <w:t>. Advisory booklet. London: Acas. Available at: </w:t>
      </w:r>
      <w:hyperlink r:id="rId5">
        <w:r w:rsidRPr="1ACE938C">
          <w:rPr>
            <w:rStyle w:val="Hyperlink"/>
            <w:rFonts w:ascii="Calibri" w:eastAsia="Calibri" w:hAnsi="Calibri" w:cs="Calibri"/>
            <w:sz w:val="24"/>
          </w:rPr>
          <w:t>https://www.acas.org.uk/job-evaluation-considerations-and-risks-advice-booklet</w:t>
        </w:r>
      </w:hyperlink>
      <w:r w:rsidRPr="1ACE938C">
        <w:rPr>
          <w:rFonts w:ascii="Calibri" w:eastAsia="Calibri" w:hAnsi="Calibri" w:cs="Calibri"/>
          <w:color w:val="000000" w:themeColor="text1"/>
          <w:sz w:val="24"/>
        </w:rPr>
        <w:t xml:space="preserve">  (Accessed: 2 July 2025).</w:t>
      </w:r>
    </w:p>
    <w:p w14:paraId="1F587DDD" w14:textId="17FC4A7D" w:rsidR="1ACE938C" w:rsidRDefault="1ACE938C" w:rsidP="1ACE938C">
      <w:pPr>
        <w:rPr>
          <w:rFonts w:ascii="Calibri" w:eastAsia="Calibri" w:hAnsi="Calibri" w:cs="Calibri"/>
          <w:color w:val="000000" w:themeColor="text1"/>
          <w:sz w:val="24"/>
        </w:rPr>
      </w:pPr>
    </w:p>
    <w:p w14:paraId="5738C301" w14:textId="169BB796"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ACAS. (No date.) </w:t>
      </w:r>
      <w:r w:rsidRPr="1ACE938C">
        <w:rPr>
          <w:rFonts w:ascii="Calibri" w:eastAsia="Calibri" w:hAnsi="Calibri" w:cs="Calibri"/>
          <w:i/>
          <w:iCs/>
          <w:color w:val="000000" w:themeColor="text1"/>
          <w:sz w:val="24"/>
        </w:rPr>
        <w:t>Pay and wages</w:t>
      </w:r>
      <w:r w:rsidRPr="1ACE938C">
        <w:rPr>
          <w:rFonts w:ascii="Calibri" w:eastAsia="Calibri" w:hAnsi="Calibri" w:cs="Calibri"/>
          <w:color w:val="000000" w:themeColor="text1"/>
          <w:sz w:val="24"/>
        </w:rPr>
        <w:t>. London: Acas. Available at: </w:t>
      </w:r>
      <w:hyperlink r:id="rId6">
        <w:r w:rsidRPr="1ACE938C">
          <w:rPr>
            <w:rStyle w:val="Hyperlink"/>
            <w:rFonts w:ascii="Calibri" w:eastAsia="Calibri" w:hAnsi="Calibri" w:cs="Calibri"/>
            <w:sz w:val="24"/>
          </w:rPr>
          <w:t>https://www.acas.org.uk/pay-and-wages</w:t>
        </w:r>
      </w:hyperlink>
      <w:r w:rsidRPr="1ACE938C">
        <w:rPr>
          <w:rFonts w:ascii="Calibri" w:eastAsia="Calibri" w:hAnsi="Calibri" w:cs="Calibri"/>
          <w:color w:val="000000" w:themeColor="text1"/>
          <w:sz w:val="24"/>
        </w:rPr>
        <w:t> (Accessed: 2 July 2025).</w:t>
      </w:r>
    </w:p>
    <w:p w14:paraId="15EC8FB1" w14:textId="1CCDCB78" w:rsidR="1ACE938C" w:rsidRDefault="1ACE938C" w:rsidP="1ACE938C">
      <w:pPr>
        <w:rPr>
          <w:rFonts w:ascii="Calibri" w:eastAsia="Calibri" w:hAnsi="Calibri" w:cs="Calibri"/>
          <w:color w:val="000000" w:themeColor="text1"/>
          <w:sz w:val="24"/>
        </w:rPr>
      </w:pPr>
    </w:p>
    <w:p w14:paraId="463913F2" w14:textId="01B7F161"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Adams, J.S., (1965). </w:t>
      </w:r>
      <w:r w:rsidRPr="1ACE938C">
        <w:rPr>
          <w:rFonts w:ascii="Calibri" w:eastAsia="Calibri" w:hAnsi="Calibri" w:cs="Calibri"/>
          <w:i/>
          <w:iCs/>
          <w:color w:val="000000" w:themeColor="text1"/>
          <w:sz w:val="24"/>
        </w:rPr>
        <w:t>Inequity in social exchange</w:t>
      </w:r>
      <w:r w:rsidRPr="1ACE938C">
        <w:rPr>
          <w:rFonts w:ascii="Calibri" w:eastAsia="Calibri" w:hAnsi="Calibri" w:cs="Calibri"/>
          <w:color w:val="000000" w:themeColor="text1"/>
          <w:sz w:val="24"/>
        </w:rPr>
        <w:t>. Advances in Experimental Social Psychology, 2, pp.267–299. </w:t>
      </w:r>
      <w:hyperlink r:id="rId7">
        <w:r w:rsidRPr="1ACE938C">
          <w:rPr>
            <w:rStyle w:val="Hyperlink"/>
            <w:rFonts w:ascii="Calibri" w:eastAsia="Calibri" w:hAnsi="Calibri" w:cs="Calibri"/>
            <w:sz w:val="24"/>
          </w:rPr>
          <w:t>https://doi.org/10.1016/S0065-2601(08)60108-260108-2</w:t>
        </w:r>
      </w:hyperlink>
      <w:r w:rsidRPr="1ACE938C">
        <w:rPr>
          <w:rFonts w:ascii="Calibri" w:eastAsia="Calibri" w:hAnsi="Calibri" w:cs="Calibri"/>
          <w:color w:val="000000" w:themeColor="text1"/>
          <w:sz w:val="24"/>
        </w:rPr>
        <w:t>) (Accessed: 15 July 2025).</w:t>
      </w:r>
    </w:p>
    <w:p w14:paraId="1D738C62" w14:textId="0BDDE5F7" w:rsidR="1ACE938C" w:rsidRDefault="1ACE938C" w:rsidP="1ACE938C">
      <w:pPr>
        <w:rPr>
          <w:rFonts w:ascii="Calibri" w:eastAsia="Calibri" w:hAnsi="Calibri" w:cs="Calibri"/>
          <w:color w:val="000000" w:themeColor="text1"/>
          <w:sz w:val="24"/>
        </w:rPr>
      </w:pPr>
    </w:p>
    <w:p w14:paraId="6C2812C2" w14:textId="6FA24F8D"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Armstrong, M. and Brown, D. (2019) Armstrong’s handbook of reward management practice: </w:t>
      </w:r>
      <w:r w:rsidRPr="1ACE938C">
        <w:rPr>
          <w:rFonts w:ascii="Calibri" w:eastAsia="Calibri" w:hAnsi="Calibri" w:cs="Calibri"/>
          <w:i/>
          <w:iCs/>
          <w:color w:val="000000" w:themeColor="text1"/>
          <w:sz w:val="24"/>
        </w:rPr>
        <w:t>improving performance through reward</w:t>
      </w:r>
      <w:r w:rsidRPr="1ACE938C">
        <w:rPr>
          <w:rFonts w:ascii="Calibri" w:eastAsia="Calibri" w:hAnsi="Calibri" w:cs="Calibri"/>
          <w:color w:val="000000" w:themeColor="text1"/>
          <w:sz w:val="24"/>
        </w:rPr>
        <w:t>. 6th ed. London: Kogan Page.</w:t>
      </w:r>
    </w:p>
    <w:p w14:paraId="0755B464" w14:textId="5DB755DA" w:rsidR="1ACE938C" w:rsidRDefault="1ACE938C" w:rsidP="1ACE938C">
      <w:pPr>
        <w:rPr>
          <w:rFonts w:ascii="Calibri" w:eastAsia="Calibri" w:hAnsi="Calibri" w:cs="Calibri"/>
          <w:color w:val="000000" w:themeColor="text1"/>
          <w:sz w:val="24"/>
        </w:rPr>
      </w:pPr>
    </w:p>
    <w:p w14:paraId="499A1099" w14:textId="02C41A34"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Armstrong, M. and Chapman, A. (2011) The reward management toolkit: </w:t>
      </w:r>
      <w:r w:rsidRPr="1ACE938C">
        <w:rPr>
          <w:rFonts w:ascii="Calibri" w:eastAsia="Calibri" w:hAnsi="Calibri" w:cs="Calibri"/>
          <w:i/>
          <w:iCs/>
          <w:color w:val="000000" w:themeColor="text1"/>
          <w:sz w:val="24"/>
        </w:rPr>
        <w:t>a step-by-step guide to designing and delivering pay and benefits</w:t>
      </w:r>
      <w:r w:rsidRPr="1ACE938C">
        <w:rPr>
          <w:rFonts w:ascii="Calibri" w:eastAsia="Calibri" w:hAnsi="Calibri" w:cs="Calibri"/>
          <w:color w:val="000000" w:themeColor="text1"/>
          <w:sz w:val="24"/>
        </w:rPr>
        <w:t>. London: Kogan Page.</w:t>
      </w:r>
    </w:p>
    <w:p w14:paraId="061443EF" w14:textId="1C47061D" w:rsidR="1ACE938C" w:rsidRDefault="1ACE938C" w:rsidP="1ACE938C">
      <w:pPr>
        <w:rPr>
          <w:rFonts w:ascii="Calibri" w:eastAsia="Calibri" w:hAnsi="Calibri" w:cs="Calibri"/>
          <w:color w:val="000000" w:themeColor="text1"/>
          <w:sz w:val="24"/>
        </w:rPr>
      </w:pPr>
    </w:p>
    <w:p w14:paraId="18C076FD" w14:textId="3238CE45"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Armstrong, M., Brown, D. and Reilly, P., 2009.</w:t>
      </w:r>
      <w:r w:rsidRPr="1ACE938C">
        <w:rPr>
          <w:rFonts w:ascii="Calibri" w:eastAsia="Calibri" w:hAnsi="Calibri" w:cs="Calibri"/>
          <w:i/>
          <w:iCs/>
          <w:color w:val="000000" w:themeColor="text1"/>
          <w:sz w:val="24"/>
        </w:rPr>
        <w:t xml:space="preserve"> Increasing the effectiveness of reward management: an evidence-based approach. </w:t>
      </w:r>
      <w:r w:rsidRPr="1ACE938C">
        <w:rPr>
          <w:rFonts w:ascii="Calibri" w:eastAsia="Calibri" w:hAnsi="Calibri" w:cs="Calibri"/>
          <w:color w:val="000000" w:themeColor="text1"/>
          <w:sz w:val="24"/>
        </w:rPr>
        <w:t>Brighton: Institute for Employment Studies.</w:t>
      </w:r>
    </w:p>
    <w:p w14:paraId="44BE110B" w14:textId="26969783" w:rsidR="1ACE938C" w:rsidRDefault="1ACE938C" w:rsidP="1ACE938C">
      <w:pPr>
        <w:rPr>
          <w:rFonts w:ascii="Calibri" w:eastAsia="Calibri" w:hAnsi="Calibri" w:cs="Calibri"/>
          <w:color w:val="000000" w:themeColor="text1"/>
          <w:sz w:val="24"/>
        </w:rPr>
      </w:pPr>
    </w:p>
    <w:p w14:paraId="45FE53D8" w14:textId="5F943472" w:rsidR="799CF5D0" w:rsidRDefault="799CF5D0" w:rsidP="1ACE938C">
      <w:pPr>
        <w:rPr>
          <w:rFonts w:ascii="Calibri" w:eastAsia="Calibri" w:hAnsi="Calibri" w:cs="Calibri"/>
          <w:color w:val="000000" w:themeColor="text1"/>
          <w:szCs w:val="22"/>
        </w:rPr>
      </w:pPr>
      <w:r w:rsidRPr="1ACE938C">
        <w:rPr>
          <w:rFonts w:ascii="Calibri" w:eastAsia="Calibri" w:hAnsi="Calibri" w:cs="Calibri"/>
          <w:color w:val="000000" w:themeColor="text1"/>
          <w:szCs w:val="22"/>
        </w:rPr>
        <w:t>CIPD, (2023a). </w:t>
      </w:r>
      <w:r w:rsidRPr="1ACE938C">
        <w:rPr>
          <w:rFonts w:ascii="Calibri" w:eastAsia="Calibri" w:hAnsi="Calibri" w:cs="Calibri"/>
          <w:i/>
          <w:iCs/>
          <w:color w:val="000000" w:themeColor="text1"/>
          <w:szCs w:val="22"/>
        </w:rPr>
        <w:t>Benefits strategy and benchmarking report. [online] London: Chartered Institute of Personnel and Development</w:t>
      </w:r>
      <w:r w:rsidRPr="1ACE938C">
        <w:rPr>
          <w:rFonts w:ascii="Calibri" w:eastAsia="Calibri" w:hAnsi="Calibri" w:cs="Calibri"/>
          <w:color w:val="000000" w:themeColor="text1"/>
          <w:szCs w:val="22"/>
        </w:rPr>
        <w:t>. Available at: </w:t>
      </w:r>
      <w:hyperlink r:id="rId8">
        <w:r w:rsidRPr="1ACE938C">
          <w:rPr>
            <w:rStyle w:val="Hyperlink"/>
            <w:rFonts w:ascii="Calibri" w:eastAsia="Calibri" w:hAnsi="Calibri" w:cs="Calibri"/>
            <w:szCs w:val="22"/>
          </w:rPr>
          <w:t>https://www.cipd.co.uk/knowledge/strategy/reward/benchmarking-report</w:t>
        </w:r>
      </w:hyperlink>
      <w:r w:rsidRPr="1ACE938C">
        <w:rPr>
          <w:rFonts w:ascii="Calibri" w:eastAsia="Calibri" w:hAnsi="Calibri" w:cs="Calibri"/>
          <w:color w:val="000000" w:themeColor="text1"/>
          <w:szCs w:val="22"/>
        </w:rPr>
        <w:t xml:space="preserve">  (Accessed: 10 Jul. 2025)</w:t>
      </w:r>
    </w:p>
    <w:p w14:paraId="1C174A81" w14:textId="594B2904" w:rsidR="1ACE938C" w:rsidRDefault="1ACE938C" w:rsidP="1ACE938C">
      <w:pPr>
        <w:rPr>
          <w:rFonts w:ascii="Calibri" w:eastAsia="Calibri" w:hAnsi="Calibri" w:cs="Calibri"/>
          <w:color w:val="000000" w:themeColor="text1"/>
          <w:sz w:val="24"/>
        </w:rPr>
      </w:pPr>
    </w:p>
    <w:p w14:paraId="0C7E0F9C" w14:textId="446C04E1" w:rsidR="799CF5D0" w:rsidRDefault="799CF5D0" w:rsidP="1ACE938C">
      <w:pPr>
        <w:rPr>
          <w:rFonts w:ascii="Calibri" w:eastAsia="Calibri" w:hAnsi="Calibri" w:cs="Calibri"/>
          <w:color w:val="000000" w:themeColor="text1"/>
          <w:szCs w:val="22"/>
        </w:rPr>
      </w:pPr>
      <w:r w:rsidRPr="1ACE938C">
        <w:rPr>
          <w:rFonts w:ascii="Calibri" w:eastAsia="Calibri" w:hAnsi="Calibri" w:cs="Calibri"/>
          <w:color w:val="000000" w:themeColor="text1"/>
          <w:szCs w:val="22"/>
        </w:rPr>
        <w:t>Cotton, C., (2022a). Reward: an introduction. [online] London: Chartered Institute of Personnel and Development. Available at: </w:t>
      </w:r>
      <w:hyperlink r:id="rId9">
        <w:r w:rsidRPr="1ACE938C">
          <w:rPr>
            <w:rStyle w:val="Hyperlink"/>
            <w:rFonts w:ascii="Calibri" w:eastAsia="Calibri" w:hAnsi="Calibri" w:cs="Calibri"/>
            <w:szCs w:val="22"/>
          </w:rPr>
          <w:t>https://www.cipd.co.uk/knowledge/fundamentals/people/pay/reward-factsheet</w:t>
        </w:r>
      </w:hyperlink>
      <w:r w:rsidRPr="1ACE938C">
        <w:rPr>
          <w:rFonts w:ascii="Calibri" w:eastAsia="Calibri" w:hAnsi="Calibri" w:cs="Calibri"/>
          <w:color w:val="000000" w:themeColor="text1"/>
          <w:szCs w:val="22"/>
        </w:rPr>
        <w:t xml:space="preserve">  (Accessed: 2 Jul. 2025)</w:t>
      </w:r>
    </w:p>
    <w:p w14:paraId="36F21260" w14:textId="51C87C42" w:rsidR="1ACE938C" w:rsidRDefault="1ACE938C" w:rsidP="1ACE938C">
      <w:pPr>
        <w:rPr>
          <w:rFonts w:ascii="Calibri" w:eastAsia="Calibri" w:hAnsi="Calibri" w:cs="Calibri"/>
          <w:color w:val="000000" w:themeColor="text1"/>
          <w:szCs w:val="22"/>
        </w:rPr>
      </w:pPr>
    </w:p>
    <w:p w14:paraId="050C0916" w14:textId="53A9C30C"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Cotton, C. (2022b) </w:t>
      </w:r>
      <w:r w:rsidRPr="1ACE938C">
        <w:rPr>
          <w:rFonts w:ascii="Calibri" w:eastAsia="Calibri" w:hAnsi="Calibri" w:cs="Calibri"/>
          <w:i/>
          <w:iCs/>
          <w:color w:val="000000" w:themeColor="text1"/>
          <w:sz w:val="24"/>
        </w:rPr>
        <w:t>Strategic reward and total reward</w:t>
      </w:r>
      <w:r w:rsidRPr="1ACE938C">
        <w:rPr>
          <w:rFonts w:ascii="Calibri" w:eastAsia="Calibri" w:hAnsi="Calibri" w:cs="Calibri"/>
          <w:color w:val="000000" w:themeColor="text1"/>
          <w:sz w:val="24"/>
        </w:rPr>
        <w:t>. London: Chartered Institute of Personnel and Development. Available at: </w:t>
      </w:r>
      <w:hyperlink r:id="rId10">
        <w:r w:rsidRPr="1ACE938C">
          <w:rPr>
            <w:rStyle w:val="Hyperlink"/>
            <w:rFonts w:ascii="Calibri" w:eastAsia="Calibri" w:hAnsi="Calibri" w:cs="Calibri"/>
            <w:sz w:val="24"/>
          </w:rPr>
          <w:t>https://pminsight.cipd.co.uk/performance-reward</w:t>
        </w:r>
      </w:hyperlink>
      <w:r w:rsidRPr="1ACE938C">
        <w:rPr>
          <w:rFonts w:ascii="Calibri" w:eastAsia="Calibri" w:hAnsi="Calibri" w:cs="Calibri"/>
          <w:color w:val="000000" w:themeColor="text1"/>
          <w:sz w:val="24"/>
        </w:rPr>
        <w:t xml:space="preserve">  (Accessed: 2 July 2025).</w:t>
      </w:r>
    </w:p>
    <w:p w14:paraId="291FD0A6" w14:textId="73CE0147" w:rsidR="1ACE938C" w:rsidRDefault="1ACE938C" w:rsidP="1ACE938C">
      <w:pPr>
        <w:rPr>
          <w:rFonts w:ascii="Calibri" w:eastAsia="Calibri" w:hAnsi="Calibri" w:cs="Calibri"/>
          <w:color w:val="000000" w:themeColor="text1"/>
          <w:szCs w:val="22"/>
        </w:rPr>
      </w:pPr>
    </w:p>
    <w:p w14:paraId="3C2B80D8" w14:textId="104FFE1A"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Cotton, C. (2022c) </w:t>
      </w:r>
      <w:r w:rsidRPr="1ACE938C">
        <w:rPr>
          <w:rFonts w:ascii="Calibri" w:eastAsia="Calibri" w:hAnsi="Calibri" w:cs="Calibri"/>
          <w:i/>
          <w:iCs/>
          <w:color w:val="000000" w:themeColor="text1"/>
          <w:sz w:val="24"/>
        </w:rPr>
        <w:t>Reward management survey: focus on employee benefits</w:t>
      </w:r>
      <w:r w:rsidRPr="1ACE938C">
        <w:rPr>
          <w:rFonts w:ascii="Calibri" w:eastAsia="Calibri" w:hAnsi="Calibri" w:cs="Calibri"/>
          <w:color w:val="000000" w:themeColor="text1"/>
          <w:sz w:val="24"/>
        </w:rPr>
        <w:t>. London: Chartered Institute of Personnel and Development. Available at: </w:t>
      </w:r>
      <w:hyperlink r:id="rId11">
        <w:r w:rsidRPr="1ACE938C">
          <w:rPr>
            <w:rStyle w:val="Hyperlink"/>
            <w:rFonts w:ascii="Calibri" w:eastAsia="Calibri" w:hAnsi="Calibri" w:cs="Calibri"/>
            <w:sz w:val="24"/>
          </w:rPr>
          <w:t>https://community.cipd.co.uk/cipd-blogs/b/reward_blog</w:t>
        </w:r>
      </w:hyperlink>
      <w:r w:rsidRPr="1ACE938C">
        <w:rPr>
          <w:rFonts w:ascii="Calibri" w:eastAsia="Calibri" w:hAnsi="Calibri" w:cs="Calibri"/>
          <w:color w:val="000000" w:themeColor="text1"/>
          <w:sz w:val="24"/>
        </w:rPr>
        <w:t xml:space="preserve">  (Accessed: 2 July 2025).</w:t>
      </w:r>
    </w:p>
    <w:p w14:paraId="27CC2578" w14:textId="327424D6" w:rsidR="1ACE938C" w:rsidRDefault="1ACE938C" w:rsidP="1ACE938C">
      <w:pPr>
        <w:rPr>
          <w:rFonts w:ascii="Calibri" w:eastAsia="Calibri" w:hAnsi="Calibri" w:cs="Calibri"/>
          <w:color w:val="000000" w:themeColor="text1"/>
          <w:sz w:val="24"/>
        </w:rPr>
      </w:pPr>
    </w:p>
    <w:p w14:paraId="764159AB" w14:textId="7AE618C6"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E-reward (2022.) E-reward: </w:t>
      </w:r>
      <w:r w:rsidRPr="1ACE938C">
        <w:rPr>
          <w:rFonts w:ascii="Calibri" w:eastAsia="Calibri" w:hAnsi="Calibri" w:cs="Calibri"/>
          <w:i/>
          <w:iCs/>
          <w:color w:val="000000" w:themeColor="text1"/>
          <w:sz w:val="24"/>
        </w:rPr>
        <w:t>research and guidance on reward management</w:t>
      </w:r>
      <w:r w:rsidRPr="1ACE938C">
        <w:rPr>
          <w:rFonts w:ascii="Calibri" w:eastAsia="Calibri" w:hAnsi="Calibri" w:cs="Calibri"/>
          <w:color w:val="000000" w:themeColor="text1"/>
          <w:sz w:val="24"/>
        </w:rPr>
        <w:t>. Available at: </w:t>
      </w:r>
      <w:hyperlink r:id="rId12">
        <w:r w:rsidRPr="1ACE938C">
          <w:rPr>
            <w:rStyle w:val="Hyperlink"/>
            <w:rFonts w:ascii="Calibri" w:eastAsia="Calibri" w:hAnsi="Calibri" w:cs="Calibri"/>
            <w:sz w:val="24"/>
          </w:rPr>
          <w:t>https://www.e-reward.co.uk</w:t>
        </w:r>
      </w:hyperlink>
      <w:r w:rsidRPr="1ACE938C">
        <w:rPr>
          <w:rFonts w:ascii="Calibri" w:eastAsia="Calibri" w:hAnsi="Calibri" w:cs="Calibri"/>
          <w:color w:val="000000" w:themeColor="text1"/>
          <w:sz w:val="24"/>
        </w:rPr>
        <w:t xml:space="preserve">  (Accessed: 18 July 2025)</w:t>
      </w:r>
    </w:p>
    <w:p w14:paraId="063473C8" w14:textId="359A4C2A" w:rsidR="1ACE938C" w:rsidRDefault="1ACE938C" w:rsidP="1ACE938C">
      <w:pPr>
        <w:rPr>
          <w:rFonts w:ascii="Calibri" w:eastAsia="Calibri" w:hAnsi="Calibri" w:cs="Calibri"/>
          <w:color w:val="000000" w:themeColor="text1"/>
          <w:sz w:val="24"/>
        </w:rPr>
      </w:pPr>
    </w:p>
    <w:p w14:paraId="59CC9AFB" w14:textId="2E1109D5"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lastRenderedPageBreak/>
        <w:t>Gov.uk, (2024a). </w:t>
      </w:r>
      <w:r w:rsidRPr="1ACE938C">
        <w:rPr>
          <w:rFonts w:ascii="Calibri" w:eastAsia="Calibri" w:hAnsi="Calibri" w:cs="Calibri"/>
          <w:i/>
          <w:iCs/>
          <w:color w:val="000000" w:themeColor="text1"/>
          <w:sz w:val="24"/>
        </w:rPr>
        <w:t>Payslips: employee rights</w:t>
      </w:r>
      <w:r w:rsidRPr="1ACE938C">
        <w:rPr>
          <w:rFonts w:ascii="Calibri" w:eastAsia="Calibri" w:hAnsi="Calibri" w:cs="Calibri"/>
          <w:color w:val="000000" w:themeColor="text1"/>
          <w:sz w:val="24"/>
        </w:rPr>
        <w:t>. [online] Available at: </w:t>
      </w:r>
      <w:hyperlink r:id="rId13">
        <w:r w:rsidRPr="1ACE938C">
          <w:rPr>
            <w:rStyle w:val="Hyperlink"/>
            <w:rFonts w:ascii="Calibri" w:eastAsia="Calibri" w:hAnsi="Calibri" w:cs="Calibri"/>
            <w:sz w:val="24"/>
          </w:rPr>
          <w:t>https://www.gov.uk/payslips</w:t>
        </w:r>
      </w:hyperlink>
      <w:r w:rsidRPr="1ACE938C">
        <w:rPr>
          <w:rFonts w:ascii="Calibri" w:eastAsia="Calibri" w:hAnsi="Calibri" w:cs="Calibri"/>
          <w:color w:val="000000" w:themeColor="text1"/>
          <w:sz w:val="24"/>
        </w:rPr>
        <w:t xml:space="preserve">  (Accessed: 12 Jul. 2025) </w:t>
      </w:r>
    </w:p>
    <w:p w14:paraId="72E1C8ED" w14:textId="07ABB6A1" w:rsidR="1ACE938C" w:rsidRDefault="1ACE938C" w:rsidP="1ACE938C">
      <w:pPr>
        <w:rPr>
          <w:rFonts w:ascii="Calibri" w:eastAsia="Calibri" w:hAnsi="Calibri" w:cs="Calibri"/>
          <w:color w:val="000000" w:themeColor="text1"/>
          <w:sz w:val="24"/>
        </w:rPr>
      </w:pPr>
    </w:p>
    <w:p w14:paraId="620CE0F1" w14:textId="728EBDF5"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Gov.uk, (2024b). </w:t>
      </w:r>
      <w:r w:rsidRPr="1ACE938C">
        <w:rPr>
          <w:rFonts w:ascii="Calibri" w:eastAsia="Calibri" w:hAnsi="Calibri" w:cs="Calibri"/>
          <w:i/>
          <w:iCs/>
          <w:color w:val="000000" w:themeColor="text1"/>
          <w:sz w:val="24"/>
        </w:rPr>
        <w:t>National Minimum Wage and Living Wage.</w:t>
      </w:r>
      <w:r w:rsidRPr="1ACE938C">
        <w:rPr>
          <w:rFonts w:ascii="Calibri" w:eastAsia="Calibri" w:hAnsi="Calibri" w:cs="Calibri"/>
          <w:color w:val="000000" w:themeColor="text1"/>
          <w:sz w:val="24"/>
        </w:rPr>
        <w:t xml:space="preserve"> [online] Available at: </w:t>
      </w:r>
      <w:hyperlink r:id="rId14">
        <w:r w:rsidRPr="1ACE938C">
          <w:rPr>
            <w:rStyle w:val="Hyperlink"/>
            <w:rFonts w:ascii="Calibri" w:eastAsia="Calibri" w:hAnsi="Calibri" w:cs="Calibri"/>
            <w:sz w:val="24"/>
          </w:rPr>
          <w:t>https://www.gov.uk/national-minimum-wage</w:t>
        </w:r>
      </w:hyperlink>
      <w:r w:rsidRPr="1ACE938C">
        <w:rPr>
          <w:rFonts w:ascii="Calibri" w:eastAsia="Calibri" w:hAnsi="Calibri" w:cs="Calibri"/>
          <w:color w:val="000000" w:themeColor="text1"/>
          <w:sz w:val="24"/>
        </w:rPr>
        <w:t xml:space="preserve">  (Accessed: 12 Jul. 2025) </w:t>
      </w:r>
    </w:p>
    <w:p w14:paraId="52F3F593" w14:textId="41C54F46" w:rsidR="1ACE938C" w:rsidRDefault="1ACE938C" w:rsidP="1ACE938C">
      <w:pPr>
        <w:rPr>
          <w:rFonts w:ascii="Calibri" w:eastAsia="Calibri" w:hAnsi="Calibri" w:cs="Calibri"/>
          <w:color w:val="000000" w:themeColor="text1"/>
          <w:sz w:val="24"/>
        </w:rPr>
      </w:pPr>
    </w:p>
    <w:p w14:paraId="74E5DB2B" w14:textId="5EF68423"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Gov.uk, (2024c). </w:t>
      </w:r>
      <w:r w:rsidRPr="1ACE938C">
        <w:rPr>
          <w:rFonts w:ascii="Calibri" w:eastAsia="Calibri" w:hAnsi="Calibri" w:cs="Calibri"/>
          <w:i/>
          <w:iCs/>
          <w:color w:val="000000" w:themeColor="text1"/>
          <w:sz w:val="24"/>
        </w:rPr>
        <w:t>PAYE and payroll for employers: Introduction to PAYE</w:t>
      </w:r>
      <w:r w:rsidRPr="1ACE938C">
        <w:rPr>
          <w:rFonts w:ascii="Calibri" w:eastAsia="Calibri" w:hAnsi="Calibri" w:cs="Calibri"/>
          <w:color w:val="000000" w:themeColor="text1"/>
          <w:sz w:val="24"/>
        </w:rPr>
        <w:t>. [online] Available at: </w:t>
      </w:r>
      <w:hyperlink r:id="rId15">
        <w:r w:rsidRPr="1ACE938C">
          <w:rPr>
            <w:rStyle w:val="Hyperlink"/>
            <w:rFonts w:ascii="Calibri" w:eastAsia="Calibri" w:hAnsi="Calibri" w:cs="Calibri"/>
            <w:sz w:val="24"/>
          </w:rPr>
          <w:t>https://www.gov.uk/paye-for-employers</w:t>
        </w:r>
      </w:hyperlink>
      <w:r w:rsidRPr="1ACE938C">
        <w:rPr>
          <w:rFonts w:ascii="Calibri" w:eastAsia="Calibri" w:hAnsi="Calibri" w:cs="Calibri"/>
          <w:color w:val="000000" w:themeColor="text1"/>
          <w:sz w:val="24"/>
        </w:rPr>
        <w:t xml:space="preserve">  (Accessed: 2 Jul. 2025)</w:t>
      </w:r>
    </w:p>
    <w:p w14:paraId="00E07880" w14:textId="06A1A602" w:rsidR="1ACE938C" w:rsidRDefault="1ACE938C" w:rsidP="1ACE938C">
      <w:pPr>
        <w:rPr>
          <w:rFonts w:ascii="Calibri" w:eastAsia="Calibri" w:hAnsi="Calibri" w:cs="Calibri"/>
          <w:color w:val="000000" w:themeColor="text1"/>
          <w:sz w:val="24"/>
        </w:rPr>
      </w:pPr>
    </w:p>
    <w:p w14:paraId="64DF7D01" w14:textId="54D6DC4D"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Gov.uk, (2024d). </w:t>
      </w:r>
      <w:r w:rsidRPr="1ACE938C">
        <w:rPr>
          <w:rFonts w:ascii="Calibri" w:eastAsia="Calibri" w:hAnsi="Calibri" w:cs="Calibri"/>
          <w:i/>
          <w:iCs/>
          <w:color w:val="000000" w:themeColor="text1"/>
          <w:sz w:val="24"/>
        </w:rPr>
        <w:t>Gender pay gap reporting: guidance for employers</w:t>
      </w:r>
      <w:r w:rsidRPr="1ACE938C">
        <w:rPr>
          <w:rFonts w:ascii="Calibri" w:eastAsia="Calibri" w:hAnsi="Calibri" w:cs="Calibri"/>
          <w:color w:val="000000" w:themeColor="text1"/>
          <w:sz w:val="24"/>
        </w:rPr>
        <w:t>. [online] Available at: </w:t>
      </w:r>
      <w:hyperlink r:id="rId16">
        <w:r w:rsidRPr="1ACE938C">
          <w:rPr>
            <w:rStyle w:val="Hyperlink"/>
            <w:rFonts w:ascii="Calibri" w:eastAsia="Calibri" w:hAnsi="Calibri" w:cs="Calibri"/>
            <w:sz w:val="24"/>
          </w:rPr>
          <w:t>https://www.gov.uk/government/publications/gender-pay-gap-reporting-guidance-for-employers</w:t>
        </w:r>
      </w:hyperlink>
      <w:r w:rsidRPr="1ACE938C">
        <w:rPr>
          <w:rFonts w:ascii="Calibri" w:eastAsia="Calibri" w:hAnsi="Calibri" w:cs="Calibri"/>
          <w:color w:val="000000" w:themeColor="text1"/>
          <w:sz w:val="24"/>
        </w:rPr>
        <w:t xml:space="preserve">  (Accessed: 12 Jul. 2025)</w:t>
      </w:r>
    </w:p>
    <w:p w14:paraId="0E704476" w14:textId="2C392050" w:rsidR="1ACE938C" w:rsidRDefault="1ACE938C" w:rsidP="1ACE938C">
      <w:pPr>
        <w:rPr>
          <w:rFonts w:ascii="Calibri" w:eastAsia="Calibri" w:hAnsi="Calibri" w:cs="Calibri"/>
          <w:color w:val="000000" w:themeColor="text1"/>
          <w:sz w:val="24"/>
        </w:rPr>
      </w:pPr>
    </w:p>
    <w:p w14:paraId="76FE12A1" w14:textId="2C4C0B1E"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Gov.uk, (2024e). </w:t>
      </w:r>
      <w:r w:rsidRPr="1ACE938C">
        <w:rPr>
          <w:rFonts w:ascii="Calibri" w:eastAsia="Calibri" w:hAnsi="Calibri" w:cs="Calibri"/>
          <w:i/>
          <w:iCs/>
          <w:color w:val="000000" w:themeColor="text1"/>
          <w:sz w:val="24"/>
        </w:rPr>
        <w:t>New executive pay transparency measures come into force</w:t>
      </w:r>
      <w:r w:rsidRPr="1ACE938C">
        <w:rPr>
          <w:rFonts w:ascii="Calibri" w:eastAsia="Calibri" w:hAnsi="Calibri" w:cs="Calibri"/>
          <w:color w:val="000000" w:themeColor="text1"/>
          <w:sz w:val="24"/>
        </w:rPr>
        <w:t>. [online] Available at: </w:t>
      </w:r>
      <w:hyperlink r:id="rId17">
        <w:r w:rsidRPr="1ACE938C">
          <w:rPr>
            <w:rStyle w:val="Hyperlink"/>
            <w:rFonts w:ascii="Calibri" w:eastAsia="Calibri" w:hAnsi="Calibri" w:cs="Calibri"/>
            <w:sz w:val="24"/>
          </w:rPr>
          <w:t>https://www.gov.uk/government/news/new-executive-pay-transparency-measures-come-into-force</w:t>
        </w:r>
      </w:hyperlink>
      <w:r w:rsidRPr="1ACE938C">
        <w:rPr>
          <w:rFonts w:ascii="Calibri" w:eastAsia="Calibri" w:hAnsi="Calibri" w:cs="Calibri"/>
          <w:color w:val="000000" w:themeColor="text1"/>
          <w:sz w:val="24"/>
        </w:rPr>
        <w:t xml:space="preserve">  (Accessed: 2 Jul. 2025)</w:t>
      </w:r>
    </w:p>
    <w:p w14:paraId="19B9A64E" w14:textId="7DBD09B5" w:rsidR="1ACE938C" w:rsidRDefault="1ACE938C" w:rsidP="1ACE938C">
      <w:pPr>
        <w:rPr>
          <w:rFonts w:ascii="Calibri" w:eastAsia="Calibri" w:hAnsi="Calibri" w:cs="Calibri"/>
          <w:color w:val="000000" w:themeColor="text1"/>
          <w:sz w:val="24"/>
        </w:rPr>
      </w:pPr>
    </w:p>
    <w:p w14:paraId="7BE84139" w14:textId="1B417DC9"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High Pay Centre (no date.) </w:t>
      </w:r>
      <w:r w:rsidRPr="1ACE938C">
        <w:rPr>
          <w:rFonts w:ascii="Calibri" w:eastAsia="Calibri" w:hAnsi="Calibri" w:cs="Calibri"/>
          <w:i/>
          <w:iCs/>
          <w:color w:val="000000" w:themeColor="text1"/>
          <w:sz w:val="24"/>
        </w:rPr>
        <w:t>High Pay Centre</w:t>
      </w:r>
      <w:r w:rsidRPr="1ACE938C">
        <w:rPr>
          <w:rFonts w:ascii="Calibri" w:eastAsia="Calibri" w:hAnsi="Calibri" w:cs="Calibri"/>
          <w:color w:val="000000" w:themeColor="text1"/>
          <w:sz w:val="24"/>
        </w:rPr>
        <w:t>. Available at: </w:t>
      </w:r>
      <w:hyperlink r:id="rId18">
        <w:r w:rsidRPr="1ACE938C">
          <w:rPr>
            <w:rStyle w:val="Hyperlink"/>
            <w:rFonts w:ascii="Calibri" w:eastAsia="Calibri" w:hAnsi="Calibri" w:cs="Calibri"/>
            <w:sz w:val="24"/>
          </w:rPr>
          <w:t>https://highpaycentre.org</w:t>
        </w:r>
      </w:hyperlink>
      <w:r w:rsidRPr="1ACE938C">
        <w:rPr>
          <w:rFonts w:ascii="Calibri" w:eastAsia="Calibri" w:hAnsi="Calibri" w:cs="Calibri"/>
          <w:color w:val="000000" w:themeColor="text1"/>
          <w:sz w:val="24"/>
        </w:rPr>
        <w:t> (Accessed: 12 July 2025).</w:t>
      </w:r>
    </w:p>
    <w:p w14:paraId="67849F71" w14:textId="27966CDE" w:rsidR="1ACE938C" w:rsidRDefault="1ACE938C" w:rsidP="1ACE938C">
      <w:pPr>
        <w:rPr>
          <w:rFonts w:ascii="Calibri" w:eastAsia="Calibri" w:hAnsi="Calibri" w:cs="Calibri"/>
          <w:color w:val="000000" w:themeColor="text1"/>
          <w:sz w:val="24"/>
        </w:rPr>
      </w:pPr>
    </w:p>
    <w:p w14:paraId="0EA768D7" w14:textId="48414902"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Institute for Fiscal Studies (no date.) </w:t>
      </w:r>
      <w:r w:rsidRPr="1ACE938C">
        <w:rPr>
          <w:rFonts w:ascii="Calibri" w:eastAsia="Calibri" w:hAnsi="Calibri" w:cs="Calibri"/>
          <w:i/>
          <w:iCs/>
          <w:color w:val="000000" w:themeColor="text1"/>
          <w:sz w:val="24"/>
        </w:rPr>
        <w:t>Institute for Fiscal Studies</w:t>
      </w:r>
      <w:r w:rsidRPr="1ACE938C">
        <w:rPr>
          <w:rFonts w:ascii="Calibri" w:eastAsia="Calibri" w:hAnsi="Calibri" w:cs="Calibri"/>
          <w:color w:val="000000" w:themeColor="text1"/>
          <w:sz w:val="24"/>
        </w:rPr>
        <w:t>. Available at: </w:t>
      </w:r>
      <w:hyperlink r:id="rId19">
        <w:r w:rsidRPr="1ACE938C">
          <w:rPr>
            <w:rStyle w:val="Hyperlink"/>
            <w:rFonts w:ascii="Calibri" w:eastAsia="Calibri" w:hAnsi="Calibri" w:cs="Calibri"/>
            <w:sz w:val="24"/>
          </w:rPr>
          <w:t>https://ifs.org.uk</w:t>
        </w:r>
      </w:hyperlink>
      <w:r w:rsidRPr="1ACE938C">
        <w:rPr>
          <w:rFonts w:ascii="Calibri" w:eastAsia="Calibri" w:hAnsi="Calibri" w:cs="Calibri"/>
          <w:color w:val="000000" w:themeColor="text1"/>
          <w:sz w:val="24"/>
        </w:rPr>
        <w:t xml:space="preserve">  (Accessed: 11 July 2025).</w:t>
      </w:r>
    </w:p>
    <w:p w14:paraId="5D1BBADF" w14:textId="1C80B6CB" w:rsidR="1ACE938C" w:rsidRDefault="1ACE938C" w:rsidP="1ACE938C">
      <w:pPr>
        <w:rPr>
          <w:rFonts w:ascii="Calibri" w:eastAsia="Calibri" w:hAnsi="Calibri" w:cs="Calibri"/>
          <w:color w:val="000000" w:themeColor="text1"/>
          <w:szCs w:val="22"/>
        </w:rPr>
      </w:pPr>
    </w:p>
    <w:p w14:paraId="23BA0738" w14:textId="7721BEF7"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Khan, I.U., Khan, M.S. and Rehan, M.H. (2020) Exploring the effects of contingent rewards on employee responsiveness and affective commitment. Global Regional Review, 5(1), pp.170–180. Available at: </w:t>
      </w:r>
      <w:hyperlink r:id="rId20">
        <w:r w:rsidRPr="1ACE938C">
          <w:rPr>
            <w:rStyle w:val="Hyperlink"/>
            <w:rFonts w:ascii="Calibri" w:eastAsia="Calibri" w:hAnsi="Calibri" w:cs="Calibri"/>
            <w:sz w:val="24"/>
          </w:rPr>
          <w:t>https://www.researchgate.net/publication/343303974_Exploring_the_Effects_of_Contingent_Rewards_on_Employee_Responsiveness_and_Affective_Commitment</w:t>
        </w:r>
      </w:hyperlink>
      <w:r w:rsidRPr="1ACE938C">
        <w:rPr>
          <w:rFonts w:ascii="Calibri" w:eastAsia="Calibri" w:hAnsi="Calibri" w:cs="Calibri"/>
          <w:color w:val="000000" w:themeColor="text1"/>
          <w:sz w:val="24"/>
        </w:rPr>
        <w:t xml:space="preserve">  (Accessed: 2 July 2025)</w:t>
      </w:r>
    </w:p>
    <w:p w14:paraId="59AE1496" w14:textId="408E2DEE" w:rsidR="1ACE938C" w:rsidRDefault="1ACE938C" w:rsidP="1ACE938C">
      <w:pPr>
        <w:rPr>
          <w:rFonts w:ascii="Calibri" w:eastAsia="Calibri" w:hAnsi="Calibri" w:cs="Calibri"/>
          <w:color w:val="000000" w:themeColor="text1"/>
          <w:sz w:val="24"/>
        </w:rPr>
      </w:pPr>
    </w:p>
    <w:p w14:paraId="791AED5B" w14:textId="2A54EA47"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Layek, R. and Koodamara, R. (2024) </w:t>
      </w:r>
      <w:r w:rsidRPr="1ACE938C">
        <w:rPr>
          <w:rFonts w:ascii="Calibri" w:eastAsia="Calibri" w:hAnsi="Calibri" w:cs="Calibri"/>
          <w:i/>
          <w:iCs/>
          <w:color w:val="000000" w:themeColor="text1"/>
          <w:sz w:val="24"/>
        </w:rPr>
        <w:t>The strategic role of contingent pay in aligning employee behaviour with organisational goals</w:t>
      </w:r>
      <w:r w:rsidRPr="1ACE938C">
        <w:rPr>
          <w:rFonts w:ascii="Calibri" w:eastAsia="Calibri" w:hAnsi="Calibri" w:cs="Calibri"/>
          <w:color w:val="000000" w:themeColor="text1"/>
          <w:sz w:val="24"/>
        </w:rPr>
        <w:t>. Unpublished manuscript.</w:t>
      </w:r>
    </w:p>
    <w:p w14:paraId="4B41C864" w14:textId="2FB718D7"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Low Pay Commission (no date.) </w:t>
      </w:r>
      <w:r w:rsidRPr="1ACE938C">
        <w:rPr>
          <w:rFonts w:ascii="Calibri" w:eastAsia="Calibri" w:hAnsi="Calibri" w:cs="Calibri"/>
          <w:i/>
          <w:iCs/>
          <w:color w:val="000000" w:themeColor="text1"/>
          <w:sz w:val="24"/>
        </w:rPr>
        <w:t>Low Pay Commision.</w:t>
      </w:r>
      <w:r w:rsidRPr="1ACE938C">
        <w:rPr>
          <w:rFonts w:ascii="Calibri" w:eastAsia="Calibri" w:hAnsi="Calibri" w:cs="Calibri"/>
          <w:color w:val="000000" w:themeColor="text1"/>
          <w:sz w:val="24"/>
        </w:rPr>
        <w:t xml:space="preserve"> Available at: </w:t>
      </w:r>
      <w:hyperlink r:id="rId21">
        <w:r w:rsidRPr="1ACE938C">
          <w:rPr>
            <w:rStyle w:val="Hyperlink"/>
            <w:rFonts w:ascii="Calibri" w:eastAsia="Calibri" w:hAnsi="Calibri" w:cs="Calibri"/>
            <w:sz w:val="24"/>
          </w:rPr>
          <w:t>www.gov.uk/government/organisations/low-pay-commission</w:t>
        </w:r>
      </w:hyperlink>
      <w:r w:rsidRPr="1ACE938C">
        <w:rPr>
          <w:rFonts w:ascii="Calibri" w:eastAsia="Calibri" w:hAnsi="Calibri" w:cs="Calibri"/>
          <w:color w:val="000000" w:themeColor="text1"/>
          <w:sz w:val="24"/>
        </w:rPr>
        <w:t xml:space="preserve"> (Accessed: 11 July 2025)</w:t>
      </w:r>
    </w:p>
    <w:p w14:paraId="3BC37188" w14:textId="486E5211" w:rsidR="1ACE938C" w:rsidRDefault="1ACE938C" w:rsidP="1ACE938C">
      <w:pPr>
        <w:rPr>
          <w:rFonts w:ascii="Calibri" w:eastAsia="Calibri" w:hAnsi="Calibri" w:cs="Calibri"/>
          <w:color w:val="000000" w:themeColor="text1"/>
          <w:sz w:val="24"/>
        </w:rPr>
      </w:pPr>
    </w:p>
    <w:p w14:paraId="27D17500" w14:textId="0B2CE324"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Lupton, B., Rowe, A. and Whittle, R. (2015) Show me the money: the behavioural science of reward. London: Chartered Institute of Personnel and Development. Available at: </w:t>
      </w:r>
      <w:hyperlink r:id="rId22">
        <w:r w:rsidRPr="1ACE938C">
          <w:rPr>
            <w:rStyle w:val="Hyperlink"/>
            <w:rFonts w:ascii="Calibri" w:eastAsia="Calibri" w:hAnsi="Calibri" w:cs="Calibri"/>
            <w:sz w:val="24"/>
          </w:rPr>
          <w:t>https://community.cipd.co.uk/cipd-blogs/b/reward_blog/posts/we-need-to-talk-about-money</w:t>
        </w:r>
      </w:hyperlink>
      <w:r w:rsidRPr="1ACE938C">
        <w:rPr>
          <w:rFonts w:ascii="Calibri" w:eastAsia="Calibri" w:hAnsi="Calibri" w:cs="Calibri"/>
          <w:color w:val="000000" w:themeColor="text1"/>
          <w:sz w:val="24"/>
        </w:rPr>
        <w:t xml:space="preserve">  (Accessed: 12 July 2025).</w:t>
      </w:r>
    </w:p>
    <w:p w14:paraId="37BA5C6D" w14:textId="13151521" w:rsidR="1ACE938C" w:rsidRDefault="1ACE938C" w:rsidP="1ACE938C">
      <w:pPr>
        <w:rPr>
          <w:rFonts w:ascii="Calibri" w:eastAsia="Calibri" w:hAnsi="Calibri" w:cs="Calibri"/>
          <w:color w:val="000000" w:themeColor="text1"/>
          <w:sz w:val="24"/>
        </w:rPr>
      </w:pPr>
    </w:p>
    <w:p w14:paraId="76BC21B4" w14:textId="6EADC128"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Marchington, M., Wilkinson, A., Donnelly, R. and Kynighou, A. (2020) Human resource management at work: </w:t>
      </w:r>
      <w:r w:rsidRPr="1ACE938C">
        <w:rPr>
          <w:rFonts w:ascii="Calibri" w:eastAsia="Calibri" w:hAnsi="Calibri" w:cs="Calibri"/>
          <w:i/>
          <w:iCs/>
          <w:color w:val="000000" w:themeColor="text1"/>
          <w:sz w:val="24"/>
        </w:rPr>
        <w:t>the definitive guide</w:t>
      </w:r>
      <w:r w:rsidRPr="1ACE938C">
        <w:rPr>
          <w:rFonts w:ascii="Calibri" w:eastAsia="Calibri" w:hAnsi="Calibri" w:cs="Calibri"/>
          <w:color w:val="000000" w:themeColor="text1"/>
          <w:sz w:val="24"/>
        </w:rPr>
        <w:t>. 7th ed. London: CIPD Kogan Page.</w:t>
      </w:r>
    </w:p>
    <w:p w14:paraId="5DBE68B2" w14:textId="77777777" w:rsidR="00921972" w:rsidRDefault="00921972" w:rsidP="1ACE938C">
      <w:pPr>
        <w:rPr>
          <w:rFonts w:ascii="Calibri" w:eastAsia="Calibri" w:hAnsi="Calibri" w:cs="Calibri"/>
          <w:color w:val="000000" w:themeColor="text1"/>
          <w:sz w:val="24"/>
        </w:rPr>
      </w:pPr>
    </w:p>
    <w:p w14:paraId="47A51D77" w14:textId="77777777" w:rsidR="00921972" w:rsidRPr="00921972" w:rsidRDefault="00921972" w:rsidP="00921972">
      <w:pPr>
        <w:rPr>
          <w:rFonts w:ascii="Calibri" w:hAnsi="Calibri" w:cs="Calibri"/>
          <w:sz w:val="24"/>
          <w:lang w:eastAsia="en-GB"/>
        </w:rPr>
      </w:pPr>
      <w:r w:rsidRPr="00921972">
        <w:rPr>
          <w:rFonts w:ascii="Calibri" w:hAnsi="Calibri" w:cs="Calibri"/>
          <w:sz w:val="24"/>
          <w:lang w:eastAsia="en-GB"/>
        </w:rPr>
        <w:lastRenderedPageBreak/>
        <w:t>Maslow, A.H. (1943) ‘</w:t>
      </w:r>
      <w:r w:rsidRPr="00921972">
        <w:rPr>
          <w:rFonts w:ascii="Calibri" w:hAnsi="Calibri" w:cs="Calibri"/>
          <w:i/>
          <w:iCs/>
          <w:sz w:val="24"/>
          <w:lang w:eastAsia="en-GB"/>
        </w:rPr>
        <w:t>A theory of human motivation’</w:t>
      </w:r>
      <w:r w:rsidRPr="00921972">
        <w:rPr>
          <w:rFonts w:ascii="Calibri" w:hAnsi="Calibri" w:cs="Calibri"/>
          <w:sz w:val="24"/>
          <w:lang w:eastAsia="en-GB"/>
        </w:rPr>
        <w:t>, Psychological Review, 50(4), pp. 370–396.</w:t>
      </w:r>
    </w:p>
    <w:p w14:paraId="1E705C77" w14:textId="77777777" w:rsidR="00921972" w:rsidRDefault="00921972" w:rsidP="1ACE938C">
      <w:pPr>
        <w:rPr>
          <w:rFonts w:ascii="Calibri" w:eastAsia="Calibri" w:hAnsi="Calibri" w:cs="Calibri"/>
          <w:color w:val="000000" w:themeColor="text1"/>
          <w:sz w:val="24"/>
        </w:rPr>
      </w:pPr>
    </w:p>
    <w:p w14:paraId="796EE05A" w14:textId="66022CB3"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Office of Manpower Economics (no date.) </w:t>
      </w:r>
      <w:r w:rsidRPr="1ACE938C">
        <w:rPr>
          <w:rFonts w:ascii="Calibri" w:eastAsia="Calibri" w:hAnsi="Calibri" w:cs="Calibri"/>
          <w:i/>
          <w:iCs/>
          <w:color w:val="000000" w:themeColor="text1"/>
          <w:sz w:val="24"/>
        </w:rPr>
        <w:t>Office of Manpower Economics</w:t>
      </w:r>
      <w:r w:rsidRPr="1ACE938C">
        <w:rPr>
          <w:rFonts w:ascii="Calibri" w:eastAsia="Calibri" w:hAnsi="Calibri" w:cs="Calibri"/>
          <w:color w:val="000000" w:themeColor="text1"/>
          <w:sz w:val="24"/>
        </w:rPr>
        <w:t xml:space="preserve">. Available at: </w:t>
      </w:r>
      <w:hyperlink r:id="rId23">
        <w:r w:rsidRPr="1ACE938C">
          <w:rPr>
            <w:rStyle w:val="Hyperlink"/>
            <w:rFonts w:ascii="Calibri" w:eastAsia="Calibri" w:hAnsi="Calibri" w:cs="Calibri"/>
            <w:sz w:val="24"/>
          </w:rPr>
          <w:t>www.gov.uk/government/organisations/office-of-manpower-economics</w:t>
        </w:r>
      </w:hyperlink>
      <w:r w:rsidRPr="1ACE938C">
        <w:rPr>
          <w:rFonts w:ascii="Calibri" w:eastAsia="Calibri" w:hAnsi="Calibri" w:cs="Calibri"/>
          <w:color w:val="000000" w:themeColor="text1"/>
          <w:sz w:val="24"/>
        </w:rPr>
        <w:t xml:space="preserve"> (Accessed: 2 July 2025)</w:t>
      </w:r>
    </w:p>
    <w:p w14:paraId="622B95CB" w14:textId="175D5A3D" w:rsidR="1ACE938C" w:rsidRDefault="1ACE938C" w:rsidP="1ACE938C">
      <w:pPr>
        <w:rPr>
          <w:rFonts w:ascii="Calibri" w:eastAsia="Calibri" w:hAnsi="Calibri" w:cs="Calibri"/>
          <w:color w:val="000000" w:themeColor="text1"/>
          <w:sz w:val="24"/>
        </w:rPr>
      </w:pPr>
    </w:p>
    <w:p w14:paraId="6DFBF487" w14:textId="247CDBEA" w:rsidR="00E30383" w:rsidRPr="00E30383" w:rsidRDefault="00E30383" w:rsidP="00E30383">
      <w:pPr>
        <w:rPr>
          <w:rFonts w:ascii="Calibri" w:hAnsi="Calibri" w:cs="Calibri"/>
          <w:sz w:val="24"/>
          <w:lang w:eastAsia="en-GB"/>
        </w:rPr>
      </w:pPr>
      <w:r w:rsidRPr="00E30383">
        <w:rPr>
          <w:rFonts w:ascii="Calibri" w:hAnsi="Calibri" w:cs="Calibri"/>
          <w:sz w:val="24"/>
          <w:lang w:eastAsia="en-GB"/>
        </w:rPr>
        <w:t>Office for National Statistics (ONS) (2023) Labour market overview, UK: August 2023. Available at: </w:t>
      </w:r>
      <w:hyperlink r:id="rId24" w:history="1">
        <w:r w:rsidRPr="00E30383">
          <w:rPr>
            <w:rStyle w:val="Hyperlink"/>
            <w:rFonts w:ascii="Calibri" w:hAnsi="Calibri" w:cs="Calibri"/>
            <w:sz w:val="24"/>
            <w:lang w:eastAsia="en-GB"/>
          </w:rPr>
          <w:t>https://www.ons.gov.uk</w:t>
        </w:r>
      </w:hyperlink>
      <w:r>
        <w:rPr>
          <w:rFonts w:ascii="Calibri" w:hAnsi="Calibri" w:cs="Calibri"/>
          <w:sz w:val="24"/>
          <w:lang w:eastAsia="en-GB"/>
        </w:rPr>
        <w:t xml:space="preserve"> (Accessed</w:t>
      </w:r>
      <w:r w:rsidR="00534A23">
        <w:rPr>
          <w:rFonts w:ascii="Calibri" w:hAnsi="Calibri" w:cs="Calibri"/>
          <w:sz w:val="24"/>
          <w:lang w:eastAsia="en-GB"/>
        </w:rPr>
        <w:t xml:space="preserve">: 14 August 2025) </w:t>
      </w:r>
    </w:p>
    <w:p w14:paraId="3C4BD3EA" w14:textId="77777777" w:rsidR="00E30383" w:rsidRDefault="00E30383" w:rsidP="1ACE938C">
      <w:pPr>
        <w:rPr>
          <w:rFonts w:ascii="Calibri" w:eastAsia="Calibri" w:hAnsi="Calibri" w:cs="Calibri"/>
          <w:color w:val="000000" w:themeColor="text1"/>
          <w:sz w:val="24"/>
        </w:rPr>
      </w:pPr>
    </w:p>
    <w:p w14:paraId="50C114A5" w14:textId="7666389E"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Perkins, S.J. and Jones, S.E., (2024). </w:t>
      </w:r>
      <w:r w:rsidRPr="1ACE938C">
        <w:rPr>
          <w:rFonts w:ascii="Calibri" w:eastAsia="Calibri" w:hAnsi="Calibri" w:cs="Calibri"/>
          <w:i/>
          <w:iCs/>
          <w:color w:val="000000" w:themeColor="text1"/>
          <w:sz w:val="24"/>
        </w:rPr>
        <w:t>Reward management: alternatives, consequences and contexts.</w:t>
      </w:r>
      <w:r w:rsidRPr="1ACE938C">
        <w:rPr>
          <w:rFonts w:ascii="Calibri" w:eastAsia="Calibri" w:hAnsi="Calibri" w:cs="Calibri"/>
          <w:color w:val="000000" w:themeColor="text1"/>
          <w:sz w:val="24"/>
        </w:rPr>
        <w:t xml:space="preserve"> 5th ed. London: CIPD Kogan Page</w:t>
      </w:r>
    </w:p>
    <w:p w14:paraId="44FB6A89" w14:textId="0382C319" w:rsidR="1ACE938C" w:rsidRDefault="1ACE938C" w:rsidP="1ACE938C">
      <w:pPr>
        <w:rPr>
          <w:rFonts w:ascii="Calibri" w:eastAsia="Calibri" w:hAnsi="Calibri" w:cs="Calibri"/>
          <w:color w:val="000000" w:themeColor="text1"/>
          <w:sz w:val="24"/>
        </w:rPr>
      </w:pPr>
    </w:p>
    <w:p w14:paraId="1C23BCF8" w14:textId="63753FA9"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Perkins, S. and Jones, S. (2020) </w:t>
      </w:r>
      <w:r w:rsidRPr="1ACE938C">
        <w:rPr>
          <w:rFonts w:ascii="Calibri" w:eastAsia="Calibri" w:hAnsi="Calibri" w:cs="Calibri"/>
          <w:i/>
          <w:iCs/>
          <w:color w:val="000000" w:themeColor="text1"/>
          <w:sz w:val="24"/>
        </w:rPr>
        <w:t>Reward management: alternatives, consequences and contexts.</w:t>
      </w:r>
      <w:r w:rsidRPr="1ACE938C">
        <w:rPr>
          <w:rFonts w:ascii="Calibri" w:eastAsia="Calibri" w:hAnsi="Calibri" w:cs="Calibri"/>
          <w:color w:val="000000" w:themeColor="text1"/>
          <w:sz w:val="24"/>
        </w:rPr>
        <w:t xml:space="preserve"> 4th ed. London: CIPD Kogan Page.</w:t>
      </w:r>
    </w:p>
    <w:p w14:paraId="32D2F6DC" w14:textId="2781438C" w:rsidR="1ACE938C" w:rsidRDefault="1ACE938C" w:rsidP="1ACE938C">
      <w:pPr>
        <w:rPr>
          <w:rFonts w:ascii="Calibri" w:eastAsia="Calibri" w:hAnsi="Calibri" w:cs="Calibri"/>
          <w:color w:val="000000" w:themeColor="text1"/>
          <w:sz w:val="24"/>
        </w:rPr>
      </w:pPr>
    </w:p>
    <w:p w14:paraId="07DF0E6C" w14:textId="75EB9E1E"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 xml:space="preserve">Perkins, S.J. (2019) </w:t>
      </w:r>
      <w:r w:rsidRPr="1ACE938C">
        <w:rPr>
          <w:rFonts w:ascii="Calibri" w:eastAsia="Calibri" w:hAnsi="Calibri" w:cs="Calibri"/>
          <w:i/>
          <w:iCs/>
          <w:color w:val="000000" w:themeColor="text1"/>
          <w:sz w:val="24"/>
        </w:rPr>
        <w:t>Reward Management Survey: Conclusions and implications for managerial practice</w:t>
      </w:r>
      <w:r w:rsidRPr="1ACE938C">
        <w:rPr>
          <w:rFonts w:ascii="Calibri" w:eastAsia="Calibri" w:hAnsi="Calibri" w:cs="Calibri"/>
          <w:color w:val="000000" w:themeColor="text1"/>
          <w:sz w:val="24"/>
        </w:rPr>
        <w:t>. CIPD. Available at: </w:t>
      </w:r>
      <w:hyperlink r:id="rId25">
        <w:r w:rsidRPr="1ACE938C">
          <w:rPr>
            <w:rStyle w:val="Hyperlink"/>
            <w:rFonts w:ascii="Calibri" w:eastAsia="Calibri" w:hAnsi="Calibri" w:cs="Calibri"/>
            <w:sz w:val="24"/>
          </w:rPr>
          <w:t>https://community.cipd.co.uk/cipd-blogs/b/reward_blog/posts/2019-cipd-reward-management-survey-conclusions-and-implications-for-managerial-practice</w:t>
        </w:r>
      </w:hyperlink>
      <w:r w:rsidRPr="1ACE938C">
        <w:rPr>
          <w:rFonts w:ascii="Calibri" w:eastAsia="Calibri" w:hAnsi="Calibri" w:cs="Calibri"/>
          <w:color w:val="000000" w:themeColor="text1"/>
          <w:sz w:val="24"/>
        </w:rPr>
        <w:t xml:space="preserve">  (Accessed: 2 July 2025).</w:t>
      </w:r>
    </w:p>
    <w:p w14:paraId="36805D84" w14:textId="1021C380" w:rsidR="1ACE938C" w:rsidRDefault="1ACE938C" w:rsidP="1ACE938C">
      <w:pPr>
        <w:rPr>
          <w:rFonts w:ascii="Calibri" w:eastAsia="Calibri" w:hAnsi="Calibri" w:cs="Calibri"/>
          <w:color w:val="000000" w:themeColor="text1"/>
          <w:sz w:val="24"/>
        </w:rPr>
      </w:pPr>
    </w:p>
    <w:p w14:paraId="62A965B2" w14:textId="4E41328B" w:rsidR="799CF5D0" w:rsidRPr="00B81087" w:rsidRDefault="799CF5D0" w:rsidP="1ACE938C">
      <w:pPr>
        <w:rPr>
          <w:rFonts w:ascii="Calibri" w:eastAsia="Calibri" w:hAnsi="Calibri" w:cs="Calibri"/>
          <w:color w:val="000000" w:themeColor="text1"/>
          <w:sz w:val="24"/>
          <w:lang w:val="it-IT"/>
        </w:rPr>
      </w:pPr>
      <w:r w:rsidRPr="1ACE938C">
        <w:rPr>
          <w:rFonts w:ascii="Calibri" w:eastAsia="Calibri" w:hAnsi="Calibri" w:cs="Calibri"/>
          <w:color w:val="000000" w:themeColor="text1"/>
          <w:sz w:val="24"/>
        </w:rPr>
        <w:t>Rose, M. (2022) </w:t>
      </w:r>
      <w:r w:rsidRPr="1ACE938C">
        <w:rPr>
          <w:rFonts w:ascii="Calibri" w:eastAsia="Calibri" w:hAnsi="Calibri" w:cs="Calibri"/>
          <w:i/>
          <w:iCs/>
          <w:color w:val="000000" w:themeColor="text1"/>
          <w:sz w:val="24"/>
        </w:rPr>
        <w:t>Reward management: a practical introduction</w:t>
      </w:r>
      <w:r w:rsidRPr="1ACE938C">
        <w:rPr>
          <w:rFonts w:ascii="Calibri" w:eastAsia="Calibri" w:hAnsi="Calibri" w:cs="Calibri"/>
          <w:color w:val="000000" w:themeColor="text1"/>
          <w:sz w:val="24"/>
        </w:rPr>
        <w:t xml:space="preserve">. </w:t>
      </w:r>
      <w:r w:rsidRPr="00B81087">
        <w:rPr>
          <w:rFonts w:ascii="Calibri" w:eastAsia="Calibri" w:hAnsi="Calibri" w:cs="Calibri"/>
          <w:color w:val="000000" w:themeColor="text1"/>
          <w:sz w:val="24"/>
          <w:lang w:val="it-IT"/>
        </w:rPr>
        <w:t>3rd ed. London: CIPD Kogan Page.</w:t>
      </w:r>
    </w:p>
    <w:p w14:paraId="3A1CDA8D" w14:textId="18432C98" w:rsidR="1ACE938C" w:rsidRPr="00B81087" w:rsidRDefault="1ACE938C" w:rsidP="1ACE938C">
      <w:pPr>
        <w:rPr>
          <w:rFonts w:ascii="Calibri" w:eastAsia="Calibri" w:hAnsi="Calibri" w:cs="Calibri"/>
          <w:color w:val="000000" w:themeColor="text1"/>
          <w:sz w:val="24"/>
          <w:lang w:val="it-IT"/>
        </w:rPr>
      </w:pPr>
    </w:p>
    <w:p w14:paraId="0602F0A7" w14:textId="09E2429B"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Taylor, S. and Woodhams, C. (eds) (2022) </w:t>
      </w:r>
      <w:r w:rsidRPr="1ACE938C">
        <w:rPr>
          <w:rFonts w:ascii="Calibri" w:eastAsia="Calibri" w:hAnsi="Calibri" w:cs="Calibri"/>
          <w:i/>
          <w:iCs/>
          <w:color w:val="000000" w:themeColor="text1"/>
          <w:sz w:val="24"/>
        </w:rPr>
        <w:t>Human resource management: people and organisations</w:t>
      </w:r>
      <w:r w:rsidRPr="1ACE938C">
        <w:rPr>
          <w:rFonts w:ascii="Calibri" w:eastAsia="Calibri" w:hAnsi="Calibri" w:cs="Calibri"/>
          <w:color w:val="000000" w:themeColor="text1"/>
          <w:sz w:val="24"/>
        </w:rPr>
        <w:t>. 3rd ed. London: CIPD Kogan Page.</w:t>
      </w:r>
    </w:p>
    <w:p w14:paraId="2FBA9824" w14:textId="09EADB02" w:rsidR="1ACE938C" w:rsidRDefault="1ACE938C" w:rsidP="1ACE938C">
      <w:pPr>
        <w:rPr>
          <w:rFonts w:ascii="Calibri" w:eastAsia="Calibri" w:hAnsi="Calibri" w:cs="Calibri"/>
          <w:color w:val="000000" w:themeColor="text1"/>
          <w:sz w:val="24"/>
        </w:rPr>
      </w:pPr>
    </w:p>
    <w:p w14:paraId="4768055F" w14:textId="2489EC42"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Waite, K., Beevers, K., Small, N., Tomlinson, K. and Hussain, S. (2021) </w:t>
      </w:r>
      <w:r w:rsidRPr="1ACE938C">
        <w:rPr>
          <w:rFonts w:ascii="Calibri" w:eastAsia="Calibri" w:hAnsi="Calibri" w:cs="Calibri"/>
          <w:i/>
          <w:iCs/>
          <w:color w:val="000000" w:themeColor="text1"/>
          <w:sz w:val="24"/>
        </w:rPr>
        <w:t>People practice: a complete guide</w:t>
      </w:r>
      <w:r w:rsidRPr="1ACE938C">
        <w:rPr>
          <w:rFonts w:ascii="Calibri" w:eastAsia="Calibri" w:hAnsi="Calibri" w:cs="Calibri"/>
          <w:color w:val="000000" w:themeColor="text1"/>
          <w:sz w:val="24"/>
        </w:rPr>
        <w:t>. London: CIPD Kogan Page.</w:t>
      </w:r>
    </w:p>
    <w:p w14:paraId="18AA6ADF" w14:textId="6FA6C2B0" w:rsidR="1ACE938C" w:rsidRDefault="1ACE938C" w:rsidP="1ACE938C">
      <w:pPr>
        <w:rPr>
          <w:rFonts w:ascii="Calibri" w:eastAsia="Calibri" w:hAnsi="Calibri" w:cs="Calibri"/>
          <w:color w:val="000000" w:themeColor="text1"/>
          <w:sz w:val="24"/>
        </w:rPr>
      </w:pPr>
    </w:p>
    <w:p w14:paraId="314A5984" w14:textId="1FF55C87" w:rsidR="799CF5D0" w:rsidRDefault="799CF5D0" w:rsidP="1ACE938C">
      <w:pPr>
        <w:rPr>
          <w:rFonts w:ascii="Calibri" w:eastAsia="Calibri" w:hAnsi="Calibri" w:cs="Calibri"/>
          <w:color w:val="000000" w:themeColor="text1"/>
          <w:sz w:val="24"/>
        </w:rPr>
      </w:pPr>
      <w:r w:rsidRPr="1ACE938C">
        <w:rPr>
          <w:rFonts w:ascii="Calibri" w:eastAsia="Calibri" w:hAnsi="Calibri" w:cs="Calibri"/>
          <w:color w:val="000000" w:themeColor="text1"/>
          <w:sz w:val="24"/>
        </w:rPr>
        <w:t>Wilton, N. (2022) </w:t>
      </w:r>
      <w:r w:rsidRPr="1ACE938C">
        <w:rPr>
          <w:rFonts w:ascii="Calibri" w:eastAsia="Calibri" w:hAnsi="Calibri" w:cs="Calibri"/>
          <w:i/>
          <w:iCs/>
          <w:color w:val="000000" w:themeColor="text1"/>
          <w:sz w:val="24"/>
        </w:rPr>
        <w:t>An introduction to human resource management</w:t>
      </w:r>
      <w:r w:rsidRPr="1ACE938C">
        <w:rPr>
          <w:rFonts w:ascii="Calibri" w:eastAsia="Calibri" w:hAnsi="Calibri" w:cs="Calibri"/>
          <w:color w:val="000000" w:themeColor="text1"/>
          <w:sz w:val="24"/>
        </w:rPr>
        <w:t>. 4th ed. London: Sage Publications Ltd.</w:t>
      </w:r>
    </w:p>
    <w:p w14:paraId="2E415A6D" w14:textId="3AC521F7" w:rsidR="1ACE938C" w:rsidRDefault="1ACE938C" w:rsidP="1ACE938C">
      <w:pPr>
        <w:rPr>
          <w:rFonts w:ascii="Calibri" w:eastAsia="Calibri" w:hAnsi="Calibri" w:cs="Calibri"/>
          <w:color w:val="000000" w:themeColor="text1"/>
          <w:sz w:val="24"/>
        </w:rPr>
      </w:pPr>
    </w:p>
    <w:p w14:paraId="57176468" w14:textId="50410A40" w:rsidR="1ACE938C" w:rsidRDefault="1ACE938C" w:rsidP="1ACE938C">
      <w:pPr>
        <w:rPr>
          <w:rFonts w:ascii="Segoe UI" w:hAnsi="Segoe UI" w:cs="Segoe UI"/>
          <w:color w:val="424242"/>
        </w:rPr>
      </w:pPr>
    </w:p>
    <w:sectPr w:rsidR="1ACE9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0542"/>
    <w:multiLevelType w:val="multilevel"/>
    <w:tmpl w:val="C4DA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61105"/>
    <w:multiLevelType w:val="multilevel"/>
    <w:tmpl w:val="21EE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3F3BA3"/>
    <w:multiLevelType w:val="multilevel"/>
    <w:tmpl w:val="313E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1594229"/>
    <w:multiLevelType w:val="multilevel"/>
    <w:tmpl w:val="B222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0356007">
    <w:abstractNumId w:val="3"/>
  </w:num>
  <w:num w:numId="2" w16cid:durableId="179246685">
    <w:abstractNumId w:val="4"/>
  </w:num>
  <w:num w:numId="3" w16cid:durableId="982736369">
    <w:abstractNumId w:val="0"/>
  </w:num>
  <w:num w:numId="4" w16cid:durableId="1580093744">
    <w:abstractNumId w:val="1"/>
  </w:num>
  <w:num w:numId="5" w16cid:durableId="2062747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6C"/>
    <w:rsid w:val="0000040F"/>
    <w:rsid w:val="00000F77"/>
    <w:rsid w:val="00003A55"/>
    <w:rsid w:val="00011FC3"/>
    <w:rsid w:val="00023796"/>
    <w:rsid w:val="00032B8B"/>
    <w:rsid w:val="0004082E"/>
    <w:rsid w:val="0004483C"/>
    <w:rsid w:val="00050D24"/>
    <w:rsid w:val="00061102"/>
    <w:rsid w:val="000727B3"/>
    <w:rsid w:val="000755BD"/>
    <w:rsid w:val="000A5C31"/>
    <w:rsid w:val="000B1FDD"/>
    <w:rsid w:val="000B2922"/>
    <w:rsid w:val="000D3D43"/>
    <w:rsid w:val="00115554"/>
    <w:rsid w:val="0011659A"/>
    <w:rsid w:val="0012019B"/>
    <w:rsid w:val="001342CB"/>
    <w:rsid w:val="0014474D"/>
    <w:rsid w:val="00170B9A"/>
    <w:rsid w:val="00173229"/>
    <w:rsid w:val="00181226"/>
    <w:rsid w:val="00190343"/>
    <w:rsid w:val="00195430"/>
    <w:rsid w:val="001A31B0"/>
    <w:rsid w:val="001A5FE0"/>
    <w:rsid w:val="001C1938"/>
    <w:rsid w:val="001D1C2E"/>
    <w:rsid w:val="001E04CA"/>
    <w:rsid w:val="001E05E5"/>
    <w:rsid w:val="002042EB"/>
    <w:rsid w:val="00226FA9"/>
    <w:rsid w:val="002438A7"/>
    <w:rsid w:val="002439AA"/>
    <w:rsid w:val="002625B6"/>
    <w:rsid w:val="00270A94"/>
    <w:rsid w:val="00272AFB"/>
    <w:rsid w:val="00272C8C"/>
    <w:rsid w:val="00294E57"/>
    <w:rsid w:val="00294F16"/>
    <w:rsid w:val="00295664"/>
    <w:rsid w:val="00297384"/>
    <w:rsid w:val="002A0F0B"/>
    <w:rsid w:val="002A2CB2"/>
    <w:rsid w:val="002A39A9"/>
    <w:rsid w:val="002A7FDC"/>
    <w:rsid w:val="002B2D1A"/>
    <w:rsid w:val="002C3140"/>
    <w:rsid w:val="00311087"/>
    <w:rsid w:val="00311809"/>
    <w:rsid w:val="00317A1C"/>
    <w:rsid w:val="00322E70"/>
    <w:rsid w:val="003241A1"/>
    <w:rsid w:val="00341449"/>
    <w:rsid w:val="003418A2"/>
    <w:rsid w:val="00343C5F"/>
    <w:rsid w:val="00363D27"/>
    <w:rsid w:val="003A091C"/>
    <w:rsid w:val="003B2C3D"/>
    <w:rsid w:val="003C0708"/>
    <w:rsid w:val="003C10A1"/>
    <w:rsid w:val="003C29C2"/>
    <w:rsid w:val="003C6BD8"/>
    <w:rsid w:val="003D3752"/>
    <w:rsid w:val="003E723A"/>
    <w:rsid w:val="003F19AD"/>
    <w:rsid w:val="00436869"/>
    <w:rsid w:val="004368C2"/>
    <w:rsid w:val="00443505"/>
    <w:rsid w:val="004470E6"/>
    <w:rsid w:val="004507AE"/>
    <w:rsid w:val="004613D4"/>
    <w:rsid w:val="00462FFB"/>
    <w:rsid w:val="00465563"/>
    <w:rsid w:val="00466265"/>
    <w:rsid w:val="0049042E"/>
    <w:rsid w:val="004908F7"/>
    <w:rsid w:val="004A6069"/>
    <w:rsid w:val="004B130A"/>
    <w:rsid w:val="004B3AF5"/>
    <w:rsid w:val="004C316D"/>
    <w:rsid w:val="004D2BFF"/>
    <w:rsid w:val="004D52EF"/>
    <w:rsid w:val="004E50E7"/>
    <w:rsid w:val="004F545A"/>
    <w:rsid w:val="00500736"/>
    <w:rsid w:val="0050650A"/>
    <w:rsid w:val="00517E65"/>
    <w:rsid w:val="00534A23"/>
    <w:rsid w:val="005514BD"/>
    <w:rsid w:val="005526E9"/>
    <w:rsid w:val="0056173A"/>
    <w:rsid w:val="00570710"/>
    <w:rsid w:val="00572883"/>
    <w:rsid w:val="00587ECA"/>
    <w:rsid w:val="005910C4"/>
    <w:rsid w:val="00595DC2"/>
    <w:rsid w:val="005A443F"/>
    <w:rsid w:val="005A70C7"/>
    <w:rsid w:val="005B09B0"/>
    <w:rsid w:val="005E0501"/>
    <w:rsid w:val="005E3CF5"/>
    <w:rsid w:val="005F136C"/>
    <w:rsid w:val="006215C6"/>
    <w:rsid w:val="006250E3"/>
    <w:rsid w:val="00626314"/>
    <w:rsid w:val="0063194A"/>
    <w:rsid w:val="006405D5"/>
    <w:rsid w:val="00642972"/>
    <w:rsid w:val="00655C74"/>
    <w:rsid w:val="006609E5"/>
    <w:rsid w:val="0066257B"/>
    <w:rsid w:val="0067618D"/>
    <w:rsid w:val="00677E50"/>
    <w:rsid w:val="00686687"/>
    <w:rsid w:val="0068715B"/>
    <w:rsid w:val="006917E1"/>
    <w:rsid w:val="00691AB0"/>
    <w:rsid w:val="006923CD"/>
    <w:rsid w:val="006A0DD1"/>
    <w:rsid w:val="006A0ED8"/>
    <w:rsid w:val="006B4CD3"/>
    <w:rsid w:val="006B6145"/>
    <w:rsid w:val="006B70E7"/>
    <w:rsid w:val="006D3188"/>
    <w:rsid w:val="006F2352"/>
    <w:rsid w:val="007034E0"/>
    <w:rsid w:val="00707086"/>
    <w:rsid w:val="00725214"/>
    <w:rsid w:val="00736031"/>
    <w:rsid w:val="007420CB"/>
    <w:rsid w:val="0075613D"/>
    <w:rsid w:val="00760963"/>
    <w:rsid w:val="0076158F"/>
    <w:rsid w:val="00765256"/>
    <w:rsid w:val="007732BB"/>
    <w:rsid w:val="00775785"/>
    <w:rsid w:val="0078183F"/>
    <w:rsid w:val="007827FD"/>
    <w:rsid w:val="00784AE0"/>
    <w:rsid w:val="007968F6"/>
    <w:rsid w:val="007B24D4"/>
    <w:rsid w:val="008057A2"/>
    <w:rsid w:val="00805CB3"/>
    <w:rsid w:val="0082462F"/>
    <w:rsid w:val="0083661B"/>
    <w:rsid w:val="00881242"/>
    <w:rsid w:val="008C0FA5"/>
    <w:rsid w:val="008C2A83"/>
    <w:rsid w:val="008E0E6D"/>
    <w:rsid w:val="008E6BAB"/>
    <w:rsid w:val="008F1103"/>
    <w:rsid w:val="008F3B9F"/>
    <w:rsid w:val="009048C8"/>
    <w:rsid w:val="00912DF9"/>
    <w:rsid w:val="009140C9"/>
    <w:rsid w:val="00921972"/>
    <w:rsid w:val="0092307C"/>
    <w:rsid w:val="0092603A"/>
    <w:rsid w:val="00927042"/>
    <w:rsid w:val="00930FA9"/>
    <w:rsid w:val="00941DA3"/>
    <w:rsid w:val="00964B52"/>
    <w:rsid w:val="009706BD"/>
    <w:rsid w:val="00972A5E"/>
    <w:rsid w:val="00976ACC"/>
    <w:rsid w:val="00976B37"/>
    <w:rsid w:val="009805C9"/>
    <w:rsid w:val="00981E5D"/>
    <w:rsid w:val="009867A9"/>
    <w:rsid w:val="00992BAE"/>
    <w:rsid w:val="00995306"/>
    <w:rsid w:val="009A6D26"/>
    <w:rsid w:val="009B3E65"/>
    <w:rsid w:val="009C3D58"/>
    <w:rsid w:val="009D3485"/>
    <w:rsid w:val="009E1CBC"/>
    <w:rsid w:val="009F5090"/>
    <w:rsid w:val="00A04342"/>
    <w:rsid w:val="00A05767"/>
    <w:rsid w:val="00A0651E"/>
    <w:rsid w:val="00A07887"/>
    <w:rsid w:val="00A111A1"/>
    <w:rsid w:val="00A12101"/>
    <w:rsid w:val="00A13406"/>
    <w:rsid w:val="00A22B08"/>
    <w:rsid w:val="00A367E3"/>
    <w:rsid w:val="00A37747"/>
    <w:rsid w:val="00A40636"/>
    <w:rsid w:val="00A44881"/>
    <w:rsid w:val="00A4760B"/>
    <w:rsid w:val="00A636B2"/>
    <w:rsid w:val="00A66E75"/>
    <w:rsid w:val="00A74F79"/>
    <w:rsid w:val="00A76B20"/>
    <w:rsid w:val="00A779E9"/>
    <w:rsid w:val="00AB000B"/>
    <w:rsid w:val="00AB1170"/>
    <w:rsid w:val="00AB7458"/>
    <w:rsid w:val="00AC1E0A"/>
    <w:rsid w:val="00AD10F2"/>
    <w:rsid w:val="00AD1DC5"/>
    <w:rsid w:val="00AE5E78"/>
    <w:rsid w:val="00AE738F"/>
    <w:rsid w:val="00AF2351"/>
    <w:rsid w:val="00B05C74"/>
    <w:rsid w:val="00B073F6"/>
    <w:rsid w:val="00B076A3"/>
    <w:rsid w:val="00B15299"/>
    <w:rsid w:val="00B15BA8"/>
    <w:rsid w:val="00B27C0F"/>
    <w:rsid w:val="00B316AE"/>
    <w:rsid w:val="00B4528F"/>
    <w:rsid w:val="00B604D4"/>
    <w:rsid w:val="00B6626F"/>
    <w:rsid w:val="00B66E4F"/>
    <w:rsid w:val="00B7162B"/>
    <w:rsid w:val="00B71C19"/>
    <w:rsid w:val="00B77CB9"/>
    <w:rsid w:val="00B81087"/>
    <w:rsid w:val="00B8662B"/>
    <w:rsid w:val="00BC0DD5"/>
    <w:rsid w:val="00BC6E5E"/>
    <w:rsid w:val="00BE1C33"/>
    <w:rsid w:val="00BF54B0"/>
    <w:rsid w:val="00C01D37"/>
    <w:rsid w:val="00C1659C"/>
    <w:rsid w:val="00C215B8"/>
    <w:rsid w:val="00C246CF"/>
    <w:rsid w:val="00C30E7A"/>
    <w:rsid w:val="00C30F16"/>
    <w:rsid w:val="00C33BD3"/>
    <w:rsid w:val="00C432DD"/>
    <w:rsid w:val="00C4359C"/>
    <w:rsid w:val="00C4400E"/>
    <w:rsid w:val="00C46FB2"/>
    <w:rsid w:val="00C604ED"/>
    <w:rsid w:val="00C70135"/>
    <w:rsid w:val="00C7024C"/>
    <w:rsid w:val="00C7032C"/>
    <w:rsid w:val="00CB17C5"/>
    <w:rsid w:val="00CB40BE"/>
    <w:rsid w:val="00CC4216"/>
    <w:rsid w:val="00CC614F"/>
    <w:rsid w:val="00CD153F"/>
    <w:rsid w:val="00CD5C91"/>
    <w:rsid w:val="00CE63EC"/>
    <w:rsid w:val="00CE71F5"/>
    <w:rsid w:val="00D01812"/>
    <w:rsid w:val="00D021DE"/>
    <w:rsid w:val="00D026D5"/>
    <w:rsid w:val="00D14FC4"/>
    <w:rsid w:val="00D214B6"/>
    <w:rsid w:val="00D25A9C"/>
    <w:rsid w:val="00D40C3A"/>
    <w:rsid w:val="00D4407E"/>
    <w:rsid w:val="00D53529"/>
    <w:rsid w:val="00D652DB"/>
    <w:rsid w:val="00D667B2"/>
    <w:rsid w:val="00D6736B"/>
    <w:rsid w:val="00DA0606"/>
    <w:rsid w:val="00DD3A53"/>
    <w:rsid w:val="00DE49EE"/>
    <w:rsid w:val="00DF0423"/>
    <w:rsid w:val="00DF42F0"/>
    <w:rsid w:val="00E02EE3"/>
    <w:rsid w:val="00E02FEE"/>
    <w:rsid w:val="00E0747A"/>
    <w:rsid w:val="00E1534C"/>
    <w:rsid w:val="00E30383"/>
    <w:rsid w:val="00E42D0F"/>
    <w:rsid w:val="00E42E0C"/>
    <w:rsid w:val="00E4466C"/>
    <w:rsid w:val="00E45035"/>
    <w:rsid w:val="00E46B6B"/>
    <w:rsid w:val="00E909AB"/>
    <w:rsid w:val="00E93B0B"/>
    <w:rsid w:val="00E96430"/>
    <w:rsid w:val="00EB0C9C"/>
    <w:rsid w:val="00ED0408"/>
    <w:rsid w:val="00EF0D4F"/>
    <w:rsid w:val="00F024BF"/>
    <w:rsid w:val="00F23CB5"/>
    <w:rsid w:val="00F51139"/>
    <w:rsid w:val="00F751B2"/>
    <w:rsid w:val="00F77EC5"/>
    <w:rsid w:val="00FE4633"/>
    <w:rsid w:val="00FF37C9"/>
    <w:rsid w:val="0307D521"/>
    <w:rsid w:val="0324BEBB"/>
    <w:rsid w:val="055E4FB1"/>
    <w:rsid w:val="05A7DA39"/>
    <w:rsid w:val="0A492D45"/>
    <w:rsid w:val="0A8B7665"/>
    <w:rsid w:val="0C7BE42D"/>
    <w:rsid w:val="0DBA7BEB"/>
    <w:rsid w:val="0DDBA094"/>
    <w:rsid w:val="0E3A9249"/>
    <w:rsid w:val="1010CD2E"/>
    <w:rsid w:val="13E3E6E1"/>
    <w:rsid w:val="145ADA16"/>
    <w:rsid w:val="17B4FD00"/>
    <w:rsid w:val="19EB8098"/>
    <w:rsid w:val="1ACE938C"/>
    <w:rsid w:val="1CDABDCB"/>
    <w:rsid w:val="1E0C1E89"/>
    <w:rsid w:val="254CE3F4"/>
    <w:rsid w:val="289CE640"/>
    <w:rsid w:val="2BE45E83"/>
    <w:rsid w:val="2C6340A9"/>
    <w:rsid w:val="2E691CCD"/>
    <w:rsid w:val="2F7F9209"/>
    <w:rsid w:val="303BEBE3"/>
    <w:rsid w:val="30DC4180"/>
    <w:rsid w:val="31208F86"/>
    <w:rsid w:val="328B290A"/>
    <w:rsid w:val="32BEBA65"/>
    <w:rsid w:val="35AFF399"/>
    <w:rsid w:val="3651E5F2"/>
    <w:rsid w:val="39862B98"/>
    <w:rsid w:val="3AF664FC"/>
    <w:rsid w:val="3CAE76AE"/>
    <w:rsid w:val="3F0EAC26"/>
    <w:rsid w:val="4580067A"/>
    <w:rsid w:val="4627F238"/>
    <w:rsid w:val="480565F1"/>
    <w:rsid w:val="4E66AD67"/>
    <w:rsid w:val="5A87EC35"/>
    <w:rsid w:val="5DDE695C"/>
    <w:rsid w:val="626F7563"/>
    <w:rsid w:val="64FE65A7"/>
    <w:rsid w:val="691DA0EE"/>
    <w:rsid w:val="6D68EAC6"/>
    <w:rsid w:val="6EEA6526"/>
    <w:rsid w:val="70514018"/>
    <w:rsid w:val="7289A17A"/>
    <w:rsid w:val="72933467"/>
    <w:rsid w:val="777CE2E1"/>
    <w:rsid w:val="78E33B76"/>
    <w:rsid w:val="799CF5D0"/>
    <w:rsid w:val="7AB05010"/>
    <w:rsid w:val="7FDD27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9091E"/>
  <w15:chartTrackingRefBased/>
  <w15:docId w15:val="{EDC22937-A45B-4340-9C44-09E1D3AB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136C"/>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F136C"/>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136C"/>
    <w:rPr>
      <w:b/>
      <w:bCs/>
    </w:rPr>
  </w:style>
  <w:style w:type="character" w:customStyle="1" w:styleId="Heading1Char">
    <w:name w:val="Heading 1 Char"/>
    <w:basedOn w:val="DefaultParagraphFont"/>
    <w:link w:val="Heading1"/>
    <w:uiPriority w:val="9"/>
    <w:rsid w:val="005F136C"/>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34"/>
    <w:qFormat/>
    <w:rsid w:val="005F136C"/>
    <w:pPr>
      <w:ind w:left="720"/>
      <w:contextualSpacing/>
    </w:pPr>
  </w:style>
  <w:style w:type="paragraph" w:customStyle="1" w:styleId="Nornal">
    <w:name w:val="Nornal"/>
    <w:basedOn w:val="Normal"/>
    <w:link w:val="NornalChar"/>
    <w:qFormat/>
    <w:rsid w:val="005F136C"/>
    <w:pPr>
      <w:spacing w:after="160" w:line="264" w:lineRule="auto"/>
    </w:pPr>
    <w:rPr>
      <w:rFonts w:cs="Arial"/>
      <w:szCs w:val="22"/>
    </w:rPr>
  </w:style>
  <w:style w:type="character" w:customStyle="1" w:styleId="NornalChar">
    <w:name w:val="Nornal Char"/>
    <w:basedOn w:val="DefaultParagraphFont"/>
    <w:link w:val="Nornal"/>
    <w:rsid w:val="005F136C"/>
    <w:rPr>
      <w:rFonts w:ascii="Arial" w:hAnsi="Arial" w:cs="Arial"/>
      <w:kern w:val="0"/>
      <w14:ligatures w14:val="none"/>
    </w:rPr>
  </w:style>
  <w:style w:type="paragraph" w:customStyle="1" w:styleId="Listparag">
    <w:name w:val="List parag"/>
    <w:basedOn w:val="ListParagraph"/>
    <w:link w:val="ListparagChar"/>
    <w:qFormat/>
    <w:rsid w:val="005F136C"/>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5F136C"/>
    <w:rPr>
      <w:rFonts w:ascii="Arial" w:hAnsi="Arial"/>
      <w:kern w:val="0"/>
      <w:szCs w:val="24"/>
      <w14:ligatures w14:val="none"/>
    </w:rPr>
  </w:style>
  <w:style w:type="character" w:customStyle="1" w:styleId="ListparagChar">
    <w:name w:val="List parag Char"/>
    <w:basedOn w:val="ListParagraphChar"/>
    <w:link w:val="Listparag"/>
    <w:rsid w:val="005F136C"/>
    <w:rPr>
      <w:rFonts w:ascii="Arial" w:eastAsia="Times New Roman" w:hAnsi="Arial" w:cstheme="minorHAnsi"/>
      <w:color w:val="000000"/>
      <w:kern w:val="0"/>
      <w:szCs w:val="24"/>
      <w:lang w:eastAsia="en-GB"/>
      <w14:ligatures w14:val="none"/>
    </w:rPr>
  </w:style>
  <w:style w:type="paragraph" w:styleId="NormalWeb">
    <w:name w:val="Normal (Web)"/>
    <w:basedOn w:val="Normal"/>
    <w:uiPriority w:val="99"/>
    <w:unhideWhenUsed/>
    <w:rsid w:val="0004082E"/>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04082E"/>
    <w:rPr>
      <w:i/>
      <w:iCs/>
    </w:rPr>
  </w:style>
  <w:style w:type="character" w:styleId="Hyperlink">
    <w:name w:val="Hyperlink"/>
    <w:basedOn w:val="DefaultParagraphFont"/>
    <w:uiPriority w:val="99"/>
    <w:unhideWhenUsed/>
    <w:rsid w:val="1ACE938C"/>
    <w:rPr>
      <w:color w:val="0563C1"/>
      <w:u w:val="single"/>
    </w:rPr>
  </w:style>
  <w:style w:type="character" w:styleId="CommentReference">
    <w:name w:val="annotation reference"/>
    <w:basedOn w:val="DefaultParagraphFont"/>
    <w:uiPriority w:val="99"/>
    <w:semiHidden/>
    <w:unhideWhenUsed/>
    <w:rsid w:val="00B81087"/>
    <w:rPr>
      <w:sz w:val="16"/>
      <w:szCs w:val="16"/>
    </w:rPr>
  </w:style>
  <w:style w:type="paragraph" w:styleId="CommentText">
    <w:name w:val="annotation text"/>
    <w:basedOn w:val="Normal"/>
    <w:link w:val="CommentTextChar"/>
    <w:uiPriority w:val="99"/>
    <w:unhideWhenUsed/>
    <w:rsid w:val="00B81087"/>
    <w:pPr>
      <w:spacing w:line="240" w:lineRule="auto"/>
    </w:pPr>
    <w:rPr>
      <w:sz w:val="20"/>
      <w:szCs w:val="20"/>
    </w:rPr>
  </w:style>
  <w:style w:type="character" w:customStyle="1" w:styleId="CommentTextChar">
    <w:name w:val="Comment Text Char"/>
    <w:basedOn w:val="DefaultParagraphFont"/>
    <w:link w:val="CommentText"/>
    <w:uiPriority w:val="99"/>
    <w:rsid w:val="00B81087"/>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81087"/>
    <w:rPr>
      <w:b/>
      <w:bCs/>
    </w:rPr>
  </w:style>
  <w:style w:type="character" w:customStyle="1" w:styleId="CommentSubjectChar">
    <w:name w:val="Comment Subject Char"/>
    <w:basedOn w:val="CommentTextChar"/>
    <w:link w:val="CommentSubject"/>
    <w:uiPriority w:val="99"/>
    <w:semiHidden/>
    <w:rsid w:val="00B81087"/>
    <w:rPr>
      <w:rFonts w:ascii="Arial" w:hAnsi="Arial"/>
      <w:b/>
      <w:bCs/>
      <w:kern w:val="0"/>
      <w:sz w:val="20"/>
      <w:szCs w:val="20"/>
      <w14:ligatures w14:val="none"/>
    </w:rPr>
  </w:style>
  <w:style w:type="character" w:styleId="UnresolvedMention">
    <w:name w:val="Unresolved Mention"/>
    <w:basedOn w:val="DefaultParagraphFont"/>
    <w:uiPriority w:val="99"/>
    <w:semiHidden/>
    <w:unhideWhenUsed/>
    <w:rsid w:val="00E30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3937">
      <w:bodyDiv w:val="1"/>
      <w:marLeft w:val="0"/>
      <w:marRight w:val="0"/>
      <w:marTop w:val="0"/>
      <w:marBottom w:val="0"/>
      <w:divBdr>
        <w:top w:val="none" w:sz="0" w:space="0" w:color="auto"/>
        <w:left w:val="none" w:sz="0" w:space="0" w:color="auto"/>
        <w:bottom w:val="none" w:sz="0" w:space="0" w:color="auto"/>
        <w:right w:val="none" w:sz="0" w:space="0" w:color="auto"/>
      </w:divBdr>
      <w:divsChild>
        <w:div w:id="824055293">
          <w:marLeft w:val="0"/>
          <w:marRight w:val="0"/>
          <w:marTop w:val="0"/>
          <w:marBottom w:val="0"/>
          <w:divBdr>
            <w:top w:val="none" w:sz="0" w:space="0" w:color="auto"/>
            <w:left w:val="none" w:sz="0" w:space="0" w:color="auto"/>
            <w:bottom w:val="none" w:sz="0" w:space="0" w:color="auto"/>
            <w:right w:val="none" w:sz="0" w:space="0" w:color="auto"/>
          </w:divBdr>
        </w:div>
        <w:div w:id="450368484">
          <w:marLeft w:val="0"/>
          <w:marRight w:val="0"/>
          <w:marTop w:val="0"/>
          <w:marBottom w:val="0"/>
          <w:divBdr>
            <w:top w:val="none" w:sz="0" w:space="0" w:color="auto"/>
            <w:left w:val="none" w:sz="0" w:space="0" w:color="auto"/>
            <w:bottom w:val="none" w:sz="0" w:space="0" w:color="auto"/>
            <w:right w:val="none" w:sz="0" w:space="0" w:color="auto"/>
          </w:divBdr>
        </w:div>
        <w:div w:id="417792817">
          <w:marLeft w:val="0"/>
          <w:marRight w:val="0"/>
          <w:marTop w:val="0"/>
          <w:marBottom w:val="0"/>
          <w:divBdr>
            <w:top w:val="none" w:sz="0" w:space="0" w:color="auto"/>
            <w:left w:val="none" w:sz="0" w:space="0" w:color="auto"/>
            <w:bottom w:val="none" w:sz="0" w:space="0" w:color="auto"/>
            <w:right w:val="none" w:sz="0" w:space="0" w:color="auto"/>
          </w:divBdr>
        </w:div>
      </w:divsChild>
    </w:div>
    <w:div w:id="100609178">
      <w:bodyDiv w:val="1"/>
      <w:marLeft w:val="0"/>
      <w:marRight w:val="0"/>
      <w:marTop w:val="0"/>
      <w:marBottom w:val="0"/>
      <w:divBdr>
        <w:top w:val="none" w:sz="0" w:space="0" w:color="auto"/>
        <w:left w:val="none" w:sz="0" w:space="0" w:color="auto"/>
        <w:bottom w:val="none" w:sz="0" w:space="0" w:color="auto"/>
        <w:right w:val="none" w:sz="0" w:space="0" w:color="auto"/>
      </w:divBdr>
      <w:divsChild>
        <w:div w:id="526286562">
          <w:marLeft w:val="0"/>
          <w:marRight w:val="0"/>
          <w:marTop w:val="0"/>
          <w:marBottom w:val="0"/>
          <w:divBdr>
            <w:top w:val="none" w:sz="0" w:space="0" w:color="auto"/>
            <w:left w:val="none" w:sz="0" w:space="0" w:color="auto"/>
            <w:bottom w:val="none" w:sz="0" w:space="0" w:color="auto"/>
            <w:right w:val="none" w:sz="0" w:space="0" w:color="auto"/>
          </w:divBdr>
        </w:div>
        <w:div w:id="1069962409">
          <w:marLeft w:val="0"/>
          <w:marRight w:val="0"/>
          <w:marTop w:val="0"/>
          <w:marBottom w:val="0"/>
          <w:divBdr>
            <w:top w:val="none" w:sz="0" w:space="0" w:color="auto"/>
            <w:left w:val="none" w:sz="0" w:space="0" w:color="auto"/>
            <w:bottom w:val="none" w:sz="0" w:space="0" w:color="auto"/>
            <w:right w:val="none" w:sz="0" w:space="0" w:color="auto"/>
          </w:divBdr>
        </w:div>
      </w:divsChild>
    </w:div>
    <w:div w:id="135605126">
      <w:bodyDiv w:val="1"/>
      <w:marLeft w:val="0"/>
      <w:marRight w:val="0"/>
      <w:marTop w:val="0"/>
      <w:marBottom w:val="0"/>
      <w:divBdr>
        <w:top w:val="none" w:sz="0" w:space="0" w:color="auto"/>
        <w:left w:val="none" w:sz="0" w:space="0" w:color="auto"/>
        <w:bottom w:val="none" w:sz="0" w:space="0" w:color="auto"/>
        <w:right w:val="none" w:sz="0" w:space="0" w:color="auto"/>
      </w:divBdr>
    </w:div>
    <w:div w:id="170262704">
      <w:bodyDiv w:val="1"/>
      <w:marLeft w:val="0"/>
      <w:marRight w:val="0"/>
      <w:marTop w:val="0"/>
      <w:marBottom w:val="0"/>
      <w:divBdr>
        <w:top w:val="none" w:sz="0" w:space="0" w:color="auto"/>
        <w:left w:val="none" w:sz="0" w:space="0" w:color="auto"/>
        <w:bottom w:val="none" w:sz="0" w:space="0" w:color="auto"/>
        <w:right w:val="none" w:sz="0" w:space="0" w:color="auto"/>
      </w:divBdr>
    </w:div>
    <w:div w:id="241571712">
      <w:bodyDiv w:val="1"/>
      <w:marLeft w:val="0"/>
      <w:marRight w:val="0"/>
      <w:marTop w:val="0"/>
      <w:marBottom w:val="0"/>
      <w:divBdr>
        <w:top w:val="none" w:sz="0" w:space="0" w:color="auto"/>
        <w:left w:val="none" w:sz="0" w:space="0" w:color="auto"/>
        <w:bottom w:val="none" w:sz="0" w:space="0" w:color="auto"/>
        <w:right w:val="none" w:sz="0" w:space="0" w:color="auto"/>
      </w:divBdr>
    </w:div>
    <w:div w:id="295527553">
      <w:bodyDiv w:val="1"/>
      <w:marLeft w:val="0"/>
      <w:marRight w:val="0"/>
      <w:marTop w:val="0"/>
      <w:marBottom w:val="0"/>
      <w:divBdr>
        <w:top w:val="none" w:sz="0" w:space="0" w:color="auto"/>
        <w:left w:val="none" w:sz="0" w:space="0" w:color="auto"/>
        <w:bottom w:val="none" w:sz="0" w:space="0" w:color="auto"/>
        <w:right w:val="none" w:sz="0" w:space="0" w:color="auto"/>
      </w:divBdr>
      <w:divsChild>
        <w:div w:id="502209320">
          <w:marLeft w:val="0"/>
          <w:marRight w:val="0"/>
          <w:marTop w:val="0"/>
          <w:marBottom w:val="0"/>
          <w:divBdr>
            <w:top w:val="none" w:sz="0" w:space="0" w:color="auto"/>
            <w:left w:val="none" w:sz="0" w:space="0" w:color="auto"/>
            <w:bottom w:val="none" w:sz="0" w:space="0" w:color="auto"/>
            <w:right w:val="none" w:sz="0" w:space="0" w:color="auto"/>
          </w:divBdr>
        </w:div>
        <w:div w:id="1342010613">
          <w:marLeft w:val="0"/>
          <w:marRight w:val="0"/>
          <w:marTop w:val="0"/>
          <w:marBottom w:val="0"/>
          <w:divBdr>
            <w:top w:val="none" w:sz="0" w:space="0" w:color="auto"/>
            <w:left w:val="none" w:sz="0" w:space="0" w:color="auto"/>
            <w:bottom w:val="none" w:sz="0" w:space="0" w:color="auto"/>
            <w:right w:val="none" w:sz="0" w:space="0" w:color="auto"/>
          </w:divBdr>
        </w:div>
        <w:div w:id="145322649">
          <w:marLeft w:val="0"/>
          <w:marRight w:val="0"/>
          <w:marTop w:val="0"/>
          <w:marBottom w:val="0"/>
          <w:divBdr>
            <w:top w:val="none" w:sz="0" w:space="0" w:color="auto"/>
            <w:left w:val="none" w:sz="0" w:space="0" w:color="auto"/>
            <w:bottom w:val="none" w:sz="0" w:space="0" w:color="auto"/>
            <w:right w:val="none" w:sz="0" w:space="0" w:color="auto"/>
          </w:divBdr>
        </w:div>
        <w:div w:id="1878662605">
          <w:marLeft w:val="0"/>
          <w:marRight w:val="0"/>
          <w:marTop w:val="0"/>
          <w:marBottom w:val="0"/>
          <w:divBdr>
            <w:top w:val="none" w:sz="0" w:space="0" w:color="auto"/>
            <w:left w:val="none" w:sz="0" w:space="0" w:color="auto"/>
            <w:bottom w:val="none" w:sz="0" w:space="0" w:color="auto"/>
            <w:right w:val="none" w:sz="0" w:space="0" w:color="auto"/>
          </w:divBdr>
        </w:div>
        <w:div w:id="1136525576">
          <w:marLeft w:val="0"/>
          <w:marRight w:val="0"/>
          <w:marTop w:val="0"/>
          <w:marBottom w:val="0"/>
          <w:divBdr>
            <w:top w:val="none" w:sz="0" w:space="0" w:color="auto"/>
            <w:left w:val="none" w:sz="0" w:space="0" w:color="auto"/>
            <w:bottom w:val="none" w:sz="0" w:space="0" w:color="auto"/>
            <w:right w:val="none" w:sz="0" w:space="0" w:color="auto"/>
          </w:divBdr>
        </w:div>
      </w:divsChild>
    </w:div>
    <w:div w:id="476531276">
      <w:bodyDiv w:val="1"/>
      <w:marLeft w:val="0"/>
      <w:marRight w:val="0"/>
      <w:marTop w:val="0"/>
      <w:marBottom w:val="0"/>
      <w:divBdr>
        <w:top w:val="none" w:sz="0" w:space="0" w:color="auto"/>
        <w:left w:val="none" w:sz="0" w:space="0" w:color="auto"/>
        <w:bottom w:val="none" w:sz="0" w:space="0" w:color="auto"/>
        <w:right w:val="none" w:sz="0" w:space="0" w:color="auto"/>
      </w:divBdr>
    </w:div>
    <w:div w:id="485902025">
      <w:bodyDiv w:val="1"/>
      <w:marLeft w:val="0"/>
      <w:marRight w:val="0"/>
      <w:marTop w:val="0"/>
      <w:marBottom w:val="0"/>
      <w:divBdr>
        <w:top w:val="none" w:sz="0" w:space="0" w:color="auto"/>
        <w:left w:val="none" w:sz="0" w:space="0" w:color="auto"/>
        <w:bottom w:val="none" w:sz="0" w:space="0" w:color="auto"/>
        <w:right w:val="none" w:sz="0" w:space="0" w:color="auto"/>
      </w:divBdr>
    </w:div>
    <w:div w:id="486674250">
      <w:bodyDiv w:val="1"/>
      <w:marLeft w:val="0"/>
      <w:marRight w:val="0"/>
      <w:marTop w:val="0"/>
      <w:marBottom w:val="0"/>
      <w:divBdr>
        <w:top w:val="none" w:sz="0" w:space="0" w:color="auto"/>
        <w:left w:val="none" w:sz="0" w:space="0" w:color="auto"/>
        <w:bottom w:val="none" w:sz="0" w:space="0" w:color="auto"/>
        <w:right w:val="none" w:sz="0" w:space="0" w:color="auto"/>
      </w:divBdr>
    </w:div>
    <w:div w:id="487940005">
      <w:bodyDiv w:val="1"/>
      <w:marLeft w:val="0"/>
      <w:marRight w:val="0"/>
      <w:marTop w:val="0"/>
      <w:marBottom w:val="0"/>
      <w:divBdr>
        <w:top w:val="none" w:sz="0" w:space="0" w:color="auto"/>
        <w:left w:val="none" w:sz="0" w:space="0" w:color="auto"/>
        <w:bottom w:val="none" w:sz="0" w:space="0" w:color="auto"/>
        <w:right w:val="none" w:sz="0" w:space="0" w:color="auto"/>
      </w:divBdr>
    </w:div>
    <w:div w:id="550388727">
      <w:bodyDiv w:val="1"/>
      <w:marLeft w:val="0"/>
      <w:marRight w:val="0"/>
      <w:marTop w:val="0"/>
      <w:marBottom w:val="0"/>
      <w:divBdr>
        <w:top w:val="none" w:sz="0" w:space="0" w:color="auto"/>
        <w:left w:val="none" w:sz="0" w:space="0" w:color="auto"/>
        <w:bottom w:val="none" w:sz="0" w:space="0" w:color="auto"/>
        <w:right w:val="none" w:sz="0" w:space="0" w:color="auto"/>
      </w:divBdr>
    </w:div>
    <w:div w:id="624122865">
      <w:bodyDiv w:val="1"/>
      <w:marLeft w:val="0"/>
      <w:marRight w:val="0"/>
      <w:marTop w:val="0"/>
      <w:marBottom w:val="0"/>
      <w:divBdr>
        <w:top w:val="none" w:sz="0" w:space="0" w:color="auto"/>
        <w:left w:val="none" w:sz="0" w:space="0" w:color="auto"/>
        <w:bottom w:val="none" w:sz="0" w:space="0" w:color="auto"/>
        <w:right w:val="none" w:sz="0" w:space="0" w:color="auto"/>
      </w:divBdr>
    </w:div>
    <w:div w:id="693731114">
      <w:bodyDiv w:val="1"/>
      <w:marLeft w:val="0"/>
      <w:marRight w:val="0"/>
      <w:marTop w:val="0"/>
      <w:marBottom w:val="0"/>
      <w:divBdr>
        <w:top w:val="none" w:sz="0" w:space="0" w:color="auto"/>
        <w:left w:val="none" w:sz="0" w:space="0" w:color="auto"/>
        <w:bottom w:val="none" w:sz="0" w:space="0" w:color="auto"/>
        <w:right w:val="none" w:sz="0" w:space="0" w:color="auto"/>
      </w:divBdr>
    </w:div>
    <w:div w:id="697465469">
      <w:bodyDiv w:val="1"/>
      <w:marLeft w:val="0"/>
      <w:marRight w:val="0"/>
      <w:marTop w:val="0"/>
      <w:marBottom w:val="0"/>
      <w:divBdr>
        <w:top w:val="none" w:sz="0" w:space="0" w:color="auto"/>
        <w:left w:val="none" w:sz="0" w:space="0" w:color="auto"/>
        <w:bottom w:val="none" w:sz="0" w:space="0" w:color="auto"/>
        <w:right w:val="none" w:sz="0" w:space="0" w:color="auto"/>
      </w:divBdr>
    </w:div>
    <w:div w:id="709115860">
      <w:bodyDiv w:val="1"/>
      <w:marLeft w:val="0"/>
      <w:marRight w:val="0"/>
      <w:marTop w:val="0"/>
      <w:marBottom w:val="0"/>
      <w:divBdr>
        <w:top w:val="none" w:sz="0" w:space="0" w:color="auto"/>
        <w:left w:val="none" w:sz="0" w:space="0" w:color="auto"/>
        <w:bottom w:val="none" w:sz="0" w:space="0" w:color="auto"/>
        <w:right w:val="none" w:sz="0" w:space="0" w:color="auto"/>
      </w:divBdr>
    </w:div>
    <w:div w:id="742609616">
      <w:bodyDiv w:val="1"/>
      <w:marLeft w:val="0"/>
      <w:marRight w:val="0"/>
      <w:marTop w:val="0"/>
      <w:marBottom w:val="0"/>
      <w:divBdr>
        <w:top w:val="none" w:sz="0" w:space="0" w:color="auto"/>
        <w:left w:val="none" w:sz="0" w:space="0" w:color="auto"/>
        <w:bottom w:val="none" w:sz="0" w:space="0" w:color="auto"/>
        <w:right w:val="none" w:sz="0" w:space="0" w:color="auto"/>
      </w:divBdr>
    </w:div>
    <w:div w:id="869991608">
      <w:bodyDiv w:val="1"/>
      <w:marLeft w:val="0"/>
      <w:marRight w:val="0"/>
      <w:marTop w:val="0"/>
      <w:marBottom w:val="0"/>
      <w:divBdr>
        <w:top w:val="none" w:sz="0" w:space="0" w:color="auto"/>
        <w:left w:val="none" w:sz="0" w:space="0" w:color="auto"/>
        <w:bottom w:val="none" w:sz="0" w:space="0" w:color="auto"/>
        <w:right w:val="none" w:sz="0" w:space="0" w:color="auto"/>
      </w:divBdr>
    </w:div>
    <w:div w:id="896665813">
      <w:bodyDiv w:val="1"/>
      <w:marLeft w:val="0"/>
      <w:marRight w:val="0"/>
      <w:marTop w:val="0"/>
      <w:marBottom w:val="0"/>
      <w:divBdr>
        <w:top w:val="none" w:sz="0" w:space="0" w:color="auto"/>
        <w:left w:val="none" w:sz="0" w:space="0" w:color="auto"/>
        <w:bottom w:val="none" w:sz="0" w:space="0" w:color="auto"/>
        <w:right w:val="none" w:sz="0" w:space="0" w:color="auto"/>
      </w:divBdr>
    </w:div>
    <w:div w:id="938097613">
      <w:bodyDiv w:val="1"/>
      <w:marLeft w:val="0"/>
      <w:marRight w:val="0"/>
      <w:marTop w:val="0"/>
      <w:marBottom w:val="0"/>
      <w:divBdr>
        <w:top w:val="none" w:sz="0" w:space="0" w:color="auto"/>
        <w:left w:val="none" w:sz="0" w:space="0" w:color="auto"/>
        <w:bottom w:val="none" w:sz="0" w:space="0" w:color="auto"/>
        <w:right w:val="none" w:sz="0" w:space="0" w:color="auto"/>
      </w:divBdr>
    </w:div>
    <w:div w:id="946623350">
      <w:bodyDiv w:val="1"/>
      <w:marLeft w:val="0"/>
      <w:marRight w:val="0"/>
      <w:marTop w:val="0"/>
      <w:marBottom w:val="0"/>
      <w:divBdr>
        <w:top w:val="none" w:sz="0" w:space="0" w:color="auto"/>
        <w:left w:val="none" w:sz="0" w:space="0" w:color="auto"/>
        <w:bottom w:val="none" w:sz="0" w:space="0" w:color="auto"/>
        <w:right w:val="none" w:sz="0" w:space="0" w:color="auto"/>
      </w:divBdr>
    </w:div>
    <w:div w:id="949315580">
      <w:bodyDiv w:val="1"/>
      <w:marLeft w:val="0"/>
      <w:marRight w:val="0"/>
      <w:marTop w:val="0"/>
      <w:marBottom w:val="0"/>
      <w:divBdr>
        <w:top w:val="none" w:sz="0" w:space="0" w:color="auto"/>
        <w:left w:val="none" w:sz="0" w:space="0" w:color="auto"/>
        <w:bottom w:val="none" w:sz="0" w:space="0" w:color="auto"/>
        <w:right w:val="none" w:sz="0" w:space="0" w:color="auto"/>
      </w:divBdr>
    </w:div>
    <w:div w:id="1047216061">
      <w:bodyDiv w:val="1"/>
      <w:marLeft w:val="0"/>
      <w:marRight w:val="0"/>
      <w:marTop w:val="0"/>
      <w:marBottom w:val="0"/>
      <w:divBdr>
        <w:top w:val="none" w:sz="0" w:space="0" w:color="auto"/>
        <w:left w:val="none" w:sz="0" w:space="0" w:color="auto"/>
        <w:bottom w:val="none" w:sz="0" w:space="0" w:color="auto"/>
        <w:right w:val="none" w:sz="0" w:space="0" w:color="auto"/>
      </w:divBdr>
    </w:div>
    <w:div w:id="1060447787">
      <w:bodyDiv w:val="1"/>
      <w:marLeft w:val="0"/>
      <w:marRight w:val="0"/>
      <w:marTop w:val="0"/>
      <w:marBottom w:val="0"/>
      <w:divBdr>
        <w:top w:val="none" w:sz="0" w:space="0" w:color="auto"/>
        <w:left w:val="none" w:sz="0" w:space="0" w:color="auto"/>
        <w:bottom w:val="none" w:sz="0" w:space="0" w:color="auto"/>
        <w:right w:val="none" w:sz="0" w:space="0" w:color="auto"/>
      </w:divBdr>
    </w:div>
    <w:div w:id="1159543581">
      <w:bodyDiv w:val="1"/>
      <w:marLeft w:val="0"/>
      <w:marRight w:val="0"/>
      <w:marTop w:val="0"/>
      <w:marBottom w:val="0"/>
      <w:divBdr>
        <w:top w:val="none" w:sz="0" w:space="0" w:color="auto"/>
        <w:left w:val="none" w:sz="0" w:space="0" w:color="auto"/>
        <w:bottom w:val="none" w:sz="0" w:space="0" w:color="auto"/>
        <w:right w:val="none" w:sz="0" w:space="0" w:color="auto"/>
      </w:divBdr>
    </w:div>
    <w:div w:id="1224415199">
      <w:bodyDiv w:val="1"/>
      <w:marLeft w:val="0"/>
      <w:marRight w:val="0"/>
      <w:marTop w:val="0"/>
      <w:marBottom w:val="0"/>
      <w:divBdr>
        <w:top w:val="none" w:sz="0" w:space="0" w:color="auto"/>
        <w:left w:val="none" w:sz="0" w:space="0" w:color="auto"/>
        <w:bottom w:val="none" w:sz="0" w:space="0" w:color="auto"/>
        <w:right w:val="none" w:sz="0" w:space="0" w:color="auto"/>
      </w:divBdr>
    </w:div>
    <w:div w:id="1308246436">
      <w:bodyDiv w:val="1"/>
      <w:marLeft w:val="0"/>
      <w:marRight w:val="0"/>
      <w:marTop w:val="0"/>
      <w:marBottom w:val="0"/>
      <w:divBdr>
        <w:top w:val="none" w:sz="0" w:space="0" w:color="auto"/>
        <w:left w:val="none" w:sz="0" w:space="0" w:color="auto"/>
        <w:bottom w:val="none" w:sz="0" w:space="0" w:color="auto"/>
        <w:right w:val="none" w:sz="0" w:space="0" w:color="auto"/>
      </w:divBdr>
    </w:div>
    <w:div w:id="1375495769">
      <w:bodyDiv w:val="1"/>
      <w:marLeft w:val="0"/>
      <w:marRight w:val="0"/>
      <w:marTop w:val="0"/>
      <w:marBottom w:val="0"/>
      <w:divBdr>
        <w:top w:val="none" w:sz="0" w:space="0" w:color="auto"/>
        <w:left w:val="none" w:sz="0" w:space="0" w:color="auto"/>
        <w:bottom w:val="none" w:sz="0" w:space="0" w:color="auto"/>
        <w:right w:val="none" w:sz="0" w:space="0" w:color="auto"/>
      </w:divBdr>
    </w:div>
    <w:div w:id="1464276008">
      <w:bodyDiv w:val="1"/>
      <w:marLeft w:val="0"/>
      <w:marRight w:val="0"/>
      <w:marTop w:val="0"/>
      <w:marBottom w:val="0"/>
      <w:divBdr>
        <w:top w:val="none" w:sz="0" w:space="0" w:color="auto"/>
        <w:left w:val="none" w:sz="0" w:space="0" w:color="auto"/>
        <w:bottom w:val="none" w:sz="0" w:space="0" w:color="auto"/>
        <w:right w:val="none" w:sz="0" w:space="0" w:color="auto"/>
      </w:divBdr>
    </w:div>
    <w:div w:id="1491210387">
      <w:bodyDiv w:val="1"/>
      <w:marLeft w:val="0"/>
      <w:marRight w:val="0"/>
      <w:marTop w:val="0"/>
      <w:marBottom w:val="0"/>
      <w:divBdr>
        <w:top w:val="none" w:sz="0" w:space="0" w:color="auto"/>
        <w:left w:val="none" w:sz="0" w:space="0" w:color="auto"/>
        <w:bottom w:val="none" w:sz="0" w:space="0" w:color="auto"/>
        <w:right w:val="none" w:sz="0" w:space="0" w:color="auto"/>
      </w:divBdr>
    </w:div>
    <w:div w:id="1491364816">
      <w:bodyDiv w:val="1"/>
      <w:marLeft w:val="0"/>
      <w:marRight w:val="0"/>
      <w:marTop w:val="0"/>
      <w:marBottom w:val="0"/>
      <w:divBdr>
        <w:top w:val="none" w:sz="0" w:space="0" w:color="auto"/>
        <w:left w:val="none" w:sz="0" w:space="0" w:color="auto"/>
        <w:bottom w:val="none" w:sz="0" w:space="0" w:color="auto"/>
        <w:right w:val="none" w:sz="0" w:space="0" w:color="auto"/>
      </w:divBdr>
    </w:div>
    <w:div w:id="1639990585">
      <w:bodyDiv w:val="1"/>
      <w:marLeft w:val="0"/>
      <w:marRight w:val="0"/>
      <w:marTop w:val="0"/>
      <w:marBottom w:val="0"/>
      <w:divBdr>
        <w:top w:val="none" w:sz="0" w:space="0" w:color="auto"/>
        <w:left w:val="none" w:sz="0" w:space="0" w:color="auto"/>
        <w:bottom w:val="none" w:sz="0" w:space="0" w:color="auto"/>
        <w:right w:val="none" w:sz="0" w:space="0" w:color="auto"/>
      </w:divBdr>
    </w:div>
    <w:div w:id="1832912775">
      <w:bodyDiv w:val="1"/>
      <w:marLeft w:val="0"/>
      <w:marRight w:val="0"/>
      <w:marTop w:val="0"/>
      <w:marBottom w:val="0"/>
      <w:divBdr>
        <w:top w:val="none" w:sz="0" w:space="0" w:color="auto"/>
        <w:left w:val="none" w:sz="0" w:space="0" w:color="auto"/>
        <w:bottom w:val="none" w:sz="0" w:space="0" w:color="auto"/>
        <w:right w:val="none" w:sz="0" w:space="0" w:color="auto"/>
      </w:divBdr>
    </w:div>
    <w:div w:id="1840924574">
      <w:bodyDiv w:val="1"/>
      <w:marLeft w:val="0"/>
      <w:marRight w:val="0"/>
      <w:marTop w:val="0"/>
      <w:marBottom w:val="0"/>
      <w:divBdr>
        <w:top w:val="none" w:sz="0" w:space="0" w:color="auto"/>
        <w:left w:val="none" w:sz="0" w:space="0" w:color="auto"/>
        <w:bottom w:val="none" w:sz="0" w:space="0" w:color="auto"/>
        <w:right w:val="none" w:sz="0" w:space="0" w:color="auto"/>
      </w:divBdr>
    </w:div>
    <w:div w:id="1866017843">
      <w:bodyDiv w:val="1"/>
      <w:marLeft w:val="0"/>
      <w:marRight w:val="0"/>
      <w:marTop w:val="0"/>
      <w:marBottom w:val="0"/>
      <w:divBdr>
        <w:top w:val="none" w:sz="0" w:space="0" w:color="auto"/>
        <w:left w:val="none" w:sz="0" w:space="0" w:color="auto"/>
        <w:bottom w:val="none" w:sz="0" w:space="0" w:color="auto"/>
        <w:right w:val="none" w:sz="0" w:space="0" w:color="auto"/>
      </w:divBdr>
      <w:divsChild>
        <w:div w:id="834881878">
          <w:marLeft w:val="0"/>
          <w:marRight w:val="0"/>
          <w:marTop w:val="0"/>
          <w:marBottom w:val="0"/>
          <w:divBdr>
            <w:top w:val="none" w:sz="0" w:space="0" w:color="auto"/>
            <w:left w:val="none" w:sz="0" w:space="0" w:color="auto"/>
            <w:bottom w:val="none" w:sz="0" w:space="0" w:color="auto"/>
            <w:right w:val="none" w:sz="0" w:space="0" w:color="auto"/>
          </w:divBdr>
        </w:div>
        <w:div w:id="1931087829">
          <w:marLeft w:val="0"/>
          <w:marRight w:val="0"/>
          <w:marTop w:val="0"/>
          <w:marBottom w:val="0"/>
          <w:divBdr>
            <w:top w:val="none" w:sz="0" w:space="0" w:color="auto"/>
            <w:left w:val="none" w:sz="0" w:space="0" w:color="auto"/>
            <w:bottom w:val="none" w:sz="0" w:space="0" w:color="auto"/>
            <w:right w:val="none" w:sz="0" w:space="0" w:color="auto"/>
          </w:divBdr>
        </w:div>
      </w:divsChild>
    </w:div>
    <w:div w:id="1932738529">
      <w:bodyDiv w:val="1"/>
      <w:marLeft w:val="0"/>
      <w:marRight w:val="0"/>
      <w:marTop w:val="0"/>
      <w:marBottom w:val="0"/>
      <w:divBdr>
        <w:top w:val="none" w:sz="0" w:space="0" w:color="auto"/>
        <w:left w:val="none" w:sz="0" w:space="0" w:color="auto"/>
        <w:bottom w:val="none" w:sz="0" w:space="0" w:color="auto"/>
        <w:right w:val="none" w:sz="0" w:space="0" w:color="auto"/>
      </w:divBdr>
    </w:div>
    <w:div w:id="1990090480">
      <w:bodyDiv w:val="1"/>
      <w:marLeft w:val="0"/>
      <w:marRight w:val="0"/>
      <w:marTop w:val="0"/>
      <w:marBottom w:val="0"/>
      <w:divBdr>
        <w:top w:val="none" w:sz="0" w:space="0" w:color="auto"/>
        <w:left w:val="none" w:sz="0" w:space="0" w:color="auto"/>
        <w:bottom w:val="none" w:sz="0" w:space="0" w:color="auto"/>
        <w:right w:val="none" w:sz="0" w:space="0" w:color="auto"/>
      </w:divBdr>
    </w:div>
    <w:div w:id="2033846705">
      <w:bodyDiv w:val="1"/>
      <w:marLeft w:val="0"/>
      <w:marRight w:val="0"/>
      <w:marTop w:val="0"/>
      <w:marBottom w:val="0"/>
      <w:divBdr>
        <w:top w:val="none" w:sz="0" w:space="0" w:color="auto"/>
        <w:left w:val="none" w:sz="0" w:space="0" w:color="auto"/>
        <w:bottom w:val="none" w:sz="0" w:space="0" w:color="auto"/>
        <w:right w:val="none" w:sz="0" w:space="0" w:color="auto"/>
      </w:divBdr>
    </w:div>
    <w:div w:id="2038387506">
      <w:bodyDiv w:val="1"/>
      <w:marLeft w:val="0"/>
      <w:marRight w:val="0"/>
      <w:marTop w:val="0"/>
      <w:marBottom w:val="0"/>
      <w:divBdr>
        <w:top w:val="none" w:sz="0" w:space="0" w:color="auto"/>
        <w:left w:val="none" w:sz="0" w:space="0" w:color="auto"/>
        <w:bottom w:val="none" w:sz="0" w:space="0" w:color="auto"/>
        <w:right w:val="none" w:sz="0" w:space="0" w:color="auto"/>
      </w:divBdr>
    </w:div>
    <w:div w:id="209801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reward/benchmarking-report" TargetMode="External"/><Relationship Id="rId13" Type="http://schemas.openxmlformats.org/officeDocument/2006/relationships/hyperlink" Target="https://www.gov.uk/payslips" TargetMode="External"/><Relationship Id="rId18" Type="http://schemas.openxmlformats.org/officeDocument/2006/relationships/hyperlink" Target="https://highpaycentre.or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ov.uk/government/organisations/low-pay-commission" TargetMode="External"/><Relationship Id="rId7" Type="http://schemas.openxmlformats.org/officeDocument/2006/relationships/hyperlink" Target="https://doi.org/10.1016/S0065-2601(08)60108-260108-2" TargetMode="External"/><Relationship Id="rId12" Type="http://schemas.openxmlformats.org/officeDocument/2006/relationships/hyperlink" Target="https://www.e-reward.co.uk/" TargetMode="External"/><Relationship Id="rId17" Type="http://schemas.openxmlformats.org/officeDocument/2006/relationships/hyperlink" Target="https://www.gov.uk/government/news/new-executive-pay-transparency-measures-come-into-force" TargetMode="External"/><Relationship Id="rId25" Type="http://schemas.openxmlformats.org/officeDocument/2006/relationships/hyperlink" Target="https://community.cipd.co.uk/cipd-blogs/b/reward_blog/posts/2019-cipd-reward-management-survey-conclusions-and-implications-for-managerial-practice" TargetMode="External"/><Relationship Id="rId2" Type="http://schemas.openxmlformats.org/officeDocument/2006/relationships/styles" Target="styles.xml"/><Relationship Id="rId16" Type="http://schemas.openxmlformats.org/officeDocument/2006/relationships/hyperlink" Target="https://www.gov.uk/government/publications/gender-pay-gap-reporting-guidance-for-employers" TargetMode="External"/><Relationship Id="rId20" Type="http://schemas.openxmlformats.org/officeDocument/2006/relationships/hyperlink" Target="https://www.researchgate.net/publication/343303974_Exploring_the_Effects_of_Contingent_Rewards_on_Employee_Responsiveness_and_Affective_Commitment" TargetMode="External"/><Relationship Id="rId1" Type="http://schemas.openxmlformats.org/officeDocument/2006/relationships/numbering" Target="numbering.xml"/><Relationship Id="rId6" Type="http://schemas.openxmlformats.org/officeDocument/2006/relationships/hyperlink" Target="https://www.acas.org.uk/pay-and-hours" TargetMode="External"/><Relationship Id="rId11" Type="http://schemas.openxmlformats.org/officeDocument/2006/relationships/hyperlink" Target="https://community.cipd.co.uk/cipd-blogs/b/reward_blog" TargetMode="External"/><Relationship Id="rId24" Type="http://schemas.openxmlformats.org/officeDocument/2006/relationships/hyperlink" Target="https://www.ons.gov.uk" TargetMode="External"/><Relationship Id="rId5" Type="http://schemas.openxmlformats.org/officeDocument/2006/relationships/hyperlink" Target="https://www.acas.org.uk/job-evaluation-considerations-and-risks-advice-booklet" TargetMode="External"/><Relationship Id="rId15" Type="http://schemas.openxmlformats.org/officeDocument/2006/relationships/hyperlink" Target="https://www.gov.uk/paye-for-employers" TargetMode="External"/><Relationship Id="rId23" Type="http://schemas.openxmlformats.org/officeDocument/2006/relationships/hyperlink" Target="http://www.gov.uk/government/organisations/office-of-manpower-economics" TargetMode="External"/><Relationship Id="rId10" Type="http://schemas.openxmlformats.org/officeDocument/2006/relationships/hyperlink" Target="https://pminsight.cipd.co.uk/performance-reward" TargetMode="External"/><Relationship Id="rId19" Type="http://schemas.openxmlformats.org/officeDocument/2006/relationships/hyperlink" Target="https://ifs.org.uk/" TargetMode="External"/><Relationship Id="rId4" Type="http://schemas.openxmlformats.org/officeDocument/2006/relationships/webSettings" Target="webSettings.xml"/><Relationship Id="rId9" Type="http://schemas.openxmlformats.org/officeDocument/2006/relationships/hyperlink" Target="https://www.cipd.co.uk/knowledge/fundamentals/people/pay/reward-factsheet" TargetMode="External"/><Relationship Id="rId14" Type="http://schemas.openxmlformats.org/officeDocument/2006/relationships/hyperlink" Target="https://www.gov.uk/national-minimum-wage" TargetMode="External"/><Relationship Id="rId22" Type="http://schemas.openxmlformats.org/officeDocument/2006/relationships/hyperlink" Target="https://community.cipd.co.uk/cipd-blogs/b/reward_blog/posts/we-need-to-talk-about-mone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6032</Words>
  <Characters>34389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8</cp:revision>
  <dcterms:created xsi:type="dcterms:W3CDTF">2025-08-17T12:27:00Z</dcterms:created>
  <dcterms:modified xsi:type="dcterms:W3CDTF">2025-08-17T12:44:00Z</dcterms:modified>
</cp:coreProperties>
</file>