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14:paraId="2FCFCA66">
      <w:pPr>
        <w:pStyle w:val="style0"/>
        <w:jc w:val="center"/>
        <w:rPr/>
      </w:pPr>
      <w:r>
        <w:rPr>
          <w:noProof/>
        </w:rPr>
        <w:drawing>
          <wp:inline distL="0" distT="0" distB="0" distR="0">
            <wp:extent cx="2065199" cy="929721"/>
            <wp:effectExtent l="0" t="0" r="0" b="3810"/>
            <wp:docPr id="102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2065199" cy="929721"/>
                    </a:xfrm>
                    <a:prstGeom prst="rect"/>
                  </pic:spPr>
                </pic:pic>
              </a:graphicData>
            </a:graphic>
          </wp:inline>
        </w:drawing>
      </w:r>
    </w:p>
    <w:p w14:paraId="4CA96DAF">
      <w:pPr>
        <w:pStyle w:val="style0"/>
        <w:jc w:val="center"/>
        <w:rPr>
          <w:b/>
          <w:bCs/>
        </w:rPr>
      </w:pPr>
      <w:r>
        <w:rPr>
          <w:b/>
          <w:bCs/>
        </w:rPr>
        <w:t>Programme: Master of Business Administration</w:t>
      </w:r>
    </w:p>
    <w:p w14:paraId="2E19B542">
      <w:pPr>
        <w:pStyle w:val="style0"/>
        <w:jc w:val="center"/>
        <w:rPr>
          <w:b/>
          <w:bCs/>
        </w:rPr>
      </w:pPr>
      <w:r>
        <w:rPr>
          <w:b/>
          <w:bCs/>
        </w:rPr>
        <w:t>Module Name: International Business Concepts</w:t>
      </w:r>
    </w:p>
    <w:p w14:paraId="49DD8B8B">
      <w:pPr>
        <w:pStyle w:val="style0"/>
        <w:jc w:val="center"/>
        <w:rPr>
          <w:b/>
          <w:bCs/>
        </w:rPr>
      </w:pPr>
      <w:r>
        <w:rPr>
          <w:b/>
          <w:bCs/>
        </w:rPr>
        <w:t>Module Code: LCMB7034</w:t>
      </w:r>
    </w:p>
    <w:p w14:paraId="2BAAA589">
      <w:pPr>
        <w:pStyle w:val="style0"/>
        <w:jc w:val="center"/>
        <w:rPr>
          <w:b/>
          <w:bCs/>
        </w:rPr>
      </w:pPr>
      <w:r>
        <w:rPr>
          <w:b/>
          <w:bCs/>
        </w:rPr>
        <w:t xml:space="preserve">Title: </w:t>
      </w:r>
    </w:p>
    <w:p w14:paraId="6B958609">
      <w:pPr>
        <w:pStyle w:val="style0"/>
        <w:jc w:val="center"/>
        <w:rPr>
          <w:b/>
          <w:bCs/>
        </w:rPr>
      </w:pPr>
      <w:r>
        <w:rPr>
          <w:b/>
          <w:bCs/>
        </w:rPr>
        <w:t>Lecturer Name: Akshay Narayanan and Mansoob Murshed</w:t>
      </w:r>
    </w:p>
    <w:p w14:paraId="3D1FA1FC">
      <w:pPr>
        <w:pStyle w:val="style0"/>
        <w:jc w:val="center"/>
        <w:rPr>
          <w:b/>
          <w:bCs/>
        </w:rPr>
      </w:pPr>
      <w:r>
        <w:rPr>
          <w:b/>
          <w:bCs/>
        </w:rPr>
        <w:t xml:space="preserve">Student Name: </w:t>
      </w:r>
      <w:r>
        <w:rPr>
          <w:b/>
          <w:bCs/>
          <w:lang w:val="en-US"/>
        </w:rPr>
        <w:t xml:space="preserve">sajil salimbhai vahora </w:t>
      </w:r>
    </w:p>
    <w:p w14:paraId="1B2FB883">
      <w:pPr>
        <w:pStyle w:val="style0"/>
        <w:jc w:val="center"/>
        <w:rPr>
          <w:b/>
          <w:bCs/>
        </w:rPr>
      </w:pPr>
      <w:r>
        <w:rPr>
          <w:b/>
          <w:bCs/>
        </w:rPr>
        <w:t xml:space="preserve">Student ID: </w:t>
      </w:r>
      <w:r>
        <w:rPr>
          <w:b/>
          <w:bCs/>
          <w:lang w:val="en-US"/>
        </w:rPr>
        <w:t>2532951</w:t>
      </w:r>
    </w:p>
    <w:p w14:paraId="08A04AD8">
      <w:pPr>
        <w:pStyle w:val="style0"/>
        <w:jc w:val="center"/>
        <w:rPr>
          <w:b/>
          <w:bCs/>
        </w:rPr>
      </w:pPr>
      <w:r>
        <w:rPr>
          <w:b/>
          <w:bCs/>
        </w:rPr>
        <w:t xml:space="preserve">Word Count: </w:t>
      </w:r>
      <w:r>
        <w:rPr>
          <w:b/>
          <w:bCs/>
        </w:rPr>
        <w:t>4980</w:t>
      </w:r>
    </w:p>
    <w:p w14:paraId="6A69B250">
      <w:pPr>
        <w:pStyle w:val="style0"/>
        <w:jc w:val="left"/>
        <w:rPr>
          <w:b/>
          <w:bCs/>
        </w:rPr>
      </w:pPr>
    </w:p>
    <w:p w14:paraId="2BDAFBB1">
      <w:pPr>
        <w:pStyle w:val="style0"/>
        <w:jc w:val="center"/>
        <w:rPr/>
      </w:pPr>
    </w:p>
    <w:p w14:paraId="157F6289">
      <w:pPr>
        <w:pStyle w:val="style0"/>
        <w:jc w:val="center"/>
        <w:rPr/>
      </w:pPr>
    </w:p>
    <w:p w14:paraId="66A440ED">
      <w:pPr>
        <w:pStyle w:val="style0"/>
        <w:spacing w:before="0" w:after="160" w:lineRule="auto" w:line="278"/>
        <w:jc w:val="left"/>
        <w:rPr/>
      </w:pPr>
      <w:r>
        <w:br w:type="page"/>
      </w:r>
    </w:p>
    <w:p w14:paraId="0C3E76F2">
      <w:pPr>
        <w:pStyle w:val="style266"/>
        <w:rPr/>
      </w:pPr>
      <w:r>
        <w:t>Table of Contents</w:t>
      </w:r>
    </w:p>
    <w:p w14:paraId="6CAD0340">
      <w:pPr>
        <w:pStyle w:val="style19"/>
        <w:tabs>
          <w:tab w:val="right" w:leader="dot" w:pos="9350"/>
        </w:tabs>
        <w:rPr>
          <w:rFonts w:ascii="Aptos" w:eastAsia="宋体" w:hAnsi="Aptos"/>
          <w:noProof/>
          <w:lang w:val="en-IN" w:eastAsia="en-IN"/>
        </w:rPr>
      </w:pPr>
      <w:r>
        <w:rPr/>
        <w:fldChar w:fldCharType="begin"/>
      </w:r>
      <w:r>
        <w:instrText xml:space="preserve"> TOC \o "1-3" \h \z \u </w:instrText>
      </w:r>
      <w:r>
        <w:rPr/>
        <w:fldChar w:fldCharType="separate"/>
      </w:r>
      <w:r>
        <w:rPr/>
        <w:fldChar w:fldCharType="begin"/>
      </w:r>
      <w:r>
        <w:instrText xml:space="preserve"> HYPERLINK \l "_Toc236512720" </w:instrText>
      </w:r>
      <w:r>
        <w:rPr/>
        <w:fldChar w:fldCharType="separate"/>
      </w:r>
      <w:r>
        <w:rPr>
          <w:rStyle w:val="style85"/>
          <w:noProof/>
        </w:rPr>
        <w:t>Introduction</w:t>
      </w:r>
      <w:r>
        <w:rPr>
          <w:noProof/>
          <w:webHidden/>
        </w:rPr>
        <w:tab/>
      </w:r>
      <w:r>
        <w:rPr>
          <w:noProof/>
          <w:webHidden/>
        </w:rPr>
        <w:fldChar w:fldCharType="begin"/>
      </w:r>
      <w:r>
        <w:rPr>
          <w:noProof/>
          <w:webHidden/>
        </w:rPr>
        <w:instrText xml:space="preserve"> PAGEREF _Toc236512720 \h </w:instrText>
      </w:r>
      <w:r>
        <w:rPr>
          <w:noProof/>
          <w:webHidden/>
        </w:rPr>
        <w:fldChar w:fldCharType="separate"/>
      </w:r>
      <w:r>
        <w:rPr>
          <w:noProof/>
          <w:webHidden/>
        </w:rPr>
        <w:t>4</w:t>
      </w:r>
      <w:r>
        <w:rPr>
          <w:noProof/>
          <w:webHidden/>
        </w:rPr>
        <w:fldChar w:fldCharType="end"/>
      </w:r>
      <w:r>
        <w:rPr/>
        <w:fldChar w:fldCharType="end"/>
      </w:r>
    </w:p>
    <w:p w14:paraId="44629461">
      <w:pPr>
        <w:pStyle w:val="style19"/>
        <w:tabs>
          <w:tab w:val="right" w:leader="dot" w:pos="9350"/>
        </w:tabs>
        <w:rPr>
          <w:rFonts w:ascii="Aptos" w:eastAsia="宋体" w:hAnsi="Aptos"/>
          <w:noProof/>
          <w:lang w:val="en-IN" w:eastAsia="en-IN"/>
        </w:rPr>
      </w:pPr>
      <w:r>
        <w:rPr/>
        <w:fldChar w:fldCharType="begin"/>
      </w:r>
      <w:r>
        <w:instrText xml:space="preserve"> HYPERLINK \l "_Toc236512721" </w:instrText>
      </w:r>
      <w:r>
        <w:rPr/>
        <w:fldChar w:fldCharType="separate"/>
      </w:r>
      <w:r>
        <w:rPr>
          <w:rStyle w:val="style85"/>
          <w:noProof/>
        </w:rPr>
        <w:t>Section 1</w:t>
      </w:r>
      <w:r>
        <w:rPr>
          <w:noProof/>
          <w:webHidden/>
        </w:rPr>
        <w:tab/>
      </w:r>
      <w:r>
        <w:rPr>
          <w:noProof/>
          <w:webHidden/>
        </w:rPr>
        <w:fldChar w:fldCharType="begin"/>
      </w:r>
      <w:r>
        <w:rPr>
          <w:noProof/>
          <w:webHidden/>
        </w:rPr>
        <w:instrText xml:space="preserve"> PAGEREF _Toc236512721 \h </w:instrText>
      </w:r>
      <w:r>
        <w:rPr>
          <w:noProof/>
          <w:webHidden/>
        </w:rPr>
        <w:fldChar w:fldCharType="separate"/>
      </w:r>
      <w:r>
        <w:rPr>
          <w:noProof/>
          <w:webHidden/>
        </w:rPr>
        <w:t>6</w:t>
      </w:r>
      <w:r>
        <w:rPr>
          <w:noProof/>
          <w:webHidden/>
        </w:rPr>
        <w:fldChar w:fldCharType="end"/>
      </w:r>
      <w:r>
        <w:rPr/>
        <w:fldChar w:fldCharType="end"/>
      </w:r>
    </w:p>
    <w:p w14:paraId="14E316E5">
      <w:pPr>
        <w:pStyle w:val="style19"/>
        <w:tabs>
          <w:tab w:val="right" w:leader="dot" w:pos="9350"/>
        </w:tabs>
        <w:rPr>
          <w:rFonts w:ascii="Aptos" w:eastAsia="宋体" w:hAnsi="Aptos"/>
          <w:noProof/>
          <w:lang w:val="en-IN" w:eastAsia="en-IN"/>
        </w:rPr>
      </w:pPr>
      <w:r>
        <w:rPr/>
        <w:fldChar w:fldCharType="begin"/>
      </w:r>
      <w:r>
        <w:instrText xml:space="preserve"> HYPERLINK \l "_Toc236512722" </w:instrText>
      </w:r>
      <w:r>
        <w:rPr/>
        <w:fldChar w:fldCharType="separate"/>
      </w:r>
      <w:r>
        <w:rPr>
          <w:rStyle w:val="style85"/>
          <w:noProof/>
        </w:rPr>
        <w:t>Part 1: Organisational Classification and Global Strategy</w:t>
      </w:r>
      <w:r>
        <w:rPr>
          <w:noProof/>
          <w:webHidden/>
        </w:rPr>
        <w:tab/>
      </w:r>
      <w:r>
        <w:rPr>
          <w:noProof/>
          <w:webHidden/>
        </w:rPr>
        <w:fldChar w:fldCharType="begin"/>
      </w:r>
      <w:r>
        <w:rPr>
          <w:noProof/>
          <w:webHidden/>
        </w:rPr>
        <w:instrText xml:space="preserve"> PAGEREF _Toc236512722 \h </w:instrText>
      </w:r>
      <w:r>
        <w:rPr>
          <w:noProof/>
          <w:webHidden/>
        </w:rPr>
        <w:fldChar w:fldCharType="separate"/>
      </w:r>
      <w:r>
        <w:rPr>
          <w:noProof/>
          <w:webHidden/>
        </w:rPr>
        <w:t>6</w:t>
      </w:r>
      <w:r>
        <w:rPr>
          <w:noProof/>
          <w:webHidden/>
        </w:rPr>
        <w:fldChar w:fldCharType="end"/>
      </w:r>
      <w:r>
        <w:rPr/>
        <w:fldChar w:fldCharType="end"/>
      </w:r>
    </w:p>
    <w:p w14:paraId="66F217DF">
      <w:pPr>
        <w:pStyle w:val="style20"/>
        <w:tabs>
          <w:tab w:val="right" w:leader="dot" w:pos="9350"/>
        </w:tabs>
        <w:rPr>
          <w:rFonts w:ascii="Aptos" w:eastAsia="宋体" w:hAnsi="Aptos"/>
          <w:noProof/>
          <w:lang w:val="en-IN" w:eastAsia="en-IN"/>
        </w:rPr>
      </w:pPr>
      <w:r>
        <w:rPr/>
        <w:fldChar w:fldCharType="begin"/>
      </w:r>
      <w:r>
        <w:instrText xml:space="preserve"> HYPERLINK \l "_Toc236512723" </w:instrText>
      </w:r>
      <w:r>
        <w:rPr/>
        <w:fldChar w:fldCharType="separate"/>
      </w:r>
      <w:r>
        <w:rPr>
          <w:rStyle w:val="style85"/>
          <w:noProof/>
        </w:rPr>
        <w:t>1.1 Company Overview</w:t>
      </w:r>
      <w:r>
        <w:rPr>
          <w:noProof/>
          <w:webHidden/>
        </w:rPr>
        <w:tab/>
      </w:r>
      <w:r>
        <w:rPr>
          <w:noProof/>
          <w:webHidden/>
        </w:rPr>
        <w:fldChar w:fldCharType="begin"/>
      </w:r>
      <w:r>
        <w:rPr>
          <w:noProof/>
          <w:webHidden/>
        </w:rPr>
        <w:instrText xml:space="preserve"> PAGEREF _Toc236512723 \h </w:instrText>
      </w:r>
      <w:r>
        <w:rPr>
          <w:noProof/>
          <w:webHidden/>
        </w:rPr>
        <w:fldChar w:fldCharType="separate"/>
      </w:r>
      <w:r>
        <w:rPr>
          <w:noProof/>
          <w:webHidden/>
        </w:rPr>
        <w:t>6</w:t>
      </w:r>
      <w:r>
        <w:rPr>
          <w:noProof/>
          <w:webHidden/>
        </w:rPr>
        <w:fldChar w:fldCharType="end"/>
      </w:r>
      <w:r>
        <w:rPr/>
        <w:fldChar w:fldCharType="end"/>
      </w:r>
    </w:p>
    <w:p w14:paraId="708AA731">
      <w:pPr>
        <w:pStyle w:val="style20"/>
        <w:tabs>
          <w:tab w:val="right" w:leader="dot" w:pos="9350"/>
        </w:tabs>
        <w:rPr>
          <w:rFonts w:ascii="Aptos" w:eastAsia="宋体" w:hAnsi="Aptos"/>
          <w:noProof/>
          <w:lang w:val="en-IN" w:eastAsia="en-IN"/>
        </w:rPr>
      </w:pPr>
      <w:r>
        <w:rPr/>
        <w:fldChar w:fldCharType="begin"/>
      </w:r>
      <w:r>
        <w:instrText xml:space="preserve"> HYPERLINK \l "_Toc236512724" </w:instrText>
      </w:r>
      <w:r>
        <w:rPr/>
        <w:fldChar w:fldCharType="separate"/>
      </w:r>
      <w:r>
        <w:rPr>
          <w:rStyle w:val="style85"/>
          <w:noProof/>
        </w:rPr>
        <w:t>1.2 Bartlett and Ghoshal's Model</w:t>
      </w:r>
      <w:r>
        <w:rPr>
          <w:noProof/>
          <w:webHidden/>
        </w:rPr>
        <w:tab/>
      </w:r>
      <w:r>
        <w:rPr>
          <w:noProof/>
          <w:webHidden/>
        </w:rPr>
        <w:fldChar w:fldCharType="begin"/>
      </w:r>
      <w:r>
        <w:rPr>
          <w:noProof/>
          <w:webHidden/>
        </w:rPr>
        <w:instrText xml:space="preserve"> PAGEREF _Toc236512724 \h </w:instrText>
      </w:r>
      <w:r>
        <w:rPr>
          <w:noProof/>
          <w:webHidden/>
        </w:rPr>
        <w:fldChar w:fldCharType="separate"/>
      </w:r>
      <w:r>
        <w:rPr>
          <w:noProof/>
          <w:webHidden/>
        </w:rPr>
        <w:t>7</w:t>
      </w:r>
      <w:r>
        <w:rPr>
          <w:noProof/>
          <w:webHidden/>
        </w:rPr>
        <w:fldChar w:fldCharType="end"/>
      </w:r>
      <w:r>
        <w:rPr/>
        <w:fldChar w:fldCharType="end"/>
      </w:r>
    </w:p>
    <w:p w14:paraId="123CF332">
      <w:pPr>
        <w:pStyle w:val="style20"/>
        <w:tabs>
          <w:tab w:val="right" w:leader="dot" w:pos="9350"/>
        </w:tabs>
        <w:rPr>
          <w:rFonts w:ascii="Aptos" w:eastAsia="宋体" w:hAnsi="Aptos"/>
          <w:noProof/>
          <w:lang w:val="en-IN" w:eastAsia="en-IN"/>
        </w:rPr>
      </w:pPr>
      <w:r>
        <w:rPr/>
        <w:fldChar w:fldCharType="begin"/>
      </w:r>
      <w:r>
        <w:instrText xml:space="preserve"> HYPERLINK \l "_Toc236512725" </w:instrText>
      </w:r>
      <w:r>
        <w:rPr/>
        <w:fldChar w:fldCharType="separate"/>
      </w:r>
      <w:r>
        <w:rPr>
          <w:rStyle w:val="style85"/>
          <w:noProof/>
        </w:rPr>
        <w:t>1.3 Global Configuration and Competitive Advantage</w:t>
      </w:r>
      <w:r>
        <w:rPr>
          <w:noProof/>
          <w:webHidden/>
        </w:rPr>
        <w:tab/>
      </w:r>
      <w:r>
        <w:rPr>
          <w:noProof/>
          <w:webHidden/>
        </w:rPr>
        <w:fldChar w:fldCharType="begin"/>
      </w:r>
      <w:r>
        <w:rPr>
          <w:noProof/>
          <w:webHidden/>
        </w:rPr>
        <w:instrText xml:space="preserve"> PAGEREF _Toc236512725 \h </w:instrText>
      </w:r>
      <w:r>
        <w:rPr>
          <w:noProof/>
          <w:webHidden/>
        </w:rPr>
        <w:fldChar w:fldCharType="separate"/>
      </w:r>
      <w:r>
        <w:rPr>
          <w:noProof/>
          <w:webHidden/>
        </w:rPr>
        <w:t>8</w:t>
      </w:r>
      <w:r>
        <w:rPr>
          <w:noProof/>
          <w:webHidden/>
        </w:rPr>
        <w:fldChar w:fldCharType="end"/>
      </w:r>
      <w:r>
        <w:rPr/>
        <w:fldChar w:fldCharType="end"/>
      </w:r>
    </w:p>
    <w:p w14:paraId="474A8A53">
      <w:pPr>
        <w:pStyle w:val="style19"/>
        <w:tabs>
          <w:tab w:val="right" w:leader="dot" w:pos="9350"/>
        </w:tabs>
        <w:rPr>
          <w:rFonts w:ascii="Aptos" w:eastAsia="宋体" w:hAnsi="Aptos"/>
          <w:noProof/>
          <w:lang w:val="en-IN" w:eastAsia="en-IN"/>
        </w:rPr>
      </w:pPr>
      <w:r>
        <w:rPr/>
        <w:fldChar w:fldCharType="begin"/>
      </w:r>
      <w:r>
        <w:instrText xml:space="preserve"> HYPERLINK \l "_Toc236512726" </w:instrText>
      </w:r>
      <w:r>
        <w:rPr/>
        <w:fldChar w:fldCharType="separate"/>
      </w:r>
      <w:r>
        <w:rPr>
          <w:rStyle w:val="style85"/>
          <w:noProof/>
        </w:rPr>
        <w:t>Part 2: Macro-Environmental Appraisal &amp; Market Attractiveness</w:t>
      </w:r>
      <w:r>
        <w:rPr>
          <w:noProof/>
          <w:webHidden/>
        </w:rPr>
        <w:tab/>
      </w:r>
      <w:r>
        <w:rPr>
          <w:noProof/>
          <w:webHidden/>
        </w:rPr>
        <w:fldChar w:fldCharType="begin"/>
      </w:r>
      <w:r>
        <w:rPr>
          <w:noProof/>
          <w:webHidden/>
        </w:rPr>
        <w:instrText xml:space="preserve"> PAGEREF _Toc236512726 \h </w:instrText>
      </w:r>
      <w:r>
        <w:rPr>
          <w:noProof/>
          <w:webHidden/>
        </w:rPr>
        <w:fldChar w:fldCharType="separate"/>
      </w:r>
      <w:r>
        <w:rPr>
          <w:noProof/>
          <w:webHidden/>
        </w:rPr>
        <w:t>8</w:t>
      </w:r>
      <w:r>
        <w:rPr>
          <w:noProof/>
          <w:webHidden/>
        </w:rPr>
        <w:fldChar w:fldCharType="end"/>
      </w:r>
      <w:r>
        <w:rPr/>
        <w:fldChar w:fldCharType="end"/>
      </w:r>
    </w:p>
    <w:p w14:paraId="11A95EBB">
      <w:pPr>
        <w:pStyle w:val="style20"/>
        <w:tabs>
          <w:tab w:val="right" w:leader="dot" w:pos="9350"/>
        </w:tabs>
        <w:rPr>
          <w:rFonts w:ascii="Aptos" w:eastAsia="宋体" w:hAnsi="Aptos"/>
          <w:noProof/>
          <w:lang w:val="en-IN" w:eastAsia="en-IN"/>
        </w:rPr>
      </w:pPr>
      <w:r>
        <w:rPr/>
        <w:fldChar w:fldCharType="begin"/>
      </w:r>
      <w:r>
        <w:instrText xml:space="preserve"> HYPERLINK \l "_Toc236512727" </w:instrText>
      </w:r>
      <w:r>
        <w:rPr/>
        <w:fldChar w:fldCharType="separate"/>
      </w:r>
      <w:r>
        <w:rPr>
          <w:rStyle w:val="style85"/>
          <w:noProof/>
        </w:rPr>
        <w:t>2.1 Political Environment</w:t>
      </w:r>
      <w:r>
        <w:rPr>
          <w:noProof/>
          <w:webHidden/>
        </w:rPr>
        <w:tab/>
      </w:r>
      <w:r>
        <w:rPr>
          <w:noProof/>
          <w:webHidden/>
        </w:rPr>
        <w:fldChar w:fldCharType="begin"/>
      </w:r>
      <w:r>
        <w:rPr>
          <w:noProof/>
          <w:webHidden/>
        </w:rPr>
        <w:instrText xml:space="preserve"> PAGEREF _Toc236512727 \h </w:instrText>
      </w:r>
      <w:r>
        <w:rPr>
          <w:noProof/>
          <w:webHidden/>
        </w:rPr>
        <w:fldChar w:fldCharType="separate"/>
      </w:r>
      <w:r>
        <w:rPr>
          <w:noProof/>
          <w:webHidden/>
        </w:rPr>
        <w:t>8</w:t>
      </w:r>
      <w:r>
        <w:rPr>
          <w:noProof/>
          <w:webHidden/>
        </w:rPr>
        <w:fldChar w:fldCharType="end"/>
      </w:r>
      <w:r>
        <w:rPr/>
        <w:fldChar w:fldCharType="end"/>
      </w:r>
    </w:p>
    <w:p w14:paraId="29A3F7D6">
      <w:pPr>
        <w:pStyle w:val="style20"/>
        <w:tabs>
          <w:tab w:val="right" w:leader="dot" w:pos="9350"/>
        </w:tabs>
        <w:rPr>
          <w:rFonts w:ascii="Aptos" w:eastAsia="宋体" w:hAnsi="Aptos"/>
          <w:noProof/>
          <w:lang w:val="en-IN" w:eastAsia="en-IN"/>
        </w:rPr>
      </w:pPr>
      <w:r>
        <w:rPr/>
        <w:fldChar w:fldCharType="begin"/>
      </w:r>
      <w:r>
        <w:instrText xml:space="preserve"> HYPERLINK \l "_Toc236512728" </w:instrText>
      </w:r>
      <w:r>
        <w:rPr/>
        <w:fldChar w:fldCharType="separate"/>
      </w:r>
      <w:r>
        <w:rPr>
          <w:rStyle w:val="style85"/>
          <w:noProof/>
        </w:rPr>
        <w:t>2.2 Economic Environment</w:t>
      </w:r>
      <w:r>
        <w:rPr>
          <w:noProof/>
          <w:webHidden/>
        </w:rPr>
        <w:tab/>
      </w:r>
      <w:r>
        <w:rPr>
          <w:noProof/>
          <w:webHidden/>
        </w:rPr>
        <w:fldChar w:fldCharType="begin"/>
      </w:r>
      <w:r>
        <w:rPr>
          <w:noProof/>
          <w:webHidden/>
        </w:rPr>
        <w:instrText xml:space="preserve"> PAGEREF _Toc236512728 \h </w:instrText>
      </w:r>
      <w:r>
        <w:rPr>
          <w:noProof/>
          <w:webHidden/>
        </w:rPr>
        <w:fldChar w:fldCharType="separate"/>
      </w:r>
      <w:r>
        <w:rPr>
          <w:noProof/>
          <w:webHidden/>
        </w:rPr>
        <w:t>10</w:t>
      </w:r>
      <w:r>
        <w:rPr>
          <w:noProof/>
          <w:webHidden/>
        </w:rPr>
        <w:fldChar w:fldCharType="end"/>
      </w:r>
      <w:r>
        <w:rPr/>
        <w:fldChar w:fldCharType="end"/>
      </w:r>
    </w:p>
    <w:p w14:paraId="1267A6A9">
      <w:pPr>
        <w:pStyle w:val="style20"/>
        <w:tabs>
          <w:tab w:val="right" w:leader="dot" w:pos="9350"/>
        </w:tabs>
        <w:rPr>
          <w:rFonts w:ascii="Aptos" w:eastAsia="宋体" w:hAnsi="Aptos"/>
          <w:noProof/>
          <w:lang w:val="en-IN" w:eastAsia="en-IN"/>
        </w:rPr>
      </w:pPr>
      <w:r>
        <w:rPr/>
        <w:fldChar w:fldCharType="begin"/>
      </w:r>
      <w:r>
        <w:instrText xml:space="preserve"> HYPERLINK \l "_Toc236512729" </w:instrText>
      </w:r>
      <w:r>
        <w:rPr/>
        <w:fldChar w:fldCharType="separate"/>
      </w:r>
      <w:r>
        <w:rPr>
          <w:rStyle w:val="style85"/>
          <w:noProof/>
        </w:rPr>
        <w:t>2.3 Legal Environment</w:t>
      </w:r>
      <w:r>
        <w:rPr>
          <w:noProof/>
          <w:webHidden/>
        </w:rPr>
        <w:tab/>
      </w:r>
      <w:r>
        <w:rPr>
          <w:noProof/>
          <w:webHidden/>
        </w:rPr>
        <w:fldChar w:fldCharType="begin"/>
      </w:r>
      <w:r>
        <w:rPr>
          <w:noProof/>
          <w:webHidden/>
        </w:rPr>
        <w:instrText xml:space="preserve"> PAGEREF _Toc236512729 \h </w:instrText>
      </w:r>
      <w:r>
        <w:rPr>
          <w:noProof/>
          <w:webHidden/>
        </w:rPr>
        <w:fldChar w:fldCharType="separate"/>
      </w:r>
      <w:r>
        <w:rPr>
          <w:noProof/>
          <w:webHidden/>
        </w:rPr>
        <w:t>13</w:t>
      </w:r>
      <w:r>
        <w:rPr>
          <w:noProof/>
          <w:webHidden/>
        </w:rPr>
        <w:fldChar w:fldCharType="end"/>
      </w:r>
      <w:r>
        <w:rPr/>
        <w:fldChar w:fldCharType="end"/>
      </w:r>
    </w:p>
    <w:p w14:paraId="2D7153AC">
      <w:pPr>
        <w:pStyle w:val="style20"/>
        <w:tabs>
          <w:tab w:val="right" w:leader="dot" w:pos="9350"/>
        </w:tabs>
        <w:rPr>
          <w:rFonts w:ascii="Aptos" w:eastAsia="宋体" w:hAnsi="Aptos"/>
          <w:noProof/>
          <w:lang w:val="en-IN" w:eastAsia="en-IN"/>
        </w:rPr>
      </w:pPr>
      <w:r>
        <w:rPr/>
        <w:fldChar w:fldCharType="begin"/>
      </w:r>
      <w:r>
        <w:instrText xml:space="preserve"> HYPERLINK \l "_Toc236512730" </w:instrText>
      </w:r>
      <w:r>
        <w:rPr/>
        <w:fldChar w:fldCharType="separate"/>
      </w:r>
      <w:r>
        <w:rPr>
          <w:rStyle w:val="style85"/>
          <w:noProof/>
        </w:rPr>
        <w:t>2.4 Cultural Environment</w:t>
      </w:r>
      <w:r>
        <w:rPr>
          <w:noProof/>
          <w:webHidden/>
        </w:rPr>
        <w:tab/>
      </w:r>
      <w:r>
        <w:rPr>
          <w:noProof/>
          <w:webHidden/>
        </w:rPr>
        <w:fldChar w:fldCharType="begin"/>
      </w:r>
      <w:r>
        <w:rPr>
          <w:noProof/>
          <w:webHidden/>
        </w:rPr>
        <w:instrText xml:space="preserve"> PAGEREF _Toc236512730 \h </w:instrText>
      </w:r>
      <w:r>
        <w:rPr>
          <w:noProof/>
          <w:webHidden/>
        </w:rPr>
        <w:fldChar w:fldCharType="separate"/>
      </w:r>
      <w:r>
        <w:rPr>
          <w:noProof/>
          <w:webHidden/>
        </w:rPr>
        <w:t>14</w:t>
      </w:r>
      <w:r>
        <w:rPr>
          <w:noProof/>
          <w:webHidden/>
        </w:rPr>
        <w:fldChar w:fldCharType="end"/>
      </w:r>
      <w:r>
        <w:rPr/>
        <w:fldChar w:fldCharType="end"/>
      </w:r>
    </w:p>
    <w:p w14:paraId="6FA3C2C0">
      <w:pPr>
        <w:pStyle w:val="style20"/>
        <w:tabs>
          <w:tab w:val="right" w:leader="dot" w:pos="9350"/>
        </w:tabs>
        <w:rPr>
          <w:rFonts w:ascii="Aptos" w:eastAsia="宋体" w:hAnsi="Aptos"/>
          <w:noProof/>
          <w:lang w:val="en-IN" w:eastAsia="en-IN"/>
        </w:rPr>
      </w:pPr>
      <w:r>
        <w:rPr/>
        <w:fldChar w:fldCharType="begin"/>
      </w:r>
      <w:r>
        <w:instrText xml:space="preserve"> HYPERLINK \l "_Toc236512731" </w:instrText>
      </w:r>
      <w:r>
        <w:rPr/>
        <w:fldChar w:fldCharType="separate"/>
      </w:r>
      <w:r>
        <w:rPr>
          <w:rStyle w:val="style85"/>
          <w:noProof/>
        </w:rPr>
        <w:t>2.5 Industry Attractiveness</w:t>
      </w:r>
      <w:r>
        <w:rPr>
          <w:noProof/>
          <w:webHidden/>
        </w:rPr>
        <w:tab/>
      </w:r>
      <w:r>
        <w:rPr>
          <w:noProof/>
          <w:webHidden/>
        </w:rPr>
        <w:fldChar w:fldCharType="begin"/>
      </w:r>
      <w:r>
        <w:rPr>
          <w:noProof/>
          <w:webHidden/>
        </w:rPr>
        <w:instrText xml:space="preserve"> PAGEREF _Toc236512731 \h </w:instrText>
      </w:r>
      <w:r>
        <w:rPr>
          <w:noProof/>
          <w:webHidden/>
        </w:rPr>
        <w:fldChar w:fldCharType="separate"/>
      </w:r>
      <w:r>
        <w:rPr>
          <w:noProof/>
          <w:webHidden/>
        </w:rPr>
        <w:t>16</w:t>
      </w:r>
      <w:r>
        <w:rPr>
          <w:noProof/>
          <w:webHidden/>
        </w:rPr>
        <w:fldChar w:fldCharType="end"/>
      </w:r>
      <w:r>
        <w:rPr/>
        <w:fldChar w:fldCharType="end"/>
      </w:r>
    </w:p>
    <w:p w14:paraId="787334B6">
      <w:pPr>
        <w:pStyle w:val="style20"/>
        <w:tabs>
          <w:tab w:val="right" w:leader="dot" w:pos="9350"/>
        </w:tabs>
        <w:rPr>
          <w:rFonts w:ascii="Aptos" w:eastAsia="宋体" w:hAnsi="Aptos"/>
          <w:noProof/>
          <w:lang w:val="en-IN" w:eastAsia="en-IN"/>
        </w:rPr>
      </w:pPr>
      <w:r>
        <w:rPr/>
        <w:fldChar w:fldCharType="begin"/>
      </w:r>
      <w:r>
        <w:instrText xml:space="preserve"> HYPERLINK \l "_Toc236512732" </w:instrText>
      </w:r>
      <w:r>
        <w:rPr/>
        <w:fldChar w:fldCharType="separate"/>
      </w:r>
      <w:r>
        <w:rPr>
          <w:rStyle w:val="style85"/>
          <w:noProof/>
        </w:rPr>
        <w:t>2.6 OLI Paradigm</w:t>
      </w:r>
      <w:r>
        <w:rPr>
          <w:noProof/>
          <w:webHidden/>
        </w:rPr>
        <w:tab/>
      </w:r>
      <w:r>
        <w:rPr>
          <w:noProof/>
          <w:webHidden/>
        </w:rPr>
        <w:fldChar w:fldCharType="begin"/>
      </w:r>
      <w:r>
        <w:rPr>
          <w:noProof/>
          <w:webHidden/>
        </w:rPr>
        <w:instrText xml:space="preserve"> PAGEREF _Toc236512732 \h </w:instrText>
      </w:r>
      <w:r>
        <w:rPr>
          <w:noProof/>
          <w:webHidden/>
        </w:rPr>
        <w:fldChar w:fldCharType="separate"/>
      </w:r>
      <w:r>
        <w:rPr>
          <w:noProof/>
          <w:webHidden/>
        </w:rPr>
        <w:t>17</w:t>
      </w:r>
      <w:r>
        <w:rPr>
          <w:noProof/>
          <w:webHidden/>
        </w:rPr>
        <w:fldChar w:fldCharType="end"/>
      </w:r>
      <w:r>
        <w:rPr/>
        <w:fldChar w:fldCharType="end"/>
      </w:r>
    </w:p>
    <w:p w14:paraId="76BA18C9">
      <w:pPr>
        <w:pStyle w:val="style21"/>
        <w:tabs>
          <w:tab w:val="right" w:leader="dot" w:pos="9350"/>
        </w:tabs>
        <w:rPr>
          <w:rFonts w:ascii="Aptos" w:eastAsia="宋体" w:hAnsi="Aptos"/>
          <w:noProof/>
          <w:lang w:val="en-IN" w:eastAsia="en-IN"/>
        </w:rPr>
      </w:pPr>
      <w:r>
        <w:rPr/>
        <w:fldChar w:fldCharType="begin"/>
      </w:r>
      <w:r>
        <w:instrText xml:space="preserve"> HYPERLINK \l "_Toc236512733" </w:instrText>
      </w:r>
      <w:r>
        <w:rPr/>
        <w:fldChar w:fldCharType="separate"/>
      </w:r>
      <w:r>
        <w:rPr>
          <w:rStyle w:val="style85"/>
          <w:noProof/>
        </w:rPr>
        <w:t>Ownership Advantages</w:t>
      </w:r>
      <w:r>
        <w:rPr>
          <w:noProof/>
          <w:webHidden/>
        </w:rPr>
        <w:tab/>
      </w:r>
      <w:r>
        <w:rPr>
          <w:noProof/>
          <w:webHidden/>
        </w:rPr>
        <w:fldChar w:fldCharType="begin"/>
      </w:r>
      <w:r>
        <w:rPr>
          <w:noProof/>
          <w:webHidden/>
        </w:rPr>
        <w:instrText xml:space="preserve"> PAGEREF _Toc236512733 \h </w:instrText>
      </w:r>
      <w:r>
        <w:rPr>
          <w:noProof/>
          <w:webHidden/>
        </w:rPr>
        <w:fldChar w:fldCharType="separate"/>
      </w:r>
      <w:r>
        <w:rPr>
          <w:noProof/>
          <w:webHidden/>
        </w:rPr>
        <w:t>18</w:t>
      </w:r>
      <w:r>
        <w:rPr>
          <w:noProof/>
          <w:webHidden/>
        </w:rPr>
        <w:fldChar w:fldCharType="end"/>
      </w:r>
      <w:r>
        <w:rPr/>
        <w:fldChar w:fldCharType="end"/>
      </w:r>
    </w:p>
    <w:p w14:paraId="5C55BBCC">
      <w:pPr>
        <w:pStyle w:val="style21"/>
        <w:tabs>
          <w:tab w:val="right" w:leader="dot" w:pos="9350"/>
        </w:tabs>
        <w:rPr>
          <w:rFonts w:ascii="Aptos" w:eastAsia="宋体" w:hAnsi="Aptos"/>
          <w:noProof/>
          <w:lang w:val="en-IN" w:eastAsia="en-IN"/>
        </w:rPr>
      </w:pPr>
      <w:r>
        <w:rPr/>
        <w:fldChar w:fldCharType="begin"/>
      </w:r>
      <w:r>
        <w:instrText xml:space="preserve"> HYPERLINK \l "_Toc236512734" </w:instrText>
      </w:r>
      <w:r>
        <w:rPr/>
        <w:fldChar w:fldCharType="separate"/>
      </w:r>
      <w:r>
        <w:rPr>
          <w:rStyle w:val="style85"/>
          <w:noProof/>
        </w:rPr>
        <w:t>Location Advantages</w:t>
      </w:r>
      <w:r>
        <w:rPr>
          <w:noProof/>
          <w:webHidden/>
        </w:rPr>
        <w:tab/>
      </w:r>
      <w:r>
        <w:rPr>
          <w:noProof/>
          <w:webHidden/>
        </w:rPr>
        <w:fldChar w:fldCharType="begin"/>
      </w:r>
      <w:r>
        <w:rPr>
          <w:noProof/>
          <w:webHidden/>
        </w:rPr>
        <w:instrText xml:space="preserve"> PAGEREF _Toc236512734 \h </w:instrText>
      </w:r>
      <w:r>
        <w:rPr>
          <w:noProof/>
          <w:webHidden/>
        </w:rPr>
        <w:fldChar w:fldCharType="separate"/>
      </w:r>
      <w:r>
        <w:rPr>
          <w:noProof/>
          <w:webHidden/>
        </w:rPr>
        <w:t>18</w:t>
      </w:r>
      <w:r>
        <w:rPr>
          <w:noProof/>
          <w:webHidden/>
        </w:rPr>
        <w:fldChar w:fldCharType="end"/>
      </w:r>
      <w:r>
        <w:rPr/>
        <w:fldChar w:fldCharType="end"/>
      </w:r>
    </w:p>
    <w:p w14:paraId="601266C9">
      <w:pPr>
        <w:pStyle w:val="style21"/>
        <w:tabs>
          <w:tab w:val="right" w:leader="dot" w:pos="9350"/>
        </w:tabs>
        <w:rPr>
          <w:rFonts w:ascii="Aptos" w:eastAsia="宋体" w:hAnsi="Aptos"/>
          <w:noProof/>
          <w:lang w:val="en-IN" w:eastAsia="en-IN"/>
        </w:rPr>
      </w:pPr>
      <w:r>
        <w:rPr/>
        <w:fldChar w:fldCharType="begin"/>
      </w:r>
      <w:r>
        <w:instrText xml:space="preserve"> HYPERLINK \l "_Toc236512735" </w:instrText>
      </w:r>
      <w:r>
        <w:rPr/>
        <w:fldChar w:fldCharType="separate"/>
      </w:r>
      <w:r>
        <w:rPr>
          <w:rStyle w:val="style85"/>
          <w:noProof/>
        </w:rPr>
        <w:t>Internalisation Advantages</w:t>
      </w:r>
      <w:r>
        <w:rPr>
          <w:noProof/>
          <w:webHidden/>
        </w:rPr>
        <w:tab/>
      </w:r>
      <w:r>
        <w:rPr>
          <w:noProof/>
          <w:webHidden/>
        </w:rPr>
        <w:fldChar w:fldCharType="begin"/>
      </w:r>
      <w:r>
        <w:rPr>
          <w:noProof/>
          <w:webHidden/>
        </w:rPr>
        <w:instrText xml:space="preserve"> PAGEREF _Toc236512735 \h </w:instrText>
      </w:r>
      <w:r>
        <w:rPr>
          <w:noProof/>
          <w:webHidden/>
        </w:rPr>
        <w:fldChar w:fldCharType="separate"/>
      </w:r>
      <w:r>
        <w:rPr>
          <w:noProof/>
          <w:webHidden/>
        </w:rPr>
        <w:t>19</w:t>
      </w:r>
      <w:r>
        <w:rPr>
          <w:noProof/>
          <w:webHidden/>
        </w:rPr>
        <w:fldChar w:fldCharType="end"/>
      </w:r>
      <w:r>
        <w:rPr/>
        <w:fldChar w:fldCharType="end"/>
      </w:r>
    </w:p>
    <w:p w14:paraId="3CFE1984">
      <w:pPr>
        <w:pStyle w:val="style19"/>
        <w:tabs>
          <w:tab w:val="right" w:leader="dot" w:pos="9350"/>
        </w:tabs>
        <w:rPr>
          <w:rFonts w:ascii="Aptos" w:eastAsia="宋体" w:hAnsi="Aptos"/>
          <w:noProof/>
          <w:lang w:val="en-IN" w:eastAsia="en-IN"/>
        </w:rPr>
      </w:pPr>
      <w:r>
        <w:rPr/>
        <w:fldChar w:fldCharType="begin"/>
      </w:r>
      <w:r>
        <w:instrText xml:space="preserve"> HYPERLINK \l "_Toc236512736" </w:instrText>
      </w:r>
      <w:r>
        <w:rPr/>
        <w:fldChar w:fldCharType="separate"/>
      </w:r>
      <w:r>
        <w:rPr>
          <w:rStyle w:val="style85"/>
          <w:noProof/>
        </w:rPr>
        <w:t>Part 3: Entry Mode Strategy and Strategic Synthesis</w:t>
      </w:r>
      <w:r>
        <w:rPr>
          <w:noProof/>
          <w:webHidden/>
        </w:rPr>
        <w:tab/>
      </w:r>
      <w:r>
        <w:rPr>
          <w:noProof/>
          <w:webHidden/>
        </w:rPr>
        <w:fldChar w:fldCharType="begin"/>
      </w:r>
      <w:r>
        <w:rPr>
          <w:noProof/>
          <w:webHidden/>
        </w:rPr>
        <w:instrText xml:space="preserve"> PAGEREF _Toc236512736 \h </w:instrText>
      </w:r>
      <w:r>
        <w:rPr>
          <w:noProof/>
          <w:webHidden/>
        </w:rPr>
        <w:fldChar w:fldCharType="separate"/>
      </w:r>
      <w:r>
        <w:rPr>
          <w:noProof/>
          <w:webHidden/>
        </w:rPr>
        <w:t>19</w:t>
      </w:r>
      <w:r>
        <w:rPr>
          <w:noProof/>
          <w:webHidden/>
        </w:rPr>
        <w:fldChar w:fldCharType="end"/>
      </w:r>
      <w:r>
        <w:rPr/>
        <w:fldChar w:fldCharType="end"/>
      </w:r>
    </w:p>
    <w:p w14:paraId="7B25B763">
      <w:pPr>
        <w:pStyle w:val="style20"/>
        <w:tabs>
          <w:tab w:val="right" w:leader="dot" w:pos="9350"/>
        </w:tabs>
        <w:rPr>
          <w:rFonts w:ascii="Aptos" w:eastAsia="宋体" w:hAnsi="Aptos"/>
          <w:noProof/>
          <w:lang w:val="en-IN" w:eastAsia="en-IN"/>
        </w:rPr>
      </w:pPr>
      <w:r>
        <w:rPr/>
        <w:fldChar w:fldCharType="begin"/>
      </w:r>
      <w:r>
        <w:instrText xml:space="preserve"> HYPERLINK \l "_Toc236512737" </w:instrText>
      </w:r>
      <w:r>
        <w:rPr/>
        <w:fldChar w:fldCharType="separate"/>
      </w:r>
      <w:r>
        <w:rPr>
          <w:rStyle w:val="style85"/>
          <w:noProof/>
        </w:rPr>
        <w:t>3.1 Historical Entry Pattern</w:t>
      </w:r>
      <w:r>
        <w:rPr>
          <w:noProof/>
          <w:webHidden/>
        </w:rPr>
        <w:tab/>
      </w:r>
      <w:r>
        <w:rPr>
          <w:noProof/>
          <w:webHidden/>
        </w:rPr>
        <w:fldChar w:fldCharType="begin"/>
      </w:r>
      <w:r>
        <w:rPr>
          <w:noProof/>
          <w:webHidden/>
        </w:rPr>
        <w:instrText xml:space="preserve"> PAGEREF _Toc236512737 \h </w:instrText>
      </w:r>
      <w:r>
        <w:rPr>
          <w:noProof/>
          <w:webHidden/>
        </w:rPr>
        <w:fldChar w:fldCharType="separate"/>
      </w:r>
      <w:r>
        <w:rPr>
          <w:noProof/>
          <w:webHidden/>
        </w:rPr>
        <w:t>19</w:t>
      </w:r>
      <w:r>
        <w:rPr>
          <w:noProof/>
          <w:webHidden/>
        </w:rPr>
        <w:fldChar w:fldCharType="end"/>
      </w:r>
      <w:r>
        <w:rPr/>
        <w:fldChar w:fldCharType="end"/>
      </w:r>
    </w:p>
    <w:p w14:paraId="70F95A61">
      <w:pPr>
        <w:pStyle w:val="style20"/>
        <w:tabs>
          <w:tab w:val="right" w:leader="dot" w:pos="9350"/>
        </w:tabs>
        <w:rPr>
          <w:rFonts w:ascii="Aptos" w:eastAsia="宋体" w:hAnsi="Aptos"/>
          <w:noProof/>
          <w:lang w:val="en-IN" w:eastAsia="en-IN"/>
        </w:rPr>
      </w:pPr>
      <w:r>
        <w:rPr/>
        <w:fldChar w:fldCharType="begin"/>
      </w:r>
      <w:r>
        <w:instrText xml:space="preserve"> HYPERLINK \l "_Toc236512738" </w:instrText>
      </w:r>
      <w:r>
        <w:rPr/>
        <w:fldChar w:fldCharType="separate"/>
      </w:r>
      <w:r>
        <w:rPr>
          <w:rStyle w:val="style85"/>
          <w:noProof/>
        </w:rPr>
        <w:t>3.2 Critical Evaluation of Entry Modes</w:t>
      </w:r>
      <w:r>
        <w:rPr>
          <w:noProof/>
          <w:webHidden/>
        </w:rPr>
        <w:tab/>
      </w:r>
      <w:r>
        <w:rPr>
          <w:noProof/>
          <w:webHidden/>
        </w:rPr>
        <w:fldChar w:fldCharType="begin"/>
      </w:r>
      <w:r>
        <w:rPr>
          <w:noProof/>
          <w:webHidden/>
        </w:rPr>
        <w:instrText xml:space="preserve"> PAGEREF _Toc236512738 \h </w:instrText>
      </w:r>
      <w:r>
        <w:rPr>
          <w:noProof/>
          <w:webHidden/>
        </w:rPr>
        <w:fldChar w:fldCharType="separate"/>
      </w:r>
      <w:r>
        <w:rPr>
          <w:noProof/>
          <w:webHidden/>
        </w:rPr>
        <w:t>20</w:t>
      </w:r>
      <w:r>
        <w:rPr>
          <w:noProof/>
          <w:webHidden/>
        </w:rPr>
        <w:fldChar w:fldCharType="end"/>
      </w:r>
      <w:r>
        <w:rPr/>
        <w:fldChar w:fldCharType="end"/>
      </w:r>
    </w:p>
    <w:p w14:paraId="290D408A">
      <w:pPr>
        <w:pStyle w:val="style20"/>
        <w:tabs>
          <w:tab w:val="right" w:leader="dot" w:pos="9350"/>
        </w:tabs>
        <w:rPr>
          <w:rFonts w:ascii="Aptos" w:eastAsia="宋体" w:hAnsi="Aptos"/>
          <w:noProof/>
          <w:lang w:val="en-IN" w:eastAsia="en-IN"/>
        </w:rPr>
      </w:pPr>
      <w:r>
        <w:rPr/>
        <w:fldChar w:fldCharType="begin"/>
      </w:r>
      <w:r>
        <w:instrText xml:space="preserve"> HYPERLINK \l "_Toc236512739" </w:instrText>
      </w:r>
      <w:r>
        <w:rPr/>
        <w:fldChar w:fldCharType="separate"/>
      </w:r>
      <w:r>
        <w:rPr>
          <w:rStyle w:val="style85"/>
          <w:noProof/>
        </w:rPr>
        <w:t>3.3 Recommended Entry Mode</w:t>
      </w:r>
      <w:r>
        <w:rPr>
          <w:noProof/>
          <w:webHidden/>
        </w:rPr>
        <w:tab/>
      </w:r>
      <w:r>
        <w:rPr>
          <w:noProof/>
          <w:webHidden/>
        </w:rPr>
        <w:fldChar w:fldCharType="begin"/>
      </w:r>
      <w:r>
        <w:rPr>
          <w:noProof/>
          <w:webHidden/>
        </w:rPr>
        <w:instrText xml:space="preserve"> PAGEREF _Toc236512739 \h </w:instrText>
      </w:r>
      <w:r>
        <w:rPr>
          <w:noProof/>
          <w:webHidden/>
        </w:rPr>
        <w:fldChar w:fldCharType="separate"/>
      </w:r>
      <w:r>
        <w:rPr>
          <w:noProof/>
          <w:webHidden/>
        </w:rPr>
        <w:t>21</w:t>
      </w:r>
      <w:r>
        <w:rPr>
          <w:noProof/>
          <w:webHidden/>
        </w:rPr>
        <w:fldChar w:fldCharType="end"/>
      </w:r>
      <w:r>
        <w:rPr/>
        <w:fldChar w:fldCharType="end"/>
      </w:r>
    </w:p>
    <w:p w14:paraId="7C71A700">
      <w:pPr>
        <w:pStyle w:val="style20"/>
        <w:tabs>
          <w:tab w:val="right" w:leader="dot" w:pos="9350"/>
        </w:tabs>
        <w:rPr>
          <w:rFonts w:ascii="Aptos" w:eastAsia="宋体" w:hAnsi="Aptos"/>
          <w:noProof/>
          <w:lang w:val="en-IN" w:eastAsia="en-IN"/>
        </w:rPr>
      </w:pPr>
      <w:r>
        <w:rPr/>
        <w:fldChar w:fldCharType="begin"/>
      </w:r>
      <w:r>
        <w:instrText xml:space="preserve"> HYPERLINK \l "_Toc236512740" </w:instrText>
      </w:r>
      <w:r>
        <w:rPr/>
        <w:fldChar w:fldCharType="separate"/>
      </w:r>
      <w:r>
        <w:rPr>
          <w:rStyle w:val="style85"/>
          <w:noProof/>
        </w:rPr>
        <w:t>3.4 Final Recommendations</w:t>
      </w:r>
      <w:r>
        <w:rPr>
          <w:noProof/>
          <w:webHidden/>
        </w:rPr>
        <w:tab/>
      </w:r>
      <w:r>
        <w:rPr>
          <w:noProof/>
          <w:webHidden/>
        </w:rPr>
        <w:fldChar w:fldCharType="begin"/>
      </w:r>
      <w:r>
        <w:rPr>
          <w:noProof/>
          <w:webHidden/>
        </w:rPr>
        <w:instrText xml:space="preserve"> PAGEREF _Toc236512740 \h </w:instrText>
      </w:r>
      <w:r>
        <w:rPr>
          <w:noProof/>
          <w:webHidden/>
        </w:rPr>
        <w:fldChar w:fldCharType="separate"/>
      </w:r>
      <w:r>
        <w:rPr>
          <w:noProof/>
          <w:webHidden/>
        </w:rPr>
        <w:t>22</w:t>
      </w:r>
      <w:r>
        <w:rPr>
          <w:noProof/>
          <w:webHidden/>
        </w:rPr>
        <w:fldChar w:fldCharType="end"/>
      </w:r>
      <w:r>
        <w:rPr/>
        <w:fldChar w:fldCharType="end"/>
      </w:r>
    </w:p>
    <w:p w14:paraId="2F20A609">
      <w:pPr>
        <w:pStyle w:val="style19"/>
        <w:tabs>
          <w:tab w:val="right" w:leader="dot" w:pos="9350"/>
        </w:tabs>
        <w:rPr>
          <w:rFonts w:ascii="Aptos" w:eastAsia="宋体" w:hAnsi="Aptos"/>
          <w:noProof/>
          <w:lang w:val="en-IN" w:eastAsia="en-IN"/>
        </w:rPr>
      </w:pPr>
      <w:r>
        <w:rPr/>
        <w:fldChar w:fldCharType="begin"/>
      </w:r>
      <w:r>
        <w:instrText xml:space="preserve"> HYPERLINK \l "_Toc236512741" </w:instrText>
      </w:r>
      <w:r>
        <w:rPr/>
        <w:fldChar w:fldCharType="separate"/>
      </w:r>
      <w:r>
        <w:rPr>
          <w:rStyle w:val="style85"/>
          <w:noProof/>
        </w:rPr>
        <w:t>Conclusion</w:t>
      </w:r>
      <w:r>
        <w:rPr>
          <w:noProof/>
          <w:webHidden/>
        </w:rPr>
        <w:tab/>
      </w:r>
      <w:r>
        <w:rPr>
          <w:noProof/>
          <w:webHidden/>
        </w:rPr>
        <w:fldChar w:fldCharType="begin"/>
      </w:r>
      <w:r>
        <w:rPr>
          <w:noProof/>
          <w:webHidden/>
        </w:rPr>
        <w:instrText xml:space="preserve"> PAGEREF _Toc236512741 \h </w:instrText>
      </w:r>
      <w:r>
        <w:rPr>
          <w:noProof/>
          <w:webHidden/>
        </w:rPr>
        <w:fldChar w:fldCharType="separate"/>
      </w:r>
      <w:r>
        <w:rPr>
          <w:noProof/>
          <w:webHidden/>
        </w:rPr>
        <w:t>23</w:t>
      </w:r>
      <w:r>
        <w:rPr>
          <w:noProof/>
          <w:webHidden/>
        </w:rPr>
        <w:fldChar w:fldCharType="end"/>
      </w:r>
      <w:r>
        <w:rPr/>
        <w:fldChar w:fldCharType="end"/>
      </w:r>
    </w:p>
    <w:p w14:paraId="128E64A4">
      <w:pPr>
        <w:pStyle w:val="style19"/>
        <w:tabs>
          <w:tab w:val="right" w:leader="dot" w:pos="9350"/>
        </w:tabs>
        <w:rPr>
          <w:rFonts w:ascii="Aptos" w:eastAsia="宋体" w:hAnsi="Aptos"/>
          <w:noProof/>
          <w:lang w:val="en-IN" w:eastAsia="en-IN"/>
        </w:rPr>
      </w:pPr>
      <w:r>
        <w:rPr/>
        <w:fldChar w:fldCharType="begin"/>
      </w:r>
      <w:r>
        <w:instrText xml:space="preserve"> HYPERLINK \l "_Toc236512742" </w:instrText>
      </w:r>
      <w:r>
        <w:rPr/>
        <w:fldChar w:fldCharType="separate"/>
      </w:r>
      <w:r>
        <w:rPr>
          <w:rStyle w:val="style85"/>
          <w:noProof/>
        </w:rPr>
        <w:t>Section 2</w:t>
      </w:r>
      <w:r>
        <w:rPr>
          <w:noProof/>
          <w:webHidden/>
        </w:rPr>
        <w:tab/>
      </w:r>
      <w:r>
        <w:rPr>
          <w:noProof/>
          <w:webHidden/>
        </w:rPr>
        <w:fldChar w:fldCharType="begin"/>
      </w:r>
      <w:r>
        <w:rPr>
          <w:noProof/>
          <w:webHidden/>
        </w:rPr>
        <w:instrText xml:space="preserve"> PAGEREF _Toc236512742 \h </w:instrText>
      </w:r>
      <w:r>
        <w:rPr>
          <w:noProof/>
          <w:webHidden/>
        </w:rPr>
        <w:fldChar w:fldCharType="separate"/>
      </w:r>
      <w:r>
        <w:rPr>
          <w:noProof/>
          <w:webHidden/>
        </w:rPr>
        <w:t>24</w:t>
      </w:r>
      <w:r>
        <w:rPr>
          <w:noProof/>
          <w:webHidden/>
        </w:rPr>
        <w:fldChar w:fldCharType="end"/>
      </w:r>
      <w:r>
        <w:rPr/>
        <w:fldChar w:fldCharType="end"/>
      </w:r>
    </w:p>
    <w:p w14:paraId="7BB791FC">
      <w:pPr>
        <w:pStyle w:val="style19"/>
        <w:tabs>
          <w:tab w:val="right" w:leader="dot" w:pos="9350"/>
        </w:tabs>
        <w:rPr>
          <w:rFonts w:ascii="Aptos" w:eastAsia="宋体" w:hAnsi="Aptos"/>
          <w:noProof/>
          <w:lang w:val="en-IN" w:eastAsia="en-IN"/>
        </w:rPr>
      </w:pPr>
      <w:r>
        <w:rPr/>
        <w:fldChar w:fldCharType="begin"/>
      </w:r>
      <w:r>
        <w:instrText xml:space="preserve"> HYPERLINK \l "_Toc236512743" </w:instrText>
      </w:r>
      <w:r>
        <w:rPr/>
        <w:fldChar w:fldCharType="separate"/>
      </w:r>
      <w:r>
        <w:rPr>
          <w:rStyle w:val="style85"/>
          <w:noProof/>
        </w:rPr>
        <w:t>Reflective Account (Gibbs' Reflective Cycle)</w:t>
      </w:r>
      <w:r>
        <w:rPr>
          <w:noProof/>
          <w:webHidden/>
        </w:rPr>
        <w:tab/>
      </w:r>
      <w:r>
        <w:rPr>
          <w:noProof/>
          <w:webHidden/>
        </w:rPr>
        <w:fldChar w:fldCharType="begin"/>
      </w:r>
      <w:r>
        <w:rPr>
          <w:noProof/>
          <w:webHidden/>
        </w:rPr>
        <w:instrText xml:space="preserve"> PAGEREF _Toc236512743 \h </w:instrText>
      </w:r>
      <w:r>
        <w:rPr>
          <w:noProof/>
          <w:webHidden/>
        </w:rPr>
        <w:fldChar w:fldCharType="separate"/>
      </w:r>
      <w:r>
        <w:rPr>
          <w:noProof/>
          <w:webHidden/>
        </w:rPr>
        <w:t>24</w:t>
      </w:r>
      <w:r>
        <w:rPr>
          <w:noProof/>
          <w:webHidden/>
        </w:rPr>
        <w:fldChar w:fldCharType="end"/>
      </w:r>
      <w:r>
        <w:rPr/>
        <w:fldChar w:fldCharType="end"/>
      </w:r>
    </w:p>
    <w:p w14:paraId="4C686968">
      <w:pPr>
        <w:pStyle w:val="style20"/>
        <w:tabs>
          <w:tab w:val="right" w:leader="dot" w:pos="9350"/>
        </w:tabs>
        <w:rPr>
          <w:rFonts w:ascii="Aptos" w:eastAsia="宋体" w:hAnsi="Aptos"/>
          <w:noProof/>
          <w:lang w:val="en-IN" w:eastAsia="en-IN"/>
        </w:rPr>
      </w:pPr>
      <w:r>
        <w:rPr/>
        <w:fldChar w:fldCharType="begin"/>
      </w:r>
      <w:r>
        <w:instrText xml:space="preserve"> HYPERLINK \l "_Toc236512744" </w:instrText>
      </w:r>
      <w:r>
        <w:rPr/>
        <w:fldChar w:fldCharType="separate"/>
      </w:r>
      <w:r>
        <w:rPr>
          <w:rStyle w:val="style85"/>
          <w:noProof/>
        </w:rPr>
        <w:t>1. Description</w:t>
      </w:r>
      <w:r>
        <w:rPr>
          <w:noProof/>
          <w:webHidden/>
        </w:rPr>
        <w:tab/>
      </w:r>
      <w:r>
        <w:rPr>
          <w:noProof/>
          <w:webHidden/>
        </w:rPr>
        <w:fldChar w:fldCharType="begin"/>
      </w:r>
      <w:r>
        <w:rPr>
          <w:noProof/>
          <w:webHidden/>
        </w:rPr>
        <w:instrText xml:space="preserve"> PAGEREF _Toc236512744 \h </w:instrText>
      </w:r>
      <w:r>
        <w:rPr>
          <w:noProof/>
          <w:webHidden/>
        </w:rPr>
        <w:fldChar w:fldCharType="separate"/>
      </w:r>
      <w:r>
        <w:rPr>
          <w:noProof/>
          <w:webHidden/>
        </w:rPr>
        <w:t>24</w:t>
      </w:r>
      <w:r>
        <w:rPr>
          <w:noProof/>
          <w:webHidden/>
        </w:rPr>
        <w:fldChar w:fldCharType="end"/>
      </w:r>
      <w:r>
        <w:rPr/>
        <w:fldChar w:fldCharType="end"/>
      </w:r>
    </w:p>
    <w:p w14:paraId="5CA0942B">
      <w:pPr>
        <w:pStyle w:val="style20"/>
        <w:tabs>
          <w:tab w:val="right" w:leader="dot" w:pos="9350"/>
        </w:tabs>
        <w:rPr>
          <w:rFonts w:ascii="Aptos" w:eastAsia="宋体" w:hAnsi="Aptos"/>
          <w:noProof/>
          <w:lang w:val="en-IN" w:eastAsia="en-IN"/>
        </w:rPr>
      </w:pPr>
      <w:r>
        <w:rPr/>
        <w:fldChar w:fldCharType="begin"/>
      </w:r>
      <w:r>
        <w:instrText xml:space="preserve"> HYPERLINK \l "_Toc236512745" </w:instrText>
      </w:r>
      <w:r>
        <w:rPr/>
        <w:fldChar w:fldCharType="separate"/>
      </w:r>
      <w:r>
        <w:rPr>
          <w:rStyle w:val="style85"/>
          <w:noProof/>
        </w:rPr>
        <w:t>2. Feelings</w:t>
      </w:r>
      <w:r>
        <w:rPr>
          <w:noProof/>
          <w:webHidden/>
        </w:rPr>
        <w:tab/>
      </w:r>
      <w:r>
        <w:rPr>
          <w:noProof/>
          <w:webHidden/>
        </w:rPr>
        <w:fldChar w:fldCharType="begin"/>
      </w:r>
      <w:r>
        <w:rPr>
          <w:noProof/>
          <w:webHidden/>
        </w:rPr>
        <w:instrText xml:space="preserve"> PAGEREF _Toc236512745 \h </w:instrText>
      </w:r>
      <w:r>
        <w:rPr>
          <w:noProof/>
          <w:webHidden/>
        </w:rPr>
        <w:fldChar w:fldCharType="separate"/>
      </w:r>
      <w:r>
        <w:rPr>
          <w:noProof/>
          <w:webHidden/>
        </w:rPr>
        <w:t>25</w:t>
      </w:r>
      <w:r>
        <w:rPr>
          <w:noProof/>
          <w:webHidden/>
        </w:rPr>
        <w:fldChar w:fldCharType="end"/>
      </w:r>
      <w:r>
        <w:rPr/>
        <w:fldChar w:fldCharType="end"/>
      </w:r>
    </w:p>
    <w:p w14:paraId="17612A36">
      <w:pPr>
        <w:pStyle w:val="style20"/>
        <w:tabs>
          <w:tab w:val="right" w:leader="dot" w:pos="9350"/>
        </w:tabs>
        <w:rPr>
          <w:rFonts w:ascii="Aptos" w:eastAsia="宋体" w:hAnsi="Aptos"/>
          <w:noProof/>
          <w:lang w:val="en-IN" w:eastAsia="en-IN"/>
        </w:rPr>
      </w:pPr>
      <w:r>
        <w:rPr/>
        <w:fldChar w:fldCharType="begin"/>
      </w:r>
      <w:r>
        <w:instrText xml:space="preserve"> HYPERLINK \l "_Toc236512746" </w:instrText>
      </w:r>
      <w:r>
        <w:rPr/>
        <w:fldChar w:fldCharType="separate"/>
      </w:r>
      <w:r>
        <w:rPr>
          <w:rStyle w:val="style85"/>
          <w:noProof/>
        </w:rPr>
        <w:t>3. Evaluation</w:t>
      </w:r>
      <w:r>
        <w:rPr>
          <w:noProof/>
          <w:webHidden/>
        </w:rPr>
        <w:tab/>
      </w:r>
      <w:r>
        <w:rPr>
          <w:noProof/>
          <w:webHidden/>
        </w:rPr>
        <w:fldChar w:fldCharType="begin"/>
      </w:r>
      <w:r>
        <w:rPr>
          <w:noProof/>
          <w:webHidden/>
        </w:rPr>
        <w:instrText xml:space="preserve"> PAGEREF _Toc236512746 \h </w:instrText>
      </w:r>
      <w:r>
        <w:rPr>
          <w:noProof/>
          <w:webHidden/>
        </w:rPr>
        <w:fldChar w:fldCharType="separate"/>
      </w:r>
      <w:r>
        <w:rPr>
          <w:noProof/>
          <w:webHidden/>
        </w:rPr>
        <w:t>25</w:t>
      </w:r>
      <w:r>
        <w:rPr>
          <w:noProof/>
          <w:webHidden/>
        </w:rPr>
        <w:fldChar w:fldCharType="end"/>
      </w:r>
      <w:r>
        <w:rPr/>
        <w:fldChar w:fldCharType="end"/>
      </w:r>
    </w:p>
    <w:p w14:paraId="059D2560">
      <w:pPr>
        <w:pStyle w:val="style20"/>
        <w:tabs>
          <w:tab w:val="right" w:leader="dot" w:pos="9350"/>
        </w:tabs>
        <w:rPr>
          <w:rFonts w:ascii="Aptos" w:eastAsia="宋体" w:hAnsi="Aptos"/>
          <w:noProof/>
          <w:lang w:val="en-IN" w:eastAsia="en-IN"/>
        </w:rPr>
      </w:pPr>
      <w:r>
        <w:rPr/>
        <w:fldChar w:fldCharType="begin"/>
      </w:r>
      <w:r>
        <w:instrText xml:space="preserve"> HYPERLINK \l "_Toc236512747" </w:instrText>
      </w:r>
      <w:r>
        <w:rPr/>
        <w:fldChar w:fldCharType="separate"/>
      </w:r>
      <w:r>
        <w:rPr>
          <w:rStyle w:val="style85"/>
          <w:noProof/>
        </w:rPr>
        <w:t>4. Analysis</w:t>
      </w:r>
      <w:r>
        <w:rPr>
          <w:noProof/>
          <w:webHidden/>
        </w:rPr>
        <w:tab/>
      </w:r>
      <w:r>
        <w:rPr>
          <w:noProof/>
          <w:webHidden/>
        </w:rPr>
        <w:fldChar w:fldCharType="begin"/>
      </w:r>
      <w:r>
        <w:rPr>
          <w:noProof/>
          <w:webHidden/>
        </w:rPr>
        <w:instrText xml:space="preserve"> PAGEREF _Toc236512747 \h </w:instrText>
      </w:r>
      <w:r>
        <w:rPr>
          <w:noProof/>
          <w:webHidden/>
        </w:rPr>
        <w:fldChar w:fldCharType="separate"/>
      </w:r>
      <w:r>
        <w:rPr>
          <w:noProof/>
          <w:webHidden/>
        </w:rPr>
        <w:t>26</w:t>
      </w:r>
      <w:r>
        <w:rPr>
          <w:noProof/>
          <w:webHidden/>
        </w:rPr>
        <w:fldChar w:fldCharType="end"/>
      </w:r>
      <w:r>
        <w:rPr/>
        <w:fldChar w:fldCharType="end"/>
      </w:r>
    </w:p>
    <w:p w14:paraId="78AF797C">
      <w:pPr>
        <w:pStyle w:val="style20"/>
        <w:tabs>
          <w:tab w:val="right" w:leader="dot" w:pos="9350"/>
        </w:tabs>
        <w:rPr>
          <w:rFonts w:ascii="Aptos" w:eastAsia="宋体" w:hAnsi="Aptos"/>
          <w:noProof/>
          <w:lang w:val="en-IN" w:eastAsia="en-IN"/>
        </w:rPr>
      </w:pPr>
      <w:r>
        <w:rPr/>
        <w:fldChar w:fldCharType="begin"/>
      </w:r>
      <w:r>
        <w:instrText xml:space="preserve"> HYPERLINK \l "_Toc236512748" </w:instrText>
      </w:r>
      <w:r>
        <w:rPr/>
        <w:fldChar w:fldCharType="separate"/>
      </w:r>
      <w:r>
        <w:rPr>
          <w:rStyle w:val="style85"/>
          <w:noProof/>
        </w:rPr>
        <w:t>5. Conclusion</w:t>
      </w:r>
      <w:r>
        <w:rPr>
          <w:noProof/>
          <w:webHidden/>
        </w:rPr>
        <w:tab/>
      </w:r>
      <w:r>
        <w:rPr>
          <w:noProof/>
          <w:webHidden/>
        </w:rPr>
        <w:fldChar w:fldCharType="begin"/>
      </w:r>
      <w:r>
        <w:rPr>
          <w:noProof/>
          <w:webHidden/>
        </w:rPr>
        <w:instrText xml:space="preserve"> PAGEREF _Toc236512748 \h </w:instrText>
      </w:r>
      <w:r>
        <w:rPr>
          <w:noProof/>
          <w:webHidden/>
        </w:rPr>
        <w:fldChar w:fldCharType="separate"/>
      </w:r>
      <w:r>
        <w:rPr>
          <w:noProof/>
          <w:webHidden/>
        </w:rPr>
        <w:t>27</w:t>
      </w:r>
      <w:r>
        <w:rPr>
          <w:noProof/>
          <w:webHidden/>
        </w:rPr>
        <w:fldChar w:fldCharType="end"/>
      </w:r>
      <w:r>
        <w:rPr/>
        <w:fldChar w:fldCharType="end"/>
      </w:r>
    </w:p>
    <w:p w14:paraId="7ED4914A">
      <w:pPr>
        <w:pStyle w:val="style20"/>
        <w:tabs>
          <w:tab w:val="right" w:leader="dot" w:pos="9350"/>
        </w:tabs>
        <w:rPr>
          <w:rFonts w:ascii="Aptos" w:eastAsia="宋体" w:hAnsi="Aptos"/>
          <w:noProof/>
          <w:lang w:val="en-IN" w:eastAsia="en-IN"/>
        </w:rPr>
      </w:pPr>
      <w:r>
        <w:rPr/>
        <w:fldChar w:fldCharType="begin"/>
      </w:r>
      <w:r>
        <w:instrText xml:space="preserve"> HYPERLINK \l "_Toc236512749" </w:instrText>
      </w:r>
      <w:r>
        <w:rPr/>
        <w:fldChar w:fldCharType="separate"/>
      </w:r>
      <w:r>
        <w:rPr>
          <w:rStyle w:val="style85"/>
          <w:noProof/>
        </w:rPr>
        <w:t>6. Action Plan</w:t>
      </w:r>
      <w:r>
        <w:rPr>
          <w:noProof/>
          <w:webHidden/>
        </w:rPr>
        <w:tab/>
      </w:r>
      <w:r>
        <w:rPr>
          <w:noProof/>
          <w:webHidden/>
        </w:rPr>
        <w:fldChar w:fldCharType="begin"/>
      </w:r>
      <w:r>
        <w:rPr>
          <w:noProof/>
          <w:webHidden/>
        </w:rPr>
        <w:instrText xml:space="preserve"> PAGEREF _Toc236512749 \h </w:instrText>
      </w:r>
      <w:r>
        <w:rPr>
          <w:noProof/>
          <w:webHidden/>
        </w:rPr>
        <w:fldChar w:fldCharType="separate"/>
      </w:r>
      <w:r>
        <w:rPr>
          <w:noProof/>
          <w:webHidden/>
        </w:rPr>
        <w:t>28</w:t>
      </w:r>
      <w:r>
        <w:rPr>
          <w:noProof/>
          <w:webHidden/>
        </w:rPr>
        <w:fldChar w:fldCharType="end"/>
      </w:r>
      <w:r>
        <w:rPr/>
        <w:fldChar w:fldCharType="end"/>
      </w:r>
    </w:p>
    <w:p w14:paraId="3BD6BED7">
      <w:pPr>
        <w:pStyle w:val="style19"/>
        <w:tabs>
          <w:tab w:val="right" w:leader="dot" w:pos="9350"/>
        </w:tabs>
        <w:rPr>
          <w:rFonts w:ascii="Aptos" w:eastAsia="宋体" w:hAnsi="Aptos"/>
          <w:noProof/>
          <w:lang w:val="en-IN" w:eastAsia="en-IN"/>
        </w:rPr>
      </w:pPr>
      <w:r>
        <w:rPr/>
        <w:fldChar w:fldCharType="begin"/>
      </w:r>
      <w:r>
        <w:instrText xml:space="preserve"> HYPERLINK \l "_Toc236512750"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_Toc236512750 \h </w:instrText>
      </w:r>
      <w:r>
        <w:rPr>
          <w:noProof/>
          <w:webHidden/>
        </w:rPr>
        <w:fldChar w:fldCharType="separate"/>
      </w:r>
      <w:r>
        <w:rPr>
          <w:noProof/>
          <w:webHidden/>
        </w:rPr>
        <w:t>29</w:t>
      </w:r>
      <w:r>
        <w:rPr>
          <w:noProof/>
          <w:webHidden/>
        </w:rPr>
        <w:fldChar w:fldCharType="end"/>
      </w:r>
      <w:r>
        <w:rPr/>
        <w:fldChar w:fldCharType="end"/>
      </w:r>
    </w:p>
    <w:p w14:paraId="5365D6E3">
      <w:pPr>
        <w:pStyle w:val="style0"/>
        <w:rPr/>
      </w:pPr>
      <w:r>
        <w:rPr>
          <w:b/>
          <w:bCs/>
          <w:noProof/>
        </w:rPr>
        <w:fldChar w:fldCharType="end"/>
      </w:r>
    </w:p>
    <w:p w14:paraId="499AAEBD">
      <w:pPr>
        <w:pStyle w:val="style0"/>
        <w:rPr/>
      </w:pPr>
    </w:p>
    <w:p w14:paraId="65E16A85">
      <w:pPr>
        <w:pStyle w:val="style0"/>
        <w:spacing w:before="0" w:after="160" w:lineRule="auto" w:line="278"/>
        <w:jc w:val="left"/>
        <w:rPr/>
      </w:pPr>
      <w:r>
        <w:br w:type="page"/>
      </w:r>
    </w:p>
    <w:bookmarkStart w:id="0" w:name="_Toc236512720"/>
    <w:p w14:paraId="7E7615D8">
      <w:pPr>
        <w:pStyle w:val="style1"/>
        <w:rPr/>
      </w:pPr>
      <w:r>
        <w:t>Introduction</w:t>
      </w:r>
      <w:bookmarkEnd w:id="0"/>
      <w:r>
        <w:t xml:space="preserve"> </w:t>
      </w:r>
    </w:p>
    <w:p w14:paraId="48EA6C2E">
      <w:pPr>
        <w:pStyle w:val="style0"/>
        <w:rPr/>
      </w:pPr>
      <w:r>
        <w:t>Costco Wholesale Corporation is a member-owned warehouse club, known for its high-quality branded and private-label merchandise at competitive prices, with a low-cost, high-volume strategy</w:t>
      </w:r>
      <w:r>
        <w:t xml:space="preserve"> (Costco, 2026)</w:t>
      </w:r>
      <w:r>
        <w:t xml:space="preserve">. With 928 stores in 14 countries and around 145 million cardholders, Costco is proving to be very successful in the international </w:t>
      </w:r>
      <w:r>
        <w:t>market,</w:t>
      </w:r>
      <w:r>
        <w:t xml:space="preserve"> and its operations are very efficient</w:t>
      </w:r>
      <w:r>
        <w:t>,</w:t>
      </w:r>
      <w:r>
        <w:t xml:space="preserve"> as evidenced by the revenue of US$2</w:t>
      </w:r>
      <w:r>
        <w:t>93</w:t>
      </w:r>
      <w:r>
        <w:t>.</w:t>
      </w:r>
      <w:r>
        <w:t>58</w:t>
      </w:r>
      <w:r>
        <w:t xml:space="preserve"> billion in FY 202</w:t>
      </w:r>
      <w:r>
        <w:t>6</w:t>
      </w:r>
      <w:r>
        <w:t xml:space="preserve"> (Costco, 2026</w:t>
      </w:r>
      <w:r>
        <w:t xml:space="preserve">; </w:t>
      </w:r>
      <w:r>
        <w:t>Companies Market Cap, 2026</w:t>
      </w:r>
      <w:r>
        <w:t>)</w:t>
      </w:r>
      <w:r>
        <w:t>.</w:t>
      </w:r>
      <w:r>
        <w:t xml:space="preserve"> </w:t>
      </w:r>
    </w:p>
    <w:p w14:paraId="4DD8BDD8">
      <w:pPr>
        <w:pStyle w:val="style0"/>
        <w:keepNext/>
        <w:jc w:val="center"/>
        <w:rPr>
          <w:b/>
          <w:bCs/>
          <w:i/>
          <w:iCs/>
        </w:rPr>
      </w:pPr>
      <w:r>
        <w:rPr>
          <w:b/>
          <w:bCs/>
          <w:i/>
          <w:iCs/>
        </w:rPr>
        <w:drawing>
          <wp:inline distL="0" distT="0" distB="0" distR="0">
            <wp:extent cx="5943600" cy="2167255"/>
            <wp:effectExtent l="76200" t="76200" r="133350" b="137795"/>
            <wp:docPr id="1027"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3" cstate="print"/>
                    <a:srcRect l="0" t="0" r="0" b="0"/>
                    <a:stretch/>
                  </pic:blipFill>
                  <pic:spPr>
                    <a:xfrm rot="0">
                      <a:off x="0" y="0"/>
                      <a:ext cx="5943600" cy="2167255"/>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14:paraId="47636CD7">
      <w:pPr>
        <w:pStyle w:val="style34"/>
        <w:rPr>
          <w:bCs/>
        </w:rPr>
      </w:pPr>
      <w:r>
        <w:rPr>
          <w:bCs/>
        </w:rPr>
        <w:t xml:space="preserve">Figure </w:t>
      </w:r>
      <w:r>
        <w:rPr>
          <w:bCs/>
        </w:rPr>
        <w:fldChar w:fldCharType="begin"/>
      </w:r>
      <w:r>
        <w:rPr>
          <w:bCs/>
        </w:rPr>
        <w:instrText xml:space="preserve"> SEQ Figure \* ARABIC </w:instrText>
      </w:r>
      <w:r>
        <w:rPr>
          <w:bCs/>
        </w:rPr>
        <w:fldChar w:fldCharType="separate"/>
      </w:r>
      <w:r>
        <w:rPr>
          <w:bCs/>
          <w:noProof/>
        </w:rPr>
        <w:t>1</w:t>
      </w:r>
      <w:r>
        <w:rPr>
          <w:bCs/>
        </w:rPr>
        <w:fldChar w:fldCharType="end"/>
      </w:r>
      <w:r>
        <w:rPr>
          <w:bCs/>
        </w:rPr>
        <w:t>: Revenue history for Costco from 1996 to 2026</w:t>
      </w:r>
    </w:p>
    <w:p w14:paraId="0E8E50C8">
      <w:pPr>
        <w:pStyle w:val="style0"/>
        <w:jc w:val="center"/>
        <w:rPr>
          <w:b/>
          <w:bCs/>
          <w:i/>
          <w:iCs/>
        </w:rPr>
      </w:pPr>
      <w:r>
        <w:rPr>
          <w:b/>
          <w:bCs/>
          <w:i/>
          <w:iCs/>
        </w:rPr>
        <w:t>(Source: Companies Market Cap, 2026)</w:t>
      </w:r>
    </w:p>
    <w:p w14:paraId="47F8BA5C">
      <w:pPr>
        <w:pStyle w:val="style0"/>
        <w:rPr/>
      </w:pPr>
      <w:r>
        <w:t>Due to their high purchasing power and highly developed economy, the strategic viability of Costco in Switzerland, a European nation with a GDP of approximately US$1 trillion, a population of around 9 million, and amongst the highest Purchasing Power Parity (PPP) countries in the world</w:t>
      </w:r>
      <w:r>
        <w:t>,</w:t>
      </w:r>
      <w:r>
        <w:t xml:space="preserve"> is a subject that will require evaluation</w:t>
      </w:r>
      <w:r>
        <w:t xml:space="preserve"> (</w:t>
      </w:r>
      <w:r>
        <w:t>Economy Insights</w:t>
      </w:r>
      <w:r>
        <w:t>, 2025)</w:t>
      </w:r>
      <w:r>
        <w:t>.</w:t>
      </w:r>
      <w:r>
        <w:t xml:space="preserve"> </w:t>
      </w:r>
      <w:r>
        <w:t>The retail market in Switzerland has a value of more than CHF 110 billion, due to the stable economy, high-end customers and excellent infrastructure, which makes it an attractive market for international retailers</w:t>
      </w:r>
      <w:r>
        <w:t xml:space="preserve"> (</w:t>
      </w:r>
      <w:r>
        <w:t>About Switzerland</w:t>
      </w:r>
      <w:r>
        <w:t>, 2023)</w:t>
      </w:r>
      <w:r>
        <w:t>.</w:t>
      </w:r>
      <w:r>
        <w:t xml:space="preserve"> </w:t>
      </w:r>
    </w:p>
    <w:p w14:paraId="5710814B">
      <w:pPr>
        <w:pStyle w:val="style0"/>
        <w:keepNext/>
        <w:jc w:val="center"/>
        <w:rPr>
          <w:b/>
          <w:bCs/>
          <w:i/>
          <w:iCs/>
        </w:rPr>
      </w:pPr>
      <w:r>
        <w:rPr/>
        <w:drawing>
          <wp:inline distL="0" distT="0" distB="0" distR="0">
            <wp:extent cx="2191931" cy="887972"/>
            <wp:effectExtent l="76200" t="76200" r="132715" b="140970"/>
            <wp:docPr id="1028"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1"/>
                    <pic:cNvPicPr/>
                  </pic:nvPicPr>
                  <pic:blipFill>
                    <a:blip r:embed="rId4" cstate="print"/>
                    <a:srcRect l="0" t="0" r="0" b="0"/>
                    <a:stretch/>
                  </pic:blipFill>
                  <pic:spPr>
                    <a:xfrm rot="0">
                      <a:off x="0" y="0"/>
                      <a:ext cx="2191931" cy="887972"/>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14:paraId="3E200494">
      <w:pPr>
        <w:pStyle w:val="style34"/>
        <w:rPr>
          <w:bCs/>
        </w:rPr>
      </w:pPr>
      <w:r>
        <w:rPr>
          <w:bCs/>
        </w:rPr>
        <w:t xml:space="preserve">Figure </w:t>
      </w:r>
      <w:r>
        <w:rPr>
          <w:bCs/>
        </w:rPr>
        <w:fldChar w:fldCharType="begin"/>
      </w:r>
      <w:r>
        <w:rPr>
          <w:bCs/>
        </w:rPr>
        <w:instrText xml:space="preserve"> SEQ Figure \* ARABIC </w:instrText>
      </w:r>
      <w:r>
        <w:rPr>
          <w:bCs/>
        </w:rPr>
        <w:fldChar w:fldCharType="separate"/>
      </w:r>
      <w:r>
        <w:rPr>
          <w:bCs/>
          <w:noProof/>
        </w:rPr>
        <w:t>2</w:t>
      </w:r>
      <w:r>
        <w:rPr>
          <w:bCs/>
        </w:rPr>
        <w:fldChar w:fldCharType="end"/>
      </w:r>
      <w:r>
        <w:rPr>
          <w:bCs/>
        </w:rPr>
        <w:t>: Logo of the company</w:t>
      </w:r>
    </w:p>
    <w:p w14:paraId="213F1124">
      <w:pPr>
        <w:pStyle w:val="style0"/>
        <w:jc w:val="center"/>
        <w:rPr>
          <w:b/>
          <w:bCs/>
          <w:i/>
          <w:iCs/>
        </w:rPr>
      </w:pPr>
      <w:r>
        <w:rPr>
          <w:b/>
          <w:bCs/>
          <w:i/>
          <w:iCs/>
        </w:rPr>
        <w:t>(Source: Costco, 2026)</w:t>
      </w:r>
    </w:p>
    <w:p w14:paraId="589B10A2">
      <w:pPr>
        <w:pStyle w:val="style0"/>
        <w:rPr/>
      </w:pPr>
      <w:r>
        <w:t xml:space="preserve">Hence, the purpose of this report is to critically evaluate Switzerland's potential as a </w:t>
      </w:r>
      <w:r>
        <w:t>C</w:t>
      </w:r>
      <w:r>
        <w:t>ostco based on international theories and strategic frameworks of business. The report begins with an analysis of Costco's global strategy, followed by a review of the political, economic, legal and cultural landscape of Switzerland as well as Dunning's OLI paradigm, and finally by a recommendation of the most appropriate market entry mode and a presentation of recommendations for a successful expansion</w:t>
      </w:r>
      <w:r>
        <w:t>.</w:t>
      </w:r>
    </w:p>
    <w:p w14:paraId="74CAF45B">
      <w:pPr>
        <w:pStyle w:val="style0"/>
        <w:spacing w:before="0" w:after="160" w:lineRule="auto" w:line="278"/>
        <w:jc w:val="left"/>
        <w:rPr/>
      </w:pPr>
      <w:r>
        <w:br w:type="page"/>
      </w:r>
    </w:p>
    <w:bookmarkStart w:id="1" w:name="_Toc236512721"/>
    <w:p w14:paraId="7A600A85">
      <w:pPr>
        <w:pStyle w:val="style1"/>
        <w:rPr/>
      </w:pPr>
      <w:r>
        <w:t>Section 1</w:t>
      </w:r>
      <w:bookmarkEnd w:id="1"/>
    </w:p>
    <w:bookmarkStart w:id="2" w:name="_Toc236512722"/>
    <w:p w14:paraId="0AA8B4C1">
      <w:pPr>
        <w:pStyle w:val="style1"/>
        <w:rPr/>
      </w:pPr>
      <w:r>
        <w:t>Part 1: Organisational Classification and Global Strategy</w:t>
      </w:r>
      <w:bookmarkEnd w:id="2"/>
    </w:p>
    <w:bookmarkStart w:id="3" w:name="_Toc236512723"/>
    <w:p w14:paraId="5D2755AF">
      <w:pPr>
        <w:pStyle w:val="style2"/>
        <w:rPr/>
      </w:pPr>
      <w:r>
        <w:t>1.1 Company Overview</w:t>
      </w:r>
      <w:bookmarkEnd w:id="3"/>
      <w:r>
        <w:t xml:space="preserve"> </w:t>
      </w:r>
    </w:p>
    <w:p w14:paraId="5E41D27D">
      <w:pPr>
        <w:pStyle w:val="style0"/>
        <w:rPr/>
      </w:pPr>
      <w:r>
        <w:t>Costco Wholesale Corporation is a membership-based warehouse club, founded in 1983 and headquartered in Issaquah, Washington (USA)</w:t>
      </w:r>
      <w:r>
        <w:t xml:space="preserve"> (Costco, 2026)</w:t>
      </w:r>
      <w:r>
        <w:t xml:space="preserve">. </w:t>
      </w:r>
      <w:r>
        <w:t>The membership</w:t>
      </w:r>
      <w:r>
        <w:t xml:space="preserve"> warehouse model creates ongoing revenue and increases customer loyalty. Costco generated US$275.2 billion in revenue, with around 333,000 employees, during fiscal year 2025</w:t>
      </w:r>
      <w:r>
        <w:t xml:space="preserve"> (</w:t>
      </w:r>
      <w:r>
        <w:t>Allende</w:t>
      </w:r>
      <w:r>
        <w:t>, 2025)</w:t>
      </w:r>
      <w:r>
        <w:t xml:space="preserve">. It operates over 145 million cardholders in 914 warehouses located in 14 countries, with </w:t>
      </w:r>
      <w:r>
        <w:t>worldwide</w:t>
      </w:r>
      <w:r>
        <w:t xml:space="preserve"> membership renewals at 89.8%, which reflects the strength and sustainability of its business model</w:t>
      </w:r>
      <w:r>
        <w:t xml:space="preserve"> (Statista, 2025)</w:t>
      </w:r>
      <w:r>
        <w:t>.</w:t>
      </w:r>
    </w:p>
    <w:p w14:paraId="761E439E">
      <w:pPr>
        <w:pStyle w:val="style0"/>
        <w:keepNext/>
        <w:jc w:val="center"/>
        <w:rPr>
          <w:b/>
          <w:bCs/>
          <w:i/>
          <w:iCs/>
        </w:rPr>
      </w:pPr>
      <w:r>
        <w:rPr>
          <w:b/>
          <w:bCs/>
          <w:i/>
          <w:iCs/>
        </w:rPr>
        <w:drawing>
          <wp:inline distL="0" distT="0" distB="0" distR="0">
            <wp:extent cx="5245370" cy="2940201"/>
            <wp:effectExtent l="76200" t="76200" r="127000" b="127000"/>
            <wp:docPr id="1029"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1"/>
                    <pic:cNvPicPr/>
                  </pic:nvPicPr>
                  <pic:blipFill>
                    <a:blip r:embed="rId5" cstate="print"/>
                    <a:srcRect l="0" t="0" r="0" b="0"/>
                    <a:stretch/>
                  </pic:blipFill>
                  <pic:spPr>
                    <a:xfrm rot="0">
                      <a:off x="0" y="0"/>
                      <a:ext cx="5245370" cy="2940201"/>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14:paraId="46BE839F">
      <w:pPr>
        <w:pStyle w:val="style34"/>
        <w:rPr>
          <w:bCs/>
        </w:rPr>
      </w:pPr>
      <w:r>
        <w:rPr>
          <w:bCs/>
        </w:rPr>
        <w:t xml:space="preserve">Figure </w:t>
      </w:r>
      <w:r>
        <w:rPr>
          <w:bCs/>
        </w:rPr>
        <w:fldChar w:fldCharType="begin"/>
      </w:r>
      <w:r>
        <w:rPr>
          <w:bCs/>
        </w:rPr>
        <w:instrText xml:space="preserve"> SEQ Figure \* ARABIC </w:instrText>
      </w:r>
      <w:r>
        <w:rPr>
          <w:bCs/>
        </w:rPr>
        <w:fldChar w:fldCharType="separate"/>
      </w:r>
      <w:r>
        <w:rPr>
          <w:bCs/>
          <w:noProof/>
        </w:rPr>
        <w:t>3</w:t>
      </w:r>
      <w:r>
        <w:rPr>
          <w:bCs/>
        </w:rPr>
        <w:fldChar w:fldCharType="end"/>
      </w:r>
      <w:r>
        <w:rPr>
          <w:bCs/>
        </w:rPr>
        <w:t>: Number of Costco card holders worldwide from 2014 to 2025 (in millions)</w:t>
      </w:r>
    </w:p>
    <w:p w14:paraId="14669592">
      <w:pPr>
        <w:pStyle w:val="style0"/>
        <w:jc w:val="center"/>
        <w:rPr>
          <w:b/>
          <w:bCs/>
          <w:i/>
          <w:iCs/>
        </w:rPr>
      </w:pPr>
      <w:r>
        <w:rPr>
          <w:b/>
          <w:bCs/>
          <w:i/>
          <w:iCs/>
        </w:rPr>
        <w:t>(Source: Statista, 2025)</w:t>
      </w:r>
    </w:p>
    <w:bookmarkStart w:id="4" w:name="_Toc236512724"/>
    <w:p w14:paraId="6EE69A97">
      <w:pPr>
        <w:pStyle w:val="style2"/>
        <w:rPr/>
      </w:pPr>
      <w:r>
        <w:t>1.2 Bartlett and Ghoshal's Model</w:t>
      </w:r>
      <w:bookmarkEnd w:id="4"/>
      <w:r>
        <w:t xml:space="preserve"> </w:t>
      </w:r>
    </w:p>
    <w:p w14:paraId="52F9CB6E">
      <w:pPr>
        <w:pStyle w:val="style0"/>
        <w:rPr/>
      </w:pPr>
      <w:r>
        <w:t>Costco falls into the ‘Transnational Strategy’ of Bartlett &amp; Ghoshal's model in that it is both high in global integration and local adaptation of some products</w:t>
      </w:r>
      <w:r>
        <w:t xml:space="preserve"> (AQA, 2026)</w:t>
      </w:r>
      <w:r>
        <w:t xml:space="preserve">. </w:t>
      </w:r>
    </w:p>
    <w:p w14:paraId="3EFC2740">
      <w:pPr>
        <w:pStyle w:val="style0"/>
        <w:keepNext/>
        <w:jc w:val="center"/>
        <w:rPr>
          <w:b/>
          <w:bCs/>
          <w:i/>
          <w:iCs/>
        </w:rPr>
      </w:pPr>
      <w:r>
        <w:rPr/>
        <w:drawing>
          <wp:inline distL="0" distT="0" distB="0" distR="0">
            <wp:extent cx="3216769" cy="2693406"/>
            <wp:effectExtent l="76200" t="76200" r="136525" b="126365"/>
            <wp:docPr id="1030"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Picture 1"/>
                    <pic:cNvPicPr/>
                  </pic:nvPicPr>
                  <pic:blipFill>
                    <a:blip r:embed="rId6" cstate="print"/>
                    <a:srcRect l="0" t="0" r="0" b="0"/>
                    <a:stretch/>
                  </pic:blipFill>
                  <pic:spPr>
                    <a:xfrm rot="0">
                      <a:off x="0" y="0"/>
                      <a:ext cx="3216769" cy="2693406"/>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14:paraId="56EC3D13">
      <w:pPr>
        <w:pStyle w:val="style34"/>
        <w:rPr>
          <w:bCs/>
        </w:rPr>
      </w:pPr>
      <w:r>
        <w:rPr>
          <w:bCs/>
        </w:rPr>
        <w:t xml:space="preserve">Figure </w:t>
      </w:r>
      <w:r>
        <w:rPr>
          <w:bCs/>
        </w:rPr>
        <w:fldChar w:fldCharType="begin"/>
      </w:r>
      <w:r>
        <w:rPr>
          <w:bCs/>
        </w:rPr>
        <w:instrText xml:space="preserve"> SEQ Figure \* ARABIC </w:instrText>
      </w:r>
      <w:r>
        <w:rPr>
          <w:bCs/>
        </w:rPr>
        <w:fldChar w:fldCharType="separate"/>
      </w:r>
      <w:r>
        <w:rPr>
          <w:bCs/>
          <w:noProof/>
        </w:rPr>
        <w:t>4</w:t>
      </w:r>
      <w:r>
        <w:rPr>
          <w:bCs/>
        </w:rPr>
        <w:fldChar w:fldCharType="end"/>
      </w:r>
      <w:r>
        <w:rPr>
          <w:bCs/>
        </w:rPr>
        <w:t>: Bartlett and Ghoshal's Model</w:t>
      </w:r>
    </w:p>
    <w:p w14:paraId="72AB740E">
      <w:pPr>
        <w:pStyle w:val="style0"/>
        <w:jc w:val="center"/>
        <w:rPr>
          <w:b/>
          <w:bCs/>
          <w:i/>
          <w:iCs/>
        </w:rPr>
      </w:pPr>
      <w:r>
        <w:rPr>
          <w:b/>
          <w:bCs/>
          <w:i/>
          <w:iCs/>
        </w:rPr>
        <w:t>(Source: AQA, 2026)</w:t>
      </w:r>
    </w:p>
    <w:p w14:paraId="4B216EF7">
      <w:pPr>
        <w:pStyle w:val="style0"/>
        <w:rPr/>
      </w:pPr>
      <w:r>
        <w:t>Kirkland Signature products are distributed globally, operational processes are standardised, warehouse layouts have been standardised</w:t>
      </w:r>
      <w:r>
        <w:t>,</w:t>
      </w:r>
      <w:r>
        <w:t xml:space="preserve"> and procurement is centralised, all of which demonstrate the level of global integration. The uniform practices enable Costco to negotiate deals with suppliers and keep prices low throughout the global </w:t>
      </w:r>
      <w:r>
        <w:t>marketplace</w:t>
      </w:r>
      <w:r>
        <w:t>.</w:t>
      </w:r>
      <w:r>
        <w:t xml:space="preserve"> </w:t>
      </w:r>
      <w:r>
        <w:t>Costco also exhibits local responsiveness through product/service adaptation to cultural preferences</w:t>
      </w:r>
      <w:r>
        <w:t xml:space="preserve"> (</w:t>
      </w:r>
      <w:r>
        <w:t>Sinha</w:t>
      </w:r>
      <w:r>
        <w:t>, 2023)</w:t>
      </w:r>
      <w:r>
        <w:t>. Japan has a wide selection of locally popular seafood and seasonal items in its warehouses</w:t>
      </w:r>
      <w:r>
        <w:t>;</w:t>
      </w:r>
      <w:r>
        <w:t xml:space="preserve"> China has </w:t>
      </w:r>
      <w:r>
        <w:t>high-quality</w:t>
      </w:r>
      <w:r>
        <w:t xml:space="preserve"> imported seafood and seasonal items that fit the high price range of consumers</w:t>
      </w:r>
      <w:r>
        <w:t>;</w:t>
      </w:r>
      <w:r>
        <w:t xml:space="preserve"> France and the UK have locally produced seafood and seasonal items</w:t>
      </w:r>
      <w:r>
        <w:t xml:space="preserve"> (</w:t>
      </w:r>
      <w:r>
        <w:t>Government of Canada</w:t>
      </w:r>
      <w:r>
        <w:t>, 2026)</w:t>
      </w:r>
      <w:r>
        <w:t xml:space="preserve">. </w:t>
      </w:r>
    </w:p>
    <w:p w14:paraId="798F12C1">
      <w:pPr>
        <w:pStyle w:val="style0"/>
        <w:rPr/>
      </w:pPr>
      <w:r>
        <w:t xml:space="preserve">While the basic membership structure is constant across all locations, the mix of goods, food court offerings and marketing tactics are tailored to meet local purchasing habits. </w:t>
      </w:r>
      <w:r>
        <w:t>Costco has a different retail approach in the United States compared to stores in Asia, such as focusing on high-quality imported items and keeping a stock of locally popular brands</w:t>
      </w:r>
      <w:r>
        <w:t xml:space="preserve"> (</w:t>
      </w:r>
      <w:r>
        <w:t>Miao</w:t>
      </w:r>
      <w:r>
        <w:t>, 2022)</w:t>
      </w:r>
      <w:r>
        <w:t xml:space="preserve">. This global-local synergy allows Costco to boost customer satisfaction and maintain </w:t>
      </w:r>
      <w:r>
        <w:t>operational</w:t>
      </w:r>
      <w:r>
        <w:t xml:space="preserve"> uniformity. </w:t>
      </w:r>
    </w:p>
    <w:bookmarkStart w:id="5" w:name="_Toc236512725"/>
    <w:p w14:paraId="00CF7A24">
      <w:pPr>
        <w:pStyle w:val="style2"/>
        <w:rPr/>
      </w:pPr>
      <w:r>
        <w:t>1.3 Global Configuration and Competitive Advantage</w:t>
      </w:r>
      <w:bookmarkEnd w:id="5"/>
      <w:r>
        <w:t xml:space="preserve"> </w:t>
      </w:r>
    </w:p>
    <w:p w14:paraId="7C3B1999">
      <w:pPr>
        <w:pStyle w:val="style0"/>
        <w:rPr/>
      </w:pPr>
      <w:r>
        <w:t xml:space="preserve">The competitive advantage of Costco is backed by a vast overseas network that is focused in North America, Europe, Asia and Oceania. It has a </w:t>
      </w:r>
      <w:r>
        <w:t xml:space="preserve">global </w:t>
      </w:r>
      <w:r>
        <w:t>distribution network that is global, sourcing strategy that is centralised and uses long-term supplier contracts, which helps to streamline inventory and minimise operating costs. The Kirkland Signature private label brand enhances differentiation by providing quality, competitively priced products and better margins</w:t>
      </w:r>
      <w:r>
        <w:t xml:space="preserve"> (</w:t>
      </w:r>
      <w:r>
        <w:t>Costco</w:t>
      </w:r>
      <w:r>
        <w:t>, 2026)</w:t>
      </w:r>
      <w:r>
        <w:t xml:space="preserve">. In addition, Costco's membership program creates predictable recurring revenues for the firm, which enables the company to keep its pricing low. The introduction of digital capabilities, such as eCommerce platforms and </w:t>
      </w:r>
      <w:r>
        <w:t>built-in</w:t>
      </w:r>
      <w:r>
        <w:t xml:space="preserve"> inventory management systems, further boosts the convenience of the customers and the efficiency of the supply chain</w:t>
      </w:r>
      <w:r>
        <w:t xml:space="preserve"> (</w:t>
      </w:r>
      <w:r>
        <w:rPr>
          <w:shd w:val="clear" w:color="auto" w:fill="ffffff"/>
        </w:rPr>
        <w:t>Rainer Jr</w:t>
      </w:r>
      <w:r>
        <w:rPr>
          <w:shd w:val="clear" w:color="auto" w:fill="ffffff"/>
        </w:rPr>
        <w:t>, et al., 2025)</w:t>
      </w:r>
      <w:r>
        <w:t xml:space="preserve">. </w:t>
      </w:r>
    </w:p>
    <w:bookmarkStart w:id="6" w:name="_Toc236512726"/>
    <w:p w14:paraId="44E8A967">
      <w:pPr>
        <w:pStyle w:val="style1"/>
        <w:rPr/>
      </w:pPr>
      <w:r>
        <w:t>Part 2: Macro-Environmental Appraisal &amp; Market Attractiveness</w:t>
      </w:r>
      <w:bookmarkEnd w:id="6"/>
    </w:p>
    <w:bookmarkStart w:id="7" w:name="_Toc236512727"/>
    <w:p w14:paraId="1D9642DB">
      <w:pPr>
        <w:pStyle w:val="style2"/>
        <w:rPr/>
      </w:pPr>
      <w:r>
        <w:t>2.1 Political Environment</w:t>
      </w:r>
      <w:bookmarkEnd w:id="7"/>
      <w:r>
        <w:t xml:space="preserve"> </w:t>
      </w:r>
    </w:p>
    <w:p w14:paraId="38B294E6">
      <w:pPr>
        <w:pStyle w:val="style0"/>
        <w:rPr/>
      </w:pPr>
      <w:r>
        <w:t>As a result, Switzerland has a very stable political climate, which lowers the risk of investment for Costco and other multinational retailers. The country has a federal democratic system with policy stability, effective transparency of government and an independent judiciary, providing a stable climate for foreign long-term investment</w:t>
      </w:r>
      <w:r>
        <w:t xml:space="preserve"> (</w:t>
      </w:r>
      <w:r>
        <w:t>US Department of Stat</w:t>
      </w:r>
      <w:r>
        <w:t>e, 2026)</w:t>
      </w:r>
      <w:r>
        <w:t>. Switzerland is a top performer in several dimensions of the Worldwide Governance Indicators, such as political stability and government effectiveness, and according to the Global Innovation Index 2025, Switzerland has a Government Effectiveness score of 95.5/100 (2nd worldwide) and a Policy Stability for Doing Business score of 87.9/100 (3rd worldwide)</w:t>
      </w:r>
      <w:r>
        <w:t xml:space="preserve"> (WIPO, 2026)</w:t>
      </w:r>
      <w:r>
        <w:t>.</w:t>
      </w:r>
    </w:p>
    <w:p w14:paraId="11FA6479">
      <w:pPr>
        <w:pStyle w:val="style0"/>
        <w:keepNext/>
        <w:jc w:val="center"/>
        <w:rPr>
          <w:b/>
          <w:bCs/>
          <w:i/>
          <w:iCs/>
        </w:rPr>
      </w:pPr>
      <w:r>
        <w:rPr>
          <w:b/>
          <w:bCs/>
          <w:i/>
          <w:iCs/>
        </w:rPr>
        <w:drawing>
          <wp:inline distL="0" distT="0" distB="0" distR="0">
            <wp:extent cx="3599590" cy="3010277"/>
            <wp:effectExtent l="76200" t="76200" r="134620" b="133350"/>
            <wp:docPr id="1031"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5" name="Picture 1"/>
                    <pic:cNvPicPr/>
                  </pic:nvPicPr>
                  <pic:blipFill>
                    <a:blip r:embed="rId7" cstate="print"/>
                    <a:srcRect l="0" t="0" r="0" b="0"/>
                    <a:stretch/>
                  </pic:blipFill>
                  <pic:spPr>
                    <a:xfrm rot="0">
                      <a:off x="0" y="0"/>
                      <a:ext cx="3599590" cy="3010277"/>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14:paraId="534F611B">
      <w:pPr>
        <w:pStyle w:val="style34"/>
        <w:rPr>
          <w:bCs/>
        </w:rPr>
      </w:pPr>
      <w:r>
        <w:rPr>
          <w:bCs/>
        </w:rPr>
        <w:t xml:space="preserve">Figure </w:t>
      </w:r>
      <w:r>
        <w:rPr>
          <w:bCs/>
        </w:rPr>
        <w:fldChar w:fldCharType="begin"/>
      </w:r>
      <w:r>
        <w:rPr>
          <w:bCs/>
        </w:rPr>
        <w:instrText xml:space="preserve"> SEQ Figure \* ARABIC </w:instrText>
      </w:r>
      <w:r>
        <w:rPr>
          <w:bCs/>
        </w:rPr>
        <w:fldChar w:fldCharType="separate"/>
      </w:r>
      <w:r>
        <w:rPr>
          <w:bCs/>
          <w:noProof/>
        </w:rPr>
        <w:t>5</w:t>
      </w:r>
      <w:r>
        <w:rPr>
          <w:bCs/>
        </w:rPr>
        <w:fldChar w:fldCharType="end"/>
      </w:r>
      <w:r>
        <w:rPr>
          <w:bCs/>
        </w:rPr>
        <w:t>: Innovation overperformers relative to their economic development</w:t>
      </w:r>
    </w:p>
    <w:p w14:paraId="0C42723A">
      <w:pPr>
        <w:pStyle w:val="style0"/>
        <w:jc w:val="center"/>
        <w:rPr>
          <w:b/>
          <w:bCs/>
          <w:i/>
          <w:iCs/>
        </w:rPr>
      </w:pPr>
      <w:r>
        <w:rPr>
          <w:b/>
          <w:bCs/>
          <w:i/>
          <w:iCs/>
        </w:rPr>
        <w:t>(Source: WIPO, 2026)</w:t>
      </w:r>
    </w:p>
    <w:p w14:paraId="36070669">
      <w:pPr>
        <w:pStyle w:val="style0"/>
        <w:rPr/>
      </w:pPr>
      <w:r>
        <w:t>Institutional integrity is equally very high in Switzerland. The country's ranking of 8</w:t>
      </w:r>
      <w:r>
        <w:t>1</w:t>
      </w:r>
      <w:r>
        <w:t>/100 in the CPI 2025 indicates that the country is one of the least corrupt countries globally, leading to increased investor confidence and reduced governance-related risks</w:t>
      </w:r>
      <w:r>
        <w:t xml:space="preserve"> (Transparency International, 2026)</w:t>
      </w:r>
      <w:r>
        <w:t>. Moreover, Switzerland has a clear-cut regulatory framework which is supported by in-depth Regulatory Impact Assessments (RIAs) for any new legislation and extensive consultation of stakeholders before taking forward major regulatory measures.</w:t>
      </w:r>
    </w:p>
    <w:p w14:paraId="46BBCF5C">
      <w:pPr>
        <w:pStyle w:val="style0"/>
        <w:keepNext/>
        <w:jc w:val="center"/>
        <w:rPr>
          <w:b/>
          <w:bCs/>
          <w:i/>
          <w:iCs/>
        </w:rPr>
      </w:pPr>
      <w:r>
        <w:rPr/>
        <w:drawing>
          <wp:inline distL="0" distT="0" distB="0" distR="0">
            <wp:extent cx="5943600" cy="2053590"/>
            <wp:effectExtent l="76200" t="76200" r="133350" b="137160"/>
            <wp:docPr id="1032"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6" name="Picture 1"/>
                    <pic:cNvPicPr/>
                  </pic:nvPicPr>
                  <pic:blipFill>
                    <a:blip r:embed="rId8" cstate="print"/>
                    <a:srcRect l="0" t="0" r="0" b="0"/>
                    <a:stretch/>
                  </pic:blipFill>
                  <pic:spPr>
                    <a:xfrm rot="0">
                      <a:off x="0" y="0"/>
                      <a:ext cx="5943600" cy="2053590"/>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14:paraId="58DE188B">
      <w:pPr>
        <w:pStyle w:val="style0"/>
        <w:jc w:val="center"/>
        <w:rPr>
          <w:b/>
          <w:bCs/>
          <w:i/>
          <w:iCs/>
        </w:rPr>
      </w:pPr>
      <w:r>
        <w:rPr>
          <w:b/>
          <w:bCs/>
          <w:i/>
          <w:iCs/>
        </w:rPr>
        <w:t xml:space="preserve">Figure </w:t>
      </w:r>
      <w:r>
        <w:rPr>
          <w:b/>
          <w:bCs/>
          <w:i/>
          <w:iCs/>
        </w:rPr>
        <w:fldChar w:fldCharType="begin"/>
      </w:r>
      <w:r>
        <w:rPr>
          <w:b/>
          <w:bCs/>
          <w:i/>
          <w:iCs/>
        </w:rPr>
        <w:instrText xml:space="preserve"> SEQ Figure \* ARABIC </w:instrText>
      </w:r>
      <w:r>
        <w:rPr>
          <w:b/>
          <w:bCs/>
          <w:i/>
          <w:iCs/>
        </w:rPr>
        <w:fldChar w:fldCharType="separate"/>
      </w:r>
      <w:r>
        <w:rPr>
          <w:b/>
          <w:bCs/>
          <w:i/>
          <w:iCs/>
          <w:noProof/>
        </w:rPr>
        <w:t>6</w:t>
      </w:r>
      <w:r>
        <w:rPr>
          <w:b/>
          <w:bCs/>
          <w:i/>
          <w:iCs/>
        </w:rPr>
        <w:fldChar w:fldCharType="end"/>
      </w:r>
      <w:r>
        <w:rPr>
          <w:b/>
          <w:bCs/>
          <w:i/>
          <w:iCs/>
        </w:rPr>
        <w:t>:</w:t>
      </w:r>
      <w:r>
        <w:rPr>
          <w:b/>
          <w:bCs/>
          <w:i/>
          <w:iCs/>
        </w:rPr>
        <w:t xml:space="preserve"> </w:t>
      </w:r>
      <w:r>
        <w:rPr>
          <w:b/>
          <w:bCs/>
          <w:i/>
          <w:iCs/>
        </w:rPr>
        <w:t>Corruption Perceptions Index</w:t>
      </w:r>
      <w:r>
        <w:rPr>
          <w:b/>
          <w:bCs/>
          <w:i/>
          <w:iCs/>
        </w:rPr>
        <w:t xml:space="preserve"> of Switzerland</w:t>
      </w:r>
    </w:p>
    <w:p w14:paraId="23FFBF8B">
      <w:pPr>
        <w:pStyle w:val="style0"/>
        <w:jc w:val="center"/>
        <w:rPr>
          <w:b/>
          <w:bCs/>
          <w:i/>
          <w:iCs/>
        </w:rPr>
      </w:pPr>
      <w:r>
        <w:rPr>
          <w:b/>
          <w:bCs/>
          <w:i/>
          <w:iCs/>
        </w:rPr>
        <w:t xml:space="preserve">(Source: </w:t>
      </w:r>
      <w:r>
        <w:rPr>
          <w:b/>
          <w:bCs/>
          <w:i/>
          <w:iCs/>
        </w:rPr>
        <w:t>Transparency International, 2026</w:t>
      </w:r>
      <w:r>
        <w:rPr>
          <w:b/>
          <w:bCs/>
          <w:i/>
          <w:iCs/>
        </w:rPr>
        <w:t>)</w:t>
      </w:r>
    </w:p>
    <w:p w14:paraId="468DAF3A">
      <w:pPr>
        <w:pStyle w:val="style0"/>
        <w:rPr/>
      </w:pPr>
      <w:r>
        <w:t xml:space="preserve">Switzerland </w:t>
      </w:r>
      <w:r>
        <w:t>has been</w:t>
      </w:r>
      <w:r>
        <w:t xml:space="preserve"> a member of the World Trade </w:t>
      </w:r>
      <w:r>
        <w:t>Organisation</w:t>
      </w:r>
      <w:r>
        <w:t xml:space="preserve"> (WTO) since 1995 and a founding member of the European Free Trade Association (EFTA) from an international trade point of view. It is not part of the European Union (EU)</w:t>
      </w:r>
      <w:r>
        <w:t>,</w:t>
      </w:r>
      <w:r>
        <w:t xml:space="preserve"> but Switzerland has more than 120 bilateral agreements with the EU, which give it significant access to European markets while allowing it to maintain regulatory independence</w:t>
      </w:r>
      <w:r>
        <w:t xml:space="preserve"> (</w:t>
      </w:r>
      <w:r>
        <w:t>Swiss Finance Council</w:t>
      </w:r>
      <w:r>
        <w:t>, 2026)</w:t>
      </w:r>
      <w:r>
        <w:t xml:space="preserve">. </w:t>
      </w:r>
    </w:p>
    <w:p w14:paraId="57E0A30B">
      <w:pPr>
        <w:pStyle w:val="style0"/>
        <w:rPr/>
      </w:pPr>
      <w:r>
        <w:t>Foreign direct investment is generally welcomed in Switzerland, and there are hardly any limitations on foreign ownership. But there are also strict competition law, food safety law, labour law and zoning rules that must be adhered to by retailers for large warehouse developments</w:t>
      </w:r>
      <w:r>
        <w:t xml:space="preserve"> (</w:t>
      </w:r>
      <w:r>
        <w:rPr>
          <w:shd w:val="clear" w:color="auto" w:fill="ffffff"/>
        </w:rPr>
        <w:t>Saldaña</w:t>
      </w:r>
      <w:r>
        <w:rPr>
          <w:rFonts w:ascii="Cambria Math" w:cs="Cambria Math" w:hAnsi="Cambria Math"/>
          <w:shd w:val="clear" w:color="auto" w:fill="ffffff"/>
        </w:rPr>
        <w:t>‐</w:t>
      </w:r>
      <w:r>
        <w:rPr>
          <w:shd w:val="clear" w:color="auto" w:fill="ffffff"/>
        </w:rPr>
        <w:t>Pierard</w:t>
      </w:r>
      <w:r>
        <w:rPr>
          <w:shd w:val="clear" w:color="auto" w:fill="ffffff"/>
        </w:rPr>
        <w:t>, et al., 2025)</w:t>
      </w:r>
      <w:r>
        <w:t xml:space="preserve">. Switzerland's business environment and regulatory quality are still strong in overall measures of the World Bank's business environment and regulatory quality, such that Costco's planned expansion in the country remains attractive, despite </w:t>
      </w:r>
      <w:r>
        <w:t xml:space="preserve">the </w:t>
      </w:r>
      <w:r>
        <w:t>World Bank no longer ranking the country in the Ease of Doing Business report</w:t>
      </w:r>
      <w:r>
        <w:t>.</w:t>
      </w:r>
    </w:p>
    <w:bookmarkStart w:id="8" w:name="_Toc236512728"/>
    <w:p w14:paraId="6954AC8E">
      <w:pPr>
        <w:pStyle w:val="style2"/>
        <w:rPr/>
      </w:pPr>
      <w:r>
        <w:t>2.2 Economic Environment</w:t>
      </w:r>
      <w:bookmarkEnd w:id="8"/>
      <w:r>
        <w:t xml:space="preserve"> </w:t>
      </w:r>
    </w:p>
    <w:p w14:paraId="0DF82858">
      <w:pPr>
        <w:pStyle w:val="style0"/>
        <w:rPr/>
      </w:pPr>
      <w:r>
        <w:t xml:space="preserve">Its high consumer purchasing power, its stable macroeconomic conditions and its robust retail sector make Switzerland an attractive economic environment for Costco. Global </w:t>
      </w:r>
      <w:r>
        <w:t>trade uncertainties did not dampen the Swiss economy in 2025, which achieved a real GDP increase of 1.4%, mainly due to robust domestic demand and private consumption</w:t>
      </w:r>
      <w:r>
        <w:t xml:space="preserve"> (Trading Economics, 2026)</w:t>
      </w:r>
      <w:r>
        <w:t>. Switzerland is one of the richest countries in the world with a nominal GDP of more than US$1 trillion and GDP per capita of more than US$100,000</w:t>
      </w:r>
      <w:r>
        <w:t xml:space="preserve"> (</w:t>
      </w:r>
      <w:r>
        <w:t>Economy Insights</w:t>
      </w:r>
      <w:r>
        <w:t>, 2025</w:t>
      </w:r>
      <w:r>
        <w:t>)</w:t>
      </w:r>
      <w:r>
        <w:t>. Low inflation and higher real wages and purchasing power of consumers have a positive influence on ongoing consumer expenditure, an important consideration for Costco's membership-based warehouse business model.</w:t>
      </w:r>
    </w:p>
    <w:p w14:paraId="575379A1">
      <w:pPr>
        <w:pStyle w:val="style0"/>
        <w:keepNext/>
        <w:jc w:val="center"/>
        <w:rPr>
          <w:b/>
          <w:bCs/>
          <w:i/>
          <w:iCs/>
        </w:rPr>
      </w:pPr>
      <w:r>
        <w:rPr/>
        <w:drawing>
          <wp:inline distL="0" distT="0" distB="0" distR="0">
            <wp:extent cx="4820004" cy="2229767"/>
            <wp:effectExtent l="76200" t="76200" r="133350" b="132715"/>
            <wp:docPr id="1033"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7" name="Picture 1"/>
                    <pic:cNvPicPr/>
                  </pic:nvPicPr>
                  <pic:blipFill>
                    <a:blip r:embed="rId9" cstate="print"/>
                    <a:srcRect l="0" t="0" r="0" b="0"/>
                    <a:stretch/>
                  </pic:blipFill>
                  <pic:spPr>
                    <a:xfrm rot="0">
                      <a:off x="0" y="0"/>
                      <a:ext cx="4820004" cy="2229767"/>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14:paraId="6D78D3E4">
      <w:pPr>
        <w:pStyle w:val="style34"/>
        <w:rPr>
          <w:bCs/>
        </w:rPr>
      </w:pPr>
      <w:r>
        <w:rPr>
          <w:bCs/>
        </w:rPr>
        <w:t xml:space="preserve">Figure </w:t>
      </w:r>
      <w:r>
        <w:rPr>
          <w:bCs/>
        </w:rPr>
        <w:fldChar w:fldCharType="begin"/>
      </w:r>
      <w:r>
        <w:rPr>
          <w:bCs/>
        </w:rPr>
        <w:instrText xml:space="preserve"> SEQ Figure \* ARABIC </w:instrText>
      </w:r>
      <w:r>
        <w:rPr>
          <w:bCs/>
        </w:rPr>
        <w:fldChar w:fldCharType="separate"/>
      </w:r>
      <w:r>
        <w:rPr>
          <w:bCs/>
          <w:noProof/>
        </w:rPr>
        <w:t>7</w:t>
      </w:r>
      <w:r>
        <w:rPr>
          <w:bCs/>
        </w:rPr>
        <w:fldChar w:fldCharType="end"/>
      </w:r>
      <w:r>
        <w:rPr>
          <w:bCs/>
        </w:rPr>
        <w:t>: Switzerland GDP Growth Rate</w:t>
      </w:r>
    </w:p>
    <w:p w14:paraId="66DA2411">
      <w:pPr>
        <w:pStyle w:val="style0"/>
        <w:jc w:val="center"/>
        <w:rPr>
          <w:b/>
          <w:bCs/>
          <w:i/>
          <w:iCs/>
        </w:rPr>
      </w:pPr>
      <w:r>
        <w:rPr>
          <w:b/>
          <w:bCs/>
          <w:i/>
          <w:iCs/>
        </w:rPr>
        <w:t>(Source: Trading Economics, 2026</w:t>
      </w:r>
      <w:r>
        <w:rPr>
          <w:b/>
          <w:bCs/>
          <w:i/>
          <w:iCs/>
        </w:rPr>
        <w:t>)</w:t>
      </w:r>
    </w:p>
    <w:p w14:paraId="04307198">
      <w:pPr>
        <w:pStyle w:val="style0"/>
        <w:rPr/>
      </w:pPr>
      <w:r>
        <w:t>A robust monetary policy framework adds to this stability. The average inflation rate was almost negligible in 2025 (0.2%)</w:t>
      </w:r>
      <w:r>
        <w:t>,</w:t>
      </w:r>
      <w:r>
        <w:t xml:space="preserve"> and the Swiss National Bank (SNB) lowered its policy interest rate to 0.0% to boost economic activity within the SNB's inflation target range of 0-2%</w:t>
      </w:r>
      <w:r>
        <w:t xml:space="preserve"> (</w:t>
      </w:r>
      <w:r>
        <w:rPr>
          <w:shd w:val="clear" w:color="auto" w:fill="ffffff"/>
        </w:rPr>
        <w:t>Montpellier</w:t>
      </w:r>
      <w:r>
        <w:rPr>
          <w:shd w:val="clear" w:color="auto" w:fill="ffffff"/>
        </w:rPr>
        <w:t>, 2025)</w:t>
      </w:r>
      <w:r>
        <w:t xml:space="preserve">. The Swiss franc is one of the world's most stable currencies </w:t>
      </w:r>
      <w:r>
        <w:t>and</w:t>
      </w:r>
      <w:r>
        <w:t xml:space="preserve"> is viewed as a safe-haven choice, decreasing exchange-rate </w:t>
      </w:r>
      <w:r>
        <w:t>risks</w:t>
      </w:r>
      <w:r>
        <w:t xml:space="preserve"> for multinational companies buying products from foreign suppliers.</w:t>
      </w:r>
    </w:p>
    <w:p w14:paraId="51827B7B">
      <w:pPr>
        <w:pStyle w:val="style0"/>
        <w:rPr/>
      </w:pPr>
      <w:r>
        <w:t>In addition, the Swiss labour market has an exceptionally good performance. The unemployment rate rose slightly in 2025, but remained on average 2.8%, one of the lowest in Europe</w:t>
      </w:r>
      <w:r>
        <w:t xml:space="preserve"> (Eurostat, 2026)</w:t>
      </w:r>
      <w:r>
        <w:t>. The high employment level is linked to high disposable household income and consumer confidence</w:t>
      </w:r>
      <w:r>
        <w:t xml:space="preserve"> (</w:t>
      </w:r>
      <w:r>
        <w:rPr>
          <w:shd w:val="clear" w:color="auto" w:fill="ffffff"/>
        </w:rPr>
        <w:t>Ferrentino</w:t>
      </w:r>
      <w:r>
        <w:rPr>
          <w:shd w:val="clear" w:color="auto" w:fill="ffffff"/>
        </w:rPr>
        <w:t xml:space="preserve"> </w:t>
      </w:r>
      <w:r>
        <w:rPr>
          <w:shd w:val="clear" w:color="auto" w:fill="ffffff"/>
        </w:rPr>
        <w:t>and Vota</w:t>
      </w:r>
      <w:r>
        <w:rPr>
          <w:shd w:val="clear" w:color="auto" w:fill="ffffff"/>
        </w:rPr>
        <w:t>, 2025)</w:t>
      </w:r>
      <w:r>
        <w:t xml:space="preserve">. There is no </w:t>
      </w:r>
      <w:r>
        <w:t xml:space="preserve">national minimum wage, but some cantons have their own minimum wage systems, such as Geneva and Basel, which have relatively high labour costs, which Costco would have to </w:t>
      </w:r>
      <w:r>
        <w:t>consider</w:t>
      </w:r>
      <w:r>
        <w:t xml:space="preserve"> when deciding on the location of their warehouses.</w:t>
      </w:r>
    </w:p>
    <w:p w14:paraId="1726EDBE">
      <w:pPr>
        <w:pStyle w:val="style0"/>
        <w:keepNext/>
        <w:jc w:val="center"/>
        <w:rPr>
          <w:b/>
          <w:bCs/>
          <w:i/>
          <w:iCs/>
        </w:rPr>
      </w:pPr>
      <w:r>
        <w:rPr/>
        <w:drawing>
          <wp:inline distL="0" distT="0" distB="0" distR="0">
            <wp:extent cx="2898202" cy="2298224"/>
            <wp:effectExtent l="76200" t="76200" r="130810" b="140335"/>
            <wp:docPr id="1034"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8" name="Picture 1"/>
                    <pic:cNvPicPr/>
                  </pic:nvPicPr>
                  <pic:blipFill>
                    <a:blip r:embed="rId10" cstate="print"/>
                    <a:srcRect l="0" t="0" r="0" b="0"/>
                    <a:stretch/>
                  </pic:blipFill>
                  <pic:spPr>
                    <a:xfrm rot="0">
                      <a:off x="0" y="0"/>
                      <a:ext cx="2898202" cy="2298224"/>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14:paraId="6F0E7B34">
      <w:pPr>
        <w:pStyle w:val="style34"/>
        <w:rPr>
          <w:bCs/>
        </w:rPr>
      </w:pPr>
      <w:r>
        <w:rPr>
          <w:bCs/>
        </w:rPr>
        <w:t xml:space="preserve">Figure </w:t>
      </w:r>
      <w:r>
        <w:rPr>
          <w:bCs/>
        </w:rPr>
        <w:fldChar w:fldCharType="begin"/>
      </w:r>
      <w:r>
        <w:rPr>
          <w:bCs/>
        </w:rPr>
        <w:instrText xml:space="preserve"> SEQ Figure \* ARABIC </w:instrText>
      </w:r>
      <w:r>
        <w:rPr>
          <w:bCs/>
        </w:rPr>
        <w:fldChar w:fldCharType="separate"/>
      </w:r>
      <w:r>
        <w:rPr>
          <w:bCs/>
          <w:noProof/>
        </w:rPr>
        <w:t>8</w:t>
      </w:r>
      <w:r>
        <w:rPr>
          <w:bCs/>
        </w:rPr>
        <w:fldChar w:fldCharType="end"/>
      </w:r>
      <w:r>
        <w:rPr>
          <w:bCs/>
        </w:rPr>
        <w:t>: Unemployment rate, 2025</w:t>
      </w:r>
    </w:p>
    <w:p w14:paraId="361F13D2">
      <w:pPr>
        <w:pStyle w:val="style0"/>
        <w:jc w:val="center"/>
        <w:rPr>
          <w:b/>
          <w:bCs/>
          <w:i/>
          <w:iCs/>
        </w:rPr>
      </w:pPr>
      <w:r>
        <w:rPr>
          <w:b/>
          <w:bCs/>
          <w:i/>
          <w:iCs/>
        </w:rPr>
        <w:t>(Source: Eurostat, 2026)</w:t>
      </w:r>
    </w:p>
    <w:p w14:paraId="15C7FE6B">
      <w:pPr>
        <w:pStyle w:val="style0"/>
        <w:rPr/>
      </w:pPr>
      <w:r>
        <w:t>In Switzerland, private consumption is the most important source of economic growth, as both real wages and household spending on food, health</w:t>
      </w:r>
      <w:r>
        <w:t>,</w:t>
      </w:r>
      <w:r>
        <w:t xml:space="preserve"> housing and retail goods are increasing. The retail market in Switzerland is worth more than CHF 110 billion annually</w:t>
      </w:r>
      <w:r>
        <w:t>,</w:t>
      </w:r>
      <w:r>
        <w:t xml:space="preserve"> and grocery and household products represent a significant share of </w:t>
      </w:r>
      <w:r>
        <w:t>consumers'</w:t>
      </w:r>
      <w:r>
        <w:t xml:space="preserve"> expenditure</w:t>
      </w:r>
      <w:r>
        <w:t xml:space="preserve"> (</w:t>
      </w:r>
      <w:r>
        <w:t>About Switzerland</w:t>
      </w:r>
      <w:r>
        <w:t>, 2023</w:t>
      </w:r>
      <w:r>
        <w:t>)</w:t>
      </w:r>
      <w:r>
        <w:t>. Meanwhile, Switzerland continues to be very dependent on imports to satisfy the demand for many consumer goods, due to the low domestic production capacity, which enables Costco's global sourcing model</w:t>
      </w:r>
      <w:r>
        <w:t xml:space="preserve"> (</w:t>
      </w:r>
      <w:r>
        <w:rPr>
          <w:shd w:val="clear" w:color="auto" w:fill="ffffff"/>
        </w:rPr>
        <w:t>About Switzerland</w:t>
      </w:r>
      <w:r>
        <w:rPr>
          <w:shd w:val="clear" w:color="auto" w:fill="ffffff"/>
        </w:rPr>
        <w:t>, 2025)</w:t>
      </w:r>
      <w:r>
        <w:t>.</w:t>
      </w:r>
    </w:p>
    <w:p w14:paraId="3BD919E4">
      <w:pPr>
        <w:pStyle w:val="style0"/>
        <w:rPr/>
      </w:pPr>
      <w:r>
        <w:t>However, warehouse retail is still less developed in Switzerland than in other neighbouring European countries, which suggests a lot of first-mover potential for Costco in the country</w:t>
      </w:r>
      <w:r>
        <w:t xml:space="preserve"> (</w:t>
      </w:r>
      <w:r>
        <w:rPr>
          <w:shd w:val="clear" w:color="auto" w:fill="ffffff"/>
        </w:rPr>
        <w:t>Wynne-Jones</w:t>
      </w:r>
      <w:r>
        <w:rPr>
          <w:shd w:val="clear" w:color="auto" w:fill="ffffff"/>
        </w:rPr>
        <w:t>, 2026</w:t>
      </w:r>
      <w:r>
        <w:rPr>
          <w:shd w:val="clear" w:color="auto" w:fill="ffffff"/>
        </w:rPr>
        <w:t>)</w:t>
      </w:r>
      <w:r>
        <w:t xml:space="preserve">. The advantages of its economies of scale and efficient global supply chain may be attractive to both household and small business </w:t>
      </w:r>
      <w:r>
        <w:t xml:space="preserve">customers looking to purchase high-quality products at competitive prices, while its pricing model is based on membership. </w:t>
      </w:r>
    </w:p>
    <w:bookmarkStart w:id="9" w:name="_Toc236512729"/>
    <w:p w14:paraId="590CFDC5">
      <w:pPr>
        <w:pStyle w:val="style2"/>
        <w:rPr/>
      </w:pPr>
      <w:r>
        <w:t>2.3 Legal Environment</w:t>
      </w:r>
      <w:bookmarkEnd w:id="9"/>
      <w:r>
        <w:t xml:space="preserve"> </w:t>
      </w:r>
    </w:p>
    <w:p w14:paraId="43A679DF">
      <w:pPr>
        <w:pStyle w:val="style0"/>
        <w:rPr/>
      </w:pPr>
      <w:r>
        <w:t xml:space="preserve">International business is supported by a </w:t>
      </w:r>
      <w:r>
        <w:t>clean</w:t>
      </w:r>
      <w:r>
        <w:t xml:space="preserve"> and solid legal environment in Switzerland</w:t>
      </w:r>
      <w:r>
        <w:t>,</w:t>
      </w:r>
      <w:r>
        <w:t xml:space="preserve"> and consumer protection and fair competition are of a high standard. This legal environment lowers the level of regulatory uncertainty</w:t>
      </w:r>
      <w:r>
        <w:t>,</w:t>
      </w:r>
      <w:r>
        <w:t xml:space="preserve"> with Costco needing to ensure compliance with a range of retail, labour and environmental legislation. The Swiss Cartel Act aims to foster a competitive market by banning anti-competitive practices, limiting the use of a dominant market position and assessing large-scale mergers with the Swiss Competition Commission (COMCO)</w:t>
      </w:r>
      <w:r>
        <w:t xml:space="preserve"> (</w:t>
      </w:r>
      <w:r>
        <w:rPr>
          <w:shd w:val="clear" w:color="auto" w:fill="ffffff"/>
        </w:rPr>
        <w:t>Baker McKenzie</w:t>
      </w:r>
      <w:r>
        <w:rPr>
          <w:shd w:val="clear" w:color="auto" w:fill="ffffff"/>
        </w:rPr>
        <w:t>, 2025</w:t>
      </w:r>
      <w:r>
        <w:rPr>
          <w:shd w:val="clear" w:color="auto" w:fill="ffffff"/>
        </w:rPr>
        <w:t>)</w:t>
      </w:r>
      <w:r>
        <w:t xml:space="preserve">. </w:t>
      </w:r>
    </w:p>
    <w:p w14:paraId="221614CA">
      <w:pPr>
        <w:pStyle w:val="style0"/>
        <w:rPr/>
      </w:pPr>
      <w:r>
        <w:t>Consumer protection is strengthened by detailed product safety, pricing and contract provisions, and by food retailers' obligations to adhere to strict food safety and traceability provisions, which are controlled by the federal and cantonal authorities</w:t>
      </w:r>
      <w:r>
        <w:t xml:space="preserve"> (</w:t>
      </w:r>
      <w:r>
        <w:rPr>
          <w:shd w:val="clear" w:color="auto" w:fill="ffffff"/>
        </w:rPr>
        <w:t>Conter</w:t>
      </w:r>
      <w:r>
        <w:rPr>
          <w:shd w:val="clear" w:color="auto" w:fill="ffffff"/>
        </w:rPr>
        <w:t>, et al., 2025)</w:t>
      </w:r>
      <w:r>
        <w:t>. These rules promote product quality from the farm to the store, which helps keep Costco's reputation for quality products</w:t>
      </w:r>
      <w:r>
        <w:t xml:space="preserve">. </w:t>
      </w:r>
      <w:r>
        <w:t>Employment laws offer robust safeguards for workers in relation to their working environment, health and employment rights</w:t>
      </w:r>
      <w:r>
        <w:t xml:space="preserve"> (</w:t>
      </w:r>
      <w:r>
        <w:rPr>
          <w:shd w:val="clear" w:color="auto" w:fill="ffffff"/>
        </w:rPr>
        <w:t>Obasi</w:t>
      </w:r>
      <w:r>
        <w:rPr>
          <w:shd w:val="clear" w:color="auto" w:fill="ffffff"/>
        </w:rPr>
        <w:t xml:space="preserve"> </w:t>
      </w:r>
      <w:r>
        <w:rPr>
          <w:shd w:val="clear" w:color="auto" w:fill="ffffff"/>
        </w:rPr>
        <w:t>and Benson</w:t>
      </w:r>
      <w:r>
        <w:rPr>
          <w:shd w:val="clear" w:color="auto" w:fill="ffffff"/>
        </w:rPr>
        <w:t>, 2025)</w:t>
      </w:r>
      <w:r>
        <w:t>. While there is no national minimum wage in Switzerland, some cantons have implemented local minimum wage provisions, which have raised the price of labour for big retailers. In terms of taxation, the country is still competitive, with a combined average of 14-15% corporate income tax rate (varies by canton)</w:t>
      </w:r>
      <w:r>
        <w:t xml:space="preserve"> (</w:t>
      </w:r>
      <w:r>
        <w:rPr>
          <w:shd w:val="clear" w:color="auto" w:fill="ffffff"/>
        </w:rPr>
        <w:t>PwC</w:t>
      </w:r>
      <w:r>
        <w:rPr>
          <w:shd w:val="clear" w:color="auto" w:fill="ffffff"/>
        </w:rPr>
        <w:t>, 2026)</w:t>
      </w:r>
      <w:r>
        <w:t>.</w:t>
      </w:r>
    </w:p>
    <w:p w14:paraId="44283C8F">
      <w:pPr>
        <w:pStyle w:val="style0"/>
        <w:rPr/>
      </w:pPr>
      <w:r>
        <w:t>In addition, Switzerland has very strict environmental laws and regulations</w:t>
      </w:r>
      <w:r>
        <w:t>,</w:t>
      </w:r>
      <w:r>
        <w:t xml:space="preserve"> which also place a requirement on retailers to implement a sustainable operation of their business </w:t>
      </w:r>
      <w:r>
        <w:t>regarding</w:t>
      </w:r>
      <w:r>
        <w:t xml:space="preserve"> waste management, recycling, energy efficiency and sustainable construction</w:t>
      </w:r>
      <w:r>
        <w:t xml:space="preserve"> (</w:t>
      </w:r>
      <w:r>
        <w:rPr>
          <w:shd w:val="clear" w:color="auto" w:fill="ffffff"/>
        </w:rPr>
        <w:t>About Switzerland</w:t>
      </w:r>
      <w:r>
        <w:rPr>
          <w:shd w:val="clear" w:color="auto" w:fill="ffffff"/>
        </w:rPr>
        <w:t>, 2026)</w:t>
      </w:r>
      <w:r>
        <w:t>. The updated Federal Act on Data Protection (FADP) also sets very strict requirements on organisations handling customer data, so having strong cybersecurity and data governance is critical to Costco's membership programme.</w:t>
      </w:r>
    </w:p>
    <w:p w14:paraId="4BCFE609">
      <w:pPr>
        <w:pStyle w:val="style0"/>
        <w:rPr/>
      </w:pPr>
      <w:r>
        <w:t>Foreign direct investment is welcomed</w:t>
      </w:r>
      <w:r>
        <w:t>,</w:t>
      </w:r>
      <w:r>
        <w:t xml:space="preserve"> and there are few restrictions on foreign ownership in the retail sector. Before investing in a large warehouse development, </w:t>
      </w:r>
      <w:r>
        <w:t>investors must receive planning approvals, construction permits and commercial zoning authorisations</w:t>
      </w:r>
      <w:r>
        <w:t xml:space="preserve"> (</w:t>
      </w:r>
      <w:r>
        <w:rPr>
          <w:shd w:val="clear" w:color="auto" w:fill="ffffff"/>
        </w:rPr>
        <w:t>Hełdak</w:t>
      </w:r>
      <w:r>
        <w:rPr>
          <w:shd w:val="clear" w:color="auto" w:fill="ffffff"/>
        </w:rPr>
        <w:t>, et al., 2025)</w:t>
      </w:r>
      <w:r>
        <w:t>. Such local planning considerations can stretch out project schedules</w:t>
      </w:r>
      <w:r>
        <w:t>,</w:t>
      </w:r>
      <w:r>
        <w:t xml:space="preserve"> but for sustainable urban development. </w:t>
      </w:r>
    </w:p>
    <w:bookmarkStart w:id="10" w:name="_Toc236512730"/>
    <w:p w14:paraId="7D55D343">
      <w:pPr>
        <w:pStyle w:val="style2"/>
        <w:rPr/>
      </w:pPr>
      <w:r>
        <w:t>2.4 Cultural Environment</w:t>
      </w:r>
      <w:bookmarkEnd w:id="10"/>
      <w:r>
        <w:t xml:space="preserve"> </w:t>
      </w:r>
    </w:p>
    <w:p w14:paraId="1009348A">
      <w:pPr>
        <w:pStyle w:val="style0"/>
        <w:rPr/>
      </w:pPr>
      <w:r>
        <w:t xml:space="preserve">Consumer values, shopping habits and business relationships differ between the United States and Switzerland, and these differences affect how Costco is successful in its efforts to expand. Applying Hofstede's Cultural Dimensions and the GLOBE framework offers some insights </w:t>
      </w:r>
      <w:r>
        <w:t>into</w:t>
      </w:r>
      <w:r>
        <w:t xml:space="preserve"> these cultural differences and how they can be adjusted in the market</w:t>
      </w:r>
      <w:r>
        <w:t xml:space="preserve"> (</w:t>
      </w:r>
      <w:r>
        <w:rPr>
          <w:shd w:val="clear" w:color="auto" w:fill="ffffff"/>
        </w:rPr>
        <w:t>Yeganeh</w:t>
      </w:r>
      <w:r>
        <w:rPr>
          <w:shd w:val="clear" w:color="auto" w:fill="ffffff"/>
        </w:rPr>
        <w:t>, 2025)</w:t>
      </w:r>
      <w:r>
        <w:t>.</w:t>
      </w:r>
    </w:p>
    <w:p w14:paraId="0FDC5C36">
      <w:pPr>
        <w:pStyle w:val="style0"/>
        <w:keepNext/>
        <w:jc w:val="center"/>
        <w:rPr>
          <w:b/>
          <w:bCs/>
          <w:i/>
          <w:iCs/>
        </w:rPr>
      </w:pPr>
      <w:r>
        <w:rPr>
          <w:noProof/>
        </w:rPr>
        <w:drawing>
          <wp:inline distL="0" distT="0" distB="0" distR="0">
            <wp:extent cx="4598894" cy="2460113"/>
            <wp:effectExtent l="76200" t="76200" r="125730" b="130810"/>
            <wp:docPr id="1035"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9" name="Picture 1"/>
                    <pic:cNvPicPr/>
                  </pic:nvPicPr>
                  <pic:blipFill>
                    <a:blip r:embed="rId11" cstate="print"/>
                    <a:srcRect l="0" t="0" r="0" b="0"/>
                    <a:stretch/>
                  </pic:blipFill>
                  <pic:spPr>
                    <a:xfrm rot="0">
                      <a:off x="0" y="0"/>
                      <a:ext cx="4598894" cy="2460113"/>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14:paraId="338333BB">
      <w:pPr>
        <w:pStyle w:val="style34"/>
        <w:rPr>
          <w:bCs/>
        </w:rPr>
      </w:pPr>
      <w:r>
        <w:rPr>
          <w:bCs/>
        </w:rPr>
        <w:t xml:space="preserve">Figure </w:t>
      </w:r>
      <w:r>
        <w:rPr>
          <w:bCs/>
        </w:rPr>
        <w:fldChar w:fldCharType="begin"/>
      </w:r>
      <w:r>
        <w:rPr>
          <w:bCs/>
        </w:rPr>
        <w:instrText xml:space="preserve"> SEQ Figure \* ARABIC </w:instrText>
      </w:r>
      <w:r>
        <w:rPr>
          <w:bCs/>
        </w:rPr>
        <w:fldChar w:fldCharType="separate"/>
      </w:r>
      <w:r>
        <w:rPr>
          <w:bCs/>
          <w:noProof/>
        </w:rPr>
        <w:t>9</w:t>
      </w:r>
      <w:r>
        <w:rPr>
          <w:bCs/>
        </w:rPr>
        <w:fldChar w:fldCharType="end"/>
      </w:r>
      <w:r>
        <w:rPr>
          <w:bCs/>
        </w:rPr>
        <w:t>: Country Comparison (Switzerland and US)</w:t>
      </w:r>
    </w:p>
    <w:p w14:paraId="602898F3">
      <w:pPr>
        <w:pStyle w:val="style0"/>
        <w:jc w:val="center"/>
        <w:rPr>
          <w:b/>
          <w:bCs/>
          <w:i/>
          <w:iCs/>
        </w:rPr>
      </w:pPr>
      <w:r>
        <w:rPr>
          <w:b/>
          <w:bCs/>
          <w:i/>
          <w:iCs/>
        </w:rPr>
        <w:t>(Source: The Culture Factor, 2026)</w:t>
      </w:r>
    </w:p>
    <w:p w14:paraId="6B87CC08">
      <w:pPr>
        <w:pStyle w:val="style0"/>
        <w:rPr/>
      </w:pPr>
      <w:r>
        <w:t xml:space="preserve">Hofstede's model suggests that the Power Distance score of Swiss society is lower (34) than that of </w:t>
      </w:r>
      <w:r>
        <w:t xml:space="preserve">the </w:t>
      </w:r>
      <w:r>
        <w:t xml:space="preserve">United States (40), thus reflecting the preference for equality, participative management and decentralised </w:t>
      </w:r>
      <w:r>
        <w:t>decision-making</w:t>
      </w:r>
      <w:r>
        <w:t xml:space="preserve"> within Swiss society</w:t>
      </w:r>
      <w:r>
        <w:t xml:space="preserve"> (</w:t>
      </w:r>
      <w:r>
        <w:t>The Culture Factor, 2026</w:t>
      </w:r>
      <w:r>
        <w:t>)</w:t>
      </w:r>
      <w:r>
        <w:t xml:space="preserve">. A higher score of Individualism (79) is also noted for the Swiss, meaning that they are more likely to value personal choice, independence and customised purchasing decisions. This reflects Costco's commitment to providing a wide selection of </w:t>
      </w:r>
      <w:r>
        <w:t>products and flexible shopping experiences. Moreover, while Swiss consumers rate Masculinity at 70 (Motivation towards Achievement and Success), the U.S. rate is 62; this means that Swiss consumers strongly prefer products to be of good quality and perform well, and premium products and high-quality private-label products are very appealing</w:t>
      </w:r>
      <w:r>
        <w:t xml:space="preserve"> (</w:t>
      </w:r>
      <w:r>
        <w:rPr>
          <w:shd w:val="clear" w:color="auto" w:fill="ffffff"/>
        </w:rPr>
        <w:t>König</w:t>
      </w:r>
      <w:r>
        <w:rPr>
          <w:shd w:val="clear" w:color="auto" w:fill="ffffff"/>
        </w:rPr>
        <w:t>, 2025)</w:t>
      </w:r>
      <w:r>
        <w:t>.</w:t>
      </w:r>
    </w:p>
    <w:p w14:paraId="53AB3A21">
      <w:pPr>
        <w:pStyle w:val="style0"/>
        <w:rPr/>
      </w:pPr>
      <w:r>
        <w:t>Additionally, Switzerland has a higher score in the UNS (Uncertainty Avoidance) dimension (58) than the USA (46), meaning that Swiss consumers value reliability, product guarantees and transparency in pricing more than U.S. consumers do</w:t>
      </w:r>
      <w:r>
        <w:t xml:space="preserve"> (</w:t>
      </w:r>
      <w:r>
        <w:t>The Culture Factor, 2026</w:t>
      </w:r>
      <w:r>
        <w:t>)</w:t>
      </w:r>
      <w:r>
        <w:t xml:space="preserve">. Therefore, the product quality, return policies and benefits of membership should be clearly communicated by Costco to help ease the </w:t>
      </w:r>
      <w:r>
        <w:t>minds</w:t>
      </w:r>
      <w:r>
        <w:t xml:space="preserve"> of first-time members. By comparison, the Long-Term Orientation score in Switzerland (42) is lower than the U.S. score (50), indicating that Swiss consumers value innovation, but also traditional ways and long-term brand credibility</w:t>
      </w:r>
      <w:r>
        <w:t xml:space="preserve"> (</w:t>
      </w:r>
      <w:r>
        <w:rPr>
          <w:shd w:val="clear" w:color="auto" w:fill="ffffff"/>
        </w:rPr>
        <w:t>Theocharis</w:t>
      </w:r>
      <w:r>
        <w:rPr>
          <w:shd w:val="clear" w:color="auto" w:fill="ffffff"/>
        </w:rPr>
        <w:t xml:space="preserve"> </w:t>
      </w:r>
      <w:r>
        <w:rPr>
          <w:shd w:val="clear" w:color="auto" w:fill="ffffff"/>
        </w:rPr>
        <w:t>and Tsekouropoulos</w:t>
      </w:r>
      <w:r>
        <w:rPr>
          <w:shd w:val="clear" w:color="auto" w:fill="ffffff"/>
        </w:rPr>
        <w:t>, 2025)</w:t>
      </w:r>
      <w:r>
        <w:t xml:space="preserve">. </w:t>
      </w:r>
      <w:r>
        <w:t>Finally</w:t>
      </w:r>
      <w:r>
        <w:t>, Switzerland's Indulgence score (66) matches the score for the United States (68), suggesting similar preferences for leisure, quality lifestyles and discretionary spending to support Costco's warehouse retail model.</w:t>
      </w:r>
    </w:p>
    <w:p w14:paraId="4329A528">
      <w:pPr>
        <w:pStyle w:val="style0"/>
        <w:rPr/>
      </w:pPr>
      <w:r>
        <w:t>The GLOBE framework also underscores the performance orientation, institutional collectivism, and future orientation and uncertainty reduction of Swiss business culture</w:t>
      </w:r>
      <w:r>
        <w:t xml:space="preserve"> (Globe Project, 2020)</w:t>
      </w:r>
      <w:r>
        <w:t xml:space="preserve">. Communication should therefore be formal, precise and </w:t>
      </w:r>
      <w:r>
        <w:t>relationship-building</w:t>
      </w:r>
      <w:r>
        <w:t xml:space="preserve">, as the Swiss customer expects professionalism, timely delivery and a high level of information when making a purchasing decision. </w:t>
      </w:r>
    </w:p>
    <w:p w14:paraId="738287CB">
      <w:pPr>
        <w:pStyle w:val="style0"/>
        <w:keepNext/>
        <w:jc w:val="center"/>
        <w:rPr>
          <w:b/>
          <w:bCs/>
          <w:i/>
          <w:iCs/>
        </w:rPr>
      </w:pPr>
      <w:r>
        <w:rPr>
          <w:b/>
          <w:bCs/>
          <w:i/>
          <w:iCs/>
        </w:rPr>
        <w:drawing>
          <wp:inline distL="0" distT="0" distB="0" distR="0">
            <wp:extent cx="4294029" cy="2464479"/>
            <wp:effectExtent l="76200" t="76200" r="125730" b="126365"/>
            <wp:docPr id="1036"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0" name="Picture 1"/>
                    <pic:cNvPicPr/>
                  </pic:nvPicPr>
                  <pic:blipFill>
                    <a:blip r:embed="rId12" cstate="print"/>
                    <a:srcRect l="0" t="0" r="0" b="0"/>
                    <a:stretch/>
                  </pic:blipFill>
                  <pic:spPr>
                    <a:xfrm rot="0">
                      <a:off x="0" y="0"/>
                      <a:ext cx="4294029" cy="2464479"/>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14:paraId="53788852">
      <w:pPr>
        <w:pStyle w:val="style34"/>
        <w:rPr>
          <w:bCs/>
        </w:rPr>
      </w:pPr>
      <w:r>
        <w:rPr>
          <w:bCs/>
        </w:rPr>
        <w:t xml:space="preserve">Figure </w:t>
      </w:r>
      <w:r>
        <w:rPr>
          <w:bCs/>
        </w:rPr>
        <w:fldChar w:fldCharType="begin"/>
      </w:r>
      <w:r>
        <w:rPr>
          <w:bCs/>
        </w:rPr>
        <w:instrText xml:space="preserve"> SEQ Figure \* ARABIC </w:instrText>
      </w:r>
      <w:r>
        <w:rPr>
          <w:bCs/>
        </w:rPr>
        <w:fldChar w:fldCharType="separate"/>
      </w:r>
      <w:r>
        <w:rPr>
          <w:bCs/>
          <w:noProof/>
        </w:rPr>
        <w:t>10</w:t>
      </w:r>
      <w:r>
        <w:rPr>
          <w:bCs/>
        </w:rPr>
        <w:fldChar w:fldCharType="end"/>
      </w:r>
      <w:r>
        <w:rPr>
          <w:bCs/>
        </w:rPr>
        <w:t>: Culture Visualization</w:t>
      </w:r>
    </w:p>
    <w:p w14:paraId="31667A5E">
      <w:pPr>
        <w:pStyle w:val="style0"/>
        <w:jc w:val="center"/>
        <w:rPr>
          <w:b/>
          <w:bCs/>
          <w:i/>
          <w:iCs/>
        </w:rPr>
      </w:pPr>
      <w:r>
        <w:rPr>
          <w:b/>
          <w:bCs/>
          <w:i/>
          <w:iCs/>
        </w:rPr>
        <w:t>(Source: Globe Project, 2020)</w:t>
      </w:r>
    </w:p>
    <w:p w14:paraId="77B9377C">
      <w:pPr>
        <w:pStyle w:val="style0"/>
        <w:rPr/>
      </w:pPr>
      <w:r>
        <w:t xml:space="preserve">The Swiss also have a reputation for their trust in well-known brands and their high standards of </w:t>
      </w:r>
      <w:r>
        <w:t>quality and</w:t>
      </w:r>
      <w:r>
        <w:t xml:space="preserve"> are more concerned with price as a result of the high cost of living. Studies have shown that Swiss consumers appreciate good quality and reliable </w:t>
      </w:r>
      <w:r>
        <w:t>service and</w:t>
      </w:r>
      <w:r>
        <w:t xml:space="preserve"> are willing to pay more for quality</w:t>
      </w:r>
      <w:r>
        <w:t xml:space="preserve"> (</w:t>
      </w:r>
      <w:r>
        <w:rPr>
          <w:shd w:val="clear" w:color="auto" w:fill="ffffff"/>
        </w:rPr>
        <w:t>Sah</w:t>
      </w:r>
      <w:r>
        <w:rPr>
          <w:shd w:val="clear" w:color="auto" w:fill="ffffff"/>
        </w:rPr>
        <w:t>, et al., 2025)</w:t>
      </w:r>
      <w:r>
        <w:t>.</w:t>
      </w:r>
      <w:r>
        <w:t xml:space="preserve"> </w:t>
      </w:r>
      <w:r>
        <w:t xml:space="preserve">For Costco, these cultural attributes mean that members can be expected to be able to afford a membership if it is given good products, good prices and good service. </w:t>
      </w:r>
    </w:p>
    <w:bookmarkStart w:id="11" w:name="_Toc236512731"/>
    <w:p w14:paraId="4140C1D7">
      <w:pPr>
        <w:pStyle w:val="style2"/>
        <w:rPr/>
      </w:pPr>
      <w:r>
        <w:t>2.5 Industry Attractiveness</w:t>
      </w:r>
      <w:bookmarkEnd w:id="11"/>
      <w:r>
        <w:t xml:space="preserve"> </w:t>
      </w:r>
    </w:p>
    <w:p w14:paraId="06DF5B53">
      <w:pPr>
        <w:pStyle w:val="style0"/>
        <w:rPr/>
      </w:pPr>
      <w:r>
        <w:t>Porter's 5 Forces Analysis suggests that Switzerland's grocery retail sector offers a compelling market opportunity for the new player, Costco, but it is a fiercely competitive market. There is strong competition, with well-established domestic retailers such as Migros, Coop and discount stores such as Aldi Suisse, Lidl Suisse and the department store Manor's all dominating. As a total, grocery sales are dominated by Migros Food Retail, which saw CHF 24.3 billion in sales during 2025, and Coop Group</w:t>
      </w:r>
      <w:r>
        <w:t>,</w:t>
      </w:r>
      <w:r>
        <w:t xml:space="preserve"> with CHF 35.5 billion in total sales, which is also increasing</w:t>
      </w:r>
      <w:r>
        <w:t xml:space="preserve"> (</w:t>
      </w:r>
      <w:r>
        <w:rPr>
          <w:shd w:val="clear" w:color="auto" w:fill="ffffff"/>
        </w:rPr>
        <w:t>Petto</w:t>
      </w:r>
      <w:r>
        <w:rPr>
          <w:shd w:val="clear" w:color="auto" w:fill="ffffff"/>
        </w:rPr>
        <w:t>, 2026)</w:t>
      </w:r>
      <w:r>
        <w:t>.</w:t>
      </w:r>
    </w:p>
    <w:p w14:paraId="618FBEEE">
      <w:pPr>
        <w:pStyle w:val="style0"/>
        <w:rPr/>
      </w:pPr>
      <w:r>
        <w:t>Suppliers are not very powerful. Even though the volumes of purchases by large retailers give them good negotiating power, Switzerland's high standards for food quality and its dependence on local suppliers limit the force of large retailers in some product categories. It would have the leverage of its global sourcing and private-label Kirkland Signature products.</w:t>
      </w:r>
      <w:r>
        <w:t xml:space="preserve"> </w:t>
      </w:r>
      <w:r>
        <w:t>Swiss consumers enjoy high bargaining power due to their well-informed and competitive product information and their multiple retailing options</w:t>
      </w:r>
      <w:r>
        <w:t xml:space="preserve"> (</w:t>
      </w:r>
      <w:r>
        <w:rPr>
          <w:shd w:val="clear" w:color="auto" w:fill="ffffff"/>
        </w:rPr>
        <w:t>Statista</w:t>
      </w:r>
      <w:r>
        <w:rPr>
          <w:shd w:val="clear" w:color="auto" w:fill="ffffff"/>
        </w:rPr>
        <w:t>, 2026)</w:t>
      </w:r>
      <w:r>
        <w:t xml:space="preserve">. </w:t>
      </w:r>
    </w:p>
    <w:p w14:paraId="629CA592">
      <w:pPr>
        <w:pStyle w:val="style0"/>
        <w:rPr/>
      </w:pPr>
      <w:r>
        <w:t xml:space="preserve">Moderate to high threat of substitutes because consumers can buy similar products from supermarkets, discount retailers, convenience stores, online grocery </w:t>
      </w:r>
      <w:r>
        <w:t>stores,</w:t>
      </w:r>
      <w:r>
        <w:t xml:space="preserve"> and </w:t>
      </w:r>
      <w:r>
        <w:t>speciality</w:t>
      </w:r>
      <w:r>
        <w:t xml:space="preserve"> food retailers</w:t>
      </w:r>
      <w:r>
        <w:t xml:space="preserve"> (</w:t>
      </w:r>
      <w:r>
        <w:rPr>
          <w:shd w:val="clear" w:color="auto" w:fill="ffffff"/>
        </w:rPr>
        <w:t>Recio-Román</w:t>
      </w:r>
      <w:r>
        <w:rPr>
          <w:shd w:val="clear" w:color="auto" w:fill="ffffff"/>
        </w:rPr>
        <w:t>, et al., 2026)</w:t>
      </w:r>
      <w:r>
        <w:t>. However, the risk of new players is low as it takes a considerable amount of capital to enter the Swiss retail market, complex regulatory processes to approve the business, a sound supply chain and a high degree of brand awareness.</w:t>
      </w:r>
    </w:p>
    <w:bookmarkStart w:id="12" w:name="_Toc236512732"/>
    <w:p w14:paraId="7A6A0139">
      <w:pPr>
        <w:pStyle w:val="style2"/>
        <w:rPr/>
      </w:pPr>
      <w:r>
        <w:t>2.6 OLI Paradigm</w:t>
      </w:r>
      <w:bookmarkEnd w:id="12"/>
      <w:r>
        <w:t xml:space="preserve"> </w:t>
      </w:r>
    </w:p>
    <w:p w14:paraId="44373ECD">
      <w:pPr>
        <w:pStyle w:val="style0"/>
        <w:rPr/>
      </w:pPr>
      <w:r>
        <w:t xml:space="preserve">Dunning's Ownership – Location – Internalisation (OLI) Paradigm can </w:t>
      </w:r>
      <w:r>
        <w:t>provide</w:t>
      </w:r>
      <w:r>
        <w:t xml:space="preserve"> a strong framework to evaluate Costco's foreign direct investment (FDI) in Switzerland. The analysis suggests that Costco has positive ownership advantages, Switzerland has competitive location-specific advantages and operations of Costco could be internalised to create the maximum long-term value</w:t>
      </w:r>
      <w:r>
        <w:t>.</w:t>
      </w:r>
    </w:p>
    <w:p w14:paraId="05604518">
      <w:pPr>
        <w:pStyle w:val="style0"/>
        <w:keepNext/>
        <w:jc w:val="center"/>
        <w:rPr>
          <w:b/>
          <w:bCs/>
          <w:i/>
          <w:iCs/>
        </w:rPr>
      </w:pPr>
      <w:r>
        <w:rPr/>
        <w:drawing>
          <wp:inline distL="0" distT="0" distB="0" distR="0">
            <wp:extent cx="4062022" cy="2581835"/>
            <wp:effectExtent l="76200" t="76200" r="129540" b="142875"/>
            <wp:docPr id="1037"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1" name="Picture 1"/>
                    <pic:cNvPicPr/>
                  </pic:nvPicPr>
                  <pic:blipFill>
                    <a:blip r:embed="rId13" cstate="print"/>
                    <a:srcRect l="0" t="0" r="0" b="0"/>
                    <a:stretch/>
                  </pic:blipFill>
                  <pic:spPr>
                    <a:xfrm rot="0">
                      <a:off x="0" y="0"/>
                      <a:ext cx="4062022" cy="2581835"/>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14:paraId="08EF217B">
      <w:pPr>
        <w:pStyle w:val="style34"/>
        <w:rPr>
          <w:bCs/>
        </w:rPr>
      </w:pPr>
      <w:r>
        <w:rPr>
          <w:bCs/>
        </w:rPr>
        <w:t xml:space="preserve">Figure </w:t>
      </w:r>
      <w:r>
        <w:rPr>
          <w:bCs/>
        </w:rPr>
        <w:fldChar w:fldCharType="begin"/>
      </w:r>
      <w:r>
        <w:rPr>
          <w:bCs/>
        </w:rPr>
        <w:instrText xml:space="preserve"> SEQ Figure \* ARABIC </w:instrText>
      </w:r>
      <w:r>
        <w:rPr>
          <w:bCs/>
        </w:rPr>
        <w:fldChar w:fldCharType="separate"/>
      </w:r>
      <w:r>
        <w:rPr>
          <w:bCs/>
          <w:noProof/>
        </w:rPr>
        <w:t>11</w:t>
      </w:r>
      <w:r>
        <w:rPr>
          <w:bCs/>
        </w:rPr>
        <w:fldChar w:fldCharType="end"/>
      </w:r>
      <w:r>
        <w:rPr>
          <w:bCs/>
        </w:rPr>
        <w:t>: OLI Framework</w:t>
      </w:r>
    </w:p>
    <w:p w14:paraId="59CFE904">
      <w:pPr>
        <w:pStyle w:val="style0"/>
        <w:jc w:val="center"/>
        <w:rPr>
          <w:b/>
          <w:bCs/>
          <w:i/>
          <w:iCs/>
        </w:rPr>
      </w:pPr>
      <w:r>
        <w:rPr>
          <w:b/>
          <w:bCs/>
          <w:i/>
          <w:iCs/>
        </w:rPr>
        <w:t>(Source: By Author)</w:t>
      </w:r>
    </w:p>
    <w:bookmarkStart w:id="13" w:name="_Toc236512733"/>
    <w:p w14:paraId="0CA19C85">
      <w:pPr>
        <w:pStyle w:val="style3"/>
        <w:rPr/>
      </w:pPr>
      <w:r>
        <w:t>Ownership Advantages</w:t>
      </w:r>
      <w:bookmarkEnd w:id="13"/>
    </w:p>
    <w:p w14:paraId="6FDDF52E">
      <w:pPr>
        <w:pStyle w:val="style0"/>
        <w:rPr/>
      </w:pPr>
      <w:r>
        <w:t xml:space="preserve">Costco enjoys several advantages over other stores that are hard for other retailers to duplicate. </w:t>
      </w:r>
      <w:r>
        <w:t>With renewal</w:t>
      </w:r>
      <w:r>
        <w:t xml:space="preserve"> rates at 89.8% globally and a global brand recognition rate, its globally recognised brand is associated with value, quality and customer loyalty, with approximately 145 million cardholders globally</w:t>
      </w:r>
      <w:r>
        <w:t xml:space="preserve"> (</w:t>
      </w:r>
      <w:r>
        <w:rPr>
          <w:shd w:val="clear" w:color="auto" w:fill="ffffff"/>
        </w:rPr>
        <w:t>Singh</w:t>
      </w:r>
      <w:r>
        <w:rPr>
          <w:shd w:val="clear" w:color="auto" w:fill="ffffff"/>
        </w:rPr>
        <w:t>, 2025)</w:t>
      </w:r>
      <w:r>
        <w:t>. Costco also has an efficient global supply chain, a sophisticated inventory management system, a robust digital strategy, and a huge amount of cash flow resulting from US$</w:t>
      </w:r>
      <w:r>
        <w:t xml:space="preserve">293.58 </w:t>
      </w:r>
      <w:r>
        <w:t>billion in annual sales</w:t>
      </w:r>
      <w:r>
        <w:t xml:space="preserve"> (Companies Market Cap, 2026)</w:t>
      </w:r>
      <w:r>
        <w:t xml:space="preserve">. Furthermore, by providing </w:t>
      </w:r>
      <w:r>
        <w:t>high-quality</w:t>
      </w:r>
      <w:r>
        <w:t xml:space="preserve"> products at competitive prices, the Kirkland Signature private brand creates a loyal customer base and increases profits. </w:t>
      </w:r>
    </w:p>
    <w:bookmarkStart w:id="14" w:name="_Toc236512734"/>
    <w:p w14:paraId="5FD8DCD3">
      <w:pPr>
        <w:pStyle w:val="style3"/>
        <w:rPr/>
      </w:pPr>
      <w:r>
        <w:t>Location Advantages</w:t>
      </w:r>
      <w:bookmarkEnd w:id="14"/>
    </w:p>
    <w:p w14:paraId="161B0CAD">
      <w:pPr>
        <w:pStyle w:val="style0"/>
        <w:rPr/>
      </w:pPr>
      <w:r>
        <w:t xml:space="preserve">One of the key advantages of Switzerland for the expansion of Costco is the country's many location-specific benefits. Its GDP is over $1 trillion, </w:t>
      </w:r>
      <w:r>
        <w:t xml:space="preserve">its </w:t>
      </w:r>
      <w:r>
        <w:t>GDP per capita over $100,000, low inflation and strong political stability and one of the highest purchasing power in the world</w:t>
      </w:r>
      <w:r>
        <w:t xml:space="preserve"> (</w:t>
      </w:r>
      <w:r>
        <w:t>Economy Insights</w:t>
      </w:r>
      <w:r>
        <w:t>, 2025</w:t>
      </w:r>
      <w:r>
        <w:t>)</w:t>
      </w:r>
      <w:r>
        <w:t xml:space="preserve">. It is centrally located in Europe, making it </w:t>
      </w:r>
      <w:r>
        <w:t xml:space="preserve">a great location with excellent access to neighbouring markets, while its world-class transport infrastructure, efficient logistics and skilled workforce support its retail operations. </w:t>
      </w:r>
    </w:p>
    <w:bookmarkStart w:id="15" w:name="_Toc236512735"/>
    <w:p w14:paraId="7F4C7C08">
      <w:pPr>
        <w:pStyle w:val="style3"/>
        <w:rPr/>
      </w:pPr>
      <w:r>
        <w:t>Internalisation Advantages</w:t>
      </w:r>
      <w:bookmarkEnd w:id="15"/>
    </w:p>
    <w:p w14:paraId="757EBFD8">
      <w:pPr>
        <w:pStyle w:val="style0"/>
        <w:rPr/>
      </w:pPr>
      <w:r>
        <w:t xml:space="preserve">By operating under a wholly owned subsidiary, </w:t>
      </w:r>
      <w:r>
        <w:t>the compan</w:t>
      </w:r>
      <w:r>
        <w:t>y</w:t>
      </w:r>
      <w:r>
        <w:t xml:space="preserve"> would have complete control of product quality, pricing, supplier relationships, and service standards</w:t>
      </w:r>
      <w:r>
        <w:t xml:space="preserve"> (</w:t>
      </w:r>
      <w:r>
        <w:rPr>
          <w:shd w:val="clear" w:color="auto" w:fill="ffffff"/>
        </w:rPr>
        <w:t>Wang and Hao</w:t>
      </w:r>
      <w:r>
        <w:rPr>
          <w:shd w:val="clear" w:color="auto" w:fill="ffffff"/>
        </w:rPr>
        <w:t>, 2026)</w:t>
      </w:r>
      <w:r>
        <w:t xml:space="preserve">. It would also help to secure the Kirkland Signature brand, enhance inventory control, ensure proprietary operating procedures and enhance member administration. Direct ownership reduces quality variations and maintains Costco's brand integrity </w:t>
      </w:r>
      <w:r>
        <w:t>worldwide and</w:t>
      </w:r>
      <w:r>
        <w:t xml:space="preserve"> allows for better coordination with international suppliers as compared to licensing and/or franchising.</w:t>
      </w:r>
    </w:p>
    <w:bookmarkStart w:id="16" w:name="_Toc236512736"/>
    <w:p w14:paraId="0C96DD00">
      <w:pPr>
        <w:pStyle w:val="style1"/>
        <w:rPr/>
      </w:pPr>
      <w:r>
        <w:t>Part 3: Entry Mode Strategy and Strategic Synthesis</w:t>
      </w:r>
      <w:bookmarkEnd w:id="16"/>
      <w:r>
        <w:t xml:space="preserve"> </w:t>
      </w:r>
    </w:p>
    <w:bookmarkStart w:id="17" w:name="_Toc236512737"/>
    <w:p w14:paraId="76949561">
      <w:pPr>
        <w:pStyle w:val="style2"/>
        <w:rPr/>
      </w:pPr>
      <w:r>
        <w:t>3.1 Historical Entry Pattern</w:t>
      </w:r>
      <w:bookmarkEnd w:id="17"/>
      <w:r>
        <w:t xml:space="preserve"> </w:t>
      </w:r>
    </w:p>
    <w:p w14:paraId="1279F964">
      <w:pPr>
        <w:pStyle w:val="style0"/>
        <w:rPr/>
      </w:pPr>
      <w:r>
        <w:t xml:space="preserve">The international expansion of Costco has been a slow and calculated process, and the company has been more willing to </w:t>
      </w:r>
      <w:r>
        <w:t>enter</w:t>
      </w:r>
      <w:r>
        <w:t xml:space="preserve"> a new market by establishing a Greenfield investment, which is a wholly owned subsidiary, than by a joint venture approach or franchising. This way, the company will be able to control the entire warehouse activity, pricing policy, membership program, and customer experience</w:t>
      </w:r>
      <w:r>
        <w:t xml:space="preserve"> (</w:t>
      </w:r>
      <w:r>
        <w:rPr>
          <w:shd w:val="clear" w:color="auto" w:fill="ffffff"/>
        </w:rPr>
        <w:t>García-Nieto</w:t>
      </w:r>
      <w:r>
        <w:rPr>
          <w:shd w:val="clear" w:color="auto" w:fill="ffffff"/>
        </w:rPr>
        <w:t>, et al., 2025)</w:t>
      </w:r>
      <w:r>
        <w:t>. In May 2026, Costco had 928 stores in 14 countries, suggesting a more measured strategy to expand internationally, as opposed to a rush for stores around the world</w:t>
      </w:r>
      <w:r>
        <w:t xml:space="preserve"> (Costco, 2026)</w:t>
      </w:r>
      <w:r>
        <w:t>.</w:t>
      </w:r>
    </w:p>
    <w:p w14:paraId="6C611CB6">
      <w:pPr>
        <w:pStyle w:val="style0"/>
        <w:rPr/>
      </w:pPr>
      <w:r>
        <w:t xml:space="preserve">In 1993, Costco started to expand into the United Kingdom </w:t>
      </w:r>
      <w:r>
        <w:t>first</w:t>
      </w:r>
      <w:r>
        <w:t>. Expansion spread to Japan (1999), South Korea, Taiwan, Australia, Spain (2014), France (2017), China (2019) and Sweden (2022)</w:t>
      </w:r>
      <w:r>
        <w:t xml:space="preserve"> (</w:t>
      </w:r>
      <w:r>
        <w:t>Fifield</w:t>
      </w:r>
      <w:r>
        <w:t>, et al.</w:t>
      </w:r>
      <w:r>
        <w:t>, 2026)</w:t>
      </w:r>
      <w:r>
        <w:t>. Most international warehouses have been Greenfield wholly owned subsidiaries, enabling Costco to implement its successful warehouse model and change the offerings to suit local tastes. Costco's warehouse rollout strategy is playing out slowly in France, which currently has 3 warehouses, Spain, with 5, Sweden, with 2, China has 7 and the UK has 29</w:t>
      </w:r>
      <w:r>
        <w:t xml:space="preserve"> (</w:t>
      </w:r>
      <w:r>
        <w:t>Mojo</w:t>
      </w:r>
      <w:r>
        <w:t>, 2026)</w:t>
      </w:r>
      <w:r>
        <w:t>.</w:t>
      </w:r>
    </w:p>
    <w:p w14:paraId="1C9BE8CC">
      <w:pPr>
        <w:pStyle w:val="style0"/>
        <w:keepNext/>
        <w:jc w:val="center"/>
        <w:rPr>
          <w:b/>
          <w:bCs/>
          <w:i/>
          <w:iCs/>
        </w:rPr>
      </w:pPr>
      <w:r>
        <w:rPr>
          <w:b/>
          <w:bCs/>
          <w:i/>
          <w:iCs/>
        </w:rPr>
        <w:drawing>
          <wp:inline distL="0" distT="0" distB="0" distR="0">
            <wp:extent cx="4705592" cy="2597283"/>
            <wp:effectExtent l="76200" t="76200" r="133350" b="127000"/>
            <wp:docPr id="1038"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2" name="Picture 1"/>
                    <pic:cNvPicPr/>
                  </pic:nvPicPr>
                  <pic:blipFill>
                    <a:blip r:embed="rId14" cstate="print"/>
                    <a:srcRect l="0" t="0" r="0" b="0"/>
                    <a:stretch/>
                  </pic:blipFill>
                  <pic:spPr>
                    <a:xfrm rot="0">
                      <a:off x="0" y="0"/>
                      <a:ext cx="4705592" cy="2597283"/>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14:paraId="3ACD3F57">
      <w:pPr>
        <w:pStyle w:val="style34"/>
        <w:rPr>
          <w:bCs/>
        </w:rPr>
      </w:pPr>
      <w:r>
        <w:rPr>
          <w:bCs/>
        </w:rPr>
        <w:t xml:space="preserve">Figure </w:t>
      </w:r>
      <w:r>
        <w:rPr>
          <w:bCs/>
        </w:rPr>
        <w:fldChar w:fldCharType="begin"/>
      </w:r>
      <w:r>
        <w:rPr>
          <w:bCs/>
        </w:rPr>
        <w:instrText xml:space="preserve"> SEQ Figure \* ARABIC </w:instrText>
      </w:r>
      <w:r>
        <w:rPr>
          <w:bCs/>
        </w:rPr>
        <w:fldChar w:fldCharType="separate"/>
      </w:r>
      <w:r>
        <w:rPr>
          <w:bCs/>
          <w:noProof/>
        </w:rPr>
        <w:t>12</w:t>
      </w:r>
      <w:r>
        <w:rPr>
          <w:bCs/>
        </w:rPr>
        <w:fldChar w:fldCharType="end"/>
      </w:r>
      <w:r>
        <w:rPr>
          <w:bCs/>
        </w:rPr>
        <w:t>: Costco Through the years</w:t>
      </w:r>
    </w:p>
    <w:p w14:paraId="0D376406">
      <w:pPr>
        <w:pStyle w:val="style0"/>
        <w:jc w:val="center"/>
        <w:rPr>
          <w:b/>
          <w:bCs/>
          <w:i/>
          <w:iCs/>
        </w:rPr>
      </w:pPr>
      <w:r>
        <w:rPr>
          <w:b/>
          <w:bCs/>
          <w:i/>
          <w:iCs/>
        </w:rPr>
        <w:t xml:space="preserve">(Source: </w:t>
      </w:r>
      <w:r>
        <w:rPr>
          <w:b/>
          <w:bCs/>
          <w:i/>
          <w:iCs/>
        </w:rPr>
        <w:t>Fifield</w:t>
      </w:r>
      <w:r>
        <w:rPr>
          <w:b/>
          <w:bCs/>
          <w:i/>
          <w:iCs/>
        </w:rPr>
        <w:t>,</w:t>
      </w:r>
      <w:r>
        <w:rPr>
          <w:b/>
          <w:bCs/>
          <w:i/>
          <w:iCs/>
        </w:rPr>
        <w:t xml:space="preserve"> et al.,</w:t>
      </w:r>
      <w:r>
        <w:rPr>
          <w:b/>
          <w:bCs/>
          <w:i/>
          <w:iCs/>
        </w:rPr>
        <w:t xml:space="preserve"> 2026)</w:t>
      </w:r>
    </w:p>
    <w:p w14:paraId="50B033E9">
      <w:pPr>
        <w:pStyle w:val="style0"/>
        <w:rPr/>
      </w:pPr>
      <w:r>
        <w:t xml:space="preserve">Unlike many retailers around the world, Costco has </w:t>
      </w:r>
      <w:r>
        <w:t>limited</w:t>
      </w:r>
      <w:r>
        <w:t xml:space="preserve"> use of joint ventures or acquisitions and avoids giving up control of its membership program, its operations and its private label Kirkland Signature. Costco does</w:t>
      </w:r>
      <w:r>
        <w:t xml:space="preserve"> not</w:t>
      </w:r>
      <w:r>
        <w:t xml:space="preserve"> usually open a lot of stores at once, but rather slowly expands into the locations as people become aware of it and sign up to become members. The cautious approach to internationalisation has minimised operational risk and helped to ensure long-term profitability and a model for Switzerland entry</w:t>
      </w:r>
      <w:r>
        <w:t xml:space="preserve"> (</w:t>
      </w:r>
      <w:r>
        <w:rPr>
          <w:shd w:val="clear" w:color="auto" w:fill="ffffff"/>
        </w:rPr>
        <w:t>Shen</w:t>
      </w:r>
      <w:r>
        <w:rPr>
          <w:shd w:val="clear" w:color="auto" w:fill="ffffff"/>
        </w:rPr>
        <w:t xml:space="preserve"> </w:t>
      </w:r>
      <w:r>
        <w:rPr>
          <w:shd w:val="clear" w:color="auto" w:fill="ffffff"/>
        </w:rPr>
        <w:t>and Badulescu</w:t>
      </w:r>
      <w:r>
        <w:rPr>
          <w:shd w:val="clear" w:color="auto" w:fill="ffffff"/>
        </w:rPr>
        <w:t>, 2025)</w:t>
      </w:r>
      <w:r>
        <w:t>.</w:t>
      </w:r>
    </w:p>
    <w:bookmarkStart w:id="18" w:name="_Toc236512738"/>
    <w:p w14:paraId="2F2DE650">
      <w:pPr>
        <w:pStyle w:val="style2"/>
        <w:rPr/>
      </w:pPr>
      <w:r>
        <w:t>3.2 Critical Evaluation of Entry Modes</w:t>
      </w:r>
      <w:bookmarkEnd w:id="18"/>
      <w:r>
        <w:t xml:space="preserve"> </w:t>
      </w:r>
    </w:p>
    <w:p w14:paraId="1D22E294">
      <w:pPr>
        <w:pStyle w:val="style0"/>
        <w:rPr/>
      </w:pPr>
      <w:r>
        <w:t>The potential strategies for Costco to enter Switzerland vary in terms of their investment commitments, levels of operational control, and strategic flexibility and competitiveness.</w:t>
      </w:r>
      <w:r>
        <w:t xml:space="preserve"> </w:t>
      </w:r>
      <w:r>
        <w:t>A Greenfield Wholly Owned Subsidiary is therefore the most suitable since it offers full ownership and management of the warehouse, pricing, membership management and supply chain activities</w:t>
      </w:r>
      <w:r>
        <w:t xml:space="preserve"> (</w:t>
      </w:r>
      <w:r>
        <w:rPr>
          <w:shd w:val="clear" w:color="auto" w:fill="ffffff"/>
        </w:rPr>
        <w:t>Teece</w:t>
      </w:r>
      <w:r>
        <w:rPr>
          <w:shd w:val="clear" w:color="auto" w:fill="ffffff"/>
        </w:rPr>
        <w:t>, 2025)</w:t>
      </w:r>
      <w:r>
        <w:t xml:space="preserve">. By directly owning the warehouse and logistics systems, the company can also build a customised warehouse and logistics system that </w:t>
      </w:r>
      <w:r>
        <w:t>meets its global operating standards, benefiting from flexibility and efficiency</w:t>
      </w:r>
      <w:r>
        <w:t xml:space="preserve"> (</w:t>
      </w:r>
      <w:r>
        <w:rPr>
          <w:shd w:val="clear" w:color="auto" w:fill="ffffff"/>
        </w:rPr>
        <w:t>Čamaj</w:t>
      </w:r>
      <w:r>
        <w:rPr>
          <w:shd w:val="clear" w:color="auto" w:fill="ffffff"/>
        </w:rPr>
        <w:t>, et al., 2025)</w:t>
      </w:r>
      <w:r>
        <w:t xml:space="preserve">. </w:t>
      </w:r>
    </w:p>
    <w:p w14:paraId="1EA712C1">
      <w:pPr>
        <w:pStyle w:val="style0"/>
        <w:rPr/>
      </w:pPr>
      <w:r>
        <w:t>Costco has been successful in implementing this strategy in the UK, Spain, France, Sweden, and China and in other markets around the world to enable sustainable expansion overseas.</w:t>
      </w:r>
      <w:r>
        <w:t xml:space="preserve"> </w:t>
      </w:r>
      <w:r>
        <w:t>An alternative solution would be the management of a Joint Venture to minimise financial risk and contribute local market knowledge by partnering with a Swiss retailer</w:t>
      </w:r>
      <w:r>
        <w:t xml:space="preserve"> (</w:t>
      </w:r>
      <w:r>
        <w:rPr>
          <w:shd w:val="clear" w:color="auto" w:fill="ffffff"/>
        </w:rPr>
        <w:t>Karameros</w:t>
      </w:r>
      <w:r>
        <w:rPr>
          <w:shd w:val="clear" w:color="auto" w:fill="ffffff"/>
        </w:rPr>
        <w:t>, et al., 2025)</w:t>
      </w:r>
      <w:r>
        <w:t xml:space="preserve">. Shared </w:t>
      </w:r>
      <w:r>
        <w:t>decision-making</w:t>
      </w:r>
      <w:r>
        <w:t xml:space="preserve"> could lead to conflicts around pricing, procurement, inventory management and strategic priorities, however. Having such restrictions is contrary to Costco's very rigid operating model.</w:t>
      </w:r>
      <w:r>
        <w:t xml:space="preserve"> </w:t>
      </w:r>
      <w:r>
        <w:t xml:space="preserve"> </w:t>
      </w:r>
    </w:p>
    <w:p w14:paraId="5E285E46">
      <w:pPr>
        <w:pStyle w:val="style0"/>
        <w:rPr/>
      </w:pPr>
      <w:r>
        <w:t>Further, there are high costs of acquisition, cultural integration challenges and risks of restructuring operations</w:t>
      </w:r>
      <w:r>
        <w:t xml:space="preserve"> (</w:t>
      </w:r>
      <w:r>
        <w:rPr>
          <w:shd w:val="clear" w:color="auto" w:fill="ffffff"/>
        </w:rPr>
        <w:t>Li</w:t>
      </w:r>
      <w:r>
        <w:rPr>
          <w:shd w:val="clear" w:color="auto" w:fill="ffffff"/>
        </w:rPr>
        <w:t xml:space="preserve"> </w:t>
      </w:r>
      <w:r>
        <w:rPr>
          <w:shd w:val="clear" w:color="auto" w:fill="ffffff"/>
        </w:rPr>
        <w:t>and Nie</w:t>
      </w:r>
      <w:r>
        <w:rPr>
          <w:shd w:val="clear" w:color="auto" w:fill="ffffff"/>
        </w:rPr>
        <w:t>, 2025)</w:t>
      </w:r>
      <w:r>
        <w:t>.</w:t>
      </w:r>
      <w:r>
        <w:t xml:space="preserve"> </w:t>
      </w:r>
      <w:r>
        <w:t>The other entry modes (Strategic Alliances, Franchising, Licensing and Exporting) are much less appropriate. Strategic alliances provide a degree of operational control, and franchising/licensing may dilute the consistency of Costco's brand and brand experience. Exporting is not appropriate since the company's competitive advantage lies in running a physical store and not just providing products.</w:t>
      </w:r>
    </w:p>
    <w:bookmarkStart w:id="19" w:name="_Toc236512739"/>
    <w:p w14:paraId="48226082">
      <w:pPr>
        <w:pStyle w:val="style2"/>
        <w:rPr/>
      </w:pPr>
      <w:r>
        <w:t>3.3 Recommended Entry Mode</w:t>
      </w:r>
      <w:bookmarkEnd w:id="19"/>
      <w:r>
        <w:t xml:space="preserve"> </w:t>
      </w:r>
    </w:p>
    <w:p w14:paraId="4B0AF04F">
      <w:pPr>
        <w:pStyle w:val="style0"/>
        <w:rPr/>
      </w:pPr>
      <w:r>
        <w:t xml:space="preserve">The best strategy for Costco to enter the Swiss market is through a Greenfield Wholly Owned Subsidiary. This is well supported by Dunning's OLI Paradigm that shows that Costco has ownership advantages, Switzerland has </w:t>
      </w:r>
      <w:r>
        <w:t>location-specific</w:t>
      </w:r>
      <w:r>
        <w:t xml:space="preserve"> advantages, and it benefits to have the operations in-house as it maximises the strategic value. Another key factor cited by Internalisation Theory is that direct ownership lowers transaction costs, helps to preserve the quality standards and the proprietary operational knowledge better than licensing or franchising</w:t>
      </w:r>
      <w:r>
        <w:t xml:space="preserve"> (</w:t>
      </w:r>
      <w:r>
        <w:rPr>
          <w:shd w:val="clear" w:color="auto" w:fill="ffffff"/>
        </w:rPr>
        <w:t>Giakoulas</w:t>
      </w:r>
      <w:r>
        <w:rPr>
          <w:shd w:val="clear" w:color="auto" w:fill="ffffff"/>
        </w:rPr>
        <w:t>, 2025)</w:t>
      </w:r>
      <w:r>
        <w:t xml:space="preserve">. Furthermore, Transaction Cost Economics advocates full ownership as it reduces the uncertainty of contracts and </w:t>
      </w:r>
      <w:r>
        <w:t>dependence</w:t>
      </w:r>
      <w:r>
        <w:t xml:space="preserve"> on suppliers. A full-scale, 100% Greenfield warehouse would help Costco ensure brand consistency, safeguard the Kirkland Signature private label, ensure efficient inventory management, and allow it to apply its successful international expansion strategy to ensure sustainable long-term profitability</w:t>
      </w:r>
      <w:r>
        <w:t>.</w:t>
      </w:r>
    </w:p>
    <w:bookmarkStart w:id="20" w:name="_Toc236512740"/>
    <w:p w14:paraId="26C0F6E0">
      <w:pPr>
        <w:pStyle w:val="style2"/>
        <w:rPr/>
      </w:pPr>
      <w:r>
        <w:t>3.4 Final Recommendations</w:t>
      </w:r>
      <w:bookmarkEnd w:id="20"/>
      <w:r>
        <w:t xml:space="preserve"> </w:t>
      </w:r>
    </w:p>
    <w:p w14:paraId="49C99B32">
      <w:pPr>
        <w:pStyle w:val="style0"/>
        <w:rPr/>
      </w:pPr>
      <w:r>
        <w:t xml:space="preserve">The path forward for Costco is into Switzerland through the Greenfield, a fully owned warehouse, located in the Zurich metropolitan region with the highest level of population density, purchasing power and transport connectivity. The company must complete its Kirkland Signature product line with Swiss local brands that are carefully selected to complement the product line and its value proposition for customers, without compromising the global product line. Establishing long-term partnerships with local suppliers, a gradual investment in omnichannel retailing and digital membership services and designing </w:t>
      </w:r>
      <w:r>
        <w:t>energy-efficient</w:t>
      </w:r>
      <w:r>
        <w:t xml:space="preserve"> warehouses will enhance </w:t>
      </w:r>
      <w:r>
        <w:t xml:space="preserve">the </w:t>
      </w:r>
      <w:r>
        <w:t>company’s</w:t>
      </w:r>
      <w:r>
        <w:t xml:space="preserve"> long-term competitiveness, operational efficiency and sustainability in the Swiss market</w:t>
      </w:r>
      <w:r>
        <w:t xml:space="preserve"> (</w:t>
      </w:r>
      <w:r>
        <w:rPr>
          <w:shd w:val="clear" w:color="auto" w:fill="ffffff"/>
        </w:rPr>
        <w:t>Moshood</w:t>
      </w:r>
      <w:r>
        <w:rPr>
          <w:shd w:val="clear" w:color="auto" w:fill="ffffff"/>
        </w:rPr>
        <w:t>, 2025)</w:t>
      </w:r>
      <w:r>
        <w:t>.</w:t>
      </w:r>
    </w:p>
    <w:p w14:paraId="32CCDC58">
      <w:pPr>
        <w:pStyle w:val="style0"/>
        <w:spacing w:before="0" w:after="160" w:lineRule="auto" w:line="278"/>
        <w:jc w:val="left"/>
        <w:rPr>
          <w:rFonts w:cs="宋体" w:eastAsia="宋体"/>
          <w:b/>
          <w:szCs w:val="40"/>
        </w:rPr>
      </w:pPr>
      <w:r>
        <w:br w:type="page"/>
      </w:r>
    </w:p>
    <w:bookmarkStart w:id="21" w:name="_Toc236512741"/>
    <w:p w14:paraId="1EBCD04E">
      <w:pPr>
        <w:pStyle w:val="style1"/>
        <w:rPr/>
      </w:pPr>
      <w:r>
        <w:t>Conclusion</w:t>
      </w:r>
      <w:bookmarkEnd w:id="21"/>
      <w:r>
        <w:t xml:space="preserve"> </w:t>
      </w:r>
    </w:p>
    <w:p w14:paraId="360F3C44">
      <w:pPr>
        <w:pStyle w:val="style0"/>
        <w:rPr/>
      </w:pPr>
      <w:r>
        <w:t xml:space="preserve">According to this report, the Swiss market is attractive for Costco's international expansion since it is </w:t>
      </w:r>
      <w:r>
        <w:t>politically</w:t>
      </w:r>
      <w:r>
        <w:t xml:space="preserve"> stable, economically performing well, consumer-purchasing </w:t>
      </w:r>
      <w:r>
        <w:t>power-driven,</w:t>
      </w:r>
      <w:r>
        <w:t xml:space="preserve"> and has a transparent legal framework, as well as a well-developed retail segment. The analysis shows that Switzerland has favourable macro-environmental conditions which facilitate long-term business growth even in the face of strong competition from existing domestic businesses. In addition, the use of Dunning's OLI Paradigm shows that Costco has </w:t>
      </w:r>
      <w:r>
        <w:t xml:space="preserve">a </w:t>
      </w:r>
      <w:r>
        <w:t xml:space="preserve">good ownership advantage, Switzerland </w:t>
      </w:r>
      <w:r>
        <w:t>has</w:t>
      </w:r>
      <w:r>
        <w:t xml:space="preserve"> significant advantages for location, and the integration of the operations would provide the highest level of strategic control and operational efficiency. The alternative entry modes have been evaluated</w:t>
      </w:r>
      <w:r>
        <w:t>,</w:t>
      </w:r>
      <w:r>
        <w:t xml:space="preserve"> and </w:t>
      </w:r>
      <w:r>
        <w:t xml:space="preserve">a </w:t>
      </w:r>
      <w:r>
        <w:t xml:space="preserve">Greenfield Wholly Owned Subsidiary is the most appropriate one because it allows Costco to keep its brand consistent, safeguard its membership-based approach to business and ensure long-term profitability. Overall, Costco's successful </w:t>
      </w:r>
      <w:r>
        <w:t>internationalisation</w:t>
      </w:r>
      <w:r>
        <w:t xml:space="preserve"> strategy is quite similar to the business environment in Switzerland, and market entry is strategically possible.</w:t>
      </w:r>
    </w:p>
    <w:p w14:paraId="54C085A8">
      <w:pPr>
        <w:pStyle w:val="style0"/>
        <w:spacing w:before="0" w:after="160" w:lineRule="auto" w:line="278"/>
        <w:jc w:val="left"/>
        <w:rPr/>
      </w:pPr>
      <w:r>
        <w:br w:type="page"/>
      </w:r>
    </w:p>
    <w:bookmarkStart w:id="22" w:name="_Toc236512742"/>
    <w:p w14:paraId="38FED1A9">
      <w:pPr>
        <w:pStyle w:val="style1"/>
        <w:rPr/>
      </w:pPr>
      <w:r>
        <w:t>Section 2</w:t>
      </w:r>
      <w:bookmarkEnd w:id="22"/>
      <w:r>
        <w:t xml:space="preserve"> </w:t>
      </w:r>
    </w:p>
    <w:bookmarkStart w:id="23" w:name="_Toc236512743"/>
    <w:p w14:paraId="3F79BDAE">
      <w:pPr>
        <w:pStyle w:val="style1"/>
        <w:rPr/>
      </w:pPr>
      <w:r>
        <w:t>Reflective Account (Gibbs' Reflective Cycle)</w:t>
      </w:r>
      <w:bookmarkEnd w:id="23"/>
      <w:r>
        <w:t xml:space="preserve"> </w:t>
      </w:r>
    </w:p>
    <w:p w14:paraId="7FA7364A">
      <w:pPr>
        <w:pStyle w:val="style0"/>
        <w:keepNext/>
        <w:jc w:val="center"/>
        <w:rPr>
          <w:b/>
          <w:bCs/>
          <w:i/>
          <w:iCs/>
        </w:rPr>
      </w:pPr>
      <w:r>
        <w:rPr/>
        <w:drawing>
          <wp:inline distL="0" distT="0" distB="0" distR="0">
            <wp:extent cx="1524078" cy="3645087"/>
            <wp:effectExtent l="76200" t="76200" r="133350" b="127000"/>
            <wp:docPr id="1039" name="Picture 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3" name="Picture 1"/>
                    <pic:cNvPicPr/>
                  </pic:nvPicPr>
                  <pic:blipFill>
                    <a:blip r:embed="rId15" cstate="print"/>
                    <a:srcRect l="0" t="0" r="0" b="0"/>
                    <a:stretch/>
                  </pic:blipFill>
                  <pic:spPr>
                    <a:xfrm rot="0">
                      <a:off x="0" y="0"/>
                      <a:ext cx="1524078" cy="3645087"/>
                    </a:xfrm>
                    <a:prstGeom prst="rect"/>
                    <a:ln cmpd="sng" cap="sq" w="38100">
                      <a:solidFill>
                        <a:srgbClr val="000000"/>
                      </a:solidFill>
                      <a:prstDash val="solid"/>
                      <a:miter/>
                      <a:headEnd/>
                      <a:tailEnd/>
                    </a:ln>
                    <a:effectLst>
                      <a:outerShdw rotWithShape="false" sx="100000" sy="100000" dist="38100" dir="2700000" blurRad="50800" kx="0" ky="0" algn="tl">
                        <a:srgbClr val="000000">
                          <a:alpha val="43000"/>
                        </a:srgbClr>
                      </a:outerShdw>
                    </a:effectLst>
                  </pic:spPr>
                </pic:pic>
              </a:graphicData>
            </a:graphic>
          </wp:inline>
        </w:drawing>
      </w:r>
    </w:p>
    <w:p w14:paraId="7E2C9501">
      <w:pPr>
        <w:pStyle w:val="style34"/>
        <w:rPr>
          <w:bCs/>
        </w:rPr>
      </w:pPr>
      <w:r>
        <w:rPr>
          <w:bCs/>
        </w:rPr>
        <w:t xml:space="preserve">Figure </w:t>
      </w:r>
      <w:r>
        <w:rPr>
          <w:bCs/>
        </w:rPr>
        <w:fldChar w:fldCharType="begin"/>
      </w:r>
      <w:r>
        <w:rPr>
          <w:bCs/>
        </w:rPr>
        <w:instrText xml:space="preserve"> SEQ Figure \* ARABIC </w:instrText>
      </w:r>
      <w:r>
        <w:rPr>
          <w:bCs/>
        </w:rPr>
        <w:fldChar w:fldCharType="separate"/>
      </w:r>
      <w:r>
        <w:rPr>
          <w:bCs/>
          <w:noProof/>
        </w:rPr>
        <w:t>13</w:t>
      </w:r>
      <w:r>
        <w:rPr>
          <w:bCs/>
        </w:rPr>
        <w:fldChar w:fldCharType="end"/>
      </w:r>
      <w:r>
        <w:rPr>
          <w:bCs/>
        </w:rPr>
        <w:t>: Gibbs' Reflective Cycle</w:t>
      </w:r>
    </w:p>
    <w:p w14:paraId="33D46478">
      <w:pPr>
        <w:pStyle w:val="style0"/>
        <w:jc w:val="center"/>
        <w:rPr>
          <w:b/>
          <w:bCs/>
          <w:i/>
          <w:iCs/>
        </w:rPr>
      </w:pPr>
      <w:r>
        <w:rPr>
          <w:b/>
          <w:bCs/>
          <w:i/>
          <w:iCs/>
        </w:rPr>
        <w:t>(Source: By Author)</w:t>
      </w:r>
    </w:p>
    <w:bookmarkStart w:id="24" w:name="_Toc236512744"/>
    <w:p w14:paraId="77EFB45E">
      <w:pPr>
        <w:pStyle w:val="style2"/>
        <w:rPr/>
      </w:pPr>
      <w:r>
        <w:t>1. Description</w:t>
      </w:r>
      <w:bookmarkEnd w:id="24"/>
    </w:p>
    <w:p w14:paraId="4E86EBF6">
      <w:pPr>
        <w:pStyle w:val="style0"/>
        <w:rPr/>
      </w:pPr>
      <w:r>
        <w:t>The goal of this report was to assess the potential of Costco Wholesale Corporation (CWC) for expansion into Switzerland using concepts and theories about international business which had been learned during the module. The first step in the research process was to find a multinational company that had no significant operational presence in the selected country and provided enough scope for strategic analysis. Costco was chosen because of its strategy of international expansion</w:t>
      </w:r>
      <w:r>
        <w:t>,</w:t>
      </w:r>
      <w:r>
        <w:t xml:space="preserve"> </w:t>
      </w:r>
      <w:r>
        <w:t>which would offer a great opportunity to study the market and make a suitable recommendation.</w:t>
      </w:r>
    </w:p>
    <w:p w14:paraId="5CCAEAD3">
      <w:pPr>
        <w:pStyle w:val="style0"/>
        <w:rPr/>
      </w:pPr>
      <w:r>
        <w:t>The study consisted of an analysis of Costco's operations around the world and of the political, economic, legal and cultural context in Switzerland</w:t>
      </w:r>
      <w:r>
        <w:t>,</w:t>
      </w:r>
      <w:r>
        <w:t xml:space="preserve"> with relevant academic literature, the company's annual reports, publications from the Swiss state</w:t>
      </w:r>
      <w:r>
        <w:t>,</w:t>
      </w:r>
      <w:r>
        <w:t xml:space="preserve"> as well as international databases. Theories like Bartlett and Ghoshal's International Strategy Framework, Dunning's OLI Paradigm, Hofstede's Cultural Dimensions, Porter's Five Forces and Foreign Direct Investment (FDI) theories were critically applied </w:t>
      </w:r>
      <w:r>
        <w:t>to</w:t>
      </w:r>
      <w:r>
        <w:t xml:space="preserve"> evaluate the appropriateness of Switzerland for future expansion of Costco. Gibbs' Reflective Cycle was used to help analyse the learning experience by using 6 stages</w:t>
      </w:r>
      <w:r>
        <w:t xml:space="preserve"> such as</w:t>
      </w:r>
      <w:r>
        <w:t xml:space="preserve"> description, feelings, evaluation, analysis, conclusion and action plan</w:t>
      </w:r>
      <w:r>
        <w:t xml:space="preserve"> (</w:t>
      </w:r>
      <w:r>
        <w:rPr>
          <w:shd w:val="clear" w:color="auto" w:fill="ffffff"/>
        </w:rPr>
        <w:t>Ahmadpour</w:t>
      </w:r>
      <w:r>
        <w:rPr>
          <w:shd w:val="clear" w:color="auto" w:fill="ffffff"/>
        </w:rPr>
        <w:t>, et al., 2025)</w:t>
      </w:r>
      <w:r>
        <w:t>.</w:t>
      </w:r>
    </w:p>
    <w:bookmarkStart w:id="25" w:name="_Toc236512745"/>
    <w:p w14:paraId="568F49E6">
      <w:pPr>
        <w:pStyle w:val="style2"/>
        <w:rPr/>
      </w:pPr>
      <w:r>
        <w:t>2. Feelings</w:t>
      </w:r>
      <w:bookmarkEnd w:id="25"/>
    </w:p>
    <w:p w14:paraId="652D4A66">
      <w:pPr>
        <w:pStyle w:val="style0"/>
        <w:rPr/>
      </w:pPr>
      <w:r>
        <w:t xml:space="preserve">Initially, the students had confidence in the knowledge of the Costco business </w:t>
      </w:r>
      <w:r>
        <w:t>model but</w:t>
      </w:r>
      <w:r>
        <w:t xml:space="preserve"> lacked the knowledge about the application of various theories of international business in the same integrated report. At first sight, it seemed that the analysis of a developed country like Switzerland should be easier than it is in other countries due to its political stability and </w:t>
      </w:r>
      <w:r>
        <w:t>favourable</w:t>
      </w:r>
      <w:r>
        <w:t xml:space="preserve"> economic performance. But it turned out that it is</w:t>
      </w:r>
      <w:r>
        <w:t xml:space="preserve"> no</w:t>
      </w:r>
      <w:r>
        <w:t>t just one favourable market that makes for success when expanding internationally</w:t>
      </w:r>
      <w:r>
        <w:t xml:space="preserve"> as </w:t>
      </w:r>
      <w:r>
        <w:t>it</w:t>
      </w:r>
      <w:r>
        <w:t xml:space="preserve"> i</w:t>
      </w:r>
      <w:r>
        <w:t>s a mix of economic, cultural, legal and strategic factors</w:t>
      </w:r>
      <w:r>
        <w:t xml:space="preserve"> (</w:t>
      </w:r>
      <w:r>
        <w:rPr>
          <w:shd w:val="clear" w:color="auto" w:fill="ffffff"/>
        </w:rPr>
        <w:t>Chiu</w:t>
      </w:r>
      <w:r>
        <w:rPr>
          <w:shd w:val="clear" w:color="auto" w:fill="ffffff"/>
        </w:rPr>
        <w:t>, et al., 2025)</w:t>
      </w:r>
      <w:r>
        <w:t>.</w:t>
      </w:r>
    </w:p>
    <w:p w14:paraId="51FADEED">
      <w:pPr>
        <w:pStyle w:val="style0"/>
        <w:rPr/>
      </w:pPr>
      <w:r>
        <w:t xml:space="preserve">With the development of the theory, confidence grew as each theory offered a unique understanding of the global </w:t>
      </w:r>
      <w:r>
        <w:t>decision-making</w:t>
      </w:r>
      <w:r>
        <w:t xml:space="preserve"> process of business. Recent governmental data and data from international organisations were used to enhance the quality of statistical evidence collected and thus better understand the value of quantitative data in making strategic recommendations</w:t>
      </w:r>
      <w:r>
        <w:t xml:space="preserve"> (</w:t>
      </w:r>
      <w:r>
        <w:rPr>
          <w:shd w:val="clear" w:color="auto" w:fill="ffffff"/>
        </w:rPr>
        <w:t>Khan</w:t>
      </w:r>
      <w:r>
        <w:rPr>
          <w:shd w:val="clear" w:color="auto" w:fill="ffffff"/>
        </w:rPr>
        <w:t>, 2025)</w:t>
      </w:r>
      <w:r>
        <w:t>. The project ended with an increased understanding of the challenges of assessing foreign market opportunities and choosing an optimal path for entering the foreign market</w:t>
      </w:r>
      <w:r>
        <w:t>.</w:t>
      </w:r>
    </w:p>
    <w:bookmarkStart w:id="26" w:name="_Toc236512746"/>
    <w:p w14:paraId="62433F44">
      <w:pPr>
        <w:pStyle w:val="style2"/>
        <w:rPr/>
      </w:pPr>
      <w:r>
        <w:t>3. Evaluation</w:t>
      </w:r>
      <w:bookmarkEnd w:id="26"/>
    </w:p>
    <w:p w14:paraId="16881B02">
      <w:pPr>
        <w:pStyle w:val="style0"/>
        <w:rPr/>
      </w:pPr>
      <w:r>
        <w:t xml:space="preserve">Overall, the research process was successful as the academic theories were able to be supplemented with recent evidence from the business world so that a thorough </w:t>
      </w:r>
      <w:r>
        <w:t>assessment of the proposed Costco expansion into Switzerland could be made. The use of multiple sources allowed the report to critically consider both the opportunity and potential challenges rather than merely a description of information</w:t>
      </w:r>
      <w:r>
        <w:t xml:space="preserve"> (</w:t>
      </w:r>
      <w:r>
        <w:rPr>
          <w:shd w:val="clear" w:color="auto" w:fill="ffffff"/>
        </w:rPr>
        <w:t>Black</w:t>
      </w:r>
      <w:r>
        <w:rPr>
          <w:shd w:val="clear" w:color="auto" w:fill="ffffff"/>
        </w:rPr>
        <w:t xml:space="preserve"> </w:t>
      </w:r>
      <w:r>
        <w:rPr>
          <w:shd w:val="clear" w:color="auto" w:fill="ffffff"/>
        </w:rPr>
        <w:t>and Tomlinson</w:t>
      </w:r>
      <w:r>
        <w:rPr>
          <w:shd w:val="clear" w:color="auto" w:fill="ffffff"/>
        </w:rPr>
        <w:t>, 2025)</w:t>
      </w:r>
      <w:r>
        <w:t xml:space="preserve">. The presentation of </w:t>
      </w:r>
      <w:r>
        <w:t xml:space="preserve">the </w:t>
      </w:r>
      <w:r>
        <w:t xml:space="preserve">latest statistics </w:t>
      </w:r>
      <w:r>
        <w:t>about</w:t>
      </w:r>
      <w:r>
        <w:t xml:space="preserve"> GDP, inflation, political situation, retail performance and consumer purchasing power increased the credibility of the analysis.</w:t>
      </w:r>
    </w:p>
    <w:p w14:paraId="47C8B69D">
      <w:pPr>
        <w:pStyle w:val="style0"/>
        <w:rPr/>
      </w:pPr>
      <w:r>
        <w:t>The most significant feature of the report was the incorporation of some of the international business frameworks. The report showed the synergy of the different theories and frameworks in explaining Costco's international expansion policy, rather than presenting the theories separately. But there were some problems with the research as well. Because information about Costco's future expansion plans was not readily available, more strategic inferences were needed based on prior international expansion movements. Further, it was necessary to consider current and comparable retail market numbers from various sources, and to ensure that they are consistent and reliable</w:t>
      </w:r>
      <w:r>
        <w:t xml:space="preserve"> (</w:t>
      </w:r>
      <w:r>
        <w:rPr>
          <w:shd w:val="clear" w:color="auto" w:fill="ffffff"/>
        </w:rPr>
        <w:t>Silaghi</w:t>
      </w:r>
      <w:r>
        <w:rPr>
          <w:shd w:val="clear" w:color="auto" w:fill="ffffff"/>
        </w:rPr>
        <w:t xml:space="preserve"> </w:t>
      </w:r>
      <w:r>
        <w:rPr>
          <w:shd w:val="clear" w:color="auto" w:fill="ffffff"/>
        </w:rPr>
        <w:t>and Popescu</w:t>
      </w:r>
      <w:r>
        <w:rPr>
          <w:shd w:val="clear" w:color="auto" w:fill="ffffff"/>
        </w:rPr>
        <w:t>, 2025)</w:t>
      </w:r>
      <w:r>
        <w:t>.</w:t>
      </w:r>
    </w:p>
    <w:bookmarkStart w:id="27" w:name="_Toc236512747"/>
    <w:p w14:paraId="3568C8B7">
      <w:pPr>
        <w:pStyle w:val="style2"/>
        <w:rPr/>
      </w:pPr>
      <w:r>
        <w:t>4. Analysis</w:t>
      </w:r>
      <w:bookmarkEnd w:id="27"/>
    </w:p>
    <w:p w14:paraId="026C69DD">
      <w:pPr>
        <w:pStyle w:val="style0"/>
        <w:rPr/>
      </w:pPr>
      <w:r>
        <w:t>The module theories had a great impact on the research process and the strategic recommendation</w:t>
      </w:r>
      <w:r>
        <w:t xml:space="preserve"> (</w:t>
      </w:r>
      <w:r>
        <w:rPr>
          <w:shd w:val="clear" w:color="auto" w:fill="ffffff"/>
        </w:rPr>
        <w:t>Holisoh</w:t>
      </w:r>
      <w:r>
        <w:rPr>
          <w:shd w:val="clear" w:color="auto" w:fill="ffffff"/>
        </w:rPr>
        <w:t>, et al, 2025)</w:t>
      </w:r>
      <w:r>
        <w:t>. Bartlett and Ghoshal's framework illustrated the transnational strategy Costco has adopted</w:t>
      </w:r>
      <w:r>
        <w:t>,</w:t>
      </w:r>
      <w:r>
        <w:t xml:space="preserve"> involving standardised operations and </w:t>
      </w:r>
      <w:r>
        <w:t xml:space="preserve">selective </w:t>
      </w:r>
      <w:r>
        <w:t>product adaptation that is selective. This made it easy to comprehend how Switzerland was able to support the Costco business model without significant changes in strategy.</w:t>
      </w:r>
    </w:p>
    <w:p w14:paraId="1425F8C9">
      <w:pPr>
        <w:pStyle w:val="style0"/>
        <w:rPr/>
      </w:pPr>
      <w:r>
        <w:t xml:space="preserve">Dunning's OLI Paradigm was the most influential because it systematically assessed the ownership, location and internalisation advantages. The analysis was successful in demonstrating that Costco has strong ownership advantages in terms of its brand and membership, financial strength, and supply chain. It was also advantageous that they could be based in Switzerland, which provided them with many location-specific benefits such as high purchasing power, political stability, and advanced infrastructure, and that </w:t>
      </w:r>
      <w:r>
        <w:t>they could be operated internally, through a wholly owned subsidiary</w:t>
      </w:r>
      <w:r>
        <w:t>,</w:t>
      </w:r>
      <w:r>
        <w:t xml:space="preserve"> as it would</w:t>
      </w:r>
      <w:r>
        <w:t xml:space="preserve"> be great to secure as much control and safeguard their competitive advantages.</w:t>
      </w:r>
    </w:p>
    <w:p w14:paraId="0FC60507">
      <w:pPr>
        <w:pStyle w:val="style0"/>
        <w:rPr/>
      </w:pPr>
      <w:r>
        <w:t xml:space="preserve">The macro environment was analysed by examining the external factors that influence investment decisions, such as political, economic, legal and socio-cultural conditions in Switzerland, </w:t>
      </w:r>
      <w:r>
        <w:t>to</w:t>
      </w:r>
      <w:r>
        <w:t xml:space="preserve"> gain a deeper understanding of the external environment</w:t>
      </w:r>
      <w:r>
        <w:t xml:space="preserve"> (</w:t>
      </w:r>
      <w:r>
        <w:rPr>
          <w:shd w:val="clear" w:color="auto" w:fill="ffffff"/>
        </w:rPr>
        <w:t>Piras</w:t>
      </w:r>
      <w:r>
        <w:rPr>
          <w:shd w:val="clear" w:color="auto" w:fill="ffffff"/>
        </w:rPr>
        <w:t xml:space="preserve"> </w:t>
      </w:r>
      <w:r>
        <w:rPr>
          <w:shd w:val="clear" w:color="auto" w:fill="ffffff"/>
        </w:rPr>
        <w:t>and Pedes</w:t>
      </w:r>
      <w:r>
        <w:rPr>
          <w:shd w:val="clear" w:color="auto" w:fill="ffffff"/>
        </w:rPr>
        <w:t>, 2025)</w:t>
      </w:r>
      <w:r>
        <w:t>. Likewise, the similarities between Switzerland and the United States found by Hofstede's Cultural Dimensions suggest that some nuances in the product assortment and customer engagement strategies should be made in Costco's business.</w:t>
      </w:r>
    </w:p>
    <w:p w14:paraId="4EAE1E7A">
      <w:pPr>
        <w:pStyle w:val="style0"/>
        <w:rPr/>
      </w:pPr>
      <w:r>
        <w:t>Lastly, Porter's Five Forces revealed the degree of competition within the Swiss retail sector and the potential that arises from the membership warehouse concept of Costco. Together, these theories gave the report a character of a strategic analysis based on facts and academic arguments and made it a country analysis instead of descriptive. The experience highlighted the need to use more than one complementary framework in analysing international business decisions in a more complex manner, rather than just one theory or approach</w:t>
      </w:r>
      <w:r>
        <w:t>.</w:t>
      </w:r>
    </w:p>
    <w:bookmarkStart w:id="28" w:name="_Toc236512748"/>
    <w:p w14:paraId="473EB61B">
      <w:pPr>
        <w:pStyle w:val="style2"/>
        <w:rPr/>
      </w:pPr>
      <w:r>
        <w:t>5. Conclusion</w:t>
      </w:r>
      <w:bookmarkEnd w:id="28"/>
    </w:p>
    <w:p w14:paraId="763B677F">
      <w:pPr>
        <w:pStyle w:val="style0"/>
        <w:rPr/>
      </w:pPr>
      <w:r>
        <w:t xml:space="preserve">This assignment greatly improved insight into international market expansion and strategic </w:t>
      </w:r>
      <w:r>
        <w:t>decision-making</w:t>
      </w:r>
      <w:r>
        <w:t xml:space="preserve">. It showed that the political, economic, legal and cultural attributes of the destination country should be </w:t>
      </w:r>
      <w:r>
        <w:t>considered</w:t>
      </w:r>
      <w:r>
        <w:t xml:space="preserve"> as well as the </w:t>
      </w:r>
      <w:r>
        <w:t>organisation's</w:t>
      </w:r>
      <w:r>
        <w:t xml:space="preserve"> capabilities if foreign investment is to be successful. The research also underscored the need to incorporate theory-based recommendations with the latest statistical data </w:t>
      </w:r>
      <w:r>
        <w:t>to</w:t>
      </w:r>
      <w:r>
        <w:t xml:space="preserve"> come up with recommendations that are balanced and evidence-based. The most important thing that the assignment has accomplished is that analytical thinking has been strengthened </w:t>
      </w:r>
      <w:r>
        <w:t>through</w:t>
      </w:r>
      <w:r>
        <w:t xml:space="preserve"> critical evaluation instead of descriptive discussion. The learning outcomes have contributed to enhanced confidence in the application of theories of international business in real </w:t>
      </w:r>
      <w:r>
        <w:t>organisational</w:t>
      </w:r>
      <w:r>
        <w:t xml:space="preserve"> challenges</w:t>
      </w:r>
      <w:r>
        <w:t>.</w:t>
      </w:r>
    </w:p>
    <w:bookmarkStart w:id="29" w:name="_Toc236512749"/>
    <w:p w14:paraId="5FFE5A03">
      <w:pPr>
        <w:pStyle w:val="style2"/>
        <w:rPr/>
      </w:pPr>
      <w:r>
        <w:t>6. Action Plan</w:t>
      </w:r>
      <w:bookmarkEnd w:id="29"/>
    </w:p>
    <w:p w14:paraId="0777DDF4">
      <w:pPr>
        <w:pStyle w:val="style0"/>
        <w:rPr/>
      </w:pPr>
      <w:r>
        <w:t>In future business projects of international nature, more attention will be given to gathering good quality data from government documents, from international organisations and from reports of companies</w:t>
      </w:r>
      <w:r>
        <w:t xml:space="preserve"> (</w:t>
      </w:r>
      <w:r>
        <w:rPr>
          <w:shd w:val="clear" w:color="auto" w:fill="ffffff"/>
        </w:rPr>
        <w:t>McKenzie</w:t>
      </w:r>
      <w:r>
        <w:rPr>
          <w:shd w:val="clear" w:color="auto" w:fill="ffffff"/>
        </w:rPr>
        <w:t>, et al., 2025)</w:t>
      </w:r>
      <w:r>
        <w:t xml:space="preserve">. There will also be a greater emphasis on comparing alternative market entry methods as well in terms of empirical evidence rather than theoretical assumptions. In addition, improved knowledge and skills in the interpretation of International Economic Indicators, Cultural Frameworks and Foreign Investment </w:t>
      </w:r>
      <w:r>
        <w:t>trends</w:t>
      </w:r>
      <w:r>
        <w:t xml:space="preserve"> will enhance future strategic </w:t>
      </w:r>
      <w:r>
        <w:t>decision-making</w:t>
      </w:r>
      <w:r>
        <w:t xml:space="preserve"> (</w:t>
      </w:r>
      <w:r>
        <w:rPr>
          <w:shd w:val="clear" w:color="auto" w:fill="ffffff"/>
        </w:rPr>
        <w:t>Chrystella</w:t>
      </w:r>
      <w:r>
        <w:rPr>
          <w:shd w:val="clear" w:color="auto" w:fill="ffffff"/>
        </w:rPr>
        <w:t>, et al., 2025)</w:t>
      </w:r>
      <w:r>
        <w:t xml:space="preserve">. </w:t>
      </w:r>
      <w:r>
        <w:t>Finally</w:t>
      </w:r>
      <w:r>
        <w:t xml:space="preserve">, the experience has demonstrated that an integrated approach using several theories of International Business into one analytical framework is </w:t>
      </w:r>
      <w:r>
        <w:t>worthwhile</w:t>
      </w:r>
      <w:r>
        <w:t xml:space="preserve"> and</w:t>
      </w:r>
      <w:r>
        <w:t xml:space="preserve"> will be used in future academic research and professional practice for making better decisions for International Business</w:t>
      </w:r>
      <w:r>
        <w:t>.</w:t>
      </w:r>
    </w:p>
    <w:p w14:paraId="0AE39086">
      <w:pPr>
        <w:pStyle w:val="style0"/>
        <w:rPr/>
      </w:pPr>
    </w:p>
    <w:p w14:paraId="79F8C52E">
      <w:pPr>
        <w:pStyle w:val="style0"/>
        <w:spacing w:before="0" w:after="160" w:lineRule="auto" w:line="278"/>
        <w:jc w:val="left"/>
        <w:rPr/>
      </w:pPr>
      <w:r>
        <w:br w:type="page"/>
      </w:r>
    </w:p>
    <w:bookmarkStart w:id="30" w:name="_Toc236512750"/>
    <w:p w14:paraId="4E8C7DC0">
      <w:pPr>
        <w:pStyle w:val="style1"/>
        <w:rPr/>
      </w:pPr>
      <w:r>
        <w:t>References</w:t>
      </w:r>
      <w:bookmarkEnd w:id="30"/>
    </w:p>
    <w:p w14:paraId="6FA9E4B1">
      <w:pPr>
        <w:pStyle w:val="style0"/>
        <w:rPr/>
      </w:pPr>
      <w:r>
        <w:t xml:space="preserve">About Switzerland. (2023) Retail. [Online]. Available at: </w:t>
      </w:r>
      <w:r>
        <w:rPr/>
        <w:fldChar w:fldCharType="begin"/>
      </w:r>
      <w:r>
        <w:instrText xml:space="preserve"> HYPERLINK "https://www.aboutswitzerland.eda.admin.ch/en/retail" </w:instrText>
      </w:r>
      <w:r>
        <w:rPr/>
        <w:fldChar w:fldCharType="separate"/>
      </w:r>
      <w:r>
        <w:rPr>
          <w:rStyle w:val="style85"/>
        </w:rPr>
        <w:t>https://www.aboutswitzerland.eda.admin.ch/en/retail</w:t>
      </w:r>
      <w:r>
        <w:rPr/>
        <w:fldChar w:fldCharType="end"/>
      </w:r>
      <w:r>
        <w:t xml:space="preserve"> </w:t>
      </w:r>
      <w:r>
        <w:rPr>
          <w:shd w:val="clear" w:color="auto" w:fill="ffffff"/>
        </w:rPr>
        <w:t>[Accessed on: 1 August 2026].</w:t>
      </w:r>
    </w:p>
    <w:p w14:paraId="63B73F3A">
      <w:pPr>
        <w:pStyle w:val="style0"/>
        <w:rPr>
          <w:shd w:val="clear" w:color="auto" w:fill="ffffff"/>
        </w:rPr>
      </w:pPr>
      <w:r>
        <w:rPr>
          <w:shd w:val="clear" w:color="auto" w:fill="ffffff"/>
        </w:rPr>
        <w:t xml:space="preserve">About Switzerland. (2025) Exports and imports. [Online]. Available at: </w:t>
      </w:r>
      <w:r>
        <w:rPr/>
        <w:fldChar w:fldCharType="begin"/>
      </w:r>
      <w:r>
        <w:instrText xml:space="preserve"> HYPERLINK "https://www.aboutswitzerland.eda.admin.ch/en/swiss-economy-overview-export" </w:instrText>
      </w:r>
      <w:r>
        <w:rPr/>
        <w:fldChar w:fldCharType="separate"/>
      </w:r>
      <w:r>
        <w:rPr>
          <w:rStyle w:val="style85"/>
          <w:shd w:val="clear" w:color="auto" w:fill="ffffff"/>
        </w:rPr>
        <w:t>https://www.aboutswitzerland.eda.admin.ch/en/swiss-economy-overview-export</w:t>
      </w:r>
      <w:r>
        <w:rPr/>
        <w:fldChar w:fldCharType="end"/>
      </w:r>
      <w:r>
        <w:rPr>
          <w:shd w:val="clear" w:color="auto" w:fill="ffffff"/>
        </w:rPr>
        <w:t xml:space="preserve"> [Accessed on: 1 August 2026].</w:t>
      </w:r>
    </w:p>
    <w:p w14:paraId="080187B0">
      <w:pPr>
        <w:pStyle w:val="style0"/>
        <w:rPr>
          <w:shd w:val="clear" w:color="auto" w:fill="ffffff"/>
        </w:rPr>
      </w:pPr>
      <w:r>
        <w:rPr>
          <w:shd w:val="clear" w:color="auto" w:fill="ffffff"/>
        </w:rPr>
        <w:t xml:space="preserve">About Switzerland. (2026) Recycling. [Online]. Available at: </w:t>
      </w:r>
      <w:r>
        <w:rPr/>
        <w:fldChar w:fldCharType="begin"/>
      </w:r>
      <w:r>
        <w:instrText xml:space="preserve"> HYPERLINK "https://www.aboutswitzerland.eda.admin.ch/en/nature-recycling" </w:instrText>
      </w:r>
      <w:r>
        <w:rPr/>
        <w:fldChar w:fldCharType="separate"/>
      </w:r>
      <w:r>
        <w:rPr>
          <w:rStyle w:val="style85"/>
          <w:shd w:val="clear" w:color="auto" w:fill="ffffff"/>
        </w:rPr>
        <w:t>https://www.aboutswitzerland.eda.admin.ch/en/nature-recycling</w:t>
      </w:r>
      <w:r>
        <w:rPr/>
        <w:fldChar w:fldCharType="end"/>
      </w:r>
      <w:r>
        <w:rPr>
          <w:shd w:val="clear" w:color="auto" w:fill="ffffff"/>
        </w:rPr>
        <w:t xml:space="preserve"> [Accessed on: 1 August 2026].</w:t>
      </w:r>
    </w:p>
    <w:p w14:paraId="3DBF28D4">
      <w:pPr>
        <w:pStyle w:val="style0"/>
        <w:rPr>
          <w:shd w:val="clear" w:color="auto" w:fill="ffffff"/>
        </w:rPr>
      </w:pPr>
      <w:r>
        <w:rPr>
          <w:shd w:val="clear" w:color="auto" w:fill="ffffff"/>
        </w:rPr>
        <w:t>Ahmadpour, N., Shariati, A. and Moghadam, M.P. (2025) Effect of narrative writing based on Gibbs’ reflective model on the empathy and communication skills of nursing students. </w:t>
      </w:r>
      <w:r>
        <w:rPr>
          <w:i/>
          <w:iCs/>
          <w:shd w:val="clear" w:color="auto" w:fill="ffffff"/>
        </w:rPr>
        <w:t>BMC Medical Education</w:t>
      </w:r>
      <w:r>
        <w:rPr>
          <w:shd w:val="clear" w:color="auto" w:fill="ffffff"/>
        </w:rPr>
        <w:t>, </w:t>
      </w:r>
      <w:r>
        <w:rPr>
          <w:i/>
          <w:iCs/>
          <w:shd w:val="clear" w:color="auto" w:fill="ffffff"/>
        </w:rPr>
        <w:t>25</w:t>
      </w:r>
      <w:r>
        <w:rPr>
          <w:shd w:val="clear" w:color="auto" w:fill="ffffff"/>
        </w:rPr>
        <w:t xml:space="preserve">(1), p.10. </w:t>
      </w:r>
    </w:p>
    <w:p w14:paraId="698E2833">
      <w:pPr>
        <w:pStyle w:val="style0"/>
        <w:rPr/>
      </w:pPr>
      <w:r>
        <w:t xml:space="preserve">Allende, M. (2025) Costco Sues US to Protect Rights in Pending Tariff Case. [Online]. Available at: </w:t>
      </w:r>
      <w:r>
        <w:rPr/>
        <w:fldChar w:fldCharType="begin"/>
      </w:r>
      <w:r>
        <w:instrText xml:space="preserve"> HYPERLINK "https://mexicobusiness.news/ecommerce/news/costco-sues-us-protect-rights-pending-tariff-case" </w:instrText>
      </w:r>
      <w:r>
        <w:rPr/>
        <w:fldChar w:fldCharType="separate"/>
      </w:r>
      <w:r>
        <w:rPr>
          <w:rStyle w:val="style85"/>
        </w:rPr>
        <w:t>https://mexicobusiness.news/ecommerce/news/costco-sues-us-protect-rights-pending-tariff-case</w:t>
      </w:r>
      <w:r>
        <w:rPr/>
        <w:fldChar w:fldCharType="end"/>
      </w:r>
      <w:r>
        <w:t xml:space="preserve"> </w:t>
      </w:r>
      <w:r>
        <w:rPr>
          <w:shd w:val="clear" w:color="auto" w:fill="ffffff"/>
        </w:rPr>
        <w:t>[Accessed on: 1 August 2026].</w:t>
      </w:r>
    </w:p>
    <w:p w14:paraId="0DA92EE8">
      <w:pPr>
        <w:pStyle w:val="style0"/>
        <w:rPr/>
      </w:pPr>
      <w:r>
        <w:t xml:space="preserve">AQA. (2026) Bartlett and Ghoshal's international, multi-domestic, transnational and global strategies. [Online]. Available at: </w:t>
      </w:r>
      <w:r>
        <w:rPr/>
        <w:fldChar w:fldCharType="begin"/>
      </w:r>
      <w:r>
        <w:instrText xml:space="preserve"> HYPERLINK "https://www.aqa.org.uk/resources/business/as-and-a-level/business-7131-7132/teach/teaching-guide-bartlett-and-ghoshals-international-multi-domestic-transnational-and-global-strategies" </w:instrText>
      </w:r>
      <w:r>
        <w:rPr/>
        <w:fldChar w:fldCharType="separate"/>
      </w:r>
      <w:r>
        <w:rPr>
          <w:rStyle w:val="style85"/>
        </w:rPr>
        <w:t>https://www.aqa.org.uk/resources/business/as-and-a-level/business-7131-7132/teach/teaching-guide-bartlett-and-ghoshals-international-multi-domestic-transnational-and-global-strategies</w:t>
      </w:r>
      <w:r>
        <w:rPr/>
        <w:fldChar w:fldCharType="end"/>
      </w:r>
      <w:r>
        <w:t xml:space="preserve"> </w:t>
      </w:r>
      <w:r>
        <w:rPr>
          <w:shd w:val="clear" w:color="auto" w:fill="ffffff"/>
        </w:rPr>
        <w:t>[Accessed on: 1 August 2026].</w:t>
      </w:r>
    </w:p>
    <w:p w14:paraId="2E792FDB">
      <w:pPr>
        <w:pStyle w:val="style0"/>
        <w:rPr>
          <w:shd w:val="clear" w:color="auto" w:fill="ffffff"/>
        </w:rPr>
      </w:pPr>
      <w:r>
        <w:rPr>
          <w:shd w:val="clear" w:color="auto" w:fill="ffffff"/>
        </w:rPr>
        <w:t xml:space="preserve">Baker McKenzie. (2025) Switzerland: Revised Cartel Act Passed. [Online]. Available at: </w:t>
      </w:r>
      <w:r>
        <w:rPr/>
        <w:fldChar w:fldCharType="begin"/>
      </w:r>
      <w:r>
        <w:instrText xml:space="preserve"> HYPERLINK "https://www.bakermckenzie.com/en/insight/publications/alerts/2025/12/switzerland-revised-cartel-act-passed" </w:instrText>
      </w:r>
      <w:r>
        <w:rPr/>
        <w:fldChar w:fldCharType="separate"/>
      </w:r>
      <w:r>
        <w:rPr>
          <w:rStyle w:val="style85"/>
          <w:shd w:val="clear" w:color="auto" w:fill="ffffff"/>
        </w:rPr>
        <w:t>https://www.bakermckenzie.com/en/insight/publications/alerts/2025/12/switzerland-revised-cartel-act-passed</w:t>
      </w:r>
      <w:r>
        <w:rPr/>
        <w:fldChar w:fldCharType="end"/>
      </w:r>
      <w:r>
        <w:rPr>
          <w:shd w:val="clear" w:color="auto" w:fill="ffffff"/>
        </w:rPr>
        <w:t xml:space="preserve"> [Accessed on: 1 August 2026].</w:t>
      </w:r>
    </w:p>
    <w:p w14:paraId="7A2DB986">
      <w:pPr>
        <w:pStyle w:val="style0"/>
        <w:rPr>
          <w:shd w:val="clear" w:color="auto" w:fill="ffffff"/>
        </w:rPr>
      </w:pPr>
      <w:r>
        <w:rPr>
          <w:shd w:val="clear" w:color="auto" w:fill="ffffff"/>
        </w:rPr>
        <w:t>Black, R.W. and Tomlinson, B. (2025) University students describe how they adopt AI for writing and research in a general education course. </w:t>
      </w:r>
      <w:r>
        <w:rPr>
          <w:i/>
          <w:iCs/>
          <w:shd w:val="clear" w:color="auto" w:fill="ffffff"/>
        </w:rPr>
        <w:t>Scientific reports</w:t>
      </w:r>
      <w:r>
        <w:rPr>
          <w:shd w:val="clear" w:color="auto" w:fill="ffffff"/>
        </w:rPr>
        <w:t>, </w:t>
      </w:r>
      <w:r>
        <w:rPr>
          <w:i/>
          <w:iCs/>
          <w:shd w:val="clear" w:color="auto" w:fill="ffffff"/>
        </w:rPr>
        <w:t>15</w:t>
      </w:r>
      <w:r>
        <w:rPr>
          <w:shd w:val="clear" w:color="auto" w:fill="ffffff"/>
        </w:rPr>
        <w:t>(1), p.8799.</w:t>
      </w:r>
    </w:p>
    <w:p w14:paraId="47334922">
      <w:pPr>
        <w:pStyle w:val="style0"/>
        <w:rPr>
          <w:shd w:val="clear" w:color="auto" w:fill="ffffff"/>
        </w:rPr>
      </w:pPr>
      <w:r>
        <w:rPr>
          <w:shd w:val="clear" w:color="auto" w:fill="ffffff"/>
        </w:rPr>
        <w:t>Čamaj, J., Bulková, Z. and Gašparík, J. (2025) Material flow optimization as a tool for improving logistics processes in the company. </w:t>
      </w:r>
      <w:r>
        <w:rPr>
          <w:i/>
          <w:iCs/>
          <w:shd w:val="clear" w:color="auto" w:fill="ffffff"/>
        </w:rPr>
        <w:t>Applied Sciences</w:t>
      </w:r>
      <w:r>
        <w:rPr>
          <w:shd w:val="clear" w:color="auto" w:fill="ffffff"/>
        </w:rPr>
        <w:t>, </w:t>
      </w:r>
      <w:r>
        <w:rPr>
          <w:i/>
          <w:iCs/>
          <w:shd w:val="clear" w:color="auto" w:fill="ffffff"/>
        </w:rPr>
        <w:t>15</w:t>
      </w:r>
      <w:r>
        <w:rPr>
          <w:shd w:val="clear" w:color="auto" w:fill="ffffff"/>
        </w:rPr>
        <w:t>(6), p.3116.</w:t>
      </w:r>
    </w:p>
    <w:p w14:paraId="15897625">
      <w:pPr>
        <w:pStyle w:val="style0"/>
        <w:rPr>
          <w:shd w:val="clear" w:color="auto" w:fill="ffffff"/>
        </w:rPr>
      </w:pPr>
      <w:r>
        <w:rPr>
          <w:shd w:val="clear" w:color="auto" w:fill="ffffff"/>
        </w:rPr>
        <w:t>Chiu, J.L., Lin, M.H., Chua, E. and Choi, J.H. (2025) Brand strategy and the effective marketing position of the blind box industry: A case study of Pop Mart. </w:t>
      </w:r>
      <w:r>
        <w:rPr>
          <w:i/>
          <w:iCs/>
          <w:shd w:val="clear" w:color="auto" w:fill="ffffff"/>
        </w:rPr>
        <w:t>Journal of Economics, Management and Trade</w:t>
      </w:r>
      <w:r>
        <w:rPr>
          <w:shd w:val="clear" w:color="auto" w:fill="ffffff"/>
        </w:rPr>
        <w:t>, </w:t>
      </w:r>
      <w:r>
        <w:rPr>
          <w:i/>
          <w:iCs/>
          <w:shd w:val="clear" w:color="auto" w:fill="ffffff"/>
        </w:rPr>
        <w:t>31</w:t>
      </w:r>
      <w:r>
        <w:rPr>
          <w:shd w:val="clear" w:color="auto" w:fill="ffffff"/>
        </w:rPr>
        <w:t>(1), pp.9-22.</w:t>
      </w:r>
    </w:p>
    <w:p w14:paraId="55862648">
      <w:pPr>
        <w:pStyle w:val="style0"/>
        <w:rPr>
          <w:shd w:val="clear" w:color="auto" w:fill="ffffff"/>
        </w:rPr>
      </w:pPr>
      <w:r>
        <w:rPr>
          <w:shd w:val="clear" w:color="auto" w:fill="ffffff"/>
        </w:rPr>
        <w:t>Chrystella, D.F., Ibrahim, S. and Lihua, Y. (2025) Maximizing the impact of foreign direct investment: Trends, determinants, and strategies for sustainable economic and social development. </w:t>
      </w:r>
      <w:r>
        <w:rPr>
          <w:i/>
          <w:iCs/>
          <w:shd w:val="clear" w:color="auto" w:fill="ffffff"/>
        </w:rPr>
        <w:t>IOSR Journal of Economics and Finance</w:t>
      </w:r>
      <w:r>
        <w:rPr>
          <w:shd w:val="clear" w:color="auto" w:fill="ffffff"/>
        </w:rPr>
        <w:t>, </w:t>
      </w:r>
      <w:r>
        <w:rPr>
          <w:i/>
          <w:iCs/>
          <w:shd w:val="clear" w:color="auto" w:fill="ffffff"/>
        </w:rPr>
        <w:t>16</w:t>
      </w:r>
      <w:r>
        <w:rPr>
          <w:shd w:val="clear" w:color="auto" w:fill="ffffff"/>
        </w:rPr>
        <w:t>(1), pp.31-50.</w:t>
      </w:r>
    </w:p>
    <w:p w14:paraId="167784E1">
      <w:pPr>
        <w:pStyle w:val="style0"/>
        <w:rPr/>
      </w:pPr>
      <w:r>
        <w:t xml:space="preserve">Companies Market Cap. (2026) Revenue for Costco (COST). [Online]. Available at: </w:t>
      </w:r>
      <w:r>
        <w:rPr/>
        <w:fldChar w:fldCharType="begin"/>
      </w:r>
      <w:r>
        <w:instrText xml:space="preserve"> HYPERLINK "https://companiesmarketcap.com/inr/costco/revenue/" </w:instrText>
      </w:r>
      <w:r>
        <w:rPr/>
        <w:fldChar w:fldCharType="separate"/>
      </w:r>
      <w:r>
        <w:rPr>
          <w:rStyle w:val="style85"/>
        </w:rPr>
        <w:t>https://companiesmarketcap.com/inr/costco/revenue/</w:t>
      </w:r>
      <w:r>
        <w:rPr/>
        <w:fldChar w:fldCharType="end"/>
      </w:r>
      <w:r>
        <w:t xml:space="preserve"> </w:t>
      </w:r>
      <w:r>
        <w:rPr>
          <w:shd w:val="clear" w:color="auto" w:fill="ffffff"/>
        </w:rPr>
        <w:t>[Accessed on: 1 August 2026].</w:t>
      </w:r>
    </w:p>
    <w:p w14:paraId="023174B9">
      <w:pPr>
        <w:pStyle w:val="style0"/>
        <w:rPr>
          <w:shd w:val="clear" w:color="auto" w:fill="ffffff"/>
        </w:rPr>
      </w:pPr>
      <w:r>
        <w:rPr>
          <w:shd w:val="clear" w:color="auto" w:fill="ffffff"/>
        </w:rPr>
        <w:t>Conter, M., Rega, M., Lamperti, L., Andriani, L., Bacci, C. and Bonardi, S. (2025) Comparative analysis of official controls and voluntary certifications in ensuring food safety compliance: a review. </w:t>
      </w:r>
      <w:r>
        <w:rPr>
          <w:i/>
          <w:iCs/>
          <w:shd w:val="clear" w:color="auto" w:fill="ffffff"/>
        </w:rPr>
        <w:t>Italian Journal of Food Safety</w:t>
      </w:r>
      <w:r>
        <w:rPr>
          <w:shd w:val="clear" w:color="auto" w:fill="ffffff"/>
        </w:rPr>
        <w:t>, </w:t>
      </w:r>
      <w:r>
        <w:rPr>
          <w:i/>
          <w:iCs/>
          <w:shd w:val="clear" w:color="auto" w:fill="ffffff"/>
        </w:rPr>
        <w:t>14</w:t>
      </w:r>
      <w:r>
        <w:rPr>
          <w:shd w:val="clear" w:color="auto" w:fill="ffffff"/>
        </w:rPr>
        <w:t>(3), p.13452.</w:t>
      </w:r>
    </w:p>
    <w:p w14:paraId="3E578D89">
      <w:pPr>
        <w:pStyle w:val="style0"/>
        <w:rPr/>
      </w:pPr>
      <w:r>
        <w:t xml:space="preserve">Costco. (2026) About Kirkland Signature. [Online]. Available at: </w:t>
      </w:r>
      <w:r>
        <w:rPr/>
        <w:fldChar w:fldCharType="begin"/>
      </w:r>
      <w:r>
        <w:instrText xml:space="preserve"> HYPERLINK "https://www.costco.com/f/-/about-kirkland-signature" </w:instrText>
      </w:r>
      <w:r>
        <w:rPr/>
        <w:fldChar w:fldCharType="separate"/>
      </w:r>
      <w:r>
        <w:rPr>
          <w:rStyle w:val="style85"/>
        </w:rPr>
        <w:t>https://www.costco.com/f/-/about-kirkland-signature</w:t>
      </w:r>
      <w:r>
        <w:rPr/>
        <w:fldChar w:fldCharType="end"/>
      </w:r>
      <w:r>
        <w:t xml:space="preserve"> </w:t>
      </w:r>
      <w:r>
        <w:rPr>
          <w:shd w:val="clear" w:color="auto" w:fill="ffffff"/>
        </w:rPr>
        <w:t>[Accessed on: 1 August 2026].</w:t>
      </w:r>
    </w:p>
    <w:p w14:paraId="3FDDA0AE">
      <w:pPr>
        <w:pStyle w:val="style0"/>
        <w:rPr/>
      </w:pPr>
      <w:r>
        <w:t>Costco</w:t>
      </w:r>
      <w:r>
        <w:t>.</w:t>
      </w:r>
      <w:r>
        <w:t xml:space="preserve"> (2026) About Us. [Online]. Available at: </w:t>
      </w:r>
      <w:r>
        <w:rPr/>
        <w:fldChar w:fldCharType="begin"/>
      </w:r>
      <w:r>
        <w:instrText xml:space="preserve"> HYPERLINK "https://www.costco.com/f/-/about" </w:instrText>
      </w:r>
      <w:r>
        <w:rPr/>
        <w:fldChar w:fldCharType="separate"/>
      </w:r>
      <w:r>
        <w:rPr>
          <w:rStyle w:val="style85"/>
        </w:rPr>
        <w:t>https://www.costco.com/f/-/about</w:t>
      </w:r>
      <w:r>
        <w:rPr/>
        <w:fldChar w:fldCharType="end"/>
      </w:r>
      <w:r>
        <w:t xml:space="preserve"> </w:t>
      </w:r>
      <w:r>
        <w:rPr>
          <w:shd w:val="clear" w:color="auto" w:fill="ffffff"/>
        </w:rPr>
        <w:t>[Accessed on: 1 August 2026].</w:t>
      </w:r>
    </w:p>
    <w:p w14:paraId="346A10DF">
      <w:pPr>
        <w:pStyle w:val="style0"/>
        <w:rPr/>
      </w:pPr>
      <w:r>
        <w:t xml:space="preserve">Costco. (2026) Company Information. [Online]. Available at: </w:t>
      </w:r>
      <w:r>
        <w:rPr/>
        <w:fldChar w:fldCharType="begin"/>
      </w:r>
      <w:r>
        <w:instrText xml:space="preserve"> HYPERLINK "https://www.costco.com/f/-/company-information" </w:instrText>
      </w:r>
      <w:r>
        <w:rPr/>
        <w:fldChar w:fldCharType="separate"/>
      </w:r>
      <w:r>
        <w:rPr>
          <w:rStyle w:val="style85"/>
        </w:rPr>
        <w:t>https://www.costco.com/f/-/company-information</w:t>
      </w:r>
      <w:r>
        <w:rPr/>
        <w:fldChar w:fldCharType="end"/>
      </w:r>
      <w:r>
        <w:t xml:space="preserve"> </w:t>
      </w:r>
      <w:r>
        <w:rPr>
          <w:shd w:val="clear" w:color="auto" w:fill="ffffff"/>
        </w:rPr>
        <w:t>[Accessed on: 1 August 2026].</w:t>
      </w:r>
    </w:p>
    <w:p w14:paraId="641616CC">
      <w:pPr>
        <w:pStyle w:val="style0"/>
        <w:rPr/>
      </w:pPr>
      <w:r>
        <w:t xml:space="preserve">Costco. (2026) Company Profile. [Online]. Available at </w:t>
      </w:r>
      <w:r>
        <w:rPr/>
        <w:fldChar w:fldCharType="begin"/>
      </w:r>
      <w:r>
        <w:instrText xml:space="preserve"> HYPERLINK "https://investor.costco.com/company-profile/default.aspx" </w:instrText>
      </w:r>
      <w:r>
        <w:rPr/>
        <w:fldChar w:fldCharType="separate"/>
      </w:r>
      <w:r>
        <w:rPr>
          <w:rStyle w:val="style85"/>
        </w:rPr>
        <w:t>https://investor.costco.com/company-profile/default.aspx</w:t>
      </w:r>
      <w:r>
        <w:rPr/>
        <w:fldChar w:fldCharType="end"/>
      </w:r>
      <w:r>
        <w:t xml:space="preserve"> </w:t>
      </w:r>
      <w:r>
        <w:rPr>
          <w:shd w:val="clear" w:color="auto" w:fill="ffffff"/>
        </w:rPr>
        <w:t>[Accessed on: 1 August 2026].</w:t>
      </w:r>
    </w:p>
    <w:p w14:paraId="3E757D81">
      <w:pPr>
        <w:pStyle w:val="style0"/>
        <w:rPr/>
      </w:pPr>
      <w:r>
        <w:t xml:space="preserve">Economy Insights (2025) The Trillion-Dollar Club. [Online]. Available at: </w:t>
      </w:r>
      <w:r>
        <w:rPr/>
        <w:fldChar w:fldCharType="begin"/>
      </w:r>
      <w:r>
        <w:instrText xml:space="preserve"> HYPERLINK "https://www.economyinsights.com/p/the-trillion-dollar-club" </w:instrText>
      </w:r>
      <w:r>
        <w:rPr/>
        <w:fldChar w:fldCharType="separate"/>
      </w:r>
      <w:r>
        <w:rPr>
          <w:rStyle w:val="style85"/>
        </w:rPr>
        <w:t>https://www.economyinsights.com/p/the-trillion-dollar-club</w:t>
      </w:r>
      <w:r>
        <w:rPr/>
        <w:fldChar w:fldCharType="end"/>
      </w:r>
      <w:r>
        <w:t xml:space="preserve"> </w:t>
      </w:r>
      <w:r>
        <w:rPr>
          <w:shd w:val="clear" w:color="auto" w:fill="ffffff"/>
        </w:rPr>
        <w:t>[Accessed on: 1 August 2026].</w:t>
      </w:r>
    </w:p>
    <w:p w14:paraId="3C5C9F32">
      <w:pPr>
        <w:pStyle w:val="style0"/>
        <w:rPr>
          <w:shd w:val="clear" w:color="auto" w:fill="ffffff"/>
        </w:rPr>
      </w:pPr>
      <w:r>
        <w:rPr>
          <w:shd w:val="clear" w:color="auto" w:fill="ffffff"/>
        </w:rPr>
        <w:t xml:space="preserve">Eurostat. (2026) EU unemployment rate in 2025: 6.0%. [Online]. Available at: </w:t>
      </w:r>
      <w:r>
        <w:rPr/>
        <w:fldChar w:fldCharType="begin"/>
      </w:r>
      <w:r>
        <w:instrText xml:space="preserve"> HYPERLINK "https://ec.europa.eu/eurostat/web/products-eurostat-news/w/ddn-20260610-3" </w:instrText>
      </w:r>
      <w:r>
        <w:rPr/>
        <w:fldChar w:fldCharType="separate"/>
      </w:r>
      <w:r>
        <w:rPr>
          <w:rStyle w:val="style85"/>
          <w:shd w:val="clear" w:color="auto" w:fill="ffffff"/>
        </w:rPr>
        <w:t>https://ec.europa.eu/eurostat/web/products-eurostat-news/w/ddn-20260610-3</w:t>
      </w:r>
      <w:r>
        <w:rPr/>
        <w:fldChar w:fldCharType="end"/>
      </w:r>
      <w:r>
        <w:rPr>
          <w:shd w:val="clear" w:color="auto" w:fill="ffffff"/>
        </w:rPr>
        <w:t xml:space="preserve"> [Accessed on: 1 August 2026].</w:t>
      </w:r>
    </w:p>
    <w:p w14:paraId="48541921">
      <w:pPr>
        <w:pStyle w:val="style0"/>
        <w:rPr>
          <w:shd w:val="clear" w:color="auto" w:fill="ffffff"/>
        </w:rPr>
      </w:pPr>
      <w:r>
        <w:rPr>
          <w:shd w:val="clear" w:color="auto" w:fill="ffffff"/>
        </w:rPr>
        <w:t>Ferrentino, R. and Vota, L. (2025) The Nexus Between Household Consumption, Consumer Protection, and Consumer Confidence in European Countries. A Statistical-Mathematical Analysis. </w:t>
      </w:r>
      <w:r>
        <w:rPr>
          <w:i/>
          <w:iCs/>
          <w:shd w:val="clear" w:color="auto" w:fill="ffffff"/>
        </w:rPr>
        <w:t>Panoeconomicus</w:t>
      </w:r>
      <w:r>
        <w:rPr>
          <w:shd w:val="clear" w:color="auto" w:fill="ffffff"/>
        </w:rPr>
        <w:t>, </w:t>
      </w:r>
      <w:r>
        <w:rPr>
          <w:i/>
          <w:iCs/>
          <w:shd w:val="clear" w:color="auto" w:fill="ffffff"/>
        </w:rPr>
        <w:t>72</w:t>
      </w:r>
      <w:r>
        <w:rPr>
          <w:shd w:val="clear" w:color="auto" w:fill="ffffff"/>
        </w:rPr>
        <w:t>(3), pp.311-328.</w:t>
      </w:r>
    </w:p>
    <w:p w14:paraId="5D54EA44">
      <w:pPr>
        <w:pStyle w:val="style0"/>
        <w:rPr/>
      </w:pPr>
      <w:r>
        <w:t xml:space="preserve">Fifield, W., Jones, D. and Jones, T.F. (2026) Expanding frontiers. [Online]. Available at: </w:t>
      </w:r>
      <w:r>
        <w:rPr/>
        <w:fldChar w:fldCharType="begin"/>
      </w:r>
      <w:r>
        <w:instrText xml:space="preserve"> HYPERLINK "https://www.costco.ca/f/-/connection-cover-story-expanding-frontiers-september-2023" </w:instrText>
      </w:r>
      <w:r>
        <w:rPr/>
        <w:fldChar w:fldCharType="separate"/>
      </w:r>
      <w:r>
        <w:rPr>
          <w:rStyle w:val="style85"/>
        </w:rPr>
        <w:t>https://www.costco.ca/f/-/connection-cover-story-expanding-frontiers-september-2023</w:t>
      </w:r>
      <w:r>
        <w:rPr/>
        <w:fldChar w:fldCharType="end"/>
      </w:r>
      <w:r>
        <w:t xml:space="preserve"> </w:t>
      </w:r>
      <w:r>
        <w:rPr>
          <w:shd w:val="clear" w:color="auto" w:fill="ffffff"/>
        </w:rPr>
        <w:t>[Accessed on: 1 August 2026].</w:t>
      </w:r>
    </w:p>
    <w:p w14:paraId="1DAC2665">
      <w:pPr>
        <w:pStyle w:val="style0"/>
        <w:rPr>
          <w:shd w:val="clear" w:color="auto" w:fill="ffffff"/>
        </w:rPr>
      </w:pPr>
      <w:r>
        <w:rPr>
          <w:shd w:val="clear" w:color="auto" w:fill="ffffff"/>
        </w:rPr>
        <w:t>García-Nieto, M., Ramón-Jerónimo, J.M. and Flórez-López, R. (2025) Effectiveness of customer relationship management in shopping malls: Mall–retailer collaboration empirics. </w:t>
      </w:r>
      <w:r>
        <w:rPr>
          <w:i/>
          <w:iCs/>
          <w:shd w:val="clear" w:color="auto" w:fill="ffffff"/>
        </w:rPr>
        <w:t>Administrative Sciences</w:t>
      </w:r>
      <w:r>
        <w:rPr>
          <w:shd w:val="clear" w:color="auto" w:fill="ffffff"/>
        </w:rPr>
        <w:t>, </w:t>
      </w:r>
      <w:r>
        <w:rPr>
          <w:i/>
          <w:iCs/>
          <w:shd w:val="clear" w:color="auto" w:fill="ffffff"/>
        </w:rPr>
        <w:t>15</w:t>
      </w:r>
      <w:r>
        <w:rPr>
          <w:shd w:val="clear" w:color="auto" w:fill="ffffff"/>
        </w:rPr>
        <w:t>(1), p.31.</w:t>
      </w:r>
    </w:p>
    <w:p w14:paraId="7049B58C">
      <w:pPr>
        <w:pStyle w:val="style0"/>
        <w:rPr>
          <w:shd w:val="clear" w:color="auto" w:fill="ffffff"/>
        </w:rPr>
      </w:pPr>
      <w:r>
        <w:rPr>
          <w:shd w:val="clear" w:color="auto" w:fill="ffffff"/>
        </w:rPr>
        <w:t>Giakoulas, D. (2025) Internationalisation of SMEs from a theoretical perspective: challenges, strategies and implications. In The Economic Impact of Small and Medium-Sized Enterprises: Analytical Approaches to Growth and Innovation Challenges Amid Crises in Europe (pp. 359-383). Cham: Springer Nature Switzerland.</w:t>
      </w:r>
    </w:p>
    <w:p w14:paraId="56C6B94A">
      <w:pPr>
        <w:pStyle w:val="style0"/>
        <w:rPr>
          <w:shd w:val="clear" w:color="auto" w:fill="ffffff"/>
        </w:rPr>
      </w:pPr>
      <w:r>
        <w:rPr>
          <w:shd w:val="clear" w:color="auto" w:fill="ffffff"/>
        </w:rPr>
        <w:t xml:space="preserve">Globe Project. (2020) Southern Asia. [Online]. Available at: </w:t>
      </w:r>
      <w:r>
        <w:rPr/>
        <w:fldChar w:fldCharType="begin"/>
      </w:r>
      <w:r>
        <w:instrText xml:space="preserve"> HYPERLINK "https://globeproject.com/results/clusters/southern-asia%3Fmenu=list.html#list" </w:instrText>
      </w:r>
      <w:r>
        <w:rPr/>
        <w:fldChar w:fldCharType="separate"/>
      </w:r>
      <w:r>
        <w:rPr>
          <w:rStyle w:val="style85"/>
          <w:shd w:val="clear" w:color="auto" w:fill="ffffff"/>
        </w:rPr>
        <w:t>https://globeproject.com/results/clusters/southern-asia%3Fmenu=list.html#list</w:t>
      </w:r>
      <w:r>
        <w:rPr/>
        <w:fldChar w:fldCharType="end"/>
      </w:r>
      <w:r>
        <w:rPr>
          <w:shd w:val="clear" w:color="auto" w:fill="ffffff"/>
        </w:rPr>
        <w:t xml:space="preserve"> [Accessed on: 1 August 2026].</w:t>
      </w:r>
    </w:p>
    <w:p w14:paraId="20BF286C">
      <w:pPr>
        <w:pStyle w:val="style0"/>
        <w:rPr/>
      </w:pPr>
      <w:r>
        <w:t xml:space="preserve">Government of Canada. (2026) Sector Trend Analysis – Fish and seafood in France. [Online]. Available at: </w:t>
      </w:r>
      <w:r>
        <w:rPr/>
        <w:fldChar w:fldCharType="begin"/>
      </w:r>
      <w:r>
        <w:instrText xml:space="preserve"> HYPERLINK "https://agriculture.canada.ca/en/international-trade/reports-and-guides/sector-trend-analysis-fish-and-seafood-france" </w:instrText>
      </w:r>
      <w:r>
        <w:rPr/>
        <w:fldChar w:fldCharType="separate"/>
      </w:r>
      <w:r>
        <w:rPr>
          <w:rStyle w:val="style85"/>
        </w:rPr>
        <w:t>https://agriculture.canada.ca/en/international-trade/reports-and-guides/sector-trend-analysis-fish-and-seafood-france</w:t>
      </w:r>
      <w:r>
        <w:rPr/>
        <w:fldChar w:fldCharType="end"/>
      </w:r>
      <w:r>
        <w:t xml:space="preserve"> </w:t>
      </w:r>
      <w:r>
        <w:rPr>
          <w:shd w:val="clear" w:color="auto" w:fill="ffffff"/>
        </w:rPr>
        <w:t>[Accessed on: 1 August 2026].</w:t>
      </w:r>
    </w:p>
    <w:p w14:paraId="607E7739">
      <w:pPr>
        <w:pStyle w:val="style0"/>
        <w:rPr>
          <w:shd w:val="clear" w:color="auto" w:fill="ffffff"/>
        </w:rPr>
      </w:pPr>
      <w:r>
        <w:rPr>
          <w:shd w:val="clear" w:color="auto" w:fill="ffffff"/>
        </w:rPr>
        <w:t>Hełdak, M., Ogórka, K. and Raszka, B. (2025) Legal Loopholes and Investment Pressure in the Development of Individual Recreational Buildings in Protected Landscapes. </w:t>
      </w:r>
      <w:r>
        <w:rPr>
          <w:i/>
          <w:iCs/>
          <w:shd w:val="clear" w:color="auto" w:fill="ffffff"/>
        </w:rPr>
        <w:t>Sustainability</w:t>
      </w:r>
      <w:r>
        <w:rPr>
          <w:shd w:val="clear" w:color="auto" w:fill="ffffff"/>
        </w:rPr>
        <w:t>, </w:t>
      </w:r>
      <w:r>
        <w:rPr>
          <w:i/>
          <w:iCs/>
          <w:shd w:val="clear" w:color="auto" w:fill="ffffff"/>
        </w:rPr>
        <w:t>17</w:t>
      </w:r>
      <w:r>
        <w:rPr>
          <w:shd w:val="clear" w:color="auto" w:fill="ffffff"/>
        </w:rPr>
        <w:t>(10), p.4659.</w:t>
      </w:r>
    </w:p>
    <w:p w14:paraId="6EB0A430">
      <w:pPr>
        <w:pStyle w:val="style0"/>
        <w:rPr>
          <w:shd w:val="clear" w:color="auto" w:fill="ffffff"/>
        </w:rPr>
      </w:pPr>
      <w:r>
        <w:rPr>
          <w:shd w:val="clear" w:color="auto" w:fill="ffffff"/>
        </w:rPr>
        <w:t>Holisoh, A., Pahamzah, J. and Hidayat, S. (2025) Literature review on the use of electronic modules in independent learning in higher education. </w:t>
      </w:r>
      <w:r>
        <w:rPr>
          <w:i/>
          <w:iCs/>
          <w:shd w:val="clear" w:color="auto" w:fill="ffffff"/>
        </w:rPr>
        <w:t>Journal of General Education and Humanities</w:t>
      </w:r>
      <w:r>
        <w:rPr>
          <w:shd w:val="clear" w:color="auto" w:fill="ffffff"/>
        </w:rPr>
        <w:t>, </w:t>
      </w:r>
      <w:r>
        <w:rPr>
          <w:i/>
          <w:iCs/>
          <w:shd w:val="clear" w:color="auto" w:fill="ffffff"/>
        </w:rPr>
        <w:t>4</w:t>
      </w:r>
      <w:r>
        <w:rPr>
          <w:shd w:val="clear" w:color="auto" w:fill="ffffff"/>
        </w:rPr>
        <w:t>(1), pp.153-164.</w:t>
      </w:r>
    </w:p>
    <w:p w14:paraId="0997C784">
      <w:pPr>
        <w:pStyle w:val="style0"/>
        <w:rPr>
          <w:shd w:val="clear" w:color="auto" w:fill="ffffff"/>
        </w:rPr>
      </w:pPr>
      <w:r>
        <w:rPr>
          <w:shd w:val="clear" w:color="auto" w:fill="ffffff"/>
        </w:rPr>
        <w:t>Karameros, A.I., Chassiakos, A.P. and Tryfonas, T. (2025) A novel community energy projects governance model and support ecosystem framework based on heating and cooling projects enabled by energy communities. </w:t>
      </w:r>
      <w:r>
        <w:rPr>
          <w:i/>
          <w:iCs/>
          <w:shd w:val="clear" w:color="auto" w:fill="ffffff"/>
        </w:rPr>
        <w:t>Sustainability</w:t>
      </w:r>
      <w:r>
        <w:rPr>
          <w:shd w:val="clear" w:color="auto" w:fill="ffffff"/>
        </w:rPr>
        <w:t>, </w:t>
      </w:r>
      <w:r>
        <w:rPr>
          <w:i/>
          <w:iCs/>
          <w:shd w:val="clear" w:color="auto" w:fill="ffffff"/>
        </w:rPr>
        <w:t>17</w:t>
      </w:r>
      <w:r>
        <w:rPr>
          <w:shd w:val="clear" w:color="auto" w:fill="ffffff"/>
        </w:rPr>
        <w:t>(14), p.6571.</w:t>
      </w:r>
    </w:p>
    <w:p w14:paraId="1ECDD305">
      <w:pPr>
        <w:pStyle w:val="style0"/>
        <w:rPr>
          <w:shd w:val="clear" w:color="auto" w:fill="ffffff"/>
        </w:rPr>
      </w:pPr>
      <w:r>
        <w:rPr>
          <w:shd w:val="clear" w:color="auto" w:fill="ffffff"/>
        </w:rPr>
        <w:t>Khan, A. (2025) A Quantitative Assessment of AI-Driven Predictive Analytics for Economic Development Decision Support in US Public Policy Centers. </w:t>
      </w:r>
      <w:r>
        <w:rPr>
          <w:i/>
          <w:iCs/>
          <w:shd w:val="clear" w:color="auto" w:fill="ffffff"/>
        </w:rPr>
        <w:t>ASRC Procedia: Global Perspectives in Science and Scholarship</w:t>
      </w:r>
      <w:r>
        <w:rPr>
          <w:shd w:val="clear" w:color="auto" w:fill="ffffff"/>
        </w:rPr>
        <w:t>, </w:t>
      </w:r>
      <w:r>
        <w:rPr>
          <w:i/>
          <w:iCs/>
          <w:shd w:val="clear" w:color="auto" w:fill="ffffff"/>
        </w:rPr>
        <w:t>1</w:t>
      </w:r>
      <w:r>
        <w:rPr>
          <w:shd w:val="clear" w:color="auto" w:fill="ffffff"/>
        </w:rPr>
        <w:t>(01), pp.2364-2405.</w:t>
      </w:r>
    </w:p>
    <w:p w14:paraId="592525E8">
      <w:pPr>
        <w:pStyle w:val="style0"/>
        <w:rPr>
          <w:shd w:val="clear" w:color="auto" w:fill="ffffff"/>
        </w:rPr>
      </w:pPr>
      <w:r>
        <w:rPr>
          <w:shd w:val="clear" w:color="auto" w:fill="ffffff"/>
        </w:rPr>
        <w:t>König, L.S. (2025) Optimising retail environments for older adults: Insights into customer behaviour and organisational performance. </w:t>
      </w:r>
      <w:r>
        <w:rPr>
          <w:i/>
          <w:iCs/>
          <w:shd w:val="clear" w:color="auto" w:fill="ffffff"/>
        </w:rPr>
        <w:t>Administrative sciences</w:t>
      </w:r>
      <w:r>
        <w:rPr>
          <w:shd w:val="clear" w:color="auto" w:fill="ffffff"/>
        </w:rPr>
        <w:t>, </w:t>
      </w:r>
      <w:r>
        <w:rPr>
          <w:i/>
          <w:iCs/>
          <w:shd w:val="clear" w:color="auto" w:fill="ffffff"/>
        </w:rPr>
        <w:t>15</w:t>
      </w:r>
      <w:r>
        <w:rPr>
          <w:shd w:val="clear" w:color="auto" w:fill="ffffff"/>
        </w:rPr>
        <w:t>(4), p.120.</w:t>
      </w:r>
    </w:p>
    <w:p w14:paraId="012C0CE0">
      <w:pPr>
        <w:pStyle w:val="style0"/>
        <w:rPr>
          <w:shd w:val="clear" w:color="auto" w:fill="ffffff"/>
        </w:rPr>
      </w:pPr>
      <w:r>
        <w:rPr>
          <w:shd w:val="clear" w:color="auto" w:fill="ffffff"/>
        </w:rPr>
        <w:t>Li, B. and Nie, X. (2025) Risk Assessment and Response Strategies for Corporate Human Resource Integration in the Context of Mergers and Acquisitions. </w:t>
      </w:r>
      <w:r>
        <w:rPr>
          <w:i/>
          <w:iCs/>
          <w:shd w:val="clear" w:color="auto" w:fill="ffffff"/>
        </w:rPr>
        <w:t>International Journal of Multidisciplinary Research</w:t>
      </w:r>
      <w:r>
        <w:rPr>
          <w:shd w:val="clear" w:color="auto" w:fill="ffffff"/>
        </w:rPr>
        <w:t>, </w:t>
      </w:r>
      <w:r>
        <w:rPr>
          <w:i/>
          <w:iCs/>
          <w:shd w:val="clear" w:color="auto" w:fill="ffffff"/>
        </w:rPr>
        <w:t>1</w:t>
      </w:r>
      <w:r>
        <w:rPr>
          <w:shd w:val="clear" w:color="auto" w:fill="ffffff"/>
        </w:rPr>
        <w:t>(3), pp.17-21.</w:t>
      </w:r>
    </w:p>
    <w:p w14:paraId="11F6ADD1">
      <w:pPr>
        <w:pStyle w:val="style0"/>
        <w:rPr>
          <w:shd w:val="clear" w:color="auto" w:fill="ffffff"/>
        </w:rPr>
      </w:pPr>
      <w:r>
        <w:rPr>
          <w:shd w:val="clear" w:color="auto" w:fill="ffffff"/>
        </w:rPr>
        <w:t>McKenzie, E.J., Jones, M., Seega, N., Siikamäki, J. and Vijay, V. (2025) Science and technical priorities for private sector action to address biodiversity loss. </w:t>
      </w:r>
      <w:r>
        <w:rPr>
          <w:i/>
          <w:iCs/>
          <w:shd w:val="clear" w:color="auto" w:fill="ffffff"/>
        </w:rPr>
        <w:t>Philosophical Transactions B</w:t>
      </w:r>
      <w:r>
        <w:rPr>
          <w:shd w:val="clear" w:color="auto" w:fill="ffffff"/>
        </w:rPr>
        <w:t>, </w:t>
      </w:r>
      <w:r>
        <w:rPr>
          <w:i/>
          <w:iCs/>
          <w:shd w:val="clear" w:color="auto" w:fill="ffffff"/>
        </w:rPr>
        <w:t>380</w:t>
      </w:r>
      <w:r>
        <w:rPr>
          <w:shd w:val="clear" w:color="auto" w:fill="ffffff"/>
        </w:rPr>
        <w:t>(1917), p.20230208.</w:t>
      </w:r>
    </w:p>
    <w:p w14:paraId="3F76E67F">
      <w:pPr>
        <w:pStyle w:val="style0"/>
        <w:rPr/>
      </w:pPr>
      <w:r>
        <w:t xml:space="preserve">Miao, H. (2022) ‘A lot of Costco love’ — How the warehouse retailer became a staple of Asian America. [Online]. Available at: </w:t>
      </w:r>
      <w:r>
        <w:rPr/>
        <w:fldChar w:fldCharType="begin"/>
      </w:r>
      <w:r>
        <w:instrText xml:space="preserve"> HYPERLINK "https://www.cnbc.com/2022/05/26/how-costco-became-a-staple-of-asian-america.html" </w:instrText>
      </w:r>
      <w:r>
        <w:rPr/>
        <w:fldChar w:fldCharType="separate"/>
      </w:r>
      <w:r>
        <w:rPr>
          <w:rStyle w:val="style85"/>
        </w:rPr>
        <w:t>https://www.cnbc.com/2022/05/26/how-costco-became-a-staple-of-asian-america.html</w:t>
      </w:r>
      <w:r>
        <w:rPr/>
        <w:fldChar w:fldCharType="end"/>
      </w:r>
      <w:r>
        <w:t xml:space="preserve"> </w:t>
      </w:r>
      <w:r>
        <w:rPr>
          <w:shd w:val="clear" w:color="auto" w:fill="ffffff"/>
        </w:rPr>
        <w:t>[Accessed on: 1 August 2026].</w:t>
      </w:r>
    </w:p>
    <w:p w14:paraId="4F7564A0">
      <w:pPr>
        <w:pStyle w:val="style0"/>
        <w:rPr/>
      </w:pPr>
      <w:r>
        <w:t xml:space="preserve">Mojo. (2026) Costco International Expansion 2026: What Global Growth Means for Brands Ready to Go Beyond U.S. Borders. [Online]. Available at: </w:t>
      </w:r>
      <w:r>
        <w:rPr/>
        <w:fldChar w:fldCharType="begin"/>
      </w:r>
      <w:r>
        <w:instrText xml:space="preserve"> HYPERLINK "https://www.mojosalesandbranding.com/post/costco-international-expansion-2026-global-brand-strategy" </w:instrText>
      </w:r>
      <w:r>
        <w:rPr/>
        <w:fldChar w:fldCharType="separate"/>
      </w:r>
      <w:r>
        <w:rPr>
          <w:rStyle w:val="style85"/>
        </w:rPr>
        <w:t>https://www.mojosalesandbranding.com/post/costco-international-expansion-2026-global-brand-strategy</w:t>
      </w:r>
      <w:r>
        <w:rPr/>
        <w:fldChar w:fldCharType="end"/>
      </w:r>
      <w:r>
        <w:t xml:space="preserve"> </w:t>
      </w:r>
      <w:r>
        <w:rPr>
          <w:shd w:val="clear" w:color="auto" w:fill="ffffff"/>
        </w:rPr>
        <w:t>[Accessed on: 1 August 2026].</w:t>
      </w:r>
    </w:p>
    <w:p w14:paraId="65A21F0C">
      <w:pPr>
        <w:pStyle w:val="style0"/>
        <w:rPr>
          <w:shd w:val="clear" w:color="auto" w:fill="ffffff"/>
        </w:rPr>
      </w:pPr>
      <w:r>
        <w:rPr>
          <w:shd w:val="clear" w:color="auto" w:fill="ffffff"/>
        </w:rPr>
        <w:t xml:space="preserve">Montpellier, C.D. (2025) Swiss National Bank holds rate at 0% despite very low inflation. [Online]. Available at: </w:t>
      </w:r>
      <w:r>
        <w:rPr/>
        <w:fldChar w:fldCharType="begin"/>
      </w:r>
      <w:r>
        <w:instrText xml:space="preserve"> HYPERLINK "https://think.ing.com/snaps/snb-holds-rate-a-0-despite-very-low-inflation/" </w:instrText>
      </w:r>
      <w:r>
        <w:rPr/>
        <w:fldChar w:fldCharType="separate"/>
      </w:r>
      <w:r>
        <w:rPr>
          <w:rStyle w:val="style85"/>
          <w:shd w:val="clear" w:color="auto" w:fill="ffffff"/>
        </w:rPr>
        <w:t>https://think.ing.com/snaps/snb-holds-rate-a-0-despite-very-low-inflation/</w:t>
      </w:r>
      <w:r>
        <w:rPr/>
        <w:fldChar w:fldCharType="end"/>
      </w:r>
      <w:r>
        <w:rPr>
          <w:shd w:val="clear" w:color="auto" w:fill="ffffff"/>
        </w:rPr>
        <w:t xml:space="preserve"> [Accessed on: 1 August 2026].</w:t>
      </w:r>
    </w:p>
    <w:p w14:paraId="178DEFCB">
      <w:pPr>
        <w:pStyle w:val="style0"/>
        <w:rPr>
          <w:shd w:val="clear" w:color="auto" w:fill="ffffff"/>
        </w:rPr>
      </w:pPr>
      <w:r>
        <w:rPr>
          <w:shd w:val="clear" w:color="auto" w:fill="ffffff"/>
        </w:rPr>
        <w:t>Moshood, M. (2025) Assessing brand-driven supply chain customization and its role in enhancing operational efficiency and sustained market expansion for global enterprises. </w:t>
      </w:r>
      <w:r>
        <w:rPr>
          <w:i/>
          <w:iCs/>
          <w:shd w:val="clear" w:color="auto" w:fill="ffffff"/>
        </w:rPr>
        <w:t>Int J Adv Res Publ Rev</w:t>
      </w:r>
      <w:r>
        <w:rPr>
          <w:shd w:val="clear" w:color="auto" w:fill="ffffff"/>
        </w:rPr>
        <w:t>, </w:t>
      </w:r>
      <w:r>
        <w:rPr>
          <w:i/>
          <w:iCs/>
          <w:shd w:val="clear" w:color="auto" w:fill="ffffff"/>
        </w:rPr>
        <w:t>2</w:t>
      </w:r>
      <w:r>
        <w:rPr>
          <w:shd w:val="clear" w:color="auto" w:fill="ffffff"/>
        </w:rPr>
        <w:t>(8), pp.32-50.</w:t>
      </w:r>
    </w:p>
    <w:p w14:paraId="3B350FD2">
      <w:pPr>
        <w:pStyle w:val="style0"/>
        <w:rPr>
          <w:shd w:val="clear" w:color="auto" w:fill="ffffff"/>
        </w:rPr>
      </w:pPr>
      <w:r>
        <w:rPr>
          <w:shd w:val="clear" w:color="auto" w:fill="ffffff"/>
        </w:rPr>
        <w:t>Obasi, I.C. and Benson, C. (2025) The impact of digitalization and information and communication technology on the nature and organization of work and the emerging challenges for occupational safety and health. </w:t>
      </w:r>
      <w:r>
        <w:rPr>
          <w:i/>
          <w:iCs/>
          <w:shd w:val="clear" w:color="auto" w:fill="ffffff"/>
        </w:rPr>
        <w:t>International journal of environmental research and public health</w:t>
      </w:r>
      <w:r>
        <w:rPr>
          <w:shd w:val="clear" w:color="auto" w:fill="ffffff"/>
        </w:rPr>
        <w:t>, </w:t>
      </w:r>
      <w:r>
        <w:rPr>
          <w:i/>
          <w:iCs/>
          <w:shd w:val="clear" w:color="auto" w:fill="ffffff"/>
        </w:rPr>
        <w:t>22</w:t>
      </w:r>
      <w:r>
        <w:rPr>
          <w:shd w:val="clear" w:color="auto" w:fill="ffffff"/>
        </w:rPr>
        <w:t>(3), p.362.</w:t>
      </w:r>
    </w:p>
    <w:p w14:paraId="7DACB34B">
      <w:pPr>
        <w:pStyle w:val="style0"/>
        <w:rPr>
          <w:shd w:val="clear" w:color="auto" w:fill="ffffff"/>
        </w:rPr>
      </w:pPr>
      <w:r>
        <w:rPr>
          <w:shd w:val="clear" w:color="auto" w:fill="ffffff"/>
        </w:rPr>
        <w:t xml:space="preserve">Petto, A. (2026) Migros reports CHF 31.9bn sales in 2025 anniversary year. [Online]. Available at: </w:t>
      </w:r>
      <w:r>
        <w:rPr/>
        <w:fldChar w:fldCharType="begin"/>
      </w:r>
      <w:r>
        <w:instrText xml:space="preserve"> HYPERLINK "https://www.grocerytradenews.com/migros-2025-sales-results/" </w:instrText>
      </w:r>
      <w:r>
        <w:rPr/>
        <w:fldChar w:fldCharType="separate"/>
      </w:r>
      <w:r>
        <w:rPr>
          <w:rStyle w:val="style85"/>
          <w:shd w:val="clear" w:color="auto" w:fill="ffffff"/>
        </w:rPr>
        <w:t>https://www.grocerytradenews.com/migros-2025-sales-results/</w:t>
      </w:r>
      <w:r>
        <w:rPr/>
        <w:fldChar w:fldCharType="end"/>
      </w:r>
      <w:r>
        <w:rPr>
          <w:shd w:val="clear" w:color="auto" w:fill="ffffff"/>
        </w:rPr>
        <w:t xml:space="preserve"> [Accessed on: 1 August 2026].</w:t>
      </w:r>
    </w:p>
    <w:p w14:paraId="65673370">
      <w:pPr>
        <w:pStyle w:val="style0"/>
        <w:rPr>
          <w:shd w:val="clear" w:color="auto" w:fill="ffffff"/>
        </w:rPr>
      </w:pPr>
      <w:r>
        <w:rPr>
          <w:shd w:val="clear" w:color="auto" w:fill="ffffff"/>
        </w:rPr>
        <w:t>Piras, F. and Pedes, F. (2025) The impact of socio-economic factors on the development of rural tourism: Italian case based on a regional analysis. </w:t>
      </w:r>
      <w:r>
        <w:rPr>
          <w:i/>
          <w:iCs/>
          <w:shd w:val="clear" w:color="auto" w:fill="ffffff"/>
        </w:rPr>
        <w:t>Tourism and Hospitality</w:t>
      </w:r>
      <w:r>
        <w:rPr>
          <w:shd w:val="clear" w:color="auto" w:fill="ffffff"/>
        </w:rPr>
        <w:t>, </w:t>
      </w:r>
      <w:r>
        <w:rPr>
          <w:i/>
          <w:iCs/>
          <w:shd w:val="clear" w:color="auto" w:fill="ffffff"/>
        </w:rPr>
        <w:t>6</w:t>
      </w:r>
      <w:r>
        <w:rPr>
          <w:shd w:val="clear" w:color="auto" w:fill="ffffff"/>
        </w:rPr>
        <w:t>(1), p.3.</w:t>
      </w:r>
    </w:p>
    <w:p w14:paraId="432D3ECE">
      <w:pPr>
        <w:pStyle w:val="style0"/>
        <w:rPr>
          <w:shd w:val="clear" w:color="auto" w:fill="ffffff"/>
        </w:rPr>
      </w:pPr>
      <w:r>
        <w:rPr>
          <w:shd w:val="clear" w:color="auto" w:fill="ffffff"/>
        </w:rPr>
        <w:t xml:space="preserve">PwC. (2026) Switzerland: Corporate - Taxes on corporate income. [Online]. Available at: </w:t>
      </w:r>
      <w:r>
        <w:rPr/>
        <w:fldChar w:fldCharType="begin"/>
      </w:r>
      <w:r>
        <w:instrText xml:space="preserve"> HYPERLINK "https://taxsummaries.pwc.com/switzerland/corporate/taxes-on-corporate-income" </w:instrText>
      </w:r>
      <w:r>
        <w:rPr/>
        <w:fldChar w:fldCharType="separate"/>
      </w:r>
      <w:r>
        <w:rPr>
          <w:rStyle w:val="style85"/>
          <w:shd w:val="clear" w:color="auto" w:fill="ffffff"/>
        </w:rPr>
        <w:t>https://taxsummaries.pwc.com/switzerland/corporate/taxes-on-corporate-income</w:t>
      </w:r>
      <w:r>
        <w:rPr/>
        <w:fldChar w:fldCharType="end"/>
      </w:r>
      <w:r>
        <w:rPr>
          <w:shd w:val="clear" w:color="auto" w:fill="ffffff"/>
        </w:rPr>
        <w:t xml:space="preserve"> [Accessed on: 1 August 2026].</w:t>
      </w:r>
    </w:p>
    <w:p w14:paraId="39CF4CFD">
      <w:pPr>
        <w:pStyle w:val="style0"/>
        <w:rPr>
          <w:shd w:val="clear" w:color="auto" w:fill="ffffff"/>
        </w:rPr>
      </w:pPr>
      <w:r>
        <w:rPr>
          <w:shd w:val="clear" w:color="auto" w:fill="ffffff"/>
        </w:rPr>
        <w:t>Rainer Jr, R.K., Richey Jr, R.G. and Chowdhury, S. (2025) How robotics is shaping digital logistics and supply chain management: an ongoing call for research. </w:t>
      </w:r>
      <w:r>
        <w:rPr>
          <w:i/>
          <w:iCs/>
          <w:shd w:val="clear" w:color="auto" w:fill="ffffff"/>
        </w:rPr>
        <w:t>Journal of Business Logistics</w:t>
      </w:r>
      <w:r>
        <w:rPr>
          <w:shd w:val="clear" w:color="auto" w:fill="ffffff"/>
        </w:rPr>
        <w:t>, </w:t>
      </w:r>
      <w:r>
        <w:rPr>
          <w:i/>
          <w:iCs/>
          <w:shd w:val="clear" w:color="auto" w:fill="ffffff"/>
        </w:rPr>
        <w:t>46</w:t>
      </w:r>
      <w:r>
        <w:rPr>
          <w:shd w:val="clear" w:color="auto" w:fill="ffffff"/>
        </w:rPr>
        <w:t>(1), p.e70005.</w:t>
      </w:r>
    </w:p>
    <w:p w14:paraId="60C94BD1">
      <w:pPr>
        <w:pStyle w:val="style0"/>
        <w:rPr>
          <w:shd w:val="clear" w:color="auto" w:fill="ffffff"/>
        </w:rPr>
      </w:pPr>
      <w:r>
        <w:rPr>
          <w:shd w:val="clear" w:color="auto" w:fill="ffffff"/>
        </w:rPr>
        <w:t>Recio-Román, A., Recio-Menéndez, M. and Román-González, M.V. (2026) The Rise of the Grocerant: Reviewing Consumer, Strategic, and Operational Perspectives. </w:t>
      </w:r>
      <w:r>
        <w:rPr>
          <w:i/>
          <w:iCs/>
          <w:shd w:val="clear" w:color="auto" w:fill="ffffff"/>
        </w:rPr>
        <w:t>Businesses</w:t>
      </w:r>
      <w:r>
        <w:rPr>
          <w:shd w:val="clear" w:color="auto" w:fill="ffffff"/>
        </w:rPr>
        <w:t>, </w:t>
      </w:r>
      <w:r>
        <w:rPr>
          <w:i/>
          <w:iCs/>
          <w:shd w:val="clear" w:color="auto" w:fill="ffffff"/>
        </w:rPr>
        <w:t>6</w:t>
      </w:r>
      <w:r>
        <w:rPr>
          <w:shd w:val="clear" w:color="auto" w:fill="ffffff"/>
        </w:rPr>
        <w:t>(2), p.34.</w:t>
      </w:r>
    </w:p>
    <w:p w14:paraId="256E7CD3">
      <w:pPr>
        <w:pStyle w:val="style0"/>
        <w:rPr>
          <w:shd w:val="clear" w:color="auto" w:fill="ffffff"/>
        </w:rPr>
      </w:pPr>
      <w:r>
        <w:rPr>
          <w:shd w:val="clear" w:color="auto" w:fill="ffffff"/>
        </w:rPr>
        <w:t>Sah, A.K., Hong, Y.M. and Huang, K.C. (2025) Enhancing brand value through circular economy service quality: The mediating roles of customer satisfaction, brand image, and customer loyalty. </w:t>
      </w:r>
      <w:r>
        <w:rPr>
          <w:i/>
          <w:iCs/>
          <w:shd w:val="clear" w:color="auto" w:fill="ffffff"/>
        </w:rPr>
        <w:t>Sustainability</w:t>
      </w:r>
      <w:r>
        <w:rPr>
          <w:shd w:val="clear" w:color="auto" w:fill="ffffff"/>
        </w:rPr>
        <w:t>, </w:t>
      </w:r>
      <w:r>
        <w:rPr>
          <w:i/>
          <w:iCs/>
          <w:shd w:val="clear" w:color="auto" w:fill="ffffff"/>
        </w:rPr>
        <w:t>17</w:t>
      </w:r>
      <w:r>
        <w:rPr>
          <w:shd w:val="clear" w:color="auto" w:fill="ffffff"/>
        </w:rPr>
        <w:t>(3), p.1332.</w:t>
      </w:r>
    </w:p>
    <w:p w14:paraId="1AB773B6">
      <w:pPr>
        <w:pStyle w:val="style0"/>
        <w:rPr>
          <w:shd w:val="clear" w:color="auto" w:fill="ffffff"/>
        </w:rPr>
      </w:pPr>
      <w:r>
        <w:rPr>
          <w:shd w:val="clear" w:color="auto" w:fill="ffffff"/>
        </w:rPr>
        <w:t>Saldaña</w:t>
      </w:r>
      <w:r>
        <w:rPr>
          <w:rFonts w:ascii="Cambria Math" w:cs="Cambria Math" w:hAnsi="Cambria Math"/>
          <w:shd w:val="clear" w:color="auto" w:fill="ffffff"/>
        </w:rPr>
        <w:t>‐</w:t>
      </w:r>
      <w:r>
        <w:rPr>
          <w:shd w:val="clear" w:color="auto" w:fill="ffffff"/>
        </w:rPr>
        <w:t>Pierard, C., Nguyen, P.M., Debeaufort, F., Vitrac, O. and Auras, R. (2025) Impact of emerging packaging regulations on international trade and product safety with emphasis on plastic reuse and recycling in Europe and North America. </w:t>
      </w:r>
      <w:r>
        <w:rPr>
          <w:i/>
          <w:iCs/>
          <w:shd w:val="clear" w:color="auto" w:fill="ffffff"/>
        </w:rPr>
        <w:t>Journal of Industrial Ecology</w:t>
      </w:r>
      <w:r>
        <w:rPr>
          <w:shd w:val="clear" w:color="auto" w:fill="ffffff"/>
        </w:rPr>
        <w:t>, </w:t>
      </w:r>
      <w:r>
        <w:rPr>
          <w:i/>
          <w:iCs/>
          <w:shd w:val="clear" w:color="auto" w:fill="ffffff"/>
        </w:rPr>
        <w:t>29</w:t>
      </w:r>
      <w:r>
        <w:rPr>
          <w:shd w:val="clear" w:color="auto" w:fill="ffffff"/>
        </w:rPr>
        <w:t>(5), pp.1473-1504.</w:t>
      </w:r>
    </w:p>
    <w:p w14:paraId="0ADEC46B">
      <w:pPr>
        <w:pStyle w:val="style0"/>
        <w:rPr>
          <w:shd w:val="clear" w:color="auto" w:fill="ffffff"/>
        </w:rPr>
      </w:pPr>
      <w:r>
        <w:rPr>
          <w:shd w:val="clear" w:color="auto" w:fill="ffffff"/>
        </w:rPr>
        <w:t>Shen, T. and Badulescu, A. (2025) Managerial capabilities and the internationalization process of small and medium enterprises: the sustainable role of risk and resource management. </w:t>
      </w:r>
      <w:r>
        <w:rPr>
          <w:i/>
          <w:iCs/>
          <w:shd w:val="clear" w:color="auto" w:fill="ffffff"/>
        </w:rPr>
        <w:t>Sustainability</w:t>
      </w:r>
      <w:r>
        <w:rPr>
          <w:shd w:val="clear" w:color="auto" w:fill="ffffff"/>
        </w:rPr>
        <w:t>, </w:t>
      </w:r>
      <w:r>
        <w:rPr>
          <w:i/>
          <w:iCs/>
          <w:shd w:val="clear" w:color="auto" w:fill="ffffff"/>
        </w:rPr>
        <w:t>17</w:t>
      </w:r>
      <w:r>
        <w:rPr>
          <w:shd w:val="clear" w:color="auto" w:fill="ffffff"/>
        </w:rPr>
        <w:t>(15), p.6943.</w:t>
      </w:r>
    </w:p>
    <w:p w14:paraId="1F21F24C">
      <w:pPr>
        <w:pStyle w:val="style0"/>
        <w:rPr>
          <w:shd w:val="clear" w:color="auto" w:fill="ffffff"/>
        </w:rPr>
      </w:pPr>
      <w:r>
        <w:rPr>
          <w:shd w:val="clear" w:color="auto" w:fill="ffffff"/>
        </w:rPr>
        <w:t>Silaghi, D.L. and Popescu, D.E. (2025) A systematic review of blockchain-based initiatives in comparison to best practices used in higher education institutions. </w:t>
      </w:r>
      <w:r>
        <w:rPr>
          <w:i/>
          <w:iCs/>
          <w:shd w:val="clear" w:color="auto" w:fill="ffffff"/>
        </w:rPr>
        <w:t>Computers</w:t>
      </w:r>
      <w:r>
        <w:rPr>
          <w:shd w:val="clear" w:color="auto" w:fill="ffffff"/>
        </w:rPr>
        <w:t>, </w:t>
      </w:r>
      <w:r>
        <w:rPr>
          <w:i/>
          <w:iCs/>
          <w:shd w:val="clear" w:color="auto" w:fill="ffffff"/>
        </w:rPr>
        <w:t>14</w:t>
      </w:r>
      <w:r>
        <w:rPr>
          <w:shd w:val="clear" w:color="auto" w:fill="ffffff"/>
        </w:rPr>
        <w:t>(4), p.141.</w:t>
      </w:r>
    </w:p>
    <w:p w14:paraId="745914A3">
      <w:pPr>
        <w:pStyle w:val="style0"/>
        <w:rPr>
          <w:shd w:val="clear" w:color="auto" w:fill="ffffff"/>
        </w:rPr>
      </w:pPr>
      <w:r>
        <w:rPr>
          <w:shd w:val="clear" w:color="auto" w:fill="ffffff"/>
        </w:rPr>
        <w:t xml:space="preserve">Singh, S. (2025) Costco's Renewal Rate Slips to 89.8%: Temporary Dip or New Normal?. [Online]. Available at: </w:t>
      </w:r>
      <w:r>
        <w:rPr/>
        <w:fldChar w:fldCharType="begin"/>
      </w:r>
      <w:r>
        <w:instrText xml:space="preserve"> HYPERLINK "https://finance.yahoo.com/news/costcos-renewal-rate-slips-89-132600457.html" </w:instrText>
      </w:r>
      <w:r>
        <w:rPr/>
        <w:fldChar w:fldCharType="separate"/>
      </w:r>
      <w:r>
        <w:rPr>
          <w:rStyle w:val="style85"/>
          <w:shd w:val="clear" w:color="auto" w:fill="ffffff"/>
        </w:rPr>
        <w:t>https://finance.yahoo.com/news/costcos-renewal-rate-slips-89-132600457.html</w:t>
      </w:r>
      <w:r>
        <w:rPr/>
        <w:fldChar w:fldCharType="end"/>
      </w:r>
      <w:r>
        <w:rPr>
          <w:shd w:val="clear" w:color="auto" w:fill="ffffff"/>
        </w:rPr>
        <w:t xml:space="preserve"> [Accessed on: 1 August 2026].</w:t>
      </w:r>
    </w:p>
    <w:p w14:paraId="1879B8EA">
      <w:pPr>
        <w:pStyle w:val="style0"/>
        <w:rPr/>
      </w:pPr>
      <w:r>
        <w:t xml:space="preserve">Sinha, S. (2023) Costco: A Case Study. [Online]. Available at: </w:t>
      </w:r>
      <w:r>
        <w:rPr/>
        <w:fldChar w:fldCharType="begin"/>
      </w:r>
      <w:r>
        <w:instrText xml:space="preserve"> HYPERLINK "https://swaysinha.medium.com/costco-wholesale-corporation-costco-a-case-study-92621cf08958" </w:instrText>
      </w:r>
      <w:r>
        <w:rPr/>
        <w:fldChar w:fldCharType="separate"/>
      </w:r>
      <w:r>
        <w:rPr>
          <w:rStyle w:val="style85"/>
        </w:rPr>
        <w:t>https://swaysinha.medium.com/costco-wholesale-corporation-costco-a-case-study-92621cf08958</w:t>
      </w:r>
      <w:r>
        <w:rPr/>
        <w:fldChar w:fldCharType="end"/>
      </w:r>
      <w:r>
        <w:t xml:space="preserve"> </w:t>
      </w:r>
      <w:r>
        <w:rPr>
          <w:shd w:val="clear" w:color="auto" w:fill="ffffff"/>
        </w:rPr>
        <w:t>[Accessed on: 1 August 2026].</w:t>
      </w:r>
    </w:p>
    <w:p w14:paraId="10B79AB0">
      <w:pPr>
        <w:pStyle w:val="style0"/>
        <w:rPr/>
      </w:pPr>
      <w:r>
        <w:t xml:space="preserve">Statista. (2025) Number of Costco card holders worldwide from 2014 to 2025 (in millions). [Online]. Available at: </w:t>
      </w:r>
      <w:r>
        <w:rPr/>
        <w:fldChar w:fldCharType="begin"/>
      </w:r>
      <w:r>
        <w:instrText xml:space="preserve"> HYPERLINK "https://www.statista.com/statistics/718406/costco-number-memberships/?srsltid=AfmBOooxwWtTtro4QcF4-hsl3dWrB_IQXkyTPpcrlmx6a8eseUFFskCW" </w:instrText>
      </w:r>
      <w:r>
        <w:rPr/>
        <w:fldChar w:fldCharType="separate"/>
      </w:r>
      <w:r>
        <w:rPr>
          <w:rStyle w:val="style85"/>
        </w:rPr>
        <w:t>https://www.statista.com/statistics/718406/costco-number-memberships/?srsltid=AfmBOooxwWtTtro4QcF4-hsl3dWrB_IQXkyTPpcrlmx6a8eseUFFskCW</w:t>
      </w:r>
      <w:r>
        <w:rPr/>
        <w:fldChar w:fldCharType="end"/>
      </w:r>
      <w:r>
        <w:t xml:space="preserve"> </w:t>
      </w:r>
      <w:r>
        <w:rPr>
          <w:shd w:val="clear" w:color="auto" w:fill="ffffff"/>
        </w:rPr>
        <w:t>[Accessed on: 1 August 2026].</w:t>
      </w:r>
    </w:p>
    <w:p w14:paraId="6EB615D2">
      <w:pPr>
        <w:pStyle w:val="style0"/>
        <w:rPr>
          <w:shd w:val="clear" w:color="auto" w:fill="ffffff"/>
        </w:rPr>
      </w:pPr>
      <w:r>
        <w:rPr>
          <w:shd w:val="clear" w:color="auto" w:fill="ffffff"/>
        </w:rPr>
        <w:t xml:space="preserve">Statista. (2026) Consumers in Switzerland. [Online]. Available at: </w:t>
      </w:r>
      <w:r>
        <w:rPr/>
        <w:fldChar w:fldCharType="begin"/>
      </w:r>
      <w:r>
        <w:instrText xml:space="preserve"> HYPERLINK "https://www.statista.com/study/113127/consumers-in-switzerland/?srsltid=AfmBOorH4Z5Iym2D3hjeZshwcm_9-7HycVhiCNOsBaP7HQhEMVUeSoVj" </w:instrText>
      </w:r>
      <w:r>
        <w:rPr/>
        <w:fldChar w:fldCharType="separate"/>
      </w:r>
      <w:r>
        <w:rPr>
          <w:rStyle w:val="style85"/>
          <w:shd w:val="clear" w:color="auto" w:fill="ffffff"/>
        </w:rPr>
        <w:t>https://www.statista.com/study/113127/consumers-in-switzerland/?srsltid=AfmBOorH4Z5Iym2D3hjeZshwcm_9-7HycVhiCNOsBaP7HQhEMVUeSoVj</w:t>
      </w:r>
      <w:r>
        <w:rPr/>
        <w:fldChar w:fldCharType="end"/>
      </w:r>
      <w:r>
        <w:rPr>
          <w:shd w:val="clear" w:color="auto" w:fill="ffffff"/>
        </w:rPr>
        <w:t xml:space="preserve"> [Accessed on: 1 August 2026].</w:t>
      </w:r>
    </w:p>
    <w:p w14:paraId="5A7008DB">
      <w:pPr>
        <w:pStyle w:val="style0"/>
        <w:rPr/>
      </w:pPr>
      <w:r>
        <w:t xml:space="preserve">Swiss Finance Council. (2026) EU Market Access: A Swiss Perspective. [Online]. Available at: </w:t>
      </w:r>
      <w:r>
        <w:rPr/>
        <w:fldChar w:fldCharType="begin"/>
      </w:r>
      <w:r>
        <w:instrText xml:space="preserve"> HYPERLINK "https://www.swissfinancecouncil.org/publications/issues-notes/eu-market-access-a-swiss-perspective" </w:instrText>
      </w:r>
      <w:r>
        <w:rPr/>
        <w:fldChar w:fldCharType="separate"/>
      </w:r>
      <w:r>
        <w:rPr>
          <w:rStyle w:val="style85"/>
        </w:rPr>
        <w:t>https://www.swissfinancecouncil.org/publications/issues-notes/eu-market-access-a-swiss-perspective</w:t>
      </w:r>
      <w:r>
        <w:rPr/>
        <w:fldChar w:fldCharType="end"/>
      </w:r>
      <w:r>
        <w:t xml:space="preserve"> </w:t>
      </w:r>
      <w:r>
        <w:rPr>
          <w:shd w:val="clear" w:color="auto" w:fill="ffffff"/>
        </w:rPr>
        <w:t>[Accessed on: 1 August 2026].</w:t>
      </w:r>
    </w:p>
    <w:p w14:paraId="1710A53C">
      <w:pPr>
        <w:pStyle w:val="style0"/>
        <w:rPr>
          <w:shd w:val="clear" w:color="auto" w:fill="ffffff"/>
        </w:rPr>
      </w:pPr>
      <w:r>
        <w:rPr>
          <w:shd w:val="clear" w:color="auto" w:fill="ffffff"/>
        </w:rPr>
        <w:t>Teece, D.J. (2025) The multinational enterprise, capabilities, and digitalization: governance and growth with world disorder. </w:t>
      </w:r>
      <w:r>
        <w:rPr>
          <w:i/>
          <w:iCs/>
          <w:shd w:val="clear" w:color="auto" w:fill="ffffff"/>
        </w:rPr>
        <w:t>Journal of International Business Studies</w:t>
      </w:r>
      <w:r>
        <w:rPr>
          <w:shd w:val="clear" w:color="auto" w:fill="ffffff"/>
        </w:rPr>
        <w:t>, </w:t>
      </w:r>
      <w:r>
        <w:rPr>
          <w:i/>
          <w:iCs/>
          <w:shd w:val="clear" w:color="auto" w:fill="ffffff"/>
        </w:rPr>
        <w:t>56</w:t>
      </w:r>
      <w:r>
        <w:rPr>
          <w:shd w:val="clear" w:color="auto" w:fill="ffffff"/>
        </w:rPr>
        <w:t>(1), pp.7-22.</w:t>
      </w:r>
    </w:p>
    <w:p w14:paraId="749FA2F2">
      <w:pPr>
        <w:pStyle w:val="style0"/>
        <w:rPr>
          <w:shd w:val="clear" w:color="auto" w:fill="ffffff"/>
        </w:rPr>
      </w:pPr>
      <w:r>
        <w:rPr>
          <w:shd w:val="clear" w:color="auto" w:fill="ffffff"/>
        </w:rPr>
        <w:t xml:space="preserve">The Culture Factor. (2026) Country Comparison tool. [Online]. Available at: </w:t>
      </w:r>
      <w:r>
        <w:rPr/>
        <w:fldChar w:fldCharType="begin"/>
      </w:r>
      <w:r>
        <w:instrText xml:space="preserve"> HYPERLINK "https://www.theculturefactor.com/country-comparison-tool?countries=switzerland%2Cunited+states" </w:instrText>
      </w:r>
      <w:r>
        <w:rPr/>
        <w:fldChar w:fldCharType="separate"/>
      </w:r>
      <w:r>
        <w:rPr>
          <w:rStyle w:val="style85"/>
          <w:shd w:val="clear" w:color="auto" w:fill="ffffff"/>
        </w:rPr>
        <w:t>https://www.theculturefactor.com/country-comparison-tool?countries=switzerland%2Cunited+states</w:t>
      </w:r>
      <w:r>
        <w:rPr/>
        <w:fldChar w:fldCharType="end"/>
      </w:r>
      <w:r>
        <w:rPr>
          <w:shd w:val="clear" w:color="auto" w:fill="ffffff"/>
        </w:rPr>
        <w:t xml:space="preserve"> [Accessed on: 1 August 2026].</w:t>
      </w:r>
    </w:p>
    <w:p w14:paraId="2B3B07F0">
      <w:pPr>
        <w:pStyle w:val="style0"/>
        <w:rPr>
          <w:shd w:val="clear" w:color="auto" w:fill="ffffff"/>
        </w:rPr>
      </w:pPr>
      <w:r>
        <w:rPr>
          <w:shd w:val="clear" w:color="auto" w:fill="ffffff"/>
        </w:rPr>
        <w:t>Theocharis, D. and Tsekouropoulos, G. (2025) Sustainable consumption and branding for Gen Z: How brand dimensions influence consumer behavior and adoption of newly launched technological products. </w:t>
      </w:r>
      <w:r>
        <w:rPr>
          <w:i/>
          <w:iCs/>
          <w:shd w:val="clear" w:color="auto" w:fill="ffffff"/>
        </w:rPr>
        <w:t>Sustainability</w:t>
      </w:r>
      <w:r>
        <w:rPr>
          <w:shd w:val="clear" w:color="auto" w:fill="ffffff"/>
        </w:rPr>
        <w:t>, </w:t>
      </w:r>
      <w:r>
        <w:rPr>
          <w:i/>
          <w:iCs/>
          <w:shd w:val="clear" w:color="auto" w:fill="ffffff"/>
        </w:rPr>
        <w:t>17</w:t>
      </w:r>
      <w:r>
        <w:rPr>
          <w:shd w:val="clear" w:color="auto" w:fill="ffffff"/>
        </w:rPr>
        <w:t>(9), p.4124.</w:t>
      </w:r>
    </w:p>
    <w:p w14:paraId="12AC5CEE">
      <w:pPr>
        <w:pStyle w:val="style0"/>
        <w:rPr>
          <w:shd w:val="clear" w:color="auto" w:fill="ffffff"/>
        </w:rPr>
      </w:pPr>
      <w:r>
        <w:rPr>
          <w:shd w:val="clear" w:color="auto" w:fill="ffffff"/>
        </w:rPr>
        <w:t xml:space="preserve">Trading Economics. (2026) Switzerland GDP Growth Rate. [Online]. Available at: </w:t>
      </w:r>
      <w:r>
        <w:rPr/>
        <w:fldChar w:fldCharType="begin"/>
      </w:r>
      <w:r>
        <w:instrText xml:space="preserve"> HYPERLINK "https://tradingeconomics.com/switzerland/gdp-growth" </w:instrText>
      </w:r>
      <w:r>
        <w:rPr/>
        <w:fldChar w:fldCharType="separate"/>
      </w:r>
      <w:r>
        <w:rPr>
          <w:rStyle w:val="style85"/>
          <w:shd w:val="clear" w:color="auto" w:fill="ffffff"/>
        </w:rPr>
        <w:t>https://tradingeconomics.com/switzerland/gdp-growth</w:t>
      </w:r>
      <w:r>
        <w:rPr/>
        <w:fldChar w:fldCharType="end"/>
      </w:r>
      <w:r>
        <w:rPr>
          <w:shd w:val="clear" w:color="auto" w:fill="ffffff"/>
        </w:rPr>
        <w:t xml:space="preserve"> [Accessed on: 1 August 2026].</w:t>
      </w:r>
    </w:p>
    <w:p w14:paraId="7975C8A9">
      <w:pPr>
        <w:pStyle w:val="style0"/>
        <w:rPr/>
      </w:pPr>
      <w:r>
        <w:t>Transp</w:t>
      </w:r>
      <w:r>
        <w:t>a</w:t>
      </w:r>
      <w:r>
        <w:t xml:space="preserve">rency International. (2026) Corruption Perceptions Index. [Online]. Available at: </w:t>
      </w:r>
      <w:r>
        <w:rPr/>
        <w:fldChar w:fldCharType="begin"/>
      </w:r>
      <w:r>
        <w:instrText xml:space="preserve"> HYPERLINK "https://www.transparency.org/en/cpi/2025/index/che" </w:instrText>
      </w:r>
      <w:r>
        <w:rPr/>
        <w:fldChar w:fldCharType="separate"/>
      </w:r>
      <w:r>
        <w:rPr>
          <w:rStyle w:val="style85"/>
        </w:rPr>
        <w:t>https://www.transparency.org/en/cpi/2025/index/che</w:t>
      </w:r>
      <w:r>
        <w:rPr/>
        <w:fldChar w:fldCharType="end"/>
      </w:r>
      <w:r>
        <w:t xml:space="preserve"> </w:t>
      </w:r>
      <w:r>
        <w:rPr>
          <w:shd w:val="clear" w:color="auto" w:fill="ffffff"/>
        </w:rPr>
        <w:t>[Accessed on: 1 August 2026].</w:t>
      </w:r>
    </w:p>
    <w:p w14:paraId="369FF00F">
      <w:pPr>
        <w:pStyle w:val="style0"/>
        <w:rPr/>
      </w:pPr>
      <w:r>
        <w:t>US Department of State. (2026) 2025 Investment Climate Statements: Switzerland. [Online]. Available at</w:t>
      </w:r>
      <w:r>
        <w:t>:</w:t>
      </w:r>
      <w:r>
        <w:t xml:space="preserve"> </w:t>
      </w:r>
      <w:r>
        <w:rPr/>
        <w:fldChar w:fldCharType="begin"/>
      </w:r>
      <w:r>
        <w:instrText xml:space="preserve"> HYPERLINK "https://www.state.gov/reports/2025-investment-climate-statements/switzerland" </w:instrText>
      </w:r>
      <w:r>
        <w:rPr/>
        <w:fldChar w:fldCharType="separate"/>
      </w:r>
      <w:r>
        <w:rPr>
          <w:rStyle w:val="style85"/>
        </w:rPr>
        <w:t>https://www.state.gov/reports/2025-investment-climate-statements/switzerland</w:t>
      </w:r>
      <w:r>
        <w:rPr/>
        <w:fldChar w:fldCharType="end"/>
      </w:r>
      <w:r>
        <w:t xml:space="preserve"> </w:t>
      </w:r>
      <w:r>
        <w:rPr>
          <w:shd w:val="clear" w:color="auto" w:fill="ffffff"/>
        </w:rPr>
        <w:t>[Accessed on: 1 August 2026].</w:t>
      </w:r>
    </w:p>
    <w:p w14:paraId="30C9423F">
      <w:pPr>
        <w:pStyle w:val="style0"/>
        <w:rPr>
          <w:shd w:val="clear" w:color="auto" w:fill="ffffff"/>
        </w:rPr>
      </w:pPr>
      <w:r>
        <w:rPr>
          <w:shd w:val="clear" w:color="auto" w:fill="ffffff"/>
        </w:rPr>
        <w:t>Wang, W. and Hao, J. (2026) Green Industrial Policy and OFDI Performance: Evidence from Green Factory Certification. </w:t>
      </w:r>
      <w:r>
        <w:rPr>
          <w:i/>
          <w:iCs/>
          <w:shd w:val="clear" w:color="auto" w:fill="ffffff"/>
        </w:rPr>
        <w:t>Sustainability</w:t>
      </w:r>
      <w:r>
        <w:rPr>
          <w:shd w:val="clear" w:color="auto" w:fill="ffffff"/>
        </w:rPr>
        <w:t>, </w:t>
      </w:r>
      <w:r>
        <w:rPr>
          <w:i/>
          <w:iCs/>
          <w:shd w:val="clear" w:color="auto" w:fill="ffffff"/>
        </w:rPr>
        <w:t>18</w:t>
      </w:r>
      <w:r>
        <w:rPr>
          <w:shd w:val="clear" w:color="auto" w:fill="ffffff"/>
        </w:rPr>
        <w:t>(13), p.6635.</w:t>
      </w:r>
    </w:p>
    <w:p w14:paraId="33FF39B6">
      <w:pPr>
        <w:pStyle w:val="style0"/>
        <w:rPr/>
      </w:pPr>
      <w:r>
        <w:t xml:space="preserve">WIPO. (2026) Switzerland ranking in the Global Innovation Index 2025. [Online]. Available at: </w:t>
      </w:r>
      <w:r>
        <w:rPr/>
        <w:fldChar w:fldCharType="begin"/>
      </w:r>
      <w:r>
        <w:instrText xml:space="preserve"> HYPERLINK "https://www.wipo.int/edocs/gii-ranking/2025/ch.pdf" </w:instrText>
      </w:r>
      <w:r>
        <w:rPr/>
        <w:fldChar w:fldCharType="separate"/>
      </w:r>
      <w:r>
        <w:rPr>
          <w:rStyle w:val="style85"/>
        </w:rPr>
        <w:t>https://www.wipo.int/edocs/gii-ranking/2025/ch.pdf</w:t>
      </w:r>
      <w:r>
        <w:rPr/>
        <w:fldChar w:fldCharType="end"/>
      </w:r>
      <w:r>
        <w:t xml:space="preserve"> </w:t>
      </w:r>
      <w:r>
        <w:rPr>
          <w:shd w:val="clear" w:color="auto" w:fill="ffffff"/>
        </w:rPr>
        <w:t>[Accessed on: 1 August 2026].</w:t>
      </w:r>
    </w:p>
    <w:p w14:paraId="6155D840">
      <w:pPr>
        <w:pStyle w:val="style0"/>
        <w:rPr>
          <w:shd w:val="clear" w:color="auto" w:fill="ffffff"/>
        </w:rPr>
      </w:pPr>
      <w:r>
        <w:rPr>
          <w:shd w:val="clear" w:color="auto" w:fill="ffffff"/>
        </w:rPr>
        <w:t xml:space="preserve">Wynne-Jones, S. (2026) Top 5 Supermarket Retail Chains In Switzerland. [Online]. Available at: </w:t>
      </w:r>
      <w:r>
        <w:rPr/>
        <w:fldChar w:fldCharType="begin"/>
      </w:r>
      <w:r>
        <w:instrText xml:space="preserve"> HYPERLINK "https://www.esmmagazine.com/retail/top-5-supermarket-retail-chains-in-switzerland-238497" </w:instrText>
      </w:r>
      <w:r>
        <w:rPr/>
        <w:fldChar w:fldCharType="separate"/>
      </w:r>
      <w:r>
        <w:rPr>
          <w:rStyle w:val="style85"/>
          <w:shd w:val="clear" w:color="auto" w:fill="ffffff"/>
        </w:rPr>
        <w:t>https://www.esmmagazine.com/retail/top-5-supermarket-retail-chains-in-switzerland-238497</w:t>
      </w:r>
      <w:r>
        <w:rPr/>
        <w:fldChar w:fldCharType="end"/>
      </w:r>
      <w:r>
        <w:rPr>
          <w:shd w:val="clear" w:color="auto" w:fill="ffffff"/>
        </w:rPr>
        <w:t xml:space="preserve"> [Accessed on: 1 August 2026].</w:t>
      </w:r>
    </w:p>
    <w:p w14:paraId="2AA38CFA">
      <w:pPr>
        <w:pStyle w:val="style0"/>
        <w:rPr>
          <w:shd w:val="clear" w:color="auto" w:fill="ffffff"/>
        </w:rPr>
      </w:pPr>
      <w:r>
        <w:rPr>
          <w:shd w:val="clear" w:color="auto" w:fill="ffffff"/>
        </w:rPr>
        <w:t>Yeganeh, H. (2025) Hofstede, GLOBE, Schwartz and Inglehart’s cultural dimensions: a critical examination and assessment. </w:t>
      </w:r>
      <w:r>
        <w:rPr>
          <w:i/>
          <w:iCs/>
          <w:shd w:val="clear" w:color="auto" w:fill="ffffff"/>
        </w:rPr>
        <w:t>European Business Review</w:t>
      </w:r>
      <w:r>
        <w:rPr>
          <w:shd w:val="clear" w:color="auto" w:fill="ffffff"/>
        </w:rPr>
        <w:t>, </w:t>
      </w:r>
      <w:r>
        <w:rPr>
          <w:i/>
          <w:iCs/>
          <w:shd w:val="clear" w:color="auto" w:fill="ffffff"/>
        </w:rPr>
        <w:t>37</w:t>
      </w:r>
      <w:r>
        <w:rPr>
          <w:shd w:val="clear" w:color="auto" w:fill="ffffff"/>
        </w:rPr>
        <w:t>(6), pp.1073-1090.</w:t>
      </w:r>
    </w:p>
    <w:p w14:paraId="16D7CBF3">
      <w:pPr>
        <w:pStyle w:val="style0"/>
        <w:rPr/>
      </w:pPr>
    </w:p>
    <w:p w14:paraId="5030E67B">
      <w:pPr>
        <w:pStyle w:val="style0"/>
        <w:rPr/>
      </w:pPr>
    </w:p>
    <w:sectPr>
      <w:footerReference w:type="default" r:id="rId16"/>
      <w:pgSz w:w="12240" w:h="15840" w:orient="portrait"/>
      <w:pgMar w:top="1440" w:right="1440" w:bottom="1440" w:left="1440" w:header="720" w:footer="720" w:gutter="0"/>
      <w:pgBorders w:zOrder="front" w:display="allPage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ptos">
    <w:altName w:val="Aptos"/>
    <w:panose1 w:val="00000000000000000000"/>
    <w:charset w:val="00"/>
    <w:family w:val="swiss"/>
    <w:pitch w:val="variable"/>
    <w:sig w:usb0="20000287" w:usb1="00000003" w:usb2="00000000" w:usb3="00000000" w:csb0="0000019F" w:csb1="00000000"/>
  </w:font>
  <w:font w:name="Times New Roman">
    <w:altName w:val="Times New Roman"/>
    <w:panose1 w:val="02020603050004020304"/>
    <w:charset w:val="00"/>
    <w:family w:val="roman"/>
    <w:pitch w:val="variable"/>
    <w:sig w:usb0="E0002EFF" w:usb1="C000785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Aptos Display">
    <w:altName w:val="Aptos Display"/>
    <w:panose1 w:val="00000000000000000000"/>
    <w:charset w:val="00"/>
    <w:family w:val="swiss"/>
    <w:pitch w:val="variable"/>
    <w:sig w:usb0="20000287" w:usb1="00000003" w:usb2="00000000" w:usb3="00000000" w:csb0="0000019F" w:csb1="00000000"/>
  </w:font>
  <w:font w:name="Cambria Math">
    <w:altName w:val="Cambria Math"/>
    <w:panose1 w:val="02040503050004030204"/>
    <w:charset w:val="00"/>
    <w:family w:val="roman"/>
    <w:pitch w:val="variable"/>
    <w:sig w:usb0="E00006FF" w:usb1="420024FF" w:usb2="02000000" w:usb3="00000000" w:csb0="0000019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14:paraId="6AE4A853">
    <w:pPr>
      <w:pStyle w:val="style32"/>
      <w:jc w:val="right"/>
      <w:rPr/>
    </w:pPr>
    <w:r>
      <w:rPr/>
      <w:fldChar w:fldCharType="begin"/>
    </w:r>
    <w:r>
      <w:instrText xml:space="preserve"> PAGE   \* MERGEFORMAT </w:instrText>
    </w:r>
    <w:r>
      <w:rPr/>
      <w:fldChar w:fldCharType="separate"/>
    </w:r>
    <w:r>
      <w:rPr>
        <w:noProof/>
      </w:rPr>
      <w:t>2</w:t>
    </w:r>
    <w:r>
      <w:rPr>
        <w:noProof/>
      </w:rPr>
      <w:fldChar w:fldCharType="end"/>
    </w:r>
  </w:p>
  <w:p w14:paraId="55ED251C">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30"/>
  <w:removePersonalInformation/>
  <w:removeDateAndTime/>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Aptos" w:cs="宋体" w:eastAsia="Aptos" w:hAnsi="Aptos"/>
        <w:kern w:val="2"/>
        <w:sz w:val="24"/>
        <w:szCs w:val="24"/>
        <w:lang w:val="en-US" w:bidi="ar-SA" w:eastAsia="en-US"/>
        <w14:ligatures xmlns:w14="http://schemas.microsoft.com/office/word/2010/wordml" w14:val="standardContextual"/>
      </w:rPr>
    </w:rPrDefault>
    <w:pPrDefault>
      <w:pPr>
        <w:spacing w:after="160" w:lineRule="auto" w:line="278"/>
      </w:pPr>
    </w:pPrDefault>
  </w:docDefaults>
  <w:style w:type="paragraph" w:default="1" w:styleId="style0">
    <w:name w:val="Normal"/>
    <w:next w:val="style0"/>
    <w:qFormat/>
    <w:pPr>
      <w:spacing w:before="240" w:after="240" w:lineRule="auto" w:line="360"/>
      <w:jc w:val="both"/>
    </w:pPr>
    <w:rPr>
      <w:rFonts w:ascii="Arial" w:hAnsi="Arial"/>
      <w:lang w:val="en-GB"/>
    </w:rPr>
  </w:style>
  <w:style w:type="paragraph" w:styleId="style1">
    <w:name w:val="heading 1"/>
    <w:basedOn w:val="style0"/>
    <w:next w:val="style0"/>
    <w:link w:val="style4097"/>
    <w:qFormat/>
    <w:uiPriority w:val="9"/>
    <w:pPr>
      <w:keepNext/>
      <w:keepLines/>
      <w:outlineLvl w:val="0"/>
    </w:pPr>
    <w:rPr>
      <w:rFonts w:cs="宋体" w:eastAsia="宋体"/>
      <w:b/>
      <w:szCs w:val="40"/>
    </w:rPr>
  </w:style>
  <w:style w:type="paragraph" w:styleId="style2">
    <w:name w:val="heading 2"/>
    <w:basedOn w:val="style0"/>
    <w:next w:val="style0"/>
    <w:link w:val="style4098"/>
    <w:qFormat/>
    <w:uiPriority w:val="9"/>
    <w:pPr>
      <w:keepNext/>
      <w:keepLines/>
      <w:outlineLvl w:val="1"/>
    </w:pPr>
    <w:rPr>
      <w:rFonts w:cs="宋体" w:eastAsia="宋体"/>
      <w:b/>
      <w:i/>
      <w:szCs w:val="32"/>
    </w:rPr>
  </w:style>
  <w:style w:type="paragraph" w:styleId="style3">
    <w:name w:val="heading 3"/>
    <w:basedOn w:val="style0"/>
    <w:next w:val="style0"/>
    <w:link w:val="style4099"/>
    <w:qFormat/>
    <w:uiPriority w:val="9"/>
    <w:pPr>
      <w:keepNext/>
      <w:keepLines/>
      <w:outlineLvl w:val="2"/>
    </w:pPr>
    <w:rPr>
      <w:rFonts w:cs="宋体" w:eastAsia="宋体"/>
      <w:b/>
      <w:szCs w:val="28"/>
    </w:rPr>
  </w:style>
  <w:style w:type="paragraph" w:styleId="style4">
    <w:name w:val="heading 4"/>
    <w:basedOn w:val="style0"/>
    <w:next w:val="style0"/>
    <w:link w:val="style4100"/>
    <w:qFormat/>
    <w:uiPriority w:val="9"/>
    <w:pPr>
      <w:keepNext/>
      <w:keepLines/>
      <w:spacing w:before="80" w:after="40"/>
      <w:outlineLvl w:val="3"/>
    </w:pPr>
    <w:rPr>
      <w:rFonts w:ascii="Aptos" w:cs="宋体" w:eastAsia="宋体" w:hAnsi="Aptos"/>
      <w:i/>
      <w:iCs/>
      <w:color w:val="2e74b5"/>
    </w:rPr>
  </w:style>
  <w:style w:type="paragraph" w:styleId="style5">
    <w:name w:val="heading 5"/>
    <w:basedOn w:val="style0"/>
    <w:next w:val="style0"/>
    <w:link w:val="style4101"/>
    <w:qFormat/>
    <w:uiPriority w:val="9"/>
    <w:pPr>
      <w:keepNext/>
      <w:keepLines/>
      <w:spacing w:before="80" w:after="40"/>
      <w:outlineLvl w:val="4"/>
    </w:pPr>
    <w:rPr>
      <w:rFonts w:ascii="Aptos" w:cs="宋体" w:eastAsia="宋体" w:hAnsi="Aptos"/>
      <w:color w:val="2e74b5"/>
    </w:rPr>
  </w:style>
  <w:style w:type="paragraph" w:styleId="style6">
    <w:name w:val="heading 6"/>
    <w:basedOn w:val="style0"/>
    <w:next w:val="style0"/>
    <w:link w:val="style4102"/>
    <w:qFormat/>
    <w:uiPriority w:val="9"/>
    <w:pPr>
      <w:keepNext/>
      <w:keepLines/>
      <w:spacing w:before="40" w:after="0"/>
      <w:outlineLvl w:val="5"/>
    </w:pPr>
    <w:rPr>
      <w:rFonts w:ascii="Aptos" w:cs="宋体" w:eastAsia="宋体" w:hAnsi="Aptos"/>
      <w:i/>
      <w:iCs/>
      <w:color w:val="595959"/>
    </w:rPr>
  </w:style>
  <w:style w:type="paragraph" w:styleId="style7">
    <w:name w:val="heading 7"/>
    <w:basedOn w:val="style0"/>
    <w:next w:val="style0"/>
    <w:link w:val="style4103"/>
    <w:qFormat/>
    <w:uiPriority w:val="9"/>
    <w:pPr>
      <w:keepNext/>
      <w:keepLines/>
      <w:spacing w:before="40" w:after="0"/>
      <w:outlineLvl w:val="6"/>
    </w:pPr>
    <w:rPr>
      <w:rFonts w:ascii="Aptos" w:cs="宋体" w:eastAsia="宋体" w:hAnsi="Aptos"/>
      <w:color w:val="595959"/>
    </w:rPr>
  </w:style>
  <w:style w:type="paragraph" w:styleId="style8">
    <w:name w:val="heading 8"/>
    <w:basedOn w:val="style0"/>
    <w:next w:val="style0"/>
    <w:link w:val="style4104"/>
    <w:qFormat/>
    <w:uiPriority w:val="9"/>
    <w:pPr>
      <w:keepNext/>
      <w:keepLines/>
      <w:spacing w:before="0" w:after="0"/>
      <w:outlineLvl w:val="7"/>
    </w:pPr>
    <w:rPr>
      <w:rFonts w:ascii="Aptos" w:cs="宋体" w:eastAsia="宋体" w:hAnsi="Aptos"/>
      <w:i/>
      <w:iCs/>
      <w:color w:val="272727"/>
    </w:rPr>
  </w:style>
  <w:style w:type="paragraph" w:styleId="style9">
    <w:name w:val="heading 9"/>
    <w:basedOn w:val="style0"/>
    <w:next w:val="style0"/>
    <w:link w:val="style4105"/>
    <w:qFormat/>
    <w:uiPriority w:val="9"/>
    <w:pPr>
      <w:keepNext/>
      <w:keepLines/>
      <w:spacing w:before="0" w:after="0"/>
      <w:outlineLvl w:val="8"/>
    </w:pPr>
    <w:rPr>
      <w:rFonts w:ascii="Aptos" w:cs="宋体" w:eastAsia="宋体" w:hAnsi="Aptos"/>
      <w:color w:val="272727"/>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f98f61ef-1d92-4be6-9a79-e9a1afaec2f8"/>
    <w:basedOn w:val="style65"/>
    <w:next w:val="style4097"/>
    <w:link w:val="style1"/>
    <w:uiPriority w:val="9"/>
    <w:rPr>
      <w:rFonts w:ascii="Times New Roman" w:cs="宋体" w:eastAsia="宋体" w:hAnsi="Times New Roman"/>
      <w:b/>
      <w:szCs w:val="40"/>
    </w:rPr>
  </w:style>
  <w:style w:type="paragraph" w:styleId="style266">
    <w:name w:val="TOC Heading"/>
    <w:basedOn w:val="style1"/>
    <w:next w:val="style0"/>
    <w:qFormat/>
    <w:uiPriority w:val="39"/>
    <w:pPr>
      <w:outlineLvl w:val="9"/>
    </w:pPr>
    <w:rPr>
      <w:kern w:val="0"/>
      <w:szCs w:val="32"/>
      <w14:ligatures xmlns:w14="http://schemas.microsoft.com/office/word/2010/wordml" w14:val="none"/>
    </w:rPr>
  </w:style>
  <w:style w:type="paragraph" w:styleId="style34">
    <w:name w:val="caption"/>
    <w:basedOn w:val="style0"/>
    <w:next w:val="style0"/>
    <w:qFormat/>
    <w:uiPriority w:val="35"/>
    <w:pPr>
      <w:jc w:val="center"/>
    </w:pPr>
    <w:rPr>
      <w:b/>
      <w:i/>
      <w:iCs/>
      <w:szCs w:val="18"/>
    </w:rPr>
  </w:style>
  <w:style w:type="character" w:customStyle="1" w:styleId="style4098">
    <w:name w:val="Heading 2 Char_f74508b7-7ad4-4a1d-bb7e-b0a26fecc4a0"/>
    <w:basedOn w:val="style65"/>
    <w:next w:val="style4098"/>
    <w:link w:val="style2"/>
    <w:uiPriority w:val="9"/>
    <w:rPr>
      <w:rFonts w:ascii="Times New Roman" w:cs="宋体" w:eastAsia="宋体" w:hAnsi="Times New Roman"/>
      <w:b/>
      <w:i/>
      <w:szCs w:val="32"/>
    </w:rPr>
  </w:style>
  <w:style w:type="character" w:customStyle="1" w:styleId="style4099">
    <w:name w:val="Heading 3 Char_1269a112-698f-45b2-9f86-3664e3791063"/>
    <w:basedOn w:val="style65"/>
    <w:next w:val="style4099"/>
    <w:link w:val="style3"/>
    <w:uiPriority w:val="9"/>
    <w:rPr>
      <w:rFonts w:ascii="Arial" w:cs="宋体" w:eastAsia="宋体" w:hAnsi="Arial"/>
      <w:b/>
      <w:szCs w:val="28"/>
      <w:lang w:val="en-GB"/>
    </w:rPr>
  </w:style>
  <w:style w:type="character" w:customStyle="1" w:styleId="style4100">
    <w:name w:val="Heading 4 Char_8299e634-233e-46da-9c33-be479dd298a4"/>
    <w:basedOn w:val="style65"/>
    <w:next w:val="style4100"/>
    <w:link w:val="style4"/>
    <w:uiPriority w:val="9"/>
    <w:rPr>
      <w:rFonts w:cs="宋体" w:eastAsia="宋体"/>
      <w:i/>
      <w:iCs/>
      <w:color w:val="2e74b5"/>
    </w:rPr>
  </w:style>
  <w:style w:type="character" w:customStyle="1" w:styleId="style4101">
    <w:name w:val="Heading 5 Char_4b8f245c-8a36-458b-9fbb-e9c8a88e2a03"/>
    <w:basedOn w:val="style65"/>
    <w:next w:val="style4101"/>
    <w:link w:val="style5"/>
    <w:uiPriority w:val="9"/>
    <w:rPr>
      <w:rFonts w:cs="宋体" w:eastAsia="宋体"/>
      <w:color w:val="2e74b5"/>
    </w:rPr>
  </w:style>
  <w:style w:type="character" w:customStyle="1" w:styleId="style4102">
    <w:name w:val="Heading 6 Char_75f68236-db9c-490e-9009-13e50c313526"/>
    <w:basedOn w:val="style65"/>
    <w:next w:val="style4102"/>
    <w:link w:val="style6"/>
    <w:uiPriority w:val="9"/>
    <w:rPr>
      <w:rFonts w:cs="宋体" w:eastAsia="宋体"/>
      <w:i/>
      <w:iCs/>
      <w:color w:val="595959"/>
    </w:rPr>
  </w:style>
  <w:style w:type="character" w:customStyle="1" w:styleId="style4103">
    <w:name w:val="Heading 7 Char_0cfe171f-3e60-4e31-a910-59b245463b27"/>
    <w:basedOn w:val="style65"/>
    <w:next w:val="style4103"/>
    <w:link w:val="style7"/>
    <w:uiPriority w:val="9"/>
    <w:rPr>
      <w:rFonts w:cs="宋体" w:eastAsia="宋体"/>
      <w:color w:val="595959"/>
    </w:rPr>
  </w:style>
  <w:style w:type="character" w:customStyle="1" w:styleId="style4104">
    <w:name w:val="Heading 8 Char_55a25576-0264-4641-9c8f-f50e36b4a5bb"/>
    <w:basedOn w:val="style65"/>
    <w:next w:val="style4104"/>
    <w:link w:val="style8"/>
    <w:uiPriority w:val="9"/>
    <w:rPr>
      <w:rFonts w:cs="宋体" w:eastAsia="宋体"/>
      <w:i/>
      <w:iCs/>
      <w:color w:val="272727"/>
    </w:rPr>
  </w:style>
  <w:style w:type="character" w:customStyle="1" w:styleId="style4105">
    <w:name w:val="Heading 9 Char_cbe89429-a52a-4b53-98f7-90598c34d0df"/>
    <w:basedOn w:val="style65"/>
    <w:next w:val="style4105"/>
    <w:link w:val="style9"/>
    <w:uiPriority w:val="9"/>
    <w:rPr>
      <w:rFonts w:cs="宋体" w:eastAsia="宋体"/>
      <w:color w:val="272727"/>
    </w:rPr>
  </w:style>
  <w:style w:type="paragraph" w:styleId="style62">
    <w:name w:val="Title"/>
    <w:basedOn w:val="style0"/>
    <w:next w:val="style0"/>
    <w:link w:val="style4106"/>
    <w:qFormat/>
    <w:uiPriority w:val="10"/>
    <w:pPr>
      <w:spacing w:before="0" w:after="80" w:lineRule="auto" w:line="240"/>
      <w:contextualSpacing/>
    </w:pPr>
    <w:rPr>
      <w:rFonts w:ascii="Aptos Display" w:cs="宋体" w:eastAsia="宋体" w:hAnsi="Aptos Display"/>
      <w:spacing w:val="-10"/>
      <w:kern w:val="28"/>
      <w:sz w:val="56"/>
      <w:szCs w:val="56"/>
    </w:rPr>
  </w:style>
  <w:style w:type="character" w:customStyle="1" w:styleId="style4106">
    <w:name w:val="Title Char_62581743-ba73-4a78-b299-1c1847ca008a"/>
    <w:basedOn w:val="style65"/>
    <w:next w:val="style4106"/>
    <w:link w:val="style62"/>
    <w:uiPriority w:val="10"/>
    <w:rPr>
      <w:rFonts w:ascii="Aptos Display" w:cs="宋体" w:eastAsia="宋体" w:hAnsi="Aptos Display"/>
      <w:spacing w:val="-10"/>
      <w:kern w:val="28"/>
      <w:sz w:val="56"/>
      <w:szCs w:val="56"/>
    </w:rPr>
  </w:style>
  <w:style w:type="paragraph" w:styleId="style74">
    <w:name w:val="Subtitle"/>
    <w:basedOn w:val="style0"/>
    <w:next w:val="style0"/>
    <w:link w:val="style4107"/>
    <w:qFormat/>
    <w:uiPriority w:val="11"/>
    <w:pPr>
      <w:numPr>
        <w:ilvl w:val="1"/>
        <w:numId w:val="0"/>
      </w:numPr>
      <w:spacing w:after="160"/>
    </w:pPr>
    <w:rPr>
      <w:rFonts w:ascii="Aptos" w:cs="宋体" w:eastAsia="宋体" w:hAnsi="Aptos"/>
      <w:color w:val="595959"/>
      <w:spacing w:val="15"/>
      <w:sz w:val="28"/>
      <w:szCs w:val="28"/>
    </w:rPr>
  </w:style>
  <w:style w:type="character" w:customStyle="1" w:styleId="style4107">
    <w:name w:val="Subtitle Char"/>
    <w:basedOn w:val="style65"/>
    <w:next w:val="style4107"/>
    <w:link w:val="style74"/>
    <w:uiPriority w:val="11"/>
    <w:rPr>
      <w:rFonts w:cs="宋体" w:eastAsia="宋体"/>
      <w:color w:val="595959"/>
      <w:spacing w:val="15"/>
      <w:sz w:val="28"/>
      <w:szCs w:val="28"/>
    </w:rPr>
  </w:style>
  <w:style w:type="paragraph" w:styleId="style180">
    <w:name w:val="Quote"/>
    <w:basedOn w:val="style0"/>
    <w:next w:val="style0"/>
    <w:link w:val="style4108"/>
    <w:qFormat/>
    <w:uiPriority w:val="29"/>
    <w:pPr>
      <w:spacing w:before="160" w:after="160"/>
      <w:jc w:val="center"/>
    </w:pPr>
    <w:rPr>
      <w:i/>
      <w:iCs/>
      <w:color w:val="404040"/>
    </w:rPr>
  </w:style>
  <w:style w:type="character" w:customStyle="1" w:styleId="style4108">
    <w:name w:val="Quote Char_9599ff47-7ae9-4604-add5-910a0b1b3a88"/>
    <w:basedOn w:val="style65"/>
    <w:next w:val="style4108"/>
    <w:link w:val="style180"/>
    <w:uiPriority w:val="29"/>
    <w:rPr>
      <w:rFonts w:ascii="Times New Roman" w:hAnsi="Times New Roman"/>
      <w:i/>
      <w:iCs/>
      <w:color w:val="404040"/>
    </w:rPr>
  </w:style>
  <w:style w:type="paragraph" w:styleId="style179">
    <w:name w:val="List Paragraph"/>
    <w:basedOn w:val="style0"/>
    <w:next w:val="style179"/>
    <w:qFormat/>
    <w:uiPriority w:val="34"/>
    <w:pPr>
      <w:ind w:left="720"/>
      <w:contextualSpacing/>
    </w:pPr>
    <w:rPr/>
  </w:style>
  <w:style w:type="character" w:styleId="style261">
    <w:name w:val="Intense Emphasis"/>
    <w:basedOn w:val="style65"/>
    <w:next w:val="style261"/>
    <w:qFormat/>
    <w:uiPriority w:val="21"/>
    <w:rPr>
      <w:i/>
      <w:iCs/>
      <w:color w:val="2e74b5"/>
    </w:rPr>
  </w:style>
  <w:style w:type="paragraph" w:styleId="style181">
    <w:name w:val="Intense Quote"/>
    <w:basedOn w:val="style0"/>
    <w:next w:val="style0"/>
    <w:link w:val="style4109"/>
    <w:qFormat/>
    <w:uiPriority w:val="30"/>
    <w:pPr>
      <w:pBdr>
        <w:top w:val="single" w:sz="4" w:space="10" w:color="2e74b5"/>
        <w:bottom w:val="single" w:sz="4" w:space="10" w:color="2e74b5"/>
      </w:pBdr>
      <w:spacing w:before="360" w:after="360"/>
      <w:ind w:left="864" w:right="864"/>
      <w:jc w:val="center"/>
    </w:pPr>
    <w:rPr>
      <w:i/>
      <w:iCs/>
      <w:color w:val="2e74b5"/>
    </w:rPr>
  </w:style>
  <w:style w:type="character" w:customStyle="1" w:styleId="style4109">
    <w:name w:val="Intense Quote Char_cb72378f-d8fa-439e-8f43-8c6492af8624"/>
    <w:basedOn w:val="style65"/>
    <w:next w:val="style4109"/>
    <w:link w:val="style181"/>
    <w:uiPriority w:val="30"/>
    <w:rPr>
      <w:rFonts w:ascii="Times New Roman" w:hAnsi="Times New Roman"/>
      <w:i/>
      <w:iCs/>
      <w:color w:val="2e74b5"/>
    </w:rPr>
  </w:style>
  <w:style w:type="character" w:styleId="style263">
    <w:name w:val="Intense Reference"/>
    <w:basedOn w:val="style65"/>
    <w:next w:val="style263"/>
    <w:qFormat/>
    <w:uiPriority w:val="32"/>
    <w:rPr>
      <w:b/>
      <w:bCs/>
      <w:smallCaps/>
      <w:color w:val="2e74b5"/>
      <w:spacing w:val="5"/>
    </w:rPr>
  </w:style>
  <w:style w:type="paragraph" w:styleId="style31">
    <w:name w:val="header"/>
    <w:basedOn w:val="style0"/>
    <w:next w:val="style31"/>
    <w:link w:val="style4110"/>
    <w:uiPriority w:val="99"/>
    <w:pPr>
      <w:tabs>
        <w:tab w:val="center" w:leader="none" w:pos="4680"/>
        <w:tab w:val="right" w:leader="none" w:pos="9360"/>
      </w:tabs>
      <w:spacing w:before="0" w:after="0" w:lineRule="auto" w:line="240"/>
    </w:pPr>
    <w:rPr/>
  </w:style>
  <w:style w:type="character" w:customStyle="1" w:styleId="style4110">
    <w:name w:val="Header Char_d3e9eccf-2557-411c-8dc6-6ca6ce58ba5c"/>
    <w:basedOn w:val="style65"/>
    <w:next w:val="style4110"/>
    <w:link w:val="style31"/>
    <w:uiPriority w:val="99"/>
    <w:rPr>
      <w:rFonts w:ascii="Times New Roman" w:hAnsi="Times New Roman"/>
    </w:rPr>
  </w:style>
  <w:style w:type="paragraph" w:styleId="style32">
    <w:name w:val="footer"/>
    <w:basedOn w:val="style0"/>
    <w:next w:val="style32"/>
    <w:link w:val="style4111"/>
    <w:uiPriority w:val="99"/>
    <w:pPr>
      <w:tabs>
        <w:tab w:val="center" w:leader="none" w:pos="4680"/>
        <w:tab w:val="right" w:leader="none" w:pos="9360"/>
      </w:tabs>
      <w:spacing w:before="0" w:after="0" w:lineRule="auto" w:line="240"/>
    </w:pPr>
    <w:rPr/>
  </w:style>
  <w:style w:type="character" w:customStyle="1" w:styleId="style4111">
    <w:name w:val="Footer Char_324ed85e-4f72-4844-be96-2f33f8791fdf"/>
    <w:basedOn w:val="style65"/>
    <w:next w:val="style4111"/>
    <w:link w:val="style32"/>
    <w:uiPriority w:val="99"/>
    <w:rPr>
      <w:rFonts w:ascii="Times New Roman" w:hAnsi="Times New Roman"/>
    </w:r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563c1"/>
      <w:u w:val="single"/>
    </w:rPr>
  </w:style>
  <w:style w:type="paragraph" w:styleId="style20">
    <w:name w:val="toc 2"/>
    <w:basedOn w:val="style0"/>
    <w:next w:val="style0"/>
    <w:uiPriority w:val="39"/>
    <w:pPr>
      <w:spacing w:after="100"/>
      <w:ind w:left="240"/>
    </w:pPr>
    <w:rPr/>
  </w:style>
  <w:style w:type="paragraph" w:styleId="style21">
    <w:name w:val="toc 3"/>
    <w:basedOn w:val="style0"/>
    <w:next w:val="style0"/>
    <w:uiPriority w:val="39"/>
    <w:pPr>
      <w:spacing w:after="100"/>
      <w:ind w:left="480"/>
    </w:pPr>
    <w:rPr/>
  </w:style>
  <w:style w:type="character" w:customStyle="1" w:styleId="style4112">
    <w:name w:val="Unresolved Mention"/>
    <w:basedOn w:val="style65"/>
    <w:next w:val="style4112"/>
    <w:uiPriority w:val="99"/>
    <w:rPr>
      <w:color w:val="605e5c"/>
      <w:shd w:val="clear" w:color="auto" w:fill="e1dfdd"/>
    </w:rPr>
  </w:style>
  <w:style w:type="character" w:styleId="style86">
    <w:name w:val="FollowedHyperlink"/>
    <w:basedOn w:val="style65"/>
    <w:next w:val="style86"/>
    <w:uiPriority w:val="99"/>
    <w:rPr>
      <w:color w:val="954f72"/>
      <w:u w:val="single"/>
    </w:rPr>
  </w:style>
</w:styles>
</file>

<file path=word/_rels/document.xml.rels><?xml version="1.0" encoding="UTF-8"?>
<Relationships xmlns="http://schemas.openxmlformats.org/package/2006/relationships"><Relationship Id="rId20" Type="http://schemas.openxmlformats.org/officeDocument/2006/relationships/theme" Target="theme/theme1.xml"/><Relationship Id="rId11" Type="http://schemas.openxmlformats.org/officeDocument/2006/relationships/image" Target="media/image10.png"/><Relationship Id="rId10" Type="http://schemas.openxmlformats.org/officeDocument/2006/relationships/image" Target="media/image9.png"/><Relationship Id="rId21" Type="http://schemas.openxmlformats.org/officeDocument/2006/relationships/customXml" Target="../customXml/item1.xml"/><Relationship Id="rId13" Type="http://schemas.openxmlformats.org/officeDocument/2006/relationships/image" Target="media/image12.png"/><Relationship Id="rId12" Type="http://schemas.openxmlformats.org/officeDocument/2006/relationships/image" Target="media/image11.png"/><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9" Type="http://schemas.openxmlformats.org/officeDocument/2006/relationships/image" Target="media/image8.png"/><Relationship Id="rId15" Type="http://schemas.openxmlformats.org/officeDocument/2006/relationships/image" Target="media/image14.png"/><Relationship Id="rId14" Type="http://schemas.openxmlformats.org/officeDocument/2006/relationships/image" Target="media/image13.png"/><Relationship Id="rId17" Type="http://schemas.openxmlformats.org/officeDocument/2006/relationships/styles" Target="styles.xml"/><Relationship Id="rId16" Type="http://schemas.openxmlformats.org/officeDocument/2006/relationships/footer" Target="footer1.xml"/><Relationship Id="rId5" Type="http://schemas.openxmlformats.org/officeDocument/2006/relationships/image" Target="media/image4.png"/><Relationship Id="rId19" Type="http://schemas.openxmlformats.org/officeDocument/2006/relationships/settings" Target="settings.xml"/><Relationship Id="rId6" Type="http://schemas.openxmlformats.org/officeDocument/2006/relationships/image" Target="media/image5.png"/><Relationship Id="rId18" Type="http://schemas.openxmlformats.org/officeDocument/2006/relationships/fontTable" Target="fontTable.xml"/><Relationship Id="rId7" Type="http://schemas.openxmlformats.org/officeDocument/2006/relationships/image" Target="media/image6.png"/><Relationship Id="rId8"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824BC3B-865E-4163-8CE1-E96730E500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6565</Words>
  <Pages>35</Pages>
  <Characters>41778</Characters>
  <Application>WPS Office</Application>
  <DocSecurity>0</DocSecurity>
  <Paragraphs>243</Paragraphs>
  <ScaleCrop>false</ScaleCrop>
  <LinksUpToDate>false</LinksUpToDate>
  <CharactersWithSpaces>48169</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2026-07-31T16:44:00Z</dcterms:created>
  <dc:creator>WPS Office</dc:creator>
  <lastModifiedBy>moto g86 power 5G</lastModifiedBy>
  <dcterms:modified xsi:type="dcterms:W3CDTF">2026-08-12T11:56:28Z</dcterms:modified>
  <revision>1</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e53de469-ee73-48c5-ad8d-d3d8ff5267da</vt:lpwstr>
  </property>
  <property fmtid="{D5CDD505-2E9C-101B-9397-08002B2CF9AE}" pid="3" name="ICV">
    <vt:lpwstr>70ac789ae81b42028290dc597c0629ff_23</vt:lpwstr>
  </property>
</Properties>
</file>