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001550240"/>
        <w:docPartObj>
          <w:docPartGallery w:val="Cover Pages"/>
          <w:docPartUnique/>
        </w:docPartObj>
      </w:sdtPr>
      <w:sdtEndPr>
        <w:rPr>
          <w:color w:val="auto"/>
        </w:rPr>
      </w:sdtEndPr>
      <w:sdtContent>
        <w:p w14:paraId="4D2FBD12" w14:textId="1CDF61BF" w:rsidR="002D298A" w:rsidRDefault="002D298A">
          <w:pPr>
            <w:pStyle w:val="NoSpacing"/>
            <w:spacing w:before="1540" w:after="240"/>
            <w:jc w:val="center"/>
            <w:rPr>
              <w:color w:val="4472C4" w:themeColor="accent1"/>
            </w:rPr>
          </w:pPr>
          <w:r>
            <w:rPr>
              <w:color w:val="4472C4" w:themeColor="accent1"/>
            </w:rPr>
            <w:t>BMNS4005: INTRODUCTION TO HEALTH RESEARCH</w:t>
          </w:r>
          <w:r>
            <w:rPr>
              <w:noProof/>
              <w:color w:val="4472C4" w:themeColor="accent1"/>
            </w:rPr>
            <w:drawing>
              <wp:inline distT="0" distB="0" distL="0" distR="0" wp14:anchorId="3BD8C0B5" wp14:editId="0565B4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CA879C4DD714D54BDECD6842C14DFD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B753049" w14:textId="2752C5D0" w:rsidR="002D298A" w:rsidRDefault="002D298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HEALTHY EATING</w:t>
              </w:r>
            </w:p>
          </w:sdtContent>
        </w:sdt>
        <w:sdt>
          <w:sdtPr>
            <w:rPr>
              <w:color w:val="4472C4" w:themeColor="accent1"/>
              <w:sz w:val="28"/>
              <w:szCs w:val="28"/>
            </w:rPr>
            <w:alias w:val="Subtitle"/>
            <w:tag w:val=""/>
            <w:id w:val="328029620"/>
            <w:placeholder>
              <w:docPart w:val="4579CD4E49864359941CE3C81F946FBE"/>
            </w:placeholder>
            <w:dataBinding w:prefixMappings="xmlns:ns0='http://purl.org/dc/elements/1.1/' xmlns:ns1='http://schemas.openxmlformats.org/package/2006/metadata/core-properties' " w:xpath="/ns1:coreProperties[1]/ns0:subject[1]" w:storeItemID="{6C3C8BC8-F283-45AE-878A-BAB7291924A1}"/>
            <w:text/>
          </w:sdtPr>
          <w:sdtEndPr/>
          <w:sdtContent>
            <w:p w14:paraId="19CA24B5" w14:textId="291A199A" w:rsidR="002D298A" w:rsidRDefault="00D04EE9">
              <w:pPr>
                <w:pStyle w:val="NoSpacing"/>
                <w:jc w:val="center"/>
                <w:rPr>
                  <w:color w:val="4472C4" w:themeColor="accent1"/>
                  <w:sz w:val="28"/>
                  <w:szCs w:val="28"/>
                </w:rPr>
              </w:pPr>
              <w:r>
                <w:rPr>
                  <w:color w:val="4472C4" w:themeColor="accent1"/>
                  <w:sz w:val="28"/>
                  <w:szCs w:val="28"/>
                </w:rPr>
                <w:t>DIFFERENT VIEWS &amp; EFFECTS</w:t>
              </w:r>
            </w:p>
          </w:sdtContent>
        </w:sdt>
        <w:p w14:paraId="7AEEF277" w14:textId="77777777" w:rsidR="002D298A" w:rsidRDefault="002D298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29D5D62B" wp14:editId="0B8604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44C4713C" w14:textId="39ECD701" w:rsidR="002D298A" w:rsidRDefault="002D298A">
                                    <w:pPr>
                                      <w:pStyle w:val="NoSpacing"/>
                                      <w:spacing w:after="40"/>
                                      <w:jc w:val="center"/>
                                      <w:rPr>
                                        <w:caps/>
                                        <w:color w:val="4472C4" w:themeColor="accent1"/>
                                        <w:sz w:val="28"/>
                                        <w:szCs w:val="28"/>
                                      </w:rPr>
                                    </w:pPr>
                                    <w:r>
                                      <w:rPr>
                                        <w:caps/>
                                        <w:color w:val="4472C4" w:themeColor="accent1"/>
                                        <w:sz w:val="28"/>
                                        <w:szCs w:val="28"/>
                                      </w:rPr>
                                      <w:t>March 25, 2022</w:t>
                                    </w:r>
                                  </w:p>
                                </w:sdtContent>
                              </w:sdt>
                              <w:p w14:paraId="3F38F738" w14:textId="517AD03A" w:rsidR="002D298A" w:rsidRDefault="00A7234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298A">
                                      <w:rPr>
                                        <w:caps/>
                                        <w:color w:val="4472C4" w:themeColor="accent1"/>
                                      </w:rPr>
                                      <w:t>LECTURER: GARETH MORGAN</w:t>
                                    </w:r>
                                  </w:sdtContent>
                                </w:sdt>
                              </w:p>
                              <w:p w14:paraId="0770F2D1" w14:textId="1784AD3E" w:rsidR="002D298A" w:rsidRPr="00D04EE9" w:rsidRDefault="00A7234C">
                                <w:pPr>
                                  <w:pStyle w:val="NoSpacing"/>
                                  <w:jc w:val="center"/>
                                  <w:rPr>
                                    <w:color w:val="4472C4" w:themeColor="accent1"/>
                                    <w:lang w:val="pl-PL"/>
                                  </w:rPr>
                                </w:pPr>
                                <w:sdt>
                                  <w:sdtPr>
                                    <w:rPr>
                                      <w:color w:val="4472C4" w:themeColor="accent1"/>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D04EE9" w:rsidRPr="00416E4A">
                                      <w:rPr>
                                        <w:color w:val="4472C4" w:themeColor="accent1"/>
                                        <w:lang w:val="en-GB"/>
                                      </w:rPr>
                                      <w:t>STUDENT: ELIJAH GOPTI JEMCHI. No. 2116695. UWTSD, CARMARTHEN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D5D62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44C4713C" w14:textId="39ECD701" w:rsidR="002D298A" w:rsidRDefault="002D298A">
                              <w:pPr>
                                <w:pStyle w:val="NoSpacing"/>
                                <w:spacing w:after="40"/>
                                <w:jc w:val="center"/>
                                <w:rPr>
                                  <w:caps/>
                                  <w:color w:val="4472C4" w:themeColor="accent1"/>
                                  <w:sz w:val="28"/>
                                  <w:szCs w:val="28"/>
                                </w:rPr>
                              </w:pPr>
                              <w:r>
                                <w:rPr>
                                  <w:caps/>
                                  <w:color w:val="4472C4" w:themeColor="accent1"/>
                                  <w:sz w:val="28"/>
                                  <w:szCs w:val="28"/>
                                </w:rPr>
                                <w:t>March 25, 2022</w:t>
                              </w:r>
                            </w:p>
                          </w:sdtContent>
                        </w:sdt>
                        <w:p w14:paraId="3F38F738" w14:textId="517AD03A" w:rsidR="002D298A" w:rsidRDefault="00A7234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298A">
                                <w:rPr>
                                  <w:caps/>
                                  <w:color w:val="4472C4" w:themeColor="accent1"/>
                                </w:rPr>
                                <w:t>LECTURER: GARETH MORGAN</w:t>
                              </w:r>
                            </w:sdtContent>
                          </w:sdt>
                        </w:p>
                        <w:p w14:paraId="0770F2D1" w14:textId="1784AD3E" w:rsidR="002D298A" w:rsidRPr="00D04EE9" w:rsidRDefault="00A7234C">
                          <w:pPr>
                            <w:pStyle w:val="NoSpacing"/>
                            <w:jc w:val="center"/>
                            <w:rPr>
                              <w:color w:val="4472C4" w:themeColor="accent1"/>
                              <w:lang w:val="pl-PL"/>
                            </w:rPr>
                          </w:pPr>
                          <w:sdt>
                            <w:sdtPr>
                              <w:rPr>
                                <w:color w:val="4472C4" w:themeColor="accent1"/>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D04EE9" w:rsidRPr="00416E4A">
                                <w:rPr>
                                  <w:color w:val="4472C4" w:themeColor="accent1"/>
                                  <w:lang w:val="en-GB"/>
                                </w:rPr>
                                <w:t>STUDENT: ELIJAH GOPTI JEMCHI. No. 2116695. UWTSD, CARMARTHEN CAMPUS</w:t>
                              </w:r>
                            </w:sdtContent>
                          </w:sdt>
                        </w:p>
                      </w:txbxContent>
                    </v:textbox>
                    <w10:wrap anchorx="margin" anchory="page"/>
                  </v:shape>
                </w:pict>
              </mc:Fallback>
            </mc:AlternateContent>
          </w:r>
          <w:r>
            <w:rPr>
              <w:noProof/>
              <w:color w:val="4472C4" w:themeColor="accent1"/>
            </w:rPr>
            <w:drawing>
              <wp:inline distT="0" distB="0" distL="0" distR="0" wp14:anchorId="2F5C8E98" wp14:editId="7590F9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F7709D" w14:textId="21650805" w:rsidR="002D298A" w:rsidRDefault="002D298A">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583208865"/>
        <w:docPartObj>
          <w:docPartGallery w:val="Table of Contents"/>
          <w:docPartUnique/>
        </w:docPartObj>
      </w:sdtPr>
      <w:sdtEndPr>
        <w:rPr>
          <w:b/>
          <w:bCs/>
          <w:noProof/>
        </w:rPr>
      </w:sdtEndPr>
      <w:sdtContent>
        <w:p w14:paraId="4B689BBE" w14:textId="0358F2C4" w:rsidR="009F7F74" w:rsidRDefault="009F7F74">
          <w:pPr>
            <w:pStyle w:val="TOCHeading"/>
          </w:pPr>
          <w:r>
            <w:t>Table of Contents</w:t>
          </w:r>
        </w:p>
        <w:p w14:paraId="0665F7BD" w14:textId="76C85534" w:rsidR="002A55CE" w:rsidRPr="004D5438" w:rsidRDefault="000E3170" w:rsidP="000E3170">
          <w:pPr>
            <w:pStyle w:val="Heading1"/>
            <w:rPr>
              <w:color w:val="auto"/>
              <w:lang w:val="en-US" w:eastAsia="en-US"/>
            </w:rPr>
          </w:pPr>
          <w:bookmarkStart w:id="0" w:name="_Toc99111024"/>
          <w:r w:rsidRPr="004D5438">
            <w:rPr>
              <w:color w:val="auto"/>
              <w:lang w:val="en-US" w:eastAsia="en-US"/>
            </w:rPr>
            <w:t>INTRODUCTION.</w:t>
          </w:r>
          <w:bookmarkEnd w:id="0"/>
        </w:p>
        <w:p w14:paraId="52AC32DD" w14:textId="2A12A2B6" w:rsidR="00B945A0" w:rsidRDefault="009F7F74">
          <w:pPr>
            <w:pStyle w:val="TOC1"/>
            <w:tabs>
              <w:tab w:val="right" w:leader="dot" w:pos="9016"/>
            </w:tabs>
            <w:rPr>
              <w:noProof/>
            </w:rPr>
          </w:pPr>
          <w:r>
            <w:fldChar w:fldCharType="begin"/>
          </w:r>
          <w:r>
            <w:instrText xml:space="preserve"> TOC \o "1-3" \h \z \u </w:instrText>
          </w:r>
          <w:r>
            <w:fldChar w:fldCharType="separate"/>
          </w:r>
          <w:hyperlink w:anchor="_Toc99111024" w:history="1">
            <w:r w:rsidR="00B945A0" w:rsidRPr="00A0326E">
              <w:rPr>
                <w:rStyle w:val="Hyperlink"/>
                <w:noProof/>
                <w:lang w:val="en-US" w:eastAsia="en-US"/>
              </w:rPr>
              <w:t>INTRODUCTION.</w:t>
            </w:r>
            <w:r w:rsidR="00B945A0">
              <w:rPr>
                <w:noProof/>
                <w:webHidden/>
              </w:rPr>
              <w:tab/>
            </w:r>
            <w:r w:rsidR="00B945A0">
              <w:rPr>
                <w:noProof/>
                <w:webHidden/>
              </w:rPr>
              <w:fldChar w:fldCharType="begin"/>
            </w:r>
            <w:r w:rsidR="00B945A0">
              <w:rPr>
                <w:noProof/>
                <w:webHidden/>
              </w:rPr>
              <w:instrText xml:space="preserve"> PAGEREF _Toc99111024 \h </w:instrText>
            </w:r>
            <w:r w:rsidR="00B945A0">
              <w:rPr>
                <w:noProof/>
                <w:webHidden/>
              </w:rPr>
            </w:r>
            <w:r w:rsidR="00B945A0">
              <w:rPr>
                <w:noProof/>
                <w:webHidden/>
              </w:rPr>
              <w:fldChar w:fldCharType="separate"/>
            </w:r>
            <w:r w:rsidR="00B945A0">
              <w:rPr>
                <w:noProof/>
                <w:webHidden/>
              </w:rPr>
              <w:t>1</w:t>
            </w:r>
            <w:r w:rsidR="00B945A0">
              <w:rPr>
                <w:noProof/>
                <w:webHidden/>
              </w:rPr>
              <w:fldChar w:fldCharType="end"/>
            </w:r>
          </w:hyperlink>
        </w:p>
        <w:p w14:paraId="33281DA1" w14:textId="6C166890" w:rsidR="00B945A0" w:rsidRDefault="00B945A0">
          <w:pPr>
            <w:pStyle w:val="TOC1"/>
            <w:tabs>
              <w:tab w:val="right" w:leader="dot" w:pos="9016"/>
            </w:tabs>
            <w:rPr>
              <w:noProof/>
            </w:rPr>
          </w:pPr>
          <w:hyperlink w:anchor="_Toc99111025" w:history="1">
            <w:r w:rsidRPr="00A0326E">
              <w:rPr>
                <w:rStyle w:val="Hyperlink"/>
                <w:noProof/>
              </w:rPr>
              <w:t>INTRODUCTION</w:t>
            </w:r>
            <w:r>
              <w:rPr>
                <w:noProof/>
                <w:webHidden/>
              </w:rPr>
              <w:tab/>
            </w:r>
            <w:r>
              <w:rPr>
                <w:noProof/>
                <w:webHidden/>
              </w:rPr>
              <w:fldChar w:fldCharType="begin"/>
            </w:r>
            <w:r>
              <w:rPr>
                <w:noProof/>
                <w:webHidden/>
              </w:rPr>
              <w:instrText xml:space="preserve"> PAGEREF _Toc99111025 \h </w:instrText>
            </w:r>
            <w:r>
              <w:rPr>
                <w:noProof/>
                <w:webHidden/>
              </w:rPr>
            </w:r>
            <w:r>
              <w:rPr>
                <w:noProof/>
                <w:webHidden/>
              </w:rPr>
              <w:fldChar w:fldCharType="separate"/>
            </w:r>
            <w:r>
              <w:rPr>
                <w:noProof/>
                <w:webHidden/>
              </w:rPr>
              <w:t>1</w:t>
            </w:r>
            <w:r>
              <w:rPr>
                <w:noProof/>
                <w:webHidden/>
              </w:rPr>
              <w:fldChar w:fldCharType="end"/>
            </w:r>
          </w:hyperlink>
        </w:p>
        <w:p w14:paraId="25057F0F" w14:textId="0FC514BE" w:rsidR="00B945A0" w:rsidRDefault="00B945A0">
          <w:pPr>
            <w:pStyle w:val="TOC1"/>
            <w:tabs>
              <w:tab w:val="right" w:leader="dot" w:pos="9016"/>
            </w:tabs>
            <w:rPr>
              <w:noProof/>
            </w:rPr>
          </w:pPr>
          <w:hyperlink w:anchor="_Toc99111026" w:history="1">
            <w:r w:rsidRPr="00A0326E">
              <w:rPr>
                <w:rStyle w:val="Hyperlink"/>
                <w:rFonts w:asciiTheme="majorHAnsi" w:eastAsiaTheme="majorEastAsia" w:hAnsiTheme="majorHAnsi" w:cstheme="majorBidi"/>
                <w:noProof/>
              </w:rPr>
              <w:t>The Eatwell plate, England</w:t>
            </w:r>
            <w:r>
              <w:rPr>
                <w:noProof/>
                <w:webHidden/>
              </w:rPr>
              <w:tab/>
            </w:r>
            <w:r>
              <w:rPr>
                <w:noProof/>
                <w:webHidden/>
              </w:rPr>
              <w:fldChar w:fldCharType="begin"/>
            </w:r>
            <w:r>
              <w:rPr>
                <w:noProof/>
                <w:webHidden/>
              </w:rPr>
              <w:instrText xml:space="preserve"> PAGEREF _Toc99111026 \h </w:instrText>
            </w:r>
            <w:r>
              <w:rPr>
                <w:noProof/>
                <w:webHidden/>
              </w:rPr>
            </w:r>
            <w:r>
              <w:rPr>
                <w:noProof/>
                <w:webHidden/>
              </w:rPr>
              <w:fldChar w:fldCharType="separate"/>
            </w:r>
            <w:r>
              <w:rPr>
                <w:noProof/>
                <w:webHidden/>
              </w:rPr>
              <w:t>3</w:t>
            </w:r>
            <w:r>
              <w:rPr>
                <w:noProof/>
                <w:webHidden/>
              </w:rPr>
              <w:fldChar w:fldCharType="end"/>
            </w:r>
          </w:hyperlink>
        </w:p>
        <w:p w14:paraId="5EE8268F" w14:textId="0CEEC392" w:rsidR="00B945A0" w:rsidRDefault="00B945A0">
          <w:pPr>
            <w:pStyle w:val="TOC1"/>
            <w:tabs>
              <w:tab w:val="right" w:leader="dot" w:pos="9016"/>
            </w:tabs>
            <w:rPr>
              <w:noProof/>
            </w:rPr>
          </w:pPr>
          <w:hyperlink w:anchor="_Toc99111027" w:history="1">
            <w:r>
              <w:rPr>
                <w:noProof/>
                <w:webHidden/>
              </w:rPr>
              <w:tab/>
            </w:r>
            <w:r>
              <w:rPr>
                <w:noProof/>
                <w:webHidden/>
              </w:rPr>
              <w:fldChar w:fldCharType="begin"/>
            </w:r>
            <w:r>
              <w:rPr>
                <w:noProof/>
                <w:webHidden/>
              </w:rPr>
              <w:instrText xml:space="preserve"> PAGEREF _Toc99111027 \h </w:instrText>
            </w:r>
            <w:r>
              <w:rPr>
                <w:noProof/>
                <w:webHidden/>
              </w:rPr>
            </w:r>
            <w:r>
              <w:rPr>
                <w:noProof/>
                <w:webHidden/>
              </w:rPr>
              <w:fldChar w:fldCharType="separate"/>
            </w:r>
            <w:r>
              <w:rPr>
                <w:noProof/>
                <w:webHidden/>
              </w:rPr>
              <w:t>3</w:t>
            </w:r>
            <w:r>
              <w:rPr>
                <w:noProof/>
                <w:webHidden/>
              </w:rPr>
              <w:fldChar w:fldCharType="end"/>
            </w:r>
          </w:hyperlink>
        </w:p>
        <w:p w14:paraId="0B1C1A10" w14:textId="4B0DC795" w:rsidR="00B945A0" w:rsidRDefault="00B945A0">
          <w:pPr>
            <w:pStyle w:val="TOC2"/>
            <w:tabs>
              <w:tab w:val="right" w:leader="dot" w:pos="9016"/>
            </w:tabs>
            <w:rPr>
              <w:noProof/>
            </w:rPr>
          </w:pPr>
          <w:hyperlink w:anchor="_Toc99111028" w:history="1">
            <w:r w:rsidRPr="00A0326E">
              <w:rPr>
                <w:rStyle w:val="Hyperlink"/>
                <w:noProof/>
              </w:rPr>
              <w:t>The Eatwell guide, England</w:t>
            </w:r>
            <w:r>
              <w:rPr>
                <w:noProof/>
                <w:webHidden/>
              </w:rPr>
              <w:tab/>
            </w:r>
            <w:r>
              <w:rPr>
                <w:noProof/>
                <w:webHidden/>
              </w:rPr>
              <w:fldChar w:fldCharType="begin"/>
            </w:r>
            <w:r>
              <w:rPr>
                <w:noProof/>
                <w:webHidden/>
              </w:rPr>
              <w:instrText xml:space="preserve"> PAGEREF _Toc99111028 \h </w:instrText>
            </w:r>
            <w:r>
              <w:rPr>
                <w:noProof/>
                <w:webHidden/>
              </w:rPr>
            </w:r>
            <w:r>
              <w:rPr>
                <w:noProof/>
                <w:webHidden/>
              </w:rPr>
              <w:fldChar w:fldCharType="separate"/>
            </w:r>
            <w:r>
              <w:rPr>
                <w:noProof/>
                <w:webHidden/>
              </w:rPr>
              <w:t>3</w:t>
            </w:r>
            <w:r>
              <w:rPr>
                <w:noProof/>
                <w:webHidden/>
              </w:rPr>
              <w:fldChar w:fldCharType="end"/>
            </w:r>
          </w:hyperlink>
        </w:p>
        <w:p w14:paraId="502090AF" w14:textId="69344699" w:rsidR="00B945A0" w:rsidRDefault="00B945A0">
          <w:pPr>
            <w:pStyle w:val="TOC1"/>
            <w:tabs>
              <w:tab w:val="right" w:leader="dot" w:pos="9016"/>
            </w:tabs>
            <w:rPr>
              <w:noProof/>
            </w:rPr>
          </w:pPr>
          <w:hyperlink w:anchor="_Toc99111029" w:history="1">
            <w:r w:rsidRPr="00A0326E">
              <w:rPr>
                <w:rStyle w:val="Hyperlink"/>
                <w:noProof/>
              </w:rPr>
              <w:t>The Eatwell guide, Wales</w:t>
            </w:r>
            <w:r>
              <w:rPr>
                <w:noProof/>
                <w:webHidden/>
              </w:rPr>
              <w:tab/>
            </w:r>
            <w:r>
              <w:rPr>
                <w:noProof/>
                <w:webHidden/>
              </w:rPr>
              <w:fldChar w:fldCharType="begin"/>
            </w:r>
            <w:r>
              <w:rPr>
                <w:noProof/>
                <w:webHidden/>
              </w:rPr>
              <w:instrText xml:space="preserve"> PAGEREF _Toc99111029 \h </w:instrText>
            </w:r>
            <w:r>
              <w:rPr>
                <w:noProof/>
                <w:webHidden/>
              </w:rPr>
            </w:r>
            <w:r>
              <w:rPr>
                <w:noProof/>
                <w:webHidden/>
              </w:rPr>
              <w:fldChar w:fldCharType="separate"/>
            </w:r>
            <w:r>
              <w:rPr>
                <w:noProof/>
                <w:webHidden/>
              </w:rPr>
              <w:t>3</w:t>
            </w:r>
            <w:r>
              <w:rPr>
                <w:noProof/>
                <w:webHidden/>
              </w:rPr>
              <w:fldChar w:fldCharType="end"/>
            </w:r>
          </w:hyperlink>
        </w:p>
        <w:p w14:paraId="0C5B5E3F" w14:textId="6BF9238A" w:rsidR="00B945A0" w:rsidRDefault="00B945A0">
          <w:pPr>
            <w:pStyle w:val="TOC1"/>
            <w:tabs>
              <w:tab w:val="right" w:leader="dot" w:pos="9016"/>
            </w:tabs>
            <w:rPr>
              <w:noProof/>
            </w:rPr>
          </w:pPr>
          <w:hyperlink w:anchor="_Toc99111030" w:history="1">
            <w:r w:rsidRPr="00A0326E">
              <w:rPr>
                <w:rStyle w:val="Hyperlink"/>
                <w:noProof/>
              </w:rPr>
              <w:t>The Eatwell guide, Northern Ireland</w:t>
            </w:r>
            <w:r>
              <w:rPr>
                <w:noProof/>
                <w:webHidden/>
              </w:rPr>
              <w:tab/>
            </w:r>
            <w:r>
              <w:rPr>
                <w:noProof/>
                <w:webHidden/>
              </w:rPr>
              <w:fldChar w:fldCharType="begin"/>
            </w:r>
            <w:r>
              <w:rPr>
                <w:noProof/>
                <w:webHidden/>
              </w:rPr>
              <w:instrText xml:space="preserve"> PAGEREF _Toc99111030 \h </w:instrText>
            </w:r>
            <w:r>
              <w:rPr>
                <w:noProof/>
                <w:webHidden/>
              </w:rPr>
            </w:r>
            <w:r>
              <w:rPr>
                <w:noProof/>
                <w:webHidden/>
              </w:rPr>
              <w:fldChar w:fldCharType="separate"/>
            </w:r>
            <w:r>
              <w:rPr>
                <w:noProof/>
                <w:webHidden/>
              </w:rPr>
              <w:t>4</w:t>
            </w:r>
            <w:r>
              <w:rPr>
                <w:noProof/>
                <w:webHidden/>
              </w:rPr>
              <w:fldChar w:fldCharType="end"/>
            </w:r>
          </w:hyperlink>
        </w:p>
        <w:p w14:paraId="283B541B" w14:textId="069788F2" w:rsidR="00B945A0" w:rsidRDefault="00B945A0">
          <w:pPr>
            <w:pStyle w:val="TOC1"/>
            <w:tabs>
              <w:tab w:val="right" w:leader="dot" w:pos="9016"/>
            </w:tabs>
            <w:rPr>
              <w:noProof/>
            </w:rPr>
          </w:pPr>
          <w:hyperlink w:anchor="_Toc99111031" w:history="1">
            <w:r w:rsidRPr="00A0326E">
              <w:rPr>
                <w:rStyle w:val="Hyperlink"/>
                <w:noProof/>
              </w:rPr>
              <w:t>The MyPlate, USA</w:t>
            </w:r>
            <w:r>
              <w:rPr>
                <w:noProof/>
                <w:webHidden/>
              </w:rPr>
              <w:tab/>
            </w:r>
            <w:r>
              <w:rPr>
                <w:noProof/>
                <w:webHidden/>
              </w:rPr>
              <w:fldChar w:fldCharType="begin"/>
            </w:r>
            <w:r>
              <w:rPr>
                <w:noProof/>
                <w:webHidden/>
              </w:rPr>
              <w:instrText xml:space="preserve"> PAGEREF _Toc99111031 \h </w:instrText>
            </w:r>
            <w:r>
              <w:rPr>
                <w:noProof/>
                <w:webHidden/>
              </w:rPr>
            </w:r>
            <w:r>
              <w:rPr>
                <w:noProof/>
                <w:webHidden/>
              </w:rPr>
              <w:fldChar w:fldCharType="separate"/>
            </w:r>
            <w:r>
              <w:rPr>
                <w:noProof/>
                <w:webHidden/>
              </w:rPr>
              <w:t>4</w:t>
            </w:r>
            <w:r>
              <w:rPr>
                <w:noProof/>
                <w:webHidden/>
              </w:rPr>
              <w:fldChar w:fldCharType="end"/>
            </w:r>
          </w:hyperlink>
        </w:p>
        <w:p w14:paraId="071652A6" w14:textId="7A75B0C9" w:rsidR="00B945A0" w:rsidRDefault="00B945A0">
          <w:pPr>
            <w:pStyle w:val="TOC1"/>
            <w:tabs>
              <w:tab w:val="right" w:leader="dot" w:pos="9016"/>
            </w:tabs>
            <w:rPr>
              <w:noProof/>
            </w:rPr>
          </w:pPr>
          <w:hyperlink w:anchor="_Toc99111032" w:history="1">
            <w:r w:rsidRPr="00A0326E">
              <w:rPr>
                <w:rStyle w:val="Hyperlink"/>
                <w:noProof/>
              </w:rPr>
              <w:t>The Eat well Plate (EWP), Canada</w:t>
            </w:r>
            <w:r>
              <w:rPr>
                <w:noProof/>
                <w:webHidden/>
              </w:rPr>
              <w:tab/>
            </w:r>
            <w:r>
              <w:rPr>
                <w:noProof/>
                <w:webHidden/>
              </w:rPr>
              <w:fldChar w:fldCharType="begin"/>
            </w:r>
            <w:r>
              <w:rPr>
                <w:noProof/>
                <w:webHidden/>
              </w:rPr>
              <w:instrText xml:space="preserve"> PAGEREF _Toc99111032 \h </w:instrText>
            </w:r>
            <w:r>
              <w:rPr>
                <w:noProof/>
                <w:webHidden/>
              </w:rPr>
            </w:r>
            <w:r>
              <w:rPr>
                <w:noProof/>
                <w:webHidden/>
              </w:rPr>
              <w:fldChar w:fldCharType="separate"/>
            </w:r>
            <w:r>
              <w:rPr>
                <w:noProof/>
                <w:webHidden/>
              </w:rPr>
              <w:t>5</w:t>
            </w:r>
            <w:r>
              <w:rPr>
                <w:noProof/>
                <w:webHidden/>
              </w:rPr>
              <w:fldChar w:fldCharType="end"/>
            </w:r>
          </w:hyperlink>
        </w:p>
        <w:p w14:paraId="7E6D5EAD" w14:textId="6C8A4509" w:rsidR="00B945A0" w:rsidRDefault="00B945A0">
          <w:pPr>
            <w:pStyle w:val="TOC1"/>
            <w:tabs>
              <w:tab w:val="right" w:leader="dot" w:pos="9016"/>
            </w:tabs>
            <w:rPr>
              <w:noProof/>
            </w:rPr>
          </w:pPr>
          <w:hyperlink w:anchor="_Toc99111033" w:history="1">
            <w:r w:rsidRPr="00A0326E">
              <w:rPr>
                <w:rStyle w:val="Hyperlink"/>
                <w:noProof/>
              </w:rPr>
              <w:t>Giurgevich et al., (2016) looks at the issue of What is on your plate?, Introducing the Canadian Eatwell Plate 1.</w:t>
            </w:r>
            <w:r>
              <w:rPr>
                <w:noProof/>
                <w:webHidden/>
              </w:rPr>
              <w:tab/>
            </w:r>
            <w:r>
              <w:rPr>
                <w:noProof/>
                <w:webHidden/>
              </w:rPr>
              <w:fldChar w:fldCharType="begin"/>
            </w:r>
            <w:r>
              <w:rPr>
                <w:noProof/>
                <w:webHidden/>
              </w:rPr>
              <w:instrText xml:space="preserve"> PAGEREF _Toc99111033 \h </w:instrText>
            </w:r>
            <w:r>
              <w:rPr>
                <w:noProof/>
                <w:webHidden/>
              </w:rPr>
            </w:r>
            <w:r>
              <w:rPr>
                <w:noProof/>
                <w:webHidden/>
              </w:rPr>
              <w:fldChar w:fldCharType="separate"/>
            </w:r>
            <w:r>
              <w:rPr>
                <w:noProof/>
                <w:webHidden/>
              </w:rPr>
              <w:t>5</w:t>
            </w:r>
            <w:r>
              <w:rPr>
                <w:noProof/>
                <w:webHidden/>
              </w:rPr>
              <w:fldChar w:fldCharType="end"/>
            </w:r>
          </w:hyperlink>
        </w:p>
        <w:p w14:paraId="44D611C7" w14:textId="3D761E06" w:rsidR="00B945A0" w:rsidRDefault="00B945A0">
          <w:pPr>
            <w:pStyle w:val="TOC1"/>
            <w:tabs>
              <w:tab w:val="right" w:leader="dot" w:pos="9016"/>
            </w:tabs>
            <w:rPr>
              <w:noProof/>
            </w:rPr>
          </w:pPr>
          <w:hyperlink w:anchor="_Toc99111034" w:history="1">
            <w:r w:rsidRPr="00A0326E">
              <w:rPr>
                <w:rStyle w:val="Hyperlink"/>
                <w:noProof/>
              </w:rPr>
              <w:t>The Eating and Activity guidelines (EAG), New Zealand</w:t>
            </w:r>
            <w:r>
              <w:rPr>
                <w:noProof/>
                <w:webHidden/>
              </w:rPr>
              <w:tab/>
            </w:r>
            <w:r>
              <w:rPr>
                <w:noProof/>
                <w:webHidden/>
              </w:rPr>
              <w:fldChar w:fldCharType="begin"/>
            </w:r>
            <w:r>
              <w:rPr>
                <w:noProof/>
                <w:webHidden/>
              </w:rPr>
              <w:instrText xml:space="preserve"> PAGEREF _Toc99111034 \h </w:instrText>
            </w:r>
            <w:r>
              <w:rPr>
                <w:noProof/>
                <w:webHidden/>
              </w:rPr>
            </w:r>
            <w:r>
              <w:rPr>
                <w:noProof/>
                <w:webHidden/>
              </w:rPr>
              <w:fldChar w:fldCharType="separate"/>
            </w:r>
            <w:r>
              <w:rPr>
                <w:noProof/>
                <w:webHidden/>
              </w:rPr>
              <w:t>5</w:t>
            </w:r>
            <w:r>
              <w:rPr>
                <w:noProof/>
                <w:webHidden/>
              </w:rPr>
              <w:fldChar w:fldCharType="end"/>
            </w:r>
          </w:hyperlink>
        </w:p>
        <w:p w14:paraId="6374CDBE" w14:textId="263D28B7" w:rsidR="00B945A0" w:rsidRDefault="00B945A0">
          <w:pPr>
            <w:pStyle w:val="TOC1"/>
            <w:tabs>
              <w:tab w:val="right" w:leader="dot" w:pos="9016"/>
            </w:tabs>
            <w:rPr>
              <w:noProof/>
            </w:rPr>
          </w:pPr>
          <w:hyperlink w:anchor="_Toc99111035" w:history="1">
            <w:r w:rsidRPr="00A0326E">
              <w:rPr>
                <w:rStyle w:val="Hyperlink"/>
                <w:noProof/>
              </w:rPr>
              <w:t>The Health and Sustainable Diets for European countries, published by The European Public Health Authority (EUPHA)</w:t>
            </w:r>
            <w:r>
              <w:rPr>
                <w:noProof/>
                <w:webHidden/>
              </w:rPr>
              <w:tab/>
            </w:r>
            <w:r>
              <w:rPr>
                <w:noProof/>
                <w:webHidden/>
              </w:rPr>
              <w:fldChar w:fldCharType="begin"/>
            </w:r>
            <w:r>
              <w:rPr>
                <w:noProof/>
                <w:webHidden/>
              </w:rPr>
              <w:instrText xml:space="preserve"> PAGEREF _Toc99111035 \h </w:instrText>
            </w:r>
            <w:r>
              <w:rPr>
                <w:noProof/>
                <w:webHidden/>
              </w:rPr>
            </w:r>
            <w:r>
              <w:rPr>
                <w:noProof/>
                <w:webHidden/>
              </w:rPr>
              <w:fldChar w:fldCharType="separate"/>
            </w:r>
            <w:r>
              <w:rPr>
                <w:noProof/>
                <w:webHidden/>
              </w:rPr>
              <w:t>6</w:t>
            </w:r>
            <w:r>
              <w:rPr>
                <w:noProof/>
                <w:webHidden/>
              </w:rPr>
              <w:fldChar w:fldCharType="end"/>
            </w:r>
          </w:hyperlink>
        </w:p>
        <w:p w14:paraId="1305D2AF" w14:textId="44071B6D" w:rsidR="00B945A0" w:rsidRDefault="00B945A0">
          <w:pPr>
            <w:pStyle w:val="TOC1"/>
            <w:tabs>
              <w:tab w:val="right" w:leader="dot" w:pos="9016"/>
            </w:tabs>
            <w:rPr>
              <w:noProof/>
            </w:rPr>
          </w:pPr>
          <w:hyperlink w:anchor="_Toc99111036" w:history="1">
            <w:r w:rsidRPr="00A0326E">
              <w:rPr>
                <w:rStyle w:val="Hyperlink"/>
                <w:noProof/>
              </w:rPr>
              <w:t>The Eatwell guide, Effects on climate change and Carbon footprint</w:t>
            </w:r>
            <w:r>
              <w:rPr>
                <w:noProof/>
                <w:webHidden/>
              </w:rPr>
              <w:tab/>
            </w:r>
            <w:r>
              <w:rPr>
                <w:noProof/>
                <w:webHidden/>
              </w:rPr>
              <w:fldChar w:fldCharType="begin"/>
            </w:r>
            <w:r>
              <w:rPr>
                <w:noProof/>
                <w:webHidden/>
              </w:rPr>
              <w:instrText xml:space="preserve"> PAGEREF _Toc99111036 \h </w:instrText>
            </w:r>
            <w:r>
              <w:rPr>
                <w:noProof/>
                <w:webHidden/>
              </w:rPr>
            </w:r>
            <w:r>
              <w:rPr>
                <w:noProof/>
                <w:webHidden/>
              </w:rPr>
              <w:fldChar w:fldCharType="separate"/>
            </w:r>
            <w:r>
              <w:rPr>
                <w:noProof/>
                <w:webHidden/>
              </w:rPr>
              <w:t>6</w:t>
            </w:r>
            <w:r>
              <w:rPr>
                <w:noProof/>
                <w:webHidden/>
              </w:rPr>
              <w:fldChar w:fldCharType="end"/>
            </w:r>
          </w:hyperlink>
        </w:p>
        <w:p w14:paraId="61704330" w14:textId="45789A41" w:rsidR="00B945A0" w:rsidRDefault="00B945A0">
          <w:pPr>
            <w:pStyle w:val="TOC1"/>
            <w:tabs>
              <w:tab w:val="right" w:leader="dot" w:pos="9016"/>
            </w:tabs>
            <w:rPr>
              <w:noProof/>
            </w:rPr>
          </w:pPr>
          <w:hyperlink w:anchor="_Toc99111037" w:history="1">
            <w:r w:rsidRPr="00A0326E">
              <w:rPr>
                <w:rStyle w:val="Hyperlink"/>
                <w:noProof/>
              </w:rPr>
              <w:t>The Eatwell guide, Effects on International Trade</w:t>
            </w:r>
            <w:r>
              <w:rPr>
                <w:noProof/>
                <w:webHidden/>
              </w:rPr>
              <w:tab/>
            </w:r>
            <w:r>
              <w:rPr>
                <w:noProof/>
                <w:webHidden/>
              </w:rPr>
              <w:fldChar w:fldCharType="begin"/>
            </w:r>
            <w:r>
              <w:rPr>
                <w:noProof/>
                <w:webHidden/>
              </w:rPr>
              <w:instrText xml:space="preserve"> PAGEREF _Toc99111037 \h </w:instrText>
            </w:r>
            <w:r>
              <w:rPr>
                <w:noProof/>
                <w:webHidden/>
              </w:rPr>
            </w:r>
            <w:r>
              <w:rPr>
                <w:noProof/>
                <w:webHidden/>
              </w:rPr>
              <w:fldChar w:fldCharType="separate"/>
            </w:r>
            <w:r>
              <w:rPr>
                <w:noProof/>
                <w:webHidden/>
              </w:rPr>
              <w:t>7</w:t>
            </w:r>
            <w:r>
              <w:rPr>
                <w:noProof/>
                <w:webHidden/>
              </w:rPr>
              <w:fldChar w:fldCharType="end"/>
            </w:r>
          </w:hyperlink>
        </w:p>
        <w:p w14:paraId="2ACE6A72" w14:textId="0FC7A3D3" w:rsidR="00B945A0" w:rsidRDefault="00B945A0">
          <w:pPr>
            <w:pStyle w:val="TOC1"/>
            <w:tabs>
              <w:tab w:val="right" w:leader="dot" w:pos="9016"/>
            </w:tabs>
            <w:rPr>
              <w:noProof/>
            </w:rPr>
          </w:pPr>
          <w:hyperlink w:anchor="_Toc99111038" w:history="1">
            <w:r w:rsidRPr="00A0326E">
              <w:rPr>
                <w:rStyle w:val="Hyperlink"/>
                <w:noProof/>
              </w:rPr>
              <w:t>The Eatwell guide, Recommendations and Conclusions</w:t>
            </w:r>
            <w:r>
              <w:rPr>
                <w:noProof/>
                <w:webHidden/>
              </w:rPr>
              <w:tab/>
            </w:r>
            <w:r>
              <w:rPr>
                <w:noProof/>
                <w:webHidden/>
              </w:rPr>
              <w:fldChar w:fldCharType="begin"/>
            </w:r>
            <w:r>
              <w:rPr>
                <w:noProof/>
                <w:webHidden/>
              </w:rPr>
              <w:instrText xml:space="preserve"> PAGEREF _Toc99111038 \h </w:instrText>
            </w:r>
            <w:r>
              <w:rPr>
                <w:noProof/>
                <w:webHidden/>
              </w:rPr>
            </w:r>
            <w:r>
              <w:rPr>
                <w:noProof/>
                <w:webHidden/>
              </w:rPr>
              <w:fldChar w:fldCharType="separate"/>
            </w:r>
            <w:r>
              <w:rPr>
                <w:noProof/>
                <w:webHidden/>
              </w:rPr>
              <w:t>7</w:t>
            </w:r>
            <w:r>
              <w:rPr>
                <w:noProof/>
                <w:webHidden/>
              </w:rPr>
              <w:fldChar w:fldCharType="end"/>
            </w:r>
          </w:hyperlink>
        </w:p>
        <w:p w14:paraId="072BB44C" w14:textId="4BD6615E" w:rsidR="009F7F74" w:rsidRDefault="009F7F74">
          <w:r>
            <w:rPr>
              <w:b/>
              <w:bCs/>
              <w:noProof/>
            </w:rPr>
            <w:fldChar w:fldCharType="end"/>
          </w:r>
        </w:p>
      </w:sdtContent>
    </w:sdt>
    <w:p w14:paraId="32612B79" w14:textId="4D04752C" w:rsidR="000E7907" w:rsidRPr="004D5438" w:rsidRDefault="001E0F5A" w:rsidP="00B1270C">
      <w:pPr>
        <w:pStyle w:val="Heading1"/>
        <w:rPr>
          <w:color w:val="auto"/>
        </w:rPr>
      </w:pPr>
      <w:bookmarkStart w:id="1" w:name="_Toc99111025"/>
      <w:r w:rsidRPr="004D5438">
        <w:rPr>
          <w:color w:val="auto"/>
        </w:rPr>
        <w:t>INTRODUCTION</w:t>
      </w:r>
      <w:bookmarkEnd w:id="1"/>
    </w:p>
    <w:p w14:paraId="20CA1481" w14:textId="77777777" w:rsidR="00D26DEE" w:rsidRPr="00062DA4" w:rsidRDefault="00D26DEE" w:rsidP="00D26DEE">
      <w:pPr>
        <w:rPr>
          <w:sz w:val="24"/>
          <w:szCs w:val="24"/>
        </w:rPr>
      </w:pPr>
      <w:r w:rsidRPr="00062DA4">
        <w:rPr>
          <w:sz w:val="24"/>
          <w:szCs w:val="24"/>
        </w:rPr>
        <w:t>Healthy eating is a topic that everyone has an opinion. At the end of the day, this is where the most benefit can be obtained, by influencing  habits, that can affect the quality of life of everyone. There is a rich research base of material that has been produced every year, for this same reason. Maximum impact from minimum input of changes in habits.</w:t>
      </w:r>
    </w:p>
    <w:p w14:paraId="0381631F" w14:textId="77777777" w:rsidR="00D26DEE" w:rsidRPr="00062DA4" w:rsidRDefault="00D26DEE" w:rsidP="00D26DEE">
      <w:pPr>
        <w:rPr>
          <w:sz w:val="24"/>
          <w:szCs w:val="24"/>
        </w:rPr>
      </w:pPr>
      <w:proofErr w:type="spellStart"/>
      <w:r w:rsidRPr="00062DA4">
        <w:rPr>
          <w:sz w:val="24"/>
          <w:szCs w:val="24"/>
        </w:rPr>
        <w:t>Buttriss</w:t>
      </w:r>
      <w:proofErr w:type="spellEnd"/>
      <w:r w:rsidRPr="00062DA4">
        <w:rPr>
          <w:sz w:val="24"/>
          <w:szCs w:val="24"/>
        </w:rPr>
        <w:t>, J. L. (2016) reviews the development of dietary requirements in the UK. As follows:</w:t>
      </w:r>
    </w:p>
    <w:p w14:paraId="15C44FF7" w14:textId="77777777" w:rsidR="00D26DEE" w:rsidRPr="00062DA4" w:rsidRDefault="00D26DEE" w:rsidP="00D26DEE">
      <w:pPr>
        <w:rPr>
          <w:sz w:val="24"/>
          <w:szCs w:val="24"/>
        </w:rPr>
      </w:pPr>
      <w:r w:rsidRPr="00062DA4">
        <w:rPr>
          <w:sz w:val="24"/>
          <w:szCs w:val="24"/>
        </w:rPr>
        <w:t>There are five classes of foods, all contributing to the physical well-being of the individual.</w:t>
      </w:r>
    </w:p>
    <w:p w14:paraId="273C76F2" w14:textId="77777777" w:rsidR="00D26DEE" w:rsidRPr="00062DA4" w:rsidRDefault="00D26DEE" w:rsidP="00D26DEE">
      <w:pPr>
        <w:rPr>
          <w:sz w:val="24"/>
          <w:szCs w:val="24"/>
        </w:rPr>
      </w:pPr>
      <w:r w:rsidRPr="00062DA4">
        <w:rPr>
          <w:sz w:val="24"/>
          <w:szCs w:val="24"/>
        </w:rPr>
        <w:t>These are: Proteins, Carbohydrates, Fats and Oils, Fruits and Vegetables, Dairy products and alternatives.</w:t>
      </w:r>
    </w:p>
    <w:p w14:paraId="55ABEEF0" w14:textId="77777777" w:rsidR="00D26DEE" w:rsidRPr="00062DA4" w:rsidRDefault="00D26DEE" w:rsidP="00D26DEE">
      <w:pPr>
        <w:rPr>
          <w:sz w:val="24"/>
          <w:szCs w:val="24"/>
        </w:rPr>
      </w:pPr>
      <w:r w:rsidRPr="00062DA4">
        <w:rPr>
          <w:sz w:val="24"/>
          <w:szCs w:val="24"/>
        </w:rPr>
        <w:t>The obvious question is, how has our diets evolved, with so much knowledge available, yet with food habits that are so different, having little regard for a balance in food intake?</w:t>
      </w:r>
    </w:p>
    <w:p w14:paraId="3FFA62E6" w14:textId="77777777" w:rsidR="00D26DEE" w:rsidRPr="00062DA4" w:rsidRDefault="00D26DEE" w:rsidP="00D26DEE">
      <w:pPr>
        <w:rPr>
          <w:sz w:val="24"/>
          <w:szCs w:val="24"/>
        </w:rPr>
      </w:pPr>
      <w:r w:rsidRPr="00062DA4">
        <w:rPr>
          <w:sz w:val="24"/>
          <w:szCs w:val="24"/>
        </w:rPr>
        <w:t xml:space="preserve">Now that majority of the general population no longer do physically active jobs, how does these affect the balanced food intake? These are </w:t>
      </w:r>
      <w:proofErr w:type="spellStart"/>
      <w:r w:rsidRPr="00062DA4">
        <w:rPr>
          <w:sz w:val="24"/>
          <w:szCs w:val="24"/>
        </w:rPr>
        <w:t>self reflecting</w:t>
      </w:r>
      <w:proofErr w:type="spellEnd"/>
      <w:r w:rsidRPr="00062DA4">
        <w:rPr>
          <w:sz w:val="24"/>
          <w:szCs w:val="24"/>
        </w:rPr>
        <w:t xml:space="preserve"> questions. If not of this course, I would never consult any expert or read any material on foods, before I eat. We all do same. We can be eating wrong for decades but only pay attention when our health </w:t>
      </w:r>
      <w:r w:rsidRPr="00062DA4">
        <w:rPr>
          <w:sz w:val="24"/>
          <w:szCs w:val="24"/>
        </w:rPr>
        <w:lastRenderedPageBreak/>
        <w:t>deteriorates and the healthcare providers identify the primary cause as eating habits. Even then, after medical attention, and we get better, we soon revert to old cultural habits. We tend to eat what is easily available. Healthier populations happen because what is easily available, turns out to be healthy, not because the population consciously decide to eat healthy.</w:t>
      </w:r>
    </w:p>
    <w:p w14:paraId="03B0F91C" w14:textId="77777777" w:rsidR="00D26DEE" w:rsidRPr="00062DA4" w:rsidRDefault="00D26DEE" w:rsidP="00D26DEE">
      <w:pPr>
        <w:rPr>
          <w:sz w:val="24"/>
          <w:szCs w:val="24"/>
        </w:rPr>
      </w:pPr>
      <w:r w:rsidRPr="00062DA4">
        <w:rPr>
          <w:sz w:val="24"/>
          <w:szCs w:val="24"/>
        </w:rPr>
        <w:t>I am filled with both dread and anticipation, with the vast amount of knowledge available, that humans will soon find solutions to living extremely long lives, like 966 years or about compared to a good old age of 100 years old at the moment. Beyond the scope of this current topic.</w:t>
      </w:r>
    </w:p>
    <w:p w14:paraId="37515BB3" w14:textId="77777777" w:rsidR="00D26DEE" w:rsidRPr="00062DA4" w:rsidRDefault="00D26DEE" w:rsidP="00D26DEE">
      <w:pPr>
        <w:rPr>
          <w:sz w:val="24"/>
          <w:szCs w:val="24"/>
        </w:rPr>
      </w:pPr>
      <w:r w:rsidRPr="00062DA4">
        <w:rPr>
          <w:sz w:val="24"/>
          <w:szCs w:val="24"/>
        </w:rPr>
        <w:t>Nursing, being my chosen profession, I approached this topic, looking for quick take home messages, from the point of view of “An Eatwell plate”. A plate of food that contains all the basic nutrients the body needs and in what proportions.</w:t>
      </w:r>
    </w:p>
    <w:p w14:paraId="4737A22A" w14:textId="77777777" w:rsidR="00D26DEE" w:rsidRPr="00062DA4" w:rsidRDefault="00D26DEE" w:rsidP="00D26DEE">
      <w:pPr>
        <w:rPr>
          <w:sz w:val="24"/>
          <w:szCs w:val="24"/>
        </w:rPr>
      </w:pPr>
      <w:r w:rsidRPr="00062DA4">
        <w:rPr>
          <w:sz w:val="24"/>
          <w:szCs w:val="24"/>
        </w:rPr>
        <w:t>I was quickly surprised on what is actually absent from these foods. Alcohol and cigarettes. Huge industries, that do not contribute anything to the body. Indeed, research shows that they actually destroy the body.</w:t>
      </w:r>
    </w:p>
    <w:p w14:paraId="3C5511AE" w14:textId="5E964670" w:rsidR="00D26DEE" w:rsidRPr="00062DA4" w:rsidRDefault="00D26DEE" w:rsidP="00D26DEE">
      <w:pPr>
        <w:rPr>
          <w:sz w:val="24"/>
          <w:szCs w:val="24"/>
        </w:rPr>
      </w:pPr>
      <w:proofErr w:type="spellStart"/>
      <w:r w:rsidRPr="00062DA4">
        <w:rPr>
          <w:sz w:val="24"/>
          <w:szCs w:val="24"/>
        </w:rPr>
        <w:t>Buttriss</w:t>
      </w:r>
      <w:proofErr w:type="spellEnd"/>
      <w:r w:rsidRPr="00062DA4">
        <w:rPr>
          <w:sz w:val="24"/>
          <w:szCs w:val="24"/>
        </w:rPr>
        <w:t xml:space="preserve">, J. L. (2016) profess that there was first “an </w:t>
      </w:r>
      <w:proofErr w:type="spellStart"/>
      <w:r w:rsidRPr="00062DA4">
        <w:rPr>
          <w:sz w:val="24"/>
          <w:szCs w:val="24"/>
        </w:rPr>
        <w:t>EatWell</w:t>
      </w:r>
      <w:proofErr w:type="spellEnd"/>
      <w:r w:rsidRPr="00062DA4">
        <w:rPr>
          <w:sz w:val="24"/>
          <w:szCs w:val="24"/>
        </w:rPr>
        <w:t xml:space="preserve"> Plate”, comprising of a picture of a circular plate, with pictures of example foods  a pie diagram, that also depicted the </w:t>
      </w:r>
      <w:proofErr w:type="spellStart"/>
      <w:r w:rsidRPr="00062DA4">
        <w:rPr>
          <w:sz w:val="24"/>
          <w:szCs w:val="24"/>
        </w:rPr>
        <w:t>quanties</w:t>
      </w:r>
      <w:proofErr w:type="spellEnd"/>
      <w:r w:rsidRPr="00062DA4">
        <w:rPr>
          <w:sz w:val="24"/>
          <w:szCs w:val="24"/>
        </w:rPr>
        <w:t xml:space="preserve"> recommended for each food category. That denoted proportions as follows: 33% Carbohydrates, 33% Fruits and vegetables, 15% </w:t>
      </w:r>
      <w:r w:rsidR="00857A22" w:rsidRPr="00062DA4">
        <w:rPr>
          <w:sz w:val="24"/>
          <w:szCs w:val="24"/>
        </w:rPr>
        <w:t>dairy</w:t>
      </w:r>
      <w:r w:rsidRPr="00062DA4">
        <w:rPr>
          <w:sz w:val="24"/>
          <w:szCs w:val="24"/>
        </w:rPr>
        <w:t xml:space="preserve"> products, 12% proteins, 8% oils.</w:t>
      </w:r>
    </w:p>
    <w:p w14:paraId="269413AF" w14:textId="77777777" w:rsidR="00D26DEE" w:rsidRPr="00062DA4" w:rsidRDefault="00D26DEE" w:rsidP="00D26DEE">
      <w:pPr>
        <w:rPr>
          <w:sz w:val="24"/>
          <w:szCs w:val="24"/>
        </w:rPr>
      </w:pPr>
      <w:r w:rsidRPr="00062DA4">
        <w:rPr>
          <w:sz w:val="24"/>
          <w:szCs w:val="24"/>
        </w:rPr>
        <w:t>Further research showed that those quantities were based on the raw nutrient content, not considering the changes caused by cooking.</w:t>
      </w:r>
    </w:p>
    <w:p w14:paraId="19C3E164" w14:textId="77777777" w:rsidR="00D26DEE" w:rsidRPr="00062DA4" w:rsidRDefault="00D26DEE" w:rsidP="00D26DEE">
      <w:pPr>
        <w:rPr>
          <w:sz w:val="24"/>
          <w:szCs w:val="24"/>
        </w:rPr>
      </w:pPr>
      <w:r w:rsidRPr="00062DA4">
        <w:rPr>
          <w:sz w:val="24"/>
          <w:szCs w:val="24"/>
        </w:rPr>
        <w:t xml:space="preserve">So the “Eatwell Plate” was changed to “The </w:t>
      </w:r>
      <w:proofErr w:type="spellStart"/>
      <w:r w:rsidRPr="00062DA4">
        <w:rPr>
          <w:sz w:val="24"/>
          <w:szCs w:val="24"/>
        </w:rPr>
        <w:t>EatWell</w:t>
      </w:r>
      <w:proofErr w:type="spellEnd"/>
      <w:r w:rsidRPr="00062DA4">
        <w:rPr>
          <w:sz w:val="24"/>
          <w:szCs w:val="24"/>
        </w:rPr>
        <w:t xml:space="preserve"> guide”, with the following recommendations;</w:t>
      </w:r>
    </w:p>
    <w:p w14:paraId="0AAA7161" w14:textId="4B06CC55" w:rsidR="00D26DEE" w:rsidRPr="00062DA4" w:rsidRDefault="00D26DEE" w:rsidP="00D26DEE">
      <w:pPr>
        <w:rPr>
          <w:sz w:val="24"/>
          <w:szCs w:val="24"/>
        </w:rPr>
      </w:pPr>
      <w:r w:rsidRPr="00062DA4">
        <w:rPr>
          <w:sz w:val="24"/>
          <w:szCs w:val="24"/>
        </w:rPr>
        <w:t xml:space="preserve">40% carbohydrates, 38% fruits and vegetables, 8% </w:t>
      </w:r>
      <w:r w:rsidR="00857A22" w:rsidRPr="00062DA4">
        <w:rPr>
          <w:sz w:val="24"/>
          <w:szCs w:val="24"/>
        </w:rPr>
        <w:t>dairy</w:t>
      </w:r>
      <w:r w:rsidRPr="00062DA4">
        <w:rPr>
          <w:sz w:val="24"/>
          <w:szCs w:val="24"/>
        </w:rPr>
        <w:t xml:space="preserve"> products, 12% proteins, 1% oils.</w:t>
      </w:r>
    </w:p>
    <w:p w14:paraId="47CC449E" w14:textId="77777777" w:rsidR="00D26DEE" w:rsidRPr="00062DA4" w:rsidRDefault="00D26DEE" w:rsidP="00D26DEE">
      <w:pPr>
        <w:rPr>
          <w:sz w:val="24"/>
          <w:szCs w:val="24"/>
        </w:rPr>
      </w:pPr>
      <w:proofErr w:type="spellStart"/>
      <w:r w:rsidRPr="00062DA4">
        <w:rPr>
          <w:sz w:val="24"/>
          <w:szCs w:val="24"/>
        </w:rPr>
        <w:t>Buttriss</w:t>
      </w:r>
      <w:proofErr w:type="spellEnd"/>
      <w:r w:rsidRPr="00062DA4">
        <w:rPr>
          <w:sz w:val="24"/>
          <w:szCs w:val="24"/>
        </w:rPr>
        <w:t xml:space="preserve">, J. L. (2016), had further developed the literature earlier developed by Willette and </w:t>
      </w:r>
      <w:proofErr w:type="spellStart"/>
      <w:r w:rsidRPr="00062DA4">
        <w:rPr>
          <w:sz w:val="24"/>
          <w:szCs w:val="24"/>
        </w:rPr>
        <w:t>Stampfer</w:t>
      </w:r>
      <w:proofErr w:type="spellEnd"/>
      <w:r w:rsidRPr="00062DA4">
        <w:rPr>
          <w:sz w:val="24"/>
          <w:szCs w:val="24"/>
        </w:rPr>
        <w:t xml:space="preserve"> (2013).</w:t>
      </w:r>
    </w:p>
    <w:p w14:paraId="02714BF3" w14:textId="77777777" w:rsidR="00D26DEE" w:rsidRPr="00062DA4" w:rsidRDefault="00D26DEE" w:rsidP="00D26DEE">
      <w:pPr>
        <w:rPr>
          <w:sz w:val="24"/>
          <w:szCs w:val="24"/>
        </w:rPr>
      </w:pPr>
      <w:r w:rsidRPr="00062DA4">
        <w:rPr>
          <w:sz w:val="24"/>
          <w:szCs w:val="24"/>
        </w:rPr>
        <w:t>McKeown and Nelson,( 2018) assert that despite governments intervention, dietary related illness such as obesity and type 2 diabetes have seen an unacceptable increase over the last thirty years.</w:t>
      </w:r>
    </w:p>
    <w:p w14:paraId="4F7B67FE" w14:textId="77777777" w:rsidR="00D26DEE" w:rsidRPr="00062DA4" w:rsidRDefault="00D26DEE" w:rsidP="00D26DEE">
      <w:pPr>
        <w:rPr>
          <w:sz w:val="24"/>
          <w:szCs w:val="24"/>
        </w:rPr>
      </w:pPr>
      <w:r w:rsidRPr="00062DA4">
        <w:rPr>
          <w:sz w:val="24"/>
          <w:szCs w:val="24"/>
        </w:rPr>
        <w:t>Obesity is estimated to have trebled in last 30 years, according to The NHS (2016).</w:t>
      </w:r>
    </w:p>
    <w:p w14:paraId="4C515663" w14:textId="77777777" w:rsidR="00D26DEE" w:rsidRPr="00062DA4" w:rsidRDefault="00D26DEE" w:rsidP="00D26DEE">
      <w:pPr>
        <w:rPr>
          <w:sz w:val="24"/>
          <w:szCs w:val="24"/>
        </w:rPr>
      </w:pPr>
      <w:r w:rsidRPr="00062DA4">
        <w:rPr>
          <w:sz w:val="24"/>
          <w:szCs w:val="24"/>
        </w:rPr>
        <w:t xml:space="preserve">The same authors affirm that for adolescents (12 to 18 years) healthy eating and the consumption of high nutritional quality diet is important for cognitive growth and </w:t>
      </w:r>
      <w:proofErr w:type="spellStart"/>
      <w:r w:rsidRPr="00062DA4">
        <w:rPr>
          <w:sz w:val="24"/>
          <w:szCs w:val="24"/>
        </w:rPr>
        <w:t>well being</w:t>
      </w:r>
      <w:proofErr w:type="spellEnd"/>
      <w:r w:rsidRPr="00062DA4">
        <w:rPr>
          <w:sz w:val="24"/>
          <w:szCs w:val="24"/>
        </w:rPr>
        <w:t>.</w:t>
      </w:r>
    </w:p>
    <w:p w14:paraId="3F10082E" w14:textId="77777777" w:rsidR="001E0F5A" w:rsidRPr="001E0F5A" w:rsidRDefault="001E0F5A" w:rsidP="001E0F5A"/>
    <w:p w14:paraId="4FD446E0" w14:textId="77777777" w:rsidR="00D86BE1" w:rsidRPr="004D5438" w:rsidRDefault="00D86BE1" w:rsidP="00D86BE1">
      <w:pPr>
        <w:keepNext/>
        <w:keepLines/>
        <w:spacing w:before="240" w:after="0"/>
        <w:outlineLvl w:val="0"/>
        <w:rPr>
          <w:rFonts w:asciiTheme="majorHAnsi" w:eastAsiaTheme="majorEastAsia" w:hAnsiTheme="majorHAnsi" w:cstheme="majorBidi"/>
          <w:sz w:val="32"/>
          <w:szCs w:val="32"/>
        </w:rPr>
      </w:pPr>
      <w:bookmarkStart w:id="2" w:name="_Toc99111026"/>
      <w:r w:rsidRPr="004D5438">
        <w:rPr>
          <w:rFonts w:asciiTheme="majorHAnsi" w:eastAsiaTheme="majorEastAsia" w:hAnsiTheme="majorHAnsi" w:cstheme="majorBidi"/>
          <w:sz w:val="32"/>
          <w:szCs w:val="32"/>
        </w:rPr>
        <w:lastRenderedPageBreak/>
        <w:t>The Eatwell plate, England</w:t>
      </w:r>
      <w:bookmarkEnd w:id="2"/>
    </w:p>
    <w:p w14:paraId="57C4A366" w14:textId="5DBE875A" w:rsidR="004E4AB9" w:rsidRDefault="004E4AB9" w:rsidP="00A9670A">
      <w:pPr>
        <w:pStyle w:val="Heading1"/>
      </w:pPr>
      <w:bookmarkStart w:id="3" w:name="_Toc99111027"/>
      <w:r>
        <w:rPr>
          <w:noProof/>
        </w:rPr>
        <w:drawing>
          <wp:inline distT="0" distB="0" distL="0" distR="0" wp14:anchorId="715B73BD" wp14:editId="5C741704">
            <wp:extent cx="1333500" cy="1003300"/>
            <wp:effectExtent l="0" t="0" r="0" b="635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bookmarkEnd w:id="3"/>
    </w:p>
    <w:p w14:paraId="61A28665" w14:textId="3882A364" w:rsidR="00416E4A" w:rsidRPr="00416E4A" w:rsidRDefault="00416E4A" w:rsidP="00416E4A"/>
    <w:p w14:paraId="3D58294D" w14:textId="4E5B23D5" w:rsidR="00D13A2E" w:rsidRPr="00062DA4" w:rsidRDefault="00D13A2E" w:rsidP="00D13A2E">
      <w:pPr>
        <w:pStyle w:val="Heading2"/>
        <w:rPr>
          <w:color w:val="auto"/>
          <w:sz w:val="32"/>
          <w:szCs w:val="32"/>
        </w:rPr>
      </w:pPr>
      <w:bookmarkStart w:id="4" w:name="_Toc99111028"/>
      <w:r w:rsidRPr="00062DA4">
        <w:rPr>
          <w:color w:val="auto"/>
          <w:sz w:val="32"/>
          <w:szCs w:val="32"/>
        </w:rPr>
        <w:t>The Eatwell guide, England</w:t>
      </w:r>
      <w:bookmarkEnd w:id="4"/>
    </w:p>
    <w:p w14:paraId="197A8A75" w14:textId="421F2AF0" w:rsidR="00C36863" w:rsidRPr="00C36863" w:rsidRDefault="00C36863" w:rsidP="00C36863">
      <w:r>
        <w:rPr>
          <w:noProof/>
        </w:rPr>
        <w:drawing>
          <wp:inline distT="0" distB="0" distL="0" distR="0" wp14:anchorId="5C99016F" wp14:editId="75F7E528">
            <wp:extent cx="1333500" cy="1003300"/>
            <wp:effectExtent l="0" t="0" r="0" b="635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p>
    <w:p w14:paraId="2D2F2C88" w14:textId="06ED03E9" w:rsidR="00D13A2E" w:rsidRPr="004D5438" w:rsidRDefault="00D13A2E" w:rsidP="00D13A2E">
      <w:pPr>
        <w:pStyle w:val="Heading1"/>
        <w:rPr>
          <w:color w:val="auto"/>
        </w:rPr>
      </w:pPr>
      <w:bookmarkStart w:id="5" w:name="_Toc99111029"/>
      <w:r w:rsidRPr="004D5438">
        <w:rPr>
          <w:color w:val="auto"/>
        </w:rPr>
        <w:t>The Eatwell guide, Wales</w:t>
      </w:r>
      <w:bookmarkEnd w:id="5"/>
    </w:p>
    <w:p w14:paraId="4DBBA8AF" w14:textId="1A1F6D6A" w:rsidR="00941423" w:rsidRDefault="00C36863" w:rsidP="00941423">
      <w:r>
        <w:rPr>
          <w:noProof/>
        </w:rPr>
        <w:drawing>
          <wp:inline distT="0" distB="0" distL="0" distR="0" wp14:anchorId="6A859F55" wp14:editId="30D2DA25">
            <wp:extent cx="1333500" cy="1003300"/>
            <wp:effectExtent l="0" t="0" r="0" b="6350"/>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p>
    <w:p w14:paraId="42B5338E" w14:textId="3D5415A5" w:rsidR="004E6F00" w:rsidRPr="00062DA4" w:rsidRDefault="004E6F00" w:rsidP="00941423">
      <w:pPr>
        <w:rPr>
          <w:sz w:val="24"/>
          <w:szCs w:val="24"/>
        </w:rPr>
      </w:pPr>
      <w:r w:rsidRPr="00062DA4">
        <w:rPr>
          <w:sz w:val="24"/>
          <w:szCs w:val="24"/>
        </w:rPr>
        <w:t xml:space="preserve">Wales </w:t>
      </w:r>
      <w:r w:rsidR="00077A2E" w:rsidRPr="00062DA4">
        <w:rPr>
          <w:sz w:val="24"/>
          <w:szCs w:val="24"/>
        </w:rPr>
        <w:t>is in line with other nations, in agreeing what constitutes a healthy diet. Differences</w:t>
      </w:r>
      <w:r w:rsidR="00754C4F" w:rsidRPr="00062DA4">
        <w:rPr>
          <w:sz w:val="24"/>
          <w:szCs w:val="24"/>
        </w:rPr>
        <w:t xml:space="preserve"> lies in education. </w:t>
      </w:r>
      <w:proofErr w:type="spellStart"/>
      <w:r w:rsidR="00754C4F" w:rsidRPr="00062DA4">
        <w:rPr>
          <w:sz w:val="24"/>
          <w:szCs w:val="24"/>
        </w:rPr>
        <w:t>Khanom</w:t>
      </w:r>
      <w:proofErr w:type="spellEnd"/>
      <w:r w:rsidR="00754C4F" w:rsidRPr="00062DA4">
        <w:rPr>
          <w:sz w:val="24"/>
          <w:szCs w:val="24"/>
        </w:rPr>
        <w:t xml:space="preserve"> et al.,( 2015), identify the fol</w:t>
      </w:r>
      <w:r w:rsidR="00224994" w:rsidRPr="00062DA4">
        <w:rPr>
          <w:sz w:val="24"/>
          <w:szCs w:val="24"/>
        </w:rPr>
        <w:t>lowing obstacles in following the healthy diet:</w:t>
      </w:r>
    </w:p>
    <w:p w14:paraId="5DCF3A2C" w14:textId="22D2DCA6" w:rsidR="00224994" w:rsidRPr="00062DA4" w:rsidRDefault="00224994" w:rsidP="00941423">
      <w:pPr>
        <w:rPr>
          <w:sz w:val="24"/>
          <w:szCs w:val="24"/>
        </w:rPr>
      </w:pPr>
      <w:r w:rsidRPr="00062DA4">
        <w:rPr>
          <w:sz w:val="24"/>
          <w:szCs w:val="24"/>
        </w:rPr>
        <w:t xml:space="preserve">Reliance on Fast food </w:t>
      </w:r>
      <w:r w:rsidR="00647DEA" w:rsidRPr="00062DA4">
        <w:rPr>
          <w:sz w:val="24"/>
          <w:szCs w:val="24"/>
        </w:rPr>
        <w:t>outlets due to shift work.</w:t>
      </w:r>
    </w:p>
    <w:p w14:paraId="0E67828E" w14:textId="52A3B435" w:rsidR="00647DEA" w:rsidRPr="00062DA4" w:rsidRDefault="00647DEA" w:rsidP="00941423">
      <w:pPr>
        <w:rPr>
          <w:sz w:val="24"/>
          <w:szCs w:val="24"/>
        </w:rPr>
      </w:pPr>
      <w:r w:rsidRPr="00062DA4">
        <w:rPr>
          <w:sz w:val="24"/>
          <w:szCs w:val="24"/>
        </w:rPr>
        <w:t>No personal transport.</w:t>
      </w:r>
    </w:p>
    <w:p w14:paraId="6D452E1E" w14:textId="262790C2" w:rsidR="00647DEA" w:rsidRPr="00062DA4" w:rsidRDefault="00647DEA" w:rsidP="00941423">
      <w:pPr>
        <w:rPr>
          <w:sz w:val="24"/>
          <w:szCs w:val="24"/>
        </w:rPr>
      </w:pPr>
      <w:r w:rsidRPr="00062DA4">
        <w:rPr>
          <w:sz w:val="24"/>
          <w:szCs w:val="24"/>
        </w:rPr>
        <w:t>Inability to cook.</w:t>
      </w:r>
    </w:p>
    <w:p w14:paraId="56E932E0" w14:textId="7ACE14A3" w:rsidR="00647DEA" w:rsidRPr="00062DA4" w:rsidRDefault="001D41FD" w:rsidP="00941423">
      <w:pPr>
        <w:rPr>
          <w:sz w:val="24"/>
          <w:szCs w:val="24"/>
        </w:rPr>
      </w:pPr>
      <w:r w:rsidRPr="00062DA4">
        <w:rPr>
          <w:sz w:val="24"/>
          <w:szCs w:val="24"/>
        </w:rPr>
        <w:t>Child wood</w:t>
      </w:r>
      <w:r w:rsidR="006C734D" w:rsidRPr="00062DA4">
        <w:rPr>
          <w:sz w:val="24"/>
          <w:szCs w:val="24"/>
        </w:rPr>
        <w:t xml:space="preserve"> dietary experiences.</w:t>
      </w:r>
    </w:p>
    <w:p w14:paraId="67B536CA" w14:textId="07E5A9EA" w:rsidR="006C734D" w:rsidRPr="00062DA4" w:rsidRDefault="006C734D" w:rsidP="00941423">
      <w:pPr>
        <w:rPr>
          <w:sz w:val="24"/>
          <w:szCs w:val="24"/>
        </w:rPr>
      </w:pPr>
      <w:r w:rsidRPr="00062DA4">
        <w:rPr>
          <w:sz w:val="24"/>
          <w:szCs w:val="24"/>
        </w:rPr>
        <w:t>Peer pressure</w:t>
      </w:r>
    </w:p>
    <w:p w14:paraId="10B42969" w14:textId="5AB84E93" w:rsidR="006C734D" w:rsidRPr="00062DA4" w:rsidRDefault="006C734D" w:rsidP="00941423">
      <w:pPr>
        <w:rPr>
          <w:sz w:val="24"/>
          <w:szCs w:val="24"/>
        </w:rPr>
      </w:pPr>
      <w:r w:rsidRPr="00062DA4">
        <w:rPr>
          <w:sz w:val="24"/>
          <w:szCs w:val="24"/>
        </w:rPr>
        <w:t>Familiar relationships.</w:t>
      </w:r>
    </w:p>
    <w:p w14:paraId="6BAB3F08" w14:textId="77777777" w:rsidR="001D41FD" w:rsidRPr="00941423" w:rsidRDefault="001D41FD" w:rsidP="00941423"/>
    <w:p w14:paraId="748CDF28" w14:textId="1A1CFBC0" w:rsidR="00D13A2E" w:rsidRPr="00062DA4" w:rsidRDefault="00D13A2E" w:rsidP="00941423">
      <w:pPr>
        <w:rPr>
          <w:sz w:val="32"/>
          <w:szCs w:val="32"/>
        </w:rPr>
      </w:pPr>
      <w:r w:rsidRPr="00062DA4">
        <w:rPr>
          <w:sz w:val="32"/>
          <w:szCs w:val="32"/>
        </w:rPr>
        <w:t>The Eatwell guide, Scotland</w:t>
      </w:r>
    </w:p>
    <w:p w14:paraId="64F2BC74" w14:textId="1FD1DC31" w:rsidR="00941423" w:rsidRDefault="00941423" w:rsidP="00941423">
      <w:r>
        <w:rPr>
          <w:noProof/>
        </w:rPr>
        <w:drawing>
          <wp:inline distT="0" distB="0" distL="0" distR="0" wp14:anchorId="5CBEBE2F" wp14:editId="04D48EB4">
            <wp:extent cx="1333500" cy="1003300"/>
            <wp:effectExtent l="0" t="0" r="0" b="635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p>
    <w:p w14:paraId="1B5E43C3" w14:textId="70BDE144" w:rsidR="00B34757" w:rsidRPr="00683A56" w:rsidRDefault="00635287" w:rsidP="00941423">
      <w:pPr>
        <w:rPr>
          <w:sz w:val="24"/>
          <w:szCs w:val="24"/>
        </w:rPr>
      </w:pPr>
      <w:proofErr w:type="spellStart"/>
      <w:r w:rsidRPr="00683A56">
        <w:rPr>
          <w:sz w:val="24"/>
          <w:szCs w:val="24"/>
        </w:rPr>
        <w:lastRenderedPageBreak/>
        <w:t>Harcombe</w:t>
      </w:r>
      <w:proofErr w:type="spellEnd"/>
      <w:r w:rsidRPr="00683A56">
        <w:rPr>
          <w:sz w:val="24"/>
          <w:szCs w:val="24"/>
        </w:rPr>
        <w:t>, Z. (2016)</w:t>
      </w:r>
      <w:r w:rsidR="00062DA4">
        <w:rPr>
          <w:sz w:val="24"/>
          <w:szCs w:val="24"/>
        </w:rPr>
        <w:t xml:space="preserve"> hold the view below:</w:t>
      </w:r>
    </w:p>
    <w:p w14:paraId="50F8FFBE" w14:textId="54AD673C" w:rsidR="002F0D29" w:rsidRPr="00683A56" w:rsidRDefault="009C50D2" w:rsidP="00941423">
      <w:pPr>
        <w:rPr>
          <w:sz w:val="24"/>
          <w:szCs w:val="24"/>
        </w:rPr>
      </w:pPr>
      <w:r w:rsidRPr="00683A56">
        <w:rPr>
          <w:sz w:val="24"/>
          <w:szCs w:val="24"/>
        </w:rPr>
        <w:t xml:space="preserve">The best </w:t>
      </w:r>
      <w:proofErr w:type="spellStart"/>
      <w:r w:rsidRPr="00683A56">
        <w:rPr>
          <w:sz w:val="24"/>
          <w:szCs w:val="24"/>
        </w:rPr>
        <w:t>critism</w:t>
      </w:r>
      <w:proofErr w:type="spellEnd"/>
      <w:r w:rsidRPr="00683A56">
        <w:rPr>
          <w:sz w:val="24"/>
          <w:szCs w:val="24"/>
        </w:rPr>
        <w:t xml:space="preserve"> of the relaunched Eatwell plate as The </w:t>
      </w:r>
      <w:proofErr w:type="spellStart"/>
      <w:r w:rsidRPr="00683A56">
        <w:rPr>
          <w:sz w:val="24"/>
          <w:szCs w:val="24"/>
        </w:rPr>
        <w:t>eatwell</w:t>
      </w:r>
      <w:proofErr w:type="spellEnd"/>
      <w:r w:rsidRPr="00683A56">
        <w:rPr>
          <w:sz w:val="24"/>
          <w:szCs w:val="24"/>
        </w:rPr>
        <w:t xml:space="preserve"> guide is from the works of </w:t>
      </w:r>
      <w:r w:rsidR="00640DB0" w:rsidRPr="00683A56">
        <w:rPr>
          <w:sz w:val="24"/>
          <w:szCs w:val="24"/>
        </w:rPr>
        <w:t xml:space="preserve">Zoe </w:t>
      </w:r>
      <w:proofErr w:type="spellStart"/>
      <w:r w:rsidR="00640DB0" w:rsidRPr="00683A56">
        <w:rPr>
          <w:sz w:val="24"/>
          <w:szCs w:val="24"/>
        </w:rPr>
        <w:t>Harcomb</w:t>
      </w:r>
      <w:proofErr w:type="spellEnd"/>
      <w:r w:rsidR="00640DB0" w:rsidRPr="00683A56">
        <w:rPr>
          <w:sz w:val="24"/>
          <w:szCs w:val="24"/>
        </w:rPr>
        <w:t>, of The university of the west of Scotland</w:t>
      </w:r>
      <w:r w:rsidR="006D66BA" w:rsidRPr="00683A56">
        <w:rPr>
          <w:sz w:val="24"/>
          <w:szCs w:val="24"/>
        </w:rPr>
        <w:t>. Institute of clinical exercise and health science.</w:t>
      </w:r>
    </w:p>
    <w:p w14:paraId="0A42EF22" w14:textId="4EFAAC79" w:rsidR="00C44B3C" w:rsidRPr="00683A56" w:rsidRDefault="00C44B3C" w:rsidP="00941423">
      <w:pPr>
        <w:rPr>
          <w:sz w:val="24"/>
          <w:szCs w:val="24"/>
        </w:rPr>
      </w:pPr>
      <w:r w:rsidRPr="00683A56">
        <w:rPr>
          <w:sz w:val="24"/>
          <w:szCs w:val="24"/>
        </w:rPr>
        <w:t>The author opined that The Eatwell guide was designed by the food industry, for wealth, not Health.</w:t>
      </w:r>
    </w:p>
    <w:p w14:paraId="01B77BB2" w14:textId="232B3BAE" w:rsidR="001D41FD" w:rsidRPr="00683A56" w:rsidRDefault="001D41FD" w:rsidP="00941423">
      <w:pPr>
        <w:rPr>
          <w:sz w:val="24"/>
          <w:szCs w:val="24"/>
        </w:rPr>
      </w:pPr>
      <w:r w:rsidRPr="00683A56">
        <w:rPr>
          <w:sz w:val="24"/>
          <w:szCs w:val="24"/>
        </w:rPr>
        <w:t xml:space="preserve">However, no alternative </w:t>
      </w:r>
      <w:r w:rsidR="00F42B1E" w:rsidRPr="00683A56">
        <w:rPr>
          <w:sz w:val="24"/>
          <w:szCs w:val="24"/>
        </w:rPr>
        <w:t>healthy diet is suggested.</w:t>
      </w:r>
    </w:p>
    <w:p w14:paraId="2CD772A4" w14:textId="40BF1952" w:rsidR="00D13A2E" w:rsidRPr="001952CA" w:rsidRDefault="00D13A2E" w:rsidP="00D13A2E">
      <w:pPr>
        <w:pStyle w:val="Heading1"/>
        <w:rPr>
          <w:color w:val="auto"/>
        </w:rPr>
      </w:pPr>
      <w:bookmarkStart w:id="6" w:name="_Toc99111030"/>
      <w:r w:rsidRPr="001952CA">
        <w:rPr>
          <w:color w:val="auto"/>
        </w:rPr>
        <w:t>The Eatwell guide, Northern Ireland</w:t>
      </w:r>
      <w:bookmarkEnd w:id="6"/>
    </w:p>
    <w:p w14:paraId="7E3B3A59" w14:textId="6C4F2DE0" w:rsidR="00C36863" w:rsidRDefault="00C36863" w:rsidP="00C36863">
      <w:r>
        <w:rPr>
          <w:noProof/>
        </w:rPr>
        <w:drawing>
          <wp:inline distT="0" distB="0" distL="0" distR="0" wp14:anchorId="0106AB73" wp14:editId="2D8BE913">
            <wp:extent cx="1333500" cy="1003300"/>
            <wp:effectExtent l="0" t="0" r="0" b="6350"/>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p>
    <w:p w14:paraId="349FD06E" w14:textId="6EAE58A8" w:rsidR="000B2A7E" w:rsidRPr="00683A56" w:rsidRDefault="00D02EF9" w:rsidP="00C36863">
      <w:pPr>
        <w:rPr>
          <w:sz w:val="24"/>
          <w:szCs w:val="24"/>
        </w:rPr>
      </w:pPr>
      <w:r w:rsidRPr="00683A56">
        <w:rPr>
          <w:sz w:val="24"/>
          <w:szCs w:val="24"/>
        </w:rPr>
        <w:t>Price et al., (2017)</w:t>
      </w:r>
      <w:r w:rsidR="008450DE" w:rsidRPr="00683A56">
        <w:rPr>
          <w:sz w:val="24"/>
          <w:szCs w:val="24"/>
        </w:rPr>
        <w:t xml:space="preserve"> analys</w:t>
      </w:r>
      <w:r w:rsidR="000F3E5C" w:rsidRPr="00683A56">
        <w:rPr>
          <w:sz w:val="24"/>
          <w:szCs w:val="24"/>
        </w:rPr>
        <w:t>e</w:t>
      </w:r>
      <w:r w:rsidR="008450DE" w:rsidRPr="00683A56">
        <w:rPr>
          <w:sz w:val="24"/>
          <w:szCs w:val="24"/>
        </w:rPr>
        <w:t xml:space="preserve"> the impact of price promotion in </w:t>
      </w:r>
      <w:r w:rsidR="000F3E5C" w:rsidRPr="00683A56">
        <w:rPr>
          <w:sz w:val="24"/>
          <w:szCs w:val="24"/>
        </w:rPr>
        <w:t>Northern</w:t>
      </w:r>
      <w:r w:rsidR="008450DE" w:rsidRPr="00683A56">
        <w:rPr>
          <w:sz w:val="24"/>
          <w:szCs w:val="24"/>
        </w:rPr>
        <w:t xml:space="preserve"> Ireland to promote healthy eating</w:t>
      </w:r>
      <w:r w:rsidR="001B20A1" w:rsidRPr="00683A56">
        <w:rPr>
          <w:sz w:val="24"/>
          <w:szCs w:val="24"/>
        </w:rPr>
        <w:t>.</w:t>
      </w:r>
    </w:p>
    <w:p w14:paraId="791B8D1A" w14:textId="2E5482CB" w:rsidR="001B20A1" w:rsidRPr="00683A56" w:rsidRDefault="001B20A1" w:rsidP="00C36863">
      <w:pPr>
        <w:rPr>
          <w:sz w:val="24"/>
          <w:szCs w:val="24"/>
        </w:rPr>
      </w:pPr>
      <w:r w:rsidRPr="00683A56">
        <w:rPr>
          <w:sz w:val="24"/>
          <w:szCs w:val="24"/>
        </w:rPr>
        <w:t>They observe that supermarkets use price promotion very effectively to promote consumption of any foods they choose, especially Energy dense processed foods.</w:t>
      </w:r>
    </w:p>
    <w:p w14:paraId="7B2A64D5" w14:textId="2481A55D" w:rsidR="001B20A1" w:rsidRPr="00683A56" w:rsidRDefault="001B20A1" w:rsidP="00C36863">
      <w:pPr>
        <w:rPr>
          <w:sz w:val="24"/>
          <w:szCs w:val="24"/>
        </w:rPr>
      </w:pPr>
      <w:r w:rsidRPr="00683A56">
        <w:rPr>
          <w:sz w:val="24"/>
          <w:szCs w:val="24"/>
        </w:rPr>
        <w:t>The authors then suggest that</w:t>
      </w:r>
      <w:r w:rsidR="00091E31" w:rsidRPr="00683A56">
        <w:rPr>
          <w:sz w:val="24"/>
          <w:szCs w:val="24"/>
        </w:rPr>
        <w:t xml:space="preserve"> supermarkets can be made to play a vital role in healthy eating, by promoting healthy diets</w:t>
      </w:r>
      <w:r w:rsidR="000F3E5C" w:rsidRPr="00683A56">
        <w:rPr>
          <w:sz w:val="24"/>
          <w:szCs w:val="24"/>
        </w:rPr>
        <w:t xml:space="preserve"> </w:t>
      </w:r>
      <w:r w:rsidR="00091E31" w:rsidRPr="00683A56">
        <w:rPr>
          <w:sz w:val="24"/>
          <w:szCs w:val="24"/>
        </w:rPr>
        <w:t>a, as suggested by the latest Eat</w:t>
      </w:r>
      <w:r w:rsidR="000F3E5C" w:rsidRPr="00683A56">
        <w:rPr>
          <w:sz w:val="24"/>
          <w:szCs w:val="24"/>
        </w:rPr>
        <w:t xml:space="preserve"> </w:t>
      </w:r>
      <w:r w:rsidR="00091E31" w:rsidRPr="00683A56">
        <w:rPr>
          <w:sz w:val="24"/>
          <w:szCs w:val="24"/>
        </w:rPr>
        <w:t>Well guide.</w:t>
      </w:r>
    </w:p>
    <w:p w14:paraId="113E6AFC" w14:textId="1DF327CA" w:rsidR="00D13A2E" w:rsidRPr="001952CA" w:rsidRDefault="005F0509" w:rsidP="005F0509">
      <w:pPr>
        <w:pStyle w:val="Heading1"/>
        <w:rPr>
          <w:color w:val="auto"/>
        </w:rPr>
      </w:pPr>
      <w:bookmarkStart w:id="7" w:name="_Toc99111031"/>
      <w:r w:rsidRPr="001952CA">
        <w:rPr>
          <w:color w:val="auto"/>
        </w:rPr>
        <w:t xml:space="preserve">The </w:t>
      </w:r>
      <w:r w:rsidR="0073150F" w:rsidRPr="001952CA">
        <w:rPr>
          <w:color w:val="auto"/>
        </w:rPr>
        <w:t>MyPlate</w:t>
      </w:r>
      <w:r w:rsidRPr="001952CA">
        <w:rPr>
          <w:color w:val="auto"/>
        </w:rPr>
        <w:t>, USA</w:t>
      </w:r>
      <w:bookmarkEnd w:id="7"/>
    </w:p>
    <w:p w14:paraId="37B035C0" w14:textId="25F070C3" w:rsidR="005F0509" w:rsidRDefault="00C162BA" w:rsidP="00337C1A">
      <w:pPr>
        <w:pStyle w:val="ListParagraph"/>
        <w:rPr>
          <w:sz w:val="24"/>
          <w:szCs w:val="24"/>
        </w:rPr>
      </w:pPr>
      <w:r>
        <w:rPr>
          <w:sz w:val="24"/>
          <w:szCs w:val="24"/>
        </w:rPr>
        <w:t>The first healthy eating campaign in USA was called MyPyramid</w:t>
      </w:r>
      <w:r w:rsidR="00FE55B5">
        <w:rPr>
          <w:sz w:val="24"/>
          <w:szCs w:val="24"/>
        </w:rPr>
        <w:t xml:space="preserve">. </w:t>
      </w:r>
      <w:r w:rsidR="008C1A7B" w:rsidRPr="00337C1A">
        <w:rPr>
          <w:sz w:val="24"/>
          <w:szCs w:val="24"/>
        </w:rPr>
        <w:t xml:space="preserve">The </w:t>
      </w:r>
      <w:r w:rsidR="00B74599" w:rsidRPr="00337C1A">
        <w:rPr>
          <w:sz w:val="24"/>
          <w:szCs w:val="24"/>
        </w:rPr>
        <w:t>USA</w:t>
      </w:r>
      <w:r w:rsidR="008C1A7B" w:rsidRPr="00337C1A">
        <w:rPr>
          <w:sz w:val="24"/>
          <w:szCs w:val="24"/>
        </w:rPr>
        <w:t xml:space="preserve"> </w:t>
      </w:r>
      <w:proofErr w:type="spellStart"/>
      <w:r w:rsidR="008C1A7B" w:rsidRPr="00337C1A">
        <w:rPr>
          <w:sz w:val="24"/>
          <w:szCs w:val="24"/>
        </w:rPr>
        <w:t>Myplate</w:t>
      </w:r>
      <w:proofErr w:type="spellEnd"/>
      <w:r w:rsidR="008C1A7B" w:rsidRPr="00337C1A">
        <w:rPr>
          <w:sz w:val="24"/>
          <w:szCs w:val="24"/>
        </w:rPr>
        <w:t xml:space="preserve"> is published by the USA department of agriculture</w:t>
      </w:r>
      <w:r w:rsidR="00756D6B" w:rsidRPr="00337C1A">
        <w:rPr>
          <w:sz w:val="24"/>
          <w:szCs w:val="24"/>
        </w:rPr>
        <w:t>. Design is a simple circular plate with four sections plus additional small circle for Dairy products</w:t>
      </w:r>
      <w:r w:rsidR="00367056" w:rsidRPr="00337C1A">
        <w:rPr>
          <w:sz w:val="24"/>
          <w:szCs w:val="24"/>
        </w:rPr>
        <w:t>. Basic advice includes:</w:t>
      </w:r>
    </w:p>
    <w:p w14:paraId="3602D271" w14:textId="7FDEFEE6" w:rsidR="00337C1A" w:rsidRPr="00337C1A" w:rsidRDefault="00EC2E4D" w:rsidP="00337C1A">
      <w:pPr>
        <w:pStyle w:val="ListParagraph"/>
        <w:rPr>
          <w:sz w:val="24"/>
          <w:szCs w:val="24"/>
        </w:rPr>
      </w:pPr>
      <w:r w:rsidRPr="00EC2E4D">
        <w:rPr>
          <w:sz w:val="24"/>
          <w:szCs w:val="24"/>
        </w:rPr>
        <w:t xml:space="preserve">Blake et al., </w:t>
      </w:r>
      <w:r>
        <w:rPr>
          <w:sz w:val="24"/>
          <w:szCs w:val="24"/>
        </w:rPr>
        <w:t>(</w:t>
      </w:r>
      <w:r w:rsidRPr="00EC2E4D">
        <w:rPr>
          <w:sz w:val="24"/>
          <w:szCs w:val="24"/>
        </w:rPr>
        <w:t>2021)</w:t>
      </w:r>
      <w:r w:rsidR="00650B37">
        <w:rPr>
          <w:sz w:val="24"/>
          <w:szCs w:val="24"/>
        </w:rPr>
        <w:t xml:space="preserve"> recommend;</w:t>
      </w:r>
    </w:p>
    <w:p w14:paraId="1C0923D0" w14:textId="20E4D925" w:rsidR="00367056" w:rsidRPr="00337C1A" w:rsidRDefault="00367056" w:rsidP="00337C1A">
      <w:pPr>
        <w:pStyle w:val="ListParagraph"/>
        <w:numPr>
          <w:ilvl w:val="0"/>
          <w:numId w:val="3"/>
        </w:numPr>
        <w:rPr>
          <w:sz w:val="24"/>
          <w:szCs w:val="24"/>
        </w:rPr>
      </w:pPr>
      <w:r w:rsidRPr="00337C1A">
        <w:rPr>
          <w:sz w:val="24"/>
          <w:szCs w:val="24"/>
        </w:rPr>
        <w:t>FRUITS;</w:t>
      </w:r>
      <w:r w:rsidR="00546A72" w:rsidRPr="00337C1A">
        <w:rPr>
          <w:sz w:val="24"/>
          <w:szCs w:val="24"/>
        </w:rPr>
        <w:t xml:space="preserve"> </w:t>
      </w:r>
      <w:r w:rsidR="00F56EE4" w:rsidRPr="00337C1A">
        <w:rPr>
          <w:sz w:val="24"/>
          <w:szCs w:val="24"/>
        </w:rPr>
        <w:t>Focus on whole fruits.</w:t>
      </w:r>
    </w:p>
    <w:p w14:paraId="46E10516" w14:textId="7CA93DDB" w:rsidR="00367056" w:rsidRPr="00337C1A" w:rsidRDefault="00546A72" w:rsidP="00337C1A">
      <w:pPr>
        <w:pStyle w:val="ListParagraph"/>
        <w:numPr>
          <w:ilvl w:val="0"/>
          <w:numId w:val="3"/>
        </w:numPr>
        <w:rPr>
          <w:sz w:val="24"/>
          <w:szCs w:val="24"/>
          <w:lang w:val="fr-FR"/>
        </w:rPr>
      </w:pPr>
      <w:r w:rsidRPr="00337C1A">
        <w:rPr>
          <w:sz w:val="24"/>
          <w:szCs w:val="24"/>
          <w:lang w:val="fr-FR"/>
        </w:rPr>
        <w:t>VEGETABLES:</w:t>
      </w:r>
      <w:r w:rsidR="00390AD3" w:rsidRPr="00337C1A">
        <w:rPr>
          <w:sz w:val="24"/>
          <w:szCs w:val="24"/>
          <w:lang w:val="fr-FR"/>
        </w:rPr>
        <w:t xml:space="preserve"> </w:t>
      </w:r>
      <w:proofErr w:type="spellStart"/>
      <w:r w:rsidR="00F56EE4" w:rsidRPr="00337C1A">
        <w:rPr>
          <w:sz w:val="24"/>
          <w:szCs w:val="24"/>
          <w:lang w:val="fr-FR"/>
        </w:rPr>
        <w:t>Vary</w:t>
      </w:r>
      <w:proofErr w:type="spellEnd"/>
      <w:r w:rsidR="00F56EE4" w:rsidRPr="00337C1A">
        <w:rPr>
          <w:sz w:val="24"/>
          <w:szCs w:val="24"/>
          <w:lang w:val="fr-FR"/>
        </w:rPr>
        <w:t xml:space="preserve"> </w:t>
      </w:r>
      <w:proofErr w:type="spellStart"/>
      <w:r w:rsidR="00F56EE4" w:rsidRPr="00337C1A">
        <w:rPr>
          <w:sz w:val="24"/>
          <w:szCs w:val="24"/>
          <w:lang w:val="fr-FR"/>
        </w:rPr>
        <w:t>vegetables</w:t>
      </w:r>
      <w:proofErr w:type="spellEnd"/>
      <w:r w:rsidR="00F56EE4" w:rsidRPr="00337C1A">
        <w:rPr>
          <w:sz w:val="24"/>
          <w:szCs w:val="24"/>
          <w:lang w:val="fr-FR"/>
        </w:rPr>
        <w:t>.</w:t>
      </w:r>
    </w:p>
    <w:p w14:paraId="03583A89" w14:textId="0713A7A0" w:rsidR="00546A72" w:rsidRPr="00337C1A" w:rsidRDefault="00546A72" w:rsidP="00337C1A">
      <w:pPr>
        <w:pStyle w:val="ListParagraph"/>
        <w:numPr>
          <w:ilvl w:val="0"/>
          <w:numId w:val="3"/>
        </w:numPr>
        <w:rPr>
          <w:sz w:val="24"/>
          <w:szCs w:val="24"/>
        </w:rPr>
      </w:pPr>
      <w:r w:rsidRPr="00337C1A">
        <w:rPr>
          <w:sz w:val="24"/>
          <w:szCs w:val="24"/>
        </w:rPr>
        <w:t>GRAINS:</w:t>
      </w:r>
      <w:r w:rsidR="00F56EE4" w:rsidRPr="00337C1A">
        <w:rPr>
          <w:sz w:val="24"/>
          <w:szCs w:val="24"/>
        </w:rPr>
        <w:t xml:space="preserve"> Make half grains whole</w:t>
      </w:r>
      <w:r w:rsidR="00A17062" w:rsidRPr="00337C1A">
        <w:rPr>
          <w:sz w:val="24"/>
          <w:szCs w:val="24"/>
        </w:rPr>
        <w:t xml:space="preserve"> grains.</w:t>
      </w:r>
    </w:p>
    <w:p w14:paraId="7DD982A3" w14:textId="03B6F931" w:rsidR="00546A72" w:rsidRPr="00337C1A" w:rsidRDefault="00546A72" w:rsidP="00337C1A">
      <w:pPr>
        <w:pStyle w:val="ListParagraph"/>
        <w:numPr>
          <w:ilvl w:val="0"/>
          <w:numId w:val="3"/>
        </w:numPr>
        <w:rPr>
          <w:sz w:val="24"/>
          <w:szCs w:val="24"/>
          <w:lang w:val="fr-FR"/>
        </w:rPr>
      </w:pPr>
      <w:r w:rsidRPr="00337C1A">
        <w:rPr>
          <w:sz w:val="24"/>
          <w:szCs w:val="24"/>
          <w:lang w:val="fr-FR"/>
        </w:rPr>
        <w:t>PROTEINS:</w:t>
      </w:r>
      <w:r w:rsidR="00390AD3" w:rsidRPr="00337C1A">
        <w:rPr>
          <w:sz w:val="24"/>
          <w:szCs w:val="24"/>
          <w:lang w:val="fr-FR"/>
        </w:rPr>
        <w:t xml:space="preserve"> </w:t>
      </w:r>
      <w:proofErr w:type="spellStart"/>
      <w:r w:rsidR="00A17062" w:rsidRPr="00337C1A">
        <w:rPr>
          <w:sz w:val="24"/>
          <w:szCs w:val="24"/>
          <w:lang w:val="fr-FR"/>
        </w:rPr>
        <w:t>Vary</w:t>
      </w:r>
      <w:proofErr w:type="spellEnd"/>
      <w:r w:rsidR="00A17062" w:rsidRPr="00337C1A">
        <w:rPr>
          <w:sz w:val="24"/>
          <w:szCs w:val="24"/>
          <w:lang w:val="fr-FR"/>
        </w:rPr>
        <w:t xml:space="preserve"> </w:t>
      </w:r>
      <w:proofErr w:type="spellStart"/>
      <w:r w:rsidR="00A17062" w:rsidRPr="00337C1A">
        <w:rPr>
          <w:sz w:val="24"/>
          <w:szCs w:val="24"/>
          <w:lang w:val="fr-FR"/>
        </w:rPr>
        <w:t>protein</w:t>
      </w:r>
      <w:proofErr w:type="spellEnd"/>
      <w:r w:rsidR="00A17062" w:rsidRPr="00337C1A">
        <w:rPr>
          <w:sz w:val="24"/>
          <w:szCs w:val="24"/>
          <w:lang w:val="fr-FR"/>
        </w:rPr>
        <w:t xml:space="preserve"> routines.</w:t>
      </w:r>
    </w:p>
    <w:p w14:paraId="6281B6A5" w14:textId="21E7DB97" w:rsidR="00546A72" w:rsidRDefault="00546A72" w:rsidP="00337C1A">
      <w:pPr>
        <w:pStyle w:val="ListParagraph"/>
        <w:numPr>
          <w:ilvl w:val="0"/>
          <w:numId w:val="3"/>
        </w:numPr>
        <w:rPr>
          <w:sz w:val="24"/>
          <w:szCs w:val="24"/>
        </w:rPr>
      </w:pPr>
      <w:r w:rsidRPr="00337C1A">
        <w:rPr>
          <w:sz w:val="24"/>
          <w:szCs w:val="24"/>
        </w:rPr>
        <w:t>DAIRY:</w:t>
      </w:r>
      <w:r w:rsidR="00A17062" w:rsidRPr="00337C1A">
        <w:rPr>
          <w:sz w:val="24"/>
          <w:szCs w:val="24"/>
        </w:rPr>
        <w:t xml:space="preserve"> Move to low fat</w:t>
      </w:r>
      <w:r w:rsidR="008650A8" w:rsidRPr="00337C1A">
        <w:rPr>
          <w:sz w:val="24"/>
          <w:szCs w:val="24"/>
        </w:rPr>
        <w:t xml:space="preserve"> or fat-free dairy or yogurt or fortified soy milk.</w:t>
      </w:r>
    </w:p>
    <w:p w14:paraId="56DFF576" w14:textId="595DEBF1" w:rsidR="008E4C7A" w:rsidRDefault="00E4597A" w:rsidP="008E4C7A">
      <w:pPr>
        <w:rPr>
          <w:sz w:val="24"/>
          <w:szCs w:val="24"/>
        </w:rPr>
      </w:pPr>
      <w:r>
        <w:rPr>
          <w:sz w:val="24"/>
          <w:szCs w:val="24"/>
        </w:rPr>
        <w:t xml:space="preserve">The USA has a way of influencing habits all over the world. </w:t>
      </w:r>
      <w:r w:rsidR="00465E3D">
        <w:rPr>
          <w:sz w:val="24"/>
          <w:szCs w:val="24"/>
        </w:rPr>
        <w:t>If the USA gets it right, the rest of the world will follow.</w:t>
      </w:r>
      <w:r w:rsidR="00165A75">
        <w:rPr>
          <w:sz w:val="24"/>
          <w:szCs w:val="24"/>
        </w:rPr>
        <w:t xml:space="preserve"> </w:t>
      </w:r>
      <w:r w:rsidR="00165A75" w:rsidRPr="00165A75">
        <w:rPr>
          <w:sz w:val="24"/>
          <w:szCs w:val="24"/>
        </w:rPr>
        <w:t xml:space="preserve">Brown, O’Connor and </w:t>
      </w:r>
      <w:proofErr w:type="spellStart"/>
      <w:r w:rsidR="00165A75" w:rsidRPr="00165A75">
        <w:rPr>
          <w:sz w:val="24"/>
          <w:szCs w:val="24"/>
        </w:rPr>
        <w:t>Savaiano</w:t>
      </w:r>
      <w:proofErr w:type="spellEnd"/>
      <w:r w:rsidR="00165A75" w:rsidRPr="00165A75">
        <w:rPr>
          <w:sz w:val="24"/>
          <w:szCs w:val="24"/>
        </w:rPr>
        <w:t xml:space="preserve">, </w:t>
      </w:r>
      <w:r w:rsidR="00165A75">
        <w:rPr>
          <w:sz w:val="24"/>
          <w:szCs w:val="24"/>
        </w:rPr>
        <w:t>(</w:t>
      </w:r>
      <w:r w:rsidR="00165A75" w:rsidRPr="00165A75">
        <w:rPr>
          <w:sz w:val="24"/>
          <w:szCs w:val="24"/>
        </w:rPr>
        <w:t>2014)</w:t>
      </w:r>
      <w:r w:rsidR="00165A75">
        <w:rPr>
          <w:sz w:val="24"/>
          <w:szCs w:val="24"/>
        </w:rPr>
        <w:t xml:space="preserve"> suggest using text messaging </w:t>
      </w:r>
      <w:r w:rsidR="008F14B6">
        <w:rPr>
          <w:sz w:val="24"/>
          <w:szCs w:val="24"/>
        </w:rPr>
        <w:t xml:space="preserve">(Mobile </w:t>
      </w:r>
      <w:proofErr w:type="spellStart"/>
      <w:r w:rsidR="008F14B6">
        <w:rPr>
          <w:sz w:val="24"/>
          <w:szCs w:val="24"/>
        </w:rPr>
        <w:t>Myplate</w:t>
      </w:r>
      <w:proofErr w:type="spellEnd"/>
      <w:r w:rsidR="008F14B6">
        <w:rPr>
          <w:sz w:val="24"/>
          <w:szCs w:val="24"/>
        </w:rPr>
        <w:t>)</w:t>
      </w:r>
      <w:r w:rsidR="00D83A50">
        <w:rPr>
          <w:sz w:val="24"/>
          <w:szCs w:val="24"/>
        </w:rPr>
        <w:t xml:space="preserve"> </w:t>
      </w:r>
      <w:r w:rsidR="00165A75">
        <w:rPr>
          <w:sz w:val="24"/>
          <w:szCs w:val="24"/>
        </w:rPr>
        <w:t>to encourage good dietary practice amongst college students.</w:t>
      </w:r>
    </w:p>
    <w:p w14:paraId="0B0F2829" w14:textId="72B8B36D" w:rsidR="002D7A70" w:rsidRDefault="00E378A8" w:rsidP="008E4C7A">
      <w:pPr>
        <w:rPr>
          <w:sz w:val="24"/>
          <w:szCs w:val="24"/>
        </w:rPr>
      </w:pPr>
      <w:proofErr w:type="spellStart"/>
      <w:r w:rsidRPr="00E378A8">
        <w:rPr>
          <w:sz w:val="24"/>
          <w:szCs w:val="24"/>
        </w:rPr>
        <w:t>Wansink</w:t>
      </w:r>
      <w:proofErr w:type="spellEnd"/>
      <w:r w:rsidRPr="00E378A8">
        <w:rPr>
          <w:sz w:val="24"/>
          <w:szCs w:val="24"/>
        </w:rPr>
        <w:t xml:space="preserve"> and Kranz, </w:t>
      </w:r>
      <w:r>
        <w:rPr>
          <w:sz w:val="24"/>
          <w:szCs w:val="24"/>
        </w:rPr>
        <w:t>(</w:t>
      </w:r>
      <w:r w:rsidRPr="00E378A8">
        <w:rPr>
          <w:sz w:val="24"/>
          <w:szCs w:val="24"/>
        </w:rPr>
        <w:t>2013)</w:t>
      </w:r>
      <w:r>
        <w:rPr>
          <w:sz w:val="24"/>
          <w:szCs w:val="24"/>
        </w:rPr>
        <w:t xml:space="preserve"> see mothers as gatekeepers in promoting </w:t>
      </w:r>
      <w:r w:rsidR="001D0FF3">
        <w:rPr>
          <w:sz w:val="24"/>
          <w:szCs w:val="24"/>
        </w:rPr>
        <w:t>the adoption of MyPlate, The USA, healthy eating campaign.</w:t>
      </w:r>
    </w:p>
    <w:p w14:paraId="32C84B0B" w14:textId="73E2C92D" w:rsidR="00E8600C" w:rsidRDefault="00E8600C" w:rsidP="008E4C7A">
      <w:pPr>
        <w:rPr>
          <w:sz w:val="24"/>
          <w:szCs w:val="24"/>
        </w:rPr>
      </w:pPr>
      <w:r w:rsidRPr="000B28FE">
        <w:rPr>
          <w:sz w:val="24"/>
          <w:szCs w:val="24"/>
        </w:rPr>
        <w:t xml:space="preserve">Clark et al., </w:t>
      </w:r>
      <w:r w:rsidR="000B28FE" w:rsidRPr="000B28FE">
        <w:rPr>
          <w:sz w:val="24"/>
          <w:szCs w:val="24"/>
        </w:rPr>
        <w:t>(</w:t>
      </w:r>
      <w:r w:rsidRPr="000B28FE">
        <w:rPr>
          <w:sz w:val="24"/>
          <w:szCs w:val="24"/>
        </w:rPr>
        <w:t>2019)</w:t>
      </w:r>
      <w:r w:rsidR="000B28FE" w:rsidRPr="000B28FE">
        <w:rPr>
          <w:sz w:val="24"/>
          <w:szCs w:val="24"/>
        </w:rPr>
        <w:t xml:space="preserve"> reveal that</w:t>
      </w:r>
      <w:r w:rsidR="000B28FE">
        <w:rPr>
          <w:sz w:val="24"/>
          <w:szCs w:val="24"/>
        </w:rPr>
        <w:t xml:space="preserve"> cost is a major </w:t>
      </w:r>
      <w:r w:rsidR="00413778">
        <w:rPr>
          <w:sz w:val="24"/>
          <w:szCs w:val="24"/>
        </w:rPr>
        <w:t xml:space="preserve">barrier </w:t>
      </w:r>
      <w:r w:rsidR="000B28FE">
        <w:rPr>
          <w:sz w:val="24"/>
          <w:szCs w:val="24"/>
        </w:rPr>
        <w:t>factor</w:t>
      </w:r>
      <w:r w:rsidR="00413778">
        <w:rPr>
          <w:sz w:val="24"/>
          <w:szCs w:val="24"/>
        </w:rPr>
        <w:t xml:space="preserve"> towards adopting the healthy diet, suggested in the MyPlate diet campaign.</w:t>
      </w:r>
    </w:p>
    <w:p w14:paraId="5E4CAE92" w14:textId="12E06C0E" w:rsidR="00A147CE" w:rsidRDefault="00A952F3" w:rsidP="008E4C7A">
      <w:pPr>
        <w:rPr>
          <w:sz w:val="24"/>
          <w:szCs w:val="24"/>
        </w:rPr>
      </w:pPr>
      <w:proofErr w:type="spellStart"/>
      <w:r w:rsidRPr="004444A2">
        <w:rPr>
          <w:sz w:val="24"/>
          <w:szCs w:val="24"/>
        </w:rPr>
        <w:lastRenderedPageBreak/>
        <w:t>Schroeter</w:t>
      </w:r>
      <w:proofErr w:type="spellEnd"/>
      <w:r w:rsidRPr="004444A2">
        <w:rPr>
          <w:sz w:val="24"/>
          <w:szCs w:val="24"/>
        </w:rPr>
        <w:t xml:space="preserve"> et al., (2019) examine w</w:t>
      </w:r>
      <w:r w:rsidR="004444A2" w:rsidRPr="004444A2">
        <w:rPr>
          <w:sz w:val="24"/>
          <w:szCs w:val="24"/>
        </w:rPr>
        <w:t>heth</w:t>
      </w:r>
      <w:r w:rsidR="004444A2">
        <w:rPr>
          <w:sz w:val="24"/>
          <w:szCs w:val="24"/>
        </w:rPr>
        <w:t>er providing financial incentives could improve the uptake of The MyPlate diet.</w:t>
      </w:r>
      <w:r w:rsidR="00254E92">
        <w:rPr>
          <w:sz w:val="24"/>
          <w:szCs w:val="24"/>
        </w:rPr>
        <w:t xml:space="preserve"> They conclude Education of college students had a significant effect on uptake of the </w:t>
      </w:r>
      <w:r w:rsidR="0092092B">
        <w:rPr>
          <w:sz w:val="24"/>
          <w:szCs w:val="24"/>
        </w:rPr>
        <w:t xml:space="preserve">good diet, </w:t>
      </w:r>
      <w:proofErr w:type="spellStart"/>
      <w:r w:rsidR="0092092B">
        <w:rPr>
          <w:sz w:val="24"/>
          <w:szCs w:val="24"/>
        </w:rPr>
        <w:t>My</w:t>
      </w:r>
      <w:r w:rsidR="00DC3546">
        <w:rPr>
          <w:sz w:val="24"/>
          <w:szCs w:val="24"/>
        </w:rPr>
        <w:t>p</w:t>
      </w:r>
      <w:r w:rsidR="0092092B">
        <w:rPr>
          <w:sz w:val="24"/>
          <w:szCs w:val="24"/>
        </w:rPr>
        <w:t>late</w:t>
      </w:r>
      <w:proofErr w:type="spellEnd"/>
      <w:r w:rsidR="0092092B">
        <w:rPr>
          <w:sz w:val="24"/>
          <w:szCs w:val="24"/>
        </w:rPr>
        <w:t>, with financial incentives. In other words, financial incentives alone was not sufficient. A combination of Education and financial incentives helped.</w:t>
      </w:r>
    </w:p>
    <w:p w14:paraId="0348583F" w14:textId="77777777" w:rsidR="006A464F" w:rsidRDefault="00716F4F" w:rsidP="008E4C7A">
      <w:pPr>
        <w:rPr>
          <w:sz w:val="24"/>
          <w:szCs w:val="24"/>
        </w:rPr>
      </w:pPr>
      <w:proofErr w:type="spellStart"/>
      <w:r w:rsidRPr="004A0032">
        <w:rPr>
          <w:sz w:val="24"/>
          <w:szCs w:val="24"/>
        </w:rPr>
        <w:t>Nazmi</w:t>
      </w:r>
      <w:proofErr w:type="spellEnd"/>
      <w:r w:rsidRPr="004A0032">
        <w:rPr>
          <w:sz w:val="24"/>
          <w:szCs w:val="24"/>
        </w:rPr>
        <w:t xml:space="preserve"> et al., </w:t>
      </w:r>
      <w:r w:rsidR="004A0032" w:rsidRPr="004A0032">
        <w:rPr>
          <w:sz w:val="24"/>
          <w:szCs w:val="24"/>
        </w:rPr>
        <w:t>(</w:t>
      </w:r>
      <w:r w:rsidRPr="004A0032">
        <w:rPr>
          <w:sz w:val="24"/>
          <w:szCs w:val="24"/>
        </w:rPr>
        <w:t>2019)</w:t>
      </w:r>
      <w:r w:rsidR="004A0032" w:rsidRPr="004A0032">
        <w:rPr>
          <w:sz w:val="24"/>
          <w:szCs w:val="24"/>
        </w:rPr>
        <w:t xml:space="preserve"> propose that MyPlate plus NOVA was more</w:t>
      </w:r>
      <w:r w:rsidR="004A0032">
        <w:rPr>
          <w:sz w:val="24"/>
          <w:szCs w:val="24"/>
        </w:rPr>
        <w:t xml:space="preserve"> effective than MyPlate alone</w:t>
      </w:r>
      <w:r w:rsidR="006011A9">
        <w:rPr>
          <w:sz w:val="24"/>
          <w:szCs w:val="24"/>
        </w:rPr>
        <w:t>. NOVA is a classification system of foods, which classified foods into only four di</w:t>
      </w:r>
      <w:r w:rsidR="00601CEB">
        <w:rPr>
          <w:sz w:val="24"/>
          <w:szCs w:val="24"/>
        </w:rPr>
        <w:t>fferent categories.</w:t>
      </w:r>
    </w:p>
    <w:p w14:paraId="469E0A0F" w14:textId="5870FB44" w:rsidR="005E7E15" w:rsidRDefault="00601CEB" w:rsidP="008E4C7A">
      <w:pPr>
        <w:rPr>
          <w:sz w:val="24"/>
          <w:szCs w:val="24"/>
        </w:rPr>
      </w:pPr>
      <w:r>
        <w:rPr>
          <w:sz w:val="24"/>
          <w:szCs w:val="24"/>
        </w:rPr>
        <w:t xml:space="preserve"> Group1: Unprocessed or minimally processed foods.</w:t>
      </w:r>
      <w:r w:rsidR="00520D39">
        <w:rPr>
          <w:sz w:val="24"/>
          <w:szCs w:val="24"/>
        </w:rPr>
        <w:t xml:space="preserve"> </w:t>
      </w:r>
      <w:r w:rsidR="00A26367">
        <w:rPr>
          <w:sz w:val="24"/>
          <w:szCs w:val="24"/>
        </w:rPr>
        <w:t>Includes; natural packaged,, cut, chilled</w:t>
      </w:r>
      <w:r w:rsidR="006E5EF3">
        <w:rPr>
          <w:sz w:val="24"/>
          <w:szCs w:val="24"/>
        </w:rPr>
        <w:t xml:space="preserve"> or frozen vegetables, fruits, </w:t>
      </w:r>
      <w:r w:rsidR="00E75CCB">
        <w:rPr>
          <w:sz w:val="24"/>
          <w:szCs w:val="24"/>
        </w:rPr>
        <w:t xml:space="preserve">potatoes, </w:t>
      </w:r>
      <w:proofErr w:type="spellStart"/>
      <w:r w:rsidR="00E75CCB">
        <w:rPr>
          <w:sz w:val="24"/>
          <w:szCs w:val="24"/>
        </w:rPr>
        <w:t>oer</w:t>
      </w:r>
      <w:proofErr w:type="spellEnd"/>
      <w:r w:rsidR="00E75CCB">
        <w:rPr>
          <w:sz w:val="24"/>
          <w:szCs w:val="24"/>
        </w:rPr>
        <w:t xml:space="preserve"> roots and tubers.</w:t>
      </w:r>
    </w:p>
    <w:p w14:paraId="33C14693" w14:textId="2F4384E8" w:rsidR="00B563DE" w:rsidRDefault="00B563DE" w:rsidP="008E4C7A">
      <w:pPr>
        <w:rPr>
          <w:sz w:val="24"/>
          <w:szCs w:val="24"/>
        </w:rPr>
      </w:pPr>
      <w:r>
        <w:rPr>
          <w:sz w:val="24"/>
          <w:szCs w:val="24"/>
        </w:rPr>
        <w:t>Group2: Processed culinary ingredients.</w:t>
      </w:r>
      <w:r w:rsidR="003D1A73">
        <w:rPr>
          <w:sz w:val="24"/>
          <w:szCs w:val="24"/>
        </w:rPr>
        <w:t xml:space="preserve"> Include oils made from seeds, </w:t>
      </w:r>
      <w:r w:rsidR="002B396D">
        <w:rPr>
          <w:sz w:val="24"/>
          <w:szCs w:val="24"/>
        </w:rPr>
        <w:t xml:space="preserve">soy beans, corn, nuts and fruits, </w:t>
      </w:r>
      <w:r w:rsidR="0028188A">
        <w:rPr>
          <w:sz w:val="24"/>
          <w:szCs w:val="24"/>
        </w:rPr>
        <w:t>butter, lard,</w:t>
      </w:r>
      <w:r w:rsidR="00947553">
        <w:rPr>
          <w:sz w:val="24"/>
          <w:szCs w:val="24"/>
        </w:rPr>
        <w:t xml:space="preserve"> coconut fat.</w:t>
      </w:r>
    </w:p>
    <w:p w14:paraId="70F94097" w14:textId="0C70B622" w:rsidR="00B563DE" w:rsidRDefault="00B563DE" w:rsidP="008E4C7A">
      <w:pPr>
        <w:rPr>
          <w:sz w:val="24"/>
          <w:szCs w:val="24"/>
        </w:rPr>
      </w:pPr>
      <w:r>
        <w:rPr>
          <w:sz w:val="24"/>
          <w:szCs w:val="24"/>
        </w:rPr>
        <w:t>Group3: Processed foods.</w:t>
      </w:r>
      <w:r w:rsidR="00947553">
        <w:rPr>
          <w:sz w:val="24"/>
          <w:szCs w:val="24"/>
        </w:rPr>
        <w:t xml:space="preserve"> Include; </w:t>
      </w:r>
      <w:r w:rsidR="00294830">
        <w:rPr>
          <w:sz w:val="24"/>
          <w:szCs w:val="24"/>
        </w:rPr>
        <w:t>canned or bottled</w:t>
      </w:r>
      <w:r w:rsidR="00DC765E">
        <w:rPr>
          <w:sz w:val="24"/>
          <w:szCs w:val="24"/>
        </w:rPr>
        <w:t xml:space="preserve"> legumes, vegetables preserved in oil</w:t>
      </w:r>
      <w:r w:rsidR="005A572F">
        <w:rPr>
          <w:sz w:val="24"/>
          <w:szCs w:val="24"/>
        </w:rPr>
        <w:t xml:space="preserve">, </w:t>
      </w:r>
      <w:proofErr w:type="spellStart"/>
      <w:r w:rsidR="005A572F">
        <w:rPr>
          <w:sz w:val="24"/>
          <w:szCs w:val="24"/>
        </w:rPr>
        <w:t>tomatoe</w:t>
      </w:r>
      <w:proofErr w:type="spellEnd"/>
      <w:r w:rsidR="005A572F">
        <w:rPr>
          <w:sz w:val="24"/>
          <w:szCs w:val="24"/>
        </w:rPr>
        <w:t xml:space="preserve"> extract, paste or concentrate</w:t>
      </w:r>
      <w:r w:rsidR="007F685E">
        <w:rPr>
          <w:sz w:val="24"/>
          <w:szCs w:val="24"/>
        </w:rPr>
        <w:t>, beef jerky, bacon.</w:t>
      </w:r>
    </w:p>
    <w:p w14:paraId="588CA890" w14:textId="43913451" w:rsidR="00B563DE" w:rsidRDefault="00B563DE" w:rsidP="008E4C7A">
      <w:pPr>
        <w:rPr>
          <w:sz w:val="24"/>
          <w:szCs w:val="24"/>
        </w:rPr>
      </w:pPr>
      <w:r>
        <w:rPr>
          <w:sz w:val="24"/>
          <w:szCs w:val="24"/>
        </w:rPr>
        <w:t>Group4: Ultra processed foods</w:t>
      </w:r>
      <w:r w:rsidR="006A464F">
        <w:rPr>
          <w:sz w:val="24"/>
          <w:szCs w:val="24"/>
        </w:rPr>
        <w:t>.</w:t>
      </w:r>
      <w:r w:rsidR="00E66808">
        <w:rPr>
          <w:sz w:val="24"/>
          <w:szCs w:val="24"/>
        </w:rPr>
        <w:t xml:space="preserve"> Includes; fatty, sweet, </w:t>
      </w:r>
      <w:proofErr w:type="spellStart"/>
      <w:r w:rsidR="00E66808">
        <w:rPr>
          <w:sz w:val="24"/>
          <w:szCs w:val="24"/>
        </w:rPr>
        <w:t>savory</w:t>
      </w:r>
      <w:proofErr w:type="spellEnd"/>
      <w:r w:rsidR="00F63D3B">
        <w:rPr>
          <w:sz w:val="24"/>
          <w:szCs w:val="24"/>
        </w:rPr>
        <w:t xml:space="preserve"> or salty packaged snacks,, </w:t>
      </w:r>
      <w:proofErr w:type="spellStart"/>
      <w:r w:rsidR="00F63D3B">
        <w:rPr>
          <w:sz w:val="24"/>
          <w:szCs w:val="24"/>
        </w:rPr>
        <w:t>icecream</w:t>
      </w:r>
      <w:proofErr w:type="spellEnd"/>
      <w:r w:rsidR="00F63D3B">
        <w:rPr>
          <w:sz w:val="24"/>
          <w:szCs w:val="24"/>
        </w:rPr>
        <w:t xml:space="preserve">, </w:t>
      </w:r>
      <w:proofErr w:type="spellStart"/>
      <w:r w:rsidR="00F63D3B">
        <w:rPr>
          <w:sz w:val="24"/>
          <w:szCs w:val="24"/>
        </w:rPr>
        <w:t>biscuoits</w:t>
      </w:r>
      <w:proofErr w:type="spellEnd"/>
      <w:r w:rsidR="00F63D3B">
        <w:rPr>
          <w:sz w:val="24"/>
          <w:szCs w:val="24"/>
        </w:rPr>
        <w:t>,</w:t>
      </w:r>
      <w:r w:rsidR="00696FD2">
        <w:rPr>
          <w:sz w:val="24"/>
          <w:szCs w:val="24"/>
        </w:rPr>
        <w:t xml:space="preserve"> chocolates, candies, coca cola</w:t>
      </w:r>
      <w:r w:rsidR="00A7261B">
        <w:rPr>
          <w:sz w:val="24"/>
          <w:szCs w:val="24"/>
        </w:rPr>
        <w:t>, other carbonated drinks, sweetened juices</w:t>
      </w:r>
      <w:r w:rsidR="00496DDB">
        <w:rPr>
          <w:sz w:val="24"/>
          <w:szCs w:val="24"/>
        </w:rPr>
        <w:t xml:space="preserve">, </w:t>
      </w:r>
      <w:proofErr w:type="spellStart"/>
      <w:r w:rsidR="00496DDB">
        <w:rPr>
          <w:sz w:val="24"/>
          <w:szCs w:val="24"/>
        </w:rPr>
        <w:t>magerines</w:t>
      </w:r>
      <w:proofErr w:type="spellEnd"/>
      <w:r w:rsidR="00496DDB">
        <w:rPr>
          <w:sz w:val="24"/>
          <w:szCs w:val="24"/>
        </w:rPr>
        <w:t xml:space="preserve"> and spreads.</w:t>
      </w:r>
      <w:r w:rsidR="005C7892">
        <w:rPr>
          <w:sz w:val="24"/>
          <w:szCs w:val="24"/>
        </w:rPr>
        <w:t xml:space="preserve"> Distilled alcoholic beverages such as whiskey, </w:t>
      </w:r>
      <w:r w:rsidR="00A268D3">
        <w:rPr>
          <w:sz w:val="24"/>
          <w:szCs w:val="24"/>
        </w:rPr>
        <w:t>gin, rum, vodka.</w:t>
      </w:r>
    </w:p>
    <w:p w14:paraId="3490D0A2" w14:textId="61170035" w:rsidR="008F7351" w:rsidRPr="004A0032" w:rsidRDefault="008F7351" w:rsidP="008E4C7A">
      <w:pPr>
        <w:rPr>
          <w:sz w:val="24"/>
          <w:szCs w:val="24"/>
        </w:rPr>
      </w:pPr>
      <w:r>
        <w:rPr>
          <w:sz w:val="24"/>
          <w:szCs w:val="24"/>
        </w:rPr>
        <w:t>Other proposals from The USA include; The Atkins diet, used by people all over the world to loose weight</w:t>
      </w:r>
      <w:r w:rsidR="00CC1D57">
        <w:rPr>
          <w:sz w:val="24"/>
          <w:szCs w:val="24"/>
        </w:rPr>
        <w:t>, including over three million people in The UK.</w:t>
      </w:r>
    </w:p>
    <w:p w14:paraId="3842A7DB" w14:textId="77777777" w:rsidR="00756D6B" w:rsidRPr="004A0032" w:rsidRDefault="00756D6B" w:rsidP="005F0509">
      <w:pPr>
        <w:rPr>
          <w:sz w:val="24"/>
          <w:szCs w:val="24"/>
        </w:rPr>
      </w:pPr>
    </w:p>
    <w:p w14:paraId="018EA6F6" w14:textId="77777777" w:rsidR="00302E3F" w:rsidRPr="004D5438" w:rsidRDefault="00D13A2E" w:rsidP="00164CD0">
      <w:pPr>
        <w:pStyle w:val="Heading1"/>
        <w:rPr>
          <w:color w:val="auto"/>
        </w:rPr>
      </w:pPr>
      <w:bookmarkStart w:id="8" w:name="_Toc99111032"/>
      <w:r w:rsidRPr="004D5438">
        <w:rPr>
          <w:color w:val="auto"/>
        </w:rPr>
        <w:t>The Eat</w:t>
      </w:r>
      <w:r w:rsidR="00157006" w:rsidRPr="004D5438">
        <w:rPr>
          <w:color w:val="auto"/>
        </w:rPr>
        <w:t xml:space="preserve"> </w:t>
      </w:r>
      <w:r w:rsidRPr="004D5438">
        <w:rPr>
          <w:color w:val="auto"/>
        </w:rPr>
        <w:t xml:space="preserve">well </w:t>
      </w:r>
      <w:r w:rsidR="00157006" w:rsidRPr="004D5438">
        <w:rPr>
          <w:color w:val="auto"/>
        </w:rPr>
        <w:t>Plat</w:t>
      </w:r>
      <w:r w:rsidRPr="004D5438">
        <w:rPr>
          <w:color w:val="auto"/>
        </w:rPr>
        <w:t>e</w:t>
      </w:r>
      <w:r w:rsidR="00ED0655" w:rsidRPr="004D5438">
        <w:rPr>
          <w:color w:val="auto"/>
        </w:rPr>
        <w:t xml:space="preserve"> (EWP)</w:t>
      </w:r>
      <w:r w:rsidRPr="004D5438">
        <w:rPr>
          <w:color w:val="auto"/>
        </w:rPr>
        <w:t>,</w:t>
      </w:r>
      <w:r w:rsidR="006B3285" w:rsidRPr="004D5438">
        <w:rPr>
          <w:color w:val="auto"/>
        </w:rPr>
        <w:t xml:space="preserve"> Canada</w:t>
      </w:r>
      <w:bookmarkEnd w:id="8"/>
    </w:p>
    <w:p w14:paraId="30CDD1F6" w14:textId="02A10CD2" w:rsidR="00DA2267" w:rsidRPr="00001749" w:rsidRDefault="00164CD0" w:rsidP="00164CD0">
      <w:pPr>
        <w:pStyle w:val="Heading1"/>
        <w:rPr>
          <w:color w:val="auto"/>
        </w:rPr>
      </w:pPr>
      <w:bookmarkStart w:id="9" w:name="_Toc99111033"/>
      <w:proofErr w:type="spellStart"/>
      <w:r w:rsidRPr="00001749">
        <w:rPr>
          <w:color w:val="auto"/>
        </w:rPr>
        <w:t>Giurgevich</w:t>
      </w:r>
      <w:proofErr w:type="spellEnd"/>
      <w:r w:rsidRPr="00001749">
        <w:rPr>
          <w:color w:val="auto"/>
        </w:rPr>
        <w:t xml:space="preserve"> et al., </w:t>
      </w:r>
      <w:r w:rsidR="00302E3F" w:rsidRPr="00001749">
        <w:rPr>
          <w:color w:val="auto"/>
        </w:rPr>
        <w:t>(</w:t>
      </w:r>
      <w:r w:rsidRPr="00001749">
        <w:rPr>
          <w:color w:val="auto"/>
        </w:rPr>
        <w:t>2016)</w:t>
      </w:r>
      <w:r w:rsidR="00302E3F" w:rsidRPr="00001749">
        <w:rPr>
          <w:color w:val="auto"/>
        </w:rPr>
        <w:t xml:space="preserve"> looks at the issue of What is on your plate</w:t>
      </w:r>
      <w:r w:rsidR="004B11EE" w:rsidRPr="00001749">
        <w:rPr>
          <w:color w:val="auto"/>
        </w:rPr>
        <w:t>?, Introducing the Canadian Eatwell Plate 1.</w:t>
      </w:r>
      <w:bookmarkEnd w:id="9"/>
    </w:p>
    <w:p w14:paraId="77758870" w14:textId="0A1963AE" w:rsidR="00DA21E5" w:rsidRPr="00454F1B" w:rsidRDefault="00DA21E5" w:rsidP="00DA21E5">
      <w:pPr>
        <w:rPr>
          <w:sz w:val="24"/>
          <w:szCs w:val="24"/>
        </w:rPr>
      </w:pPr>
      <w:r w:rsidRPr="00454F1B">
        <w:rPr>
          <w:sz w:val="24"/>
          <w:szCs w:val="24"/>
        </w:rPr>
        <w:t xml:space="preserve">Ketchum, (1998) </w:t>
      </w:r>
      <w:r w:rsidR="008E1DB4" w:rsidRPr="00454F1B">
        <w:rPr>
          <w:sz w:val="24"/>
          <w:szCs w:val="24"/>
        </w:rPr>
        <w:t xml:space="preserve">reinforce the view that healthy Eating should be promoted using the </w:t>
      </w:r>
      <w:r w:rsidR="002A0D29" w:rsidRPr="00454F1B">
        <w:rPr>
          <w:sz w:val="24"/>
          <w:szCs w:val="24"/>
        </w:rPr>
        <w:t xml:space="preserve">Canadian </w:t>
      </w:r>
      <w:r w:rsidR="008E1DB4" w:rsidRPr="00454F1B">
        <w:rPr>
          <w:sz w:val="24"/>
          <w:szCs w:val="24"/>
        </w:rPr>
        <w:t>EWP</w:t>
      </w:r>
      <w:r w:rsidR="002A0D29" w:rsidRPr="00454F1B">
        <w:rPr>
          <w:sz w:val="24"/>
          <w:szCs w:val="24"/>
        </w:rPr>
        <w:t>.</w:t>
      </w:r>
    </w:p>
    <w:p w14:paraId="0B11B466" w14:textId="69A6ECD1" w:rsidR="00B66E73" w:rsidRPr="00454F1B" w:rsidRDefault="00B66E73" w:rsidP="00DA21E5">
      <w:pPr>
        <w:rPr>
          <w:sz w:val="24"/>
          <w:szCs w:val="24"/>
        </w:rPr>
      </w:pPr>
      <w:r w:rsidRPr="00454F1B">
        <w:rPr>
          <w:sz w:val="24"/>
          <w:szCs w:val="24"/>
        </w:rPr>
        <w:t xml:space="preserve">Curran, (2012) enhance the campaign by </w:t>
      </w:r>
      <w:r w:rsidR="003C441A" w:rsidRPr="00454F1B">
        <w:rPr>
          <w:sz w:val="24"/>
          <w:szCs w:val="24"/>
        </w:rPr>
        <w:t>highlighting the nutritional benefits of The Canadian Eat Well plate.</w:t>
      </w:r>
    </w:p>
    <w:p w14:paraId="1650444F" w14:textId="0814801A" w:rsidR="006B3285" w:rsidRPr="004D5438" w:rsidRDefault="006B3285" w:rsidP="006B3285">
      <w:pPr>
        <w:pStyle w:val="Heading1"/>
        <w:rPr>
          <w:color w:val="auto"/>
        </w:rPr>
      </w:pPr>
      <w:bookmarkStart w:id="10" w:name="_Toc99111034"/>
      <w:r w:rsidRPr="004D5438">
        <w:rPr>
          <w:color w:val="auto"/>
        </w:rPr>
        <w:t>The Eat</w:t>
      </w:r>
      <w:r w:rsidR="00776911" w:rsidRPr="004D5438">
        <w:rPr>
          <w:color w:val="auto"/>
        </w:rPr>
        <w:t>ing and Activity</w:t>
      </w:r>
      <w:r w:rsidRPr="004D5438">
        <w:rPr>
          <w:color w:val="auto"/>
        </w:rPr>
        <w:t xml:space="preserve"> guide</w:t>
      </w:r>
      <w:r w:rsidR="00CE00D4" w:rsidRPr="004D5438">
        <w:rPr>
          <w:color w:val="auto"/>
        </w:rPr>
        <w:t>lines (EAG)</w:t>
      </w:r>
      <w:r w:rsidRPr="004D5438">
        <w:rPr>
          <w:color w:val="auto"/>
        </w:rPr>
        <w:t xml:space="preserve">, </w:t>
      </w:r>
      <w:r w:rsidR="00D04EE9" w:rsidRPr="004D5438">
        <w:rPr>
          <w:color w:val="auto"/>
        </w:rPr>
        <w:t>New Zealand</w:t>
      </w:r>
      <w:bookmarkEnd w:id="10"/>
    </w:p>
    <w:p w14:paraId="0235482C" w14:textId="76BF20B3" w:rsidR="00ED0655" w:rsidRPr="00454F1B" w:rsidRDefault="00ED5E46" w:rsidP="00ED0655">
      <w:pPr>
        <w:rPr>
          <w:sz w:val="24"/>
          <w:szCs w:val="24"/>
        </w:rPr>
      </w:pPr>
      <w:r w:rsidRPr="00454F1B">
        <w:rPr>
          <w:sz w:val="24"/>
          <w:szCs w:val="24"/>
        </w:rPr>
        <w:t>Esau, (2020) examine the cultural implications of a New Zealand healthy eating diet.</w:t>
      </w:r>
    </w:p>
    <w:p w14:paraId="1D567721" w14:textId="07224A1B" w:rsidR="002E3567" w:rsidRPr="00454F1B" w:rsidRDefault="002E3567" w:rsidP="00ED0655">
      <w:pPr>
        <w:rPr>
          <w:sz w:val="24"/>
          <w:szCs w:val="24"/>
        </w:rPr>
      </w:pPr>
      <w:r w:rsidRPr="00454F1B">
        <w:rPr>
          <w:sz w:val="24"/>
          <w:szCs w:val="24"/>
        </w:rPr>
        <w:t>He concludes that</w:t>
      </w:r>
      <w:r w:rsidR="00C555AC" w:rsidRPr="00454F1B">
        <w:rPr>
          <w:sz w:val="24"/>
          <w:szCs w:val="24"/>
        </w:rPr>
        <w:t>, cultural preferences are much more needed, in hospitals than the need for a healthy diet</w:t>
      </w:r>
      <w:r w:rsidR="00E80622" w:rsidRPr="00454F1B">
        <w:rPr>
          <w:sz w:val="24"/>
          <w:szCs w:val="24"/>
        </w:rPr>
        <w:t>.</w:t>
      </w:r>
    </w:p>
    <w:p w14:paraId="19D7C6C9" w14:textId="1B1EA580" w:rsidR="006B3285" w:rsidRPr="004D5438" w:rsidRDefault="006B3285" w:rsidP="006B3285">
      <w:pPr>
        <w:pStyle w:val="Heading1"/>
        <w:rPr>
          <w:color w:val="auto"/>
        </w:rPr>
      </w:pPr>
      <w:bookmarkStart w:id="11" w:name="_Toc99111035"/>
      <w:r w:rsidRPr="004D5438">
        <w:rPr>
          <w:color w:val="auto"/>
        </w:rPr>
        <w:lastRenderedPageBreak/>
        <w:t xml:space="preserve">The </w:t>
      </w:r>
      <w:r w:rsidR="006178D4" w:rsidRPr="004D5438">
        <w:rPr>
          <w:color w:val="auto"/>
        </w:rPr>
        <w:t>Health and Sustainable Diets for European countries</w:t>
      </w:r>
      <w:r w:rsidRPr="004D5438">
        <w:rPr>
          <w:color w:val="auto"/>
        </w:rPr>
        <w:t xml:space="preserve">, </w:t>
      </w:r>
      <w:r w:rsidR="00087766" w:rsidRPr="004D5438">
        <w:rPr>
          <w:color w:val="auto"/>
        </w:rPr>
        <w:t>published by The European Public Health Authority (</w:t>
      </w:r>
      <w:r w:rsidR="00B80A58" w:rsidRPr="004D5438">
        <w:rPr>
          <w:color w:val="auto"/>
        </w:rPr>
        <w:t>EUPHA)</w:t>
      </w:r>
      <w:bookmarkEnd w:id="11"/>
    </w:p>
    <w:p w14:paraId="01BFD3E2" w14:textId="64178977" w:rsidR="00CF0352" w:rsidRPr="00454F1B" w:rsidRDefault="00FB769E" w:rsidP="00CF0352">
      <w:pPr>
        <w:rPr>
          <w:sz w:val="24"/>
          <w:szCs w:val="24"/>
        </w:rPr>
      </w:pPr>
      <w:proofErr w:type="spellStart"/>
      <w:r w:rsidRPr="00454F1B">
        <w:rPr>
          <w:sz w:val="24"/>
          <w:szCs w:val="24"/>
        </w:rPr>
        <w:t>Brambila</w:t>
      </w:r>
      <w:proofErr w:type="spellEnd"/>
      <w:r w:rsidRPr="00454F1B">
        <w:rPr>
          <w:sz w:val="24"/>
          <w:szCs w:val="24"/>
        </w:rPr>
        <w:t xml:space="preserve">-Macias et al., (2011) </w:t>
      </w:r>
      <w:r w:rsidR="004271C1" w:rsidRPr="00454F1B">
        <w:rPr>
          <w:sz w:val="24"/>
          <w:szCs w:val="24"/>
        </w:rPr>
        <w:t>assert</w:t>
      </w:r>
      <w:r w:rsidRPr="00454F1B">
        <w:rPr>
          <w:sz w:val="24"/>
          <w:szCs w:val="24"/>
        </w:rPr>
        <w:t xml:space="preserve"> that </w:t>
      </w:r>
      <w:r w:rsidR="00AE0A92" w:rsidRPr="00454F1B">
        <w:rPr>
          <w:sz w:val="24"/>
          <w:szCs w:val="24"/>
        </w:rPr>
        <w:t xml:space="preserve">The EU as a whole follows similar trends in Obesity and diabetes like other </w:t>
      </w:r>
      <w:r w:rsidR="007740E0" w:rsidRPr="00454F1B">
        <w:rPr>
          <w:sz w:val="24"/>
          <w:szCs w:val="24"/>
        </w:rPr>
        <w:t xml:space="preserve">developed nations. But it is more difficult to come to a consensus view because of the diverse nations in The European </w:t>
      </w:r>
      <w:r w:rsidR="004271C1" w:rsidRPr="00454F1B">
        <w:rPr>
          <w:sz w:val="24"/>
          <w:szCs w:val="24"/>
        </w:rPr>
        <w:t>Union</w:t>
      </w:r>
      <w:r w:rsidR="007740E0" w:rsidRPr="00454F1B">
        <w:rPr>
          <w:sz w:val="24"/>
          <w:szCs w:val="24"/>
        </w:rPr>
        <w:t>.</w:t>
      </w:r>
      <w:r w:rsidR="000476C9" w:rsidRPr="00454F1B">
        <w:rPr>
          <w:sz w:val="24"/>
          <w:szCs w:val="24"/>
        </w:rPr>
        <w:t xml:space="preserve"> The EU intends to follow the World Health Organisation guidelines on a good diet.</w:t>
      </w:r>
    </w:p>
    <w:p w14:paraId="76018167" w14:textId="18B1915E" w:rsidR="0059487B" w:rsidRPr="00454F1B" w:rsidRDefault="00560DB0" w:rsidP="00CF0352">
      <w:pPr>
        <w:rPr>
          <w:sz w:val="24"/>
          <w:szCs w:val="24"/>
        </w:rPr>
      </w:pPr>
      <w:r w:rsidRPr="00454F1B">
        <w:rPr>
          <w:sz w:val="24"/>
          <w:szCs w:val="24"/>
        </w:rPr>
        <w:t xml:space="preserve">Organization, </w:t>
      </w:r>
      <w:r w:rsidR="00ED4396" w:rsidRPr="00454F1B">
        <w:rPr>
          <w:sz w:val="24"/>
          <w:szCs w:val="24"/>
        </w:rPr>
        <w:t>(</w:t>
      </w:r>
      <w:r w:rsidRPr="00454F1B">
        <w:rPr>
          <w:sz w:val="24"/>
          <w:szCs w:val="24"/>
        </w:rPr>
        <w:t>2003)</w:t>
      </w:r>
      <w:r w:rsidR="00ED4396" w:rsidRPr="00454F1B">
        <w:rPr>
          <w:sz w:val="24"/>
          <w:szCs w:val="24"/>
        </w:rPr>
        <w:t xml:space="preserve"> affirm that, There is a link between diets and </w:t>
      </w:r>
      <w:proofErr w:type="spellStart"/>
      <w:r w:rsidR="00ED4396" w:rsidRPr="00454F1B">
        <w:rPr>
          <w:sz w:val="24"/>
          <w:szCs w:val="24"/>
        </w:rPr>
        <w:t>NonCommunicable</w:t>
      </w:r>
      <w:proofErr w:type="spellEnd"/>
      <w:r w:rsidR="00ED4396" w:rsidRPr="00454F1B">
        <w:rPr>
          <w:sz w:val="24"/>
          <w:szCs w:val="24"/>
        </w:rPr>
        <w:t xml:space="preserve"> diseases</w:t>
      </w:r>
      <w:r w:rsidR="00733B44" w:rsidRPr="00454F1B">
        <w:rPr>
          <w:sz w:val="24"/>
          <w:szCs w:val="24"/>
        </w:rPr>
        <w:t xml:space="preserve">. The World Health </w:t>
      </w:r>
      <w:r w:rsidR="00732BDE" w:rsidRPr="00454F1B">
        <w:rPr>
          <w:sz w:val="24"/>
          <w:szCs w:val="24"/>
        </w:rPr>
        <w:t>Organisation</w:t>
      </w:r>
      <w:r w:rsidR="00940CD1" w:rsidRPr="00454F1B">
        <w:rPr>
          <w:sz w:val="24"/>
          <w:szCs w:val="24"/>
        </w:rPr>
        <w:t xml:space="preserve">, in collaboration with The Food </w:t>
      </w:r>
      <w:r w:rsidR="00882C9F" w:rsidRPr="00454F1B">
        <w:rPr>
          <w:sz w:val="24"/>
          <w:szCs w:val="24"/>
        </w:rPr>
        <w:t>and Agricultural Organisation, work in tandem, to try and resolve some of these issues</w:t>
      </w:r>
      <w:r w:rsidR="00732BDE" w:rsidRPr="00454F1B">
        <w:rPr>
          <w:sz w:val="24"/>
          <w:szCs w:val="24"/>
        </w:rPr>
        <w:t>.</w:t>
      </w:r>
    </w:p>
    <w:p w14:paraId="6F228FA6" w14:textId="7C460B1F" w:rsidR="0075096C" w:rsidRPr="00AE0A92" w:rsidRDefault="00E814EC" w:rsidP="00CF0352">
      <w:r w:rsidRPr="00454F1B">
        <w:rPr>
          <w:sz w:val="24"/>
          <w:szCs w:val="24"/>
        </w:rPr>
        <w:t xml:space="preserve">A healthy diet sustainably produced,( 2018) largely agree, with </w:t>
      </w:r>
      <w:r w:rsidR="007212C1" w:rsidRPr="00454F1B">
        <w:rPr>
          <w:sz w:val="24"/>
          <w:szCs w:val="24"/>
        </w:rPr>
        <w:t>the majority of studies on what constitutes a healthy diet.</w:t>
      </w:r>
      <w:r w:rsidR="001C7789" w:rsidRPr="00454F1B">
        <w:rPr>
          <w:sz w:val="24"/>
          <w:szCs w:val="24"/>
        </w:rPr>
        <w:t xml:space="preserve"> </w:t>
      </w:r>
      <w:r w:rsidR="003C0B0D" w:rsidRPr="00454F1B">
        <w:rPr>
          <w:sz w:val="24"/>
          <w:szCs w:val="24"/>
        </w:rPr>
        <w:t>World Health Organisation</w:t>
      </w:r>
      <w:r w:rsidR="006A4639" w:rsidRPr="00454F1B">
        <w:rPr>
          <w:sz w:val="24"/>
          <w:szCs w:val="24"/>
        </w:rPr>
        <w:t>, though it recognises the role of a heathy diet,</w:t>
      </w:r>
      <w:r w:rsidR="006A4639">
        <w:t xml:space="preserve"> </w:t>
      </w:r>
      <w:r w:rsidR="006A4639" w:rsidRPr="00454F1B">
        <w:rPr>
          <w:sz w:val="24"/>
          <w:szCs w:val="24"/>
        </w:rPr>
        <w:t xml:space="preserve">stating that it is a fundamental human right, </w:t>
      </w:r>
      <w:r w:rsidR="007C781C" w:rsidRPr="00454F1B">
        <w:rPr>
          <w:sz w:val="24"/>
          <w:szCs w:val="24"/>
        </w:rPr>
        <w:t>it also stresses the need for sustainability in producing these healthy diets.</w:t>
      </w:r>
    </w:p>
    <w:p w14:paraId="0C94AB64" w14:textId="73C6156E" w:rsidR="006B3285" w:rsidRPr="004D5438" w:rsidRDefault="006B3285" w:rsidP="006B3285">
      <w:pPr>
        <w:pStyle w:val="Heading1"/>
        <w:rPr>
          <w:color w:val="auto"/>
        </w:rPr>
      </w:pPr>
      <w:bookmarkStart w:id="12" w:name="_Toc99111036"/>
      <w:r w:rsidRPr="004D5438">
        <w:rPr>
          <w:color w:val="auto"/>
        </w:rPr>
        <w:t>The Eatwell guide, Effects on climate change and Carbon footprint</w:t>
      </w:r>
      <w:bookmarkEnd w:id="12"/>
    </w:p>
    <w:p w14:paraId="1131246F" w14:textId="026AA917" w:rsidR="005C5A91" w:rsidRDefault="008740D3" w:rsidP="005C5A91">
      <w:r>
        <w:rPr>
          <w:noProof/>
        </w:rPr>
        <w:drawing>
          <wp:inline distT="0" distB="0" distL="0" distR="0" wp14:anchorId="008456BC" wp14:editId="53E0D3B7">
            <wp:extent cx="5731510" cy="4790516"/>
            <wp:effectExtent l="0" t="0" r="2540" b="0"/>
            <wp:docPr id="7" name="Picture 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790516"/>
                    </a:xfrm>
                    <a:prstGeom prst="rect">
                      <a:avLst/>
                    </a:prstGeom>
                    <a:noFill/>
                    <a:ln>
                      <a:noFill/>
                    </a:ln>
                  </pic:spPr>
                </pic:pic>
              </a:graphicData>
            </a:graphic>
          </wp:inline>
        </w:drawing>
      </w:r>
    </w:p>
    <w:tbl>
      <w:tblPr>
        <w:tblW w:w="10350" w:type="dxa"/>
        <w:tblBorders>
          <w:top w:val="single" w:sz="6" w:space="0" w:color="9E9E9E"/>
          <w:left w:val="single" w:sz="6" w:space="0" w:color="9E9E9E"/>
          <w:bottom w:val="single" w:sz="6" w:space="0" w:color="9E9E9E"/>
          <w:right w:val="single" w:sz="6" w:space="0" w:color="9E9E9E"/>
        </w:tblBorders>
        <w:tblCellMar>
          <w:top w:w="15" w:type="dxa"/>
          <w:left w:w="15" w:type="dxa"/>
          <w:bottom w:w="15" w:type="dxa"/>
          <w:right w:w="15" w:type="dxa"/>
        </w:tblCellMar>
        <w:tblLook w:val="04A0" w:firstRow="1" w:lastRow="0" w:firstColumn="1" w:lastColumn="0" w:noHBand="0" w:noVBand="1"/>
      </w:tblPr>
      <w:tblGrid>
        <w:gridCol w:w="1759"/>
        <w:gridCol w:w="3208"/>
        <w:gridCol w:w="2686"/>
        <w:gridCol w:w="2697"/>
      </w:tblGrid>
      <w:tr w:rsidR="00F06814" w:rsidRPr="00F06814" w14:paraId="0C018A8B" w14:textId="77777777" w:rsidTr="00F06814">
        <w:trPr>
          <w:tblHeader/>
        </w:trPr>
        <w:tc>
          <w:tcPr>
            <w:tcW w:w="0" w:type="auto"/>
            <w:vMerge w:val="restart"/>
            <w:tcBorders>
              <w:top w:val="nil"/>
              <w:left w:val="nil"/>
              <w:bottom w:val="nil"/>
              <w:right w:val="nil"/>
            </w:tcBorders>
            <w:shd w:val="clear" w:color="auto" w:fill="EEEEEE"/>
            <w:tcMar>
              <w:top w:w="120" w:type="dxa"/>
              <w:left w:w="120" w:type="dxa"/>
              <w:bottom w:w="120" w:type="dxa"/>
              <w:right w:w="120" w:type="dxa"/>
            </w:tcMar>
            <w:hideMark/>
          </w:tcPr>
          <w:p w14:paraId="3788140C"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lastRenderedPageBreak/>
              <w:t>Foodstuff</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7A75F19D"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GHG emissions</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19C30B66"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Water footprint</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6A99092A"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Fossil fuel input</w:t>
            </w:r>
          </w:p>
        </w:tc>
      </w:tr>
      <w:tr w:rsidR="00F06814" w:rsidRPr="00F06814" w14:paraId="6F8D9482" w14:textId="77777777" w:rsidTr="00F06814">
        <w:trPr>
          <w:tblHeader/>
        </w:trPr>
        <w:tc>
          <w:tcPr>
            <w:tcW w:w="0" w:type="auto"/>
            <w:vMerge/>
            <w:tcBorders>
              <w:top w:val="nil"/>
              <w:left w:val="nil"/>
              <w:bottom w:val="nil"/>
              <w:right w:val="nil"/>
            </w:tcBorders>
            <w:vAlign w:val="center"/>
            <w:hideMark/>
          </w:tcPr>
          <w:p w14:paraId="322CBAC2" w14:textId="77777777" w:rsidR="00F06814" w:rsidRPr="00F06814" w:rsidRDefault="00F06814" w:rsidP="00F06814">
            <w:pPr>
              <w:spacing w:after="225" w:line="240" w:lineRule="auto"/>
              <w:rPr>
                <w:rFonts w:ascii="Times New Roman" w:eastAsia="Times New Roman" w:hAnsi="Times New Roman" w:cs="Times New Roman"/>
                <w:b/>
                <w:bCs/>
                <w:color w:val="000000"/>
                <w:sz w:val="24"/>
                <w:szCs w:val="24"/>
              </w:rPr>
            </w:pP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79056A28"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Kg CO</w:t>
            </w:r>
            <w:r w:rsidRPr="00F06814">
              <w:rPr>
                <w:rFonts w:ascii="Times New Roman" w:eastAsia="Times New Roman" w:hAnsi="Times New Roman" w:cs="Times New Roman"/>
                <w:b/>
                <w:bCs/>
                <w:color w:val="000000"/>
                <w:sz w:val="16"/>
                <w:szCs w:val="16"/>
                <w:vertAlign w:val="subscript"/>
              </w:rPr>
              <w:t>2</w:t>
            </w:r>
            <w:r w:rsidRPr="00F06814">
              <w:rPr>
                <w:rFonts w:ascii="Times New Roman" w:eastAsia="Times New Roman" w:hAnsi="Times New Roman" w:cs="Times New Roman"/>
                <w:b/>
                <w:bCs/>
                <w:color w:val="000000"/>
                <w:sz w:val="24"/>
                <w:szCs w:val="24"/>
              </w:rPr>
              <w:t> equivalents</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5FC67DE2"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Litres/kg</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5CD842F5" w14:textId="77777777" w:rsidR="00F06814" w:rsidRPr="00F06814" w:rsidRDefault="00F06814" w:rsidP="00F06814">
            <w:pPr>
              <w:spacing w:after="225" w:line="360" w:lineRule="atLeast"/>
              <w:rPr>
                <w:rFonts w:ascii="Times New Roman" w:eastAsia="Times New Roman" w:hAnsi="Times New Roman" w:cs="Times New Roman"/>
                <w:b/>
                <w:bCs/>
                <w:color w:val="000000"/>
                <w:sz w:val="24"/>
                <w:szCs w:val="24"/>
              </w:rPr>
            </w:pPr>
            <w:r w:rsidRPr="00F06814">
              <w:rPr>
                <w:rFonts w:ascii="Times New Roman" w:eastAsia="Times New Roman" w:hAnsi="Times New Roman" w:cs="Times New Roman"/>
                <w:b/>
                <w:bCs/>
                <w:color w:val="000000"/>
                <w:sz w:val="24"/>
                <w:szCs w:val="24"/>
              </w:rPr>
              <w:t>MJ/kg</w:t>
            </w:r>
          </w:p>
        </w:tc>
      </w:tr>
      <w:tr w:rsidR="00F06814" w:rsidRPr="00F06814" w14:paraId="4B00261B" w14:textId="77777777" w:rsidTr="00F06814">
        <w:tc>
          <w:tcPr>
            <w:tcW w:w="0" w:type="auto"/>
            <w:tcMar>
              <w:top w:w="180" w:type="dxa"/>
              <w:left w:w="180" w:type="dxa"/>
              <w:bottom w:w="0" w:type="dxa"/>
              <w:right w:w="180" w:type="dxa"/>
            </w:tcMar>
            <w:hideMark/>
          </w:tcPr>
          <w:p w14:paraId="25872176"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Milk</w:t>
            </w:r>
          </w:p>
        </w:tc>
        <w:tc>
          <w:tcPr>
            <w:tcW w:w="0" w:type="auto"/>
            <w:tcMar>
              <w:top w:w="180" w:type="dxa"/>
              <w:left w:w="180" w:type="dxa"/>
              <w:bottom w:w="0" w:type="dxa"/>
              <w:right w:w="180" w:type="dxa"/>
            </w:tcMar>
            <w:hideMark/>
          </w:tcPr>
          <w:p w14:paraId="4C1B6470"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0.4–1.4</w:t>
            </w:r>
          </w:p>
        </w:tc>
        <w:tc>
          <w:tcPr>
            <w:tcW w:w="0" w:type="auto"/>
            <w:tcMar>
              <w:top w:w="180" w:type="dxa"/>
              <w:left w:w="180" w:type="dxa"/>
              <w:bottom w:w="0" w:type="dxa"/>
              <w:right w:w="180" w:type="dxa"/>
            </w:tcMar>
            <w:hideMark/>
          </w:tcPr>
          <w:p w14:paraId="51E8FBD8"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1 000</w:t>
            </w:r>
          </w:p>
        </w:tc>
        <w:tc>
          <w:tcPr>
            <w:tcW w:w="0" w:type="auto"/>
            <w:tcMar>
              <w:top w:w="180" w:type="dxa"/>
              <w:left w:w="180" w:type="dxa"/>
              <w:bottom w:w="0" w:type="dxa"/>
              <w:right w:w="180" w:type="dxa"/>
            </w:tcMar>
            <w:hideMark/>
          </w:tcPr>
          <w:p w14:paraId="72128188"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2.5–3.6</w:t>
            </w:r>
          </w:p>
        </w:tc>
      </w:tr>
      <w:tr w:rsidR="00F06814" w:rsidRPr="00F06814" w14:paraId="29F90506" w14:textId="77777777" w:rsidTr="00F06814">
        <w:tc>
          <w:tcPr>
            <w:tcW w:w="0" w:type="auto"/>
            <w:tcMar>
              <w:top w:w="180" w:type="dxa"/>
              <w:left w:w="180" w:type="dxa"/>
              <w:bottom w:w="0" w:type="dxa"/>
              <w:right w:w="180" w:type="dxa"/>
            </w:tcMar>
            <w:hideMark/>
          </w:tcPr>
          <w:p w14:paraId="5FC2C2A2"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Beef</w:t>
            </w:r>
          </w:p>
        </w:tc>
        <w:tc>
          <w:tcPr>
            <w:tcW w:w="0" w:type="auto"/>
            <w:tcMar>
              <w:top w:w="180" w:type="dxa"/>
              <w:left w:w="180" w:type="dxa"/>
              <w:bottom w:w="0" w:type="dxa"/>
              <w:right w:w="180" w:type="dxa"/>
            </w:tcMar>
            <w:hideMark/>
          </w:tcPr>
          <w:p w14:paraId="4DB19F1C"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6.3–37</w:t>
            </w:r>
          </w:p>
        </w:tc>
        <w:tc>
          <w:tcPr>
            <w:tcW w:w="0" w:type="auto"/>
            <w:tcMar>
              <w:top w:w="180" w:type="dxa"/>
              <w:left w:w="180" w:type="dxa"/>
              <w:bottom w:w="0" w:type="dxa"/>
              <w:right w:w="180" w:type="dxa"/>
            </w:tcMar>
            <w:hideMark/>
          </w:tcPr>
          <w:p w14:paraId="3231E258"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15 500</w:t>
            </w:r>
          </w:p>
        </w:tc>
        <w:tc>
          <w:tcPr>
            <w:tcW w:w="0" w:type="auto"/>
            <w:tcMar>
              <w:top w:w="180" w:type="dxa"/>
              <w:left w:w="180" w:type="dxa"/>
              <w:bottom w:w="0" w:type="dxa"/>
              <w:right w:w="180" w:type="dxa"/>
            </w:tcMar>
            <w:hideMark/>
          </w:tcPr>
          <w:p w14:paraId="3EC51665"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15–56</w:t>
            </w:r>
          </w:p>
        </w:tc>
      </w:tr>
      <w:tr w:rsidR="00F06814" w:rsidRPr="00F06814" w14:paraId="79345BCF" w14:textId="77777777" w:rsidTr="00F06814">
        <w:tc>
          <w:tcPr>
            <w:tcW w:w="0" w:type="auto"/>
            <w:tcMar>
              <w:top w:w="180" w:type="dxa"/>
              <w:left w:w="180" w:type="dxa"/>
              <w:bottom w:w="0" w:type="dxa"/>
              <w:right w:w="180" w:type="dxa"/>
            </w:tcMar>
            <w:hideMark/>
          </w:tcPr>
          <w:p w14:paraId="514272F9"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Sheep meat</w:t>
            </w:r>
          </w:p>
        </w:tc>
        <w:tc>
          <w:tcPr>
            <w:tcW w:w="0" w:type="auto"/>
            <w:tcMar>
              <w:top w:w="180" w:type="dxa"/>
              <w:left w:w="180" w:type="dxa"/>
              <w:bottom w:w="0" w:type="dxa"/>
              <w:right w:w="180" w:type="dxa"/>
            </w:tcMar>
            <w:hideMark/>
          </w:tcPr>
          <w:p w14:paraId="7D419258"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7.6–17</w:t>
            </w:r>
          </w:p>
        </w:tc>
        <w:tc>
          <w:tcPr>
            <w:tcW w:w="0" w:type="auto"/>
            <w:tcMar>
              <w:top w:w="180" w:type="dxa"/>
              <w:left w:w="180" w:type="dxa"/>
              <w:bottom w:w="0" w:type="dxa"/>
              <w:right w:w="180" w:type="dxa"/>
            </w:tcMar>
            <w:hideMark/>
          </w:tcPr>
          <w:p w14:paraId="57983CA4"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6 100</w:t>
            </w:r>
          </w:p>
        </w:tc>
        <w:tc>
          <w:tcPr>
            <w:tcW w:w="0" w:type="auto"/>
            <w:tcMar>
              <w:top w:w="180" w:type="dxa"/>
              <w:left w:w="180" w:type="dxa"/>
              <w:bottom w:w="0" w:type="dxa"/>
              <w:right w:w="180" w:type="dxa"/>
            </w:tcMar>
            <w:hideMark/>
          </w:tcPr>
          <w:p w14:paraId="065B5764"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17–19.3</w:t>
            </w:r>
          </w:p>
        </w:tc>
      </w:tr>
      <w:tr w:rsidR="00F06814" w:rsidRPr="00F06814" w14:paraId="55B221AE" w14:textId="77777777" w:rsidTr="00F06814">
        <w:tc>
          <w:tcPr>
            <w:tcW w:w="0" w:type="auto"/>
            <w:tcMar>
              <w:top w:w="180" w:type="dxa"/>
              <w:left w:w="180" w:type="dxa"/>
              <w:bottom w:w="0" w:type="dxa"/>
              <w:right w:w="180" w:type="dxa"/>
            </w:tcMar>
            <w:hideMark/>
          </w:tcPr>
          <w:p w14:paraId="68B31526"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Eggs</w:t>
            </w:r>
          </w:p>
        </w:tc>
        <w:tc>
          <w:tcPr>
            <w:tcW w:w="0" w:type="auto"/>
            <w:tcMar>
              <w:top w:w="180" w:type="dxa"/>
              <w:left w:w="180" w:type="dxa"/>
              <w:bottom w:w="0" w:type="dxa"/>
              <w:right w:w="180" w:type="dxa"/>
            </w:tcMar>
            <w:hideMark/>
          </w:tcPr>
          <w:p w14:paraId="393F43DF"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2.2–5.5</w:t>
            </w:r>
          </w:p>
        </w:tc>
        <w:tc>
          <w:tcPr>
            <w:tcW w:w="0" w:type="auto"/>
            <w:tcMar>
              <w:top w:w="180" w:type="dxa"/>
              <w:left w:w="180" w:type="dxa"/>
              <w:bottom w:w="0" w:type="dxa"/>
              <w:right w:w="180" w:type="dxa"/>
            </w:tcMar>
            <w:hideMark/>
          </w:tcPr>
          <w:p w14:paraId="4B1B9F86"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3 900</w:t>
            </w:r>
          </w:p>
        </w:tc>
        <w:tc>
          <w:tcPr>
            <w:tcW w:w="0" w:type="auto"/>
            <w:tcMar>
              <w:top w:w="180" w:type="dxa"/>
              <w:left w:w="180" w:type="dxa"/>
              <w:bottom w:w="0" w:type="dxa"/>
              <w:right w:w="180" w:type="dxa"/>
            </w:tcMar>
            <w:hideMark/>
          </w:tcPr>
          <w:p w14:paraId="7DC3A587"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14–22.2</w:t>
            </w:r>
          </w:p>
        </w:tc>
      </w:tr>
      <w:tr w:rsidR="00F06814" w:rsidRPr="00F06814" w14:paraId="4A8E0442" w14:textId="77777777" w:rsidTr="00F06814">
        <w:tc>
          <w:tcPr>
            <w:tcW w:w="0" w:type="auto"/>
            <w:tcMar>
              <w:top w:w="180" w:type="dxa"/>
              <w:left w:w="180" w:type="dxa"/>
              <w:bottom w:w="0" w:type="dxa"/>
              <w:right w:w="180" w:type="dxa"/>
            </w:tcMar>
            <w:hideMark/>
          </w:tcPr>
          <w:p w14:paraId="2DC2F0F2"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Poultry</w:t>
            </w:r>
          </w:p>
        </w:tc>
        <w:tc>
          <w:tcPr>
            <w:tcW w:w="0" w:type="auto"/>
            <w:tcMar>
              <w:top w:w="180" w:type="dxa"/>
              <w:left w:w="180" w:type="dxa"/>
              <w:bottom w:w="0" w:type="dxa"/>
              <w:right w:w="180" w:type="dxa"/>
            </w:tcMar>
            <w:hideMark/>
          </w:tcPr>
          <w:p w14:paraId="2AA23A80"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1.1–4.6</w:t>
            </w:r>
          </w:p>
        </w:tc>
        <w:tc>
          <w:tcPr>
            <w:tcW w:w="0" w:type="auto"/>
            <w:tcMar>
              <w:top w:w="180" w:type="dxa"/>
              <w:left w:w="180" w:type="dxa"/>
              <w:bottom w:w="0" w:type="dxa"/>
              <w:right w:w="180" w:type="dxa"/>
            </w:tcMar>
            <w:hideMark/>
          </w:tcPr>
          <w:p w14:paraId="2CAAF806"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2 390–4 500</w:t>
            </w:r>
          </w:p>
        </w:tc>
        <w:tc>
          <w:tcPr>
            <w:tcW w:w="0" w:type="auto"/>
            <w:tcMar>
              <w:top w:w="180" w:type="dxa"/>
              <w:left w:w="180" w:type="dxa"/>
              <w:bottom w:w="0" w:type="dxa"/>
              <w:right w:w="180" w:type="dxa"/>
            </w:tcMar>
            <w:hideMark/>
          </w:tcPr>
          <w:p w14:paraId="35F9C882"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12–25</w:t>
            </w:r>
          </w:p>
        </w:tc>
      </w:tr>
      <w:tr w:rsidR="00F06814" w:rsidRPr="00F06814" w14:paraId="218ED0C3" w14:textId="77777777" w:rsidTr="00F06814">
        <w:tc>
          <w:tcPr>
            <w:tcW w:w="0" w:type="auto"/>
            <w:tcMar>
              <w:top w:w="180" w:type="dxa"/>
              <w:left w:w="180" w:type="dxa"/>
              <w:bottom w:w="0" w:type="dxa"/>
              <w:right w:w="180" w:type="dxa"/>
            </w:tcMar>
            <w:hideMark/>
          </w:tcPr>
          <w:p w14:paraId="45463A6F"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Soya</w:t>
            </w:r>
          </w:p>
        </w:tc>
        <w:tc>
          <w:tcPr>
            <w:tcW w:w="0" w:type="auto"/>
            <w:tcMar>
              <w:top w:w="180" w:type="dxa"/>
              <w:left w:w="180" w:type="dxa"/>
              <w:bottom w:w="0" w:type="dxa"/>
              <w:right w:w="180" w:type="dxa"/>
            </w:tcMar>
            <w:hideMark/>
          </w:tcPr>
          <w:p w14:paraId="323C81BA"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0.9</w:t>
            </w:r>
          </w:p>
        </w:tc>
        <w:tc>
          <w:tcPr>
            <w:tcW w:w="0" w:type="auto"/>
            <w:tcMar>
              <w:top w:w="180" w:type="dxa"/>
              <w:left w:w="180" w:type="dxa"/>
              <w:bottom w:w="0" w:type="dxa"/>
              <w:right w:w="180" w:type="dxa"/>
            </w:tcMar>
            <w:hideMark/>
          </w:tcPr>
          <w:p w14:paraId="56498866"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1 800</w:t>
            </w:r>
          </w:p>
        </w:tc>
        <w:tc>
          <w:tcPr>
            <w:tcW w:w="0" w:type="auto"/>
            <w:tcMar>
              <w:top w:w="180" w:type="dxa"/>
              <w:left w:w="180" w:type="dxa"/>
              <w:bottom w:w="0" w:type="dxa"/>
              <w:right w:w="180" w:type="dxa"/>
            </w:tcMar>
            <w:hideMark/>
          </w:tcPr>
          <w:p w14:paraId="5E028400"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5.9</w:t>
            </w:r>
          </w:p>
        </w:tc>
      </w:tr>
      <w:tr w:rsidR="00F06814" w:rsidRPr="00F06814" w14:paraId="54709A66" w14:textId="77777777" w:rsidTr="00F06814">
        <w:tc>
          <w:tcPr>
            <w:tcW w:w="0" w:type="auto"/>
            <w:tcMar>
              <w:top w:w="180" w:type="dxa"/>
              <w:left w:w="180" w:type="dxa"/>
              <w:bottom w:w="0" w:type="dxa"/>
              <w:right w:w="180" w:type="dxa"/>
            </w:tcMar>
            <w:hideMark/>
          </w:tcPr>
          <w:p w14:paraId="7EEB9DBB"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Wheat</w:t>
            </w:r>
          </w:p>
        </w:tc>
        <w:tc>
          <w:tcPr>
            <w:tcW w:w="0" w:type="auto"/>
            <w:tcMar>
              <w:top w:w="180" w:type="dxa"/>
              <w:left w:w="180" w:type="dxa"/>
              <w:bottom w:w="0" w:type="dxa"/>
              <w:right w:w="180" w:type="dxa"/>
            </w:tcMar>
            <w:hideMark/>
          </w:tcPr>
          <w:p w14:paraId="300F076B"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0.3</w:t>
            </w:r>
          </w:p>
        </w:tc>
        <w:tc>
          <w:tcPr>
            <w:tcW w:w="0" w:type="auto"/>
            <w:tcMar>
              <w:top w:w="180" w:type="dxa"/>
              <w:left w:w="180" w:type="dxa"/>
              <w:bottom w:w="0" w:type="dxa"/>
              <w:right w:w="180" w:type="dxa"/>
            </w:tcMar>
            <w:hideMark/>
          </w:tcPr>
          <w:p w14:paraId="4B9C70B5"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1 300</w:t>
            </w:r>
          </w:p>
        </w:tc>
        <w:tc>
          <w:tcPr>
            <w:tcW w:w="0" w:type="auto"/>
            <w:tcMar>
              <w:top w:w="180" w:type="dxa"/>
              <w:left w:w="180" w:type="dxa"/>
              <w:bottom w:w="0" w:type="dxa"/>
              <w:right w:w="180" w:type="dxa"/>
            </w:tcMar>
            <w:hideMark/>
          </w:tcPr>
          <w:p w14:paraId="4B9CAB9E"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2.1–2.8</w:t>
            </w:r>
          </w:p>
        </w:tc>
      </w:tr>
      <w:tr w:rsidR="00F06814" w:rsidRPr="00F06814" w14:paraId="7D5CA604" w14:textId="77777777" w:rsidTr="00F06814">
        <w:tc>
          <w:tcPr>
            <w:tcW w:w="0" w:type="auto"/>
            <w:tcMar>
              <w:top w:w="180" w:type="dxa"/>
              <w:left w:w="180" w:type="dxa"/>
              <w:bottom w:w="0" w:type="dxa"/>
              <w:right w:w="180" w:type="dxa"/>
            </w:tcMar>
            <w:hideMark/>
          </w:tcPr>
          <w:p w14:paraId="7EE01843"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Rice</w:t>
            </w:r>
          </w:p>
        </w:tc>
        <w:tc>
          <w:tcPr>
            <w:tcW w:w="0" w:type="auto"/>
            <w:tcMar>
              <w:top w:w="180" w:type="dxa"/>
              <w:left w:w="180" w:type="dxa"/>
              <w:bottom w:w="0" w:type="dxa"/>
              <w:right w:w="180" w:type="dxa"/>
            </w:tcMar>
            <w:hideMark/>
          </w:tcPr>
          <w:p w14:paraId="760FC10A"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0.4</w:t>
            </w:r>
          </w:p>
        </w:tc>
        <w:tc>
          <w:tcPr>
            <w:tcW w:w="0" w:type="auto"/>
            <w:tcMar>
              <w:top w:w="180" w:type="dxa"/>
              <w:left w:w="180" w:type="dxa"/>
              <w:bottom w:w="0" w:type="dxa"/>
              <w:right w:w="180" w:type="dxa"/>
            </w:tcMar>
            <w:hideMark/>
          </w:tcPr>
          <w:p w14:paraId="556DA2D4"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3 400</w:t>
            </w:r>
          </w:p>
        </w:tc>
        <w:tc>
          <w:tcPr>
            <w:tcW w:w="0" w:type="auto"/>
            <w:tcMar>
              <w:top w:w="180" w:type="dxa"/>
              <w:left w:w="180" w:type="dxa"/>
              <w:bottom w:w="0" w:type="dxa"/>
              <w:right w:w="180" w:type="dxa"/>
            </w:tcMar>
            <w:hideMark/>
          </w:tcPr>
          <w:p w14:paraId="6A0C8524"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8.8</w:t>
            </w:r>
          </w:p>
        </w:tc>
      </w:tr>
      <w:tr w:rsidR="00F06814" w:rsidRPr="00F06814" w14:paraId="539B2F2A" w14:textId="77777777" w:rsidTr="00F06814">
        <w:tc>
          <w:tcPr>
            <w:tcW w:w="0" w:type="auto"/>
            <w:tcMar>
              <w:top w:w="180" w:type="dxa"/>
              <w:left w:w="180" w:type="dxa"/>
              <w:bottom w:w="0" w:type="dxa"/>
              <w:right w:w="180" w:type="dxa"/>
            </w:tcMar>
            <w:hideMark/>
          </w:tcPr>
          <w:p w14:paraId="6659F5E4"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proofErr w:type="spellStart"/>
            <w:r w:rsidRPr="00F06814">
              <w:rPr>
                <w:rFonts w:ascii="Times New Roman" w:eastAsia="Times New Roman" w:hAnsi="Times New Roman" w:cs="Times New Roman"/>
                <w:color w:val="000000"/>
                <w:sz w:val="18"/>
                <w:szCs w:val="18"/>
              </w:rPr>
              <w:t>Tomatoes</w:t>
            </w:r>
            <w:hyperlink r:id="rId13" w:anchor="nbu1988-note-0017_137" w:tooltip="Link to note" w:history="1">
              <w:r w:rsidRPr="00F06814">
                <w:rPr>
                  <w:rFonts w:ascii="Times New Roman" w:eastAsia="Times New Roman" w:hAnsi="Times New Roman" w:cs="Times New Roman"/>
                  <w:color w:val="005274"/>
                  <w:sz w:val="18"/>
                  <w:szCs w:val="18"/>
                  <w:u w:val="single"/>
                </w:rPr>
                <w:t>a</w:t>
              </w:r>
              <w:proofErr w:type="spellEnd"/>
            </w:hyperlink>
          </w:p>
        </w:tc>
        <w:tc>
          <w:tcPr>
            <w:tcW w:w="0" w:type="auto"/>
            <w:tcMar>
              <w:top w:w="180" w:type="dxa"/>
              <w:left w:w="180" w:type="dxa"/>
              <w:bottom w:w="0" w:type="dxa"/>
              <w:right w:w="180" w:type="dxa"/>
            </w:tcMar>
            <w:hideMark/>
          </w:tcPr>
          <w:p w14:paraId="243B1135"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0.1–10</w:t>
            </w:r>
          </w:p>
        </w:tc>
        <w:tc>
          <w:tcPr>
            <w:tcW w:w="0" w:type="auto"/>
            <w:tcMar>
              <w:top w:w="180" w:type="dxa"/>
              <w:left w:w="180" w:type="dxa"/>
              <w:bottom w:w="0" w:type="dxa"/>
              <w:right w:w="180" w:type="dxa"/>
            </w:tcMar>
            <w:hideMark/>
          </w:tcPr>
          <w:p w14:paraId="090FEEE1"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0.04</w:t>
            </w:r>
          </w:p>
        </w:tc>
        <w:tc>
          <w:tcPr>
            <w:tcW w:w="0" w:type="auto"/>
            <w:tcMar>
              <w:top w:w="180" w:type="dxa"/>
              <w:left w:w="180" w:type="dxa"/>
              <w:bottom w:w="0" w:type="dxa"/>
              <w:right w:w="180" w:type="dxa"/>
            </w:tcMar>
            <w:hideMark/>
          </w:tcPr>
          <w:p w14:paraId="434BF24C"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3.4–37.7</w:t>
            </w:r>
          </w:p>
        </w:tc>
      </w:tr>
      <w:tr w:rsidR="00F06814" w:rsidRPr="00F06814" w14:paraId="5946D9D5" w14:textId="77777777" w:rsidTr="00F06814">
        <w:tc>
          <w:tcPr>
            <w:tcW w:w="0" w:type="auto"/>
            <w:tcMar>
              <w:top w:w="180" w:type="dxa"/>
              <w:left w:w="180" w:type="dxa"/>
              <w:bottom w:w="180" w:type="dxa"/>
              <w:right w:w="180" w:type="dxa"/>
            </w:tcMar>
            <w:hideMark/>
          </w:tcPr>
          <w:p w14:paraId="036D4B22"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Apples</w:t>
            </w:r>
          </w:p>
        </w:tc>
        <w:tc>
          <w:tcPr>
            <w:tcW w:w="0" w:type="auto"/>
            <w:tcMar>
              <w:top w:w="180" w:type="dxa"/>
              <w:left w:w="180" w:type="dxa"/>
              <w:bottom w:w="180" w:type="dxa"/>
              <w:right w:w="180" w:type="dxa"/>
            </w:tcMar>
            <w:hideMark/>
          </w:tcPr>
          <w:p w14:paraId="12E807E8"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0.2</w:t>
            </w:r>
          </w:p>
        </w:tc>
        <w:tc>
          <w:tcPr>
            <w:tcW w:w="0" w:type="auto"/>
            <w:tcMar>
              <w:top w:w="180" w:type="dxa"/>
              <w:left w:w="180" w:type="dxa"/>
              <w:bottom w:w="180" w:type="dxa"/>
              <w:right w:w="180" w:type="dxa"/>
            </w:tcMar>
            <w:hideMark/>
          </w:tcPr>
          <w:p w14:paraId="6A841DBB"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500</w:t>
            </w:r>
          </w:p>
        </w:tc>
        <w:tc>
          <w:tcPr>
            <w:tcW w:w="0" w:type="auto"/>
            <w:tcMar>
              <w:top w:w="180" w:type="dxa"/>
              <w:left w:w="180" w:type="dxa"/>
              <w:bottom w:w="180" w:type="dxa"/>
              <w:right w:w="180" w:type="dxa"/>
            </w:tcMar>
            <w:hideMark/>
          </w:tcPr>
          <w:p w14:paraId="69756F97" w14:textId="77777777" w:rsidR="00F06814" w:rsidRPr="00F06814" w:rsidRDefault="00F06814" w:rsidP="00F06814">
            <w:pPr>
              <w:spacing w:after="225" w:line="360" w:lineRule="atLeast"/>
              <w:rPr>
                <w:rFonts w:ascii="Times New Roman" w:eastAsia="Times New Roman" w:hAnsi="Times New Roman" w:cs="Times New Roman"/>
                <w:color w:val="000000"/>
                <w:sz w:val="18"/>
                <w:szCs w:val="18"/>
              </w:rPr>
            </w:pPr>
            <w:r w:rsidRPr="00F06814">
              <w:rPr>
                <w:rFonts w:ascii="Times New Roman" w:eastAsia="Times New Roman" w:hAnsi="Times New Roman" w:cs="Times New Roman"/>
                <w:color w:val="000000"/>
                <w:sz w:val="18"/>
                <w:szCs w:val="18"/>
              </w:rPr>
              <w:t>2.9</w:t>
            </w:r>
          </w:p>
        </w:tc>
      </w:tr>
    </w:tbl>
    <w:p w14:paraId="50E5982B" w14:textId="77777777" w:rsidR="00F06814" w:rsidRPr="005C5A91" w:rsidRDefault="00F06814" w:rsidP="005C5A91"/>
    <w:p w14:paraId="5A5B2820" w14:textId="6E11EF43" w:rsidR="006B3285" w:rsidRPr="004D5438" w:rsidRDefault="006B3285" w:rsidP="006B3285">
      <w:pPr>
        <w:pStyle w:val="Heading1"/>
        <w:rPr>
          <w:color w:val="auto"/>
        </w:rPr>
      </w:pPr>
      <w:bookmarkStart w:id="13" w:name="_Toc99111037"/>
      <w:r w:rsidRPr="004D5438">
        <w:rPr>
          <w:color w:val="auto"/>
        </w:rPr>
        <w:t>The Eatwell guide, Effects on International Trade</w:t>
      </w:r>
      <w:bookmarkEnd w:id="13"/>
    </w:p>
    <w:p w14:paraId="5D68E36D" w14:textId="745C505B" w:rsidR="009F43EF" w:rsidRPr="00C46E56" w:rsidRDefault="003F2F17" w:rsidP="005E35B0">
      <w:pPr>
        <w:rPr>
          <w:sz w:val="24"/>
          <w:szCs w:val="24"/>
        </w:rPr>
      </w:pPr>
      <w:r w:rsidRPr="00C46E56">
        <w:rPr>
          <w:sz w:val="24"/>
          <w:szCs w:val="24"/>
        </w:rPr>
        <w:t xml:space="preserve">academic.oup.com, n.d. </w:t>
      </w:r>
      <w:r w:rsidR="00D87061" w:rsidRPr="00C46E56">
        <w:rPr>
          <w:sz w:val="24"/>
          <w:szCs w:val="24"/>
        </w:rPr>
        <w:t>identifies that nutrition labelling is a world Trade Organisation issue</w:t>
      </w:r>
      <w:r w:rsidR="00BD707D" w:rsidRPr="00C46E56">
        <w:rPr>
          <w:sz w:val="24"/>
          <w:szCs w:val="24"/>
        </w:rPr>
        <w:t>. This is key, as nutrient content has to be known, before individuals can make good choices.</w:t>
      </w:r>
      <w:r w:rsidR="009F43EF" w:rsidRPr="00C46E56">
        <w:rPr>
          <w:sz w:val="24"/>
          <w:szCs w:val="24"/>
        </w:rPr>
        <w:t xml:space="preserve">(Friel, Schram and Townsend, </w:t>
      </w:r>
      <w:r w:rsidR="00821120" w:rsidRPr="00C46E56">
        <w:rPr>
          <w:sz w:val="24"/>
          <w:szCs w:val="24"/>
        </w:rPr>
        <w:t>(</w:t>
      </w:r>
      <w:r w:rsidR="009F43EF" w:rsidRPr="00C46E56">
        <w:rPr>
          <w:sz w:val="24"/>
          <w:szCs w:val="24"/>
        </w:rPr>
        <w:t>2020)</w:t>
      </w:r>
      <w:r w:rsidR="00821120" w:rsidRPr="00C46E56">
        <w:rPr>
          <w:sz w:val="24"/>
          <w:szCs w:val="24"/>
        </w:rPr>
        <w:t xml:space="preserve"> examine the issue of</w:t>
      </w:r>
      <w:r w:rsidR="008B3AC2" w:rsidRPr="00C46E56">
        <w:rPr>
          <w:sz w:val="24"/>
          <w:szCs w:val="24"/>
        </w:rPr>
        <w:t xml:space="preserve"> removing market barriers to food trade, subsidies to produce food,</w:t>
      </w:r>
      <w:r w:rsidR="00C45CF5" w:rsidRPr="00C46E56">
        <w:rPr>
          <w:sz w:val="24"/>
          <w:szCs w:val="24"/>
        </w:rPr>
        <w:t xml:space="preserve"> protection of regulatory space. The authors po</w:t>
      </w:r>
      <w:r w:rsidR="00FD1786" w:rsidRPr="00C46E56">
        <w:rPr>
          <w:sz w:val="24"/>
          <w:szCs w:val="24"/>
        </w:rPr>
        <w:t>int out that international agreements to liberalise food trade internationally is binding but recommendations to address malnutrition and climate change are non-binding</w:t>
      </w:r>
      <w:r w:rsidR="00584F20" w:rsidRPr="00C46E56">
        <w:rPr>
          <w:sz w:val="24"/>
          <w:szCs w:val="24"/>
        </w:rPr>
        <w:t>. To effectively address these issues, a new regulative framework is ne</w:t>
      </w:r>
      <w:r w:rsidR="004113D1" w:rsidRPr="00C46E56">
        <w:rPr>
          <w:sz w:val="24"/>
          <w:szCs w:val="24"/>
        </w:rPr>
        <w:t>e</w:t>
      </w:r>
      <w:r w:rsidR="00584F20" w:rsidRPr="00C46E56">
        <w:rPr>
          <w:sz w:val="24"/>
          <w:szCs w:val="24"/>
        </w:rPr>
        <w:t>ded</w:t>
      </w:r>
      <w:r w:rsidR="004113D1" w:rsidRPr="00C46E56">
        <w:rPr>
          <w:sz w:val="24"/>
          <w:szCs w:val="24"/>
        </w:rPr>
        <w:t xml:space="preserve"> that can handle the complexity of the situation.</w:t>
      </w:r>
    </w:p>
    <w:p w14:paraId="2F06BE1F" w14:textId="3C0E8372" w:rsidR="006B3285" w:rsidRPr="004D5438" w:rsidRDefault="006B3285" w:rsidP="00BE6D6E">
      <w:pPr>
        <w:pStyle w:val="Heading1"/>
        <w:rPr>
          <w:color w:val="auto"/>
        </w:rPr>
      </w:pPr>
      <w:bookmarkStart w:id="14" w:name="_Toc99111038"/>
      <w:r w:rsidRPr="004D5438">
        <w:rPr>
          <w:color w:val="auto"/>
        </w:rPr>
        <w:t>The Eatwell guide, Recommendations and Conclusions</w:t>
      </w:r>
      <w:bookmarkEnd w:id="14"/>
    </w:p>
    <w:p w14:paraId="7E3683B1" w14:textId="77777777" w:rsidR="004F0570" w:rsidRPr="00282C24" w:rsidRDefault="004F0570" w:rsidP="004F0570">
      <w:pPr>
        <w:pStyle w:val="ListParagraph"/>
        <w:numPr>
          <w:ilvl w:val="0"/>
          <w:numId w:val="2"/>
        </w:numPr>
        <w:rPr>
          <w:sz w:val="24"/>
          <w:szCs w:val="24"/>
        </w:rPr>
      </w:pPr>
      <w:r w:rsidRPr="00282C24">
        <w:rPr>
          <w:sz w:val="24"/>
          <w:szCs w:val="24"/>
        </w:rPr>
        <w:t xml:space="preserve">Base </w:t>
      </w:r>
      <w:proofErr w:type="spellStart"/>
      <w:r w:rsidRPr="00282C24">
        <w:rPr>
          <w:sz w:val="24"/>
          <w:szCs w:val="24"/>
        </w:rPr>
        <w:t>meals</w:t>
      </w:r>
      <w:proofErr w:type="spellEnd"/>
      <w:r w:rsidRPr="00282C24">
        <w:rPr>
          <w:sz w:val="24"/>
          <w:szCs w:val="24"/>
        </w:rPr>
        <w:t xml:space="preserve"> on starchy foods.</w:t>
      </w:r>
    </w:p>
    <w:p w14:paraId="0C671963" w14:textId="77777777" w:rsidR="004F0570" w:rsidRPr="00282C24" w:rsidRDefault="004F0570" w:rsidP="004F0570">
      <w:pPr>
        <w:pStyle w:val="ListParagraph"/>
        <w:numPr>
          <w:ilvl w:val="0"/>
          <w:numId w:val="2"/>
        </w:numPr>
        <w:rPr>
          <w:sz w:val="24"/>
          <w:szCs w:val="24"/>
        </w:rPr>
      </w:pPr>
      <w:r w:rsidRPr="00282C24">
        <w:rPr>
          <w:sz w:val="24"/>
          <w:szCs w:val="24"/>
        </w:rPr>
        <w:lastRenderedPageBreak/>
        <w:t>Eat lots of fruits and vegetables.</w:t>
      </w:r>
    </w:p>
    <w:p w14:paraId="6A4596A5" w14:textId="77777777" w:rsidR="004F0570" w:rsidRPr="00282C24" w:rsidRDefault="004F0570" w:rsidP="004F0570">
      <w:pPr>
        <w:pStyle w:val="ListParagraph"/>
        <w:numPr>
          <w:ilvl w:val="0"/>
          <w:numId w:val="2"/>
        </w:numPr>
        <w:rPr>
          <w:sz w:val="24"/>
          <w:szCs w:val="24"/>
        </w:rPr>
      </w:pPr>
      <w:r w:rsidRPr="00282C24">
        <w:rPr>
          <w:sz w:val="24"/>
          <w:szCs w:val="24"/>
        </w:rPr>
        <w:t>Eat more fish, including a portion of oily fish a week.</w:t>
      </w:r>
    </w:p>
    <w:p w14:paraId="0AB1342D" w14:textId="77777777" w:rsidR="004F0570" w:rsidRPr="00282C24" w:rsidRDefault="004F0570" w:rsidP="004F0570">
      <w:pPr>
        <w:pStyle w:val="ListParagraph"/>
        <w:numPr>
          <w:ilvl w:val="0"/>
          <w:numId w:val="2"/>
        </w:numPr>
        <w:rPr>
          <w:sz w:val="24"/>
          <w:szCs w:val="24"/>
        </w:rPr>
      </w:pPr>
      <w:r w:rsidRPr="00282C24">
        <w:rPr>
          <w:sz w:val="24"/>
          <w:szCs w:val="24"/>
        </w:rPr>
        <w:t>Cut down on saturated sugar and fat</w:t>
      </w:r>
    </w:p>
    <w:p w14:paraId="4B2B5BF8" w14:textId="77777777" w:rsidR="004F0570" w:rsidRPr="00282C24" w:rsidRDefault="004F0570" w:rsidP="004F0570">
      <w:pPr>
        <w:pStyle w:val="ListParagraph"/>
        <w:numPr>
          <w:ilvl w:val="0"/>
          <w:numId w:val="2"/>
        </w:numPr>
        <w:rPr>
          <w:sz w:val="24"/>
          <w:szCs w:val="24"/>
        </w:rPr>
      </w:pPr>
      <w:r w:rsidRPr="00282C24">
        <w:rPr>
          <w:sz w:val="24"/>
          <w:szCs w:val="24"/>
        </w:rPr>
        <w:t>Eat less salt, no more than 6 grammes a day.</w:t>
      </w:r>
    </w:p>
    <w:p w14:paraId="597406B8" w14:textId="77777777" w:rsidR="004F0570" w:rsidRPr="00282C24" w:rsidRDefault="004F0570" w:rsidP="004F0570">
      <w:pPr>
        <w:pStyle w:val="ListParagraph"/>
        <w:numPr>
          <w:ilvl w:val="0"/>
          <w:numId w:val="2"/>
        </w:numPr>
        <w:rPr>
          <w:sz w:val="24"/>
          <w:szCs w:val="24"/>
        </w:rPr>
      </w:pPr>
      <w:r w:rsidRPr="00282C24">
        <w:rPr>
          <w:sz w:val="24"/>
          <w:szCs w:val="24"/>
        </w:rPr>
        <w:t>Get active and be a healthy weight.</w:t>
      </w:r>
    </w:p>
    <w:p w14:paraId="5332A193" w14:textId="77777777" w:rsidR="004F0570" w:rsidRPr="00282C24" w:rsidRDefault="004F0570" w:rsidP="004F0570">
      <w:pPr>
        <w:pStyle w:val="ListParagraph"/>
        <w:numPr>
          <w:ilvl w:val="0"/>
          <w:numId w:val="2"/>
        </w:numPr>
        <w:rPr>
          <w:sz w:val="24"/>
          <w:szCs w:val="24"/>
        </w:rPr>
      </w:pPr>
      <w:r w:rsidRPr="00282C24">
        <w:rPr>
          <w:sz w:val="24"/>
          <w:szCs w:val="24"/>
        </w:rPr>
        <w:t>Do not get thirsty, drink plenty of water.</w:t>
      </w:r>
    </w:p>
    <w:p w14:paraId="586D7159" w14:textId="2248126C" w:rsidR="004F0570" w:rsidRPr="00282C24" w:rsidRDefault="004F0570" w:rsidP="004F0570">
      <w:pPr>
        <w:pStyle w:val="ListParagraph"/>
        <w:numPr>
          <w:ilvl w:val="0"/>
          <w:numId w:val="2"/>
        </w:numPr>
        <w:rPr>
          <w:sz w:val="24"/>
          <w:szCs w:val="24"/>
        </w:rPr>
      </w:pPr>
      <w:r w:rsidRPr="00282C24">
        <w:rPr>
          <w:sz w:val="24"/>
          <w:szCs w:val="24"/>
        </w:rPr>
        <w:t>Do not skip breakfast. Eat normally.</w:t>
      </w:r>
      <w:r w:rsidR="00F37B68">
        <w:rPr>
          <w:sz w:val="24"/>
          <w:szCs w:val="24"/>
        </w:rPr>
        <w:t xml:space="preserve"> </w:t>
      </w:r>
      <w:r w:rsidR="00BC0BA2" w:rsidRPr="00BC0BA2">
        <w:rPr>
          <w:sz w:val="24"/>
          <w:szCs w:val="24"/>
        </w:rPr>
        <w:t>Emerald.com,</w:t>
      </w:r>
      <w:r w:rsidR="00BC0BA2">
        <w:rPr>
          <w:sz w:val="24"/>
          <w:szCs w:val="24"/>
        </w:rPr>
        <w:t>(</w:t>
      </w:r>
      <w:r w:rsidR="00BC0BA2" w:rsidRPr="00BC0BA2">
        <w:rPr>
          <w:sz w:val="24"/>
          <w:szCs w:val="24"/>
        </w:rPr>
        <w:t xml:space="preserve"> 2019)</w:t>
      </w:r>
    </w:p>
    <w:p w14:paraId="79A24137" w14:textId="4A6FCC4B" w:rsidR="004F0570" w:rsidRDefault="004F0570" w:rsidP="004F0570">
      <w:pPr>
        <w:rPr>
          <w:sz w:val="24"/>
          <w:szCs w:val="24"/>
        </w:rPr>
      </w:pPr>
      <w:r w:rsidRPr="003C7BAB">
        <w:rPr>
          <w:sz w:val="24"/>
          <w:szCs w:val="24"/>
        </w:rPr>
        <w:t>The issue, the main issue now remains, getting the message across and enabling implementation.</w:t>
      </w:r>
    </w:p>
    <w:p w14:paraId="3DFD2752" w14:textId="3A31CA50" w:rsidR="00CC1D57" w:rsidRDefault="00CC1D57" w:rsidP="004F0570">
      <w:pPr>
        <w:rPr>
          <w:sz w:val="24"/>
          <w:szCs w:val="24"/>
        </w:rPr>
      </w:pPr>
      <w:r>
        <w:rPr>
          <w:sz w:val="24"/>
          <w:szCs w:val="24"/>
        </w:rPr>
        <w:t xml:space="preserve">As shown by youth culture over the </w:t>
      </w:r>
      <w:r w:rsidR="005140DD">
        <w:rPr>
          <w:sz w:val="24"/>
          <w:szCs w:val="24"/>
        </w:rPr>
        <w:t xml:space="preserve">rest of the world, what happens in The USA, quickly </w:t>
      </w:r>
      <w:r w:rsidR="0014167A">
        <w:rPr>
          <w:sz w:val="24"/>
          <w:szCs w:val="24"/>
        </w:rPr>
        <w:t>catches</w:t>
      </w:r>
      <w:r w:rsidR="005140DD">
        <w:rPr>
          <w:sz w:val="24"/>
          <w:szCs w:val="24"/>
        </w:rPr>
        <w:t xml:space="preserve"> the rest of the world, good or bad.</w:t>
      </w:r>
    </w:p>
    <w:p w14:paraId="6985DD0A" w14:textId="0860909A" w:rsidR="001048CD" w:rsidRDefault="001048CD" w:rsidP="004F0570">
      <w:pPr>
        <w:rPr>
          <w:sz w:val="24"/>
          <w:szCs w:val="24"/>
        </w:rPr>
      </w:pPr>
      <w:r>
        <w:rPr>
          <w:sz w:val="24"/>
          <w:szCs w:val="24"/>
        </w:rPr>
        <w:t>Other examples include, wearing of torn clothes, sagging trousers</w:t>
      </w:r>
      <w:r w:rsidR="00010D24">
        <w:rPr>
          <w:sz w:val="24"/>
          <w:szCs w:val="24"/>
        </w:rPr>
        <w:t xml:space="preserve"> (originally worn by prisoners deprived of trouser belts, to prevent suicide</w:t>
      </w:r>
      <w:r w:rsidR="0014167A">
        <w:rPr>
          <w:sz w:val="24"/>
          <w:szCs w:val="24"/>
        </w:rPr>
        <w:t>).</w:t>
      </w:r>
      <w:r w:rsidR="00930230">
        <w:rPr>
          <w:sz w:val="24"/>
          <w:szCs w:val="24"/>
        </w:rPr>
        <w:t xml:space="preserve"> Wearing of jeans, torn at the knees</w:t>
      </w:r>
      <w:r w:rsidR="00804A94">
        <w:rPr>
          <w:sz w:val="24"/>
          <w:szCs w:val="24"/>
        </w:rPr>
        <w:t>. The practical way for jeans to actually be torn at the knees, is if, for example, someone is continuously kneeling on hard surfaces</w:t>
      </w:r>
      <w:r w:rsidR="00330280">
        <w:rPr>
          <w:sz w:val="24"/>
          <w:szCs w:val="24"/>
        </w:rPr>
        <w:t xml:space="preserve">, like in praying or meditating. </w:t>
      </w:r>
    </w:p>
    <w:p w14:paraId="38492875" w14:textId="012FEA26" w:rsidR="00E26056" w:rsidRPr="003C7BAB" w:rsidRDefault="00E26056" w:rsidP="004F0570">
      <w:pPr>
        <w:rPr>
          <w:sz w:val="24"/>
          <w:szCs w:val="24"/>
        </w:rPr>
      </w:pPr>
      <w:r>
        <w:rPr>
          <w:sz w:val="24"/>
          <w:szCs w:val="24"/>
        </w:rPr>
        <w:t>It is clear that if the USA gets the message right and the population turns to healthy eating, the rest of the world would follow.</w:t>
      </w:r>
    </w:p>
    <w:p w14:paraId="13D57001" w14:textId="77777777" w:rsidR="004F0570" w:rsidRPr="004F0570" w:rsidRDefault="004F0570" w:rsidP="004F0570"/>
    <w:p w14:paraId="62DB4685" w14:textId="77777777" w:rsidR="006B3285" w:rsidRPr="006B3285" w:rsidRDefault="006B3285" w:rsidP="006B3285"/>
    <w:p w14:paraId="6280599D" w14:textId="77777777" w:rsidR="006B3285" w:rsidRPr="006B3285" w:rsidRDefault="006B3285" w:rsidP="006B3285"/>
    <w:p w14:paraId="3048BC8A" w14:textId="3FEE29FD" w:rsidR="00D13A2E" w:rsidRDefault="00D13A2E" w:rsidP="00D13A2E"/>
    <w:p w14:paraId="2ECD9738" w14:textId="202EFDB0" w:rsidR="002675F1" w:rsidRDefault="002675F1" w:rsidP="00D13A2E"/>
    <w:p w14:paraId="45C70135" w14:textId="7E8637E6" w:rsidR="002675F1" w:rsidRDefault="002675F1" w:rsidP="00D13A2E"/>
    <w:p w14:paraId="7E1B7719" w14:textId="7EB506B8" w:rsidR="002675F1" w:rsidRDefault="002675F1" w:rsidP="00D13A2E"/>
    <w:p w14:paraId="01CFBECD" w14:textId="19D77EFD" w:rsidR="002675F1" w:rsidRDefault="002675F1" w:rsidP="00D13A2E"/>
    <w:p w14:paraId="7B2F7272" w14:textId="66467BA5" w:rsidR="002675F1" w:rsidRDefault="002675F1" w:rsidP="00D13A2E"/>
    <w:p w14:paraId="39024913" w14:textId="27BA3977" w:rsidR="002675F1" w:rsidRDefault="002675F1" w:rsidP="00D13A2E"/>
    <w:p w14:paraId="2E3B62B9" w14:textId="37471A8A" w:rsidR="002675F1" w:rsidRDefault="002675F1" w:rsidP="00D13A2E"/>
    <w:p w14:paraId="3DD1F6FA" w14:textId="3AFC9C4D" w:rsidR="002675F1" w:rsidRDefault="002675F1" w:rsidP="00D13A2E"/>
    <w:p w14:paraId="08051AC1" w14:textId="46E01D5A" w:rsidR="002675F1" w:rsidRDefault="002675F1" w:rsidP="00D13A2E"/>
    <w:p w14:paraId="1ED2EB3A" w14:textId="1C96C845" w:rsidR="002675F1" w:rsidRDefault="002675F1" w:rsidP="00D13A2E"/>
    <w:p w14:paraId="5F8DBB62" w14:textId="5B5A80E8" w:rsidR="002675F1" w:rsidRDefault="002675F1" w:rsidP="00D13A2E"/>
    <w:p w14:paraId="3A102A1C" w14:textId="192C483E" w:rsidR="002675F1" w:rsidRDefault="002675F1" w:rsidP="00D13A2E"/>
    <w:p w14:paraId="52DC44B8" w14:textId="67452AA5" w:rsidR="002675F1" w:rsidRDefault="002675F1" w:rsidP="00D13A2E"/>
    <w:p w14:paraId="4466C430"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3581390F" w14:textId="77777777" w:rsidR="003917D7" w:rsidRDefault="003917D7" w:rsidP="003917D7">
      <w:pPr>
        <w:widowControl w:val="0"/>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healthy diet sustainably produced. (2018). [online] Available at: </w:t>
      </w:r>
      <w:hyperlink r:id="rId14" w:history="1">
        <w:r>
          <w:rPr>
            <w:rStyle w:val="Hyperlink"/>
            <w:rFonts w:ascii="Times New Roman" w:hAnsi="Times New Roman" w:cs="Times New Roman"/>
            <w:color w:val="auto"/>
            <w:sz w:val="24"/>
            <w:szCs w:val="24"/>
            <w:lang w:val="en-US"/>
          </w:rPr>
          <w:t>https://apps.who.int/iris/bitstream/handle/10665/278948/WHO-NMH-NHD-18.12-eng.pdf</w:t>
        </w:r>
      </w:hyperlink>
      <w:r>
        <w:rPr>
          <w:rFonts w:ascii="Times New Roman" w:hAnsi="Times New Roman" w:cs="Times New Roman"/>
          <w:sz w:val="24"/>
          <w:szCs w:val="24"/>
          <w:lang w:val="en-US"/>
        </w:rPr>
        <w:t>.</w:t>
      </w:r>
    </w:p>
    <w:p w14:paraId="3976C333" w14:textId="77777777" w:rsidR="003917D7" w:rsidRDefault="003917D7" w:rsidP="003917D7">
      <w:pPr>
        <w:widowControl w:val="0"/>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academic.oup.com. (n.d.). </w:t>
      </w:r>
      <w:r>
        <w:rPr>
          <w:rFonts w:ascii="Times New Roman" w:hAnsi="Times New Roman" w:cs="Times New Roman"/>
          <w:i/>
          <w:iCs/>
          <w:sz w:val="24"/>
          <w:szCs w:val="24"/>
          <w:lang w:val="en-US"/>
        </w:rPr>
        <w:t>Validate User</w:t>
      </w:r>
      <w:r>
        <w:rPr>
          <w:rFonts w:ascii="Times New Roman" w:hAnsi="Times New Roman" w:cs="Times New Roman"/>
          <w:sz w:val="24"/>
          <w:szCs w:val="24"/>
          <w:lang w:val="en-US"/>
        </w:rPr>
        <w:t xml:space="preserve">. [online] Available at: </w:t>
      </w:r>
      <w:hyperlink r:id="rId15" w:history="1">
        <w:r>
          <w:rPr>
            <w:rStyle w:val="Hyperlink"/>
            <w:rFonts w:ascii="Times New Roman" w:hAnsi="Times New Roman" w:cs="Times New Roman"/>
            <w:color w:val="auto"/>
            <w:sz w:val="24"/>
            <w:szCs w:val="24"/>
            <w:lang w:val="en-US"/>
          </w:rPr>
          <w:t>https://academic.oup.com/heapro/article/33/4/561/2897774?login=true</w:t>
        </w:r>
      </w:hyperlink>
      <w:r>
        <w:rPr>
          <w:rFonts w:ascii="Times New Roman" w:hAnsi="Times New Roman" w:cs="Times New Roman"/>
          <w:sz w:val="24"/>
          <w:szCs w:val="24"/>
          <w:lang w:val="en-US"/>
        </w:rPr>
        <w:t xml:space="preserve"> [Accessed 24 Mar. 2022].</w:t>
      </w:r>
    </w:p>
    <w:p w14:paraId="1C2B51B3" w14:textId="77777777" w:rsidR="003917D7" w:rsidRDefault="003917D7" w:rsidP="003917D7">
      <w:pPr>
        <w:widowControl w:val="0"/>
        <w:autoSpaceDE w:val="0"/>
        <w:autoSpaceDN w:val="0"/>
        <w:adjustRightInd w:val="0"/>
        <w:spacing w:after="0" w:line="240" w:lineRule="auto"/>
        <w:rPr>
          <w:rFonts w:ascii="Times New Roman" w:hAnsi="Times New Roman" w:cs="Times New Roman"/>
          <w:sz w:val="24"/>
          <w:szCs w:val="24"/>
          <w:lang w:val="en-US"/>
        </w:rPr>
      </w:pPr>
    </w:p>
    <w:p w14:paraId="44E9EF28" w14:textId="77777777" w:rsidR="003917D7" w:rsidRDefault="003917D7" w:rsidP="003917D7">
      <w:pPr>
        <w:widowControl w:val="0"/>
        <w:autoSpaceDE w:val="0"/>
        <w:autoSpaceDN w:val="0"/>
        <w:adjustRightInd w:val="0"/>
        <w:spacing w:after="240" w:line="240" w:lineRule="auto"/>
        <w:rPr>
          <w:rFonts w:ascii="Times New Roman" w:hAnsi="Times New Roman" w:cs="Times New Roman"/>
          <w:sz w:val="24"/>
          <w:szCs w:val="24"/>
          <w:lang w:val="en-US"/>
        </w:rPr>
      </w:pPr>
    </w:p>
    <w:p w14:paraId="5D88B509"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Blake, M.R., Sacks, G., Zorbas, C., Marshall, J., Orellana, L., Brown, A.K., Moodie, M., Ni </w:t>
      </w:r>
      <w:proofErr w:type="spellStart"/>
      <w:r>
        <w:rPr>
          <w:rFonts w:ascii="Times New Roman" w:hAnsi="Times New Roman" w:cs="Times New Roman"/>
          <w:sz w:val="24"/>
          <w:szCs w:val="24"/>
          <w:lang w:val="en-US"/>
        </w:rPr>
        <w:t>Mhurchu</w:t>
      </w:r>
      <w:proofErr w:type="spellEnd"/>
      <w:r>
        <w:rPr>
          <w:rFonts w:ascii="Times New Roman" w:hAnsi="Times New Roman" w:cs="Times New Roman"/>
          <w:sz w:val="24"/>
          <w:szCs w:val="24"/>
          <w:lang w:val="en-US"/>
        </w:rPr>
        <w:t xml:space="preserve">, C., </w:t>
      </w:r>
      <w:proofErr w:type="spellStart"/>
      <w:r>
        <w:rPr>
          <w:rFonts w:ascii="Times New Roman" w:hAnsi="Times New Roman" w:cs="Times New Roman"/>
          <w:sz w:val="24"/>
          <w:szCs w:val="24"/>
          <w:lang w:val="en-US"/>
        </w:rPr>
        <w:t>Ananthapavan</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Etilé</w:t>
      </w:r>
      <w:proofErr w:type="spellEnd"/>
      <w:r>
        <w:rPr>
          <w:rFonts w:ascii="Times New Roman" w:hAnsi="Times New Roman" w:cs="Times New Roman"/>
          <w:sz w:val="24"/>
          <w:szCs w:val="24"/>
          <w:lang w:val="en-US"/>
        </w:rPr>
        <w:t xml:space="preserve">, F. and Cameron, A.J. (2021). The “Eat Well @ IGA” healthy supermarket </w:t>
      </w:r>
      <w:proofErr w:type="spellStart"/>
      <w:r>
        <w:rPr>
          <w:rFonts w:ascii="Times New Roman" w:hAnsi="Times New Roman" w:cs="Times New Roman"/>
          <w:sz w:val="24"/>
          <w:szCs w:val="24"/>
          <w:lang w:val="en-US"/>
        </w:rPr>
        <w:t>randomised</w:t>
      </w:r>
      <w:proofErr w:type="spellEnd"/>
      <w:r>
        <w:rPr>
          <w:rFonts w:ascii="Times New Roman" w:hAnsi="Times New Roman" w:cs="Times New Roman"/>
          <w:sz w:val="24"/>
          <w:szCs w:val="24"/>
          <w:lang w:val="en-US"/>
        </w:rPr>
        <w:t xml:space="preserve"> controlled trial: process evaluation. </w:t>
      </w:r>
      <w:r>
        <w:rPr>
          <w:rFonts w:ascii="Times New Roman" w:hAnsi="Times New Roman" w:cs="Times New Roman"/>
          <w:i/>
          <w:iCs/>
          <w:sz w:val="24"/>
          <w:szCs w:val="24"/>
          <w:lang w:val="en-US"/>
        </w:rPr>
        <w:t>International Journal of Behavioral Nutrition and Physical Activity</w:t>
      </w:r>
      <w:r>
        <w:rPr>
          <w:rFonts w:ascii="Times New Roman" w:hAnsi="Times New Roman" w:cs="Times New Roman"/>
          <w:sz w:val="24"/>
          <w:szCs w:val="24"/>
          <w:lang w:val="en-US"/>
        </w:rPr>
        <w:t>, 18(1). [Accessed on 28 Feb. 2022].</w:t>
      </w:r>
    </w:p>
    <w:p w14:paraId="6095FC80"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7504995B"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Brambila</w:t>
      </w:r>
      <w:proofErr w:type="spellEnd"/>
      <w:r>
        <w:rPr>
          <w:rFonts w:ascii="Times New Roman" w:hAnsi="Times New Roman" w:cs="Times New Roman"/>
          <w:sz w:val="24"/>
          <w:szCs w:val="24"/>
          <w:lang w:val="en-US"/>
        </w:rPr>
        <w:t xml:space="preserve">-Macias, J., Shankar, B., </w:t>
      </w:r>
      <w:proofErr w:type="spellStart"/>
      <w:r>
        <w:rPr>
          <w:rFonts w:ascii="Times New Roman" w:hAnsi="Times New Roman" w:cs="Times New Roman"/>
          <w:sz w:val="24"/>
          <w:szCs w:val="24"/>
          <w:lang w:val="en-US"/>
        </w:rPr>
        <w:t>Capacci</w:t>
      </w:r>
      <w:proofErr w:type="spellEnd"/>
      <w:r>
        <w:rPr>
          <w:rFonts w:ascii="Times New Roman" w:hAnsi="Times New Roman" w:cs="Times New Roman"/>
          <w:sz w:val="24"/>
          <w:szCs w:val="24"/>
          <w:lang w:val="en-US"/>
        </w:rPr>
        <w:t xml:space="preserve">, S., </w:t>
      </w:r>
      <w:proofErr w:type="spellStart"/>
      <w:r>
        <w:rPr>
          <w:rFonts w:ascii="Times New Roman" w:hAnsi="Times New Roman" w:cs="Times New Roman"/>
          <w:sz w:val="24"/>
          <w:szCs w:val="24"/>
          <w:lang w:val="en-US"/>
        </w:rPr>
        <w:t>Mazzocchi</w:t>
      </w:r>
      <w:proofErr w:type="spellEnd"/>
      <w:r>
        <w:rPr>
          <w:rFonts w:ascii="Times New Roman" w:hAnsi="Times New Roman" w:cs="Times New Roman"/>
          <w:sz w:val="24"/>
          <w:szCs w:val="24"/>
          <w:lang w:val="en-US"/>
        </w:rPr>
        <w:t xml:space="preserve">, M., Perez-Cueto, F.J.A., Verbeke, W. and </w:t>
      </w:r>
      <w:proofErr w:type="spellStart"/>
      <w:r>
        <w:rPr>
          <w:rFonts w:ascii="Times New Roman" w:hAnsi="Times New Roman" w:cs="Times New Roman"/>
          <w:sz w:val="24"/>
          <w:szCs w:val="24"/>
          <w:lang w:val="en-US"/>
        </w:rPr>
        <w:t>Traill</w:t>
      </w:r>
      <w:proofErr w:type="spellEnd"/>
      <w:r>
        <w:rPr>
          <w:rFonts w:ascii="Times New Roman" w:hAnsi="Times New Roman" w:cs="Times New Roman"/>
          <w:sz w:val="24"/>
          <w:szCs w:val="24"/>
          <w:lang w:val="en-US"/>
        </w:rPr>
        <w:t xml:space="preserve">, W.B. (2011). Policy Interventions to Promote Healthy Eating: A Review of What Works, What Does Not, and What is Promising. </w:t>
      </w:r>
      <w:r>
        <w:rPr>
          <w:rFonts w:ascii="Times New Roman" w:hAnsi="Times New Roman" w:cs="Times New Roman"/>
          <w:i/>
          <w:iCs/>
          <w:sz w:val="24"/>
          <w:szCs w:val="24"/>
          <w:lang w:val="en-US"/>
        </w:rPr>
        <w:t>Food and Nutrition Bulletin</w:t>
      </w:r>
      <w:r>
        <w:rPr>
          <w:rFonts w:ascii="Times New Roman" w:hAnsi="Times New Roman" w:cs="Times New Roman"/>
          <w:sz w:val="24"/>
          <w:szCs w:val="24"/>
          <w:lang w:val="en-US"/>
        </w:rPr>
        <w:t>, 32(4), pp.365–375. [Accessed on 27 Feb. 2022].</w:t>
      </w:r>
    </w:p>
    <w:p w14:paraId="4C7C369D"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5447F6EE"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67D8F6C1"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Brown, O.N., O’Connor, L.E. and </w:t>
      </w:r>
      <w:proofErr w:type="spellStart"/>
      <w:r>
        <w:rPr>
          <w:rFonts w:ascii="Times New Roman" w:hAnsi="Times New Roman" w:cs="Times New Roman"/>
          <w:sz w:val="24"/>
          <w:szCs w:val="24"/>
          <w:lang w:val="en-US"/>
        </w:rPr>
        <w:t>Savaiano</w:t>
      </w:r>
      <w:proofErr w:type="spellEnd"/>
      <w:r>
        <w:rPr>
          <w:rFonts w:ascii="Times New Roman" w:hAnsi="Times New Roman" w:cs="Times New Roman"/>
          <w:sz w:val="24"/>
          <w:szCs w:val="24"/>
          <w:lang w:val="en-US"/>
        </w:rPr>
        <w:t xml:space="preserve">, D. (2014). Mobile MyPlate: A Pilot Study Using Text Messaging to Provide Nutrition Education and Promote Better Dietary Choices in College Students. </w:t>
      </w:r>
      <w:r>
        <w:rPr>
          <w:rFonts w:ascii="Times New Roman" w:hAnsi="Times New Roman" w:cs="Times New Roman"/>
          <w:i/>
          <w:iCs/>
          <w:sz w:val="24"/>
          <w:szCs w:val="24"/>
          <w:lang w:val="en-US"/>
        </w:rPr>
        <w:t>Journal of American College Health</w:t>
      </w:r>
      <w:r>
        <w:rPr>
          <w:rFonts w:ascii="Times New Roman" w:hAnsi="Times New Roman" w:cs="Times New Roman"/>
          <w:sz w:val="24"/>
          <w:szCs w:val="24"/>
          <w:lang w:val="en-US"/>
        </w:rPr>
        <w:t>, 62(5), pp.320–327. [Accessed on 26 Feb. 2022].</w:t>
      </w:r>
    </w:p>
    <w:p w14:paraId="097F325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6FBB007B"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Buttriss</w:t>
      </w:r>
      <w:proofErr w:type="spellEnd"/>
      <w:r>
        <w:rPr>
          <w:rFonts w:ascii="Times New Roman" w:hAnsi="Times New Roman" w:cs="Times New Roman"/>
          <w:sz w:val="24"/>
          <w:szCs w:val="24"/>
          <w:lang w:val="en-US"/>
        </w:rPr>
        <w:t xml:space="preserve">, J.L. (2016). The Eatwell Guide refreshed. </w:t>
      </w:r>
      <w:r>
        <w:rPr>
          <w:rFonts w:ascii="Times New Roman" w:hAnsi="Times New Roman" w:cs="Times New Roman"/>
          <w:i/>
          <w:iCs/>
          <w:sz w:val="24"/>
          <w:szCs w:val="24"/>
          <w:lang w:val="en-US"/>
        </w:rPr>
        <w:t>Nutrition Bulletin</w:t>
      </w:r>
      <w:r>
        <w:rPr>
          <w:rFonts w:ascii="Times New Roman" w:hAnsi="Times New Roman" w:cs="Times New Roman"/>
          <w:sz w:val="24"/>
          <w:szCs w:val="24"/>
          <w:lang w:val="en-US"/>
        </w:rPr>
        <w:t>, 41(2), pp.135–141. [Accessed on 20 Feb. 2022].</w:t>
      </w:r>
    </w:p>
    <w:p w14:paraId="740E5675"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6517B65F"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59BC3BB1"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Clark, R.L., </w:t>
      </w:r>
      <w:proofErr w:type="spellStart"/>
      <w:r>
        <w:rPr>
          <w:rFonts w:ascii="Times New Roman" w:hAnsi="Times New Roman" w:cs="Times New Roman"/>
          <w:sz w:val="24"/>
          <w:szCs w:val="24"/>
          <w:lang w:val="en-US"/>
        </w:rPr>
        <w:t>Famodu</w:t>
      </w:r>
      <w:proofErr w:type="spellEnd"/>
      <w:r>
        <w:rPr>
          <w:rFonts w:ascii="Times New Roman" w:hAnsi="Times New Roman" w:cs="Times New Roman"/>
          <w:sz w:val="24"/>
          <w:szCs w:val="24"/>
          <w:lang w:val="en-US"/>
        </w:rPr>
        <w:t xml:space="preserve">, O.A., Barr, M.L., Hagedorn, R.L., </w:t>
      </w:r>
      <w:proofErr w:type="spellStart"/>
      <w:r>
        <w:rPr>
          <w:rFonts w:ascii="Times New Roman" w:hAnsi="Times New Roman" w:cs="Times New Roman"/>
          <w:sz w:val="24"/>
          <w:szCs w:val="24"/>
          <w:lang w:val="en-US"/>
        </w:rPr>
        <w:t>Ruseski</w:t>
      </w:r>
      <w:proofErr w:type="spellEnd"/>
      <w:r>
        <w:rPr>
          <w:rFonts w:ascii="Times New Roman" w:hAnsi="Times New Roman" w:cs="Times New Roman"/>
          <w:sz w:val="24"/>
          <w:szCs w:val="24"/>
          <w:lang w:val="en-US"/>
        </w:rPr>
        <w:t xml:space="preserve">, J., White, J.A., Warner, C.M., Morrell, A.M., Murray, P.J., Olfert, I.M., McFadden, J.W., Downes, M.T., Colby, S.E. and Olfert, M.D. (2019). Monetary Cost of the MyPlate Diet in Young Adults: Higher Expenses Associated with Increased Fruit and Vegetable Consumption. </w:t>
      </w:r>
      <w:r>
        <w:rPr>
          <w:rFonts w:ascii="Times New Roman" w:hAnsi="Times New Roman" w:cs="Times New Roman"/>
          <w:i/>
          <w:iCs/>
          <w:sz w:val="24"/>
          <w:szCs w:val="24"/>
          <w:lang w:val="en-US"/>
        </w:rPr>
        <w:t>Journal of Nutrition and Metabolism</w:t>
      </w:r>
      <w:r>
        <w:rPr>
          <w:rFonts w:ascii="Times New Roman" w:hAnsi="Times New Roman" w:cs="Times New Roman"/>
          <w:sz w:val="24"/>
          <w:szCs w:val="24"/>
          <w:lang w:val="en-US"/>
        </w:rPr>
        <w:t xml:space="preserve">, [online] 2019, pp.1–7. Available at: </w:t>
      </w:r>
      <w:hyperlink r:id="rId16" w:history="1">
        <w:r>
          <w:rPr>
            <w:rStyle w:val="Hyperlink"/>
            <w:rFonts w:ascii="Times New Roman" w:hAnsi="Times New Roman" w:cs="Times New Roman"/>
            <w:color w:val="auto"/>
            <w:sz w:val="24"/>
            <w:szCs w:val="24"/>
            <w:lang w:val="en-US"/>
          </w:rPr>
          <w:t>https://www.hindawi.com/journals/jnme/2019/2790963/</w:t>
        </w:r>
      </w:hyperlink>
      <w:r>
        <w:rPr>
          <w:rFonts w:ascii="Times New Roman" w:hAnsi="Times New Roman" w:cs="Times New Roman"/>
          <w:sz w:val="24"/>
          <w:szCs w:val="24"/>
          <w:lang w:val="en-US"/>
        </w:rPr>
        <w:t xml:space="preserve"> [Accessed 14 Dec. 2019].</w:t>
      </w:r>
    </w:p>
    <w:p w14:paraId="254AE5B2"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455AA2D3"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Curran, J. (2012). The nutritional value and health benefits of pulses in relation to obesity, diabetes, heart disease and cancer. </w:t>
      </w:r>
      <w:r>
        <w:rPr>
          <w:rFonts w:ascii="Times New Roman" w:hAnsi="Times New Roman" w:cs="Times New Roman"/>
          <w:i/>
          <w:iCs/>
          <w:sz w:val="24"/>
          <w:szCs w:val="24"/>
          <w:lang w:val="en-US"/>
        </w:rPr>
        <w:t>British Journal of Nutrition</w:t>
      </w:r>
      <w:r>
        <w:rPr>
          <w:rFonts w:ascii="Times New Roman" w:hAnsi="Times New Roman" w:cs="Times New Roman"/>
          <w:sz w:val="24"/>
          <w:szCs w:val="24"/>
          <w:lang w:val="en-US"/>
        </w:rPr>
        <w:t>, 108(S1), pp.S1–S2. [Accessed on 21 Feb. 2022].</w:t>
      </w:r>
    </w:p>
    <w:p w14:paraId="4125453B"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4DDDB456"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Emerald.com. (2019). </w:t>
      </w:r>
      <w:r>
        <w:rPr>
          <w:rFonts w:ascii="Times New Roman" w:hAnsi="Times New Roman" w:cs="Times New Roman"/>
          <w:i/>
          <w:iCs/>
          <w:sz w:val="24"/>
          <w:szCs w:val="24"/>
          <w:lang w:val="en-US"/>
        </w:rPr>
        <w:t>British Food Journal |  Emerald Insight</w:t>
      </w:r>
      <w:r>
        <w:rPr>
          <w:rFonts w:ascii="Times New Roman" w:hAnsi="Times New Roman" w:cs="Times New Roman"/>
          <w:sz w:val="24"/>
          <w:szCs w:val="24"/>
          <w:lang w:val="en-US"/>
        </w:rPr>
        <w:t xml:space="preserve">. [online] Available at: </w:t>
      </w:r>
      <w:hyperlink r:id="rId17" w:history="1">
        <w:r>
          <w:rPr>
            <w:rStyle w:val="Hyperlink"/>
            <w:rFonts w:ascii="Times New Roman" w:hAnsi="Times New Roman" w:cs="Times New Roman"/>
            <w:color w:val="auto"/>
            <w:sz w:val="24"/>
            <w:szCs w:val="24"/>
            <w:lang w:val="en-US"/>
          </w:rPr>
          <w:t>https://www.emerald.com/insight/publication/issn/0007-070X</w:t>
        </w:r>
      </w:hyperlink>
      <w:r>
        <w:rPr>
          <w:rFonts w:ascii="Times New Roman" w:hAnsi="Times New Roman" w:cs="Times New Roman"/>
          <w:sz w:val="24"/>
          <w:szCs w:val="24"/>
          <w:lang w:val="en-US"/>
        </w:rPr>
        <w:t>. [Accessed on 20 Feb. 2022].</w:t>
      </w:r>
    </w:p>
    <w:p w14:paraId="4D5C212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6270D42B"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Esau, K. (2020). </w:t>
      </w:r>
      <w:r>
        <w:rPr>
          <w:rFonts w:ascii="Times New Roman" w:hAnsi="Times New Roman" w:cs="Times New Roman"/>
          <w:i/>
          <w:iCs/>
          <w:sz w:val="24"/>
          <w:szCs w:val="24"/>
          <w:lang w:val="en-US"/>
        </w:rPr>
        <w:t>My culture, my plate : an exploration of the cultural food and meal preferences of Māori, Pacific, and Chinese groups during hospital admission in New Zealand : a thesis submitted in partial fulfilment of the requirements for the degree of Master of Science majoring in Nutrition and Dietetics, Massey University, Auckland, New Zealand</w:t>
      </w:r>
      <w:r>
        <w:rPr>
          <w:rFonts w:ascii="Times New Roman" w:hAnsi="Times New Roman" w:cs="Times New Roman"/>
          <w:sz w:val="24"/>
          <w:szCs w:val="24"/>
          <w:lang w:val="en-US"/>
        </w:rPr>
        <w:t xml:space="preserve">. [online] mro.massey.ac.nz. Available at: </w:t>
      </w:r>
      <w:hyperlink r:id="rId18" w:history="1">
        <w:r>
          <w:rPr>
            <w:rStyle w:val="Hyperlink"/>
            <w:rFonts w:ascii="Times New Roman" w:hAnsi="Times New Roman" w:cs="Times New Roman"/>
            <w:color w:val="auto"/>
            <w:sz w:val="24"/>
            <w:szCs w:val="24"/>
            <w:lang w:val="en-US"/>
          </w:rPr>
          <w:t>https://mro.massey.ac.nz/handle/10179/15874</w:t>
        </w:r>
      </w:hyperlink>
      <w:r>
        <w:rPr>
          <w:rFonts w:ascii="Times New Roman" w:hAnsi="Times New Roman" w:cs="Times New Roman"/>
          <w:sz w:val="24"/>
          <w:szCs w:val="24"/>
          <w:lang w:val="en-US"/>
        </w:rPr>
        <w:t xml:space="preserve"> [Accessed 24 Mar. 2022].</w:t>
      </w:r>
    </w:p>
    <w:p w14:paraId="1D887141"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166D9937"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Friel, S., Schram, A. and Townsend, B. (2020). The nexus between international trade, food systems, malnutrition and climate change. </w:t>
      </w:r>
      <w:r>
        <w:rPr>
          <w:rFonts w:ascii="Times New Roman" w:hAnsi="Times New Roman" w:cs="Times New Roman"/>
          <w:i/>
          <w:iCs/>
          <w:sz w:val="24"/>
          <w:szCs w:val="24"/>
          <w:lang w:val="en-US"/>
        </w:rPr>
        <w:t>Nature Food</w:t>
      </w:r>
      <w:r>
        <w:rPr>
          <w:rFonts w:ascii="Times New Roman" w:hAnsi="Times New Roman" w:cs="Times New Roman"/>
          <w:sz w:val="24"/>
          <w:szCs w:val="24"/>
          <w:lang w:val="en-US"/>
        </w:rPr>
        <w:t>, 1(1), pp.51–58. [Accessed on 20 Feb 2022].</w:t>
      </w:r>
    </w:p>
    <w:p w14:paraId="059B9B37"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3D9E445A"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Giurgevich</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Giurgevich</w:t>
      </w:r>
      <w:proofErr w:type="spellEnd"/>
      <w:r>
        <w:rPr>
          <w:rFonts w:ascii="Times New Roman" w:hAnsi="Times New Roman" w:cs="Times New Roman"/>
          <w:sz w:val="24"/>
          <w:szCs w:val="24"/>
          <w:lang w:val="en-US"/>
        </w:rPr>
        <w:t xml:space="preserve">, J., Carson, E., Mallet, M.C. and Dawson, G. (2016). What’s on Your Plate? Introducing Canada’s Eat Well Plate 1.0. </w:t>
      </w:r>
      <w:r>
        <w:rPr>
          <w:rFonts w:ascii="Times New Roman" w:hAnsi="Times New Roman" w:cs="Times New Roman"/>
          <w:i/>
          <w:iCs/>
          <w:sz w:val="24"/>
          <w:szCs w:val="24"/>
          <w:lang w:val="en-US"/>
        </w:rPr>
        <w:t>Journal of Nutrition Education and Behavior</w:t>
      </w:r>
      <w:r>
        <w:rPr>
          <w:rFonts w:ascii="Times New Roman" w:hAnsi="Times New Roman" w:cs="Times New Roman"/>
          <w:sz w:val="24"/>
          <w:szCs w:val="24"/>
          <w:lang w:val="en-US"/>
        </w:rPr>
        <w:t>, 48(7), p.S37. [Accessed on 03 Mar, 2022].</w:t>
      </w:r>
    </w:p>
    <w:p w14:paraId="7BB11373"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53440C0D"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Harcombe</w:t>
      </w:r>
      <w:proofErr w:type="spellEnd"/>
      <w:r>
        <w:rPr>
          <w:rFonts w:ascii="Times New Roman" w:hAnsi="Times New Roman" w:cs="Times New Roman"/>
          <w:sz w:val="24"/>
          <w:szCs w:val="24"/>
          <w:lang w:val="en-US"/>
        </w:rPr>
        <w:t xml:space="preserve">, Z. (2016). Designed by the food industry for wealth, not health: the “Eatwell Guide.” </w:t>
      </w:r>
      <w:r>
        <w:rPr>
          <w:rFonts w:ascii="Times New Roman" w:hAnsi="Times New Roman" w:cs="Times New Roman"/>
          <w:i/>
          <w:iCs/>
          <w:sz w:val="24"/>
          <w:szCs w:val="24"/>
          <w:lang w:val="en-US"/>
        </w:rPr>
        <w:t>British Journal of Sports Medicine</w:t>
      </w:r>
      <w:r>
        <w:rPr>
          <w:rFonts w:ascii="Times New Roman" w:hAnsi="Times New Roman" w:cs="Times New Roman"/>
          <w:sz w:val="24"/>
          <w:szCs w:val="24"/>
          <w:lang w:val="en-US"/>
        </w:rPr>
        <w:t>, 51(24), pp.1730–1731. [Accessed on 03 Mar, 2022].</w:t>
      </w:r>
    </w:p>
    <w:p w14:paraId="748F3080"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3444A047"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Ketchum, P. (1998). Eat well, live well. Time to promote healthy eating. </w:t>
      </w:r>
      <w:r>
        <w:rPr>
          <w:rFonts w:ascii="Times New Roman" w:hAnsi="Times New Roman" w:cs="Times New Roman"/>
          <w:i/>
          <w:iCs/>
          <w:sz w:val="24"/>
          <w:szCs w:val="24"/>
          <w:lang w:val="en-US"/>
        </w:rPr>
        <w:t xml:space="preserve">Canadian family physician </w:t>
      </w:r>
      <w:proofErr w:type="spellStart"/>
      <w:r>
        <w:rPr>
          <w:rFonts w:ascii="Times New Roman" w:hAnsi="Times New Roman" w:cs="Times New Roman"/>
          <w:i/>
          <w:iCs/>
          <w:sz w:val="24"/>
          <w:szCs w:val="24"/>
          <w:lang w:val="en-US"/>
        </w:rPr>
        <w:t>Medecin</w:t>
      </w:r>
      <w:proofErr w:type="spellEnd"/>
      <w:r>
        <w:rPr>
          <w:rFonts w:ascii="Times New Roman" w:hAnsi="Times New Roman" w:cs="Times New Roman"/>
          <w:i/>
          <w:iCs/>
          <w:sz w:val="24"/>
          <w:szCs w:val="24"/>
          <w:lang w:val="en-US"/>
        </w:rPr>
        <w:t xml:space="preserve"> de </w:t>
      </w:r>
      <w:proofErr w:type="spellStart"/>
      <w:r>
        <w:rPr>
          <w:rFonts w:ascii="Times New Roman" w:hAnsi="Times New Roman" w:cs="Times New Roman"/>
          <w:i/>
          <w:iCs/>
          <w:sz w:val="24"/>
          <w:szCs w:val="24"/>
          <w:lang w:val="en-US"/>
        </w:rPr>
        <w:t>famille</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canadien</w:t>
      </w:r>
      <w:proofErr w:type="spellEnd"/>
      <w:r>
        <w:rPr>
          <w:rFonts w:ascii="Times New Roman" w:hAnsi="Times New Roman" w:cs="Times New Roman"/>
          <w:sz w:val="24"/>
          <w:szCs w:val="24"/>
          <w:lang w:val="en-US"/>
        </w:rPr>
        <w:t xml:space="preserve">, [online] 44, pp.589–91. Available at: </w:t>
      </w:r>
      <w:hyperlink r:id="rId19" w:history="1">
        <w:r>
          <w:rPr>
            <w:rStyle w:val="Hyperlink"/>
            <w:rFonts w:ascii="Times New Roman" w:hAnsi="Times New Roman" w:cs="Times New Roman"/>
            <w:color w:val="auto"/>
            <w:sz w:val="24"/>
            <w:szCs w:val="24"/>
            <w:lang w:val="en-US"/>
          </w:rPr>
          <w:t>https://www.ncbi.nlm.nih.gov/pmc/articles/PMC2277701/</w:t>
        </w:r>
      </w:hyperlink>
      <w:r>
        <w:rPr>
          <w:rFonts w:ascii="Times New Roman" w:hAnsi="Times New Roman" w:cs="Times New Roman"/>
          <w:sz w:val="24"/>
          <w:szCs w:val="24"/>
          <w:lang w:val="en-US"/>
        </w:rPr>
        <w:t xml:space="preserve"> [Accessed 24 Mar. 2022].</w:t>
      </w:r>
    </w:p>
    <w:p w14:paraId="47C58E59"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00F2BBE9"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Khanom</w:t>
      </w:r>
      <w:proofErr w:type="spellEnd"/>
      <w:r>
        <w:rPr>
          <w:rFonts w:ascii="Times New Roman" w:hAnsi="Times New Roman" w:cs="Times New Roman"/>
          <w:sz w:val="24"/>
          <w:szCs w:val="24"/>
          <w:lang w:val="en-US"/>
        </w:rPr>
        <w:t xml:space="preserve">, A., Hill, R.A., Morgan, K., Rapport, F.L., Lyons, R.A. and Brophy, S. (2015). Parental recommendations for population level interventions to support infant and family dietary choices: a qualitative study from the Growing Up in Wales, Environments for Healthy Living (EHL) study. </w:t>
      </w:r>
      <w:r>
        <w:rPr>
          <w:rFonts w:ascii="Times New Roman" w:hAnsi="Times New Roman" w:cs="Times New Roman"/>
          <w:i/>
          <w:iCs/>
          <w:sz w:val="24"/>
          <w:szCs w:val="24"/>
          <w:lang w:val="en-US"/>
        </w:rPr>
        <w:t>BMC Public Health</w:t>
      </w:r>
      <w:r>
        <w:rPr>
          <w:rFonts w:ascii="Times New Roman" w:hAnsi="Times New Roman" w:cs="Times New Roman"/>
          <w:sz w:val="24"/>
          <w:szCs w:val="24"/>
          <w:lang w:val="en-US"/>
        </w:rPr>
        <w:t>, 15(1). [Accessed on 15 Mar, 2022].</w:t>
      </w:r>
    </w:p>
    <w:p w14:paraId="7B1F895F"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03E5F66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McKeown, A. and Nelson, R. (2018). Independent decision making of adolescents regarding food choice. </w:t>
      </w:r>
      <w:r>
        <w:rPr>
          <w:rFonts w:ascii="Times New Roman" w:hAnsi="Times New Roman" w:cs="Times New Roman"/>
          <w:i/>
          <w:iCs/>
          <w:sz w:val="24"/>
          <w:szCs w:val="24"/>
          <w:lang w:val="en-US"/>
        </w:rPr>
        <w:t>International Journal of Consumer Studies</w:t>
      </w:r>
      <w:r>
        <w:rPr>
          <w:rFonts w:ascii="Times New Roman" w:hAnsi="Times New Roman" w:cs="Times New Roman"/>
          <w:sz w:val="24"/>
          <w:szCs w:val="24"/>
          <w:lang w:val="en-US"/>
        </w:rPr>
        <w:t>, 42(5), pp.469–477. [Accessed on 16 Mar, 2022].</w:t>
      </w:r>
    </w:p>
    <w:p w14:paraId="282A9A39"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056B372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Nazmi</w:t>
      </w:r>
      <w:proofErr w:type="spellEnd"/>
      <w:r>
        <w:rPr>
          <w:rFonts w:ascii="Times New Roman" w:hAnsi="Times New Roman" w:cs="Times New Roman"/>
          <w:sz w:val="24"/>
          <w:szCs w:val="24"/>
          <w:lang w:val="en-US"/>
        </w:rPr>
        <w:t xml:space="preserve">, A., Tseng, M., Robinson, D., Neill, D. and Walker, J. (2019). A Nutrition Education Intervention Using NOVA Is More Effective Than MyPlate Alone: A Proof-of-Concept Randomized Controlled Trial. </w:t>
      </w:r>
      <w:r>
        <w:rPr>
          <w:rFonts w:ascii="Times New Roman" w:hAnsi="Times New Roman" w:cs="Times New Roman"/>
          <w:i/>
          <w:iCs/>
          <w:sz w:val="24"/>
          <w:szCs w:val="24"/>
          <w:lang w:val="en-US"/>
        </w:rPr>
        <w:t>Nutrients</w:t>
      </w:r>
      <w:r>
        <w:rPr>
          <w:rFonts w:ascii="Times New Roman" w:hAnsi="Times New Roman" w:cs="Times New Roman"/>
          <w:sz w:val="24"/>
          <w:szCs w:val="24"/>
          <w:lang w:val="en-US"/>
        </w:rPr>
        <w:t>, 11(12), p.2965. [Accessed on 17 Mar. 2022].</w:t>
      </w:r>
    </w:p>
    <w:p w14:paraId="7D2FA0B7"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27358C9C"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Organization, W.H. (2003). </w:t>
      </w:r>
      <w:r>
        <w:rPr>
          <w:rFonts w:ascii="Times New Roman" w:hAnsi="Times New Roman" w:cs="Times New Roman"/>
          <w:i/>
          <w:iCs/>
          <w:sz w:val="24"/>
          <w:szCs w:val="24"/>
          <w:lang w:val="en-US"/>
        </w:rPr>
        <w:t>Diet, Nutrition, and the Prevention of Chronic Diseases: Report of a Joint WHO/FAO Expert Consultation</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xml:space="preserve">. World Health Organization. Available at: </w:t>
      </w:r>
      <w:hyperlink r:id="rId20" w:anchor="v=onepage&amp;q=World%20health%20Organisation%20healthy%20diet&amp;f=false" w:history="1">
        <w:r>
          <w:rPr>
            <w:rStyle w:val="Hyperlink"/>
            <w:rFonts w:ascii="Times New Roman" w:hAnsi="Times New Roman" w:cs="Times New Roman"/>
            <w:color w:val="auto"/>
            <w:sz w:val="24"/>
            <w:szCs w:val="24"/>
            <w:lang w:val="en-US"/>
          </w:rPr>
          <w:t>https://books.google.co.uk/books?hl=en&amp;lr=&amp;id=S6YsDwAAQBAJ&amp;oi=fnd&amp;pg=PA4&amp;dq=+World+health+Organisation+healthy+diet&amp;ots=t9XTimPJz9&amp;sig=TisxvtNedXHTIr4xvlo8</w:t>
        </w:r>
        <w:r>
          <w:rPr>
            <w:rStyle w:val="Hyperlink"/>
            <w:rFonts w:ascii="Times New Roman" w:hAnsi="Times New Roman" w:cs="Times New Roman"/>
            <w:color w:val="auto"/>
            <w:sz w:val="24"/>
            <w:szCs w:val="24"/>
            <w:lang w:val="en-US"/>
          </w:rPr>
          <w:lastRenderedPageBreak/>
          <w:t>6o6lJxs#v=onepage&amp;q=World%20health%20Organisation%20healthy%20diet&amp;f=false</w:t>
        </w:r>
      </w:hyperlink>
      <w:r>
        <w:rPr>
          <w:rFonts w:ascii="Times New Roman" w:hAnsi="Times New Roman" w:cs="Times New Roman"/>
          <w:sz w:val="24"/>
          <w:szCs w:val="24"/>
          <w:lang w:val="en-US"/>
        </w:rPr>
        <w:t xml:space="preserve"> [Accessed 24 Mar. 2022].</w:t>
      </w:r>
    </w:p>
    <w:p w14:paraId="4C600786"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1B0D8B21"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Price, R.K., Livingstone, M.B., Burns, A.A., </w:t>
      </w:r>
      <w:proofErr w:type="spellStart"/>
      <w:r>
        <w:rPr>
          <w:rFonts w:ascii="Times New Roman" w:hAnsi="Times New Roman" w:cs="Times New Roman"/>
          <w:sz w:val="24"/>
          <w:szCs w:val="24"/>
          <w:lang w:val="en-US"/>
        </w:rPr>
        <w:t>Furey</w:t>
      </w:r>
      <w:proofErr w:type="spellEnd"/>
      <w:r>
        <w:rPr>
          <w:rFonts w:ascii="Times New Roman" w:hAnsi="Times New Roman" w:cs="Times New Roman"/>
          <w:sz w:val="24"/>
          <w:szCs w:val="24"/>
          <w:lang w:val="en-US"/>
        </w:rPr>
        <w:t xml:space="preserve">, S., McMahon-Beattie, U. and </w:t>
      </w:r>
      <w:proofErr w:type="spellStart"/>
      <w:r>
        <w:rPr>
          <w:rFonts w:ascii="Times New Roman" w:hAnsi="Times New Roman" w:cs="Times New Roman"/>
          <w:sz w:val="24"/>
          <w:szCs w:val="24"/>
          <w:lang w:val="en-US"/>
        </w:rPr>
        <w:t>Holywood</w:t>
      </w:r>
      <w:proofErr w:type="spellEnd"/>
      <w:r>
        <w:rPr>
          <w:rFonts w:ascii="Times New Roman" w:hAnsi="Times New Roman" w:cs="Times New Roman"/>
          <w:sz w:val="24"/>
          <w:szCs w:val="24"/>
          <w:lang w:val="en-US"/>
        </w:rPr>
        <w:t xml:space="preserve">, L.E. (2017). What foods are Northern Ireland supermarkets promoting? A content analysis of supermarket online. </w:t>
      </w:r>
      <w:r>
        <w:rPr>
          <w:rFonts w:ascii="Times New Roman" w:hAnsi="Times New Roman" w:cs="Times New Roman"/>
          <w:i/>
          <w:iCs/>
          <w:sz w:val="24"/>
          <w:szCs w:val="24"/>
          <w:lang w:val="en-US"/>
        </w:rPr>
        <w:t>Proceedings of the Nutrition Society</w:t>
      </w:r>
      <w:r>
        <w:rPr>
          <w:rFonts w:ascii="Times New Roman" w:hAnsi="Times New Roman" w:cs="Times New Roman"/>
          <w:sz w:val="24"/>
          <w:szCs w:val="24"/>
          <w:lang w:val="en-US"/>
        </w:rPr>
        <w:t>, 76(OCE3). [Accessed on 25 Mar, 2022].</w:t>
      </w:r>
    </w:p>
    <w:p w14:paraId="719F369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03FE5B9C"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scholar.google.co.uk. (n.d.). </w:t>
      </w:r>
      <w:r>
        <w:rPr>
          <w:rFonts w:ascii="Times New Roman" w:hAnsi="Times New Roman" w:cs="Times New Roman"/>
          <w:i/>
          <w:iCs/>
          <w:sz w:val="24"/>
          <w:szCs w:val="24"/>
          <w:lang w:val="en-US"/>
        </w:rPr>
        <w:t>Google Scholar</w:t>
      </w:r>
      <w:r>
        <w:rPr>
          <w:rFonts w:ascii="Times New Roman" w:hAnsi="Times New Roman" w:cs="Times New Roman"/>
          <w:sz w:val="24"/>
          <w:szCs w:val="24"/>
          <w:lang w:val="en-US"/>
        </w:rPr>
        <w:t xml:space="preserve">. [online] Available at: </w:t>
      </w:r>
      <w:hyperlink r:id="rId21" w:history="1">
        <w:r>
          <w:rPr>
            <w:rStyle w:val="Hyperlink"/>
            <w:rFonts w:ascii="Times New Roman" w:hAnsi="Times New Roman" w:cs="Times New Roman"/>
            <w:color w:val="auto"/>
            <w:sz w:val="24"/>
            <w:szCs w:val="24"/>
            <w:lang w:val="en-US"/>
          </w:rPr>
          <w:t>https://scholar.google.co.uk/scholar?hl=en&amp;as_sdt=0%2C5&amp;q=+Eatwell+plate+Northern+Ireland&amp;btnG=</w:t>
        </w:r>
      </w:hyperlink>
      <w:r>
        <w:rPr>
          <w:rFonts w:ascii="Times New Roman" w:hAnsi="Times New Roman" w:cs="Times New Roman"/>
          <w:sz w:val="24"/>
          <w:szCs w:val="24"/>
          <w:lang w:val="en-US"/>
        </w:rPr>
        <w:t xml:space="preserve"> [Accessed 24 Mar. 2022].</w:t>
      </w:r>
    </w:p>
    <w:p w14:paraId="500D22D9"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22FEBAFF"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Schroeter</w:t>
      </w:r>
      <w:proofErr w:type="spellEnd"/>
      <w:r>
        <w:rPr>
          <w:rFonts w:ascii="Times New Roman" w:hAnsi="Times New Roman" w:cs="Times New Roman"/>
          <w:sz w:val="24"/>
          <w:szCs w:val="24"/>
          <w:lang w:val="en-US"/>
        </w:rPr>
        <w:t xml:space="preserve">, C., </w:t>
      </w:r>
      <w:proofErr w:type="spellStart"/>
      <w:r>
        <w:rPr>
          <w:rFonts w:ascii="Times New Roman" w:hAnsi="Times New Roman" w:cs="Times New Roman"/>
          <w:sz w:val="24"/>
          <w:szCs w:val="24"/>
          <w:lang w:val="en-US"/>
        </w:rPr>
        <w:t>Corder</w:t>
      </w:r>
      <w:proofErr w:type="spellEnd"/>
      <w:r>
        <w:rPr>
          <w:rFonts w:ascii="Times New Roman" w:hAnsi="Times New Roman" w:cs="Times New Roman"/>
          <w:sz w:val="24"/>
          <w:szCs w:val="24"/>
          <w:lang w:val="en-US"/>
        </w:rPr>
        <w:t xml:space="preserve">, T., Brookes, B. and </w:t>
      </w:r>
      <w:proofErr w:type="spellStart"/>
      <w:r>
        <w:rPr>
          <w:rFonts w:ascii="Times New Roman" w:hAnsi="Times New Roman" w:cs="Times New Roman"/>
          <w:sz w:val="24"/>
          <w:szCs w:val="24"/>
          <w:lang w:val="en-US"/>
        </w:rPr>
        <w:t>Reller</w:t>
      </w:r>
      <w:proofErr w:type="spellEnd"/>
      <w:r>
        <w:rPr>
          <w:rFonts w:ascii="Times New Roman" w:hAnsi="Times New Roman" w:cs="Times New Roman"/>
          <w:sz w:val="24"/>
          <w:szCs w:val="24"/>
          <w:lang w:val="en-US"/>
        </w:rPr>
        <w:t xml:space="preserve">, V. (2019). An incentive-based health program using MyPlate: a pilot study analyzing college students’ dietary intake behavior. </w:t>
      </w:r>
      <w:r>
        <w:rPr>
          <w:rFonts w:ascii="Times New Roman" w:hAnsi="Times New Roman" w:cs="Times New Roman"/>
          <w:i/>
          <w:iCs/>
          <w:sz w:val="24"/>
          <w:szCs w:val="24"/>
          <w:lang w:val="en-US"/>
        </w:rPr>
        <w:t>Journal of American College Health</w:t>
      </w:r>
      <w:r>
        <w:rPr>
          <w:rFonts w:ascii="Times New Roman" w:hAnsi="Times New Roman" w:cs="Times New Roman"/>
          <w:sz w:val="24"/>
          <w:szCs w:val="24"/>
          <w:lang w:val="en-US"/>
        </w:rPr>
        <w:t>, pp.1–8. [Accessed on 25 Mar. 2022].</w:t>
      </w:r>
    </w:p>
    <w:p w14:paraId="21588C26"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5D055A88"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Wansink</w:t>
      </w:r>
      <w:proofErr w:type="spellEnd"/>
      <w:r>
        <w:rPr>
          <w:rFonts w:ascii="Times New Roman" w:hAnsi="Times New Roman" w:cs="Times New Roman"/>
          <w:sz w:val="24"/>
          <w:szCs w:val="24"/>
          <w:lang w:val="en-US"/>
        </w:rPr>
        <w:t xml:space="preserve">, B. and Kranz, S. (2013). Who’s Using MyPlate? </w:t>
      </w:r>
      <w:r>
        <w:rPr>
          <w:rFonts w:ascii="Times New Roman" w:hAnsi="Times New Roman" w:cs="Times New Roman"/>
          <w:i/>
          <w:iCs/>
          <w:sz w:val="24"/>
          <w:szCs w:val="24"/>
          <w:lang w:val="en-US"/>
        </w:rPr>
        <w:t>Journal of Nutrition Education and Behavior</w:t>
      </w:r>
      <w:r>
        <w:rPr>
          <w:rFonts w:ascii="Times New Roman" w:hAnsi="Times New Roman" w:cs="Times New Roman"/>
          <w:sz w:val="24"/>
          <w:szCs w:val="24"/>
          <w:lang w:val="en-US"/>
        </w:rPr>
        <w:t>, 45(6), pp.728–732. [Accessed on 25 Mar. 2022].</w:t>
      </w:r>
    </w:p>
    <w:p w14:paraId="316EED3F"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07905B90" w14:textId="77777777" w:rsidR="003917D7" w:rsidRDefault="003917D7" w:rsidP="003917D7">
      <w:pPr>
        <w:widowControl w:val="0"/>
        <w:autoSpaceDE w:val="0"/>
        <w:autoSpaceDN w:val="0"/>
        <w:adjustRightInd w:val="0"/>
        <w:spacing w:after="240" w:line="360" w:lineRule="auto"/>
        <w:rPr>
          <w:rFonts w:ascii="Times New Roman" w:hAnsi="Times New Roman" w:cs="Times New Roman"/>
          <w:sz w:val="24"/>
          <w:szCs w:val="24"/>
          <w:lang w:val="en-US"/>
        </w:rPr>
      </w:pPr>
    </w:p>
    <w:p w14:paraId="7BE6C793" w14:textId="48155657" w:rsidR="002675F1" w:rsidRPr="00D13A2E" w:rsidRDefault="003917D7" w:rsidP="003917D7">
      <w:r>
        <w:rPr>
          <w:rFonts w:ascii="Times New Roman" w:hAnsi="Times New Roman" w:cs="Times New Roman"/>
          <w:sz w:val="24"/>
          <w:szCs w:val="24"/>
          <w:lang w:val="en-US"/>
        </w:rPr>
        <w:t xml:space="preserve">Willett, W.C. and </w:t>
      </w:r>
      <w:proofErr w:type="spellStart"/>
      <w:r>
        <w:rPr>
          <w:rFonts w:ascii="Times New Roman" w:hAnsi="Times New Roman" w:cs="Times New Roman"/>
          <w:sz w:val="24"/>
          <w:szCs w:val="24"/>
          <w:lang w:val="en-US"/>
        </w:rPr>
        <w:t>Stampfer</w:t>
      </w:r>
      <w:proofErr w:type="spellEnd"/>
      <w:r>
        <w:rPr>
          <w:rFonts w:ascii="Times New Roman" w:hAnsi="Times New Roman" w:cs="Times New Roman"/>
          <w:sz w:val="24"/>
          <w:szCs w:val="24"/>
          <w:lang w:val="en-US"/>
        </w:rPr>
        <w:t xml:space="preserve">, M.J. (2013). Current evidence on healthy eating. </w:t>
      </w:r>
      <w:r>
        <w:rPr>
          <w:rFonts w:ascii="Times New Roman" w:hAnsi="Times New Roman" w:cs="Times New Roman"/>
          <w:i/>
          <w:iCs/>
          <w:sz w:val="24"/>
          <w:szCs w:val="24"/>
          <w:lang w:val="en-US"/>
        </w:rPr>
        <w:t>Annual review of public health</w:t>
      </w:r>
      <w:r>
        <w:rPr>
          <w:rFonts w:ascii="Times New Roman" w:hAnsi="Times New Roman" w:cs="Times New Roman"/>
          <w:sz w:val="24"/>
          <w:szCs w:val="24"/>
          <w:lang w:val="en-US"/>
        </w:rPr>
        <w:t xml:space="preserve">, [online] 34, pp.77–95. Available at: </w:t>
      </w:r>
      <w:hyperlink r:id="rId22" w:history="1">
        <w:r>
          <w:rPr>
            <w:rStyle w:val="Hyperlink"/>
            <w:rFonts w:ascii="Times New Roman" w:hAnsi="Times New Roman" w:cs="Times New Roman"/>
            <w:color w:val="auto"/>
            <w:sz w:val="24"/>
            <w:szCs w:val="24"/>
            <w:lang w:val="en-US"/>
          </w:rPr>
          <w:t>https://www.ncbi.nlm.nih.gov/pubmed/23297654</w:t>
        </w:r>
      </w:hyperlink>
      <w:r>
        <w:rPr>
          <w:rFonts w:ascii="Times New Roman" w:hAnsi="Times New Roman" w:cs="Times New Roman"/>
          <w:sz w:val="24"/>
          <w:szCs w:val="24"/>
          <w:lang w:val="en-US"/>
        </w:rPr>
        <w:t>. [Accessed on 1</w:t>
      </w:r>
    </w:p>
    <w:sectPr w:rsidR="002675F1" w:rsidRPr="00D13A2E" w:rsidSect="002D298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AF3A2" w14:textId="77777777" w:rsidR="001F28C7" w:rsidRDefault="001F28C7" w:rsidP="00416E4A">
      <w:pPr>
        <w:spacing w:after="0" w:line="240" w:lineRule="auto"/>
      </w:pPr>
      <w:r>
        <w:separator/>
      </w:r>
    </w:p>
  </w:endnote>
  <w:endnote w:type="continuationSeparator" w:id="0">
    <w:p w14:paraId="2D7B382B" w14:textId="77777777" w:rsidR="001F28C7" w:rsidRDefault="001F28C7" w:rsidP="00416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308931"/>
      <w:docPartObj>
        <w:docPartGallery w:val="Page Numbers (Bottom of Page)"/>
        <w:docPartUnique/>
      </w:docPartObj>
    </w:sdtPr>
    <w:sdtEndPr>
      <w:rPr>
        <w:noProof/>
      </w:rPr>
    </w:sdtEndPr>
    <w:sdtContent>
      <w:p w14:paraId="41A08A2D" w14:textId="5B5A847F" w:rsidR="00FF4DE8" w:rsidRDefault="00FF4D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BA6E0E" w14:textId="77777777" w:rsidR="0039266D" w:rsidRDefault="00392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78893" w14:textId="77777777" w:rsidR="001F28C7" w:rsidRDefault="001F28C7" w:rsidP="00416E4A">
      <w:pPr>
        <w:spacing w:after="0" w:line="240" w:lineRule="auto"/>
      </w:pPr>
      <w:r>
        <w:separator/>
      </w:r>
    </w:p>
  </w:footnote>
  <w:footnote w:type="continuationSeparator" w:id="0">
    <w:p w14:paraId="1B83F829" w14:textId="77777777" w:rsidR="001F28C7" w:rsidRDefault="001F28C7" w:rsidP="00416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F75D1"/>
    <w:multiLevelType w:val="hybridMultilevel"/>
    <w:tmpl w:val="79344C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F9D0137"/>
    <w:multiLevelType w:val="hybridMultilevel"/>
    <w:tmpl w:val="7934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03317"/>
    <w:multiLevelType w:val="hybridMultilevel"/>
    <w:tmpl w:val="86EEC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2E"/>
    <w:rsid w:val="00001749"/>
    <w:rsid w:val="00010D24"/>
    <w:rsid w:val="000476C9"/>
    <w:rsid w:val="00062DA4"/>
    <w:rsid w:val="00077A2E"/>
    <w:rsid w:val="00087766"/>
    <w:rsid w:val="00091E31"/>
    <w:rsid w:val="000B28FE"/>
    <w:rsid w:val="000B2A7E"/>
    <w:rsid w:val="000E3170"/>
    <w:rsid w:val="000E7907"/>
    <w:rsid w:val="000F3E5C"/>
    <w:rsid w:val="0010318B"/>
    <w:rsid w:val="001048CD"/>
    <w:rsid w:val="001054F6"/>
    <w:rsid w:val="0014167A"/>
    <w:rsid w:val="00144E57"/>
    <w:rsid w:val="00157006"/>
    <w:rsid w:val="00164CD0"/>
    <w:rsid w:val="00165A75"/>
    <w:rsid w:val="001952CA"/>
    <w:rsid w:val="00196C03"/>
    <w:rsid w:val="001B20A1"/>
    <w:rsid w:val="001C7789"/>
    <w:rsid w:val="001D0FF3"/>
    <w:rsid w:val="001D41FD"/>
    <w:rsid w:val="001E0F5A"/>
    <w:rsid w:val="001F28C7"/>
    <w:rsid w:val="002056B5"/>
    <w:rsid w:val="00224994"/>
    <w:rsid w:val="00254E92"/>
    <w:rsid w:val="00256A67"/>
    <w:rsid w:val="002675F1"/>
    <w:rsid w:val="0028188A"/>
    <w:rsid w:val="00282C24"/>
    <w:rsid w:val="00294830"/>
    <w:rsid w:val="002A0D29"/>
    <w:rsid w:val="002A55CE"/>
    <w:rsid w:val="002B396D"/>
    <w:rsid w:val="002C28ED"/>
    <w:rsid w:val="002D298A"/>
    <w:rsid w:val="002D7A70"/>
    <w:rsid w:val="002E3567"/>
    <w:rsid w:val="002E63A1"/>
    <w:rsid w:val="002F0D29"/>
    <w:rsid w:val="00302E3F"/>
    <w:rsid w:val="003212D0"/>
    <w:rsid w:val="00330280"/>
    <w:rsid w:val="003319D4"/>
    <w:rsid w:val="00337C1A"/>
    <w:rsid w:val="00367056"/>
    <w:rsid w:val="00383B06"/>
    <w:rsid w:val="00390AD3"/>
    <w:rsid w:val="003917D7"/>
    <w:rsid w:val="0039266D"/>
    <w:rsid w:val="003C0B0D"/>
    <w:rsid w:val="003C441A"/>
    <w:rsid w:val="003C7BAB"/>
    <w:rsid w:val="003D1A73"/>
    <w:rsid w:val="003F2F17"/>
    <w:rsid w:val="004113D1"/>
    <w:rsid w:val="00412346"/>
    <w:rsid w:val="00413778"/>
    <w:rsid w:val="00416E4A"/>
    <w:rsid w:val="004271C1"/>
    <w:rsid w:val="00434D54"/>
    <w:rsid w:val="004444A2"/>
    <w:rsid w:val="00454F1B"/>
    <w:rsid w:val="004579F9"/>
    <w:rsid w:val="00465E3D"/>
    <w:rsid w:val="004726F6"/>
    <w:rsid w:val="00496DDB"/>
    <w:rsid w:val="004A0032"/>
    <w:rsid w:val="004B11EE"/>
    <w:rsid w:val="004C083D"/>
    <w:rsid w:val="004D5438"/>
    <w:rsid w:val="004E4AB9"/>
    <w:rsid w:val="004E6F00"/>
    <w:rsid w:val="004F0570"/>
    <w:rsid w:val="005140DD"/>
    <w:rsid w:val="00520D39"/>
    <w:rsid w:val="005347D4"/>
    <w:rsid w:val="00546A72"/>
    <w:rsid w:val="00560DB0"/>
    <w:rsid w:val="00584F20"/>
    <w:rsid w:val="0059487B"/>
    <w:rsid w:val="005A572F"/>
    <w:rsid w:val="005C5A91"/>
    <w:rsid w:val="005C7892"/>
    <w:rsid w:val="005E35B0"/>
    <w:rsid w:val="005E7E15"/>
    <w:rsid w:val="005F0509"/>
    <w:rsid w:val="005F7BD6"/>
    <w:rsid w:val="006011A9"/>
    <w:rsid w:val="00601CEB"/>
    <w:rsid w:val="006178D4"/>
    <w:rsid w:val="00635287"/>
    <w:rsid w:val="00640DB0"/>
    <w:rsid w:val="00647DEA"/>
    <w:rsid w:val="00650B37"/>
    <w:rsid w:val="00652FB9"/>
    <w:rsid w:val="00683A56"/>
    <w:rsid w:val="00690A2C"/>
    <w:rsid w:val="00696FD2"/>
    <w:rsid w:val="006A4639"/>
    <w:rsid w:val="006A464F"/>
    <w:rsid w:val="006B3285"/>
    <w:rsid w:val="006C4327"/>
    <w:rsid w:val="006C734D"/>
    <w:rsid w:val="006D66BA"/>
    <w:rsid w:val="006E5EF3"/>
    <w:rsid w:val="00716F4F"/>
    <w:rsid w:val="007212C1"/>
    <w:rsid w:val="0073150F"/>
    <w:rsid w:val="00732BDE"/>
    <w:rsid w:val="00733B44"/>
    <w:rsid w:val="0075096C"/>
    <w:rsid w:val="00754C4F"/>
    <w:rsid w:val="00756D6B"/>
    <w:rsid w:val="007740E0"/>
    <w:rsid w:val="00776911"/>
    <w:rsid w:val="007C781C"/>
    <w:rsid w:val="007F685E"/>
    <w:rsid w:val="00804A94"/>
    <w:rsid w:val="00821120"/>
    <w:rsid w:val="008450DE"/>
    <w:rsid w:val="00857A22"/>
    <w:rsid w:val="008650A8"/>
    <w:rsid w:val="008740D3"/>
    <w:rsid w:val="0087519E"/>
    <w:rsid w:val="00882C9F"/>
    <w:rsid w:val="008B3AC2"/>
    <w:rsid w:val="008C1A7B"/>
    <w:rsid w:val="008E1DB4"/>
    <w:rsid w:val="008E4C7A"/>
    <w:rsid w:val="008F14B6"/>
    <w:rsid w:val="008F7351"/>
    <w:rsid w:val="0092092B"/>
    <w:rsid w:val="00930230"/>
    <w:rsid w:val="00940CD1"/>
    <w:rsid w:val="00941423"/>
    <w:rsid w:val="00945296"/>
    <w:rsid w:val="00947553"/>
    <w:rsid w:val="0096116D"/>
    <w:rsid w:val="009C50D2"/>
    <w:rsid w:val="009D3D0B"/>
    <w:rsid w:val="009F09B8"/>
    <w:rsid w:val="009F43EF"/>
    <w:rsid w:val="009F7F74"/>
    <w:rsid w:val="00A147CE"/>
    <w:rsid w:val="00A17062"/>
    <w:rsid w:val="00A26367"/>
    <w:rsid w:val="00A268D3"/>
    <w:rsid w:val="00A418C7"/>
    <w:rsid w:val="00A7234C"/>
    <w:rsid w:val="00A7261B"/>
    <w:rsid w:val="00A952F3"/>
    <w:rsid w:val="00A9670A"/>
    <w:rsid w:val="00AA4695"/>
    <w:rsid w:val="00AB406F"/>
    <w:rsid w:val="00AC1B77"/>
    <w:rsid w:val="00AE0A92"/>
    <w:rsid w:val="00B1270C"/>
    <w:rsid w:val="00B34757"/>
    <w:rsid w:val="00B563DE"/>
    <w:rsid w:val="00B66E73"/>
    <w:rsid w:val="00B74599"/>
    <w:rsid w:val="00B80A58"/>
    <w:rsid w:val="00B929B8"/>
    <w:rsid w:val="00B945A0"/>
    <w:rsid w:val="00BC0BA2"/>
    <w:rsid w:val="00BD707D"/>
    <w:rsid w:val="00BE6D6E"/>
    <w:rsid w:val="00C162BA"/>
    <w:rsid w:val="00C36863"/>
    <w:rsid w:val="00C44B3C"/>
    <w:rsid w:val="00C45CF5"/>
    <w:rsid w:val="00C46E56"/>
    <w:rsid w:val="00C555AC"/>
    <w:rsid w:val="00C621EC"/>
    <w:rsid w:val="00C96C4F"/>
    <w:rsid w:val="00CC1D57"/>
    <w:rsid w:val="00CD116B"/>
    <w:rsid w:val="00CE00D4"/>
    <w:rsid w:val="00CF0352"/>
    <w:rsid w:val="00D02EF9"/>
    <w:rsid w:val="00D04EE9"/>
    <w:rsid w:val="00D13A2E"/>
    <w:rsid w:val="00D26DEE"/>
    <w:rsid w:val="00D83A50"/>
    <w:rsid w:val="00D86BE1"/>
    <w:rsid w:val="00D87061"/>
    <w:rsid w:val="00DA21E5"/>
    <w:rsid w:val="00DA2267"/>
    <w:rsid w:val="00DC3546"/>
    <w:rsid w:val="00DC765E"/>
    <w:rsid w:val="00E26056"/>
    <w:rsid w:val="00E378A8"/>
    <w:rsid w:val="00E4597A"/>
    <w:rsid w:val="00E66808"/>
    <w:rsid w:val="00E75CCB"/>
    <w:rsid w:val="00E80622"/>
    <w:rsid w:val="00E814EC"/>
    <w:rsid w:val="00E8600C"/>
    <w:rsid w:val="00EA2C0B"/>
    <w:rsid w:val="00EC2E4D"/>
    <w:rsid w:val="00ED0655"/>
    <w:rsid w:val="00ED397B"/>
    <w:rsid w:val="00ED4396"/>
    <w:rsid w:val="00ED5E46"/>
    <w:rsid w:val="00F06814"/>
    <w:rsid w:val="00F27473"/>
    <w:rsid w:val="00F37B68"/>
    <w:rsid w:val="00F42B1E"/>
    <w:rsid w:val="00F56EE4"/>
    <w:rsid w:val="00F63D3B"/>
    <w:rsid w:val="00F7502F"/>
    <w:rsid w:val="00FA39E5"/>
    <w:rsid w:val="00FB0E5B"/>
    <w:rsid w:val="00FB769E"/>
    <w:rsid w:val="00FD1786"/>
    <w:rsid w:val="00FD3A6B"/>
    <w:rsid w:val="00FE0C8B"/>
    <w:rsid w:val="00FE55B5"/>
    <w:rsid w:val="00FF4D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F459B"/>
  <w15:chartTrackingRefBased/>
  <w15:docId w15:val="{56C41E6F-6FEA-4401-9EAB-2429633F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BE1"/>
  </w:style>
  <w:style w:type="paragraph" w:styleId="Heading1">
    <w:name w:val="heading 1"/>
    <w:basedOn w:val="Normal"/>
    <w:next w:val="Normal"/>
    <w:link w:val="Heading1Char"/>
    <w:uiPriority w:val="9"/>
    <w:qFormat/>
    <w:rsid w:val="00D13A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3A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A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3A2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D298A"/>
    <w:pPr>
      <w:spacing w:after="0" w:line="240" w:lineRule="auto"/>
    </w:pPr>
    <w:rPr>
      <w:lang w:val="en-US" w:eastAsia="en-US"/>
    </w:rPr>
  </w:style>
  <w:style w:type="character" w:customStyle="1" w:styleId="NoSpacingChar">
    <w:name w:val="No Spacing Char"/>
    <w:basedOn w:val="DefaultParagraphFont"/>
    <w:link w:val="NoSpacing"/>
    <w:uiPriority w:val="1"/>
    <w:rsid w:val="002D298A"/>
    <w:rPr>
      <w:lang w:val="en-US" w:eastAsia="en-US"/>
    </w:rPr>
  </w:style>
  <w:style w:type="paragraph" w:styleId="Header">
    <w:name w:val="header"/>
    <w:basedOn w:val="Normal"/>
    <w:link w:val="HeaderChar"/>
    <w:uiPriority w:val="99"/>
    <w:unhideWhenUsed/>
    <w:rsid w:val="00416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E4A"/>
  </w:style>
  <w:style w:type="paragraph" w:styleId="Footer">
    <w:name w:val="footer"/>
    <w:basedOn w:val="Normal"/>
    <w:link w:val="FooterChar"/>
    <w:uiPriority w:val="99"/>
    <w:unhideWhenUsed/>
    <w:rsid w:val="00416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E4A"/>
  </w:style>
  <w:style w:type="paragraph" w:styleId="TOCHeading">
    <w:name w:val="TOC Heading"/>
    <w:basedOn w:val="Heading1"/>
    <w:next w:val="Normal"/>
    <w:uiPriority w:val="39"/>
    <w:unhideWhenUsed/>
    <w:qFormat/>
    <w:rsid w:val="000E7907"/>
    <w:pPr>
      <w:outlineLvl w:val="9"/>
    </w:pPr>
    <w:rPr>
      <w:lang w:val="en-US" w:eastAsia="en-US"/>
    </w:rPr>
  </w:style>
  <w:style w:type="paragraph" w:styleId="TOC1">
    <w:name w:val="toc 1"/>
    <w:basedOn w:val="Normal"/>
    <w:next w:val="Normal"/>
    <w:autoRedefine/>
    <w:uiPriority w:val="39"/>
    <w:unhideWhenUsed/>
    <w:rsid w:val="000E7907"/>
    <w:pPr>
      <w:spacing w:after="100"/>
    </w:pPr>
  </w:style>
  <w:style w:type="paragraph" w:styleId="TOC2">
    <w:name w:val="toc 2"/>
    <w:basedOn w:val="Normal"/>
    <w:next w:val="Normal"/>
    <w:autoRedefine/>
    <w:uiPriority w:val="39"/>
    <w:unhideWhenUsed/>
    <w:rsid w:val="000E7907"/>
    <w:pPr>
      <w:spacing w:after="100"/>
      <w:ind w:left="220"/>
    </w:pPr>
  </w:style>
  <w:style w:type="character" w:styleId="Hyperlink">
    <w:name w:val="Hyperlink"/>
    <w:basedOn w:val="DefaultParagraphFont"/>
    <w:uiPriority w:val="99"/>
    <w:unhideWhenUsed/>
    <w:rsid w:val="000E7907"/>
    <w:rPr>
      <w:color w:val="0563C1" w:themeColor="hyperlink"/>
      <w:u w:val="single"/>
    </w:rPr>
  </w:style>
  <w:style w:type="character" w:styleId="CommentReference">
    <w:name w:val="annotation reference"/>
    <w:basedOn w:val="DefaultParagraphFont"/>
    <w:uiPriority w:val="99"/>
    <w:semiHidden/>
    <w:unhideWhenUsed/>
    <w:rsid w:val="00383B06"/>
    <w:rPr>
      <w:sz w:val="16"/>
      <w:szCs w:val="16"/>
    </w:rPr>
  </w:style>
  <w:style w:type="paragraph" w:styleId="CommentText">
    <w:name w:val="annotation text"/>
    <w:basedOn w:val="Normal"/>
    <w:link w:val="CommentTextChar"/>
    <w:uiPriority w:val="99"/>
    <w:semiHidden/>
    <w:unhideWhenUsed/>
    <w:rsid w:val="00383B06"/>
    <w:pPr>
      <w:spacing w:line="240" w:lineRule="auto"/>
    </w:pPr>
    <w:rPr>
      <w:sz w:val="20"/>
      <w:szCs w:val="20"/>
    </w:rPr>
  </w:style>
  <w:style w:type="character" w:customStyle="1" w:styleId="CommentTextChar">
    <w:name w:val="Comment Text Char"/>
    <w:basedOn w:val="DefaultParagraphFont"/>
    <w:link w:val="CommentText"/>
    <w:uiPriority w:val="99"/>
    <w:semiHidden/>
    <w:rsid w:val="00383B06"/>
    <w:rPr>
      <w:sz w:val="20"/>
      <w:szCs w:val="20"/>
    </w:rPr>
  </w:style>
  <w:style w:type="paragraph" w:styleId="CommentSubject">
    <w:name w:val="annotation subject"/>
    <w:basedOn w:val="CommentText"/>
    <w:next w:val="CommentText"/>
    <w:link w:val="CommentSubjectChar"/>
    <w:uiPriority w:val="99"/>
    <w:semiHidden/>
    <w:unhideWhenUsed/>
    <w:rsid w:val="00383B06"/>
    <w:rPr>
      <w:b/>
      <w:bCs/>
    </w:rPr>
  </w:style>
  <w:style w:type="character" w:customStyle="1" w:styleId="CommentSubjectChar">
    <w:name w:val="Comment Subject Char"/>
    <w:basedOn w:val="CommentTextChar"/>
    <w:link w:val="CommentSubject"/>
    <w:uiPriority w:val="99"/>
    <w:semiHidden/>
    <w:rsid w:val="00383B06"/>
    <w:rPr>
      <w:b/>
      <w:bCs/>
      <w:sz w:val="20"/>
      <w:szCs w:val="20"/>
    </w:rPr>
  </w:style>
  <w:style w:type="paragraph" w:styleId="ListParagraph">
    <w:name w:val="List Paragraph"/>
    <w:basedOn w:val="Normal"/>
    <w:uiPriority w:val="34"/>
    <w:qFormat/>
    <w:rsid w:val="00C62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5140">
      <w:bodyDiv w:val="1"/>
      <w:marLeft w:val="0"/>
      <w:marRight w:val="0"/>
      <w:marTop w:val="0"/>
      <w:marBottom w:val="0"/>
      <w:divBdr>
        <w:top w:val="none" w:sz="0" w:space="0" w:color="auto"/>
        <w:left w:val="none" w:sz="0" w:space="0" w:color="auto"/>
        <w:bottom w:val="none" w:sz="0" w:space="0" w:color="auto"/>
        <w:right w:val="none" w:sz="0" w:space="0" w:color="auto"/>
      </w:divBdr>
    </w:div>
    <w:div w:id="443157038">
      <w:bodyDiv w:val="1"/>
      <w:marLeft w:val="0"/>
      <w:marRight w:val="0"/>
      <w:marTop w:val="0"/>
      <w:marBottom w:val="0"/>
      <w:divBdr>
        <w:top w:val="none" w:sz="0" w:space="0" w:color="auto"/>
        <w:left w:val="none" w:sz="0" w:space="0" w:color="auto"/>
        <w:bottom w:val="none" w:sz="0" w:space="0" w:color="auto"/>
        <w:right w:val="none" w:sz="0" w:space="0" w:color="auto"/>
      </w:divBdr>
    </w:div>
    <w:div w:id="547955444">
      <w:bodyDiv w:val="1"/>
      <w:marLeft w:val="0"/>
      <w:marRight w:val="0"/>
      <w:marTop w:val="0"/>
      <w:marBottom w:val="0"/>
      <w:divBdr>
        <w:top w:val="none" w:sz="0" w:space="0" w:color="auto"/>
        <w:left w:val="none" w:sz="0" w:space="0" w:color="auto"/>
        <w:bottom w:val="none" w:sz="0" w:space="0" w:color="auto"/>
        <w:right w:val="none" w:sz="0" w:space="0" w:color="auto"/>
      </w:divBdr>
      <w:divsChild>
        <w:div w:id="1707176770">
          <w:marLeft w:val="0"/>
          <w:marRight w:val="0"/>
          <w:marTop w:val="225"/>
          <w:marBottom w:val="0"/>
          <w:divBdr>
            <w:top w:val="none" w:sz="0" w:space="0" w:color="auto"/>
            <w:left w:val="none" w:sz="0" w:space="0" w:color="auto"/>
            <w:bottom w:val="none" w:sz="0" w:space="0" w:color="auto"/>
            <w:right w:val="none" w:sz="0" w:space="0" w:color="auto"/>
          </w:divBdr>
        </w:div>
      </w:divsChild>
    </w:div>
    <w:div w:id="861287507">
      <w:bodyDiv w:val="1"/>
      <w:marLeft w:val="0"/>
      <w:marRight w:val="0"/>
      <w:marTop w:val="0"/>
      <w:marBottom w:val="0"/>
      <w:divBdr>
        <w:top w:val="none" w:sz="0" w:space="0" w:color="auto"/>
        <w:left w:val="none" w:sz="0" w:space="0" w:color="auto"/>
        <w:bottom w:val="none" w:sz="0" w:space="0" w:color="auto"/>
        <w:right w:val="none" w:sz="0" w:space="0" w:color="auto"/>
      </w:divBdr>
    </w:div>
    <w:div w:id="198792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full/10.1111/j.1467-3010.2012.01988.x" TargetMode="External"/><Relationship Id="rId18" Type="http://schemas.openxmlformats.org/officeDocument/2006/relationships/hyperlink" Target="https://mro.massey.ac.nz/handle/10179/15874"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scholar.google.co.uk/scholar?hl=en&amp;as_sdt=0%2C5&amp;q=+Eatwell+plate+Northern+Ireland&amp;btnG="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emerald.com/insight/publication/issn/0007-070X"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hindawi.com/journals/jnme/2019/2790963/" TargetMode="External"/><Relationship Id="rId20" Type="http://schemas.openxmlformats.org/officeDocument/2006/relationships/hyperlink" Target="https://books.google.co.uk/books?hl=en&amp;lr=&amp;id=S6YsDwAAQBAJ&amp;oi=fnd&amp;pg=PA4&amp;dq=+World+health+Organisation+healthy+diet&amp;ots=t9XTimPJz9&amp;sig=TisxvtNedXHTIr4xvlo86o6lJx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cademic.oup.com/heapro/article/33/4/561/2897774?login=true"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ncbi.nlm.nih.gov/pmc/articles/PMC227770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pps.who.int/iris/bitstream/handle/10665/278948/WHO-NMH-NHD-18.12-eng.pdf" TargetMode="External"/><Relationship Id="rId22" Type="http://schemas.openxmlformats.org/officeDocument/2006/relationships/hyperlink" Target="https://www.ncbi.nlm.nih.gov/pubmed/2329765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A879C4DD714D54BDECD6842C14DFDE"/>
        <w:category>
          <w:name w:val="General"/>
          <w:gallery w:val="placeholder"/>
        </w:category>
        <w:types>
          <w:type w:val="bbPlcHdr"/>
        </w:types>
        <w:behaviors>
          <w:behavior w:val="content"/>
        </w:behaviors>
        <w:guid w:val="{C9101A39-7FE5-4DBE-B40B-19B7058F477D}"/>
      </w:docPartPr>
      <w:docPartBody>
        <w:p w:rsidR="00217583" w:rsidRDefault="00F15CAC" w:rsidP="00F15CAC">
          <w:pPr>
            <w:pStyle w:val="FCA879C4DD714D54BDECD6842C14DFDE"/>
          </w:pPr>
          <w:r>
            <w:rPr>
              <w:rFonts w:asciiTheme="majorHAnsi" w:eastAsiaTheme="majorEastAsia" w:hAnsiTheme="majorHAnsi" w:cstheme="majorBidi"/>
              <w:caps/>
              <w:color w:val="4472C4" w:themeColor="accent1"/>
              <w:sz w:val="80"/>
              <w:szCs w:val="80"/>
            </w:rPr>
            <w:t>[Document title]</w:t>
          </w:r>
        </w:p>
      </w:docPartBody>
    </w:docPart>
    <w:docPart>
      <w:docPartPr>
        <w:name w:val="4579CD4E49864359941CE3C81F946FBE"/>
        <w:category>
          <w:name w:val="General"/>
          <w:gallery w:val="placeholder"/>
        </w:category>
        <w:types>
          <w:type w:val="bbPlcHdr"/>
        </w:types>
        <w:behaviors>
          <w:behavior w:val="content"/>
        </w:behaviors>
        <w:guid w:val="{E9FC9676-99F0-494D-B56B-9C0B01A0D6D7}"/>
      </w:docPartPr>
      <w:docPartBody>
        <w:p w:rsidR="00217583" w:rsidRDefault="00F15CAC" w:rsidP="00F15CAC">
          <w:pPr>
            <w:pStyle w:val="4579CD4E49864359941CE3C81F946FB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AC"/>
    <w:rsid w:val="001466D7"/>
    <w:rsid w:val="00217583"/>
    <w:rsid w:val="00650E69"/>
    <w:rsid w:val="007B31C5"/>
    <w:rsid w:val="00A25591"/>
    <w:rsid w:val="00F15C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A879C4DD714D54BDECD6842C14DFDE">
    <w:name w:val="FCA879C4DD714D54BDECD6842C14DFDE"/>
    <w:rsid w:val="00F15CAC"/>
  </w:style>
  <w:style w:type="paragraph" w:customStyle="1" w:styleId="4579CD4E49864359941CE3C81F946FBE">
    <w:name w:val="4579CD4E49864359941CE3C81F946FBE"/>
    <w:rsid w:val="00F15C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2022-03-25T00:00:00</PublishDate>
  <Abstract/>
  <CompanyAddress>STUDENT: ELIJAH GOPTI JEMCHI. No. 2116695. UWTSD, CARMARTHEN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9F5A24-27A2-4EBF-8A7C-1F4EBC34E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2965</Words>
  <Characters>16906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HEALTHY EATING</vt:lpstr>
    </vt:vector>
  </TitlesOfParts>
  <Company>LECTURER: GARETH MORGAN</Company>
  <LinksUpToDate>false</LinksUpToDate>
  <CharactersWithSpaces>19832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HEALTHY EATING</dc:title>
  <dc:subject>DIFFERENT VIEWS &amp; EFFECTS</dc:subject>
  <dc:creator>Elijah Jemchi (2116695)</dc:creator>
  <cp:keywords/>
  <dc:description/>
  <cp:lastModifiedBy>Elijah Jemchi (2116695)</cp:lastModifiedBy>
  <cp:revision>2</cp:revision>
  <dcterms:created xsi:type="dcterms:W3CDTF">2022-03-25T14:35:00Z</dcterms:created>
  <dcterms:modified xsi:type="dcterms:W3CDTF">2022-03-25T14:35:00Z</dcterms:modified>
</cp:coreProperties>
</file>