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B85E3CC" w14:textId="77777777" w:rsidR="003B4FB4" w:rsidRPr="00A62BEE" w:rsidRDefault="00000000" w:rsidP="00A62BEE">
      <w:pPr>
        <w:jc w:val="center"/>
        <w:rPr>
          <w:b/>
        </w:rPr>
      </w:pPr>
      <w:r w:rsidRPr="00A62BEE">
        <w:rPr>
          <w:b/>
        </w:rPr>
        <w:t>BMPL4009</w:t>
      </w:r>
    </w:p>
    <w:p w14:paraId="0B85E3CD" w14:textId="77777777" w:rsidR="00A62BEE" w:rsidRDefault="00000000" w:rsidP="00A62BEE">
      <w:pPr>
        <w:jc w:val="center"/>
        <w:rPr>
          <w:b/>
        </w:rPr>
      </w:pPr>
      <w:r w:rsidRPr="00A62BEE">
        <w:rPr>
          <w:b/>
        </w:rPr>
        <w:t>Criminal Law</w:t>
      </w:r>
    </w:p>
    <w:p w14:paraId="24AFF96D" w14:textId="77777777" w:rsidR="00DD5651" w:rsidRDefault="00DD5651" w:rsidP="00A62BEE">
      <w:pPr>
        <w:jc w:val="center"/>
        <w:rPr>
          <w:b/>
        </w:rPr>
      </w:pPr>
    </w:p>
    <w:p w14:paraId="48DC77EE" w14:textId="77777777" w:rsidR="00DD5651" w:rsidRDefault="00DD5651" w:rsidP="00A62BEE">
      <w:pPr>
        <w:jc w:val="center"/>
        <w:rPr>
          <w:b/>
        </w:rPr>
      </w:pPr>
    </w:p>
    <w:p w14:paraId="70E8C2C8" w14:textId="77777777" w:rsidR="00DD5651" w:rsidRDefault="00DD5651" w:rsidP="00A62BEE">
      <w:pPr>
        <w:jc w:val="center"/>
        <w:rPr>
          <w:b/>
        </w:rPr>
      </w:pPr>
    </w:p>
    <w:p w14:paraId="134719B2" w14:textId="77777777" w:rsidR="00DD5651" w:rsidRDefault="00DD5651" w:rsidP="00A62BEE">
      <w:pPr>
        <w:jc w:val="center"/>
        <w:rPr>
          <w:b/>
        </w:rPr>
      </w:pPr>
    </w:p>
    <w:p w14:paraId="167AA82D" w14:textId="77777777" w:rsidR="00DD5651" w:rsidRDefault="00DD5651" w:rsidP="00A62BEE">
      <w:pPr>
        <w:jc w:val="center"/>
        <w:rPr>
          <w:b/>
        </w:rPr>
      </w:pPr>
    </w:p>
    <w:p w14:paraId="63F8DB8D" w14:textId="77777777" w:rsidR="00DD5651" w:rsidRDefault="00DD5651" w:rsidP="00A62BEE">
      <w:pPr>
        <w:jc w:val="center"/>
        <w:rPr>
          <w:b/>
        </w:rPr>
      </w:pPr>
    </w:p>
    <w:p w14:paraId="206B8616" w14:textId="77777777" w:rsidR="00DD5651" w:rsidRDefault="00DD5651" w:rsidP="00A62BEE">
      <w:pPr>
        <w:jc w:val="center"/>
        <w:rPr>
          <w:b/>
        </w:rPr>
      </w:pPr>
    </w:p>
    <w:p w14:paraId="252A6C54" w14:textId="77777777" w:rsidR="00DD5651" w:rsidRDefault="00DD5651" w:rsidP="00A62BEE">
      <w:pPr>
        <w:jc w:val="center"/>
        <w:rPr>
          <w:b/>
        </w:rPr>
      </w:pPr>
    </w:p>
    <w:p w14:paraId="4D39B9C8" w14:textId="77777777" w:rsidR="00DD5651" w:rsidRDefault="00DD5651" w:rsidP="00A62BEE">
      <w:pPr>
        <w:jc w:val="center"/>
        <w:rPr>
          <w:b/>
        </w:rPr>
      </w:pPr>
    </w:p>
    <w:p w14:paraId="1EACC330" w14:textId="77777777" w:rsidR="00DD5651" w:rsidRDefault="00DD5651" w:rsidP="00A62BEE">
      <w:pPr>
        <w:jc w:val="center"/>
        <w:rPr>
          <w:b/>
        </w:rPr>
      </w:pPr>
    </w:p>
    <w:p w14:paraId="04340DCE" w14:textId="77777777" w:rsidR="00DD5651" w:rsidRDefault="00DD5651" w:rsidP="00A62BEE">
      <w:pPr>
        <w:jc w:val="center"/>
        <w:rPr>
          <w:b/>
        </w:rPr>
      </w:pPr>
    </w:p>
    <w:p w14:paraId="5DB71D41" w14:textId="77777777" w:rsidR="00DD5651" w:rsidRDefault="00DD5651" w:rsidP="00A62BEE">
      <w:pPr>
        <w:jc w:val="center"/>
        <w:rPr>
          <w:b/>
        </w:rPr>
      </w:pPr>
    </w:p>
    <w:p w14:paraId="34399BD5" w14:textId="77777777" w:rsidR="00DD5651" w:rsidRDefault="00DD5651" w:rsidP="00A62BEE">
      <w:pPr>
        <w:jc w:val="center"/>
        <w:rPr>
          <w:b/>
        </w:rPr>
      </w:pPr>
    </w:p>
    <w:p w14:paraId="4B3B114B" w14:textId="77777777" w:rsidR="00DD5651" w:rsidRDefault="00DD5651" w:rsidP="00A62BEE">
      <w:pPr>
        <w:jc w:val="center"/>
        <w:rPr>
          <w:b/>
        </w:rPr>
      </w:pPr>
    </w:p>
    <w:p w14:paraId="6404FC32" w14:textId="77777777" w:rsidR="00DD5651" w:rsidRDefault="00DD5651" w:rsidP="00A62BEE">
      <w:pPr>
        <w:jc w:val="center"/>
        <w:rPr>
          <w:b/>
        </w:rPr>
      </w:pPr>
    </w:p>
    <w:p w14:paraId="315CC1B1" w14:textId="77777777" w:rsidR="00DD5651" w:rsidRDefault="00DD5651" w:rsidP="00A62BEE">
      <w:pPr>
        <w:jc w:val="center"/>
        <w:rPr>
          <w:b/>
        </w:rPr>
      </w:pPr>
    </w:p>
    <w:p w14:paraId="087587D8" w14:textId="77777777" w:rsidR="00DD5651" w:rsidRDefault="00DD5651" w:rsidP="00A62BEE">
      <w:pPr>
        <w:jc w:val="center"/>
        <w:rPr>
          <w:b/>
        </w:rPr>
      </w:pPr>
    </w:p>
    <w:p w14:paraId="4EB1AE72" w14:textId="77777777" w:rsidR="00DD5651" w:rsidRDefault="00DD5651" w:rsidP="00A62BEE">
      <w:pPr>
        <w:jc w:val="center"/>
        <w:rPr>
          <w:b/>
        </w:rPr>
      </w:pPr>
    </w:p>
    <w:p w14:paraId="2FEC3A56" w14:textId="77777777" w:rsidR="00DD5651" w:rsidRDefault="00DD5651" w:rsidP="00A62BEE">
      <w:pPr>
        <w:jc w:val="center"/>
        <w:rPr>
          <w:b/>
        </w:rPr>
      </w:pPr>
    </w:p>
    <w:p w14:paraId="13082733" w14:textId="77777777" w:rsidR="00DD5651" w:rsidRDefault="00DD5651" w:rsidP="00A62BEE">
      <w:pPr>
        <w:jc w:val="center"/>
        <w:rPr>
          <w:b/>
        </w:rPr>
      </w:pPr>
    </w:p>
    <w:p w14:paraId="080E33E1" w14:textId="77777777" w:rsidR="00DD5651" w:rsidRDefault="00DD5651" w:rsidP="00A62BEE">
      <w:pPr>
        <w:jc w:val="center"/>
        <w:rPr>
          <w:b/>
        </w:rPr>
      </w:pPr>
    </w:p>
    <w:p w14:paraId="3D195D33" w14:textId="77777777" w:rsidR="00DD5651" w:rsidRDefault="00DD5651" w:rsidP="00A62BEE">
      <w:pPr>
        <w:jc w:val="center"/>
        <w:rPr>
          <w:b/>
        </w:rPr>
      </w:pPr>
    </w:p>
    <w:p w14:paraId="13DEDB49" w14:textId="77777777" w:rsidR="00DD5651" w:rsidRDefault="00DD5651" w:rsidP="00A62BEE">
      <w:pPr>
        <w:jc w:val="center"/>
        <w:rPr>
          <w:b/>
        </w:rPr>
      </w:pPr>
    </w:p>
    <w:p w14:paraId="7E281556" w14:textId="77777777" w:rsidR="00DD5651" w:rsidRDefault="00DD5651" w:rsidP="00A62BEE">
      <w:pPr>
        <w:jc w:val="center"/>
        <w:rPr>
          <w:b/>
        </w:rPr>
      </w:pPr>
    </w:p>
    <w:p w14:paraId="1AC3A014" w14:textId="77777777" w:rsidR="00DD5651" w:rsidRDefault="00DD5651" w:rsidP="00A62BEE">
      <w:pPr>
        <w:jc w:val="center"/>
        <w:rPr>
          <w:b/>
        </w:rPr>
      </w:pPr>
    </w:p>
    <w:p w14:paraId="16746404" w14:textId="77777777" w:rsidR="00DD5651" w:rsidRDefault="00DD5651" w:rsidP="00A62BEE">
      <w:pPr>
        <w:jc w:val="center"/>
        <w:rPr>
          <w:b/>
        </w:rPr>
      </w:pPr>
    </w:p>
    <w:p w14:paraId="14443379" w14:textId="3F6EB11A" w:rsidR="00DD5651" w:rsidRPr="00372163" w:rsidRDefault="00372163" w:rsidP="00A62BEE">
      <w:pPr>
        <w:jc w:val="center"/>
        <w:rPr>
          <w:b/>
          <w:sz w:val="28"/>
          <w:szCs w:val="28"/>
        </w:rPr>
      </w:pPr>
      <w:r>
        <w:rPr>
          <w:b/>
          <w:sz w:val="28"/>
          <w:szCs w:val="28"/>
        </w:rPr>
        <w:t>Galina Zasheva -</w:t>
      </w:r>
      <w:r w:rsidR="00A342EC">
        <w:rPr>
          <w:b/>
          <w:sz w:val="28"/>
          <w:szCs w:val="28"/>
        </w:rPr>
        <w:t>222</w:t>
      </w:r>
      <w:r w:rsidR="003C1CC1">
        <w:rPr>
          <w:b/>
          <w:sz w:val="28"/>
          <w:szCs w:val="28"/>
        </w:rPr>
        <w:t>7456</w:t>
      </w:r>
    </w:p>
    <w:p w14:paraId="0B85E3CE" w14:textId="77777777" w:rsidR="00A62BEE" w:rsidRDefault="00000000">
      <w:pPr>
        <w:spacing w:after="200" w:line="276" w:lineRule="auto"/>
        <w:jc w:val="left"/>
      </w:pPr>
      <w:r>
        <w:br w:type="page"/>
      </w:r>
    </w:p>
    <w:sdt>
      <w:sdtPr>
        <w:rPr>
          <w:rFonts w:ascii="Times New Roman" w:eastAsia="Arial" w:hAnsi="Times New Roman" w:cs="Arial"/>
          <w:b w:val="0"/>
          <w:bCs w:val="0"/>
          <w:color w:val="auto"/>
          <w:sz w:val="24"/>
          <w:szCs w:val="22"/>
          <w:lang w:val="en-GB" w:eastAsia="en-US"/>
        </w:rPr>
        <w:id w:val="-1021308214"/>
        <w:docPartObj>
          <w:docPartGallery w:val="Table of Contents"/>
          <w:docPartUnique/>
        </w:docPartObj>
      </w:sdtPr>
      <w:sdtEndPr>
        <w:rPr>
          <w:noProof/>
        </w:rPr>
      </w:sdtEndPr>
      <w:sdtContent>
        <w:p w14:paraId="0B85E3CF" w14:textId="77777777" w:rsidR="00A62BEE" w:rsidRPr="00A62BEE" w:rsidRDefault="00000000" w:rsidP="00A62BEE">
          <w:pPr>
            <w:pStyle w:val="TOCHeading"/>
            <w:spacing w:line="360" w:lineRule="auto"/>
            <w:jc w:val="both"/>
            <w:rPr>
              <w:rFonts w:ascii="Times New Roman" w:hAnsi="Times New Roman" w:cs="Times New Roman"/>
            </w:rPr>
          </w:pPr>
          <w:r w:rsidRPr="00A62BEE">
            <w:rPr>
              <w:rFonts w:ascii="Times New Roman" w:hAnsi="Times New Roman" w:cs="Times New Roman"/>
            </w:rPr>
            <w:t>Contents</w:t>
          </w:r>
        </w:p>
        <w:p w14:paraId="0B85E3D0" w14:textId="77777777" w:rsidR="00A62BEE" w:rsidRDefault="00000000">
          <w:r>
            <w:fldChar w:fldCharType="begin"/>
          </w:r>
          <w:r>
            <w:instrText xml:space="preserve"> TOC \o "1-3" \h \z \u </w:instrText>
          </w:r>
          <w:r>
            <w:fldChar w:fldCharType="separate"/>
          </w:r>
          <w:r>
            <w:rPr>
              <w:b/>
              <w:bCs/>
              <w:noProof/>
              <w:lang w:val="en-US"/>
            </w:rPr>
            <w:t>No table of contents entries found.</w:t>
          </w:r>
          <w:r>
            <w:rPr>
              <w:b/>
              <w:bCs/>
              <w:noProof/>
            </w:rPr>
            <w:fldChar w:fldCharType="end"/>
          </w:r>
        </w:p>
      </w:sdtContent>
    </w:sdt>
    <w:p w14:paraId="0B85E3D1" w14:textId="77777777" w:rsidR="00A62BEE" w:rsidRDefault="00000000">
      <w:pPr>
        <w:spacing w:after="200" w:line="276" w:lineRule="auto"/>
        <w:jc w:val="left"/>
      </w:pPr>
      <w:r>
        <w:br w:type="page"/>
      </w:r>
    </w:p>
    <w:p w14:paraId="0B85E3D2" w14:textId="77777777" w:rsidR="00A62BEE" w:rsidRDefault="00000000" w:rsidP="00A62BEE">
      <w:pPr>
        <w:pStyle w:val="Heading2"/>
      </w:pPr>
      <w:r>
        <w:lastRenderedPageBreak/>
        <w:t>Identification of offences</w:t>
      </w:r>
    </w:p>
    <w:p w14:paraId="0B85E3D3" w14:textId="77777777" w:rsidR="00A62BEE" w:rsidRDefault="00000000" w:rsidP="00A62BEE">
      <w:r w:rsidRPr="00A52000">
        <w:t xml:space="preserve">Under </w:t>
      </w:r>
      <w:r w:rsidRPr="00A52000">
        <w:rPr>
          <w:b/>
        </w:rPr>
        <w:t>Section 1 of the Offences Against the Person Act 1861</w:t>
      </w:r>
      <w:r w:rsidRPr="00A52000">
        <w:t xml:space="preserve">, the </w:t>
      </w:r>
      <w:r w:rsidRPr="00A52000">
        <w:rPr>
          <w:i/>
        </w:rPr>
        <w:t>actus reus</w:t>
      </w:r>
      <w:r w:rsidRPr="00A52000">
        <w:t xml:space="preserve"> of the criminal act is Carla striking Jamie in the chest with a kitchen knife. Simply said, it's the willful and deliberate inflicting of physical damage. The purpose of inflicting severe bodily harm (GBH) is a necessary component of this crime. Proving that Carla stabbed Jamie with the deliberate intent to inflict significant damage is essential. Here, Carla's behaviour must be scrutinised to ascertain her purpose. Details like the kind of knife used and where the wound was inflicted (the chest) might be taken into account. Stabbing someone in the chest might be seen as an act with intent to do significant damage. There may be more pertinent factors to examine, such as Carla's mental health, emotional turmoil, and the abruptness of the conduct. If Carla wants to claim she didn't want to hurt anybody, she might say she lost control once Jamie's affair was revealed. Possible pre-incident factors that the defence may investigate include the argument's intensity and the defendant's emotional state.</w:t>
      </w:r>
      <w:r>
        <w:t xml:space="preserve"> </w:t>
      </w:r>
    </w:p>
    <w:p w14:paraId="0B85E3D4" w14:textId="77777777" w:rsidR="00A62BEE" w:rsidRDefault="00000000" w:rsidP="00A62BEE">
      <w:r w:rsidRPr="00A52000">
        <w:t xml:space="preserve">Several factors including the extent of the damage and the seriousness of Jamie's chest injury, it might be possible to classify it as harm to another person. There is a high risk of death and serious internal bleeding from stabbing wounds to the chest. The injuries could not be considered GBH if they were minor or short-lived. The wound's position and the fact that it was cut make it quite likely that the wounds are severe. It is also essential for this offence to have a motive to induce GBH. </w:t>
      </w:r>
      <w:r w:rsidRPr="00A52000">
        <w:rPr>
          <w:b/>
        </w:rPr>
        <w:t>Section 20 of the Offences Against the Person Act 1861</w:t>
      </w:r>
      <w:r w:rsidRPr="00A52000">
        <w:t xml:space="preserve"> might be relevant if Carla meant to cause substantial damage and the injury done equals GBH.</w:t>
      </w:r>
    </w:p>
    <w:p w14:paraId="0B85E3D5" w14:textId="77777777" w:rsidR="00A62BEE" w:rsidRDefault="00000000" w:rsidP="00A62BEE">
      <w:pPr>
        <w:pStyle w:val="Heading2"/>
      </w:pPr>
      <w:r w:rsidRPr="00A62BEE">
        <w:t>Elements of the Offence</w:t>
      </w:r>
    </w:p>
    <w:p w14:paraId="0B85E3D6" w14:textId="77777777" w:rsidR="00A62BEE" w:rsidRDefault="00000000" w:rsidP="00A62BEE">
      <w:r w:rsidRPr="00A52000">
        <w:t xml:space="preserve">Carla knowingly and voluntarily used force, which caused the knife to pierce Jamie's chest. Carla must have stabbed herself knowingly and deliberately for the act to be considered voluntary. To determine voluntariness, we would look at things like her physical control of the knife and how intentional the action was. For the injury to occur, the act must have caused it. In this particular situation, Jamie had major injuries as a direct result of the knife attack. The prosecution must prove that Jamie's injuries were directly caused by Carla's acts. The disclosure of Jamie's affair may have a major impact on Carla's already heightened emotional condition. Her legal team may argue that she acted on impulse, motivated by an overwhelming storm of sentiments, rather than with the deliberate intention of causing GBH. The disclosure of Jamie's affair may have been </w:t>
      </w:r>
      <w:r w:rsidRPr="00A52000">
        <w:lastRenderedPageBreak/>
        <w:t>seen as provocative, which affected Carla's mental health. One possible line of defence is that the defendant lost control after being provoked, which lessens the likelihood that they intended to do significant injury. The prosecution may contend that Carla meant to inflict substantial damage due to her use of a knife, a weapon that might cause death. The use of a knife implies some thought and consideration of the possible outcomes. Stabbing someone in the chest, a very vulnerable place may be seen as an indication of wanting to do serious damage. To show that Carla did not intend to inflict so severe injury, the defence may highlight how quickly the incident happened. A key component of Carla's defence might be bringing attention to her emotional pain and how Jamie's confession affected her mental condition. It may be argued that intense emotions masked the original goal.</w:t>
      </w:r>
    </w:p>
    <w:p w14:paraId="0B85E3D7" w14:textId="77777777" w:rsidR="00A62BEE" w:rsidRDefault="00000000" w:rsidP="00A62BEE">
      <w:pPr>
        <w:pStyle w:val="Heading2"/>
      </w:pPr>
      <w:r w:rsidRPr="00A62BEE">
        <w:t>Potential Defences</w:t>
      </w:r>
    </w:p>
    <w:p w14:paraId="0B85E3D8" w14:textId="77777777" w:rsidR="00AA70BD" w:rsidRDefault="00000000" w:rsidP="00A62BEE">
      <w:r w:rsidRPr="00AA70BD">
        <w:t xml:space="preserve">Carla has the burden of proof under </w:t>
      </w:r>
      <w:r w:rsidRPr="00A52000">
        <w:rPr>
          <w:b/>
        </w:rPr>
        <w:t xml:space="preserve">section 55 of the Coroners and Justice Act </w:t>
      </w:r>
      <w:r w:rsidRPr="00AA70BD">
        <w:t>on her qualifying mental state that she must prove at the time of the occurrence. Her lack of composure may have been exacerbated by mental health issues including post-traumatic stress disorder (PTSD) or despair. For Carla's defence to be successful, it must be shown that she lost control of her acts due to her mental illness. At issue is whether the level of emotional anguish she experienced as a result of Jamie's confession was substantial enough to impair her behavioural regulation abilities. There can be no self-inflicted loss of control. This defence may not hold water if Carla's inebriation had a role in her loss of composure. It may still be taken into account, however, if the drinking was an independent problem from the loss of control. The defence hinges on the idea that an otherwise sober individual of comparable age and gender may have responded similarly given the same set of circumstances. With this new metric in place, we can objectively judge whether Carla's remark was fair. In light of Carla's mental health, which has been worsened by her marital issues and Jamie's confession, the defence may contend that she qualifies for a mental illness. The defence may be able to provide evidence that her acts were driven by an unexpected and uncontrolled emotional reaction, rather than deliberate malice.</w:t>
      </w:r>
    </w:p>
    <w:p w14:paraId="0B85E3D9" w14:textId="77777777" w:rsidR="00AA70BD" w:rsidRDefault="00000000" w:rsidP="00AA70BD">
      <w:r w:rsidRPr="00A52000">
        <w:t xml:space="preserve">If Carla's violent outbursts and Jamie's confession are accepted as "sufficient provocation," the accusation might be reduced to GBH without intention under </w:t>
      </w:r>
      <w:r w:rsidRPr="00A52000">
        <w:rPr>
          <w:b/>
        </w:rPr>
        <w:t>section 4 of the Homicide Act 1957</w:t>
      </w:r>
      <w:r w:rsidRPr="00A52000">
        <w:t xml:space="preserve">. There is an exceptionally high standard for provoked action, and the connection between the verbal abuses that prompted the reaction (stabbing) will be carefully examined. Carla may </w:t>
      </w:r>
      <w:r w:rsidRPr="00A52000">
        <w:lastRenderedPageBreak/>
        <w:t>have lost control since Jamie admitted to being unfaithful and showed signs of aggression, according to the defence. It will be difficult for the court to determine whether stabbing was a fair and proportional response to the provocations because of the circumstances of the response.</w:t>
      </w:r>
    </w:p>
    <w:p w14:paraId="0B85E3DA" w14:textId="77777777" w:rsidR="00AA70BD" w:rsidRDefault="00000000" w:rsidP="00AA70BD">
      <w:r w:rsidRPr="00A52000">
        <w:t xml:space="preserve">Carla has the burden of proof to establish that her mental illness substantially hinders her capacity to bear accountability for her acts under </w:t>
      </w:r>
      <w:r w:rsidRPr="00A52000">
        <w:rPr>
          <w:b/>
        </w:rPr>
        <w:t>section 46 of the Criminal Justice Act 1991</w:t>
      </w:r>
      <w:r w:rsidRPr="00A52000">
        <w:t>. The incapacity must have some connection to the criminal act. Carla may be able to use the reduced responsibility defence if it can be shown that her mental condition, such as depression, greatly lessened her culpability for the stabbing. If the link between Carla's mental condition and the crime has to be shown, expert psychological testimony may be necessary.</w:t>
      </w:r>
    </w:p>
    <w:p w14:paraId="0B85E3DB" w14:textId="77777777" w:rsidR="00AA70BD" w:rsidRDefault="00000000" w:rsidP="00AA70BD">
      <w:pPr>
        <w:pStyle w:val="Heading2"/>
      </w:pPr>
      <w:r w:rsidRPr="00AA70BD">
        <w:t>Relevance of Factors</w:t>
      </w:r>
    </w:p>
    <w:p w14:paraId="0B85E3DC" w14:textId="77777777" w:rsidR="00AA70BD" w:rsidRDefault="00000000" w:rsidP="00AA70BD">
      <w:r w:rsidRPr="00AA70BD">
        <w:t>To understand Carla's emotional condition during the event, Jamie's revelation of the affair is significant. It explains why she did what she did and might lend credence to allegations of mental anguish. Although Carla's increased feelings and rage may be explained by Jamie's confession, it does not necessarily excuse her violent behaviour. People should be able to restrain themselves and try to resolve disagreements peacefully, according to the law. The confession, which emphasises the provocation and Carla's emotional suffering, may work as a mitigating element. Nonetheless, she remains fully accountable for the horrific acts she committed. The background of Carla's mental condition may be better understood with indications of long-term problems with her marriage. It might show that the event was part of a larger trend of interpersonal problems rather than an isolated occurrence. The confession reveals Jamie's adultery, which causes Carla to react emotionally. One important consideration in determining her mental health is the extent to which the emotional toll of adultery has affected her. If you want to know what happened just before the stabbing and how emotions rose to a dangerous level, you need to look into the dispute that got out of hand. In claiming a loss of control defence, Carla's emotional condition may be essential. That she lost control because of emotional anguish may be supported by the accumulative impact of long-term issues, the discovery of adultery, and the severity of the fight. Depending on Carla's mental health, the court may find a lesser degree of guilt and sentence her accordingly.</w:t>
      </w:r>
    </w:p>
    <w:p w14:paraId="0B85E3DD" w14:textId="77777777" w:rsidR="00AA70BD" w:rsidRDefault="00000000" w:rsidP="00AA70BD">
      <w:pPr>
        <w:pStyle w:val="Heading2"/>
      </w:pPr>
      <w:r>
        <w:lastRenderedPageBreak/>
        <w:t>Case Precedents</w:t>
      </w:r>
    </w:p>
    <w:p w14:paraId="0B85E3DE" w14:textId="77777777" w:rsidR="00AA70BD" w:rsidRDefault="00000000" w:rsidP="00AA70BD">
      <w:r>
        <w:t xml:space="preserve">The standard for "reasonable person" standard for loss of control was laid forth in the 1998 decision of </w:t>
      </w:r>
      <w:r w:rsidRPr="00AA70BD">
        <w:rPr>
          <w:i/>
        </w:rPr>
        <w:t>R v Woollin</w:t>
      </w:r>
      <w:r>
        <w:t>. The standard here is to think about how the defendant would have reacted if they were a reasonable person in that situation when faced with the provocation. The reasonableness of Carla's reaction to Jamie's provocation—her confession of adultery and perhaps violent conduct—would likely be considered by the court if she were to use her loss of control defence. The court would look at how someone who was emotionally distressed and in a comparable situation could have responded. A less favourable outcome for Carla's defence might occur if her actions are determined to have been significantly out of proportion to the provocation.</w:t>
      </w:r>
    </w:p>
    <w:p w14:paraId="0B85E3DF" w14:textId="77777777" w:rsidR="00AA70BD" w:rsidRDefault="00000000" w:rsidP="00AA70BD">
      <w:r>
        <w:t xml:space="preserve">The decision in </w:t>
      </w:r>
      <w:r w:rsidRPr="00AA70BD">
        <w:rPr>
          <w:i/>
        </w:rPr>
        <w:t>R v. Thornton (1992)</w:t>
      </w:r>
      <w:r>
        <w:t xml:space="preserve"> made it clear that absent very serious circumstances, verbal abuse alone would not be enough to justify physical force. There is a high bar for provocation. To determine if Carla's provocation defence was successful, the court would look at whether Jamie's statement and any verbal harassment that went along with it constituted "sufficient provocation" to reduce the charge. If the physical misconduct is not very severe, it may not be enough to be considered provocation. The severity and kind of provocation in connection to Carla's aggressive reaction would be factors considered by the court.</w:t>
      </w:r>
    </w:p>
    <w:p w14:paraId="0B85E3E0" w14:textId="77777777" w:rsidR="00AA70BD" w:rsidRDefault="00AA70BD" w:rsidP="00AA70BD"/>
    <w:p w14:paraId="0B85E3E1" w14:textId="77777777" w:rsidR="00AA70BD" w:rsidRDefault="00AA70BD" w:rsidP="00AA70BD"/>
    <w:p w14:paraId="0B85E3E2" w14:textId="77777777" w:rsidR="00AA70BD" w:rsidRDefault="00AA70BD" w:rsidP="00AA70BD"/>
    <w:p w14:paraId="0B85E3E3" w14:textId="77777777" w:rsidR="00AA70BD" w:rsidRDefault="00AA70BD" w:rsidP="00AA70BD"/>
    <w:p w14:paraId="0B85E3E4" w14:textId="77777777" w:rsidR="00A62BEE" w:rsidRDefault="00A62BEE" w:rsidP="00A62BEE"/>
    <w:p w14:paraId="0B85E3E5" w14:textId="77777777" w:rsidR="00A62BEE" w:rsidRDefault="00A62BEE" w:rsidP="00A62BEE"/>
    <w:p w14:paraId="0B85E3E6" w14:textId="77777777" w:rsidR="00A62BEE" w:rsidRDefault="00A62BEE"/>
    <w:p w14:paraId="0B85E3E7" w14:textId="77777777" w:rsidR="00A62BEE" w:rsidRDefault="00A62BEE"/>
    <w:sectPr w:rsidR="00A62BEE">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A125DE5" w14:textId="77777777" w:rsidR="000372F7" w:rsidRDefault="000372F7">
      <w:pPr>
        <w:spacing w:line="240" w:lineRule="auto"/>
      </w:pPr>
      <w:r>
        <w:separator/>
      </w:r>
    </w:p>
  </w:endnote>
  <w:endnote w:type="continuationSeparator" w:id="0">
    <w:p w14:paraId="4A8070C9" w14:textId="77777777" w:rsidR="000372F7" w:rsidRDefault="000372F7">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3821391"/>
      <w:docPartObj>
        <w:docPartGallery w:val="Page Numbers (Bottom of Page)"/>
        <w:docPartUnique/>
      </w:docPartObj>
    </w:sdtPr>
    <w:sdtEndPr>
      <w:rPr>
        <w:noProof/>
      </w:rPr>
    </w:sdtEndPr>
    <w:sdtContent>
      <w:p w14:paraId="0B85E3E8" w14:textId="77777777" w:rsidR="00A62BEE" w:rsidRDefault="00000000">
        <w:pPr>
          <w:pStyle w:val="Footer"/>
          <w:jc w:val="right"/>
        </w:pPr>
        <w:r>
          <w:fldChar w:fldCharType="begin"/>
        </w:r>
        <w:r>
          <w:instrText xml:space="preserve"> PAGE   \* MERGEFORMAT </w:instrText>
        </w:r>
        <w:r>
          <w:fldChar w:fldCharType="separate"/>
        </w:r>
        <w:r w:rsidR="00A52000">
          <w:rPr>
            <w:noProof/>
          </w:rPr>
          <w:t>1</w:t>
        </w:r>
        <w:r>
          <w:rPr>
            <w:noProof/>
          </w:rPr>
          <w:fldChar w:fldCharType="end"/>
        </w:r>
      </w:p>
    </w:sdtContent>
  </w:sdt>
  <w:p w14:paraId="0B85E3E9" w14:textId="77777777" w:rsidR="00A62BEE" w:rsidRDefault="00A62BE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17E39EA" w14:textId="77777777" w:rsidR="000372F7" w:rsidRDefault="000372F7">
      <w:pPr>
        <w:spacing w:line="240" w:lineRule="auto"/>
      </w:pPr>
      <w:r>
        <w:separator/>
      </w:r>
    </w:p>
  </w:footnote>
  <w:footnote w:type="continuationSeparator" w:id="0">
    <w:p w14:paraId="27AFC57A" w14:textId="77777777" w:rsidR="000372F7" w:rsidRDefault="000372F7">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9C44306"/>
    <w:multiLevelType w:val="multilevel"/>
    <w:tmpl w:val="F57E693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4EBB349A"/>
    <w:multiLevelType w:val="multilevel"/>
    <w:tmpl w:val="8EACF4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55ED3C7E"/>
    <w:multiLevelType w:val="multilevel"/>
    <w:tmpl w:val="CE7056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60D5049E"/>
    <w:multiLevelType w:val="multilevel"/>
    <w:tmpl w:val="A73E9B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70EF4016"/>
    <w:multiLevelType w:val="multilevel"/>
    <w:tmpl w:val="B46653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615363122">
    <w:abstractNumId w:val="3"/>
  </w:num>
  <w:num w:numId="2" w16cid:durableId="912013338">
    <w:abstractNumId w:val="1"/>
  </w:num>
  <w:num w:numId="3" w16cid:durableId="286352844">
    <w:abstractNumId w:val="0"/>
  </w:num>
  <w:num w:numId="4" w16cid:durableId="303004258">
    <w:abstractNumId w:val="4"/>
  </w:num>
  <w:num w:numId="5" w16cid:durableId="11491338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24296"/>
    <w:rsid w:val="000372F7"/>
    <w:rsid w:val="001D0E87"/>
    <w:rsid w:val="002D74BC"/>
    <w:rsid w:val="00372163"/>
    <w:rsid w:val="003B4FB4"/>
    <w:rsid w:val="003C1CC1"/>
    <w:rsid w:val="006D46B0"/>
    <w:rsid w:val="00701F0E"/>
    <w:rsid w:val="00724296"/>
    <w:rsid w:val="009A089D"/>
    <w:rsid w:val="00A342EC"/>
    <w:rsid w:val="00A52000"/>
    <w:rsid w:val="00A62BEE"/>
    <w:rsid w:val="00A83F50"/>
    <w:rsid w:val="00AA70BD"/>
    <w:rsid w:val="00DD5651"/>
    <w:rsid w:val="00FD699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85E3CC"/>
  <w15:docId w15:val="{52E5048C-8357-494C-A328-E0AE87A69C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Arial"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A089D"/>
    <w:pPr>
      <w:spacing w:after="0" w:line="360" w:lineRule="auto"/>
      <w:jc w:val="both"/>
    </w:pPr>
    <w:rPr>
      <w:rFonts w:ascii="Times New Roman" w:hAnsi="Times New Roman" w:cs="Arial"/>
      <w:sz w:val="24"/>
      <w:lang w:val="en-GB"/>
    </w:rPr>
  </w:style>
  <w:style w:type="paragraph" w:styleId="Heading1">
    <w:name w:val="heading 1"/>
    <w:basedOn w:val="Normal"/>
    <w:next w:val="Normal"/>
    <w:link w:val="Heading1Char"/>
    <w:autoRedefine/>
    <w:uiPriority w:val="9"/>
    <w:qFormat/>
    <w:rsid w:val="00A83F50"/>
    <w:pPr>
      <w:keepNext/>
      <w:keepLines/>
      <w:spacing w:before="480"/>
      <w:outlineLvl w:val="0"/>
    </w:pPr>
    <w:rPr>
      <w:rFonts w:eastAsiaTheme="majorEastAsia"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701F0E"/>
    <w:pPr>
      <w:keepNext/>
      <w:keepLines/>
      <w:spacing w:before="200"/>
      <w:outlineLvl w:val="1"/>
    </w:pPr>
    <w:rPr>
      <w:rFonts w:eastAsiaTheme="majorEastAsia" w:cstheme="majorBidi"/>
      <w:b/>
      <w:bCs/>
      <w:color w:val="4F81BD" w:themeColor="accent1"/>
      <w:sz w:val="28"/>
      <w:szCs w:val="26"/>
    </w:rPr>
  </w:style>
  <w:style w:type="paragraph" w:styleId="Heading3">
    <w:name w:val="heading 3"/>
    <w:basedOn w:val="Normal"/>
    <w:next w:val="Normal"/>
    <w:link w:val="Heading3Char"/>
    <w:autoRedefine/>
    <w:uiPriority w:val="9"/>
    <w:unhideWhenUsed/>
    <w:qFormat/>
    <w:rsid w:val="006D46B0"/>
    <w:pPr>
      <w:keepNext/>
      <w:keepLines/>
      <w:spacing w:before="200"/>
      <w:outlineLvl w:val="2"/>
    </w:pPr>
    <w:rPr>
      <w:rFonts w:eastAsiaTheme="majorEastAsia" w:cstheme="majorBidi"/>
      <w:b/>
      <w:bCs/>
      <w:color w:val="4F81BD" w:themeColor="accent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701F0E"/>
    <w:rPr>
      <w:rFonts w:ascii="Times New Roman" w:eastAsiaTheme="majorEastAsia" w:hAnsi="Times New Roman" w:cstheme="majorBidi"/>
      <w:b/>
      <w:bCs/>
      <w:color w:val="4F81BD" w:themeColor="accent1"/>
      <w:sz w:val="28"/>
      <w:szCs w:val="26"/>
      <w:lang w:val="en-GB"/>
    </w:rPr>
  </w:style>
  <w:style w:type="character" w:customStyle="1" w:styleId="Heading3Char">
    <w:name w:val="Heading 3 Char"/>
    <w:basedOn w:val="DefaultParagraphFont"/>
    <w:link w:val="Heading3"/>
    <w:uiPriority w:val="9"/>
    <w:rsid w:val="006D46B0"/>
    <w:rPr>
      <w:rFonts w:ascii="Times New Roman" w:eastAsiaTheme="majorEastAsia" w:hAnsi="Times New Roman" w:cstheme="majorBidi"/>
      <w:b/>
      <w:bCs/>
      <w:color w:val="4F81BD" w:themeColor="accent1"/>
      <w:sz w:val="24"/>
      <w:lang w:val="en-GB"/>
    </w:rPr>
  </w:style>
  <w:style w:type="character" w:customStyle="1" w:styleId="Heading1Char">
    <w:name w:val="Heading 1 Char"/>
    <w:basedOn w:val="DefaultParagraphFont"/>
    <w:link w:val="Heading1"/>
    <w:uiPriority w:val="9"/>
    <w:rsid w:val="00A83F50"/>
    <w:rPr>
      <w:rFonts w:ascii="Times New Roman" w:eastAsiaTheme="majorEastAsia" w:hAnsi="Times New Roman" w:cstheme="majorBidi"/>
      <w:b/>
      <w:bCs/>
      <w:color w:val="365F91" w:themeColor="accent1" w:themeShade="BF"/>
      <w:sz w:val="28"/>
      <w:szCs w:val="28"/>
      <w:lang w:val="en-GB"/>
    </w:rPr>
  </w:style>
  <w:style w:type="paragraph" w:styleId="Header">
    <w:name w:val="header"/>
    <w:basedOn w:val="Normal"/>
    <w:link w:val="HeaderChar"/>
    <w:uiPriority w:val="99"/>
    <w:unhideWhenUsed/>
    <w:rsid w:val="00A62BEE"/>
    <w:pPr>
      <w:tabs>
        <w:tab w:val="center" w:pos="4680"/>
        <w:tab w:val="right" w:pos="9360"/>
      </w:tabs>
      <w:spacing w:line="240" w:lineRule="auto"/>
    </w:pPr>
  </w:style>
  <w:style w:type="character" w:customStyle="1" w:styleId="HeaderChar">
    <w:name w:val="Header Char"/>
    <w:basedOn w:val="DefaultParagraphFont"/>
    <w:link w:val="Header"/>
    <w:uiPriority w:val="99"/>
    <w:rsid w:val="00A62BEE"/>
    <w:rPr>
      <w:rFonts w:ascii="Times New Roman" w:hAnsi="Times New Roman" w:cs="Arial"/>
      <w:sz w:val="24"/>
      <w:lang w:val="en-GB"/>
    </w:rPr>
  </w:style>
  <w:style w:type="paragraph" w:styleId="Footer">
    <w:name w:val="footer"/>
    <w:basedOn w:val="Normal"/>
    <w:link w:val="FooterChar"/>
    <w:uiPriority w:val="99"/>
    <w:unhideWhenUsed/>
    <w:rsid w:val="00A62BEE"/>
    <w:pPr>
      <w:tabs>
        <w:tab w:val="center" w:pos="4680"/>
        <w:tab w:val="right" w:pos="9360"/>
      </w:tabs>
      <w:spacing w:line="240" w:lineRule="auto"/>
    </w:pPr>
  </w:style>
  <w:style w:type="character" w:customStyle="1" w:styleId="FooterChar">
    <w:name w:val="Footer Char"/>
    <w:basedOn w:val="DefaultParagraphFont"/>
    <w:link w:val="Footer"/>
    <w:uiPriority w:val="99"/>
    <w:rsid w:val="00A62BEE"/>
    <w:rPr>
      <w:rFonts w:ascii="Times New Roman" w:hAnsi="Times New Roman" w:cs="Arial"/>
      <w:sz w:val="24"/>
      <w:lang w:val="en-GB"/>
    </w:rPr>
  </w:style>
  <w:style w:type="paragraph" w:styleId="TOCHeading">
    <w:name w:val="TOC Heading"/>
    <w:basedOn w:val="Heading1"/>
    <w:next w:val="Normal"/>
    <w:uiPriority w:val="39"/>
    <w:semiHidden/>
    <w:unhideWhenUsed/>
    <w:qFormat/>
    <w:rsid w:val="00A62BEE"/>
    <w:pPr>
      <w:spacing w:line="276" w:lineRule="auto"/>
      <w:jc w:val="left"/>
      <w:outlineLvl w:val="9"/>
    </w:pPr>
    <w:rPr>
      <w:rFonts w:asciiTheme="majorHAnsi" w:hAnsiTheme="majorHAnsi"/>
      <w:lang w:val="en-US" w:eastAsia="ja-JP"/>
    </w:rPr>
  </w:style>
  <w:style w:type="paragraph" w:styleId="BalloonText">
    <w:name w:val="Balloon Text"/>
    <w:basedOn w:val="Normal"/>
    <w:link w:val="BalloonTextChar"/>
    <w:uiPriority w:val="99"/>
    <w:semiHidden/>
    <w:unhideWhenUsed/>
    <w:rsid w:val="00A62BE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62BEE"/>
    <w:rPr>
      <w:rFonts w:ascii="Tahoma" w:hAnsi="Tahoma" w:cs="Tahoma"/>
      <w:sz w:val="16"/>
      <w:szCs w:val="16"/>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4A61DA5-3A02-40E9-BE15-BDD4437E2A4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40</TotalTime>
  <Pages>6</Pages>
  <Words>1403</Words>
  <Characters>8000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RLG</dc:creator>
  <cp:lastModifiedBy>IZ Building</cp:lastModifiedBy>
  <cp:revision>6</cp:revision>
  <dcterms:created xsi:type="dcterms:W3CDTF">2023-12-28T03:54:00Z</dcterms:created>
  <dcterms:modified xsi:type="dcterms:W3CDTF">2024-01-04T21:25:00Z</dcterms:modified>
</cp:coreProperties>
</file>