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EB30F" w14:textId="77777777" w:rsidR="008443EF" w:rsidRDefault="008443EF" w:rsidP="008443EF">
      <w:pPr>
        <w:spacing w:before="0" w:after="160"/>
        <w:jc w:val="center"/>
        <w:rPr>
          <w:b/>
          <w:bCs/>
        </w:rPr>
      </w:pPr>
    </w:p>
    <w:p w14:paraId="0DA16DBC" w14:textId="77777777" w:rsidR="008443EF" w:rsidRDefault="008443EF" w:rsidP="008443EF">
      <w:pPr>
        <w:spacing w:before="0" w:after="160"/>
        <w:jc w:val="center"/>
        <w:rPr>
          <w:b/>
          <w:bCs/>
        </w:rPr>
      </w:pPr>
    </w:p>
    <w:p w14:paraId="1238B6D7" w14:textId="12882FE0" w:rsidR="008443EF" w:rsidRPr="008443EF" w:rsidRDefault="008443EF" w:rsidP="008443EF">
      <w:pPr>
        <w:spacing w:before="0" w:after="160"/>
        <w:jc w:val="center"/>
      </w:pPr>
      <w:r w:rsidRPr="008443EF">
        <w:rPr>
          <w:b/>
          <w:bCs/>
        </w:rPr>
        <w:t>Social Isolation and Psychological Wellbeing among Older Adults in the United Kingdom: A Scoping Review</w:t>
      </w:r>
    </w:p>
    <w:p w14:paraId="561E5C48" w14:textId="77777777" w:rsidR="008443EF" w:rsidRDefault="008443EF" w:rsidP="008443EF">
      <w:pPr>
        <w:jc w:val="center"/>
        <w:rPr>
          <w:b/>
          <w:bCs/>
        </w:rPr>
      </w:pPr>
    </w:p>
    <w:p w14:paraId="24B14DCA" w14:textId="77777777" w:rsidR="008443EF" w:rsidRDefault="008443EF" w:rsidP="008443EF">
      <w:pPr>
        <w:jc w:val="center"/>
        <w:rPr>
          <w:b/>
          <w:bCs/>
        </w:rPr>
      </w:pPr>
    </w:p>
    <w:p w14:paraId="03AB0AF5" w14:textId="77777777" w:rsidR="008443EF" w:rsidRDefault="008443EF" w:rsidP="008443EF">
      <w:pPr>
        <w:jc w:val="center"/>
        <w:rPr>
          <w:b/>
          <w:bCs/>
        </w:rPr>
      </w:pPr>
    </w:p>
    <w:p w14:paraId="71530725" w14:textId="77777777" w:rsidR="008443EF" w:rsidRDefault="008443EF" w:rsidP="008443EF">
      <w:pPr>
        <w:jc w:val="center"/>
        <w:rPr>
          <w:b/>
          <w:bCs/>
        </w:rPr>
      </w:pPr>
    </w:p>
    <w:p w14:paraId="609BA944" w14:textId="77777777" w:rsidR="00A8588E" w:rsidRDefault="008443EF" w:rsidP="008443EF">
      <w:pPr>
        <w:spacing w:line="480" w:lineRule="auto"/>
        <w:jc w:val="center"/>
      </w:pPr>
      <w:r w:rsidRPr="008443EF">
        <w:rPr>
          <w:b/>
          <w:bCs/>
        </w:rPr>
        <w:t>Student name:</w:t>
      </w:r>
      <w:r w:rsidRPr="008443EF">
        <w:t xml:space="preserve"> </w:t>
      </w:r>
      <w:r w:rsidR="00A8588E">
        <w:t>Hinna Hussain</w:t>
      </w:r>
    </w:p>
    <w:p w14:paraId="131B656D" w14:textId="25A67988" w:rsidR="008443EF" w:rsidRDefault="008443EF" w:rsidP="008443EF">
      <w:pPr>
        <w:spacing w:line="480" w:lineRule="auto"/>
        <w:jc w:val="center"/>
      </w:pPr>
      <w:r w:rsidRPr="008443EF">
        <w:rPr>
          <w:b/>
          <w:bCs/>
        </w:rPr>
        <w:t>Student number:</w:t>
      </w:r>
      <w:r w:rsidRPr="008443EF">
        <w:t xml:space="preserve"> </w:t>
      </w:r>
      <w:r w:rsidR="009C52BA">
        <w:t>2419356</w:t>
      </w:r>
    </w:p>
    <w:p w14:paraId="24CB1BA4" w14:textId="57E2E9A3" w:rsidR="008443EF" w:rsidRPr="008443EF" w:rsidRDefault="008443EF" w:rsidP="008443EF">
      <w:pPr>
        <w:spacing w:line="480" w:lineRule="auto"/>
        <w:jc w:val="center"/>
      </w:pPr>
      <w:r w:rsidRPr="008443EF">
        <w:rPr>
          <w:b/>
          <w:bCs/>
        </w:rPr>
        <w:t>Module:</w:t>
      </w:r>
      <w:r w:rsidRPr="008443EF">
        <w:t xml:space="preserve"> BMHP5019 – Introduction to Independent Research Skills</w:t>
      </w:r>
      <w:r w:rsidRPr="008443EF">
        <w:br/>
      </w:r>
      <w:r w:rsidRPr="008443EF">
        <w:rPr>
          <w:b/>
          <w:bCs/>
        </w:rPr>
        <w:t>Assessment:</w:t>
      </w:r>
      <w:r w:rsidRPr="008443EF">
        <w:t xml:space="preserve"> Component 1 Research Proposal</w:t>
      </w:r>
    </w:p>
    <w:p w14:paraId="1EF02BA3" w14:textId="20851182" w:rsidR="008443EF" w:rsidRPr="00A8588E" w:rsidRDefault="008443EF" w:rsidP="00A8588E">
      <w:pPr>
        <w:rPr>
          <w:b/>
          <w:bCs/>
        </w:rPr>
      </w:pPr>
      <w:r>
        <w:rPr>
          <w:b/>
          <w:bCs/>
        </w:rPr>
        <w:br w:type="page"/>
      </w:r>
      <w:r w:rsidRPr="00A8588E">
        <w:rPr>
          <w:b/>
          <w:bCs/>
        </w:rPr>
        <w:lastRenderedPageBreak/>
        <w:t>Introduction</w:t>
      </w:r>
    </w:p>
    <w:p w14:paraId="228379CF" w14:textId="1CA07260" w:rsidR="00173B1B" w:rsidRDefault="00173B1B" w:rsidP="00173B1B">
      <w:r>
        <w:t>Social isolation is defined as reduced social contact and social involvement, while loneliness is defined as feeling dissatisfied with social relationships (Green et al., 2021). Psychological well-being includes emotional functioning, life satisfaction and positive mental health (</w:t>
      </w:r>
      <w:r w:rsidRPr="008443EF">
        <w:t>Steptoe</w:t>
      </w:r>
      <w:r>
        <w:t xml:space="preserve"> et al., 2013). The proposed scoping review will look at the relationship between outcome of psychological wellbeing and explanatory variable of social isolation in adults aged 65 years and older in the United Kingdom. The question for the review is: What does the existing research tell us about the links between social isolation and psychological wellbeing in older people in the United Kingdom? The aim is to identify the existing evidence, themes emerging and gaps which are relevant for health and social care practice.</w:t>
      </w:r>
    </w:p>
    <w:p w14:paraId="31B999CE" w14:textId="77777777" w:rsidR="00A8588E" w:rsidRDefault="00A8588E" w:rsidP="00173B1B"/>
    <w:p w14:paraId="2A475461" w14:textId="6061045A" w:rsidR="008443EF" w:rsidRPr="008443EF" w:rsidRDefault="008443EF" w:rsidP="00173B1B">
      <w:pPr>
        <w:spacing w:before="0" w:after="160" w:line="259" w:lineRule="auto"/>
      </w:pPr>
      <w:r w:rsidRPr="008443EF">
        <w:rPr>
          <w:b/>
          <w:bCs/>
        </w:rPr>
        <w:t>Rationale</w:t>
      </w:r>
    </w:p>
    <w:p w14:paraId="6754C85A" w14:textId="4B805CB5" w:rsidR="00173B1B" w:rsidRDefault="00173B1B" w:rsidP="00173B1B">
      <w:r w:rsidRPr="00173B1B">
        <w:t>Understanding this relationship matters because services supporting older adults need evidence about social circumstances associated with poorer wellbeing.</w:t>
      </w:r>
      <w:r>
        <w:t xml:space="preserve"> Shankar et al. (2015) reported that the higher the level of isolation the lower the wellbeing, and the more severe the decline in hedonic wellbeing. Not all isolation is loneliness, however, as Steptoe et al. (2013) have shown different correlations between the two and mortality. Mortality is not an outcome of this review but it does help with conceptualisation.</w:t>
      </w:r>
    </w:p>
    <w:p w14:paraId="3C0F1C39" w14:textId="77777777" w:rsidR="00A8588E" w:rsidRDefault="00173B1B" w:rsidP="00A8588E">
      <w:r>
        <w:t xml:space="preserve">Shankar et al. (2011) also found a relationship between isolation and poor health behaviours and biological markers, which highlighted the broader health implications of isolation. Green et al. (2021) found that in-person relationships had a negative association with loneliness compared to remote relationships, with the odds of loneliness being lower when in-person. During the pandemic, mental health and wellbeing deteriorated, as noted by </w:t>
      </w:r>
      <w:proofErr w:type="spellStart"/>
      <w:r>
        <w:t>Zaninotto</w:t>
      </w:r>
      <w:proofErr w:type="spellEnd"/>
      <w:r>
        <w:t xml:space="preserve"> et al., (2022), especially among non-partnered older adults. These results warrant a closer look at other types of social connection without making causal conclusions. The review will identify gaps in evidence and the measurement of isolation and wellbeing and how this is different in a pandemic context.</w:t>
      </w:r>
    </w:p>
    <w:p w14:paraId="52E075AD" w14:textId="77777777" w:rsidR="00A8588E" w:rsidRDefault="00A8588E" w:rsidP="00A8588E"/>
    <w:p w14:paraId="3EA856E9" w14:textId="2ABA9485" w:rsidR="008443EF" w:rsidRPr="00A8588E" w:rsidRDefault="008443EF" w:rsidP="00A8588E">
      <w:pPr>
        <w:rPr>
          <w:b/>
          <w:bCs/>
        </w:rPr>
      </w:pPr>
      <w:r w:rsidRPr="00A8588E">
        <w:rPr>
          <w:b/>
          <w:bCs/>
        </w:rPr>
        <w:t>Methods</w:t>
      </w:r>
    </w:p>
    <w:p w14:paraId="1A03ABFF" w14:textId="77777777" w:rsidR="00A8588E" w:rsidRDefault="00173B1B" w:rsidP="00A8588E">
      <w:r>
        <w:t xml:space="preserve">Synonyms and Boolean operators will be used to search the databases UWTSD Library, PubMed and CINAHL with the following: social isolation, older adults, psychological </w:t>
      </w:r>
      <w:r>
        <w:lastRenderedPageBreak/>
        <w:t xml:space="preserve">wellbeing, United Kingdom. Studies published within the past 16 years (from 2011 to 2026) in the English-language literature, with peer-reviewed status and identifiable UK data for adults aged 65 and over, will be considered. Studies with outcomes not related to the topic will be omitted. Using methods, participants, findings and limitations five studies will be charted. </w:t>
      </w:r>
      <w:r w:rsidRPr="00173B1B">
        <w:t>Aveyard (2014) simplified thematic analysis will identify recurring patterns and gaps</w:t>
      </w:r>
      <w:r>
        <w:t>.</w:t>
      </w:r>
    </w:p>
    <w:p w14:paraId="420D937A" w14:textId="77777777" w:rsidR="00A8588E" w:rsidRDefault="00A8588E" w:rsidP="00A8588E"/>
    <w:p w14:paraId="37B3AFC7" w14:textId="19EA06A4" w:rsidR="008443EF" w:rsidRPr="00A8588E" w:rsidRDefault="008443EF" w:rsidP="00A8588E">
      <w:pPr>
        <w:rPr>
          <w:b/>
          <w:bCs/>
        </w:rPr>
      </w:pPr>
      <w:r w:rsidRPr="00A8588E">
        <w:rPr>
          <w:b/>
          <w:bCs/>
        </w:rPr>
        <w:t>Ethical Considerations</w:t>
      </w:r>
    </w:p>
    <w:p w14:paraId="76B920E7" w14:textId="77777777" w:rsidR="00173B1B" w:rsidRPr="008443EF" w:rsidRDefault="00173B1B" w:rsidP="00173B1B">
      <w:r>
        <w:t xml:space="preserve">This review will be based on published </w:t>
      </w:r>
      <w:proofErr w:type="gramStart"/>
      <w:r>
        <w:t>research,</w:t>
      </w:r>
      <w:proofErr w:type="gramEnd"/>
      <w:r>
        <w:t xml:space="preserve"> no participants will be recruited. Citations will be made using UWTSD Harvard referencing. Findings will be presented in an accurate manner, including contradictory evidence and methodological limitations. Search and selection will be documented in a transparent fashion. Fabrication, selective reporting and plagiarism will be avoided in the review and reporting process</w:t>
      </w:r>
      <w:r w:rsidRPr="008443EF">
        <w:t>.</w:t>
      </w:r>
    </w:p>
    <w:p w14:paraId="036B3BEA" w14:textId="3F3B6B8E" w:rsidR="008443EF" w:rsidRPr="008443EF" w:rsidRDefault="008443EF" w:rsidP="008443EF">
      <w:pPr>
        <w:spacing w:before="0" w:after="160" w:line="259" w:lineRule="auto"/>
      </w:pPr>
    </w:p>
    <w:p w14:paraId="43E63296" w14:textId="1DDF7741" w:rsidR="008443EF" w:rsidRDefault="00AE4FFD" w:rsidP="00A8588E">
      <w:pPr>
        <w:spacing w:before="0" w:after="160" w:line="259" w:lineRule="auto"/>
        <w:jc w:val="left"/>
        <w:rPr>
          <w:b/>
          <w:bCs/>
        </w:rPr>
      </w:pPr>
      <w:r>
        <w:br w:type="page"/>
      </w:r>
      <w:r w:rsidR="008443EF" w:rsidRPr="00A8588E">
        <w:rPr>
          <w:b/>
          <w:bCs/>
        </w:rPr>
        <w:lastRenderedPageBreak/>
        <w:t>References</w:t>
      </w:r>
    </w:p>
    <w:p w14:paraId="62DDB184" w14:textId="77777777" w:rsidR="00A8588E" w:rsidRPr="00A8588E" w:rsidRDefault="00A8588E" w:rsidP="00A8588E">
      <w:pPr>
        <w:spacing w:before="0" w:after="160" w:line="259" w:lineRule="auto"/>
        <w:jc w:val="left"/>
        <w:rPr>
          <w:rFonts w:eastAsiaTheme="majorEastAsia" w:cstheme="majorBidi"/>
          <w:b/>
          <w:bCs/>
          <w:szCs w:val="40"/>
        </w:rPr>
      </w:pPr>
    </w:p>
    <w:p w14:paraId="712F6F45" w14:textId="77777777" w:rsidR="008443EF" w:rsidRDefault="008443EF" w:rsidP="00EA1F98">
      <w:pPr>
        <w:spacing w:before="0" w:after="160" w:line="259" w:lineRule="auto"/>
        <w:ind w:left="720" w:hanging="720"/>
      </w:pPr>
      <w:r w:rsidRPr="008443EF">
        <w:t xml:space="preserve">Aveyard, H. (2014) </w:t>
      </w:r>
      <w:r w:rsidRPr="008443EF">
        <w:rPr>
          <w:i/>
          <w:iCs/>
        </w:rPr>
        <w:t>Doing a literature review in health and social care: A practical guide</w:t>
      </w:r>
      <w:r w:rsidRPr="008443EF">
        <w:t xml:space="preserve">. 3rd </w:t>
      </w:r>
      <w:proofErr w:type="spellStart"/>
      <w:r w:rsidRPr="008443EF">
        <w:t>edn</w:t>
      </w:r>
      <w:proofErr w:type="spellEnd"/>
      <w:r w:rsidRPr="008443EF">
        <w:t>. Maidenhead: Open University Press.</w:t>
      </w:r>
    </w:p>
    <w:p w14:paraId="0174A733" w14:textId="77777777" w:rsidR="00A8588E" w:rsidRPr="008443EF" w:rsidRDefault="00A8588E" w:rsidP="00EA1F98">
      <w:pPr>
        <w:spacing w:before="0" w:after="160" w:line="259" w:lineRule="auto"/>
        <w:ind w:left="720" w:hanging="720"/>
      </w:pPr>
    </w:p>
    <w:p w14:paraId="43CC8E8C" w14:textId="3CA6BE6E" w:rsidR="008443EF" w:rsidRDefault="008443EF" w:rsidP="00EA1F98">
      <w:pPr>
        <w:spacing w:before="0" w:after="160" w:line="259" w:lineRule="auto"/>
        <w:ind w:left="720" w:hanging="720"/>
      </w:pPr>
      <w:r w:rsidRPr="008443EF">
        <w:t xml:space="preserve">Green, M.J., Whitley, E., Niedzwiedz, C.L., Shaw, R.J. and </w:t>
      </w:r>
      <w:proofErr w:type="spellStart"/>
      <w:r w:rsidRPr="008443EF">
        <w:t>Katikireddi</w:t>
      </w:r>
      <w:proofErr w:type="spellEnd"/>
      <w:r w:rsidRPr="008443EF">
        <w:t xml:space="preserve">, S.V. (2021) ‘Social contact and inequalities in depressive symptoms and loneliness among older adults: A mediation analysis of the English Longitudinal Study of Ageing’, </w:t>
      </w:r>
      <w:r w:rsidRPr="008443EF">
        <w:rPr>
          <w:i/>
          <w:iCs/>
        </w:rPr>
        <w:t>SSM – Population Health</w:t>
      </w:r>
      <w:r w:rsidRPr="008443EF">
        <w:t xml:space="preserve">, 13, article 100726. Available at: </w:t>
      </w:r>
    </w:p>
    <w:p w14:paraId="0A897A4C" w14:textId="32CEACEF" w:rsidR="00A8588E" w:rsidRPr="00A8588E" w:rsidRDefault="00A8588E" w:rsidP="00EA1F98">
      <w:pPr>
        <w:spacing w:before="0" w:after="160" w:line="259" w:lineRule="auto"/>
        <w:ind w:left="720" w:hanging="720"/>
        <w:rPr>
          <w:i/>
          <w:iCs/>
        </w:rPr>
      </w:pPr>
      <w:r w:rsidRPr="00A8588E">
        <w:rPr>
          <w:i/>
          <w:iCs/>
        </w:rPr>
        <w:t>https://www.sciencedirect.com/science/article/pii/S235282732100001X?via%3Dihub</w:t>
      </w:r>
    </w:p>
    <w:p w14:paraId="5579B6FB" w14:textId="77777777" w:rsidR="00A8588E" w:rsidRPr="008443EF" w:rsidRDefault="00A8588E" w:rsidP="00EA1F98">
      <w:pPr>
        <w:spacing w:before="0" w:after="160" w:line="259" w:lineRule="auto"/>
        <w:ind w:left="720" w:hanging="720"/>
      </w:pPr>
    </w:p>
    <w:p w14:paraId="034E0E0E" w14:textId="77777777" w:rsidR="00A8588E" w:rsidRDefault="008443EF" w:rsidP="00EA1F98">
      <w:pPr>
        <w:spacing w:before="0" w:after="160" w:line="259" w:lineRule="auto"/>
        <w:ind w:left="720" w:hanging="720"/>
      </w:pPr>
      <w:r w:rsidRPr="008443EF">
        <w:t xml:space="preserve">Shankar, A., McMunn, A., Banks, J. and Steptoe, A. (2011) ‘Loneliness, social isolation, and </w:t>
      </w:r>
      <w:proofErr w:type="spellStart"/>
      <w:r w:rsidRPr="008443EF">
        <w:t>behavioral</w:t>
      </w:r>
      <w:proofErr w:type="spellEnd"/>
      <w:r w:rsidRPr="008443EF">
        <w:t xml:space="preserve"> and biological health indicators in older adults’, </w:t>
      </w:r>
      <w:r w:rsidRPr="008443EF">
        <w:rPr>
          <w:i/>
          <w:iCs/>
        </w:rPr>
        <w:t>Health Psychology</w:t>
      </w:r>
      <w:r w:rsidRPr="008443EF">
        <w:t xml:space="preserve">, 30(4), pp. 377–385. Available at: </w:t>
      </w:r>
    </w:p>
    <w:p w14:paraId="3DC1046B" w14:textId="47AB7C31" w:rsidR="00A8588E" w:rsidRPr="00A8588E" w:rsidRDefault="00A8588E" w:rsidP="00EA1F98">
      <w:pPr>
        <w:spacing w:before="0" w:after="160" w:line="259" w:lineRule="auto"/>
        <w:ind w:left="720" w:hanging="720"/>
        <w:rPr>
          <w:i/>
          <w:iCs/>
        </w:rPr>
      </w:pPr>
      <w:r w:rsidRPr="00A8588E">
        <w:rPr>
          <w:i/>
          <w:iCs/>
        </w:rPr>
        <w:t>https://psycnet.apa.org/doiLanding?doi=10.1037%2Fa0022826</w:t>
      </w:r>
    </w:p>
    <w:p w14:paraId="14D31074" w14:textId="77777777" w:rsidR="00A8588E" w:rsidRPr="008443EF" w:rsidRDefault="00A8588E" w:rsidP="00EA1F98">
      <w:pPr>
        <w:spacing w:before="0" w:after="160" w:line="259" w:lineRule="auto"/>
        <w:ind w:left="720" w:hanging="720"/>
      </w:pPr>
    </w:p>
    <w:p w14:paraId="2BF40260" w14:textId="08A155B7" w:rsidR="008443EF" w:rsidRDefault="008443EF" w:rsidP="00EA1F98">
      <w:pPr>
        <w:spacing w:before="0" w:after="160" w:line="259" w:lineRule="auto"/>
        <w:ind w:left="720" w:hanging="720"/>
      </w:pPr>
      <w:r w:rsidRPr="008443EF">
        <w:t xml:space="preserve">Shankar, A., Rafnsson, S.B. and Steptoe, A. (2015) ‘Longitudinal associations between social connections and subjective wellbeing in the English Longitudinal Study of Ageing’, </w:t>
      </w:r>
      <w:r w:rsidRPr="008443EF">
        <w:rPr>
          <w:i/>
          <w:iCs/>
        </w:rPr>
        <w:t>Psychology &amp; Health</w:t>
      </w:r>
      <w:r w:rsidRPr="008443EF">
        <w:t xml:space="preserve">, 30(6), pp. 686–698. Available at: </w:t>
      </w:r>
    </w:p>
    <w:p w14:paraId="3A5B6DB8" w14:textId="15202567" w:rsidR="00A8588E" w:rsidRPr="00A8588E" w:rsidRDefault="00A8588E" w:rsidP="00EA1F98">
      <w:pPr>
        <w:spacing w:before="0" w:after="160" w:line="259" w:lineRule="auto"/>
        <w:ind w:left="720" w:hanging="720"/>
        <w:rPr>
          <w:i/>
          <w:iCs/>
        </w:rPr>
      </w:pPr>
      <w:r w:rsidRPr="00A8588E">
        <w:rPr>
          <w:i/>
          <w:iCs/>
        </w:rPr>
        <w:t>https://www.tandfonline.com/doi/full/10.1080/08870446.2014.979823</w:t>
      </w:r>
    </w:p>
    <w:p w14:paraId="36C954C1" w14:textId="77777777" w:rsidR="00A8588E" w:rsidRPr="008443EF" w:rsidRDefault="00A8588E" w:rsidP="00EA1F98">
      <w:pPr>
        <w:spacing w:before="0" w:after="160" w:line="259" w:lineRule="auto"/>
        <w:ind w:left="720" w:hanging="720"/>
      </w:pPr>
    </w:p>
    <w:p w14:paraId="4B0BF5D1" w14:textId="48E99E0E" w:rsidR="008443EF" w:rsidRDefault="008443EF" w:rsidP="00EA1F98">
      <w:pPr>
        <w:spacing w:before="0" w:after="160" w:line="259" w:lineRule="auto"/>
        <w:ind w:left="720" w:hanging="720"/>
      </w:pPr>
      <w:r w:rsidRPr="008443EF">
        <w:t xml:space="preserve">Steptoe, A., Shankar, A., </w:t>
      </w:r>
      <w:proofErr w:type="spellStart"/>
      <w:r w:rsidRPr="008443EF">
        <w:t>Demakakos</w:t>
      </w:r>
      <w:proofErr w:type="spellEnd"/>
      <w:r w:rsidRPr="008443EF">
        <w:t xml:space="preserve">, P. and Wardle, J. (2013) ‘Social isolation, loneliness, and all-cause mortality in older men and women’, </w:t>
      </w:r>
      <w:r w:rsidRPr="008443EF">
        <w:rPr>
          <w:i/>
          <w:iCs/>
        </w:rPr>
        <w:t>Proceedings of the National Academy of Sciences</w:t>
      </w:r>
      <w:r w:rsidRPr="008443EF">
        <w:t xml:space="preserve">, 110(15), pp. 5797–5801. Available at: </w:t>
      </w:r>
    </w:p>
    <w:p w14:paraId="42D9AB0E" w14:textId="3ACB4DA4" w:rsidR="00A8588E" w:rsidRPr="00A8588E" w:rsidRDefault="00A8588E" w:rsidP="00EA1F98">
      <w:pPr>
        <w:spacing w:before="0" w:after="160" w:line="259" w:lineRule="auto"/>
        <w:ind w:left="720" w:hanging="720"/>
        <w:rPr>
          <w:i/>
          <w:iCs/>
        </w:rPr>
      </w:pPr>
      <w:r w:rsidRPr="00A8588E">
        <w:rPr>
          <w:i/>
          <w:iCs/>
        </w:rPr>
        <w:t>https://www.pnas.org/doi/full/10.1073/pnas.1219686110</w:t>
      </w:r>
    </w:p>
    <w:p w14:paraId="00709EC8" w14:textId="77777777" w:rsidR="00A8588E" w:rsidRPr="008443EF" w:rsidRDefault="00A8588E" w:rsidP="00EA1F98">
      <w:pPr>
        <w:spacing w:before="0" w:after="160" w:line="259" w:lineRule="auto"/>
        <w:ind w:left="720" w:hanging="720"/>
      </w:pPr>
    </w:p>
    <w:p w14:paraId="24E21DB5" w14:textId="3ED72986" w:rsidR="008443EF" w:rsidRDefault="008443EF" w:rsidP="00A8588E">
      <w:pPr>
        <w:pStyle w:val="ListParagraph"/>
        <w:spacing w:before="0" w:after="160" w:line="259" w:lineRule="auto"/>
      </w:pPr>
      <w:proofErr w:type="spellStart"/>
      <w:r w:rsidRPr="008443EF">
        <w:t>Zaninotto</w:t>
      </w:r>
      <w:proofErr w:type="spellEnd"/>
      <w:r w:rsidRPr="008443EF">
        <w:t xml:space="preserve">, P., </w:t>
      </w:r>
      <w:proofErr w:type="spellStart"/>
      <w:r w:rsidRPr="008443EF">
        <w:t>Iob</w:t>
      </w:r>
      <w:proofErr w:type="spellEnd"/>
      <w:r w:rsidRPr="008443EF">
        <w:t xml:space="preserve">, E., </w:t>
      </w:r>
      <w:proofErr w:type="spellStart"/>
      <w:r w:rsidRPr="008443EF">
        <w:t>Demakakos</w:t>
      </w:r>
      <w:proofErr w:type="spellEnd"/>
      <w:r w:rsidRPr="008443EF">
        <w:t xml:space="preserve">, P. and Steptoe, A. (2022) ‘Immediate and longer-term changes in the mental health and well-being of older adults in England during the COVID-19 pandemic’, </w:t>
      </w:r>
      <w:r w:rsidRPr="00A8588E">
        <w:rPr>
          <w:i/>
          <w:iCs/>
        </w:rPr>
        <w:t>JAMA Psychiatry</w:t>
      </w:r>
      <w:r w:rsidRPr="008443EF">
        <w:t xml:space="preserve">, 79(2), pp. 151–159. Available at: </w:t>
      </w:r>
    </w:p>
    <w:p w14:paraId="5BB32400" w14:textId="23B6F6B6" w:rsidR="00A8588E" w:rsidRPr="00A8588E" w:rsidRDefault="00A8588E" w:rsidP="009C52BA">
      <w:pPr>
        <w:spacing w:before="0" w:after="160" w:line="259" w:lineRule="auto"/>
        <w:rPr>
          <w:i/>
          <w:iCs/>
        </w:rPr>
      </w:pPr>
      <w:r w:rsidRPr="00A8588E">
        <w:rPr>
          <w:i/>
          <w:iCs/>
        </w:rPr>
        <w:t>https://jamanetwork.com/journals/jamapsychiatry/fullarticle/2787196</w:t>
      </w:r>
    </w:p>
    <w:p w14:paraId="0A337DAE" w14:textId="77777777" w:rsidR="00CE65FD" w:rsidRDefault="00CE65FD"/>
    <w:sectPr w:rsidR="00CE65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AB04D9"/>
    <w:multiLevelType w:val="hybridMultilevel"/>
    <w:tmpl w:val="4516A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1639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3EF"/>
    <w:rsid w:val="00173B1B"/>
    <w:rsid w:val="00673929"/>
    <w:rsid w:val="008443EF"/>
    <w:rsid w:val="009C52BA"/>
    <w:rsid w:val="009C6709"/>
    <w:rsid w:val="00A8588E"/>
    <w:rsid w:val="00AE4FFD"/>
    <w:rsid w:val="00B82418"/>
    <w:rsid w:val="00CE65FD"/>
    <w:rsid w:val="00E17151"/>
    <w:rsid w:val="00E51F28"/>
    <w:rsid w:val="00EA1F9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90F04"/>
  <w15:chartTrackingRefBased/>
  <w15:docId w15:val="{425F9715-50B1-4950-AE13-349D4DAD6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3EF"/>
    <w:pPr>
      <w:spacing w:before="120" w:after="1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443EF"/>
    <w:pPr>
      <w:keepNext/>
      <w:keepLines/>
      <w:jc w:val="center"/>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173B1B"/>
    <w:pPr>
      <w:keepNext/>
      <w:keepLines/>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8443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43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43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43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43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43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43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3EF"/>
    <w:rPr>
      <w:rFonts w:ascii="Times New Roman" w:eastAsiaTheme="majorEastAsia" w:hAnsi="Times New Roman" w:cstheme="majorBidi"/>
      <w:b/>
      <w:sz w:val="24"/>
      <w:szCs w:val="40"/>
      <w:lang w:val="en-GB"/>
    </w:rPr>
  </w:style>
  <w:style w:type="character" w:customStyle="1" w:styleId="Heading2Char">
    <w:name w:val="Heading 2 Char"/>
    <w:basedOn w:val="DefaultParagraphFont"/>
    <w:link w:val="Heading2"/>
    <w:uiPriority w:val="9"/>
    <w:rsid w:val="00173B1B"/>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semiHidden/>
    <w:rsid w:val="008443EF"/>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8443EF"/>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8443EF"/>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8443E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443E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443E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443E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443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43E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443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43E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443EF"/>
    <w:pPr>
      <w:spacing w:before="160"/>
      <w:jc w:val="center"/>
    </w:pPr>
    <w:rPr>
      <w:i/>
      <w:iCs/>
      <w:color w:val="404040" w:themeColor="text1" w:themeTint="BF"/>
    </w:rPr>
  </w:style>
  <w:style w:type="character" w:customStyle="1" w:styleId="QuoteChar">
    <w:name w:val="Quote Char"/>
    <w:basedOn w:val="DefaultParagraphFont"/>
    <w:link w:val="Quote"/>
    <w:uiPriority w:val="29"/>
    <w:rsid w:val="008443EF"/>
    <w:rPr>
      <w:i/>
      <w:iCs/>
      <w:color w:val="404040" w:themeColor="text1" w:themeTint="BF"/>
      <w:lang w:val="en-GB"/>
    </w:rPr>
  </w:style>
  <w:style w:type="paragraph" w:styleId="ListParagraph">
    <w:name w:val="List Paragraph"/>
    <w:basedOn w:val="Normal"/>
    <w:uiPriority w:val="34"/>
    <w:qFormat/>
    <w:rsid w:val="008443EF"/>
    <w:pPr>
      <w:ind w:left="720"/>
      <w:contextualSpacing/>
    </w:pPr>
  </w:style>
  <w:style w:type="character" w:styleId="IntenseEmphasis">
    <w:name w:val="Intense Emphasis"/>
    <w:basedOn w:val="DefaultParagraphFont"/>
    <w:uiPriority w:val="21"/>
    <w:qFormat/>
    <w:rsid w:val="008443EF"/>
    <w:rPr>
      <w:i/>
      <w:iCs/>
      <w:color w:val="2F5496" w:themeColor="accent1" w:themeShade="BF"/>
    </w:rPr>
  </w:style>
  <w:style w:type="paragraph" w:styleId="IntenseQuote">
    <w:name w:val="Intense Quote"/>
    <w:basedOn w:val="Normal"/>
    <w:next w:val="Normal"/>
    <w:link w:val="IntenseQuoteChar"/>
    <w:uiPriority w:val="30"/>
    <w:qFormat/>
    <w:rsid w:val="008443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43EF"/>
    <w:rPr>
      <w:i/>
      <w:iCs/>
      <w:color w:val="2F5496" w:themeColor="accent1" w:themeShade="BF"/>
      <w:lang w:val="en-GB"/>
    </w:rPr>
  </w:style>
  <w:style w:type="character" w:styleId="IntenseReference">
    <w:name w:val="Intense Reference"/>
    <w:basedOn w:val="DefaultParagraphFont"/>
    <w:uiPriority w:val="32"/>
    <w:qFormat/>
    <w:rsid w:val="008443EF"/>
    <w:rPr>
      <w:b/>
      <w:bCs/>
      <w:smallCaps/>
      <w:color w:val="2F5496" w:themeColor="accent1" w:themeShade="BF"/>
      <w:spacing w:val="5"/>
    </w:rPr>
  </w:style>
  <w:style w:type="character" w:styleId="Hyperlink">
    <w:name w:val="Hyperlink"/>
    <w:basedOn w:val="DefaultParagraphFont"/>
    <w:uiPriority w:val="99"/>
    <w:unhideWhenUsed/>
    <w:rsid w:val="008443EF"/>
    <w:rPr>
      <w:color w:val="0563C1" w:themeColor="hyperlink"/>
      <w:u w:val="single"/>
    </w:rPr>
  </w:style>
  <w:style w:type="character" w:styleId="UnresolvedMention">
    <w:name w:val="Unresolved Mention"/>
    <w:basedOn w:val="DefaultParagraphFont"/>
    <w:uiPriority w:val="99"/>
    <w:semiHidden/>
    <w:unhideWhenUsed/>
    <w:rsid w:val="008443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770</Words>
  <Characters>4395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hinna hussain</cp:lastModifiedBy>
  <cp:revision>2</cp:revision>
  <dcterms:created xsi:type="dcterms:W3CDTF">2026-10-11T15:56:00Z</dcterms:created>
  <dcterms:modified xsi:type="dcterms:W3CDTF">2026-10-11T15:56:00Z</dcterms:modified>
</cp:coreProperties>
</file>