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2A25F5" w14:textId="77777777" w:rsidR="00473E98" w:rsidRPr="00473E98" w:rsidRDefault="00473E98" w:rsidP="00473E98">
      <w:pPr>
        <w:spacing w:after="45" w:line="240" w:lineRule="auto"/>
        <w:outlineLvl w:val="0"/>
        <w:rPr>
          <w:rFonts w:ascii="Arial" w:eastAsia="Times New Roman" w:hAnsi="Arial" w:cs="Arial"/>
          <w:caps/>
          <w:color w:val="231F20"/>
          <w:kern w:val="36"/>
          <w:sz w:val="54"/>
          <w:szCs w:val="54"/>
          <w:lang w:eastAsia="en-GB"/>
        </w:rPr>
      </w:pPr>
      <w:r w:rsidRPr="00473E98">
        <w:rPr>
          <w:rFonts w:ascii="Arial" w:eastAsia="Times New Roman" w:hAnsi="Arial" w:cs="Arial"/>
          <w:caps/>
          <w:color w:val="231F20"/>
          <w:kern w:val="36"/>
          <w:sz w:val="54"/>
          <w:szCs w:val="54"/>
          <w:lang w:eastAsia="en-GB"/>
        </w:rPr>
        <w:t>ROBERT TANNENBAUM &amp; WARREN SCHMIDT: LEADERSHIP CONTINUUM</w:t>
      </w:r>
    </w:p>
    <w:p w14:paraId="63FF04C3"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color w:val="231F20"/>
          <w:sz w:val="23"/>
          <w:szCs w:val="23"/>
          <w:lang w:eastAsia="en-GB"/>
        </w:rPr>
        <w:t>Among many types of model of leadership is one that is particularly useful to practical day-to-day managers: situational leadership. And by far the best version of this idea was developed by two UCLA professors, Robert Tannenbaum and Warren Schmidt. </w:t>
      </w:r>
      <w:hyperlink r:id="rId5" w:tgtFrame="_blank" w:history="1">
        <w:r w:rsidRPr="00473E98">
          <w:rPr>
            <w:rFonts w:ascii="Arial" w:eastAsia="Times New Roman" w:hAnsi="Arial" w:cs="Arial"/>
            <w:color w:val="CB2C3D"/>
            <w:sz w:val="23"/>
            <w:szCs w:val="23"/>
            <w:u w:val="single"/>
            <w:lang w:eastAsia="en-GB"/>
          </w:rPr>
          <w:t>Their 1958 article (reprinted in 1973) </w:t>
        </w:r>
      </w:hyperlink>
      <w:r w:rsidRPr="00473E98">
        <w:rPr>
          <w:rFonts w:ascii="Arial" w:eastAsia="Times New Roman" w:hAnsi="Arial" w:cs="Arial"/>
          <w:color w:val="231F20"/>
          <w:sz w:val="23"/>
          <w:szCs w:val="23"/>
          <w:lang w:eastAsia="en-GB"/>
        </w:rPr>
        <w:t xml:space="preserve">is one of the most reprinted from Harvard Business </w:t>
      </w:r>
      <w:proofErr w:type="spellStart"/>
      <w:r w:rsidRPr="00473E98">
        <w:rPr>
          <w:rFonts w:ascii="Arial" w:eastAsia="Times New Roman" w:hAnsi="Arial" w:cs="Arial"/>
          <w:color w:val="231F20"/>
          <w:sz w:val="23"/>
          <w:szCs w:val="23"/>
          <w:lang w:eastAsia="en-GB"/>
        </w:rPr>
        <w:t>Review.Robert</w:t>
      </w:r>
      <w:proofErr w:type="spellEnd"/>
      <w:r w:rsidRPr="00473E98">
        <w:rPr>
          <w:rFonts w:ascii="Arial" w:eastAsia="Times New Roman" w:hAnsi="Arial" w:cs="Arial"/>
          <w:color w:val="231F20"/>
          <w:sz w:val="23"/>
          <w:szCs w:val="23"/>
          <w:lang w:eastAsia="en-GB"/>
        </w:rPr>
        <w:t xml:space="preserve"> Tannenbaum &amp; Warren Schmidt</w:t>
      </w:r>
    </w:p>
    <w:p w14:paraId="4966A819" w14:textId="77777777" w:rsidR="00473E98" w:rsidRPr="00473E98" w:rsidRDefault="00473E98" w:rsidP="00473E98">
      <w:pPr>
        <w:spacing w:after="148" w:line="240" w:lineRule="auto"/>
        <w:outlineLvl w:val="1"/>
        <w:rPr>
          <w:rFonts w:ascii="Arial" w:eastAsia="Times New Roman" w:hAnsi="Arial" w:cs="Arial"/>
          <w:color w:val="231F20"/>
          <w:sz w:val="37"/>
          <w:szCs w:val="37"/>
          <w:lang w:eastAsia="en-GB"/>
        </w:rPr>
      </w:pPr>
      <w:r w:rsidRPr="00473E98">
        <w:rPr>
          <w:rFonts w:ascii="Arial" w:eastAsia="Times New Roman" w:hAnsi="Arial" w:cs="Arial"/>
          <w:color w:val="231F20"/>
          <w:sz w:val="37"/>
          <w:szCs w:val="37"/>
          <w:lang w:eastAsia="en-GB"/>
        </w:rPr>
        <w:t>Robert Tannenbaum</w:t>
      </w:r>
    </w:p>
    <w:p w14:paraId="024B9935"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color w:val="231F20"/>
          <w:sz w:val="23"/>
          <w:szCs w:val="23"/>
          <w:lang w:eastAsia="en-GB"/>
        </w:rPr>
        <w:t>Robert Tannenbaum was born in 1916, in Colorado. He studied at The University of Chicago, gaining an AB in Business Administration in 1937, and his MBA in 1938. The following year, he started his PhD in Industrial Relations also at Chicago, but his studies were interrupted by the war.</w:t>
      </w:r>
    </w:p>
    <w:p w14:paraId="29413CBA"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color w:val="231F20"/>
          <w:sz w:val="23"/>
          <w:szCs w:val="23"/>
          <w:lang w:eastAsia="en-GB"/>
        </w:rPr>
        <w:t>After serving as a Lieutenant in the US Navy, he returned to his PhD, which he defended in 1948. From there, he went to teach at the UCLA’s Anderson School of Management, where he remained until his retirement in 1977.</w:t>
      </w:r>
    </w:p>
    <w:p w14:paraId="46C3876F" w14:textId="77777777" w:rsidR="00473E98" w:rsidRPr="00473E98" w:rsidRDefault="00473E98" w:rsidP="00473E98">
      <w:pPr>
        <w:spacing w:after="148" w:line="240" w:lineRule="auto"/>
        <w:outlineLvl w:val="1"/>
        <w:rPr>
          <w:rFonts w:ascii="Arial" w:eastAsia="Times New Roman" w:hAnsi="Arial" w:cs="Arial"/>
          <w:color w:val="231F20"/>
          <w:sz w:val="37"/>
          <w:szCs w:val="37"/>
          <w:lang w:eastAsia="en-GB"/>
        </w:rPr>
      </w:pPr>
      <w:r w:rsidRPr="00473E98">
        <w:rPr>
          <w:rFonts w:ascii="Arial" w:eastAsia="Times New Roman" w:hAnsi="Arial" w:cs="Arial"/>
          <w:color w:val="231F20"/>
          <w:sz w:val="37"/>
          <w:szCs w:val="37"/>
          <w:lang w:eastAsia="en-GB"/>
        </w:rPr>
        <w:t>Warren H Schmidt</w:t>
      </w:r>
    </w:p>
    <w:p w14:paraId="562F9254"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color w:val="231F20"/>
          <w:sz w:val="23"/>
          <w:szCs w:val="23"/>
          <w:lang w:eastAsia="en-GB"/>
        </w:rPr>
        <w:t>Warren Schmidt was born in 1920, in Detroit, and took a Bachelor’s degree in Journalism at Wayne State University. He then became ordained as a Lutheran minister.</w:t>
      </w:r>
    </w:p>
    <w:p w14:paraId="7A0D74A8"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color w:val="231F20"/>
          <w:sz w:val="23"/>
          <w:szCs w:val="23"/>
          <w:lang w:eastAsia="en-GB"/>
        </w:rPr>
        <w:t>He changed direction again, and after gaining his PhD in Psychology at Washington University, he went to teach at the University of Southern California and UCLA’s Anderson School of Management, where he met Tannenbaum.</w:t>
      </w:r>
    </w:p>
    <w:p w14:paraId="7141508E"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color w:val="231F20"/>
          <w:sz w:val="23"/>
          <w:szCs w:val="23"/>
          <w:lang w:eastAsia="en-GB"/>
        </w:rPr>
        <w:t>By the by, Schmidt is the first of our Management Thinkers and Doers who has won an Oscar. In 1969, he wrote an Op Ed piece for the LA times, titled </w:t>
      </w:r>
      <w:r w:rsidRPr="00473E98">
        <w:rPr>
          <w:rFonts w:ascii="Arial" w:eastAsia="Times New Roman" w:hAnsi="Arial" w:cs="Arial"/>
          <w:i/>
          <w:iCs/>
          <w:color w:val="231F20"/>
          <w:sz w:val="23"/>
          <w:szCs w:val="23"/>
          <w:lang w:eastAsia="en-GB"/>
        </w:rPr>
        <w:t>‘Is it Always Right to be Right’</w:t>
      </w:r>
      <w:r w:rsidRPr="00473E98">
        <w:rPr>
          <w:rFonts w:ascii="Arial" w:eastAsia="Times New Roman" w:hAnsi="Arial" w:cs="Arial"/>
          <w:color w:val="231F20"/>
          <w:sz w:val="23"/>
          <w:szCs w:val="23"/>
          <w:lang w:eastAsia="en-GB"/>
        </w:rPr>
        <w:t>. This was well received and turned into a short animated movie, narrated by Orson Welles. It won the Academy Award for Best Short Animated Film in 1970.</w:t>
      </w:r>
    </w:p>
    <w:p w14:paraId="71BC5DC8" w14:textId="77777777" w:rsidR="00473E98" w:rsidRPr="00473E98" w:rsidRDefault="00473E98" w:rsidP="00473E98">
      <w:pPr>
        <w:spacing w:after="148" w:line="240" w:lineRule="auto"/>
        <w:outlineLvl w:val="1"/>
        <w:rPr>
          <w:rFonts w:ascii="Arial" w:eastAsia="Times New Roman" w:hAnsi="Arial" w:cs="Arial"/>
          <w:color w:val="231F20"/>
          <w:sz w:val="37"/>
          <w:szCs w:val="37"/>
          <w:lang w:eastAsia="en-GB"/>
        </w:rPr>
      </w:pPr>
      <w:r w:rsidRPr="00473E98">
        <w:rPr>
          <w:rFonts w:ascii="Arial" w:eastAsia="Times New Roman" w:hAnsi="Arial" w:cs="Arial"/>
          <w:color w:val="231F20"/>
          <w:sz w:val="37"/>
          <w:szCs w:val="37"/>
          <w:lang w:eastAsia="en-GB"/>
        </w:rPr>
        <w:t>The Leadership Behaviours Continuum</w:t>
      </w:r>
    </w:p>
    <w:p w14:paraId="6266A7C8" w14:textId="77777777" w:rsid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color w:val="231F20"/>
          <w:sz w:val="23"/>
          <w:szCs w:val="23"/>
          <w:lang w:eastAsia="en-GB"/>
        </w:rPr>
        <w:t>In what is regarded as a classic 1958 Harvard Business Review article, ‘</w:t>
      </w:r>
      <w:hyperlink r:id="rId6" w:tgtFrame="_blank" w:history="1">
        <w:r w:rsidRPr="00473E98">
          <w:rPr>
            <w:rFonts w:ascii="Arial" w:eastAsia="Times New Roman" w:hAnsi="Arial" w:cs="Arial"/>
            <w:i/>
            <w:iCs/>
            <w:color w:val="231F20"/>
            <w:sz w:val="23"/>
            <w:szCs w:val="23"/>
            <w:lang w:eastAsia="en-GB"/>
          </w:rPr>
          <w:t>How to Choose a Leadership Pattern</w:t>
        </w:r>
      </w:hyperlink>
      <w:r w:rsidRPr="00473E98">
        <w:rPr>
          <w:rFonts w:ascii="Arial" w:eastAsia="Times New Roman" w:hAnsi="Arial" w:cs="Arial"/>
          <w:color w:val="231F20"/>
          <w:sz w:val="23"/>
          <w:szCs w:val="23"/>
          <w:lang w:eastAsia="en-GB"/>
        </w:rPr>
        <w:t xml:space="preserve">‘, Robert Tannenbaum and Warren H Schmidt set out a range of leadership behaviours.  They set out seven distinct stages on a continuum, which vary </w:t>
      </w:r>
      <w:r w:rsidRPr="00473E98">
        <w:rPr>
          <w:rFonts w:ascii="Arial" w:eastAsia="Times New Roman" w:hAnsi="Arial" w:cs="Arial"/>
          <w:color w:val="231F20"/>
          <w:sz w:val="23"/>
          <w:szCs w:val="23"/>
          <w:lang w:eastAsia="en-GB"/>
        </w:rPr>
        <w:lastRenderedPageBreak/>
        <w:t>from telling team members their decision, through selling their idea and consulting on the problem, to handing over decision-making.</w:t>
      </w:r>
    </w:p>
    <w:p w14:paraId="173F93AD"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bookmarkStart w:id="0" w:name="_GoBack"/>
      <w:bookmarkEnd w:id="0"/>
      <w:r w:rsidRPr="00473E98">
        <w:rPr>
          <w:rFonts w:ascii="Arial" w:eastAsia="Times New Roman" w:hAnsi="Arial" w:cs="Arial"/>
          <w:color w:val="231F20"/>
          <w:sz w:val="23"/>
          <w:szCs w:val="23"/>
          <w:lang w:eastAsia="en-GB"/>
        </w:rPr>
        <w:t>Tannenbaum &amp; Schmidt – Leadership Behaviour Continuum</w:t>
      </w:r>
      <w:r w:rsidRPr="00473E98">
        <w:rPr>
          <w:rFonts w:ascii="Arial" w:eastAsia="Times New Roman" w:hAnsi="Arial" w:cs="Arial"/>
          <w:color w:val="231F20"/>
          <w:sz w:val="23"/>
          <w:szCs w:val="23"/>
          <w:lang w:eastAsia="en-GB"/>
        </w:rPr>
        <w:br/>
        <w:t>A range of behaviours from the purely authoritarian ‘Manager makes a decision and announces it’ through five intermediate styles, to the most democratic ‘Manager allows group to make a decision’ within appropriate constraints.</w:t>
      </w:r>
    </w:p>
    <w:p w14:paraId="7D111C86"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color w:val="231F20"/>
          <w:sz w:val="23"/>
          <w:szCs w:val="23"/>
          <w:lang w:eastAsia="en-GB"/>
        </w:rPr>
        <w:t>Equally valuable is their assessment of how a manager can decide how to lead and choose which of the styles will work best.  They argue you must consider three forces:</w:t>
      </w:r>
    </w:p>
    <w:p w14:paraId="1480483A" w14:textId="77777777" w:rsidR="00473E98" w:rsidRPr="00473E98" w:rsidRDefault="00473E98" w:rsidP="00473E98">
      <w:pPr>
        <w:numPr>
          <w:ilvl w:val="0"/>
          <w:numId w:val="1"/>
        </w:numPr>
        <w:spacing w:before="100" w:beforeAutospacing="1" w:after="100" w:afterAutospacing="1" w:line="240" w:lineRule="auto"/>
        <w:rPr>
          <w:rFonts w:ascii="Arial" w:eastAsia="Times New Roman" w:hAnsi="Arial" w:cs="Arial"/>
          <w:color w:val="231F20"/>
          <w:sz w:val="23"/>
          <w:szCs w:val="23"/>
          <w:lang w:eastAsia="en-GB"/>
        </w:rPr>
      </w:pPr>
      <w:r w:rsidRPr="00473E98">
        <w:rPr>
          <w:rFonts w:ascii="Arial" w:eastAsia="Times New Roman" w:hAnsi="Arial" w:cs="Arial"/>
          <w:i/>
          <w:iCs/>
          <w:color w:val="231F20"/>
          <w:sz w:val="23"/>
          <w:szCs w:val="23"/>
          <w:lang w:eastAsia="en-GB"/>
        </w:rPr>
        <w:t>Forces in the manager</w:t>
      </w:r>
      <w:r w:rsidRPr="00473E98">
        <w:rPr>
          <w:rFonts w:ascii="Arial" w:eastAsia="Times New Roman" w:hAnsi="Arial" w:cs="Arial"/>
          <w:i/>
          <w:iCs/>
          <w:color w:val="231F20"/>
          <w:sz w:val="23"/>
          <w:szCs w:val="23"/>
          <w:lang w:eastAsia="en-GB"/>
        </w:rPr>
        <w:br/>
      </w:r>
      <w:r w:rsidRPr="00473E98">
        <w:rPr>
          <w:rFonts w:ascii="Arial" w:eastAsia="Times New Roman" w:hAnsi="Arial" w:cs="Arial"/>
          <w:color w:val="231F20"/>
          <w:sz w:val="23"/>
          <w:szCs w:val="23"/>
          <w:lang w:eastAsia="en-GB"/>
        </w:rPr>
        <w:t>Your values and style, and your assessment of the risk</w:t>
      </w:r>
    </w:p>
    <w:p w14:paraId="185FA32D" w14:textId="77777777" w:rsidR="00473E98" w:rsidRPr="00473E98" w:rsidRDefault="00473E98" w:rsidP="00473E98">
      <w:pPr>
        <w:numPr>
          <w:ilvl w:val="0"/>
          <w:numId w:val="1"/>
        </w:numPr>
        <w:spacing w:before="100" w:beforeAutospacing="1" w:after="100" w:afterAutospacing="1" w:line="240" w:lineRule="auto"/>
        <w:rPr>
          <w:rFonts w:ascii="Arial" w:eastAsia="Times New Roman" w:hAnsi="Arial" w:cs="Arial"/>
          <w:color w:val="231F20"/>
          <w:sz w:val="23"/>
          <w:szCs w:val="23"/>
          <w:lang w:eastAsia="en-GB"/>
        </w:rPr>
      </w:pPr>
      <w:r w:rsidRPr="00473E98">
        <w:rPr>
          <w:rFonts w:ascii="Arial" w:eastAsia="Times New Roman" w:hAnsi="Arial" w:cs="Arial"/>
          <w:i/>
          <w:iCs/>
          <w:color w:val="231F20"/>
          <w:sz w:val="23"/>
          <w:szCs w:val="23"/>
          <w:lang w:eastAsia="en-GB"/>
        </w:rPr>
        <w:t>Forces in the team-members</w:t>
      </w:r>
      <w:r w:rsidRPr="00473E98">
        <w:rPr>
          <w:rFonts w:ascii="Arial" w:eastAsia="Times New Roman" w:hAnsi="Arial" w:cs="Arial"/>
          <w:i/>
          <w:iCs/>
          <w:color w:val="231F20"/>
          <w:sz w:val="23"/>
          <w:szCs w:val="23"/>
          <w:lang w:eastAsia="en-GB"/>
        </w:rPr>
        <w:br/>
      </w:r>
      <w:r w:rsidRPr="00473E98">
        <w:rPr>
          <w:rFonts w:ascii="Arial" w:eastAsia="Times New Roman" w:hAnsi="Arial" w:cs="Arial"/>
          <w:color w:val="231F20"/>
          <w:sz w:val="23"/>
          <w:szCs w:val="23"/>
          <w:lang w:eastAsia="en-GB"/>
        </w:rPr>
        <w:t>Your assessment of their readiness and enthusiasm to assume responsibility</w:t>
      </w:r>
    </w:p>
    <w:p w14:paraId="2803C17A" w14:textId="77777777" w:rsidR="00473E98" w:rsidRPr="00473E98" w:rsidRDefault="00473E98" w:rsidP="00473E98">
      <w:pPr>
        <w:numPr>
          <w:ilvl w:val="0"/>
          <w:numId w:val="1"/>
        </w:numPr>
        <w:spacing w:before="100" w:beforeAutospacing="1" w:after="100" w:afterAutospacing="1" w:line="240" w:lineRule="auto"/>
        <w:rPr>
          <w:rFonts w:ascii="Arial" w:eastAsia="Times New Roman" w:hAnsi="Arial" w:cs="Arial"/>
          <w:color w:val="231F20"/>
          <w:sz w:val="23"/>
          <w:szCs w:val="23"/>
          <w:lang w:eastAsia="en-GB"/>
        </w:rPr>
      </w:pPr>
      <w:r w:rsidRPr="00473E98">
        <w:rPr>
          <w:rFonts w:ascii="Arial" w:eastAsia="Times New Roman" w:hAnsi="Arial" w:cs="Arial"/>
          <w:i/>
          <w:iCs/>
          <w:color w:val="231F20"/>
          <w:sz w:val="23"/>
          <w:szCs w:val="23"/>
          <w:lang w:eastAsia="en-GB"/>
        </w:rPr>
        <w:t>Forces in the situation</w:t>
      </w:r>
      <w:r w:rsidRPr="00473E98">
        <w:rPr>
          <w:rFonts w:ascii="Arial" w:eastAsia="Times New Roman" w:hAnsi="Arial" w:cs="Arial"/>
          <w:i/>
          <w:iCs/>
          <w:color w:val="231F20"/>
          <w:sz w:val="23"/>
          <w:szCs w:val="23"/>
          <w:lang w:eastAsia="en-GB"/>
        </w:rPr>
        <w:br/>
      </w:r>
      <w:r w:rsidRPr="00473E98">
        <w:rPr>
          <w:rFonts w:ascii="Arial" w:eastAsia="Times New Roman" w:hAnsi="Arial" w:cs="Arial"/>
          <w:color w:val="231F20"/>
          <w:sz w:val="23"/>
          <w:szCs w:val="23"/>
          <w:lang w:eastAsia="en-GB"/>
        </w:rPr>
        <w:t>Time pressure, the group’s effectiveness, organisational culture</w:t>
      </w:r>
    </w:p>
    <w:p w14:paraId="33222DC7"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color w:val="231F20"/>
          <w:sz w:val="23"/>
          <w:szCs w:val="23"/>
          <w:lang w:eastAsia="en-GB"/>
        </w:rPr>
        <w:t>This article is a foundation for what is now known as ‘</w:t>
      </w:r>
      <w:hyperlink r:id="rId7" w:tgtFrame="_blank" w:history="1">
        <w:r w:rsidRPr="00473E98">
          <w:rPr>
            <w:rFonts w:ascii="Arial" w:eastAsia="Times New Roman" w:hAnsi="Arial" w:cs="Arial"/>
            <w:i/>
            <w:iCs/>
            <w:color w:val="CB2C3D"/>
            <w:sz w:val="23"/>
            <w:szCs w:val="23"/>
            <w:u w:val="single"/>
            <w:lang w:eastAsia="en-GB"/>
          </w:rPr>
          <w:t>Situational Leadership</w:t>
        </w:r>
      </w:hyperlink>
      <w:r w:rsidRPr="00473E98">
        <w:rPr>
          <w:rFonts w:ascii="Arial" w:eastAsia="Times New Roman" w:hAnsi="Arial" w:cs="Arial"/>
          <w:i/>
          <w:iCs/>
          <w:color w:val="231F20"/>
          <w:sz w:val="23"/>
          <w:szCs w:val="23"/>
          <w:lang w:eastAsia="en-GB"/>
        </w:rPr>
        <w:t>’</w:t>
      </w:r>
      <w:r w:rsidRPr="00473E98">
        <w:rPr>
          <w:rFonts w:ascii="Arial" w:eastAsia="Times New Roman" w:hAnsi="Arial" w:cs="Arial"/>
          <w:color w:val="231F20"/>
          <w:sz w:val="23"/>
          <w:szCs w:val="23"/>
          <w:lang w:eastAsia="en-GB"/>
        </w:rPr>
        <w:t>, and the two trademarked models developed by Paul Hersey and Kenneth Blanchard.</w:t>
      </w:r>
    </w:p>
    <w:p w14:paraId="4142F792" w14:textId="77777777" w:rsidR="00473E98" w:rsidRPr="00473E98" w:rsidRDefault="00473E98" w:rsidP="00473E98">
      <w:pPr>
        <w:spacing w:after="148" w:line="240" w:lineRule="auto"/>
        <w:outlineLvl w:val="2"/>
        <w:rPr>
          <w:rFonts w:ascii="Arial" w:eastAsia="Times New Roman" w:hAnsi="Arial" w:cs="Arial"/>
          <w:b/>
          <w:bCs/>
          <w:color w:val="231F20"/>
          <w:sz w:val="32"/>
          <w:szCs w:val="32"/>
          <w:lang w:eastAsia="en-GB"/>
        </w:rPr>
      </w:pPr>
      <w:r w:rsidRPr="00473E98">
        <w:rPr>
          <w:rFonts w:ascii="Arial" w:eastAsia="Times New Roman" w:hAnsi="Arial" w:cs="Arial"/>
          <w:b/>
          <w:bCs/>
          <w:color w:val="231F20"/>
          <w:sz w:val="32"/>
          <w:szCs w:val="32"/>
          <w:lang w:eastAsia="en-GB"/>
        </w:rPr>
        <w:t>The Seven Leadership Behaviours</w:t>
      </w:r>
    </w:p>
    <w:p w14:paraId="4120726E"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b/>
          <w:bCs/>
          <w:color w:val="231F20"/>
          <w:sz w:val="23"/>
          <w:szCs w:val="23"/>
          <w:lang w:eastAsia="en-GB"/>
        </w:rPr>
        <w:t>1. Manager makes the decision and announces it</w:t>
      </w:r>
      <w:r w:rsidRPr="00473E98">
        <w:rPr>
          <w:rFonts w:ascii="Arial" w:eastAsia="Times New Roman" w:hAnsi="Arial" w:cs="Arial"/>
          <w:color w:val="231F20"/>
          <w:sz w:val="23"/>
          <w:szCs w:val="23"/>
          <w:lang w:eastAsia="en-GB"/>
        </w:rPr>
        <w:br/>
      </w:r>
      <w:proofErr w:type="gramStart"/>
      <w:r w:rsidRPr="00473E98">
        <w:rPr>
          <w:rFonts w:ascii="Arial" w:eastAsia="Times New Roman" w:hAnsi="Arial" w:cs="Arial"/>
          <w:color w:val="231F20"/>
          <w:sz w:val="23"/>
          <w:szCs w:val="23"/>
          <w:lang w:eastAsia="en-GB"/>
        </w:rPr>
        <w:t>This</w:t>
      </w:r>
      <w:proofErr w:type="gramEnd"/>
      <w:r w:rsidRPr="00473E98">
        <w:rPr>
          <w:rFonts w:ascii="Arial" w:eastAsia="Times New Roman" w:hAnsi="Arial" w:cs="Arial"/>
          <w:color w:val="231F20"/>
          <w:sz w:val="23"/>
          <w:szCs w:val="23"/>
          <w:lang w:eastAsia="en-GB"/>
        </w:rPr>
        <w:t xml:space="preserve"> is a purely authoritarian style of leadership, with no consideration given to other points of view. Most appropriate in a crisis, the manager sets clear instructions and expectations.</w:t>
      </w:r>
    </w:p>
    <w:p w14:paraId="14D2D05D"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b/>
          <w:bCs/>
          <w:color w:val="231F20"/>
          <w:sz w:val="23"/>
          <w:szCs w:val="23"/>
          <w:lang w:eastAsia="en-GB"/>
        </w:rPr>
        <w:t>2. Manager ‘sells’ their decision</w:t>
      </w:r>
      <w:r w:rsidRPr="00473E98">
        <w:rPr>
          <w:rFonts w:ascii="Arial" w:eastAsia="Times New Roman" w:hAnsi="Arial" w:cs="Arial"/>
          <w:color w:val="231F20"/>
          <w:sz w:val="23"/>
          <w:szCs w:val="23"/>
          <w:lang w:eastAsia="en-GB"/>
        </w:rPr>
        <w:br/>
        <w:t>The manager takes  the role of decision-maker but advocates their decision, appealing to  benefits to the group. Valuable when you need the group’s support.</w:t>
      </w:r>
    </w:p>
    <w:p w14:paraId="7690308F"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b/>
          <w:bCs/>
          <w:color w:val="231F20"/>
          <w:sz w:val="23"/>
          <w:szCs w:val="23"/>
          <w:lang w:eastAsia="en-GB"/>
        </w:rPr>
        <w:t>3. Manager presents their decision and invites questions</w:t>
      </w:r>
      <w:r w:rsidRPr="00473E98">
        <w:rPr>
          <w:rFonts w:ascii="Arial" w:eastAsia="Times New Roman" w:hAnsi="Arial" w:cs="Arial"/>
          <w:color w:val="231F20"/>
          <w:sz w:val="23"/>
          <w:szCs w:val="23"/>
          <w:lang w:eastAsia="en-GB"/>
        </w:rPr>
        <w:br/>
      </w:r>
      <w:proofErr w:type="gramStart"/>
      <w:r w:rsidRPr="00473E98">
        <w:rPr>
          <w:rFonts w:ascii="Arial" w:eastAsia="Times New Roman" w:hAnsi="Arial" w:cs="Arial"/>
          <w:color w:val="231F20"/>
          <w:sz w:val="23"/>
          <w:szCs w:val="23"/>
          <w:lang w:eastAsia="en-GB"/>
        </w:rPr>
        <w:t>The</w:t>
      </w:r>
      <w:proofErr w:type="gramEnd"/>
      <w:r w:rsidRPr="00473E98">
        <w:rPr>
          <w:rFonts w:ascii="Arial" w:eastAsia="Times New Roman" w:hAnsi="Arial" w:cs="Arial"/>
          <w:color w:val="231F20"/>
          <w:sz w:val="23"/>
          <w:szCs w:val="23"/>
          <w:lang w:eastAsia="en-GB"/>
        </w:rPr>
        <w:t xml:space="preserve"> manager is still in control, but allows the group to explore the ideas to better understand the decision. The manager answers to their team, without committing to honour their opinions.</w:t>
      </w:r>
    </w:p>
    <w:p w14:paraId="14A3E7AC"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b/>
          <w:bCs/>
          <w:color w:val="231F20"/>
          <w:sz w:val="23"/>
          <w:szCs w:val="23"/>
          <w:lang w:eastAsia="en-GB"/>
        </w:rPr>
        <w:t>4. Manager presents a tentative decision, subject to change</w:t>
      </w:r>
      <w:r w:rsidRPr="00473E98">
        <w:rPr>
          <w:rFonts w:ascii="Arial" w:eastAsia="Times New Roman" w:hAnsi="Arial" w:cs="Arial"/>
          <w:color w:val="231F20"/>
          <w:sz w:val="23"/>
          <w:szCs w:val="23"/>
          <w:lang w:eastAsia="en-GB"/>
        </w:rPr>
        <w:br/>
      </w:r>
      <w:proofErr w:type="gramStart"/>
      <w:r w:rsidRPr="00473E98">
        <w:rPr>
          <w:rFonts w:ascii="Arial" w:eastAsia="Times New Roman" w:hAnsi="Arial" w:cs="Arial"/>
          <w:color w:val="231F20"/>
          <w:sz w:val="23"/>
          <w:szCs w:val="23"/>
          <w:lang w:eastAsia="en-GB"/>
        </w:rPr>
        <w:t>Now</w:t>
      </w:r>
      <w:proofErr w:type="gramEnd"/>
      <w:r w:rsidRPr="00473E98">
        <w:rPr>
          <w:rFonts w:ascii="Arial" w:eastAsia="Times New Roman" w:hAnsi="Arial" w:cs="Arial"/>
          <w:color w:val="231F20"/>
          <w:sz w:val="23"/>
          <w:szCs w:val="23"/>
          <w:lang w:eastAsia="en-GB"/>
        </w:rPr>
        <w:t xml:space="preserve"> the group’s opinions can count. The manager identifies and resolves the problem, but consults their team before making their own decision.</w:t>
      </w:r>
    </w:p>
    <w:p w14:paraId="6EFB5F90"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b/>
          <w:bCs/>
          <w:color w:val="231F20"/>
          <w:sz w:val="23"/>
          <w:szCs w:val="23"/>
          <w:lang w:eastAsia="en-GB"/>
        </w:rPr>
        <w:t>5. Manager presents the problem, gets suggestions and then makes a decision</w:t>
      </w:r>
      <w:r w:rsidRPr="00473E98">
        <w:rPr>
          <w:rFonts w:ascii="Arial" w:eastAsia="Times New Roman" w:hAnsi="Arial" w:cs="Arial"/>
          <w:color w:val="231F20"/>
          <w:sz w:val="23"/>
          <w:szCs w:val="23"/>
          <w:lang w:eastAsia="en-GB"/>
        </w:rPr>
        <w:br/>
      </w:r>
      <w:proofErr w:type="gramStart"/>
      <w:r w:rsidRPr="00473E98">
        <w:rPr>
          <w:rFonts w:ascii="Arial" w:eastAsia="Times New Roman" w:hAnsi="Arial" w:cs="Arial"/>
          <w:color w:val="231F20"/>
          <w:sz w:val="23"/>
          <w:szCs w:val="23"/>
          <w:lang w:eastAsia="en-GB"/>
        </w:rPr>
        <w:t>Still</w:t>
      </w:r>
      <w:proofErr w:type="gramEnd"/>
      <w:r w:rsidRPr="00473E98">
        <w:rPr>
          <w:rFonts w:ascii="Arial" w:eastAsia="Times New Roman" w:hAnsi="Arial" w:cs="Arial"/>
          <w:color w:val="231F20"/>
          <w:sz w:val="23"/>
          <w:szCs w:val="23"/>
          <w:lang w:eastAsia="en-GB"/>
        </w:rPr>
        <w:t> the manager retains ultimate decision-making authority. But now, they share responsibility for finding the solution with the group, who can influence the final decision.</w:t>
      </w:r>
    </w:p>
    <w:p w14:paraId="3C8E0C5A"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b/>
          <w:bCs/>
          <w:color w:val="231F20"/>
          <w:sz w:val="23"/>
          <w:szCs w:val="23"/>
          <w:lang w:eastAsia="en-GB"/>
        </w:rPr>
        <w:lastRenderedPageBreak/>
        <w:t>6. Manager defines the limits within which the group makes the decision</w:t>
      </w:r>
      <w:r w:rsidRPr="00473E98">
        <w:rPr>
          <w:rFonts w:ascii="Arial" w:eastAsia="Times New Roman" w:hAnsi="Arial" w:cs="Arial"/>
          <w:color w:val="231F20"/>
          <w:sz w:val="23"/>
          <w:szCs w:val="23"/>
          <w:lang w:eastAsia="en-GB"/>
        </w:rPr>
        <w:br/>
      </w:r>
      <w:proofErr w:type="gramStart"/>
      <w:r w:rsidRPr="00473E98">
        <w:rPr>
          <w:rFonts w:ascii="Arial" w:eastAsia="Times New Roman" w:hAnsi="Arial" w:cs="Arial"/>
          <w:color w:val="231F20"/>
          <w:sz w:val="23"/>
          <w:szCs w:val="23"/>
          <w:lang w:eastAsia="en-GB"/>
        </w:rPr>
        <w:t>Now</w:t>
      </w:r>
      <w:proofErr w:type="gramEnd"/>
      <w:r w:rsidRPr="00473E98">
        <w:rPr>
          <w:rFonts w:ascii="Arial" w:eastAsia="Times New Roman" w:hAnsi="Arial" w:cs="Arial"/>
          <w:color w:val="231F20"/>
          <w:sz w:val="23"/>
          <w:szCs w:val="23"/>
          <w:lang w:eastAsia="en-GB"/>
        </w:rPr>
        <w:t xml:space="preserve"> decision-making sits with the team. The manager defines the problem and sets boundaries within which the group can operate, which may constrain the final decision.</w:t>
      </w:r>
    </w:p>
    <w:p w14:paraId="307CA80C" w14:textId="77777777" w:rsidR="00473E98" w:rsidRPr="00473E98" w:rsidRDefault="00473E98" w:rsidP="00473E98">
      <w:pPr>
        <w:spacing w:after="388" w:line="312" w:lineRule="atLeast"/>
        <w:rPr>
          <w:rFonts w:ascii="Arial" w:eastAsia="Times New Roman" w:hAnsi="Arial" w:cs="Arial"/>
          <w:color w:val="231F20"/>
          <w:sz w:val="23"/>
          <w:szCs w:val="23"/>
          <w:lang w:eastAsia="en-GB"/>
        </w:rPr>
      </w:pPr>
      <w:r w:rsidRPr="00473E98">
        <w:rPr>
          <w:rFonts w:ascii="Arial" w:eastAsia="Times New Roman" w:hAnsi="Arial" w:cs="Arial"/>
          <w:b/>
          <w:bCs/>
          <w:color w:val="231F20"/>
          <w:sz w:val="23"/>
          <w:szCs w:val="23"/>
          <w:lang w:eastAsia="en-GB"/>
        </w:rPr>
        <w:t>7. Manager allows group to make decision, subject to organisational constraints</w:t>
      </w:r>
      <w:r w:rsidRPr="00473E98">
        <w:rPr>
          <w:rFonts w:ascii="Arial" w:eastAsia="Times New Roman" w:hAnsi="Arial" w:cs="Arial"/>
          <w:color w:val="231F20"/>
          <w:sz w:val="23"/>
          <w:szCs w:val="23"/>
          <w:lang w:eastAsia="en-GB"/>
        </w:rPr>
        <w:br/>
      </w:r>
      <w:proofErr w:type="gramStart"/>
      <w:r w:rsidRPr="00473E98">
        <w:rPr>
          <w:rFonts w:ascii="Arial" w:eastAsia="Times New Roman" w:hAnsi="Arial" w:cs="Arial"/>
          <w:color w:val="231F20"/>
          <w:sz w:val="23"/>
          <w:szCs w:val="23"/>
          <w:lang w:eastAsia="en-GB"/>
        </w:rPr>
        <w:t>The</w:t>
      </w:r>
      <w:proofErr w:type="gramEnd"/>
      <w:r w:rsidRPr="00473E98">
        <w:rPr>
          <w:rFonts w:ascii="Arial" w:eastAsia="Times New Roman" w:hAnsi="Arial" w:cs="Arial"/>
          <w:color w:val="231F20"/>
          <w:sz w:val="23"/>
          <w:szCs w:val="23"/>
          <w:lang w:eastAsia="en-GB"/>
        </w:rPr>
        <w:t xml:space="preserve"> group has as much freedom as the manager is able to grant them. The manager may help the group and again, commits to respect the decision the group arrives at.</w:t>
      </w:r>
    </w:p>
    <w:p w14:paraId="3947958C" w14:textId="77777777" w:rsidR="007B6F1D" w:rsidRDefault="007B6F1D"/>
    <w:sectPr w:rsidR="007B6F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9054642"/>
    <w:multiLevelType w:val="multilevel"/>
    <w:tmpl w:val="341C9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3E98"/>
    <w:rsid w:val="00020940"/>
    <w:rsid w:val="000868CC"/>
    <w:rsid w:val="000C0CDD"/>
    <w:rsid w:val="000F16F6"/>
    <w:rsid w:val="00147748"/>
    <w:rsid w:val="001863D0"/>
    <w:rsid w:val="0024265F"/>
    <w:rsid w:val="00253C67"/>
    <w:rsid w:val="002E4C6D"/>
    <w:rsid w:val="00473E98"/>
    <w:rsid w:val="00532ABF"/>
    <w:rsid w:val="0056373B"/>
    <w:rsid w:val="00736B43"/>
    <w:rsid w:val="007B6F1D"/>
    <w:rsid w:val="00853BAF"/>
    <w:rsid w:val="009B3E7A"/>
    <w:rsid w:val="00A805B1"/>
    <w:rsid w:val="00A8421D"/>
    <w:rsid w:val="00B8011C"/>
    <w:rsid w:val="00D64E2A"/>
    <w:rsid w:val="00E46377"/>
    <w:rsid w:val="00ED3889"/>
    <w:rsid w:val="00F10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F55D3"/>
  <w15:chartTrackingRefBased/>
  <w15:docId w15:val="{9939C5FC-9260-458B-B4DB-863EE239C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73E9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73E9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73E9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E9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73E9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73E9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73E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73E98"/>
    <w:rPr>
      <w:color w:val="0000FF"/>
      <w:u w:val="single"/>
    </w:rPr>
  </w:style>
  <w:style w:type="character" w:styleId="Emphasis">
    <w:name w:val="Emphasis"/>
    <w:basedOn w:val="DefaultParagraphFont"/>
    <w:uiPriority w:val="20"/>
    <w:qFormat/>
    <w:rsid w:val="00473E98"/>
    <w:rPr>
      <w:i/>
      <w:iCs/>
    </w:rPr>
  </w:style>
  <w:style w:type="character" w:styleId="Strong">
    <w:name w:val="Strong"/>
    <w:basedOn w:val="DefaultParagraphFont"/>
    <w:uiPriority w:val="22"/>
    <w:qFormat/>
    <w:rsid w:val="00473E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7121408">
      <w:bodyDiv w:val="1"/>
      <w:marLeft w:val="0"/>
      <w:marRight w:val="0"/>
      <w:marTop w:val="0"/>
      <w:marBottom w:val="0"/>
      <w:divBdr>
        <w:top w:val="none" w:sz="0" w:space="0" w:color="auto"/>
        <w:left w:val="none" w:sz="0" w:space="0" w:color="auto"/>
        <w:bottom w:val="none" w:sz="0" w:space="0" w:color="auto"/>
        <w:right w:val="none" w:sz="0" w:space="0" w:color="auto"/>
      </w:divBdr>
      <w:divsChild>
        <w:div w:id="17745460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anagementpocketbooks.wordpress.com/2013/09/03/situational-leadershi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r.org/1973/05/how-to-choose-a-leadership-pattern" TargetMode="External"/><Relationship Id="rId5" Type="http://schemas.openxmlformats.org/officeDocument/2006/relationships/hyperlink" Target="https://hbr.org/1973/05/how-to-choose-a-leadership-patter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734</Words>
  <Characters>4187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Doyle</dc:creator>
  <cp:keywords/>
  <dc:description/>
  <cp:lastModifiedBy>Peter Doyle</cp:lastModifiedBy>
  <cp:revision>1</cp:revision>
  <dcterms:created xsi:type="dcterms:W3CDTF">2018-07-31T10:45:00Z</dcterms:created>
  <dcterms:modified xsi:type="dcterms:W3CDTF">2018-07-31T10:47:00Z</dcterms:modified>
</cp:coreProperties>
</file>