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D44E39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A647E">
              <w:rPr>
                <w:rFonts w:ascii="Times New Roman" w:hAnsi="Times New Roman" w:cs="Times New Roman"/>
                <w:b/>
                <w:color w:val="auto"/>
                <w:sz w:val="48"/>
              </w:rPr>
              <w:t>Lowri 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18FD4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A647E">
              <w:rPr>
                <w:rFonts w:ascii="Times New Roman" w:hAnsi="Times New Roman" w:cs="Times New Roman"/>
                <w:b/>
                <w:color w:val="auto"/>
                <w:sz w:val="48"/>
              </w:rPr>
              <w:t xml:space="preserve"> </w:t>
            </w:r>
            <w:proofErr w:type="spellStart"/>
            <w:r w:rsidR="009A647E">
              <w:rPr>
                <w:rFonts w:ascii="Times New Roman" w:hAnsi="Times New Roman" w:cs="Times New Roman"/>
                <w:b/>
                <w:color w:val="auto"/>
                <w:sz w:val="48"/>
              </w:rPr>
              <w:t>LowriElinWilliams@gwynedd.llyw.cymru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B87D8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A647E">
              <w:rPr>
                <w:rFonts w:ascii="Times New Roman" w:hAnsi="Times New Roman" w:cs="Times New Roman"/>
                <w:b/>
                <w:color w:val="auto"/>
                <w:sz w:val="48"/>
              </w:rPr>
              <w:t xml:space="preserve"> </w:t>
            </w:r>
          </w:p>
          <w:p w14:paraId="5458EA37" w14:textId="6AF9C6C6" w:rsidR="009A647E" w:rsidRPr="005D3F07" w:rsidRDefault="009A647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Pr="00C31C6F" w:rsidRDefault="00E83F91" w:rsidP="009A647E">
      <w:pPr>
        <w:rPr>
          <w:rFonts w:asciiTheme="minorHAnsi" w:hAnsiTheme="minorHAnsi" w:cstheme="minorHAnsi"/>
          <w:b/>
          <w:sz w:val="24"/>
          <w:szCs w:val="24"/>
        </w:rPr>
      </w:pPr>
      <w:r>
        <w:rPr>
          <w:b/>
          <w:sz w:val="24"/>
          <w:szCs w:val="24"/>
        </w:rPr>
        <w:br w:type="page"/>
      </w:r>
    </w:p>
    <w:p w14:paraId="70797153" w14:textId="77777777" w:rsidR="007F312E" w:rsidRPr="00C31C6F" w:rsidRDefault="007F312E" w:rsidP="005F64AA">
      <w:pPr>
        <w:jc w:val="center"/>
        <w:rPr>
          <w:rFonts w:asciiTheme="minorHAnsi" w:hAnsiTheme="minorHAnsi" w:cstheme="minorHAnsi"/>
          <w:b/>
          <w:sz w:val="28"/>
          <w:szCs w:val="28"/>
        </w:rPr>
      </w:pPr>
    </w:p>
    <w:p w14:paraId="1D68DA91" w14:textId="77777777" w:rsidR="00D3203C" w:rsidRPr="00C31C6F" w:rsidRDefault="00D3203C" w:rsidP="00EE5BC3">
      <w:pPr>
        <w:jc w:val="center"/>
        <w:rPr>
          <w:rFonts w:asciiTheme="minorHAnsi" w:hAnsiTheme="minorHAnsi" w:cstheme="minorHAnsi"/>
          <w:b/>
          <w:sz w:val="24"/>
          <w:szCs w:val="24"/>
        </w:rPr>
      </w:pPr>
    </w:p>
    <w:p w14:paraId="0EF984DF" w14:textId="02707E04" w:rsidR="000D0BB6" w:rsidRPr="00C31C6F" w:rsidRDefault="00337FEF" w:rsidP="00EE5BC3">
      <w:pPr>
        <w:jc w:val="center"/>
        <w:rPr>
          <w:rFonts w:asciiTheme="minorHAnsi" w:hAnsiTheme="minorHAnsi" w:cstheme="minorHAnsi"/>
          <w:b/>
          <w:sz w:val="28"/>
          <w:szCs w:val="28"/>
        </w:rPr>
      </w:pPr>
      <w:r w:rsidRPr="00C31C6F">
        <w:rPr>
          <w:rFonts w:asciiTheme="minorHAnsi" w:hAnsiTheme="minorHAnsi" w:cstheme="minorHAnsi"/>
          <w:b/>
          <w:sz w:val="28"/>
          <w:szCs w:val="28"/>
        </w:rPr>
        <w:t>Task 4</w:t>
      </w:r>
    </w:p>
    <w:p w14:paraId="156B2346" w14:textId="77777777" w:rsidR="00002C7A" w:rsidRPr="00C31C6F" w:rsidRDefault="00002C7A" w:rsidP="00EE5BC3">
      <w:pPr>
        <w:jc w:val="center"/>
        <w:rPr>
          <w:rFonts w:asciiTheme="minorHAnsi" w:hAnsiTheme="minorHAnsi" w:cstheme="minorHAnsi"/>
          <w:b/>
          <w:sz w:val="28"/>
          <w:szCs w:val="28"/>
        </w:rPr>
      </w:pPr>
    </w:p>
    <w:p w14:paraId="4A34FA1D" w14:textId="77777777" w:rsidR="00002C7A" w:rsidRPr="00C31C6F" w:rsidRDefault="00002C7A" w:rsidP="00EE5BC3">
      <w:pPr>
        <w:jc w:val="center"/>
        <w:rPr>
          <w:rFonts w:asciiTheme="minorHAnsi" w:hAnsiTheme="minorHAnsi" w:cstheme="minorHAnsi"/>
          <w:b/>
          <w:sz w:val="28"/>
          <w:szCs w:val="28"/>
        </w:rPr>
      </w:pPr>
      <w:r w:rsidRPr="00C31C6F">
        <w:rPr>
          <w:rFonts w:asciiTheme="minorHAnsi" w:hAnsiTheme="minorHAnsi" w:cstheme="minorHAnsi"/>
          <w:b/>
          <w:sz w:val="28"/>
          <w:szCs w:val="28"/>
        </w:rPr>
        <w:t>Safeguarding</w:t>
      </w:r>
      <w:r w:rsidR="005F64AA" w:rsidRPr="00C31C6F">
        <w:rPr>
          <w:rFonts w:asciiTheme="minorHAnsi" w:hAnsiTheme="minorHAnsi" w:cstheme="minorHAnsi"/>
          <w:b/>
          <w:sz w:val="28"/>
          <w:szCs w:val="28"/>
        </w:rPr>
        <w:t xml:space="preserve"> in an area which is not your main area of work</w:t>
      </w:r>
    </w:p>
    <w:p w14:paraId="6D6C0186" w14:textId="77777777" w:rsidR="000D0BB6" w:rsidRPr="00C31C6F" w:rsidRDefault="000D0BB6" w:rsidP="00FF7EBB">
      <w:pPr>
        <w:jc w:val="both"/>
        <w:rPr>
          <w:rFonts w:asciiTheme="minorHAnsi" w:hAnsiTheme="minorHAnsi" w:cstheme="minorHAnsi"/>
          <w:b/>
          <w:sz w:val="24"/>
          <w:szCs w:val="24"/>
        </w:rPr>
      </w:pPr>
    </w:p>
    <w:p w14:paraId="63836D76" w14:textId="77777777" w:rsidR="00337FEF" w:rsidRPr="00C31C6F" w:rsidRDefault="008B28E7" w:rsidP="00FF7EBB">
      <w:pPr>
        <w:ind w:left="-90"/>
        <w:jc w:val="both"/>
        <w:rPr>
          <w:rFonts w:asciiTheme="minorHAnsi" w:hAnsiTheme="minorHAnsi" w:cstheme="minorHAnsi"/>
          <w:b/>
          <w:i/>
          <w:sz w:val="24"/>
          <w:szCs w:val="24"/>
        </w:rPr>
      </w:pPr>
      <w:r w:rsidRPr="00C31C6F">
        <w:rPr>
          <w:rFonts w:asciiTheme="minorHAnsi" w:hAnsiTheme="minorHAnsi" w:cstheme="minorHAnsi"/>
          <w:b/>
          <w:i/>
          <w:sz w:val="24"/>
          <w:szCs w:val="24"/>
        </w:rPr>
        <w:t xml:space="preserve">Guidance: </w:t>
      </w:r>
    </w:p>
    <w:p w14:paraId="440B2467" w14:textId="322DDD98" w:rsidR="00633165" w:rsidRPr="00C31C6F" w:rsidRDefault="00012B16" w:rsidP="4EC15626">
      <w:pPr>
        <w:ind w:left="-90"/>
        <w:jc w:val="both"/>
        <w:rPr>
          <w:rFonts w:asciiTheme="minorHAnsi" w:hAnsiTheme="minorHAnsi" w:cstheme="minorHAnsi"/>
          <w:i/>
          <w:iCs/>
          <w:sz w:val="24"/>
          <w:szCs w:val="24"/>
        </w:rPr>
      </w:pPr>
      <w:r w:rsidRPr="00C31C6F">
        <w:rPr>
          <w:rFonts w:asciiTheme="minorHAnsi" w:hAnsiTheme="minorHAnsi" w:cstheme="minorHAnsi"/>
          <w:i/>
          <w:iCs/>
          <w:sz w:val="24"/>
          <w:szCs w:val="24"/>
        </w:rPr>
        <w:t>Social Care Wales</w:t>
      </w:r>
      <w:r w:rsidR="008B28E7" w:rsidRPr="00C31C6F">
        <w:rPr>
          <w:rFonts w:asciiTheme="minorHAnsi" w:hAnsiTheme="minorHAnsi" w:cstheme="minorHAnsi"/>
          <w:i/>
          <w:iCs/>
          <w:sz w:val="24"/>
          <w:szCs w:val="24"/>
        </w:rPr>
        <w:t xml:space="preserve"> require newly qualified social workers </w:t>
      </w:r>
      <w:r w:rsidR="00D60F88" w:rsidRPr="00C31C6F">
        <w:rPr>
          <w:rFonts w:asciiTheme="minorHAnsi" w:hAnsiTheme="minorHAnsi" w:cstheme="minorHAnsi"/>
          <w:i/>
          <w:iCs/>
          <w:sz w:val="24"/>
          <w:szCs w:val="24"/>
        </w:rPr>
        <w:t xml:space="preserve">to provide evidence of </w:t>
      </w:r>
      <w:r w:rsidR="008B28E7" w:rsidRPr="00C31C6F">
        <w:rPr>
          <w:rFonts w:asciiTheme="minorHAnsi" w:hAnsiTheme="minorHAnsi" w:cstheme="minorHAnsi"/>
          <w:i/>
          <w:iCs/>
          <w:sz w:val="24"/>
          <w:szCs w:val="24"/>
        </w:rPr>
        <w:t xml:space="preserve">their </w:t>
      </w:r>
      <w:r w:rsidR="00D60F88" w:rsidRPr="00C31C6F">
        <w:rPr>
          <w:rFonts w:asciiTheme="minorHAnsi" w:hAnsiTheme="minorHAnsi" w:cstheme="minorHAnsi"/>
          <w:i/>
          <w:iCs/>
          <w:sz w:val="24"/>
          <w:szCs w:val="24"/>
        </w:rPr>
        <w:t>understanding of safeguarding work with adults and children</w:t>
      </w:r>
      <w:r w:rsidR="008B28E7" w:rsidRPr="00C31C6F">
        <w:rPr>
          <w:rFonts w:asciiTheme="minorHAnsi" w:hAnsiTheme="minorHAnsi" w:cstheme="minorHAnsi"/>
          <w:i/>
          <w:iCs/>
          <w:sz w:val="24"/>
          <w:szCs w:val="24"/>
        </w:rPr>
        <w:t>.</w:t>
      </w:r>
      <w:r w:rsidR="00D60F88" w:rsidRPr="00C31C6F">
        <w:rPr>
          <w:rFonts w:asciiTheme="minorHAnsi" w:hAnsiTheme="minorHAnsi" w:cstheme="minorHAnsi"/>
          <w:i/>
          <w:iCs/>
          <w:sz w:val="24"/>
          <w:szCs w:val="24"/>
        </w:rPr>
        <w:t xml:space="preserve"> </w:t>
      </w:r>
      <w:r w:rsidR="004911B4" w:rsidRPr="00C31C6F">
        <w:rPr>
          <w:rFonts w:asciiTheme="minorHAnsi" w:hAnsiTheme="minorHAnsi" w:cstheme="minorHAnsi"/>
          <w:i/>
          <w:iCs/>
          <w:sz w:val="24"/>
          <w:szCs w:val="24"/>
        </w:rPr>
        <w:t>The</w:t>
      </w:r>
      <w:r w:rsidR="00D60F88" w:rsidRPr="00C31C6F">
        <w:rPr>
          <w:rFonts w:asciiTheme="minorHAnsi" w:hAnsiTheme="minorHAnsi" w:cstheme="minorHAnsi"/>
          <w:i/>
          <w:iCs/>
          <w:sz w:val="24"/>
          <w:szCs w:val="24"/>
        </w:rPr>
        <w:t xml:space="preserve"> assignment below will enable you to </w:t>
      </w:r>
      <w:r w:rsidR="00EE5BC3" w:rsidRPr="00C31C6F">
        <w:rPr>
          <w:rFonts w:asciiTheme="minorHAnsi" w:hAnsiTheme="minorHAnsi" w:cstheme="minorHAnsi"/>
          <w:i/>
          <w:iCs/>
          <w:sz w:val="24"/>
          <w:szCs w:val="24"/>
        </w:rPr>
        <w:t>demonstrate this</w:t>
      </w:r>
      <w:r w:rsidR="008B28E7" w:rsidRPr="00C31C6F">
        <w:rPr>
          <w:rFonts w:asciiTheme="minorHAnsi" w:hAnsiTheme="minorHAnsi" w:cstheme="minorHAnsi"/>
          <w:i/>
          <w:iCs/>
          <w:sz w:val="24"/>
          <w:szCs w:val="24"/>
        </w:rPr>
        <w:t xml:space="preserve">. </w:t>
      </w:r>
      <w:r w:rsidR="008B28E7" w:rsidRPr="00C31C6F">
        <w:rPr>
          <w:rFonts w:asciiTheme="minorHAnsi" w:hAnsiTheme="minorHAnsi" w:cstheme="minorHAnsi"/>
          <w:b/>
          <w:bCs/>
          <w:i/>
          <w:iCs/>
          <w:sz w:val="24"/>
          <w:szCs w:val="24"/>
        </w:rPr>
        <w:t>N.B</w:t>
      </w:r>
      <w:r w:rsidR="008B28E7" w:rsidRPr="00C31C6F">
        <w:rPr>
          <w:rFonts w:asciiTheme="minorHAnsi" w:hAnsiTheme="minorHAnsi" w:cstheme="minorHAnsi"/>
          <w:i/>
          <w:iCs/>
          <w:sz w:val="24"/>
          <w:szCs w:val="24"/>
        </w:rPr>
        <w:t xml:space="preserve">. </w:t>
      </w:r>
      <w:r w:rsidR="00D60F88" w:rsidRPr="00C31C6F">
        <w:rPr>
          <w:rFonts w:asciiTheme="minorHAnsi" w:hAnsiTheme="minorHAnsi" w:cstheme="minorHAnsi"/>
          <w:i/>
          <w:iCs/>
          <w:sz w:val="24"/>
          <w:szCs w:val="24"/>
        </w:rPr>
        <w:t xml:space="preserve">if your </w:t>
      </w:r>
      <w:r w:rsidR="009D477B" w:rsidRPr="00C31C6F">
        <w:rPr>
          <w:rFonts w:asciiTheme="minorHAnsi" w:hAnsiTheme="minorHAnsi" w:cstheme="minorHAnsi"/>
          <w:i/>
          <w:iCs/>
          <w:sz w:val="24"/>
          <w:szCs w:val="24"/>
        </w:rPr>
        <w:t>usual area</w:t>
      </w:r>
      <w:r w:rsidR="00D60F88" w:rsidRPr="00C31C6F">
        <w:rPr>
          <w:rFonts w:asciiTheme="minorHAnsi" w:hAnsiTheme="minorHAnsi" w:cstheme="minorHAnsi"/>
          <w:i/>
          <w:iCs/>
          <w:sz w:val="24"/>
          <w:szCs w:val="24"/>
        </w:rPr>
        <w:t xml:space="preserve"> of work is with children please write about adult</w:t>
      </w:r>
      <w:r w:rsidR="003C19F1" w:rsidRPr="00C31C6F">
        <w:rPr>
          <w:rFonts w:asciiTheme="minorHAnsi" w:hAnsiTheme="minorHAnsi" w:cstheme="minorHAnsi"/>
          <w:i/>
          <w:iCs/>
          <w:sz w:val="24"/>
          <w:szCs w:val="24"/>
        </w:rPr>
        <w:t xml:space="preserve"> safeguarding. I</w:t>
      </w:r>
      <w:r w:rsidR="00D60F88" w:rsidRPr="00C31C6F">
        <w:rPr>
          <w:rFonts w:asciiTheme="minorHAnsi" w:hAnsiTheme="minorHAnsi" w:cstheme="minorHAnsi"/>
          <w:i/>
          <w:iCs/>
          <w:sz w:val="24"/>
          <w:szCs w:val="24"/>
        </w:rPr>
        <w:t xml:space="preserve">f you </w:t>
      </w:r>
      <w:r w:rsidR="009D477B" w:rsidRPr="00C31C6F">
        <w:rPr>
          <w:rFonts w:asciiTheme="minorHAnsi" w:hAnsiTheme="minorHAnsi" w:cstheme="minorHAnsi"/>
          <w:i/>
          <w:iCs/>
          <w:sz w:val="24"/>
          <w:szCs w:val="24"/>
        </w:rPr>
        <w:t>usually work</w:t>
      </w:r>
      <w:r w:rsidR="00D60F88" w:rsidRPr="00C31C6F">
        <w:rPr>
          <w:rFonts w:asciiTheme="minorHAnsi" w:hAnsiTheme="minorHAnsi" w:cstheme="minorHAnsi"/>
          <w:i/>
          <w:iCs/>
          <w:sz w:val="24"/>
          <w:szCs w:val="24"/>
        </w:rPr>
        <w:t xml:space="preserve"> with adults</w:t>
      </w:r>
      <w:r w:rsidR="3CD2139F" w:rsidRPr="00C31C6F">
        <w:rPr>
          <w:rFonts w:asciiTheme="minorHAnsi" w:hAnsiTheme="minorHAnsi" w:cstheme="minorHAnsi"/>
          <w:i/>
          <w:iCs/>
          <w:sz w:val="24"/>
          <w:szCs w:val="24"/>
        </w:rPr>
        <w:t>,</w:t>
      </w:r>
      <w:r w:rsidR="00D60F88" w:rsidRPr="00C31C6F">
        <w:rPr>
          <w:rFonts w:asciiTheme="minorHAnsi" w:hAnsiTheme="minorHAnsi" w:cstheme="minorHAnsi"/>
          <w:i/>
          <w:iCs/>
          <w:sz w:val="24"/>
          <w:szCs w:val="24"/>
        </w:rPr>
        <w:t xml:space="preserve"> then write about child</w:t>
      </w:r>
      <w:r w:rsidR="003C19F1" w:rsidRPr="00C31C6F">
        <w:rPr>
          <w:rFonts w:asciiTheme="minorHAnsi" w:hAnsiTheme="minorHAnsi" w:cstheme="minorHAnsi"/>
          <w:i/>
          <w:iCs/>
          <w:sz w:val="24"/>
          <w:szCs w:val="24"/>
        </w:rPr>
        <w:t xml:space="preserve"> safeguarding</w:t>
      </w:r>
      <w:r w:rsidR="00D60F88" w:rsidRPr="00C31C6F">
        <w:rPr>
          <w:rFonts w:asciiTheme="minorHAnsi" w:hAnsiTheme="minorHAnsi" w:cstheme="minorHAnsi"/>
          <w:i/>
          <w:iCs/>
          <w:sz w:val="24"/>
          <w:szCs w:val="24"/>
        </w:rPr>
        <w:t xml:space="preserve">. </w:t>
      </w:r>
      <w:r w:rsidR="00337FEF" w:rsidRPr="00C31C6F">
        <w:rPr>
          <w:rFonts w:asciiTheme="minorHAnsi" w:hAnsiTheme="minorHAnsi" w:cstheme="minorHAnsi"/>
          <w:i/>
          <w:iCs/>
          <w:sz w:val="24"/>
          <w:szCs w:val="24"/>
        </w:rPr>
        <w:t xml:space="preserve"> </w:t>
      </w:r>
      <w:r w:rsidR="0079422A" w:rsidRPr="00C31C6F">
        <w:rPr>
          <w:rFonts w:asciiTheme="minorHAnsi" w:hAnsiTheme="minorHAnsi" w:cstheme="minorHAnsi"/>
          <w:i/>
          <w:iCs/>
          <w:sz w:val="24"/>
          <w:szCs w:val="24"/>
        </w:rPr>
        <w:t>E</w:t>
      </w:r>
      <w:r w:rsidR="00337FEF" w:rsidRPr="00C31C6F">
        <w:rPr>
          <w:rFonts w:asciiTheme="minorHAnsi" w:hAnsiTheme="minorHAnsi" w:cstheme="minorHAnsi"/>
          <w:i/>
          <w:iCs/>
          <w:sz w:val="24"/>
          <w:szCs w:val="24"/>
        </w:rPr>
        <w:t xml:space="preserve">nsure you meet </w:t>
      </w:r>
      <w:r w:rsidR="00FC0334" w:rsidRPr="00C31C6F">
        <w:rPr>
          <w:rFonts w:asciiTheme="minorHAnsi" w:hAnsiTheme="minorHAnsi" w:cstheme="minorHAnsi"/>
          <w:i/>
          <w:iCs/>
          <w:sz w:val="24"/>
          <w:szCs w:val="24"/>
        </w:rPr>
        <w:t>the</w:t>
      </w:r>
      <w:r w:rsidR="00AA7960" w:rsidRPr="00C31C6F">
        <w:rPr>
          <w:rFonts w:asciiTheme="minorHAnsi" w:hAnsiTheme="minorHAnsi" w:cstheme="minorHAnsi"/>
          <w:i/>
          <w:iCs/>
          <w:sz w:val="24"/>
          <w:szCs w:val="24"/>
        </w:rPr>
        <w:t xml:space="preserve"> </w:t>
      </w:r>
      <w:r w:rsidR="00064063" w:rsidRPr="00C31C6F">
        <w:rPr>
          <w:rFonts w:asciiTheme="minorHAnsi" w:hAnsiTheme="minorHAnsi" w:cstheme="minorHAnsi"/>
          <w:i/>
          <w:iCs/>
          <w:sz w:val="24"/>
          <w:szCs w:val="24"/>
        </w:rPr>
        <w:t xml:space="preserve">learning out comes for this task </w:t>
      </w:r>
      <w:r w:rsidR="0079422A" w:rsidRPr="00C31C6F">
        <w:rPr>
          <w:rFonts w:asciiTheme="minorHAnsi" w:hAnsiTheme="minorHAnsi" w:cstheme="minorHAnsi"/>
          <w:i/>
          <w:iCs/>
          <w:sz w:val="24"/>
          <w:szCs w:val="24"/>
        </w:rPr>
        <w:t>(</w:t>
      </w:r>
      <w:r w:rsidR="00064063" w:rsidRPr="00C31C6F">
        <w:rPr>
          <w:rFonts w:asciiTheme="minorHAnsi" w:hAnsiTheme="minorHAnsi" w:cstheme="minorHAnsi"/>
          <w:i/>
          <w:iCs/>
          <w:sz w:val="24"/>
          <w:szCs w:val="24"/>
        </w:rPr>
        <w:t xml:space="preserve">see appendix </w:t>
      </w:r>
      <w:r w:rsidR="003D1BC0" w:rsidRPr="00C31C6F">
        <w:rPr>
          <w:rFonts w:asciiTheme="minorHAnsi" w:hAnsiTheme="minorHAnsi" w:cstheme="minorHAnsi"/>
          <w:i/>
          <w:iCs/>
          <w:sz w:val="24"/>
          <w:szCs w:val="24"/>
        </w:rPr>
        <w:t>5</w:t>
      </w:r>
      <w:r w:rsidR="00064063" w:rsidRPr="00C31C6F">
        <w:rPr>
          <w:rFonts w:asciiTheme="minorHAnsi" w:hAnsiTheme="minorHAnsi" w:cstheme="minorHAnsi"/>
          <w:i/>
          <w:iCs/>
          <w:sz w:val="24"/>
          <w:szCs w:val="24"/>
        </w:rPr>
        <w:t xml:space="preserve"> </w:t>
      </w:r>
      <w:r w:rsidR="00FC0334" w:rsidRPr="00C31C6F">
        <w:rPr>
          <w:rFonts w:asciiTheme="minorHAnsi" w:hAnsiTheme="minorHAnsi" w:cstheme="minorHAnsi"/>
          <w:i/>
          <w:iCs/>
          <w:sz w:val="24"/>
          <w:szCs w:val="24"/>
        </w:rPr>
        <w:t>of the</w:t>
      </w:r>
      <w:r w:rsidR="007A628F" w:rsidRPr="00C31C6F">
        <w:rPr>
          <w:rFonts w:asciiTheme="minorHAnsi" w:hAnsiTheme="minorHAnsi" w:cstheme="minorHAnsi"/>
          <w:i/>
          <w:iCs/>
          <w:sz w:val="24"/>
          <w:szCs w:val="24"/>
        </w:rPr>
        <w:t xml:space="preserve"> h</w:t>
      </w:r>
      <w:r w:rsidR="00FC0334" w:rsidRPr="00C31C6F">
        <w:rPr>
          <w:rFonts w:asciiTheme="minorHAnsi" w:hAnsiTheme="minorHAnsi" w:cstheme="minorHAnsi"/>
          <w:i/>
          <w:iCs/>
          <w:sz w:val="24"/>
          <w:szCs w:val="24"/>
        </w:rPr>
        <w:t>andbook</w:t>
      </w:r>
      <w:r w:rsidR="0079422A" w:rsidRPr="00C31C6F">
        <w:rPr>
          <w:rFonts w:asciiTheme="minorHAnsi" w:hAnsiTheme="minorHAnsi" w:cstheme="minorHAnsi"/>
          <w:i/>
          <w:iCs/>
          <w:sz w:val="24"/>
          <w:szCs w:val="24"/>
        </w:rPr>
        <w:t>).</w:t>
      </w:r>
    </w:p>
    <w:p w14:paraId="7A8069C4" w14:textId="77777777" w:rsidR="00633165" w:rsidRPr="00C31C6F" w:rsidRDefault="00633165" w:rsidP="00FF7EBB">
      <w:pPr>
        <w:ind w:left="360" w:hanging="360"/>
        <w:jc w:val="both"/>
        <w:rPr>
          <w:rFonts w:asciiTheme="minorHAnsi" w:hAnsiTheme="minorHAnsi" w:cstheme="minorHAnsi"/>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B03DF3" w14:paraId="152141E6" w14:textId="77777777" w:rsidTr="006108C9">
        <w:tc>
          <w:tcPr>
            <w:tcW w:w="10188" w:type="dxa"/>
          </w:tcPr>
          <w:p w14:paraId="2B66890D" w14:textId="56A37C4F" w:rsidR="00337FEF" w:rsidRPr="00917BAB" w:rsidRDefault="00337FEF" w:rsidP="00FF7EBB">
            <w:pPr>
              <w:jc w:val="both"/>
              <w:rPr>
                <w:b/>
                <w:sz w:val="24"/>
                <w:szCs w:val="24"/>
              </w:rPr>
            </w:pPr>
            <w:r w:rsidRPr="00917BAB">
              <w:rPr>
                <w:b/>
                <w:sz w:val="24"/>
                <w:szCs w:val="24"/>
              </w:rPr>
              <w:t>Question</w:t>
            </w:r>
            <w:r w:rsidR="00FC0334" w:rsidRPr="00917BAB">
              <w:rPr>
                <w:b/>
                <w:sz w:val="24"/>
                <w:szCs w:val="24"/>
              </w:rPr>
              <w:t xml:space="preserve"> a</w:t>
            </w:r>
            <w:r w:rsidR="007A628F" w:rsidRPr="00917BAB">
              <w:rPr>
                <w:b/>
                <w:sz w:val="24"/>
                <w:szCs w:val="24"/>
              </w:rPr>
              <w:t>:</w:t>
            </w:r>
          </w:p>
          <w:p w14:paraId="774095BD" w14:textId="32C8C4F9" w:rsidR="00FC0334" w:rsidRPr="00917BAB" w:rsidRDefault="00BB7FD2" w:rsidP="00FF7EBB">
            <w:pPr>
              <w:jc w:val="both"/>
              <w:rPr>
                <w:sz w:val="24"/>
                <w:szCs w:val="24"/>
              </w:rPr>
            </w:pPr>
            <w:r w:rsidRPr="00917BAB">
              <w:rPr>
                <w:sz w:val="24"/>
                <w:szCs w:val="24"/>
              </w:rPr>
              <w:t xml:space="preserve">In an area </w:t>
            </w:r>
            <w:r w:rsidRPr="00917BAB">
              <w:rPr>
                <w:b/>
                <w:sz w:val="24"/>
                <w:szCs w:val="24"/>
              </w:rPr>
              <w:t xml:space="preserve">that is not your </w:t>
            </w:r>
            <w:proofErr w:type="gramStart"/>
            <w:r w:rsidRPr="00917BAB">
              <w:rPr>
                <w:b/>
                <w:sz w:val="24"/>
                <w:szCs w:val="24"/>
              </w:rPr>
              <w:t>main focus</w:t>
            </w:r>
            <w:proofErr w:type="gramEnd"/>
            <w:r w:rsidRPr="00917BAB">
              <w:rPr>
                <w:b/>
                <w:sz w:val="24"/>
                <w:szCs w:val="24"/>
              </w:rPr>
              <w:t xml:space="preserve"> of work </w:t>
            </w:r>
            <w:r w:rsidRPr="00917BAB">
              <w:rPr>
                <w:sz w:val="24"/>
                <w:szCs w:val="24"/>
              </w:rPr>
              <w:t xml:space="preserve">(see guidance above), </w:t>
            </w:r>
            <w:r w:rsidR="0002440E" w:rsidRPr="00917BAB">
              <w:rPr>
                <w:sz w:val="24"/>
                <w:szCs w:val="24"/>
              </w:rPr>
              <w:t>explain</w:t>
            </w:r>
            <w:r w:rsidR="008340BA" w:rsidRPr="00917BAB">
              <w:rPr>
                <w:sz w:val="24"/>
                <w:szCs w:val="24"/>
              </w:rPr>
              <w:t xml:space="preserve"> </w:t>
            </w:r>
            <w:r w:rsidR="00DA22EC" w:rsidRPr="00917BAB">
              <w:rPr>
                <w:sz w:val="24"/>
                <w:szCs w:val="24"/>
              </w:rPr>
              <w:t>the</w:t>
            </w:r>
            <w:r w:rsidR="005A545C" w:rsidRPr="00917BAB">
              <w:rPr>
                <w:sz w:val="24"/>
                <w:szCs w:val="24"/>
              </w:rPr>
              <w:t xml:space="preserve"> relevant </w:t>
            </w:r>
            <w:r w:rsidRPr="00917BAB">
              <w:rPr>
                <w:sz w:val="24"/>
                <w:szCs w:val="24"/>
              </w:rPr>
              <w:t xml:space="preserve">legislation, </w:t>
            </w:r>
            <w:r w:rsidR="0002440E" w:rsidRPr="00917BAB">
              <w:rPr>
                <w:sz w:val="24"/>
                <w:szCs w:val="24"/>
              </w:rPr>
              <w:t>and</w:t>
            </w:r>
            <w:r w:rsidR="008340BA" w:rsidRPr="00917BAB">
              <w:rPr>
                <w:sz w:val="24"/>
                <w:szCs w:val="24"/>
              </w:rPr>
              <w:t xml:space="preserve"> the </w:t>
            </w:r>
            <w:r w:rsidR="005A545C" w:rsidRPr="00917BAB">
              <w:rPr>
                <w:sz w:val="24"/>
                <w:szCs w:val="24"/>
              </w:rPr>
              <w:t>national, local and organisational policies and procedures</w:t>
            </w:r>
            <w:r w:rsidRPr="00917BAB">
              <w:rPr>
                <w:sz w:val="24"/>
                <w:szCs w:val="24"/>
              </w:rPr>
              <w:t xml:space="preserve"> for safeguarding</w:t>
            </w:r>
          </w:p>
          <w:p w14:paraId="42FA5A3F" w14:textId="77777777" w:rsidR="009A647E" w:rsidRPr="00917BAB" w:rsidRDefault="009A647E" w:rsidP="00FF7EBB">
            <w:pPr>
              <w:jc w:val="both"/>
              <w:rPr>
                <w:sz w:val="24"/>
                <w:szCs w:val="24"/>
              </w:rPr>
            </w:pPr>
          </w:p>
          <w:p w14:paraId="4FF8EBF3" w14:textId="77777777" w:rsidR="005A545C" w:rsidRPr="00917BAB" w:rsidRDefault="005414F4" w:rsidP="00FF7EBB">
            <w:pPr>
              <w:jc w:val="both"/>
              <w:rPr>
                <w:sz w:val="24"/>
                <w:szCs w:val="24"/>
              </w:rPr>
            </w:pPr>
            <w:r w:rsidRPr="00917BAB">
              <w:rPr>
                <w:i/>
                <w:sz w:val="24"/>
                <w:szCs w:val="24"/>
              </w:rPr>
              <w:t>5</w:t>
            </w:r>
            <w:r w:rsidR="00DA22EC" w:rsidRPr="00917BAB">
              <w:rPr>
                <w:i/>
                <w:sz w:val="24"/>
                <w:szCs w:val="24"/>
              </w:rPr>
              <w:t>00 words</w:t>
            </w:r>
            <w:r w:rsidR="00DA22EC" w:rsidRPr="00917BAB">
              <w:rPr>
                <w:sz w:val="24"/>
                <w:szCs w:val="24"/>
              </w:rPr>
              <w:t xml:space="preserve"> </w:t>
            </w:r>
            <w:r w:rsidR="008B28E7" w:rsidRPr="00917BAB">
              <w:rPr>
                <w:sz w:val="24"/>
                <w:szCs w:val="24"/>
              </w:rPr>
              <w:t>(+/- 10%: include your actual word count at the end of each section)</w:t>
            </w:r>
            <w:r w:rsidR="007A628F" w:rsidRPr="00917BAB">
              <w:rPr>
                <w:sz w:val="24"/>
                <w:szCs w:val="24"/>
              </w:rPr>
              <w:t>.</w:t>
            </w:r>
          </w:p>
          <w:p w14:paraId="52FDF4B5" w14:textId="77777777" w:rsidR="009A647E" w:rsidRPr="00917BAB" w:rsidRDefault="009A647E" w:rsidP="00FF7EBB">
            <w:pPr>
              <w:pBdr>
                <w:bottom w:val="single" w:sz="6" w:space="1" w:color="auto"/>
              </w:pBdr>
              <w:jc w:val="both"/>
              <w:rPr>
                <w:sz w:val="24"/>
                <w:szCs w:val="24"/>
              </w:rPr>
            </w:pPr>
          </w:p>
          <w:p w14:paraId="63ED6EF2" w14:textId="77777777" w:rsidR="009A647E" w:rsidRPr="00917BAB" w:rsidRDefault="009A647E" w:rsidP="00FF7EBB">
            <w:pPr>
              <w:jc w:val="both"/>
              <w:rPr>
                <w:sz w:val="24"/>
                <w:szCs w:val="24"/>
              </w:rPr>
            </w:pPr>
          </w:p>
          <w:p w14:paraId="18FED8A2" w14:textId="77777777" w:rsidR="009A647E" w:rsidRPr="00917BAB" w:rsidRDefault="009A647E" w:rsidP="00FF7EBB">
            <w:pPr>
              <w:jc w:val="both"/>
              <w:rPr>
                <w:sz w:val="24"/>
                <w:szCs w:val="24"/>
              </w:rPr>
            </w:pPr>
          </w:p>
          <w:p w14:paraId="2DA509FD" w14:textId="77777777" w:rsidR="00C31C6F" w:rsidRPr="00917BAB" w:rsidRDefault="00C31C6F" w:rsidP="00C31C6F">
            <w:pPr>
              <w:spacing w:line="360" w:lineRule="auto"/>
              <w:rPr>
                <w:sz w:val="24"/>
                <w:szCs w:val="24"/>
              </w:rPr>
            </w:pPr>
            <w:r w:rsidRPr="00917BAB">
              <w:rPr>
                <w:sz w:val="24"/>
                <w:szCs w:val="24"/>
              </w:rPr>
              <w:t xml:space="preserve">This task focuses on children’s safeguarding and the legislation relevant to identifying and responding to concerns regarding children at risk. </w:t>
            </w:r>
          </w:p>
          <w:p w14:paraId="2F7D078D" w14:textId="4451B20E" w:rsidR="00C31C6F" w:rsidRPr="00917BAB" w:rsidRDefault="00C31C6F" w:rsidP="00C52A5E">
            <w:pPr>
              <w:spacing w:line="360" w:lineRule="auto"/>
              <w:rPr>
                <w:sz w:val="24"/>
                <w:szCs w:val="24"/>
              </w:rPr>
            </w:pPr>
            <w:r w:rsidRPr="00917BAB">
              <w:rPr>
                <w:sz w:val="24"/>
                <w:szCs w:val="24"/>
              </w:rPr>
              <w:t>Section 130 (4) of the Social Services and Well-being (Wales) Act 2014 defines a child at risk as a child who is experiencing, or is at risk of, abuse, neglect or other harm and has care and support needs, regardless of whether those needs are currently being met. In responding to concerns, the Act places a duty on relevant partners including health boards, the police, education services and public bodies to report children who meet this definition to the local authority under Part 7.</w:t>
            </w:r>
          </w:p>
          <w:p w14:paraId="67C452FF" w14:textId="77777777" w:rsidR="00C31C6F" w:rsidRPr="00917BAB" w:rsidRDefault="00C31C6F" w:rsidP="00C31C6F">
            <w:pPr>
              <w:spacing w:line="360" w:lineRule="auto"/>
              <w:rPr>
                <w:sz w:val="24"/>
                <w:szCs w:val="24"/>
              </w:rPr>
            </w:pPr>
          </w:p>
          <w:p w14:paraId="6A97817D" w14:textId="0168C547" w:rsidR="00C31C6F" w:rsidRPr="00917BAB" w:rsidRDefault="00C31C6F" w:rsidP="00C31C6F">
            <w:pPr>
              <w:spacing w:line="360" w:lineRule="auto"/>
              <w:rPr>
                <w:sz w:val="24"/>
                <w:szCs w:val="24"/>
              </w:rPr>
            </w:pPr>
            <w:r w:rsidRPr="00917BAB">
              <w:rPr>
                <w:sz w:val="24"/>
                <w:szCs w:val="24"/>
              </w:rPr>
              <w:t xml:space="preserve">Indicators of abuse or neglect can include physical injuries, sudden changes in behaviour, signs of neglect and maltreatment and disclosures from the child or information from other agencies. However, identifying harm can be challenging as there are often no visual indicators of abuse. </w:t>
            </w:r>
          </w:p>
          <w:p w14:paraId="2B0D5139" w14:textId="77777777" w:rsidR="00C31C6F" w:rsidRPr="00917BAB" w:rsidRDefault="00C31C6F" w:rsidP="00C31C6F">
            <w:pPr>
              <w:spacing w:line="360" w:lineRule="auto"/>
              <w:rPr>
                <w:sz w:val="24"/>
                <w:szCs w:val="24"/>
              </w:rPr>
            </w:pPr>
          </w:p>
          <w:p w14:paraId="514F8D5F" w14:textId="06048C33" w:rsidR="00C31C6F" w:rsidRPr="00917BAB" w:rsidRDefault="00C31C6F" w:rsidP="00C31C6F">
            <w:pPr>
              <w:spacing w:line="360" w:lineRule="auto"/>
              <w:rPr>
                <w:sz w:val="24"/>
                <w:szCs w:val="24"/>
              </w:rPr>
            </w:pPr>
            <w:r w:rsidRPr="00917BAB">
              <w:rPr>
                <w:sz w:val="24"/>
                <w:szCs w:val="24"/>
              </w:rPr>
              <w:t xml:space="preserve">The Wales Safeguarding Procedures (2019) provide practitioners with guidance on identifying and responding to abuse and neglect, supporting the application of Part 7 of the </w:t>
            </w:r>
            <w:r w:rsidRPr="00917BAB">
              <w:rPr>
                <w:sz w:val="24"/>
                <w:szCs w:val="24"/>
              </w:rPr>
              <w:lastRenderedPageBreak/>
              <w:t xml:space="preserve">Social Services and Well-being (Wales) Act 2014. This is complemented by the </w:t>
            </w:r>
            <w:r w:rsidRPr="00917BAB">
              <w:rPr>
                <w:i/>
                <w:iCs/>
                <w:sz w:val="24"/>
                <w:szCs w:val="24"/>
              </w:rPr>
              <w:t>Working Together to Safeguard People</w:t>
            </w:r>
            <w:r w:rsidRPr="00917BAB">
              <w:rPr>
                <w:sz w:val="24"/>
                <w:szCs w:val="24"/>
              </w:rPr>
              <w:t xml:space="preserve"> framework (2018), which provides statutory guidance on multi-agency safeguarding and clarifies the roles and responsibilities of practitioners in protecting a suspected child at risk.</w:t>
            </w:r>
          </w:p>
          <w:p w14:paraId="2E9689D4" w14:textId="77777777" w:rsidR="00C31C6F" w:rsidRPr="00917BAB" w:rsidRDefault="00C31C6F" w:rsidP="00C31C6F">
            <w:pPr>
              <w:spacing w:line="360" w:lineRule="auto"/>
              <w:rPr>
                <w:sz w:val="24"/>
                <w:szCs w:val="24"/>
              </w:rPr>
            </w:pPr>
          </w:p>
          <w:p w14:paraId="73EF641A" w14:textId="1F42CE0E" w:rsidR="00C31C6F" w:rsidRPr="00917BAB" w:rsidRDefault="00C31C6F" w:rsidP="00C31C6F">
            <w:pPr>
              <w:spacing w:line="360" w:lineRule="auto"/>
              <w:rPr>
                <w:sz w:val="24"/>
                <w:szCs w:val="24"/>
              </w:rPr>
            </w:pPr>
            <w:r w:rsidRPr="00917BAB">
              <w:rPr>
                <w:sz w:val="24"/>
                <w:szCs w:val="24"/>
              </w:rPr>
              <w:t>The procedural framework for safeguarding children at risk begins with a referral where the threshold for harm or abuse has been and met. This can provide grounds to undertake formal Section 47 enquiries under the Children Act 1989 to gather and assess relevant information to determine whether the child is at risk of significant harm. If so, the Local Authority must proceed to an initial child protection conference to consider registration and implement a child protection plan outlining actions required.</w:t>
            </w:r>
          </w:p>
          <w:p w14:paraId="057039CA" w14:textId="77777777" w:rsidR="00C31C6F" w:rsidRPr="00917BAB" w:rsidRDefault="00C31C6F" w:rsidP="00C31C6F">
            <w:pPr>
              <w:spacing w:line="360" w:lineRule="auto"/>
              <w:rPr>
                <w:sz w:val="24"/>
                <w:szCs w:val="24"/>
              </w:rPr>
            </w:pPr>
          </w:p>
          <w:p w14:paraId="41E03D8B" w14:textId="5C9F98DD" w:rsidR="00C31C6F" w:rsidRPr="00917BAB" w:rsidRDefault="00C31C6F" w:rsidP="00C31C6F">
            <w:pPr>
              <w:spacing w:line="360" w:lineRule="auto"/>
              <w:rPr>
                <w:sz w:val="24"/>
                <w:szCs w:val="24"/>
              </w:rPr>
            </w:pPr>
            <w:r w:rsidRPr="00917BAB">
              <w:rPr>
                <w:sz w:val="24"/>
                <w:szCs w:val="24"/>
              </w:rPr>
              <w:t xml:space="preserve">Children’s safeguarding procedures in Wales are </w:t>
            </w:r>
            <w:r w:rsidR="0023197F" w:rsidRPr="00917BAB">
              <w:rPr>
                <w:sz w:val="24"/>
                <w:szCs w:val="24"/>
              </w:rPr>
              <w:t>further</w:t>
            </w:r>
            <w:r w:rsidRPr="00917BAB">
              <w:rPr>
                <w:sz w:val="24"/>
                <w:szCs w:val="24"/>
              </w:rPr>
              <w:t xml:space="preserve"> underpinned by the United Nations Convention on the Rights of the Child (United Nations, 1989). The </w:t>
            </w:r>
            <w:proofErr w:type="spellStart"/>
            <w:r w:rsidRPr="00917BAB">
              <w:rPr>
                <w:sz w:val="24"/>
                <w:szCs w:val="24"/>
              </w:rPr>
              <w:t>UNCRC</w:t>
            </w:r>
            <w:proofErr w:type="spellEnd"/>
            <w:r w:rsidRPr="00917BAB">
              <w:rPr>
                <w:sz w:val="24"/>
                <w:szCs w:val="24"/>
              </w:rPr>
              <w:t xml:space="preserve"> sets out 42 substantive rights such as Article 12 The Right to be Heard, Article 19 Protection from Abuse and Neglect and Article 36 Protection from Exploitation. Welsh Ministers embedded the principles of the </w:t>
            </w:r>
            <w:proofErr w:type="spellStart"/>
            <w:r w:rsidRPr="00917BAB">
              <w:rPr>
                <w:sz w:val="24"/>
                <w:szCs w:val="24"/>
              </w:rPr>
              <w:t>UNCRC</w:t>
            </w:r>
            <w:proofErr w:type="spellEnd"/>
            <w:r w:rsidRPr="00917BAB">
              <w:rPr>
                <w:sz w:val="24"/>
                <w:szCs w:val="24"/>
              </w:rPr>
              <w:t xml:space="preserve"> into Welsh legislation with the Rights of Children and Young Persons (Wales) Measure 2011. The Measure compliments safeguarding legislation by promoting a child-centred approach where the child’s voice and protection from harm are pivotal to the safeguarding enquiry. </w:t>
            </w:r>
          </w:p>
          <w:p w14:paraId="01F0D568" w14:textId="77777777" w:rsidR="00C31C6F" w:rsidRPr="00917BAB" w:rsidRDefault="00C31C6F" w:rsidP="00C31C6F">
            <w:pPr>
              <w:spacing w:line="360" w:lineRule="auto"/>
              <w:rPr>
                <w:sz w:val="24"/>
                <w:szCs w:val="24"/>
              </w:rPr>
            </w:pPr>
          </w:p>
          <w:p w14:paraId="52A5E053" w14:textId="364812FA" w:rsidR="00C31C6F" w:rsidRPr="00917BAB" w:rsidRDefault="00C31C6F" w:rsidP="00C31C6F">
            <w:pPr>
              <w:spacing w:line="360" w:lineRule="auto"/>
              <w:rPr>
                <w:sz w:val="24"/>
                <w:szCs w:val="24"/>
              </w:rPr>
            </w:pPr>
            <w:r w:rsidRPr="00917BAB">
              <w:rPr>
                <w:sz w:val="24"/>
                <w:szCs w:val="24"/>
              </w:rPr>
              <w:t xml:space="preserve">Regional safeguarding boards, governed by the Safeguarding Boards (Wales) Regulations 2015, operate strategically to support safeguarding arrangements.  Promoting the principles of </w:t>
            </w:r>
            <w:r w:rsidR="00C865A4" w:rsidRPr="00917BAB">
              <w:rPr>
                <w:sz w:val="24"/>
                <w:szCs w:val="24"/>
              </w:rPr>
              <w:t xml:space="preserve">the </w:t>
            </w:r>
            <w:proofErr w:type="spellStart"/>
            <w:r w:rsidR="00C865A4" w:rsidRPr="00917BAB">
              <w:rPr>
                <w:sz w:val="24"/>
                <w:szCs w:val="24"/>
              </w:rPr>
              <w:t>SSWB</w:t>
            </w:r>
            <w:proofErr w:type="spellEnd"/>
            <w:r w:rsidRPr="00917BAB">
              <w:rPr>
                <w:sz w:val="24"/>
                <w:szCs w:val="24"/>
              </w:rPr>
              <w:t xml:space="preserve"> (Wales) Act 2014, regional safeguarding boards support prevention, early intervention, co-production and multi-agency working. They are overseen by the National Independent Safeguarding Board (2026) which advises on safeguarding systems across Wales.  </w:t>
            </w:r>
          </w:p>
          <w:p w14:paraId="65B97594" w14:textId="77777777" w:rsidR="00C31C6F" w:rsidRPr="00917BAB" w:rsidRDefault="00C31C6F" w:rsidP="00C31C6F">
            <w:pPr>
              <w:spacing w:line="360" w:lineRule="auto"/>
              <w:rPr>
                <w:sz w:val="24"/>
                <w:szCs w:val="24"/>
              </w:rPr>
            </w:pPr>
          </w:p>
          <w:p w14:paraId="409BC065" w14:textId="77777777" w:rsidR="00C31C6F" w:rsidRPr="00917BAB" w:rsidRDefault="00C31C6F" w:rsidP="00C31C6F">
            <w:pPr>
              <w:spacing w:line="360" w:lineRule="auto"/>
              <w:rPr>
                <w:sz w:val="24"/>
                <w:szCs w:val="24"/>
              </w:rPr>
            </w:pPr>
            <w:r w:rsidRPr="00917BAB">
              <w:rPr>
                <w:sz w:val="24"/>
                <w:szCs w:val="24"/>
              </w:rPr>
              <w:t xml:space="preserve">In addition to national legislation and guidance, my practice is informed at a local and organisational level by implementing my local authority’s individual safeguarding policy which applies to both children and adults. The policy emphasises that safeguarding is </w:t>
            </w:r>
            <w:r w:rsidRPr="00917BAB">
              <w:rPr>
                <w:sz w:val="24"/>
                <w:szCs w:val="24"/>
              </w:rPr>
              <w:lastRenderedPageBreak/>
              <w:t>everyone’s responsibility and therefore requires a shared approach across the organisation. It provides an organisational framework for identifying and responding to suspected abuse and neglect while recognising the duty on the Social Services departments to respond to concerns of abuse and neglect. This emphasises my responsibility as a practitioner to recognise and respond appropriately to concerns in accordance with local safeguarding procedures.</w:t>
            </w:r>
          </w:p>
          <w:p w14:paraId="3230C047" w14:textId="77777777" w:rsidR="00C31C6F" w:rsidRPr="00917BAB" w:rsidRDefault="00C31C6F" w:rsidP="00C31C6F">
            <w:pPr>
              <w:spacing w:line="360" w:lineRule="auto"/>
              <w:rPr>
                <w:sz w:val="24"/>
                <w:szCs w:val="24"/>
              </w:rPr>
            </w:pPr>
          </w:p>
          <w:p w14:paraId="134D389D" w14:textId="77777777" w:rsidR="00C31C6F" w:rsidRPr="00917BAB" w:rsidRDefault="00C31C6F" w:rsidP="00C31C6F">
            <w:pPr>
              <w:rPr>
                <w:sz w:val="24"/>
                <w:szCs w:val="24"/>
              </w:rPr>
            </w:pPr>
          </w:p>
          <w:p w14:paraId="1481AA31" w14:textId="6FD64649" w:rsidR="00C31C6F" w:rsidRPr="00917BAB" w:rsidRDefault="00C31C6F" w:rsidP="00C31C6F">
            <w:pPr>
              <w:rPr>
                <w:sz w:val="24"/>
                <w:szCs w:val="24"/>
              </w:rPr>
            </w:pPr>
            <w:r w:rsidRPr="00917BAB">
              <w:rPr>
                <w:sz w:val="24"/>
                <w:szCs w:val="24"/>
              </w:rPr>
              <w:t xml:space="preserve">Total word count– </w:t>
            </w:r>
            <w:r w:rsidRPr="00917BAB">
              <w:rPr>
                <w:color w:val="000000" w:themeColor="text1"/>
                <w:sz w:val="24"/>
                <w:szCs w:val="24"/>
              </w:rPr>
              <w:t xml:space="preserve">544 words </w:t>
            </w:r>
          </w:p>
          <w:p w14:paraId="6192D96E" w14:textId="77777777" w:rsidR="009A647E" w:rsidRPr="00917BAB" w:rsidRDefault="009A647E" w:rsidP="00FF7EBB">
            <w:pPr>
              <w:jc w:val="both"/>
              <w:rPr>
                <w:sz w:val="24"/>
                <w:szCs w:val="24"/>
              </w:rPr>
            </w:pPr>
          </w:p>
          <w:p w14:paraId="03BD6D93" w14:textId="56AD433A" w:rsidR="007A628F" w:rsidRPr="00917BAB" w:rsidRDefault="007A628F" w:rsidP="00FF7EBB">
            <w:pPr>
              <w:jc w:val="both"/>
              <w:rPr>
                <w:b/>
                <w:sz w:val="24"/>
                <w:szCs w:val="24"/>
              </w:rPr>
            </w:pPr>
          </w:p>
        </w:tc>
      </w:tr>
    </w:tbl>
    <w:p w14:paraId="37E9CF73" w14:textId="77777777" w:rsidR="00AA666E" w:rsidRPr="00B03DF3" w:rsidRDefault="00AA666E" w:rsidP="00FF7EBB">
      <w:pPr>
        <w:jc w:val="both"/>
        <w:rPr>
          <w:rFonts w:asciiTheme="minorHAnsi" w:hAnsiTheme="minorHAnsi" w:cstheme="minorHAnsi"/>
          <w:sz w:val="24"/>
          <w:szCs w:val="24"/>
        </w:rPr>
      </w:pPr>
    </w:p>
    <w:p w14:paraId="1FC83FC7" w14:textId="77777777" w:rsidR="00AA666E" w:rsidRPr="00B03DF3" w:rsidRDefault="00AA666E" w:rsidP="00FF7EBB">
      <w:pPr>
        <w:jc w:val="both"/>
        <w:rPr>
          <w:rFonts w:asciiTheme="minorHAnsi" w:hAnsiTheme="minorHAnsi" w:cstheme="minorHAnsi"/>
          <w:sz w:val="24"/>
          <w:szCs w:val="24"/>
        </w:rPr>
      </w:pPr>
    </w:p>
    <w:p w14:paraId="60437654" w14:textId="77777777" w:rsidR="00AA666E" w:rsidRPr="00B03DF3" w:rsidRDefault="00AA666E" w:rsidP="00FF7EBB">
      <w:pPr>
        <w:jc w:val="both"/>
        <w:rPr>
          <w:rFonts w:asciiTheme="minorHAnsi" w:hAnsiTheme="minorHAnsi" w:cstheme="minorHAnsi"/>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917BAB" w14:paraId="3399E76C" w14:textId="77777777" w:rsidTr="00FC0334">
        <w:tc>
          <w:tcPr>
            <w:tcW w:w="10278" w:type="dxa"/>
          </w:tcPr>
          <w:p w14:paraId="171F67D5" w14:textId="77777777" w:rsidR="00FC0334" w:rsidRPr="00917BAB" w:rsidRDefault="00FC0334" w:rsidP="00FC0334">
            <w:pPr>
              <w:jc w:val="both"/>
              <w:rPr>
                <w:b/>
                <w:sz w:val="24"/>
                <w:szCs w:val="24"/>
              </w:rPr>
            </w:pPr>
            <w:r w:rsidRPr="00917BAB">
              <w:rPr>
                <w:b/>
                <w:sz w:val="24"/>
                <w:szCs w:val="24"/>
              </w:rPr>
              <w:t>Question b:</w:t>
            </w:r>
          </w:p>
          <w:p w14:paraId="2ADF1EC3" w14:textId="58E4B8DE" w:rsidR="00FC0334" w:rsidRPr="00917BAB" w:rsidRDefault="00FC0334" w:rsidP="00FC0334">
            <w:pPr>
              <w:jc w:val="both"/>
              <w:rPr>
                <w:sz w:val="24"/>
                <w:szCs w:val="24"/>
              </w:rPr>
            </w:pPr>
            <w:r w:rsidRPr="00917BAB">
              <w:rPr>
                <w:sz w:val="24"/>
                <w:szCs w:val="24"/>
              </w:rPr>
              <w:t>Reflect on the difference between safeguarding in adult</w:t>
            </w:r>
            <w:r w:rsidR="00C63CAB" w:rsidRPr="00917BAB">
              <w:rPr>
                <w:sz w:val="24"/>
                <w:szCs w:val="24"/>
              </w:rPr>
              <w:t>s’</w:t>
            </w:r>
            <w:r w:rsidRPr="00917BAB">
              <w:rPr>
                <w:sz w:val="24"/>
                <w:szCs w:val="24"/>
              </w:rPr>
              <w:t xml:space="preserve"> and children</w:t>
            </w:r>
            <w:r w:rsidR="007A628F" w:rsidRPr="00917BAB">
              <w:rPr>
                <w:sz w:val="24"/>
                <w:szCs w:val="24"/>
              </w:rPr>
              <w:t>’s</w:t>
            </w:r>
            <w:r w:rsidRPr="00917BAB">
              <w:rPr>
                <w:sz w:val="24"/>
                <w:szCs w:val="24"/>
              </w:rPr>
              <w:t xml:space="preserve"> work</w:t>
            </w:r>
          </w:p>
          <w:p w14:paraId="4CABE426" w14:textId="77777777" w:rsidR="00FC0334" w:rsidRPr="00917BAB" w:rsidRDefault="00FC0334" w:rsidP="00FC0334">
            <w:pPr>
              <w:jc w:val="both"/>
              <w:rPr>
                <w:sz w:val="24"/>
                <w:szCs w:val="24"/>
              </w:rPr>
            </w:pPr>
          </w:p>
          <w:p w14:paraId="438BF787" w14:textId="77777777" w:rsidR="00FC0334" w:rsidRPr="00917BAB" w:rsidRDefault="00FC0334" w:rsidP="00FC0334">
            <w:pPr>
              <w:jc w:val="both"/>
              <w:rPr>
                <w:sz w:val="24"/>
                <w:szCs w:val="24"/>
              </w:rPr>
            </w:pPr>
          </w:p>
          <w:p w14:paraId="6BA3DD84" w14:textId="0013357A" w:rsidR="00FC0334" w:rsidRPr="00917BAB" w:rsidRDefault="00FC0334" w:rsidP="00FC0334">
            <w:pPr>
              <w:jc w:val="both"/>
              <w:rPr>
                <w:i/>
                <w:sz w:val="24"/>
                <w:szCs w:val="24"/>
              </w:rPr>
            </w:pPr>
            <w:r w:rsidRPr="00917BAB">
              <w:rPr>
                <w:i/>
                <w:sz w:val="24"/>
                <w:szCs w:val="24"/>
              </w:rPr>
              <w:t>400 words</w:t>
            </w:r>
            <w:r w:rsidRPr="00917BAB">
              <w:rPr>
                <w:sz w:val="24"/>
                <w:szCs w:val="24"/>
              </w:rPr>
              <w:t xml:space="preserve"> </w:t>
            </w:r>
            <w:r w:rsidRPr="00917BAB">
              <w:rPr>
                <w:i/>
                <w:sz w:val="24"/>
                <w:szCs w:val="24"/>
              </w:rPr>
              <w:t>(+/- 10%: include your actual word count at the end of each section)</w:t>
            </w:r>
            <w:r w:rsidR="007A628F" w:rsidRPr="00917BAB">
              <w:rPr>
                <w:i/>
                <w:sz w:val="24"/>
                <w:szCs w:val="24"/>
              </w:rPr>
              <w:t>.</w:t>
            </w:r>
          </w:p>
          <w:p w14:paraId="34A8CAAF" w14:textId="77777777" w:rsidR="009B19D1" w:rsidRPr="00917BAB" w:rsidRDefault="009B19D1" w:rsidP="00FC0334">
            <w:pPr>
              <w:jc w:val="both"/>
              <w:rPr>
                <w:i/>
                <w:sz w:val="24"/>
                <w:szCs w:val="24"/>
              </w:rPr>
            </w:pPr>
          </w:p>
          <w:p w14:paraId="70283C6B" w14:textId="2236F1D8" w:rsidR="009B19D1" w:rsidRPr="00917BAB" w:rsidRDefault="009B19D1" w:rsidP="00FC0334">
            <w:pPr>
              <w:jc w:val="both"/>
              <w:rPr>
                <w:i/>
                <w:sz w:val="24"/>
                <w:szCs w:val="24"/>
              </w:rPr>
            </w:pPr>
            <w:r w:rsidRPr="00917BAB">
              <w:rPr>
                <w:i/>
                <w:sz w:val="24"/>
                <w:szCs w:val="24"/>
              </w:rPr>
              <w:t>------------------------------------------------------------------------------------------------------------------------</w:t>
            </w:r>
          </w:p>
          <w:p w14:paraId="67713839" w14:textId="77777777" w:rsidR="009B19D1" w:rsidRPr="00917BAB" w:rsidRDefault="009B19D1" w:rsidP="009B19D1">
            <w:pPr>
              <w:spacing w:line="360" w:lineRule="auto"/>
              <w:jc w:val="both"/>
              <w:rPr>
                <w:i/>
                <w:sz w:val="24"/>
                <w:szCs w:val="24"/>
              </w:rPr>
            </w:pPr>
          </w:p>
          <w:p w14:paraId="3FDABE6C" w14:textId="77777777" w:rsidR="009B19D1" w:rsidRPr="00917BAB" w:rsidRDefault="009B19D1" w:rsidP="009B19D1">
            <w:pPr>
              <w:spacing w:line="360" w:lineRule="auto"/>
              <w:rPr>
                <w:sz w:val="24"/>
                <w:szCs w:val="24"/>
              </w:rPr>
            </w:pPr>
            <w:r w:rsidRPr="00917BAB">
              <w:rPr>
                <w:sz w:val="24"/>
                <w:szCs w:val="24"/>
              </w:rPr>
              <w:t>When reflecting on safeguarding processes within children's and adult services, several key differences emerge. The statutory threshold for intervention differs, with children's safeguarding focusing on whether a child is suffering, or is likely to suffer, significant harm, whereas adult safeguarding considers whether an individual has care and support needs, is experiencing abuse or neglect and is unable to protect themselves.</w:t>
            </w:r>
          </w:p>
          <w:p w14:paraId="3E434BD0" w14:textId="77777777" w:rsidR="009B19D1" w:rsidRPr="00917BAB" w:rsidRDefault="009B19D1" w:rsidP="009B19D1">
            <w:pPr>
              <w:spacing w:line="360" w:lineRule="auto"/>
              <w:rPr>
                <w:sz w:val="24"/>
                <w:szCs w:val="24"/>
              </w:rPr>
            </w:pPr>
          </w:p>
          <w:p w14:paraId="45C81478" w14:textId="77777777" w:rsidR="009B19D1" w:rsidRPr="00917BAB" w:rsidRDefault="009B19D1" w:rsidP="009B19D1">
            <w:pPr>
              <w:spacing w:line="360" w:lineRule="auto"/>
              <w:rPr>
                <w:sz w:val="24"/>
                <w:szCs w:val="24"/>
              </w:rPr>
            </w:pPr>
            <w:r w:rsidRPr="00917BAB">
              <w:rPr>
                <w:sz w:val="24"/>
                <w:szCs w:val="24"/>
              </w:rPr>
              <w:t xml:space="preserve">Due to age and developmental factors, professionals have the legislative power to intervene without the parent or child’s consent if there is reason to believe the child is experiencing or is at risk of significant harm. In adult safeguarding, consent is essential. The mental capacity of the individual is also considered when initial concerns arise and thus, consent must be granted before formal safeguarding procedures can be undertaken as appropriate under the Mental Capacity Act 2005. Where it is judged that an adult at risk has capacity, their right to make decisions regarding their own health and welfare should be respected regardless of </w:t>
            </w:r>
            <w:r w:rsidRPr="00917BAB">
              <w:rPr>
                <w:sz w:val="24"/>
                <w:szCs w:val="24"/>
              </w:rPr>
              <w:lastRenderedPageBreak/>
              <w:t xml:space="preserve">whether others might deem those decisions unwise. This includes supporting them to identify the outcomes they wish to achieve in a way which respects their rights, choices and autonomy. </w:t>
            </w:r>
          </w:p>
          <w:p w14:paraId="24DBC28F" w14:textId="77777777" w:rsidR="009B19D1" w:rsidRPr="00917BAB" w:rsidRDefault="009B19D1" w:rsidP="009B19D1">
            <w:pPr>
              <w:spacing w:line="360" w:lineRule="auto"/>
              <w:rPr>
                <w:sz w:val="24"/>
                <w:szCs w:val="24"/>
              </w:rPr>
            </w:pPr>
          </w:p>
          <w:p w14:paraId="27C61444" w14:textId="77777777" w:rsidR="009B19D1" w:rsidRPr="00917BAB" w:rsidRDefault="009B19D1" w:rsidP="009B19D1">
            <w:pPr>
              <w:spacing w:line="360" w:lineRule="auto"/>
              <w:rPr>
                <w:sz w:val="24"/>
                <w:szCs w:val="24"/>
              </w:rPr>
            </w:pPr>
            <w:r w:rsidRPr="00917BAB">
              <w:rPr>
                <w:sz w:val="24"/>
                <w:szCs w:val="24"/>
              </w:rPr>
              <w:t xml:space="preserve">Capacity is not discussed in children’s safeguarding to the same level as adult </w:t>
            </w:r>
            <w:proofErr w:type="gramStart"/>
            <w:r w:rsidRPr="00917BAB">
              <w:rPr>
                <w:sz w:val="24"/>
                <w:szCs w:val="24"/>
              </w:rPr>
              <w:t>services,</w:t>
            </w:r>
            <w:proofErr w:type="gramEnd"/>
            <w:r w:rsidRPr="00917BAB">
              <w:rPr>
                <w:sz w:val="24"/>
                <w:szCs w:val="24"/>
              </w:rPr>
              <w:t xml:space="preserve"> however consideration is still given to a child’s ability to understand and make informed decisions. When a child is under 16 years of age, Gillick competence as per</w:t>
            </w:r>
            <w:r w:rsidRPr="00917BAB">
              <w:rPr>
                <w:i/>
                <w:iCs/>
                <w:sz w:val="24"/>
                <w:szCs w:val="24"/>
              </w:rPr>
              <w:t xml:space="preserve"> Gillick v West Norfolk and Wisbech Area Health Authority </w:t>
            </w:r>
            <w:r w:rsidRPr="00917BAB">
              <w:rPr>
                <w:sz w:val="24"/>
                <w:szCs w:val="24"/>
              </w:rPr>
              <w:t xml:space="preserve">(1986) invites those working with a child to consider whether they have the sufficient maturity and understanding to </w:t>
            </w:r>
            <w:proofErr w:type="gramStart"/>
            <w:r w:rsidRPr="00917BAB">
              <w:rPr>
                <w:sz w:val="24"/>
                <w:szCs w:val="24"/>
              </w:rPr>
              <w:t>make a decision</w:t>
            </w:r>
            <w:proofErr w:type="gramEnd"/>
            <w:r w:rsidRPr="00917BAB">
              <w:rPr>
                <w:sz w:val="24"/>
                <w:szCs w:val="24"/>
              </w:rPr>
              <w:t xml:space="preserve"> independently.</w:t>
            </w:r>
          </w:p>
          <w:p w14:paraId="786A2583" w14:textId="77777777" w:rsidR="009B19D1" w:rsidRPr="00917BAB" w:rsidRDefault="009B19D1" w:rsidP="009B19D1">
            <w:pPr>
              <w:spacing w:line="360" w:lineRule="auto"/>
              <w:rPr>
                <w:sz w:val="24"/>
                <w:szCs w:val="24"/>
              </w:rPr>
            </w:pPr>
          </w:p>
          <w:p w14:paraId="750431EB" w14:textId="77777777" w:rsidR="009B19D1" w:rsidRPr="00917BAB" w:rsidRDefault="009B19D1" w:rsidP="009B19D1">
            <w:pPr>
              <w:spacing w:line="360" w:lineRule="auto"/>
              <w:rPr>
                <w:sz w:val="24"/>
                <w:szCs w:val="24"/>
              </w:rPr>
            </w:pPr>
            <w:r w:rsidRPr="00917BAB">
              <w:rPr>
                <w:sz w:val="24"/>
                <w:szCs w:val="24"/>
              </w:rPr>
              <w:t xml:space="preserve">Both children and adult safeguarding frameworks seek to identify abuse, neglect, harm and risk, one key distinction is how identified risk is responded to within each framework. This can be seen with the introduction of the Children (Abolition of Defence of Reasonable Punishment) (Wales) Act 2020 which safeguards children by implementing greater legal powers to protect them from significant harm. This is done by placing a responsibility on the professionals surrounding the child to respond promptly. Contrastingly, adult safeguarding under the Social Services and Well-Being (Wales) Act 2014 seeks to protect adults at risk of harm and abuse while balancing intervention with the individual’s autonomy and wishes. Where an adult has mental capacity, their decisions remain important irrespective of whether they include an element of risk. </w:t>
            </w:r>
          </w:p>
          <w:p w14:paraId="4EA58952" w14:textId="77777777" w:rsidR="009B19D1" w:rsidRPr="00917BAB" w:rsidRDefault="009B19D1" w:rsidP="009B19D1">
            <w:pPr>
              <w:spacing w:line="360" w:lineRule="auto"/>
              <w:rPr>
                <w:sz w:val="24"/>
                <w:szCs w:val="24"/>
              </w:rPr>
            </w:pPr>
          </w:p>
          <w:p w14:paraId="3CFBED92" w14:textId="77777777" w:rsidR="009B19D1" w:rsidRPr="00917BAB" w:rsidRDefault="009B19D1" w:rsidP="009B19D1">
            <w:pPr>
              <w:spacing w:line="360" w:lineRule="auto"/>
              <w:rPr>
                <w:sz w:val="24"/>
                <w:szCs w:val="24"/>
              </w:rPr>
            </w:pPr>
            <w:r w:rsidRPr="00917BAB">
              <w:rPr>
                <w:sz w:val="24"/>
                <w:szCs w:val="24"/>
              </w:rPr>
              <w:t xml:space="preserve">Whilst both frameworks aim to protect vulnerable individuals from harm, children's safeguarding adopts a more protective and interventionist approach, whereas adult safeguarding emphasises autonomy and the individual's right to make informed decisions about their own safety. </w:t>
            </w:r>
          </w:p>
          <w:p w14:paraId="27D5D4C7" w14:textId="77777777" w:rsidR="009B19D1" w:rsidRPr="00917BAB" w:rsidRDefault="009B19D1" w:rsidP="009B19D1">
            <w:pPr>
              <w:spacing w:line="360" w:lineRule="auto"/>
              <w:rPr>
                <w:sz w:val="24"/>
                <w:szCs w:val="24"/>
              </w:rPr>
            </w:pPr>
          </w:p>
          <w:p w14:paraId="5150AEDC" w14:textId="68F63477" w:rsidR="009B19D1" w:rsidRPr="00917BAB" w:rsidRDefault="009B19D1" w:rsidP="009B19D1">
            <w:pPr>
              <w:spacing w:line="360" w:lineRule="auto"/>
              <w:rPr>
                <w:sz w:val="24"/>
                <w:szCs w:val="24"/>
              </w:rPr>
            </w:pPr>
            <w:r w:rsidRPr="00917BAB">
              <w:rPr>
                <w:sz w:val="24"/>
                <w:szCs w:val="24"/>
              </w:rPr>
              <w:t>Total word count – 427 words</w:t>
            </w:r>
          </w:p>
          <w:p w14:paraId="361B8B99" w14:textId="77777777" w:rsidR="009B19D1" w:rsidRPr="00917BAB" w:rsidRDefault="009B19D1" w:rsidP="009B19D1">
            <w:pPr>
              <w:spacing w:line="360" w:lineRule="auto"/>
              <w:jc w:val="both"/>
              <w:rPr>
                <w:i/>
                <w:sz w:val="24"/>
                <w:szCs w:val="24"/>
              </w:rPr>
            </w:pPr>
          </w:p>
          <w:p w14:paraId="08760B3D" w14:textId="77777777" w:rsidR="00FC0334" w:rsidRPr="00917BAB" w:rsidRDefault="00FC0334" w:rsidP="00FC0334">
            <w:pPr>
              <w:jc w:val="both"/>
              <w:rPr>
                <w:sz w:val="24"/>
                <w:szCs w:val="24"/>
              </w:rPr>
            </w:pPr>
          </w:p>
        </w:tc>
      </w:tr>
    </w:tbl>
    <w:p w14:paraId="76FCF233" w14:textId="77777777" w:rsidR="00FC0334" w:rsidRPr="00917BAB" w:rsidRDefault="00FC0334" w:rsidP="00FC0334">
      <w:pPr>
        <w:rPr>
          <w:sz w:val="24"/>
          <w:szCs w:val="24"/>
        </w:rPr>
      </w:pPr>
    </w:p>
    <w:sectPr w:rsidR="00FC0334" w:rsidRPr="00917BAB"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F8D07" w14:textId="77777777" w:rsidR="00012237" w:rsidRDefault="00012237">
      <w:r>
        <w:separator/>
      </w:r>
    </w:p>
  </w:endnote>
  <w:endnote w:type="continuationSeparator" w:id="0">
    <w:p w14:paraId="509A62DA" w14:textId="77777777" w:rsidR="00012237" w:rsidRDefault="000122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28563" w14:textId="77777777" w:rsidR="00012237" w:rsidRDefault="00012237">
      <w:r>
        <w:separator/>
      </w:r>
    </w:p>
  </w:footnote>
  <w:footnote w:type="continuationSeparator" w:id="0">
    <w:p w14:paraId="7A16DF3B" w14:textId="77777777" w:rsidR="00012237" w:rsidRDefault="000122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proofErr w:type="spellStart"/>
    <w:r w:rsidR="00DC2924">
      <w:t>1_Cohort</w:t>
    </w:r>
    <w:proofErr w:type="spellEnd"/>
    <w:r w:rsidR="00DC2924">
      <w:t xml:space="preserve">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23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830"/>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197F"/>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6A7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3698"/>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7B3"/>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BAB"/>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47E"/>
    <w:rsid w:val="009A6F87"/>
    <w:rsid w:val="009B0B61"/>
    <w:rsid w:val="009B19D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DF3"/>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C6F"/>
    <w:rsid w:val="00C3270F"/>
    <w:rsid w:val="00C3278B"/>
    <w:rsid w:val="00C33375"/>
    <w:rsid w:val="00C34C23"/>
    <w:rsid w:val="00C368FA"/>
    <w:rsid w:val="00C42005"/>
    <w:rsid w:val="00C4664D"/>
    <w:rsid w:val="00C472AA"/>
    <w:rsid w:val="00C50A05"/>
    <w:rsid w:val="00C52A5E"/>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5A4"/>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3C8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1208</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Elin Williams (OEDOLION)</cp:lastModifiedBy>
  <cp:revision>9</cp:revision>
  <cp:lastPrinted>2020-02-11T19:20:00Z</cp:lastPrinted>
  <dcterms:created xsi:type="dcterms:W3CDTF">2026-09-28T10:21:00Z</dcterms:created>
  <dcterms:modified xsi:type="dcterms:W3CDTF">2026-09-28T10:40:00Z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