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41206" w14:textId="3D81A9A0" w:rsidR="007919AB" w:rsidRPr="00C414FF" w:rsidRDefault="007919AB" w:rsidP="00C414FF">
      <w:pPr>
        <w:spacing w:line="240" w:lineRule="auto"/>
        <w:rPr>
          <w:rFonts w:ascii="Arial" w:hAnsi="Arial" w:cs="Arial"/>
        </w:rPr>
      </w:pPr>
    </w:p>
    <w:p w14:paraId="3255372B" w14:textId="3162CFEB" w:rsidR="0023236C" w:rsidRPr="00C414FF" w:rsidRDefault="0023236C" w:rsidP="00C414FF">
      <w:pPr>
        <w:spacing w:line="240" w:lineRule="auto"/>
        <w:rPr>
          <w:rFonts w:ascii="Arial" w:hAnsi="Arial" w:cs="Arial"/>
          <w:b/>
        </w:rPr>
      </w:pPr>
      <w:r w:rsidRPr="00C414FF">
        <w:rPr>
          <w:rFonts w:ascii="Arial" w:hAnsi="Arial" w:cs="Arial"/>
          <w:b/>
        </w:rPr>
        <w:t>BSc Health and Social Care</w:t>
      </w:r>
    </w:p>
    <w:p w14:paraId="36CF44A9" w14:textId="1D81C526" w:rsidR="0023236C" w:rsidRPr="00C414FF" w:rsidRDefault="0023236C" w:rsidP="00C414FF">
      <w:pPr>
        <w:spacing w:line="240" w:lineRule="auto"/>
        <w:rPr>
          <w:rFonts w:ascii="Arial" w:hAnsi="Arial" w:cs="Arial"/>
          <w:b/>
        </w:rPr>
      </w:pPr>
      <w:r w:rsidRPr="00C414FF">
        <w:rPr>
          <w:rFonts w:ascii="Arial" w:hAnsi="Arial" w:cs="Arial"/>
          <w:b/>
        </w:rPr>
        <w:t>Living with Care: The Older Person</w:t>
      </w:r>
    </w:p>
    <w:p w14:paraId="1675142E" w14:textId="45A4E4A0" w:rsidR="0023236C" w:rsidRPr="00C414FF" w:rsidRDefault="0023236C" w:rsidP="00C414FF">
      <w:pPr>
        <w:spacing w:line="240" w:lineRule="auto"/>
        <w:rPr>
          <w:rFonts w:ascii="Arial" w:hAnsi="Arial" w:cs="Arial"/>
          <w:b/>
        </w:rPr>
      </w:pPr>
      <w:r w:rsidRPr="00C414FF">
        <w:rPr>
          <w:rFonts w:ascii="Arial" w:hAnsi="Arial" w:cs="Arial"/>
          <w:b/>
        </w:rPr>
        <w:t xml:space="preserve">Samra Mahroof </w:t>
      </w:r>
    </w:p>
    <w:p w14:paraId="61E39B00" w14:textId="6B0783BD" w:rsidR="0023236C" w:rsidRPr="00C414FF" w:rsidRDefault="0023236C" w:rsidP="00C414FF">
      <w:pPr>
        <w:spacing w:line="240" w:lineRule="auto"/>
        <w:rPr>
          <w:rFonts w:ascii="Arial" w:hAnsi="Arial" w:cs="Arial"/>
          <w:b/>
        </w:rPr>
      </w:pPr>
      <w:r w:rsidRPr="00C414FF">
        <w:rPr>
          <w:rFonts w:ascii="Arial" w:hAnsi="Arial" w:cs="Arial"/>
          <w:b/>
        </w:rPr>
        <w:t>1816889</w:t>
      </w:r>
    </w:p>
    <w:p w14:paraId="71C9DEBB" w14:textId="4ABA61FB" w:rsidR="0023236C" w:rsidRPr="00C414FF" w:rsidRDefault="0023236C" w:rsidP="00C414FF">
      <w:pPr>
        <w:spacing w:before="120" w:after="120" w:line="240" w:lineRule="auto"/>
        <w:jc w:val="both"/>
        <w:rPr>
          <w:rFonts w:ascii="Arial" w:hAnsi="Arial" w:cs="Arial"/>
          <w:b/>
        </w:rPr>
      </w:pPr>
      <w:r w:rsidRPr="00C414FF">
        <w:rPr>
          <w:rFonts w:ascii="Arial" w:hAnsi="Arial" w:cs="Arial"/>
          <w:b/>
        </w:rPr>
        <w:t>Written Assignment – Essay</w:t>
      </w:r>
    </w:p>
    <w:p w14:paraId="2A9BAB00" w14:textId="6B4DA9E8" w:rsidR="0023236C" w:rsidRPr="00C414FF" w:rsidRDefault="0023236C" w:rsidP="00C414FF">
      <w:pPr>
        <w:spacing w:before="120" w:after="120" w:line="240" w:lineRule="auto"/>
        <w:jc w:val="both"/>
        <w:rPr>
          <w:rFonts w:ascii="Arial" w:hAnsi="Arial" w:cs="Arial"/>
          <w:b/>
        </w:rPr>
      </w:pPr>
    </w:p>
    <w:p w14:paraId="016788AD" w14:textId="26FC7014" w:rsidR="0023236C" w:rsidRPr="00C414FF" w:rsidRDefault="0015543B" w:rsidP="00C414FF">
      <w:pPr>
        <w:spacing w:line="240" w:lineRule="auto"/>
        <w:rPr>
          <w:rFonts w:ascii="Arial" w:hAnsi="Arial" w:cs="Arial"/>
        </w:rPr>
      </w:pPr>
      <w:r>
        <w:rPr>
          <w:rFonts w:ascii="Arial" w:hAnsi="Arial" w:cs="Arial"/>
        </w:rPr>
        <w:t>/</w:t>
      </w:r>
    </w:p>
    <w:p w14:paraId="1D7C0D50" w14:textId="77777777" w:rsidR="0023236C" w:rsidRPr="00C414FF" w:rsidRDefault="0023236C" w:rsidP="00C414FF">
      <w:pPr>
        <w:spacing w:before="120" w:after="120" w:line="240" w:lineRule="auto"/>
        <w:jc w:val="both"/>
        <w:rPr>
          <w:rFonts w:ascii="Arial" w:hAnsi="Arial" w:cs="Arial"/>
          <w:b/>
        </w:rPr>
      </w:pPr>
    </w:p>
    <w:p w14:paraId="3D8A9CEA" w14:textId="062172B0" w:rsidR="0023236C" w:rsidRPr="00C414FF" w:rsidRDefault="0023236C" w:rsidP="00C414FF">
      <w:pPr>
        <w:spacing w:line="240" w:lineRule="auto"/>
        <w:rPr>
          <w:rFonts w:ascii="Arial" w:hAnsi="Arial" w:cs="Arial"/>
        </w:rPr>
      </w:pPr>
      <w:r w:rsidRPr="00C414FF">
        <w:rPr>
          <w:rFonts w:ascii="Arial" w:hAnsi="Arial" w:cs="Arial"/>
        </w:rPr>
        <w:t xml:space="preserve">In this essay we will be looking into the continuing growth of the elderly population in the UK, the impact of the provisions that lead in health and social care services, furthermore in detail the essay will look at what in fact it means to be an elderly person and the related issues that come from being elderly. There will be a slight discuss on statistics on the ageing population and if there is any recent change in the years. As the population grows we will look into the reason for growth like medical and social, answering the question is critically examining in current health and social care provision </w:t>
      </w:r>
      <w:r w:rsidR="005B0307" w:rsidRPr="00C414FF">
        <w:rPr>
          <w:rFonts w:ascii="Arial" w:hAnsi="Arial" w:cs="Arial"/>
        </w:rPr>
        <w:t>sufficient, also considering the government and health services response to the problem is there is one, all this referring to relevant theories and including specific theories of ageing.</w:t>
      </w:r>
    </w:p>
    <w:p w14:paraId="10D0559B" w14:textId="77777777" w:rsidR="009B3E17" w:rsidRPr="00C414FF" w:rsidRDefault="009B3E17" w:rsidP="00C414FF">
      <w:pPr>
        <w:spacing w:line="240" w:lineRule="auto"/>
        <w:rPr>
          <w:rFonts w:ascii="Arial" w:hAnsi="Arial" w:cs="Arial"/>
        </w:rPr>
      </w:pPr>
    </w:p>
    <w:p w14:paraId="7EE9A223" w14:textId="57EF4253" w:rsidR="00073D11" w:rsidRPr="00C414FF" w:rsidRDefault="00CD4788" w:rsidP="00C414FF">
      <w:pPr>
        <w:spacing w:line="240" w:lineRule="auto"/>
        <w:rPr>
          <w:rFonts w:ascii="Arial" w:hAnsi="Arial" w:cs="Arial"/>
          <w:color w:val="000000"/>
          <w:shd w:val="clear" w:color="auto" w:fill="FFFFFF"/>
        </w:rPr>
      </w:pPr>
      <w:r w:rsidRPr="00C414FF">
        <w:rPr>
          <w:rFonts w:ascii="Arial" w:hAnsi="Arial" w:cs="Arial"/>
        </w:rPr>
        <w:t xml:space="preserve">According to </w:t>
      </w:r>
      <w:r w:rsidRPr="00C414FF">
        <w:rPr>
          <w:rFonts w:ascii="Arial" w:hAnsi="Arial" w:cs="Arial"/>
          <w:color w:val="000000"/>
          <w:shd w:val="clear" w:color="auto" w:fill="FFFFFF"/>
        </w:rPr>
        <w:t xml:space="preserve">(England, 2021) </w:t>
      </w:r>
      <w:r w:rsidR="00AE784D" w:rsidRPr="00C414FF">
        <w:rPr>
          <w:rFonts w:ascii="Arial" w:hAnsi="Arial" w:cs="Arial"/>
          <w:color w:val="000000"/>
          <w:shd w:val="clear" w:color="auto" w:fill="FFFFFF"/>
        </w:rPr>
        <w:t>A person over the age of 65 is generally considered to be an older person. However, a formal definition is difficult to apply because people age at various rates biologically, therefore someone at 75 may be healthier than someone aged 60. Frailty, rather than age, has a greater impact on their risk of requiring care and support</w:t>
      </w:r>
      <w:r w:rsidR="00C10F0A" w:rsidRPr="00C414FF">
        <w:rPr>
          <w:rFonts w:ascii="Arial" w:hAnsi="Arial" w:cs="Arial"/>
          <w:color w:val="000000"/>
          <w:shd w:val="clear" w:color="auto" w:fill="FFFFFF"/>
        </w:rPr>
        <w:t>, as stated by (Alessi and Rashbrook, 2021)</w:t>
      </w:r>
      <w:r w:rsidR="00F72FDA" w:rsidRPr="00C414FF">
        <w:rPr>
          <w:rFonts w:ascii="Arial" w:hAnsi="Arial" w:cs="Arial"/>
          <w:color w:val="000000"/>
          <w:shd w:val="clear" w:color="auto" w:fill="FFFFFF"/>
        </w:rPr>
        <w:t xml:space="preserve"> </w:t>
      </w:r>
      <w:r w:rsidR="00073D11" w:rsidRPr="00C414FF">
        <w:rPr>
          <w:rFonts w:ascii="Arial" w:hAnsi="Arial" w:cs="Arial"/>
          <w:color w:val="000000"/>
          <w:shd w:val="clear" w:color="auto" w:fill="FFFFFF"/>
        </w:rPr>
        <w:t>Globally, the number of individuals aged 60 and above has doubled since 1980, and by 2050, the number of people aged 80 and up is expected to triple to 395 million. This rise in the number of persons living to be a ripe old age can be considered a public health triumph. Despite the fact that people are living longer, many of those extra years are spent in poor health.</w:t>
      </w:r>
    </w:p>
    <w:p w14:paraId="605D8300" w14:textId="311FC1E0" w:rsidR="00C10F0A" w:rsidRPr="00C414FF" w:rsidRDefault="00073D11"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A limiting long-term health condition, such as diabetes, heart disease, lung disease, cancer, arthritis, or dementia, affects approximately four million (or 40%) of persons in the UK over the age of 65.</w:t>
      </w:r>
      <w:r w:rsidR="004005F7" w:rsidRPr="00C414FF">
        <w:rPr>
          <w:rFonts w:ascii="Arial" w:hAnsi="Arial" w:cs="Arial"/>
        </w:rPr>
        <w:t xml:space="preserve"> </w:t>
      </w:r>
      <w:r w:rsidR="004005F7" w:rsidRPr="00C414FF">
        <w:rPr>
          <w:rFonts w:ascii="Arial" w:hAnsi="Arial" w:cs="Arial"/>
          <w:color w:val="000000"/>
          <w:shd w:val="clear" w:color="auto" w:fill="FFFFFF"/>
        </w:rPr>
        <w:t>Many of these diseases are connected to lifestyle and changeable behaviours, and decreases in mortality have not been matched by decreases in morbidity, leaving significant disparities between the least and most poor places, As a result, the public health agenda aims to enhance the health of our population so that more years can be spent in good health, reducing health inequities between social groups and easing the financial strain on our health and social care systems.</w:t>
      </w:r>
    </w:p>
    <w:p w14:paraId="4E115FB2" w14:textId="77777777" w:rsidR="00556DF6" w:rsidRPr="00C414FF" w:rsidRDefault="00BE0AA9"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There are many associated issues that defines a elder person for example according to </w:t>
      </w:r>
      <w:r w:rsidR="002B70A4" w:rsidRPr="00C414FF">
        <w:rPr>
          <w:rFonts w:ascii="Arial" w:hAnsi="Arial" w:cs="Arial"/>
          <w:color w:val="000000"/>
          <w:shd w:val="clear" w:color="auto" w:fill="FFFFFF"/>
        </w:rPr>
        <w:t xml:space="preserve">(Liveincarehub, 2021) the main </w:t>
      </w:r>
      <w:r w:rsidR="007A5245" w:rsidRPr="00C414FF">
        <w:rPr>
          <w:rFonts w:ascii="Arial" w:hAnsi="Arial" w:cs="Arial"/>
          <w:color w:val="000000"/>
          <w:shd w:val="clear" w:color="auto" w:fill="FFFFFF"/>
        </w:rPr>
        <w:t xml:space="preserve">issue that relate to an elderly person can be </w:t>
      </w:r>
      <w:r w:rsidR="00C747C5" w:rsidRPr="00C414FF">
        <w:rPr>
          <w:rFonts w:ascii="Arial" w:hAnsi="Arial" w:cs="Arial"/>
          <w:color w:val="000000"/>
          <w:shd w:val="clear" w:color="auto" w:fill="FFFFFF"/>
        </w:rPr>
        <w:t xml:space="preserve">loneliness, </w:t>
      </w:r>
      <w:r w:rsidR="00901444" w:rsidRPr="00C414FF">
        <w:rPr>
          <w:rFonts w:ascii="Arial" w:hAnsi="Arial" w:cs="Arial"/>
          <w:color w:val="000000"/>
          <w:shd w:val="clear" w:color="auto" w:fill="FFFFFF"/>
        </w:rPr>
        <w:t>social issues, being a family caregiver, adjusting to retirement</w:t>
      </w:r>
      <w:r w:rsidR="008863EE" w:rsidRPr="00C414FF">
        <w:rPr>
          <w:rFonts w:ascii="Arial" w:hAnsi="Arial" w:cs="Arial"/>
          <w:color w:val="000000"/>
          <w:shd w:val="clear" w:color="auto" w:fill="FFFFFF"/>
        </w:rPr>
        <w:t xml:space="preserve">, relocation, bereavement </w:t>
      </w:r>
      <w:r w:rsidR="00C21BAC" w:rsidRPr="00C414FF">
        <w:rPr>
          <w:rFonts w:ascii="Arial" w:hAnsi="Arial" w:cs="Arial"/>
          <w:color w:val="000000"/>
          <w:shd w:val="clear" w:color="auto" w:fill="FFFFFF"/>
        </w:rPr>
        <w:t xml:space="preserve">and self-neglect which </w:t>
      </w:r>
      <w:r w:rsidR="00556DF6" w:rsidRPr="00C414FF">
        <w:rPr>
          <w:rFonts w:ascii="Arial" w:hAnsi="Arial" w:cs="Arial"/>
          <w:color w:val="000000"/>
          <w:shd w:val="clear" w:color="auto" w:fill="FFFFFF"/>
        </w:rPr>
        <w:t>are effecting the ageing population as of now in the UK.</w:t>
      </w:r>
    </w:p>
    <w:p w14:paraId="3F4F207E" w14:textId="77777777" w:rsidR="00F83175" w:rsidRPr="00C414FF" w:rsidRDefault="00556DF6"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Looking into </w:t>
      </w:r>
      <w:r w:rsidR="00632636" w:rsidRPr="00C414FF">
        <w:rPr>
          <w:rFonts w:ascii="Arial" w:hAnsi="Arial" w:cs="Arial"/>
          <w:color w:val="000000"/>
          <w:shd w:val="clear" w:color="auto" w:fill="FFFFFF"/>
        </w:rPr>
        <w:t xml:space="preserve">issue associated with elderly care like loneliness </w:t>
      </w:r>
      <w:r w:rsidR="00320FBD" w:rsidRPr="00C414FF">
        <w:rPr>
          <w:rFonts w:ascii="Arial" w:hAnsi="Arial" w:cs="Arial"/>
          <w:color w:val="000000"/>
          <w:shd w:val="clear" w:color="auto" w:fill="FFFFFF"/>
        </w:rPr>
        <w:t>according to (marmaladetrust, 2021)</w:t>
      </w:r>
      <w:r w:rsidR="00C21BAC" w:rsidRPr="00C414FF">
        <w:rPr>
          <w:rFonts w:ascii="Arial" w:hAnsi="Arial" w:cs="Arial"/>
          <w:color w:val="000000"/>
          <w:shd w:val="clear" w:color="auto" w:fill="FFFFFF"/>
        </w:rPr>
        <w:t xml:space="preserve"> </w:t>
      </w:r>
      <w:r w:rsidR="008C432F" w:rsidRPr="00C414FF">
        <w:rPr>
          <w:rFonts w:ascii="Arial" w:hAnsi="Arial" w:cs="Arial"/>
          <w:color w:val="000000"/>
          <w:shd w:val="clear" w:color="auto" w:fill="FFFFFF"/>
        </w:rPr>
        <w:t xml:space="preserve">According to the Office for National Statistics, 28% of UK homes only have one person living in them as of 2017. That implies there are 7.7 million people in the UK who live alone. Women account for the majority of those aged 65 and up who live alone (66.5 percent ). Because men are typically older, they have a higher chance of dying before their wives. However, this is changing, and the number of widowed women is decreasing as men's life </w:t>
      </w:r>
      <w:r w:rsidR="008C432F" w:rsidRPr="00C414FF">
        <w:rPr>
          <w:rFonts w:ascii="Arial" w:hAnsi="Arial" w:cs="Arial"/>
          <w:color w:val="000000"/>
          <w:shd w:val="clear" w:color="auto" w:fill="FFFFFF"/>
        </w:rPr>
        <w:lastRenderedPageBreak/>
        <w:t xml:space="preserve">expectancies rise faster than women's. </w:t>
      </w:r>
      <w:r w:rsidR="00D10A27" w:rsidRPr="00C414FF">
        <w:rPr>
          <w:rFonts w:ascii="Arial" w:hAnsi="Arial" w:cs="Arial"/>
          <w:color w:val="000000"/>
          <w:shd w:val="clear" w:color="auto" w:fill="FFFFFF"/>
        </w:rPr>
        <w:t>T</w:t>
      </w:r>
      <w:r w:rsidR="008C432F" w:rsidRPr="00C414FF">
        <w:rPr>
          <w:rFonts w:ascii="Arial" w:hAnsi="Arial" w:cs="Arial"/>
          <w:color w:val="000000"/>
          <w:shd w:val="clear" w:color="auto" w:fill="FFFFFF"/>
        </w:rPr>
        <w:t xml:space="preserve">he impact </w:t>
      </w:r>
      <w:r w:rsidR="00D10A27" w:rsidRPr="00C414FF">
        <w:rPr>
          <w:rFonts w:ascii="Arial" w:hAnsi="Arial" w:cs="Arial"/>
          <w:color w:val="000000"/>
          <w:shd w:val="clear" w:color="auto" w:fill="FFFFFF"/>
        </w:rPr>
        <w:t xml:space="preserve">of loneliness can effect an elderly person </w:t>
      </w:r>
      <w:r w:rsidR="00C27BFA" w:rsidRPr="00C414FF">
        <w:rPr>
          <w:rFonts w:ascii="Arial" w:hAnsi="Arial" w:cs="Arial"/>
          <w:color w:val="000000"/>
          <w:shd w:val="clear" w:color="auto" w:fill="FFFFFF"/>
        </w:rPr>
        <w:t>according to (wavelength, 2021)</w:t>
      </w:r>
      <w:r w:rsidR="00120F09" w:rsidRPr="00C414FF">
        <w:rPr>
          <w:rFonts w:ascii="Arial" w:hAnsi="Arial" w:cs="Arial"/>
          <w:color w:val="000000"/>
          <w:shd w:val="clear" w:color="auto" w:fill="FFFFFF"/>
        </w:rPr>
        <w:t xml:space="preserve"> </w:t>
      </w:r>
      <w:r w:rsidR="00F83175" w:rsidRPr="00C414FF">
        <w:rPr>
          <w:rFonts w:ascii="Arial" w:hAnsi="Arial" w:cs="Arial"/>
          <w:color w:val="000000"/>
          <w:shd w:val="clear" w:color="auto" w:fill="FFFFFF"/>
        </w:rPr>
        <w:t>Scientists have been studying for several years to determine the true impact of loneliness on our well-being.</w:t>
      </w:r>
    </w:p>
    <w:p w14:paraId="65313861" w14:textId="2A9DAE2D" w:rsidR="008C432F" w:rsidRPr="00C414FF" w:rsidRDefault="00F83175"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Researchers discovered that loneliness was linked to long-term alterations in the body in a 2015 study. The study found that when people are lonely, they feel socially threatened, and their brain responds by inducing the "fight or flight" response in non-threatening settings. The body generates fewer infection-fighting white blood cells as a result of this response, resulting in a less active immune system and higher inflammation. In summary, lonely people are less equipped to fight viruses, and their bodies take longer to recover if they do become ill.</w:t>
      </w:r>
    </w:p>
    <w:p w14:paraId="70784600" w14:textId="07FF8143" w:rsidR="00F44266" w:rsidRPr="00C414FF" w:rsidRDefault="00F44266"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Other issue like </w:t>
      </w:r>
      <w:r w:rsidR="004610C4" w:rsidRPr="00C414FF">
        <w:rPr>
          <w:rFonts w:ascii="Arial" w:hAnsi="Arial" w:cs="Arial"/>
          <w:color w:val="000000"/>
          <w:shd w:val="clear" w:color="auto" w:fill="FFFFFF"/>
        </w:rPr>
        <w:t>adjusting to re</w:t>
      </w:r>
      <w:r w:rsidR="001A6786" w:rsidRPr="00C414FF">
        <w:rPr>
          <w:rFonts w:ascii="Arial" w:hAnsi="Arial" w:cs="Arial"/>
          <w:color w:val="000000"/>
          <w:shd w:val="clear" w:color="auto" w:fill="FFFFFF"/>
        </w:rPr>
        <w:t>tirement</w:t>
      </w:r>
      <w:r w:rsidR="004610C4" w:rsidRPr="00C414FF">
        <w:rPr>
          <w:rFonts w:ascii="Arial" w:hAnsi="Arial" w:cs="Arial"/>
          <w:color w:val="000000"/>
          <w:shd w:val="clear" w:color="auto" w:fill="FFFFFF"/>
        </w:rPr>
        <w:t xml:space="preserve"> can be a factor according to </w:t>
      </w:r>
      <w:r w:rsidR="008423DA" w:rsidRPr="00C414FF">
        <w:rPr>
          <w:rFonts w:ascii="Arial" w:hAnsi="Arial" w:cs="Arial"/>
          <w:color w:val="000000"/>
          <w:shd w:val="clear" w:color="auto" w:fill="FFFFFF"/>
        </w:rPr>
        <w:t xml:space="preserve">(The experience of the transition to retirement: Rapid evidence review, 2021) </w:t>
      </w:r>
      <w:r w:rsidR="00973BC5" w:rsidRPr="00C414FF">
        <w:rPr>
          <w:rFonts w:ascii="Arial" w:hAnsi="Arial" w:cs="Arial"/>
          <w:color w:val="000000"/>
          <w:shd w:val="clear" w:color="auto" w:fill="FFFFFF"/>
        </w:rPr>
        <w:t>Retiring from employment after a lifetime in the workforce is a significant milestone in the lives of elderly individuals. Retirement attitudes differ from person to person, and many people have been looking forward to retiring for years. It can improve the quality of life for certain people by reducing work-related stress and providing more free time to pursue hobbies and other interests, However, for other people, the change can be harmful to their physical and mental health, particularly if retirement was not a conscious decision and your job defined who you were as a person, your status, and your place in society.</w:t>
      </w:r>
      <w:r w:rsidR="006C4656" w:rsidRPr="00C414FF">
        <w:rPr>
          <w:rFonts w:ascii="Arial" w:hAnsi="Arial" w:cs="Arial"/>
        </w:rPr>
        <w:t xml:space="preserve"> </w:t>
      </w:r>
      <w:r w:rsidR="006C4656" w:rsidRPr="00C414FF">
        <w:rPr>
          <w:rFonts w:ascii="Arial" w:hAnsi="Arial" w:cs="Arial"/>
          <w:color w:val="000000"/>
          <w:shd w:val="clear" w:color="auto" w:fill="FFFFFF"/>
        </w:rPr>
        <w:t>For many people, retirement can offer its own set of challenges and be a more difficult condition to deal with than they realise. Even if they were looking forward to it, people are generally unprepared for the impact of leaving work, and they may miss the interpersonal interaction, particularly with people with similar skills and experience.</w:t>
      </w:r>
    </w:p>
    <w:p w14:paraId="51D4F9D8" w14:textId="700EA1EE" w:rsidR="00E60273" w:rsidRPr="00C414FF" w:rsidRDefault="009B3E17"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Also mentioned by </w:t>
      </w:r>
      <w:r w:rsidR="00D16CE2" w:rsidRPr="00C414FF">
        <w:rPr>
          <w:rFonts w:ascii="Arial" w:hAnsi="Arial" w:cs="Arial"/>
          <w:color w:val="000000"/>
          <w:shd w:val="clear" w:color="auto" w:fill="FFFFFF"/>
        </w:rPr>
        <w:t xml:space="preserve">(Retirement, health and wellbeing | The Psychologist, 2021) </w:t>
      </w:r>
      <w:r w:rsidR="0012063D" w:rsidRPr="00C414FF">
        <w:rPr>
          <w:rFonts w:ascii="Arial" w:hAnsi="Arial" w:cs="Arial"/>
          <w:color w:val="000000"/>
          <w:shd w:val="clear" w:color="auto" w:fill="FFFFFF"/>
        </w:rPr>
        <w:t xml:space="preserve">there are good effects too like </w:t>
      </w:r>
      <w:r w:rsidR="00121326" w:rsidRPr="00C414FF">
        <w:rPr>
          <w:rFonts w:ascii="Arial" w:hAnsi="Arial" w:cs="Arial"/>
          <w:color w:val="000000"/>
          <w:shd w:val="clear" w:color="auto" w:fill="FFFFFF"/>
        </w:rPr>
        <w:t>There are a variety of ways to do what you're excellent at, what you enjoy, and to put your skills and expertise to good use in order to live a fascinating life, including volunteer work, adult education programmes, and so on. Getting active in community projects, joining a club, gardening, learning a new language, swimming, tennis, rambling, or other physical activities.</w:t>
      </w:r>
    </w:p>
    <w:p w14:paraId="7C67294F" w14:textId="54C64690" w:rsidR="001A6786" w:rsidRPr="00C414FF" w:rsidRDefault="001A6786"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Another big issue is isolation addressed by </w:t>
      </w:r>
      <w:r w:rsidRPr="00C414FF">
        <w:rPr>
          <w:rFonts w:ascii="Arial" w:hAnsi="Arial" w:cs="Arial"/>
          <w:color w:val="000000"/>
          <w:shd w:val="clear" w:color="auto" w:fill="FFFFFF"/>
        </w:rPr>
        <w:t>(Summary | State of Ageing in 2020, 2021)</w:t>
      </w:r>
      <w:r w:rsidR="00224C4E" w:rsidRPr="00C414FF">
        <w:rPr>
          <w:rFonts w:ascii="Arial" w:hAnsi="Arial" w:cs="Arial"/>
          <w:color w:val="000000"/>
          <w:shd w:val="clear" w:color="auto" w:fill="FFFFFF"/>
        </w:rPr>
        <w:t xml:space="preserve"> </w:t>
      </w:r>
      <w:r w:rsidR="00224C4E" w:rsidRPr="00C414FF">
        <w:rPr>
          <w:rFonts w:ascii="Arial" w:hAnsi="Arial" w:cs="Arial"/>
          <w:color w:val="000000"/>
          <w:shd w:val="clear" w:color="auto" w:fill="FFFFFF"/>
        </w:rPr>
        <w:t>The picture shown here, based on nationally available statistics, depicts how individuals in England are ageing. It depicts the state of our health, economics, and communities when COVID-19 struck, as well as the effects it has had thus far</w:t>
      </w:r>
      <w:r w:rsidR="00224C4E" w:rsidRPr="00C414FF">
        <w:rPr>
          <w:rFonts w:ascii="Arial" w:hAnsi="Arial" w:cs="Arial"/>
          <w:color w:val="000000"/>
          <w:shd w:val="clear" w:color="auto" w:fill="FFFFFF"/>
        </w:rPr>
        <w:t xml:space="preserve">, </w:t>
      </w:r>
      <w:r w:rsidR="00224C4E" w:rsidRPr="00C414FF">
        <w:rPr>
          <w:rFonts w:ascii="Arial" w:hAnsi="Arial" w:cs="Arial"/>
          <w:color w:val="000000"/>
          <w:shd w:val="clear" w:color="auto" w:fill="FFFFFF"/>
        </w:rPr>
        <w:t>Poor health, hazardous and low-quality housing, and a lack of social connections, especially among the poorest in our society, have worsened the pandemic's impact on those who already faced the most difficult future prospects. People in their 50s and 60s who lose their jobs today are at risk of permanently leaving the labour market. COVID-19 will exacerbate some of these inequities.</w:t>
      </w:r>
    </w:p>
    <w:p w14:paraId="7D6EDC35" w14:textId="476A4A38" w:rsidR="001A6786" w:rsidRPr="00C414FF" w:rsidRDefault="00224C4E"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How can issues like isolation and loneliness can be addressed? Well according to  </w:t>
      </w:r>
      <w:r w:rsidR="00564B78" w:rsidRPr="00C414FF">
        <w:rPr>
          <w:rFonts w:ascii="Arial" w:hAnsi="Arial" w:cs="Arial"/>
          <w:color w:val="000000"/>
          <w:shd w:val="clear" w:color="auto" w:fill="FFFFFF"/>
        </w:rPr>
        <w:t>(How to overcome loneliness while you're social distancing, 2021)</w:t>
      </w:r>
      <w:r w:rsidR="00564B78" w:rsidRPr="00C414FF">
        <w:rPr>
          <w:rFonts w:ascii="Arial" w:hAnsi="Arial" w:cs="Arial"/>
          <w:color w:val="000000"/>
          <w:shd w:val="clear" w:color="auto" w:fill="FFFFFF"/>
        </w:rPr>
        <w:t xml:space="preserve"> </w:t>
      </w:r>
      <w:r w:rsidR="00564B78" w:rsidRPr="00C414FF">
        <w:rPr>
          <w:rFonts w:ascii="Arial" w:hAnsi="Arial" w:cs="Arial"/>
          <w:color w:val="000000"/>
          <w:shd w:val="clear" w:color="auto" w:fill="FFFFFF"/>
        </w:rPr>
        <w:t>Loneliness can be alleviated by engaging in activities that give you a sense of accomplishment. Start an activity you've been putting off instead of watching movies or engaging in other passive/sedentary hobbies. Start modest and concentrate exclusively on goals that you can directly control or affect. Moderate exercise, for example, is an excellent method to boost your productivity.</w:t>
      </w:r>
    </w:p>
    <w:p w14:paraId="53AE1DB6" w14:textId="37447FB0" w:rsidR="00564B78" w:rsidRPr="00C414FF" w:rsidRDefault="00564B78"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Eat well and stick to a regular sleeping pattern. Take a lengthy bath or go for a walk in the woods. Allow yourself to take a breather and ponder. While this is a time to be productive, keep your approach moderate and laid-back. To put it another way, today is an excellent opportunity to exercise self-compassion. This includes taking any negative views you have about yourself or the world with a grain of salt; many of these thoughts reflect where we are rather than who we are. To put it another way, develop a temporary vs. permanent perspective. Instead than thinking, "Life will never be the same," consider, "This is a difficult time right now."</w:t>
      </w:r>
      <w:r w:rsidRPr="00C414FF">
        <w:rPr>
          <w:rFonts w:ascii="Arial" w:hAnsi="Arial" w:cs="Arial"/>
          <w:color w:val="000000"/>
          <w:shd w:val="clear" w:color="auto" w:fill="FFFFFF"/>
        </w:rPr>
        <w:t xml:space="preserve"> </w:t>
      </w:r>
      <w:r w:rsidRPr="00C414FF">
        <w:rPr>
          <w:rFonts w:ascii="Arial" w:hAnsi="Arial" w:cs="Arial"/>
          <w:color w:val="000000"/>
          <w:shd w:val="clear" w:color="auto" w:fill="FFFFFF"/>
        </w:rPr>
        <w:t>(The risks of social isolation, 2021)</w:t>
      </w:r>
    </w:p>
    <w:p w14:paraId="63305C5E" w14:textId="3F2E0EEC" w:rsidR="00C414FF" w:rsidRPr="00C414FF" w:rsidRDefault="00C414FF"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lastRenderedPageBreak/>
        <w:t xml:space="preserve">One other issue that older people face is according to </w:t>
      </w:r>
      <w:r w:rsidRPr="00C414FF">
        <w:rPr>
          <w:rFonts w:ascii="Arial" w:hAnsi="Arial" w:cs="Arial"/>
          <w:color w:val="000000"/>
          <w:shd w:val="clear" w:color="auto" w:fill="FFFFFF"/>
        </w:rPr>
        <w:t>(Reframing ageing: Public perceptions of ageing, older age and demographic change, 2021)</w:t>
      </w:r>
      <w:r w:rsidRPr="00C414FF">
        <w:rPr>
          <w:rFonts w:ascii="Arial" w:hAnsi="Arial" w:cs="Arial"/>
          <w:color w:val="000000"/>
          <w:shd w:val="clear" w:color="auto" w:fill="FFFFFF"/>
        </w:rPr>
        <w:t xml:space="preserve"> Is ageism </w:t>
      </w:r>
      <w:r w:rsidRPr="00C414FF">
        <w:rPr>
          <w:rFonts w:ascii="Arial" w:hAnsi="Arial" w:cs="Arial"/>
          <w:color w:val="000000"/>
          <w:shd w:val="clear" w:color="auto" w:fill="FFFFFF"/>
        </w:rPr>
        <w:t>Ageism is significant because it can result in a wide range of negative consequences in a variety of situations. Age is frequently connected with deterioration and illness, and older people are frequently depicted as feeble, helpless, and reliant</w:t>
      </w:r>
      <w:r w:rsidRPr="00C414FF">
        <w:rPr>
          <w:rFonts w:ascii="Arial" w:hAnsi="Arial" w:cs="Arial"/>
          <w:color w:val="000000"/>
          <w:shd w:val="clear" w:color="auto" w:fill="FFFFFF"/>
        </w:rPr>
        <w:t xml:space="preserve">, </w:t>
      </w:r>
      <w:r w:rsidRPr="00C414FF">
        <w:rPr>
          <w:rFonts w:ascii="Arial" w:hAnsi="Arial" w:cs="Arial"/>
          <w:color w:val="000000"/>
          <w:shd w:val="clear" w:color="auto" w:fill="FFFFFF"/>
        </w:rPr>
        <w:t xml:space="preserve">with the research revealing that persons in their 50s and 60s are the most likely to be negative about ageing. </w:t>
      </w:r>
    </w:p>
    <w:p w14:paraId="41273E64" w14:textId="586C2850" w:rsidR="002C1C78" w:rsidRPr="00C414FF" w:rsidRDefault="002C1C78"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Looking into the statistics o</w:t>
      </w:r>
      <w:r w:rsidR="008914D0" w:rsidRPr="00C414FF">
        <w:rPr>
          <w:rFonts w:ascii="Arial" w:hAnsi="Arial" w:cs="Arial"/>
          <w:color w:val="000000"/>
          <w:shd w:val="clear" w:color="auto" w:fill="FFFFFF"/>
        </w:rPr>
        <w:t>n</w:t>
      </w:r>
      <w:r w:rsidRPr="00C414FF">
        <w:rPr>
          <w:rFonts w:ascii="Arial" w:hAnsi="Arial" w:cs="Arial"/>
          <w:color w:val="000000"/>
          <w:shd w:val="clear" w:color="auto" w:fill="FFFFFF"/>
        </w:rPr>
        <w:t xml:space="preserve"> </w:t>
      </w:r>
      <w:r w:rsidR="008914D0" w:rsidRPr="00C414FF">
        <w:rPr>
          <w:rFonts w:ascii="Arial" w:hAnsi="Arial" w:cs="Arial"/>
          <w:color w:val="000000"/>
          <w:shd w:val="clear" w:color="auto" w:fill="FFFFFF"/>
        </w:rPr>
        <w:t>aging</w:t>
      </w:r>
      <w:r w:rsidRPr="00C414FF">
        <w:rPr>
          <w:rFonts w:ascii="Arial" w:hAnsi="Arial" w:cs="Arial"/>
          <w:color w:val="000000"/>
          <w:shd w:val="clear" w:color="auto" w:fill="FFFFFF"/>
        </w:rPr>
        <w:t xml:space="preserve"> </w:t>
      </w:r>
      <w:r w:rsidR="008914D0" w:rsidRPr="00C414FF">
        <w:rPr>
          <w:rFonts w:ascii="Arial" w:hAnsi="Arial" w:cs="Arial"/>
          <w:color w:val="000000"/>
          <w:shd w:val="clear" w:color="auto" w:fill="FFFFFF"/>
        </w:rPr>
        <w:t xml:space="preserve">population </w:t>
      </w:r>
      <w:r w:rsidR="00534729" w:rsidRPr="00C414FF">
        <w:rPr>
          <w:rFonts w:ascii="Arial" w:hAnsi="Arial" w:cs="Arial"/>
          <w:color w:val="000000"/>
          <w:shd w:val="clear" w:color="auto" w:fill="FFFFFF"/>
        </w:rPr>
        <w:t xml:space="preserve">in the UK </w:t>
      </w:r>
      <w:r w:rsidR="00B117E0" w:rsidRPr="00C414FF">
        <w:rPr>
          <w:rFonts w:ascii="Arial" w:hAnsi="Arial" w:cs="Arial"/>
          <w:color w:val="000000"/>
          <w:shd w:val="clear" w:color="auto" w:fill="FFFFFF"/>
        </w:rPr>
        <w:t xml:space="preserve">According to </w:t>
      </w:r>
      <w:r w:rsidR="00DD3F3E" w:rsidRPr="00C414FF">
        <w:rPr>
          <w:rFonts w:ascii="Arial" w:hAnsi="Arial" w:cs="Arial"/>
          <w:color w:val="000000"/>
          <w:shd w:val="clear" w:color="auto" w:fill="FFFFFF"/>
        </w:rPr>
        <w:t>(The ageing population of the UK - Population change in the UK and Wales – WJEC - GCSE Geography Revision - WJEC - BBC Bitesize, 2021)</w:t>
      </w:r>
      <w:r w:rsidR="00B117E0" w:rsidRPr="00C414FF">
        <w:rPr>
          <w:rFonts w:ascii="Arial" w:hAnsi="Arial" w:cs="Arial"/>
          <w:color w:val="000000"/>
          <w:shd w:val="clear" w:color="auto" w:fill="FFFFFF"/>
        </w:rPr>
        <w:t>, the UK's demographic structure has changed significantly in terms of age and ethnic makeup</w:t>
      </w:r>
      <w:r w:rsidR="00595CCA" w:rsidRPr="00C414FF">
        <w:rPr>
          <w:rFonts w:ascii="Arial" w:hAnsi="Arial" w:cs="Arial"/>
          <w:color w:val="000000"/>
          <w:shd w:val="clear" w:color="auto" w:fill="FFFFFF"/>
        </w:rPr>
        <w:t xml:space="preserve">, </w:t>
      </w:r>
      <w:r w:rsidR="00B117E0" w:rsidRPr="00C414FF">
        <w:rPr>
          <w:rFonts w:ascii="Arial" w:hAnsi="Arial" w:cs="Arial"/>
          <w:color w:val="000000"/>
          <w:shd w:val="clear" w:color="auto" w:fill="FFFFFF"/>
        </w:rPr>
        <w:t>Migration and natural change have resulted in these alterations. More than one in every five of us is now over 60, with the number of individuals over 60 anticipated to rise from 14.9 million in 2014 to 18.5 million in 2025. (ONS, 2015). The number of persons aged 60 and over who visited A&amp;E climbed by two-thirds between 2007/08 and 2013/14, and a faster increase is projected due to demographic change alone</w:t>
      </w:r>
      <w:r w:rsidR="004731FC" w:rsidRPr="00C414FF">
        <w:rPr>
          <w:rFonts w:ascii="Arial" w:hAnsi="Arial" w:cs="Arial"/>
          <w:color w:val="000000"/>
          <w:shd w:val="clear" w:color="auto" w:fill="FFFFFF"/>
        </w:rPr>
        <w:t xml:space="preserve">. Looking into </w:t>
      </w:r>
      <w:r w:rsidR="008E06FB" w:rsidRPr="00C414FF">
        <w:rPr>
          <w:rFonts w:ascii="Arial" w:hAnsi="Arial" w:cs="Arial"/>
          <w:color w:val="000000"/>
          <w:shd w:val="clear" w:color="auto" w:fill="FFFFFF"/>
        </w:rPr>
        <w:t xml:space="preserve">the change in recent ages according to </w:t>
      </w:r>
      <w:r w:rsidR="00844979" w:rsidRPr="00C414FF">
        <w:rPr>
          <w:rFonts w:ascii="Arial" w:hAnsi="Arial" w:cs="Arial"/>
          <w:color w:val="000000"/>
          <w:shd w:val="clear" w:color="auto" w:fill="FFFFFF"/>
        </w:rPr>
        <w:t xml:space="preserve">(Overview of the UK population - Office for National Statistics, 2021) </w:t>
      </w:r>
      <w:r w:rsidR="00827489" w:rsidRPr="00C414FF">
        <w:rPr>
          <w:rFonts w:ascii="Arial" w:hAnsi="Arial" w:cs="Arial"/>
          <w:color w:val="000000"/>
          <w:shd w:val="clear" w:color="auto" w:fill="FFFFFF"/>
        </w:rPr>
        <w:t>Since 1982, the population of the United Kingdom has increased year on year, as seen in Figure 1. According to the mid-year population estimates released in 2019, the UK's population increased to 66.8 million people, up from 66.4 million in mid-2018. Between the middle of 2018 and the middle of 2019, the population grew by 0.5 percent, or 361,000 individuals. Growth was slower from mid-2018 to mid-2019 than it had been since mid-2004</w:t>
      </w:r>
      <w:r w:rsidR="004701DE" w:rsidRPr="00C414FF">
        <w:rPr>
          <w:rFonts w:ascii="Arial" w:hAnsi="Arial" w:cs="Arial"/>
          <w:color w:val="000000"/>
          <w:shd w:val="clear" w:color="auto" w:fill="FFFFFF"/>
        </w:rPr>
        <w:t>, then by the same researchers they mentioned Our 2018-based major national population forecasts show that the UK population will surpass 69.6 million by mid-2029 and reach 72 million by mid-2041, representing increases of 4.2 percent and 7.8 percent, respectively, from mid-20</w:t>
      </w:r>
      <w:r w:rsidR="001368D8" w:rsidRPr="00C414FF">
        <w:rPr>
          <w:rFonts w:ascii="Arial" w:hAnsi="Arial" w:cs="Arial"/>
          <w:color w:val="000000"/>
          <w:shd w:val="clear" w:color="auto" w:fill="FFFFFF"/>
        </w:rPr>
        <w:t xml:space="preserve">19. </w:t>
      </w:r>
    </w:p>
    <w:p w14:paraId="33BDEF55" w14:textId="77777777" w:rsidR="00386ADA" w:rsidRPr="00C414FF" w:rsidRDefault="00386ADA" w:rsidP="00C414FF">
      <w:pPr>
        <w:spacing w:line="240" w:lineRule="auto"/>
        <w:rPr>
          <w:rFonts w:ascii="Arial" w:hAnsi="Arial" w:cs="Arial"/>
          <w:color w:val="000000"/>
          <w:shd w:val="clear" w:color="auto" w:fill="FFFFFF"/>
        </w:rPr>
      </w:pPr>
    </w:p>
    <w:p w14:paraId="68AABC44" w14:textId="63B77AC6" w:rsidR="00386ADA" w:rsidRPr="00C414FF" w:rsidRDefault="001C709E"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Exploring the reason</w:t>
      </w:r>
      <w:r w:rsidR="00F468CB" w:rsidRPr="00C414FF">
        <w:rPr>
          <w:rFonts w:ascii="Arial" w:hAnsi="Arial" w:cs="Arial"/>
          <w:color w:val="000000"/>
          <w:shd w:val="clear" w:color="auto" w:fill="FFFFFF"/>
        </w:rPr>
        <w:t xml:space="preserve"> what is the</w:t>
      </w:r>
      <w:r w:rsidR="00E95CDA" w:rsidRPr="00C414FF">
        <w:rPr>
          <w:rFonts w:ascii="Arial" w:hAnsi="Arial" w:cs="Arial"/>
          <w:color w:val="000000"/>
          <w:shd w:val="clear" w:color="auto" w:fill="FFFFFF"/>
        </w:rPr>
        <w:t xml:space="preserve"> reason for the growth in the elderly population</w:t>
      </w:r>
      <w:r w:rsidR="0077003F" w:rsidRPr="00C414FF">
        <w:rPr>
          <w:rFonts w:ascii="Arial" w:hAnsi="Arial" w:cs="Arial"/>
          <w:color w:val="000000"/>
          <w:shd w:val="clear" w:color="auto" w:fill="FFFFFF"/>
        </w:rPr>
        <w:t xml:space="preserve">, the main reason was according to </w:t>
      </w:r>
      <w:r w:rsidR="00A25CD1" w:rsidRPr="00C414FF">
        <w:rPr>
          <w:rFonts w:ascii="Arial" w:hAnsi="Arial" w:cs="Arial"/>
          <w:color w:val="000000"/>
          <w:shd w:val="clear" w:color="auto" w:fill="FFFFFF"/>
        </w:rPr>
        <w:t xml:space="preserve">(Living longer - Office for National Statistics, 2021) </w:t>
      </w:r>
      <w:r w:rsidR="00A9578A" w:rsidRPr="00C414FF">
        <w:rPr>
          <w:rFonts w:ascii="Arial" w:hAnsi="Arial" w:cs="Arial"/>
          <w:color w:val="000000"/>
          <w:shd w:val="clear" w:color="auto" w:fill="FFFFFF"/>
        </w:rPr>
        <w:t xml:space="preserve">Our population's evolving and ageing structure is principally influenced by two reasons. For starters, increased life expectancy means that people are </w:t>
      </w:r>
      <w:r w:rsidR="001036FF" w:rsidRPr="00C414FF">
        <w:rPr>
          <w:rFonts w:ascii="Arial" w:hAnsi="Arial" w:cs="Arial"/>
          <w:color w:val="000000"/>
          <w:shd w:val="clear" w:color="auto" w:fill="FFFFFF"/>
        </w:rPr>
        <w:t>living</w:t>
      </w:r>
      <w:r w:rsidR="00A9578A" w:rsidRPr="00C414FF">
        <w:rPr>
          <w:rFonts w:ascii="Arial" w:hAnsi="Arial" w:cs="Arial"/>
          <w:color w:val="000000"/>
          <w:shd w:val="clear" w:color="auto" w:fill="FFFFFF"/>
        </w:rPr>
        <w:t xml:space="preserve"> longer. There has also been a drop in fertility, with people having fewer children and having them later in life</w:t>
      </w:r>
      <w:r w:rsidR="00BE604A" w:rsidRPr="00C414FF">
        <w:rPr>
          <w:rFonts w:ascii="Arial" w:hAnsi="Arial" w:cs="Arial"/>
          <w:color w:val="000000"/>
          <w:shd w:val="clear" w:color="auto" w:fill="FFFFFF"/>
        </w:rPr>
        <w:t xml:space="preserve">. </w:t>
      </w:r>
    </w:p>
    <w:p w14:paraId="643790BF" w14:textId="16A44167" w:rsidR="001036FF" w:rsidRPr="00C414FF" w:rsidRDefault="008E3330"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Other reason for </w:t>
      </w:r>
      <w:r w:rsidR="00E82C45" w:rsidRPr="00C414FF">
        <w:rPr>
          <w:rFonts w:ascii="Arial" w:hAnsi="Arial" w:cs="Arial"/>
          <w:color w:val="000000"/>
          <w:shd w:val="clear" w:color="auto" w:fill="FFFFFF"/>
        </w:rPr>
        <w:t xml:space="preserve">growth can be medical reason and social reason </w:t>
      </w:r>
      <w:r w:rsidR="001036FF" w:rsidRPr="00C414FF">
        <w:rPr>
          <w:rFonts w:ascii="Arial" w:hAnsi="Arial" w:cs="Arial"/>
          <w:color w:val="000000"/>
          <w:shd w:val="clear" w:color="auto" w:fill="FFFFFF"/>
        </w:rPr>
        <w:t>according to (Challenges of an ageing population, 2021) Because growth in total life expectancy has exceeded growth in healthy life expectancy, many of the cost of old age has arisen (i.e. the number of years we can expect to live in good health). Policies that promote preventative healthcare and encourage people to be active and healthy in later life may help to raise the percentage of time spent in excellent health while also lowering expenditures.</w:t>
      </w:r>
    </w:p>
    <w:p w14:paraId="5655642A" w14:textId="027A0EB9"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There are also significant disparities in healthy life expectancy, which ranges from 71 in Wokingham to 56 in Manchester for women and 70 in Richmond upon Thames to 53 in Tower Hamlets for males.</w:t>
      </w:r>
    </w:p>
    <w:p w14:paraId="540D0E30" w14:textId="167E49DE" w:rsidR="001036FF" w:rsidRPr="00C414FF" w:rsidRDefault="001036FF" w:rsidP="00C414FF">
      <w:pPr>
        <w:spacing w:line="240" w:lineRule="auto"/>
        <w:rPr>
          <w:rFonts w:ascii="Arial" w:hAnsi="Arial" w:cs="Arial"/>
        </w:rPr>
      </w:pPr>
      <w:r w:rsidRPr="00C414FF">
        <w:rPr>
          <w:rFonts w:ascii="Arial" w:hAnsi="Arial" w:cs="Arial"/>
          <w:color w:val="000000"/>
          <w:shd w:val="clear" w:color="auto" w:fill="FFFFFF"/>
        </w:rPr>
        <w:t xml:space="preserve">As mentioned in a report by (Debate on social care provision in the UK and the role of carers in that provision, House of Lords, 24 June 2021, 2021) </w:t>
      </w:r>
      <w:r w:rsidRPr="00C414FF">
        <w:rPr>
          <w:rFonts w:ascii="Arial" w:hAnsi="Arial" w:cs="Arial"/>
        </w:rPr>
        <w:t xml:space="preserve">Last year, the Health and Social Care Committee called for a £7 billion annual increase in adult social care funding by 2023/24 to cover demographic changes and pay increases in line with the national minimum wage, as well as funding to protect people who face catastrophic social care costs at a cost of £3.1 billion by 2023/24. The report, which was completed before the spending review, estimated an adult social care funding gap of £2.7 billion in 2023/24, Costs are calculated using fundamental pressures (demography and inflation), the provider market gap (the difference between what providers claim is the cost of providing care and what councils pay), and predictions about future financing (including council tax and core grant rising in line with inflation) Adult social care has been thrust into the public, political, and media spotlight by COVID-19. This crisis has emphasised the importance of social care to the general </w:t>
      </w:r>
      <w:r w:rsidRPr="00C414FF">
        <w:rPr>
          <w:rFonts w:ascii="Arial" w:hAnsi="Arial" w:cs="Arial"/>
        </w:rPr>
        <w:lastRenderedPageBreak/>
        <w:t>population, and this enthusiasm must be channelled into discussions about the future of care and assistance. Long-term change is critical, and we urge the government to outline its plans before the summer session.</w:t>
      </w:r>
    </w:p>
    <w:p w14:paraId="4442B328" w14:textId="53AB8038"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rPr>
        <w:t xml:space="preserve">According to </w:t>
      </w:r>
      <w:r w:rsidRPr="00C414FF">
        <w:rPr>
          <w:rFonts w:ascii="Arial" w:hAnsi="Arial" w:cs="Arial"/>
          <w:color w:val="000000"/>
          <w:shd w:val="clear" w:color="auto" w:fill="FFFFFF"/>
        </w:rPr>
        <w:t xml:space="preserve">(Health and social care funding | The Health Foundation, 2021) the provision are not helping and are not sufficient, for example covid had a big impact on health and Adult social care has been thrust into the public, political, and media spotlight by COVID-19. This crisis has emphasised the importance of social care to the general population, and this enthusiasm must be channelled into discussions about the future of care and assistance. Long-term change is critical, and we urge the government to outline its plans before the summer session, Adult social care services have reached breaking point as a result of years of substantial underfunding mixed with increased demand and expenditures for care and assistance. COVID-19 has intensified many of these challenges, at the moment there is a lot of going on in the health and social care provisions in which a lot needs to be changed. </w:t>
      </w:r>
    </w:p>
    <w:p w14:paraId="00A2E111" w14:textId="77777777" w:rsidR="001036FF" w:rsidRPr="00C414FF" w:rsidRDefault="001036FF" w:rsidP="00C414FF">
      <w:pPr>
        <w:spacing w:line="240" w:lineRule="auto"/>
        <w:rPr>
          <w:rFonts w:ascii="Arial" w:hAnsi="Arial" w:cs="Arial"/>
          <w:color w:val="000000"/>
          <w:shd w:val="clear" w:color="auto" w:fill="FFFFFF"/>
        </w:rPr>
      </w:pPr>
    </w:p>
    <w:p w14:paraId="506D6230" w14:textId="5F0CFEF6" w:rsidR="001036FF" w:rsidRPr="00C414FF" w:rsidRDefault="001036FF" w:rsidP="00C414FF">
      <w:pPr>
        <w:spacing w:line="240" w:lineRule="auto"/>
        <w:rPr>
          <w:rFonts w:ascii="Arial" w:hAnsi="Arial" w:cs="Arial"/>
        </w:rPr>
      </w:pPr>
      <w:r w:rsidRPr="00C414FF">
        <w:rPr>
          <w:rFonts w:ascii="Arial" w:hAnsi="Arial" w:cs="Arial"/>
        </w:rPr>
        <w:t xml:space="preserve">The government response to social care was according to </w:t>
      </w:r>
      <w:r w:rsidRPr="00C414FF">
        <w:rPr>
          <w:rFonts w:ascii="Arial" w:hAnsi="Arial" w:cs="Arial"/>
          <w:color w:val="000000"/>
          <w:shd w:val="clear" w:color="auto" w:fill="FFFFFF"/>
        </w:rPr>
        <w:t>(Hill and Hill, 2021)</w:t>
      </w:r>
      <w:r w:rsidRPr="00C414FF">
        <w:rPr>
          <w:rFonts w:ascii="Arial" w:hAnsi="Arial" w:cs="Arial"/>
        </w:rPr>
        <w:t xml:space="preserve"> The Department of Health and Social Care is looking into proposals that would see councils and the NHS taking joint responsibility for social care, possibly from the same combined budget. The proposals include national standards for care and conditions for carers, and they are looking at proposals that would see councils and the NHS taking joint responsibility for social care, possibly from the same combined budget. The proposals are part of a larger plan to reform the NHS and social care, with integration also a key component of the health and care bill currently before Parliament. A health and social care leadership review was launched earlier this month, and a social care white paper and a separate integration white paper are both expected to be published in the coming months.</w:t>
      </w:r>
    </w:p>
    <w:p w14:paraId="3AEF8D47" w14:textId="3FB5A134"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rPr>
        <w:t xml:space="preserve">Priorities for the next government according it </w:t>
      </w:r>
      <w:r w:rsidRPr="00C414FF">
        <w:rPr>
          <w:rFonts w:ascii="Arial" w:hAnsi="Arial" w:cs="Arial"/>
          <w:color w:val="000000"/>
          <w:shd w:val="clear" w:color="auto" w:fill="FFFFFF"/>
        </w:rPr>
        <w:t>(Health and social care funding | The Health Foundation, 2021) As a result, we must choose between greater taxes and a better health and social care system that adapts to our changing demands, or lower taxes and a more constricted health care system that offers less.</w:t>
      </w:r>
    </w:p>
    <w:p w14:paraId="0BBD10A3" w14:textId="3A9A5A27"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The one of the two priorities that are given according to (England, 2021) Invest in the wider health and care system outside of NHS England, including the public health grant, education and training, and a comprehensive, long-term capital financing settlement based on patient and staff requirements, The current approach of looking at funding pots for NHS England and overall health care spending separately is counterproductive and contradicts previous government approaches. If the government intends to preserve current standards of care and make improvements, it should set aside cash for the entire DHSC budget and boost other budgets at least in line with NHS England's.</w:t>
      </w:r>
    </w:p>
    <w:p w14:paraId="7F76FF4B" w14:textId="01668649"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The other priority is according to (kingfisher, 2021) to Stabilize, improve, and reform the social-welfare system. First, the government must stabilise and enhance the current system, which is on the verge of collapsing – including increasing employee compensation to address recruitment and retention issues, which could be exacerbated by Brexit.</w:t>
      </w:r>
    </w:p>
    <w:p w14:paraId="24A1D9E7" w14:textId="026CB6B5"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Second, given that local government budget cuts have left many more people without the care they require, the government must improve access to publicly-funded care. However, more fundamental reform is required to make the funding system fairer and provide government protection against social care costs. A style cap and free personal care are two options for how the government can do this.</w:t>
      </w:r>
    </w:p>
    <w:p w14:paraId="2562E56D" w14:textId="6AB9AE32" w:rsidR="008040A0" w:rsidRPr="00C414FF" w:rsidRDefault="00115388" w:rsidP="00C414FF">
      <w:pPr>
        <w:pStyle w:val="NormalWeb"/>
        <w:spacing w:after="0"/>
        <w:rPr>
          <w:rFonts w:ascii="Arial" w:eastAsiaTheme="minorEastAsia" w:hAnsi="Arial" w:cs="Arial"/>
          <w:color w:val="000000" w:themeColor="text1"/>
          <w:kern w:val="24"/>
          <w:sz w:val="22"/>
          <w:szCs w:val="22"/>
        </w:rPr>
      </w:pPr>
      <w:r w:rsidRPr="00C414FF">
        <w:rPr>
          <w:rFonts w:ascii="Arial" w:hAnsi="Arial" w:cs="Arial"/>
          <w:sz w:val="22"/>
          <w:szCs w:val="22"/>
        </w:rPr>
        <w:t xml:space="preserve">What is theories of ageing </w:t>
      </w:r>
      <w:r w:rsidR="008040A0" w:rsidRPr="00C414FF">
        <w:rPr>
          <w:rFonts w:ascii="Arial" w:hAnsi="Arial" w:cs="Arial"/>
          <w:sz w:val="22"/>
          <w:szCs w:val="22"/>
        </w:rPr>
        <w:t xml:space="preserve">7 theories of ageing for example of one the theories of ageing according to </w:t>
      </w:r>
      <w:r w:rsidR="008040A0" w:rsidRPr="00C414FF">
        <w:rPr>
          <w:rFonts w:ascii="Arial" w:eastAsiaTheme="minorEastAsia" w:hAnsi="Arial" w:cs="Arial"/>
          <w:color w:val="000000" w:themeColor="text1"/>
          <w:kern w:val="24"/>
          <w:sz w:val="22"/>
          <w:szCs w:val="22"/>
        </w:rPr>
        <w:t>(larkin, 2009)</w:t>
      </w:r>
      <w:r w:rsidR="008040A0" w:rsidRPr="00C414FF">
        <w:rPr>
          <w:rFonts w:ascii="Arial" w:eastAsiaTheme="minorEastAsia" w:hAnsi="Arial" w:cs="Arial"/>
          <w:color w:val="000000" w:themeColor="text1"/>
          <w:kern w:val="24"/>
          <w:sz w:val="22"/>
          <w:szCs w:val="22"/>
        </w:rPr>
        <w:t xml:space="preserve"> </w:t>
      </w:r>
      <w:r w:rsidR="008040A0" w:rsidRPr="00C414FF">
        <w:rPr>
          <w:rFonts w:ascii="Arial" w:eastAsiaTheme="minorEastAsia" w:hAnsi="Arial" w:cs="Arial"/>
          <w:color w:val="000000" w:themeColor="text1"/>
          <w:kern w:val="24"/>
          <w:sz w:val="22"/>
          <w:szCs w:val="22"/>
        </w:rPr>
        <w:t>the disengagement theory is d</w:t>
      </w:r>
      <w:r w:rsidR="008040A0" w:rsidRPr="00C414FF">
        <w:rPr>
          <w:rFonts w:ascii="Arial" w:eastAsiaTheme="minorEastAsia" w:hAnsi="Arial" w:cs="Arial"/>
          <w:color w:val="000000" w:themeColor="text1"/>
          <w:kern w:val="24"/>
          <w:sz w:val="22"/>
          <w:szCs w:val="22"/>
        </w:rPr>
        <w:t>isengagement is a mutual behaviour in which the aged not only disengages from society, but the society also disengages from the older adult as they age</w:t>
      </w:r>
      <w:r w:rsidR="008040A0" w:rsidRPr="00C414FF">
        <w:rPr>
          <w:rFonts w:ascii="Arial" w:eastAsiaTheme="minorEastAsia" w:hAnsi="Arial" w:cs="Arial"/>
          <w:color w:val="000000" w:themeColor="text1"/>
          <w:kern w:val="24"/>
          <w:sz w:val="22"/>
          <w:szCs w:val="22"/>
        </w:rPr>
        <w:t xml:space="preserve">, </w:t>
      </w:r>
      <w:r w:rsidR="008040A0" w:rsidRPr="00C414FF">
        <w:rPr>
          <w:rFonts w:ascii="Arial" w:eastAsiaTheme="minorEastAsia" w:hAnsi="Arial" w:cs="Arial"/>
          <w:color w:val="000000" w:themeColor="text1"/>
          <w:kern w:val="24"/>
          <w:sz w:val="22"/>
          <w:szCs w:val="22"/>
        </w:rPr>
        <w:t xml:space="preserve">The elderly become more self-absorbed, have </w:t>
      </w:r>
      <w:r w:rsidR="008040A0" w:rsidRPr="00C414FF">
        <w:rPr>
          <w:rFonts w:ascii="Arial" w:eastAsiaTheme="minorEastAsia" w:hAnsi="Arial" w:cs="Arial"/>
          <w:color w:val="000000" w:themeColor="text1"/>
          <w:kern w:val="24"/>
          <w:sz w:val="22"/>
          <w:szCs w:val="22"/>
        </w:rPr>
        <w:lastRenderedPageBreak/>
        <w:t>fewer emotional ties with others, and have less interest in social activities. It was expected that social isolation and increasing self-absorption would improve their life satisfaction</w:t>
      </w:r>
      <w:r w:rsidR="008040A0" w:rsidRPr="00C414FF">
        <w:rPr>
          <w:rFonts w:ascii="Arial" w:eastAsiaTheme="minorEastAsia" w:hAnsi="Arial" w:cs="Arial"/>
          <w:color w:val="000000" w:themeColor="text1"/>
          <w:kern w:val="24"/>
          <w:sz w:val="22"/>
          <w:szCs w:val="22"/>
        </w:rPr>
        <w:t xml:space="preserve"> and</w:t>
      </w:r>
      <w:r w:rsidR="008040A0" w:rsidRPr="00C414FF">
        <w:rPr>
          <w:rFonts w:ascii="Arial" w:eastAsiaTheme="minorEastAsia" w:hAnsi="Arial" w:cs="Arial"/>
          <w:color w:val="000000" w:themeColor="text1"/>
          <w:kern w:val="24"/>
          <w:sz w:val="22"/>
          <w:szCs w:val="22"/>
        </w:rPr>
        <w:t xml:space="preserve"> Considers old age as a period of mutual separation between the older person and society (e.g., retirement from job),One of the first attempts to explain the phenomenon of old age in modern culture, Doesn't always refer to people's outer behaviour; it can also refer to a person's inner attitude toward life.                                                                                                                    </w:t>
      </w:r>
      <w:r w:rsidR="008040A0" w:rsidRPr="00C414FF">
        <w:rPr>
          <w:rFonts w:ascii="Arial" w:eastAsiaTheme="minorEastAsia" w:hAnsi="Arial" w:cs="Arial"/>
          <w:color w:val="000000" w:themeColor="text1"/>
          <w:kern w:val="24"/>
          <w:sz w:val="22"/>
          <w:szCs w:val="22"/>
        </w:rPr>
        <w:t xml:space="preserve">       </w:t>
      </w:r>
    </w:p>
    <w:p w14:paraId="4224A6F4" w14:textId="77777777" w:rsidR="0082661D" w:rsidRPr="00C414FF" w:rsidRDefault="008040A0" w:rsidP="00C414FF">
      <w:pPr>
        <w:spacing w:line="240" w:lineRule="auto"/>
        <w:rPr>
          <w:rFonts w:ascii="Arial" w:hAnsi="Arial" w:cs="Arial"/>
        </w:rPr>
      </w:pPr>
      <w:r w:rsidRPr="00C414FF">
        <w:rPr>
          <w:rFonts w:ascii="Arial" w:hAnsi="Arial" w:cs="Arial"/>
        </w:rPr>
        <w:t xml:space="preserve">Other theories like </w:t>
      </w:r>
      <w:r w:rsidR="0082661D" w:rsidRPr="00C414FF">
        <w:rPr>
          <w:rFonts w:ascii="Arial" w:hAnsi="Arial" w:cs="Arial"/>
        </w:rPr>
        <w:t xml:space="preserve">activity theory according to (Muak, 2010) </w:t>
      </w:r>
      <w:r w:rsidR="0082661D" w:rsidRPr="00C414FF">
        <w:rPr>
          <w:rFonts w:ascii="Arial" w:hAnsi="Arial" w:cs="Arial"/>
        </w:rPr>
        <w:t>Disengagement Theory from a different perspective The elderly who are more active and involved in their communities are more likely to be content with their life.</w:t>
      </w:r>
    </w:p>
    <w:p w14:paraId="29471C1E" w14:textId="5F2B32D8" w:rsidR="001036FF" w:rsidRPr="00C414FF" w:rsidRDefault="0082661D" w:rsidP="00C414FF">
      <w:pPr>
        <w:spacing w:line="240" w:lineRule="auto"/>
        <w:rPr>
          <w:rFonts w:ascii="Arial" w:hAnsi="Arial" w:cs="Arial"/>
        </w:rPr>
      </w:pPr>
      <w:r w:rsidRPr="00C414FF">
        <w:rPr>
          <w:rFonts w:ascii="Arial" w:hAnsi="Arial" w:cs="Arial"/>
        </w:rPr>
        <w:t>It is consequently critical to find substitute activities for them after they retire, as the more active people are, the better their chances of ageing effectively are. May be difficult for "old-old" people due to physical changes connected with ageing fails to recognise that there may be limits that hinder older people from engaging in activities, such as a lack of social or economic resources, which was created in response to the disengagement theory.</w:t>
      </w:r>
    </w:p>
    <w:p w14:paraId="174A6798" w14:textId="2D16B7D8" w:rsidR="00D518AA" w:rsidRPr="00C414FF" w:rsidRDefault="009D26AA" w:rsidP="00C414FF">
      <w:pPr>
        <w:spacing w:line="240" w:lineRule="auto"/>
        <w:rPr>
          <w:rFonts w:ascii="Arial" w:hAnsi="Arial" w:cs="Arial"/>
        </w:rPr>
      </w:pPr>
      <w:r w:rsidRPr="00C414FF">
        <w:rPr>
          <w:rFonts w:ascii="Arial" w:hAnsi="Arial" w:cs="Arial"/>
        </w:rPr>
        <w:t xml:space="preserve">Conclusion on ageing </w:t>
      </w:r>
      <w:r w:rsidRPr="00C414FF">
        <w:rPr>
          <w:rFonts w:ascii="Arial" w:hAnsi="Arial" w:cs="Arial"/>
        </w:rPr>
        <w:t>Because of these connections, policies from one department may be able to help achieve the goals of another. In some circumstances, the department that adopts a policy is not the one that reaps the most benefits, or the benefits are shared across several departments. Furthermore, some of those advantages may not be realised for many years. Departments must work together to ensure that these policies are appropriately evaluated. Collaboration with other sectors is required on a larger scale.</w:t>
      </w:r>
    </w:p>
    <w:p w14:paraId="4167B928" w14:textId="6892A951" w:rsidR="001E40BB" w:rsidRPr="00C414FF" w:rsidRDefault="009D26AA" w:rsidP="00C414FF">
      <w:pPr>
        <w:spacing w:line="240" w:lineRule="auto"/>
        <w:rPr>
          <w:rFonts w:ascii="Arial" w:hAnsi="Arial" w:cs="Arial"/>
        </w:rPr>
      </w:pPr>
      <w:r w:rsidRPr="00C414FF">
        <w:rPr>
          <w:rFonts w:ascii="Arial" w:hAnsi="Arial" w:cs="Arial"/>
        </w:rPr>
        <w:t>Business and civil society, for example, can accomplish things that the government cannot, such as developing new technology and providing community services. Medical and social science advancements have increased UK lifespans at a period when fertility rates are declining. Much has already been done to help the UK prepare for the issues that an ageing population will bring in the future. Now is our chance to reap the benefits of our efforts and live longer, happier, healthier, and more prosperous lives.</w:t>
      </w:r>
    </w:p>
    <w:p w14:paraId="2FF21F3D" w14:textId="77777777" w:rsidR="001E40BB" w:rsidRPr="00C414FF" w:rsidRDefault="001E40BB" w:rsidP="00C414FF">
      <w:pPr>
        <w:spacing w:line="240" w:lineRule="auto"/>
        <w:rPr>
          <w:rFonts w:ascii="Arial" w:hAnsi="Arial" w:cs="Arial"/>
        </w:rPr>
      </w:pPr>
    </w:p>
    <w:p w14:paraId="3C8D70BE" w14:textId="77777777" w:rsidR="001E40BB" w:rsidRPr="00C414FF" w:rsidRDefault="001E40BB" w:rsidP="00C414FF">
      <w:pPr>
        <w:spacing w:line="240" w:lineRule="auto"/>
        <w:rPr>
          <w:rFonts w:ascii="Arial" w:hAnsi="Arial" w:cs="Arial"/>
        </w:rPr>
      </w:pPr>
    </w:p>
    <w:p w14:paraId="20703D19" w14:textId="77777777" w:rsidR="001E40BB" w:rsidRPr="00C414FF" w:rsidRDefault="001E40BB" w:rsidP="00C414FF">
      <w:pPr>
        <w:spacing w:line="240" w:lineRule="auto"/>
        <w:rPr>
          <w:rFonts w:ascii="Arial" w:hAnsi="Arial" w:cs="Arial"/>
        </w:rPr>
      </w:pPr>
    </w:p>
    <w:p w14:paraId="3E4993E8" w14:textId="77777777" w:rsidR="001E40BB" w:rsidRPr="00C414FF" w:rsidRDefault="001E40BB" w:rsidP="00C414FF">
      <w:pPr>
        <w:spacing w:line="240" w:lineRule="auto"/>
        <w:rPr>
          <w:rFonts w:ascii="Arial" w:hAnsi="Arial" w:cs="Arial"/>
        </w:rPr>
      </w:pPr>
    </w:p>
    <w:p w14:paraId="745F3972" w14:textId="77777777" w:rsidR="001E40BB" w:rsidRPr="00C414FF" w:rsidRDefault="001E40BB" w:rsidP="00C414FF">
      <w:pPr>
        <w:spacing w:line="240" w:lineRule="auto"/>
        <w:rPr>
          <w:rFonts w:ascii="Arial" w:hAnsi="Arial" w:cs="Arial"/>
        </w:rPr>
      </w:pPr>
    </w:p>
    <w:p w14:paraId="1EC9A3FE" w14:textId="77777777" w:rsidR="001E40BB" w:rsidRPr="00C414FF" w:rsidRDefault="001E40BB" w:rsidP="00C414FF">
      <w:pPr>
        <w:spacing w:line="240" w:lineRule="auto"/>
        <w:rPr>
          <w:rFonts w:ascii="Arial" w:hAnsi="Arial" w:cs="Arial"/>
        </w:rPr>
      </w:pPr>
    </w:p>
    <w:p w14:paraId="2F45261E" w14:textId="77777777" w:rsidR="001E40BB" w:rsidRPr="00C414FF" w:rsidRDefault="001E40BB" w:rsidP="00C414FF">
      <w:pPr>
        <w:spacing w:line="240" w:lineRule="auto"/>
        <w:rPr>
          <w:rFonts w:ascii="Arial" w:hAnsi="Arial" w:cs="Arial"/>
        </w:rPr>
      </w:pPr>
    </w:p>
    <w:p w14:paraId="05EDA8B6" w14:textId="77777777" w:rsidR="001E40BB" w:rsidRPr="00C414FF" w:rsidRDefault="001E40BB" w:rsidP="00C414FF">
      <w:pPr>
        <w:spacing w:line="240" w:lineRule="auto"/>
        <w:rPr>
          <w:rFonts w:ascii="Arial" w:hAnsi="Arial" w:cs="Arial"/>
        </w:rPr>
      </w:pPr>
    </w:p>
    <w:p w14:paraId="59CA7236" w14:textId="77777777" w:rsidR="001E40BB" w:rsidRPr="00C414FF" w:rsidRDefault="001E40BB" w:rsidP="00C414FF">
      <w:pPr>
        <w:spacing w:line="240" w:lineRule="auto"/>
        <w:rPr>
          <w:rFonts w:ascii="Arial" w:hAnsi="Arial" w:cs="Arial"/>
        </w:rPr>
      </w:pPr>
    </w:p>
    <w:p w14:paraId="1491672B" w14:textId="77777777" w:rsidR="001E40BB" w:rsidRPr="00C414FF" w:rsidRDefault="001E40BB" w:rsidP="00C414FF">
      <w:pPr>
        <w:spacing w:line="240" w:lineRule="auto"/>
        <w:rPr>
          <w:rFonts w:ascii="Arial" w:hAnsi="Arial" w:cs="Arial"/>
        </w:rPr>
      </w:pPr>
    </w:p>
    <w:p w14:paraId="1F33D237" w14:textId="77777777" w:rsidR="001E40BB" w:rsidRPr="00C414FF" w:rsidRDefault="001E40BB" w:rsidP="00C414FF">
      <w:pPr>
        <w:spacing w:line="240" w:lineRule="auto"/>
        <w:rPr>
          <w:rFonts w:ascii="Arial" w:hAnsi="Arial" w:cs="Arial"/>
        </w:rPr>
      </w:pPr>
    </w:p>
    <w:p w14:paraId="000B48B8" w14:textId="77777777" w:rsidR="001E40BB" w:rsidRPr="00C414FF" w:rsidRDefault="001E40BB" w:rsidP="00C414FF">
      <w:pPr>
        <w:spacing w:line="240" w:lineRule="auto"/>
        <w:rPr>
          <w:rFonts w:ascii="Arial" w:hAnsi="Arial" w:cs="Arial"/>
        </w:rPr>
      </w:pPr>
    </w:p>
    <w:p w14:paraId="08476FC9" w14:textId="77777777" w:rsidR="001E40BB" w:rsidRPr="00C414FF" w:rsidRDefault="001E40BB" w:rsidP="00C414FF">
      <w:pPr>
        <w:spacing w:line="240" w:lineRule="auto"/>
        <w:rPr>
          <w:rFonts w:ascii="Arial" w:hAnsi="Arial" w:cs="Arial"/>
        </w:rPr>
      </w:pPr>
    </w:p>
    <w:p w14:paraId="6295AE4C" w14:textId="77777777" w:rsidR="001E40BB" w:rsidRPr="00C414FF" w:rsidRDefault="001E40BB" w:rsidP="00C414FF">
      <w:pPr>
        <w:spacing w:line="240" w:lineRule="auto"/>
        <w:rPr>
          <w:rFonts w:ascii="Arial" w:hAnsi="Arial" w:cs="Arial"/>
        </w:rPr>
      </w:pPr>
    </w:p>
    <w:p w14:paraId="4C11B99B" w14:textId="77777777" w:rsidR="001E40BB" w:rsidRPr="00C414FF" w:rsidRDefault="001E40BB" w:rsidP="00C414FF">
      <w:pPr>
        <w:spacing w:line="240" w:lineRule="auto"/>
        <w:rPr>
          <w:rFonts w:ascii="Arial" w:hAnsi="Arial" w:cs="Arial"/>
        </w:rPr>
      </w:pPr>
    </w:p>
    <w:p w14:paraId="2948E11B" w14:textId="77777777" w:rsidR="001E40BB" w:rsidRPr="00C414FF" w:rsidRDefault="001E40BB" w:rsidP="00C414FF">
      <w:pPr>
        <w:spacing w:line="240" w:lineRule="auto"/>
        <w:rPr>
          <w:rFonts w:ascii="Arial" w:hAnsi="Arial" w:cs="Arial"/>
        </w:rPr>
      </w:pPr>
    </w:p>
    <w:p w14:paraId="08D634E7" w14:textId="77777777" w:rsidR="001E40BB" w:rsidRPr="00C414FF" w:rsidRDefault="001E40BB" w:rsidP="00C414FF">
      <w:pPr>
        <w:spacing w:line="240" w:lineRule="auto"/>
        <w:rPr>
          <w:rFonts w:ascii="Arial" w:hAnsi="Arial" w:cs="Arial"/>
        </w:rPr>
      </w:pPr>
    </w:p>
    <w:p w14:paraId="1FEEA4A9" w14:textId="5150A808" w:rsidR="001E40BB" w:rsidRPr="00C414FF" w:rsidRDefault="001E40BB" w:rsidP="00C414FF">
      <w:pPr>
        <w:spacing w:line="240" w:lineRule="auto"/>
        <w:rPr>
          <w:rFonts w:ascii="Arial" w:hAnsi="Arial" w:cs="Arial"/>
        </w:rPr>
      </w:pPr>
    </w:p>
    <w:p w14:paraId="1E4B2EF9" w14:textId="4555C7CB" w:rsidR="00C414FF" w:rsidRPr="00C414FF" w:rsidRDefault="00C414FF" w:rsidP="00C414FF">
      <w:pPr>
        <w:spacing w:line="240" w:lineRule="auto"/>
        <w:rPr>
          <w:rFonts w:ascii="Arial" w:hAnsi="Arial" w:cs="Arial"/>
        </w:rPr>
      </w:pPr>
    </w:p>
    <w:p w14:paraId="06DE9F93" w14:textId="259C824D" w:rsidR="00C414FF" w:rsidRPr="00C414FF" w:rsidRDefault="00C414FF" w:rsidP="00C414FF">
      <w:pPr>
        <w:spacing w:line="240" w:lineRule="auto"/>
        <w:rPr>
          <w:rFonts w:ascii="Arial" w:hAnsi="Arial" w:cs="Arial"/>
        </w:rPr>
      </w:pPr>
    </w:p>
    <w:p w14:paraId="003F8AC9" w14:textId="20BBE716" w:rsidR="00C414FF" w:rsidRPr="00C414FF" w:rsidRDefault="00C414FF" w:rsidP="00C414FF">
      <w:pPr>
        <w:spacing w:line="240" w:lineRule="auto"/>
        <w:rPr>
          <w:rFonts w:ascii="Arial" w:hAnsi="Arial" w:cs="Arial"/>
        </w:rPr>
      </w:pPr>
    </w:p>
    <w:p w14:paraId="639CF4F5" w14:textId="77777777" w:rsidR="00C414FF" w:rsidRPr="00C414FF" w:rsidRDefault="00C414FF" w:rsidP="00C414FF">
      <w:pPr>
        <w:spacing w:line="240" w:lineRule="auto"/>
        <w:rPr>
          <w:rFonts w:ascii="Arial" w:hAnsi="Arial" w:cs="Arial"/>
        </w:rPr>
      </w:pPr>
    </w:p>
    <w:p w14:paraId="1EB09C84" w14:textId="77777777" w:rsidR="0012063D" w:rsidRPr="00C414FF" w:rsidRDefault="0012063D" w:rsidP="00C414FF">
      <w:pPr>
        <w:tabs>
          <w:tab w:val="left" w:pos="2070"/>
        </w:tabs>
        <w:spacing w:line="240" w:lineRule="auto"/>
        <w:rPr>
          <w:rFonts w:ascii="Arial" w:hAnsi="Arial" w:cs="Arial"/>
          <w:u w:val="single"/>
        </w:rPr>
      </w:pPr>
    </w:p>
    <w:p w14:paraId="2A5B3D9B" w14:textId="176E4B8D" w:rsidR="0012063D" w:rsidRPr="00C414FF" w:rsidRDefault="0012063D" w:rsidP="00C414FF">
      <w:pPr>
        <w:tabs>
          <w:tab w:val="left" w:pos="2070"/>
        </w:tabs>
        <w:spacing w:line="240" w:lineRule="auto"/>
        <w:rPr>
          <w:rFonts w:ascii="Arial" w:hAnsi="Arial" w:cs="Arial"/>
          <w:u w:val="single"/>
        </w:rPr>
      </w:pPr>
    </w:p>
    <w:p w14:paraId="7D550CF4" w14:textId="42DED757" w:rsidR="00C414FF" w:rsidRPr="00C414FF" w:rsidRDefault="00C414FF" w:rsidP="00C414FF">
      <w:pPr>
        <w:tabs>
          <w:tab w:val="left" w:pos="2070"/>
        </w:tabs>
        <w:spacing w:line="240" w:lineRule="auto"/>
        <w:rPr>
          <w:rFonts w:ascii="Arial" w:hAnsi="Arial" w:cs="Arial"/>
          <w:u w:val="single"/>
        </w:rPr>
      </w:pPr>
    </w:p>
    <w:p w14:paraId="79F7F141" w14:textId="77777777" w:rsidR="00C414FF" w:rsidRPr="00C414FF" w:rsidRDefault="00C414FF" w:rsidP="00C414FF">
      <w:pPr>
        <w:tabs>
          <w:tab w:val="left" w:pos="2070"/>
        </w:tabs>
        <w:spacing w:line="240" w:lineRule="auto"/>
        <w:rPr>
          <w:rFonts w:ascii="Arial" w:hAnsi="Arial" w:cs="Arial"/>
          <w:u w:val="single"/>
        </w:rPr>
      </w:pPr>
    </w:p>
    <w:p w14:paraId="77C553F7" w14:textId="78713716" w:rsidR="001E40BB" w:rsidRPr="00C414FF" w:rsidRDefault="001E40BB" w:rsidP="00C414FF">
      <w:pPr>
        <w:tabs>
          <w:tab w:val="left" w:pos="2070"/>
        </w:tabs>
        <w:spacing w:line="240" w:lineRule="auto"/>
        <w:ind w:left="360"/>
        <w:rPr>
          <w:rFonts w:ascii="Arial" w:hAnsi="Arial" w:cs="Arial"/>
          <w:u w:val="single"/>
        </w:rPr>
      </w:pPr>
      <w:r w:rsidRPr="00C414FF">
        <w:rPr>
          <w:rFonts w:ascii="Arial" w:hAnsi="Arial" w:cs="Arial"/>
          <w:u w:val="single"/>
        </w:rPr>
        <w:t>References</w:t>
      </w:r>
    </w:p>
    <w:p w14:paraId="17AB91D1" w14:textId="7D39E383" w:rsidR="001E40BB" w:rsidRPr="00C414FF" w:rsidRDefault="001E40BB"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England, N., 2021. </w:t>
      </w:r>
      <w:r w:rsidRPr="00C414FF">
        <w:rPr>
          <w:rFonts w:ascii="Arial" w:hAnsi="Arial" w:cs="Arial"/>
          <w:i/>
          <w:iCs/>
          <w:color w:val="000000"/>
          <w:shd w:val="clear" w:color="auto" w:fill="FFFFFF"/>
        </w:rPr>
        <w:t>NHS England » Improving care for older people</w:t>
      </w:r>
      <w:r w:rsidRPr="00C414FF">
        <w:rPr>
          <w:rFonts w:ascii="Arial" w:hAnsi="Arial" w:cs="Arial"/>
          <w:color w:val="000000"/>
          <w:shd w:val="clear" w:color="auto" w:fill="FFFFFF"/>
        </w:rPr>
        <w:t>. [online] England.nhs.uk. Available at: &lt;https://www.england.nhs.uk/ourwork/clinical-policy/older-people/improving-care-for-older-people/&gt; [Accessed 10 November 2021].</w:t>
      </w:r>
    </w:p>
    <w:p w14:paraId="4E9B8F5B" w14:textId="4C6D8B24" w:rsidR="00AB419D" w:rsidRPr="00C414FF" w:rsidRDefault="00AB419D"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Alessi, C. and Rashbrook, E., 2021. </w:t>
      </w:r>
      <w:r w:rsidRPr="00C414FF">
        <w:rPr>
          <w:rFonts w:ascii="Arial" w:hAnsi="Arial" w:cs="Arial"/>
          <w:i/>
          <w:iCs/>
          <w:color w:val="000000"/>
          <w:shd w:val="clear" w:color="auto" w:fill="FFFFFF"/>
        </w:rPr>
        <w:t>Ageing well: how can we make longer lives healthier? - UK Health Security Agency</w:t>
      </w:r>
      <w:r w:rsidRPr="00C414FF">
        <w:rPr>
          <w:rFonts w:ascii="Arial" w:hAnsi="Arial" w:cs="Arial"/>
          <w:color w:val="000000"/>
          <w:shd w:val="clear" w:color="auto" w:fill="FFFFFF"/>
        </w:rPr>
        <w:t>. [online] Ukhsa.blog.gov.uk. Available at: &lt;https://ukhsa.blog.gov.uk/2016/10/01/ageing-well-how-can-we-make-longer-lives-healthier/&gt; [Accessed 10 November 2021].</w:t>
      </w:r>
    </w:p>
    <w:p w14:paraId="2CD0E40B" w14:textId="3DBCA4FE" w:rsidR="00C747C5" w:rsidRPr="00C414FF" w:rsidRDefault="00C747C5"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Liveincarehub, 2021. [online] Liveincarehub.co.uk. Available at: &lt;https://www.liveincarehub.co.uk/guide-to-issues-affecting-the-elderly/&gt; [Accessed 10 November 2021].</w:t>
      </w:r>
    </w:p>
    <w:p w14:paraId="0A8F1C30" w14:textId="38FADA7F" w:rsidR="00120F09" w:rsidRPr="00C414FF" w:rsidRDefault="00075500"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marmaladetrust, 2021. [online] Available at: &lt;https://www.marmaladetrust.org/lonelinessguide?gclid=Cj0KCQiA-K2MBhC-ARIsAMtLKRvNH5i6KLrbf-LWdi59Q42TFOn9qTiaVb41naMtXyhJbi-SxH-2AO0aAvQwEALw_wcB&gt; [Accessed 10 November 2021].</w:t>
      </w:r>
    </w:p>
    <w:p w14:paraId="47536CA6" w14:textId="03852EB5" w:rsidR="00120F09" w:rsidRPr="00C414FF" w:rsidRDefault="00120F09"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wavelength, 2021. </w:t>
      </w:r>
      <w:r w:rsidRPr="00C414FF">
        <w:rPr>
          <w:rFonts w:ascii="Arial" w:hAnsi="Arial" w:cs="Arial"/>
          <w:i/>
          <w:iCs/>
          <w:color w:val="000000"/>
          <w:shd w:val="clear" w:color="auto" w:fill="FFFFFF"/>
        </w:rPr>
        <w:t>Health Impacts of Loneliness - WaveLength</w:t>
      </w:r>
      <w:r w:rsidRPr="00C414FF">
        <w:rPr>
          <w:rFonts w:ascii="Arial" w:hAnsi="Arial" w:cs="Arial"/>
          <w:color w:val="000000"/>
          <w:shd w:val="clear" w:color="auto" w:fill="FFFFFF"/>
        </w:rPr>
        <w:t>. [online] WaveLength. Available at: &lt;https://wavelength.org.uk/health_impacts_loneliness/?gclid=Cj0KCQiA-K2MBhC-ARIsAMtLKRt-Asw5HOCy-hQOXgSXGzcrWQ2aViO79O9Fr-0d4qj4P_0f99HDLz8aAhqdEALw_wcB&gt; [Accessed 10 November 2021].</w:t>
      </w:r>
    </w:p>
    <w:p w14:paraId="25A46871" w14:textId="6F747DDE" w:rsidR="00AB419D" w:rsidRPr="00C414FF" w:rsidRDefault="008D5F41"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Centre for Ageing Better. 2021. </w:t>
      </w:r>
      <w:r w:rsidRPr="00C414FF">
        <w:rPr>
          <w:rFonts w:ascii="Arial" w:hAnsi="Arial" w:cs="Arial"/>
          <w:i/>
          <w:iCs/>
          <w:color w:val="000000"/>
          <w:shd w:val="clear" w:color="auto" w:fill="FFFFFF"/>
        </w:rPr>
        <w:t>The experience of the transition to retirement: Rapid evidence review</w:t>
      </w:r>
      <w:r w:rsidRPr="00C414FF">
        <w:rPr>
          <w:rFonts w:ascii="Arial" w:hAnsi="Arial" w:cs="Arial"/>
          <w:color w:val="000000"/>
          <w:shd w:val="clear" w:color="auto" w:fill="FFFFFF"/>
        </w:rPr>
        <w:t>. [online] Available at: &lt;https://ageing-better.org.uk/publications/transition-to-retirement-rapid-evidence-review?gclid=Cj0KCQiA-K2MBhC-ARIsAMtLKRvQm-RH4ZK7vuzJoScQiPvIHsm3AGdGPVCJsLpQnPH9uIRzkRgEHegaAvW3EALw_wcB&gt; [Accessed 10 November 2021].</w:t>
      </w:r>
    </w:p>
    <w:p w14:paraId="1F4EF075" w14:textId="48D8FDAE" w:rsidR="0012063D" w:rsidRPr="00C414FF" w:rsidRDefault="0012063D"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Thepsychologist.bps.org.uk. 2021. </w:t>
      </w:r>
      <w:r w:rsidRPr="00C414FF">
        <w:rPr>
          <w:rFonts w:ascii="Arial" w:hAnsi="Arial" w:cs="Arial"/>
          <w:i/>
          <w:iCs/>
          <w:color w:val="000000"/>
          <w:shd w:val="clear" w:color="auto" w:fill="FFFFFF"/>
        </w:rPr>
        <w:t>Retirement, health and wellbeing | The Psychologist</w:t>
      </w:r>
      <w:r w:rsidRPr="00C414FF">
        <w:rPr>
          <w:rFonts w:ascii="Arial" w:hAnsi="Arial" w:cs="Arial"/>
          <w:color w:val="000000"/>
          <w:shd w:val="clear" w:color="auto" w:fill="FFFFFF"/>
        </w:rPr>
        <w:t>. [online] Available at: &lt;https://thepsychologist.bps.org.uk/retirement-health-and-wellbeing#:~:text=%5Biii%5D%20The%20study%20author%20concluded,rate%20their%20health%20as%20satisfactory.&gt; [Accessed 10 November 2021].</w:t>
      </w:r>
    </w:p>
    <w:p w14:paraId="4E1ABEF5" w14:textId="12621CD3" w:rsidR="00893BC1" w:rsidRPr="00C414FF" w:rsidRDefault="00893BC1"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BBC Bitesize. 2021. </w:t>
      </w:r>
      <w:r w:rsidRPr="00C414FF">
        <w:rPr>
          <w:rFonts w:ascii="Arial" w:hAnsi="Arial" w:cs="Arial"/>
          <w:i/>
          <w:iCs/>
          <w:color w:val="000000"/>
          <w:shd w:val="clear" w:color="auto" w:fill="FFFFFF"/>
        </w:rPr>
        <w:t>The ageing population of the UK - Population change in the UK and Wales – WJEC - GCSE Geography Revision - WJEC - BBC Bitesize</w:t>
      </w:r>
      <w:r w:rsidRPr="00C414FF">
        <w:rPr>
          <w:rFonts w:ascii="Arial" w:hAnsi="Arial" w:cs="Arial"/>
          <w:color w:val="000000"/>
          <w:shd w:val="clear" w:color="auto" w:fill="FFFFFF"/>
        </w:rPr>
        <w:t>. [online] Available at: &lt;https://www.bbc.co.uk/bitesize/guides/z8k9ng8/revision/3&gt; [Accessed 10 November 2021].</w:t>
      </w:r>
    </w:p>
    <w:p w14:paraId="1E89A308" w14:textId="366DDD57" w:rsidR="00EC6B05" w:rsidRPr="00C414FF" w:rsidRDefault="00EC6B05"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lastRenderedPageBreak/>
        <w:t>Ons.gov.uk. 2021. </w:t>
      </w:r>
      <w:r w:rsidRPr="00C414FF">
        <w:rPr>
          <w:rFonts w:ascii="Arial" w:hAnsi="Arial" w:cs="Arial"/>
          <w:i/>
          <w:iCs/>
          <w:color w:val="000000"/>
          <w:shd w:val="clear" w:color="auto" w:fill="FFFFFF"/>
        </w:rPr>
        <w:t>Overview of the UK population - Office for National Statistics</w:t>
      </w:r>
      <w:r w:rsidRPr="00C414FF">
        <w:rPr>
          <w:rFonts w:ascii="Arial" w:hAnsi="Arial" w:cs="Arial"/>
          <w:color w:val="000000"/>
          <w:shd w:val="clear" w:color="auto" w:fill="FFFFFF"/>
        </w:rPr>
        <w:t>. [online] Available at: &lt;https://www.ons.gov.uk/peoplepopulationandcommunity/populationandmigration/populationestimates/articles/overviewoftheukpopulation/january2021&gt; [Accessed 10 November 2021].</w:t>
      </w:r>
    </w:p>
    <w:p w14:paraId="2FD1330A" w14:textId="1B05D8B4" w:rsidR="001036FF" w:rsidRPr="00C414FF" w:rsidRDefault="001036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Parliament.uk. 2021. </w:t>
      </w:r>
      <w:r w:rsidRPr="00C414FF">
        <w:rPr>
          <w:rFonts w:ascii="Arial" w:hAnsi="Arial" w:cs="Arial"/>
          <w:i/>
          <w:iCs/>
          <w:color w:val="000000"/>
          <w:shd w:val="clear" w:color="auto" w:fill="FFFFFF"/>
        </w:rPr>
        <w:t>Challenges of an ageing population</w:t>
      </w:r>
      <w:r w:rsidRPr="00C414FF">
        <w:rPr>
          <w:rFonts w:ascii="Arial" w:hAnsi="Arial" w:cs="Arial"/>
          <w:color w:val="000000"/>
          <w:shd w:val="clear" w:color="auto" w:fill="FFFFFF"/>
        </w:rPr>
        <w:t>. [online] Available at: &lt;https://www.parliament.uk/business/publications/research/key-issues-parliament-2015/social-change/ageing-population/&gt; [Accessed 15 November 2021].</w:t>
      </w:r>
    </w:p>
    <w:p w14:paraId="4A5744DC" w14:textId="3CEAF07A" w:rsidR="001036FF" w:rsidRPr="00C414FF" w:rsidRDefault="001036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Local.gov.uk. 2021. </w:t>
      </w:r>
      <w:r w:rsidRPr="00C414FF">
        <w:rPr>
          <w:rFonts w:ascii="Arial" w:hAnsi="Arial" w:cs="Arial"/>
          <w:i/>
          <w:iCs/>
          <w:color w:val="000000"/>
          <w:shd w:val="clear" w:color="auto" w:fill="FFFFFF"/>
        </w:rPr>
        <w:t>Debate on social care provision in the UK and the role of carers in that provision, House of Lords, 24 June 2021</w:t>
      </w:r>
      <w:r w:rsidRPr="00C414FF">
        <w:rPr>
          <w:rFonts w:ascii="Arial" w:hAnsi="Arial" w:cs="Arial"/>
          <w:color w:val="000000"/>
          <w:shd w:val="clear" w:color="auto" w:fill="FFFFFF"/>
        </w:rPr>
        <w:t>. [online] Available at: &lt;https://www.local.gov.uk/parliament/briefings-and-responses/debate-social-care-provision-uk-and-role-carers-provision-house&gt; [Accessed 15 November 2021].</w:t>
      </w:r>
    </w:p>
    <w:p w14:paraId="1C184114" w14:textId="5486231C" w:rsidR="001036FF" w:rsidRPr="00C414FF" w:rsidRDefault="001036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The Health Foundation. 2021. </w:t>
      </w:r>
      <w:r w:rsidRPr="00C414FF">
        <w:rPr>
          <w:rFonts w:ascii="Arial" w:hAnsi="Arial" w:cs="Arial"/>
          <w:i/>
          <w:iCs/>
          <w:color w:val="000000"/>
          <w:shd w:val="clear" w:color="auto" w:fill="FFFFFF"/>
        </w:rPr>
        <w:t>Health and social care funding | The Health Foundation</w:t>
      </w:r>
      <w:r w:rsidRPr="00C414FF">
        <w:rPr>
          <w:rFonts w:ascii="Arial" w:hAnsi="Arial" w:cs="Arial"/>
          <w:color w:val="000000"/>
          <w:shd w:val="clear" w:color="auto" w:fill="FFFFFF"/>
        </w:rPr>
        <w:t>. [online] Available at: &lt;https://www.health.org.uk/publications/long-reads/health-and-social-care-funding&gt; [Accessed 15 November 2021].</w:t>
      </w:r>
    </w:p>
    <w:p w14:paraId="38FDC3B0" w14:textId="77777777" w:rsidR="00564B78" w:rsidRPr="00C414FF" w:rsidRDefault="00564B78" w:rsidP="00C414FF">
      <w:pPr>
        <w:pStyle w:val="ListParagraph"/>
        <w:tabs>
          <w:tab w:val="left" w:pos="2070"/>
        </w:tabs>
        <w:rPr>
          <w:rFonts w:ascii="Arial" w:hAnsi="Arial" w:cs="Arial"/>
          <w:color w:val="000000"/>
          <w:sz w:val="22"/>
          <w:szCs w:val="22"/>
          <w:shd w:val="clear" w:color="auto" w:fill="FFFFFF"/>
        </w:rPr>
      </w:pPr>
    </w:p>
    <w:p w14:paraId="1BE863EF" w14:textId="0EA6FFC1" w:rsidR="001036FF" w:rsidRPr="00C414FF" w:rsidRDefault="001036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Hill, J. and Hill, J., 2021. </w:t>
      </w:r>
      <w:r w:rsidRPr="00C414FF">
        <w:rPr>
          <w:rFonts w:ascii="Arial" w:hAnsi="Arial" w:cs="Arial"/>
          <w:i/>
          <w:iCs/>
          <w:color w:val="000000"/>
          <w:shd w:val="clear" w:color="auto" w:fill="FFFFFF"/>
        </w:rPr>
        <w:t>Government explores merging health and social care | Local Government Chronicle (LGC)</w:t>
      </w:r>
      <w:r w:rsidRPr="00C414FF">
        <w:rPr>
          <w:rFonts w:ascii="Arial" w:hAnsi="Arial" w:cs="Arial"/>
          <w:color w:val="000000"/>
          <w:shd w:val="clear" w:color="auto" w:fill="FFFFFF"/>
        </w:rPr>
        <w:t>. [online] Local Government Chronicle (LGC). Available at: &lt;https://www.lgcplus.com/services/health-and-care/government-explores-merging-health-and-social-care-11-10-2021/&gt; [Accessed 15 November 2021].</w:t>
      </w:r>
    </w:p>
    <w:p w14:paraId="37AE388D" w14:textId="27213CC2" w:rsidR="001036FF" w:rsidRPr="00C414FF" w:rsidRDefault="001036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The Health Foundation. 2021. </w:t>
      </w:r>
      <w:r w:rsidRPr="00C414FF">
        <w:rPr>
          <w:rFonts w:ascii="Arial" w:hAnsi="Arial" w:cs="Arial"/>
          <w:i/>
          <w:iCs/>
          <w:color w:val="000000"/>
          <w:shd w:val="clear" w:color="auto" w:fill="FFFFFF"/>
        </w:rPr>
        <w:t>Health and social care funding | The Health Foundation</w:t>
      </w:r>
      <w:r w:rsidRPr="00C414FF">
        <w:rPr>
          <w:rFonts w:ascii="Arial" w:hAnsi="Arial" w:cs="Arial"/>
          <w:color w:val="000000"/>
          <w:shd w:val="clear" w:color="auto" w:fill="FFFFFF"/>
        </w:rPr>
        <w:t>. [online] Available at: &lt;https://www.health.org.uk/publications/long-reads/health-and-social-care-funding&gt; [Accessed 15 November 2021].</w:t>
      </w:r>
    </w:p>
    <w:p w14:paraId="4124AE6D" w14:textId="6A3483E7" w:rsidR="001036FF" w:rsidRPr="00C414FF" w:rsidRDefault="001036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England, N., 2021. </w:t>
      </w:r>
      <w:r w:rsidRPr="00C414FF">
        <w:rPr>
          <w:rFonts w:ascii="Arial" w:hAnsi="Arial" w:cs="Arial"/>
          <w:i/>
          <w:iCs/>
          <w:color w:val="000000"/>
          <w:shd w:val="clear" w:color="auto" w:fill="FFFFFF"/>
        </w:rPr>
        <w:t>NHS England » Funding and efficiency</w:t>
      </w:r>
      <w:r w:rsidRPr="00C414FF">
        <w:rPr>
          <w:rFonts w:ascii="Arial" w:hAnsi="Arial" w:cs="Arial"/>
          <w:color w:val="000000"/>
          <w:shd w:val="clear" w:color="auto" w:fill="FFFFFF"/>
        </w:rPr>
        <w:t>. [online] England.nhs.uk. Available at: &lt;https://www.england.nhs.uk/five-year-forward-view/next-steps-on-the-nhs-five-year-forward-view/funding-and-efficiency/&gt; [Accessed 15 November 2021].</w:t>
      </w:r>
    </w:p>
    <w:p w14:paraId="31B7619C" w14:textId="77777777" w:rsidR="008040A0" w:rsidRPr="00C414FF" w:rsidRDefault="008040A0"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Larkin, M. (2009</w:t>
      </w:r>
      <w:r w:rsidRPr="00C414FF">
        <w:rPr>
          <w:rFonts w:ascii="Arial" w:hAnsi="Arial" w:cs="Arial"/>
          <w:i/>
          <w:iCs/>
          <w:color w:val="000000"/>
          <w:shd w:val="clear" w:color="auto" w:fill="FFFFFF"/>
        </w:rPr>
        <w:t>) Vulnerable Groups in Health and Social Care</w:t>
      </w:r>
      <w:r w:rsidRPr="00C414FF">
        <w:rPr>
          <w:rFonts w:ascii="Arial" w:hAnsi="Arial" w:cs="Arial"/>
          <w:color w:val="000000"/>
          <w:shd w:val="clear" w:color="auto" w:fill="FFFFFF"/>
        </w:rPr>
        <w:t>. London: Sage Publications Ltd.</w:t>
      </w:r>
    </w:p>
    <w:p w14:paraId="17880713" w14:textId="77777777" w:rsidR="0082661D" w:rsidRPr="00C414FF" w:rsidRDefault="0082661D"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 xml:space="preserve">Maulk, K. (2010) </w:t>
      </w:r>
      <w:r w:rsidRPr="00C414FF">
        <w:rPr>
          <w:rFonts w:ascii="Arial" w:hAnsi="Arial" w:cs="Arial"/>
          <w:i/>
          <w:iCs/>
          <w:color w:val="000000"/>
          <w:shd w:val="clear" w:color="auto" w:fill="FFFFFF"/>
        </w:rPr>
        <w:t>Gerontological Nursing: Competencies for Care 2</w:t>
      </w:r>
      <w:r w:rsidRPr="00C414FF">
        <w:rPr>
          <w:rFonts w:ascii="Arial" w:hAnsi="Arial" w:cs="Arial"/>
          <w:i/>
          <w:iCs/>
          <w:color w:val="000000"/>
          <w:shd w:val="clear" w:color="auto" w:fill="FFFFFF"/>
          <w:vertAlign w:val="superscript"/>
        </w:rPr>
        <w:t>nd</w:t>
      </w:r>
      <w:r w:rsidRPr="00C414FF">
        <w:rPr>
          <w:rFonts w:ascii="Arial" w:hAnsi="Arial" w:cs="Arial"/>
          <w:i/>
          <w:iCs/>
          <w:color w:val="000000"/>
          <w:shd w:val="clear" w:color="auto" w:fill="FFFFFF"/>
        </w:rPr>
        <w:t xml:space="preserve"> edn.</w:t>
      </w:r>
      <w:r w:rsidRPr="00C414FF">
        <w:rPr>
          <w:rFonts w:ascii="Arial" w:hAnsi="Arial" w:cs="Arial"/>
          <w:color w:val="000000"/>
          <w:shd w:val="clear" w:color="auto" w:fill="FFFFFF"/>
        </w:rPr>
        <w:t xml:space="preserve"> London: Jones and Bartlett Publishers International.</w:t>
      </w:r>
    </w:p>
    <w:p w14:paraId="7BB52A67" w14:textId="54C1E0B2" w:rsidR="008040A0" w:rsidRPr="00C414FF" w:rsidRDefault="00224C4E"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Centre for Ageing Better. 2021. </w:t>
      </w:r>
      <w:r w:rsidRPr="00C414FF">
        <w:rPr>
          <w:rFonts w:ascii="Arial" w:hAnsi="Arial" w:cs="Arial"/>
          <w:i/>
          <w:iCs/>
          <w:color w:val="000000"/>
          <w:shd w:val="clear" w:color="auto" w:fill="FFFFFF"/>
        </w:rPr>
        <w:t>Summary | State of Ageing in 2020</w:t>
      </w:r>
      <w:r w:rsidRPr="00C414FF">
        <w:rPr>
          <w:rFonts w:ascii="Arial" w:hAnsi="Arial" w:cs="Arial"/>
          <w:color w:val="000000"/>
          <w:shd w:val="clear" w:color="auto" w:fill="FFFFFF"/>
        </w:rPr>
        <w:t>. [online] Available at: &lt;https://ageing-better.org.uk/summary-state-ageing-2020?gclid=CjwKCAiA1uKMBhAGEiwAxzvX96_rKHgBKMja-Jlj8X5DfAKSvPUCm9gG2y9K01PrFkjlzQ6X7t1eqxoCEPgQAvD_BwE&gt; [Accessed 20 November 2021].</w:t>
      </w:r>
    </w:p>
    <w:p w14:paraId="2CD5DF03" w14:textId="167A65D9" w:rsidR="00564B78" w:rsidRPr="00C414FF" w:rsidRDefault="00564B78"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intermountainhealthcare.org. 2021. </w:t>
      </w:r>
      <w:r w:rsidRPr="00C414FF">
        <w:rPr>
          <w:rFonts w:ascii="Arial" w:hAnsi="Arial" w:cs="Arial"/>
          <w:i/>
          <w:iCs/>
          <w:color w:val="000000"/>
          <w:shd w:val="clear" w:color="auto" w:fill="FFFFFF"/>
        </w:rPr>
        <w:t>How to overcome loneliness while you're social distancing</w:t>
      </w:r>
      <w:r w:rsidRPr="00C414FF">
        <w:rPr>
          <w:rFonts w:ascii="Arial" w:hAnsi="Arial" w:cs="Arial"/>
          <w:color w:val="000000"/>
          <w:shd w:val="clear" w:color="auto" w:fill="FFFFFF"/>
        </w:rPr>
        <w:t>. [online] Available at: &lt;https://intermountainhealthcare.org/blogs/topics/live-well/2020/03/how-to-overcome-loneliness-while-youre-social-distancing/&gt; [Accessed 20 November 2021].</w:t>
      </w:r>
    </w:p>
    <w:p w14:paraId="70A1F5E5" w14:textId="0DA1ACB8" w:rsidR="00564B78" w:rsidRPr="00C414FF" w:rsidRDefault="00564B78"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https://www.apa.org. 2021. </w:t>
      </w:r>
      <w:r w:rsidRPr="00C414FF">
        <w:rPr>
          <w:rFonts w:ascii="Arial" w:hAnsi="Arial" w:cs="Arial"/>
          <w:i/>
          <w:iCs/>
          <w:color w:val="000000"/>
          <w:shd w:val="clear" w:color="auto" w:fill="FFFFFF"/>
        </w:rPr>
        <w:t>The risks of social isolation</w:t>
      </w:r>
      <w:r w:rsidRPr="00C414FF">
        <w:rPr>
          <w:rFonts w:ascii="Arial" w:hAnsi="Arial" w:cs="Arial"/>
          <w:color w:val="000000"/>
          <w:shd w:val="clear" w:color="auto" w:fill="FFFFFF"/>
        </w:rPr>
        <w:t>. [online] Available at: &lt;https://www.apa.org/monitor/2019/05/ce-corner-isolation&gt; [Accessed 20 November 2021].</w:t>
      </w:r>
    </w:p>
    <w:p w14:paraId="0E6BB55C" w14:textId="717FDEF8" w:rsidR="00C414FF" w:rsidRPr="00C414FF" w:rsidRDefault="00C414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Centre for Ageing Better. 2021. </w:t>
      </w:r>
      <w:r w:rsidRPr="00C414FF">
        <w:rPr>
          <w:rFonts w:ascii="Arial" w:hAnsi="Arial" w:cs="Arial"/>
          <w:i/>
          <w:iCs/>
          <w:color w:val="000000"/>
          <w:shd w:val="clear" w:color="auto" w:fill="FFFFFF"/>
        </w:rPr>
        <w:t>Reframing ageing: Public perceptions of ageing, older age and demographic change</w:t>
      </w:r>
      <w:r w:rsidRPr="00C414FF">
        <w:rPr>
          <w:rFonts w:ascii="Arial" w:hAnsi="Arial" w:cs="Arial"/>
          <w:color w:val="000000"/>
          <w:shd w:val="clear" w:color="auto" w:fill="FFFFFF"/>
        </w:rPr>
        <w:t>. [online] Available at: &lt;https://ageing-better.org.uk/publications/reframing-ageing-public-perceptions-ageing-older-age-and-demographic-</w:t>
      </w:r>
      <w:r w:rsidRPr="00C414FF">
        <w:rPr>
          <w:rFonts w:ascii="Arial" w:hAnsi="Arial" w:cs="Arial"/>
          <w:color w:val="000000"/>
          <w:shd w:val="clear" w:color="auto" w:fill="FFFFFF"/>
        </w:rPr>
        <w:lastRenderedPageBreak/>
        <w:t>change?gclid=CjwKCAiA1uKMBhAGEiwAxzvX97alpXZHZmnUoiVFaB4xrMg5y9qP8TFr1_CgSmnCIL_mZ9Gvf0dHlhoCD-AQAvD_BwE&gt; [Accessed 20 November 2021].</w:t>
      </w:r>
    </w:p>
    <w:p w14:paraId="758B7F6D" w14:textId="77777777" w:rsidR="00C414FF" w:rsidRPr="00C414FF" w:rsidRDefault="00C414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 xml:space="preserve">Lind, D.(ed.)(2002) </w:t>
      </w:r>
      <w:r w:rsidRPr="00C414FF">
        <w:rPr>
          <w:rFonts w:ascii="Arial" w:hAnsi="Arial" w:cs="Arial"/>
          <w:i/>
          <w:iCs/>
          <w:color w:val="000000"/>
          <w:shd w:val="clear" w:color="auto" w:fill="FFFFFF"/>
        </w:rPr>
        <w:t xml:space="preserve">Sociology of Aging: Disciplinary Approaches to Aging: Developments in Political Science. </w:t>
      </w:r>
      <w:r w:rsidRPr="00C414FF">
        <w:rPr>
          <w:rFonts w:ascii="Arial" w:hAnsi="Arial" w:cs="Arial"/>
          <w:color w:val="000000"/>
          <w:shd w:val="clear" w:color="auto" w:fill="FFFFFF"/>
        </w:rPr>
        <w:t>London: Routledge.</w:t>
      </w:r>
    </w:p>
    <w:p w14:paraId="6EB5BC8E" w14:textId="77777777" w:rsidR="00C414FF" w:rsidRPr="00C414FF" w:rsidRDefault="00C414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 xml:space="preserve">Morgan, L. and Kunkel, S. (2011) </w:t>
      </w:r>
      <w:r w:rsidRPr="00C414FF">
        <w:rPr>
          <w:rFonts w:ascii="Arial" w:hAnsi="Arial" w:cs="Arial"/>
          <w:i/>
          <w:iCs/>
          <w:color w:val="000000"/>
          <w:shd w:val="clear" w:color="auto" w:fill="FFFFFF"/>
        </w:rPr>
        <w:t>Aging, Society, and the Life Course, Fourth Edition.</w:t>
      </w:r>
      <w:r w:rsidRPr="00C414FF">
        <w:rPr>
          <w:rFonts w:ascii="Arial" w:hAnsi="Arial" w:cs="Arial"/>
          <w:color w:val="000000"/>
          <w:shd w:val="clear" w:color="auto" w:fill="FFFFFF"/>
        </w:rPr>
        <w:t xml:space="preserve"> New York: Springer Publishing Company Inc.</w:t>
      </w:r>
    </w:p>
    <w:p w14:paraId="65BF6C8C" w14:textId="77777777" w:rsidR="00C414FF" w:rsidRPr="00C414FF" w:rsidRDefault="00C414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 xml:space="preserve">Edmondson, R. (2015) </w:t>
      </w:r>
      <w:r w:rsidRPr="00C414FF">
        <w:rPr>
          <w:rFonts w:ascii="Arial" w:hAnsi="Arial" w:cs="Arial"/>
          <w:i/>
          <w:iCs/>
          <w:color w:val="000000"/>
          <w:shd w:val="clear" w:color="auto" w:fill="FFFFFF"/>
        </w:rPr>
        <w:t xml:space="preserve">Ageing, Insight and Wisdom: Meaning and Practice Across the Lifecourse </w:t>
      </w:r>
      <w:r w:rsidRPr="00C414FF">
        <w:rPr>
          <w:rFonts w:ascii="Arial" w:hAnsi="Arial" w:cs="Arial"/>
          <w:color w:val="000000"/>
          <w:shd w:val="clear" w:color="auto" w:fill="FFFFFF"/>
        </w:rPr>
        <w:t>Bristol: Policy Press.</w:t>
      </w:r>
    </w:p>
    <w:p w14:paraId="1F5C81F8" w14:textId="02780A77" w:rsidR="00C414FF" w:rsidRPr="00C414FF" w:rsidRDefault="00C414FF" w:rsidP="00C414FF">
      <w:pPr>
        <w:tabs>
          <w:tab w:val="left" w:pos="2070"/>
        </w:tabs>
        <w:spacing w:line="240" w:lineRule="auto"/>
        <w:ind w:left="360"/>
        <w:rPr>
          <w:rFonts w:ascii="Arial" w:hAnsi="Arial" w:cs="Arial"/>
          <w:color w:val="000000"/>
          <w:shd w:val="clear" w:color="auto" w:fill="FFFFFF"/>
        </w:rPr>
      </w:pPr>
      <w:r w:rsidRPr="00C414FF">
        <w:rPr>
          <w:rFonts w:ascii="Arial" w:hAnsi="Arial" w:cs="Arial"/>
          <w:color w:val="000000"/>
          <w:shd w:val="clear" w:color="auto" w:fill="FFFFFF"/>
        </w:rPr>
        <w:t xml:space="preserve">Centre for Ageing Better, (2019) </w:t>
      </w:r>
      <w:r w:rsidRPr="00C414FF">
        <w:rPr>
          <w:rFonts w:ascii="Arial" w:hAnsi="Arial" w:cs="Arial"/>
          <w:i/>
          <w:iCs/>
          <w:color w:val="000000"/>
          <w:shd w:val="clear" w:color="auto" w:fill="FFFFFF"/>
        </w:rPr>
        <w:t xml:space="preserve">Our Vision and Mission. </w:t>
      </w:r>
      <w:r w:rsidRPr="00C414FF">
        <w:rPr>
          <w:rFonts w:ascii="Arial" w:hAnsi="Arial" w:cs="Arial"/>
          <w:color w:val="000000"/>
          <w:shd w:val="clear" w:color="auto" w:fill="FFFFFF"/>
        </w:rPr>
        <w:t xml:space="preserve">Available at: </w:t>
      </w:r>
      <w:hyperlink r:id="rId6" w:history="1">
        <w:r w:rsidRPr="00C414FF">
          <w:rPr>
            <w:rStyle w:val="Hyperlink"/>
            <w:rFonts w:ascii="Arial" w:eastAsia="Times New Roman" w:hAnsi="Arial" w:cs="Arial"/>
            <w:shd w:val="clear" w:color="auto" w:fill="FFFFFF"/>
            <w:lang w:eastAsia="en-GB"/>
          </w:rPr>
          <w:t>https://www.ageing-better.org.uk/about-us/our-vision-mission</w:t>
        </w:r>
      </w:hyperlink>
      <w:r w:rsidRPr="00C414FF">
        <w:rPr>
          <w:rFonts w:ascii="Arial" w:hAnsi="Arial" w:cs="Arial"/>
          <w:color w:val="000000"/>
          <w:shd w:val="clear" w:color="auto" w:fill="FFFFFF"/>
        </w:rPr>
        <w:t xml:space="preserve"> (Accessed:</w:t>
      </w:r>
      <w:r w:rsidRPr="00C414FF">
        <w:rPr>
          <w:rFonts w:ascii="Arial" w:hAnsi="Arial" w:cs="Arial"/>
          <w:color w:val="000000"/>
          <w:shd w:val="clear" w:color="auto" w:fill="FFFFFF"/>
        </w:rPr>
        <w:t xml:space="preserve"> 20 November 2021)</w:t>
      </w:r>
      <w:r w:rsidRPr="00C414FF">
        <w:rPr>
          <w:rFonts w:ascii="Arial" w:hAnsi="Arial" w:cs="Arial"/>
          <w:color w:val="000000"/>
          <w:shd w:val="clear" w:color="auto" w:fill="FFFFFF"/>
        </w:rPr>
        <w:t>.</w:t>
      </w:r>
    </w:p>
    <w:p w14:paraId="5199B878" w14:textId="77777777" w:rsidR="00C414FF" w:rsidRPr="0012063D" w:rsidRDefault="00C414FF" w:rsidP="00C414FF">
      <w:pPr>
        <w:pStyle w:val="ListParagraph"/>
        <w:tabs>
          <w:tab w:val="left" w:pos="2070"/>
        </w:tabs>
        <w:spacing w:line="360" w:lineRule="auto"/>
        <w:rPr>
          <w:rFonts w:ascii="Open Sans" w:hAnsi="Open Sans" w:cs="Open Sans"/>
          <w:color w:val="000000"/>
          <w:shd w:val="clear" w:color="auto" w:fill="FFFFFF"/>
        </w:rPr>
      </w:pPr>
    </w:p>
    <w:sectPr w:rsidR="00C414FF" w:rsidRPr="001206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D5A3E"/>
    <w:multiLevelType w:val="hybridMultilevel"/>
    <w:tmpl w:val="AC4A0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0838B6"/>
    <w:multiLevelType w:val="hybridMultilevel"/>
    <w:tmpl w:val="A9F49262"/>
    <w:lvl w:ilvl="0" w:tplc="24E25B38">
      <w:start w:val="1"/>
      <w:numFmt w:val="bullet"/>
      <w:lvlText w:val="•"/>
      <w:lvlJc w:val="left"/>
      <w:pPr>
        <w:tabs>
          <w:tab w:val="num" w:pos="720"/>
        </w:tabs>
        <w:ind w:left="720" w:hanging="360"/>
      </w:pPr>
      <w:rPr>
        <w:rFonts w:ascii="Arial" w:hAnsi="Arial" w:hint="default"/>
      </w:rPr>
    </w:lvl>
    <w:lvl w:ilvl="1" w:tplc="FEFC9148" w:tentative="1">
      <w:start w:val="1"/>
      <w:numFmt w:val="bullet"/>
      <w:lvlText w:val="•"/>
      <w:lvlJc w:val="left"/>
      <w:pPr>
        <w:tabs>
          <w:tab w:val="num" w:pos="1440"/>
        </w:tabs>
        <w:ind w:left="1440" w:hanging="360"/>
      </w:pPr>
      <w:rPr>
        <w:rFonts w:ascii="Arial" w:hAnsi="Arial" w:hint="default"/>
      </w:rPr>
    </w:lvl>
    <w:lvl w:ilvl="2" w:tplc="01EE700A" w:tentative="1">
      <w:start w:val="1"/>
      <w:numFmt w:val="bullet"/>
      <w:lvlText w:val="•"/>
      <w:lvlJc w:val="left"/>
      <w:pPr>
        <w:tabs>
          <w:tab w:val="num" w:pos="2160"/>
        </w:tabs>
        <w:ind w:left="2160" w:hanging="360"/>
      </w:pPr>
      <w:rPr>
        <w:rFonts w:ascii="Arial" w:hAnsi="Arial" w:hint="default"/>
      </w:rPr>
    </w:lvl>
    <w:lvl w:ilvl="3" w:tplc="BD308C6A" w:tentative="1">
      <w:start w:val="1"/>
      <w:numFmt w:val="bullet"/>
      <w:lvlText w:val="•"/>
      <w:lvlJc w:val="left"/>
      <w:pPr>
        <w:tabs>
          <w:tab w:val="num" w:pos="2880"/>
        </w:tabs>
        <w:ind w:left="2880" w:hanging="360"/>
      </w:pPr>
      <w:rPr>
        <w:rFonts w:ascii="Arial" w:hAnsi="Arial" w:hint="default"/>
      </w:rPr>
    </w:lvl>
    <w:lvl w:ilvl="4" w:tplc="343C686E" w:tentative="1">
      <w:start w:val="1"/>
      <w:numFmt w:val="bullet"/>
      <w:lvlText w:val="•"/>
      <w:lvlJc w:val="left"/>
      <w:pPr>
        <w:tabs>
          <w:tab w:val="num" w:pos="3600"/>
        </w:tabs>
        <w:ind w:left="3600" w:hanging="360"/>
      </w:pPr>
      <w:rPr>
        <w:rFonts w:ascii="Arial" w:hAnsi="Arial" w:hint="default"/>
      </w:rPr>
    </w:lvl>
    <w:lvl w:ilvl="5" w:tplc="D3D88AD8" w:tentative="1">
      <w:start w:val="1"/>
      <w:numFmt w:val="bullet"/>
      <w:lvlText w:val="•"/>
      <w:lvlJc w:val="left"/>
      <w:pPr>
        <w:tabs>
          <w:tab w:val="num" w:pos="4320"/>
        </w:tabs>
        <w:ind w:left="4320" w:hanging="360"/>
      </w:pPr>
      <w:rPr>
        <w:rFonts w:ascii="Arial" w:hAnsi="Arial" w:hint="default"/>
      </w:rPr>
    </w:lvl>
    <w:lvl w:ilvl="6" w:tplc="1B8E6CA6" w:tentative="1">
      <w:start w:val="1"/>
      <w:numFmt w:val="bullet"/>
      <w:lvlText w:val="•"/>
      <w:lvlJc w:val="left"/>
      <w:pPr>
        <w:tabs>
          <w:tab w:val="num" w:pos="5040"/>
        </w:tabs>
        <w:ind w:left="5040" w:hanging="360"/>
      </w:pPr>
      <w:rPr>
        <w:rFonts w:ascii="Arial" w:hAnsi="Arial" w:hint="default"/>
      </w:rPr>
    </w:lvl>
    <w:lvl w:ilvl="7" w:tplc="A336E478" w:tentative="1">
      <w:start w:val="1"/>
      <w:numFmt w:val="bullet"/>
      <w:lvlText w:val="•"/>
      <w:lvlJc w:val="left"/>
      <w:pPr>
        <w:tabs>
          <w:tab w:val="num" w:pos="5760"/>
        </w:tabs>
        <w:ind w:left="5760" w:hanging="360"/>
      </w:pPr>
      <w:rPr>
        <w:rFonts w:ascii="Arial" w:hAnsi="Arial" w:hint="default"/>
      </w:rPr>
    </w:lvl>
    <w:lvl w:ilvl="8" w:tplc="8188D6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265D74"/>
    <w:multiLevelType w:val="hybridMultilevel"/>
    <w:tmpl w:val="E34A243E"/>
    <w:lvl w:ilvl="0" w:tplc="A5EC0060">
      <w:start w:val="1"/>
      <w:numFmt w:val="bullet"/>
      <w:lvlText w:val="•"/>
      <w:lvlJc w:val="left"/>
      <w:pPr>
        <w:tabs>
          <w:tab w:val="num" w:pos="720"/>
        </w:tabs>
        <w:ind w:left="720" w:hanging="360"/>
      </w:pPr>
      <w:rPr>
        <w:rFonts w:ascii="Arial" w:hAnsi="Arial" w:hint="default"/>
      </w:rPr>
    </w:lvl>
    <w:lvl w:ilvl="1" w:tplc="E428990E" w:tentative="1">
      <w:start w:val="1"/>
      <w:numFmt w:val="bullet"/>
      <w:lvlText w:val="•"/>
      <w:lvlJc w:val="left"/>
      <w:pPr>
        <w:tabs>
          <w:tab w:val="num" w:pos="1440"/>
        </w:tabs>
        <w:ind w:left="1440" w:hanging="360"/>
      </w:pPr>
      <w:rPr>
        <w:rFonts w:ascii="Arial" w:hAnsi="Arial" w:hint="default"/>
      </w:rPr>
    </w:lvl>
    <w:lvl w:ilvl="2" w:tplc="4C9A083E" w:tentative="1">
      <w:start w:val="1"/>
      <w:numFmt w:val="bullet"/>
      <w:lvlText w:val="•"/>
      <w:lvlJc w:val="left"/>
      <w:pPr>
        <w:tabs>
          <w:tab w:val="num" w:pos="2160"/>
        </w:tabs>
        <w:ind w:left="2160" w:hanging="360"/>
      </w:pPr>
      <w:rPr>
        <w:rFonts w:ascii="Arial" w:hAnsi="Arial" w:hint="default"/>
      </w:rPr>
    </w:lvl>
    <w:lvl w:ilvl="3" w:tplc="AEE87B34" w:tentative="1">
      <w:start w:val="1"/>
      <w:numFmt w:val="bullet"/>
      <w:lvlText w:val="•"/>
      <w:lvlJc w:val="left"/>
      <w:pPr>
        <w:tabs>
          <w:tab w:val="num" w:pos="2880"/>
        </w:tabs>
        <w:ind w:left="2880" w:hanging="360"/>
      </w:pPr>
      <w:rPr>
        <w:rFonts w:ascii="Arial" w:hAnsi="Arial" w:hint="default"/>
      </w:rPr>
    </w:lvl>
    <w:lvl w:ilvl="4" w:tplc="E000E6B4" w:tentative="1">
      <w:start w:val="1"/>
      <w:numFmt w:val="bullet"/>
      <w:lvlText w:val="•"/>
      <w:lvlJc w:val="left"/>
      <w:pPr>
        <w:tabs>
          <w:tab w:val="num" w:pos="3600"/>
        </w:tabs>
        <w:ind w:left="3600" w:hanging="360"/>
      </w:pPr>
      <w:rPr>
        <w:rFonts w:ascii="Arial" w:hAnsi="Arial" w:hint="default"/>
      </w:rPr>
    </w:lvl>
    <w:lvl w:ilvl="5" w:tplc="0EB0EACE" w:tentative="1">
      <w:start w:val="1"/>
      <w:numFmt w:val="bullet"/>
      <w:lvlText w:val="•"/>
      <w:lvlJc w:val="left"/>
      <w:pPr>
        <w:tabs>
          <w:tab w:val="num" w:pos="4320"/>
        </w:tabs>
        <w:ind w:left="4320" w:hanging="360"/>
      </w:pPr>
      <w:rPr>
        <w:rFonts w:ascii="Arial" w:hAnsi="Arial" w:hint="default"/>
      </w:rPr>
    </w:lvl>
    <w:lvl w:ilvl="6" w:tplc="5E6CCD2E" w:tentative="1">
      <w:start w:val="1"/>
      <w:numFmt w:val="bullet"/>
      <w:lvlText w:val="•"/>
      <w:lvlJc w:val="left"/>
      <w:pPr>
        <w:tabs>
          <w:tab w:val="num" w:pos="5040"/>
        </w:tabs>
        <w:ind w:left="5040" w:hanging="360"/>
      </w:pPr>
      <w:rPr>
        <w:rFonts w:ascii="Arial" w:hAnsi="Arial" w:hint="default"/>
      </w:rPr>
    </w:lvl>
    <w:lvl w:ilvl="7" w:tplc="FF36646C" w:tentative="1">
      <w:start w:val="1"/>
      <w:numFmt w:val="bullet"/>
      <w:lvlText w:val="•"/>
      <w:lvlJc w:val="left"/>
      <w:pPr>
        <w:tabs>
          <w:tab w:val="num" w:pos="5760"/>
        </w:tabs>
        <w:ind w:left="5760" w:hanging="360"/>
      </w:pPr>
      <w:rPr>
        <w:rFonts w:ascii="Arial" w:hAnsi="Arial" w:hint="default"/>
      </w:rPr>
    </w:lvl>
    <w:lvl w:ilvl="8" w:tplc="230039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88F4F23"/>
    <w:multiLevelType w:val="hybridMultilevel"/>
    <w:tmpl w:val="902A15A8"/>
    <w:lvl w:ilvl="0" w:tplc="279E5494">
      <w:start w:val="1"/>
      <w:numFmt w:val="bullet"/>
      <w:lvlText w:val="•"/>
      <w:lvlJc w:val="left"/>
      <w:pPr>
        <w:tabs>
          <w:tab w:val="num" w:pos="720"/>
        </w:tabs>
        <w:ind w:left="720" w:hanging="360"/>
      </w:pPr>
      <w:rPr>
        <w:rFonts w:ascii="Arial" w:hAnsi="Arial" w:hint="default"/>
      </w:rPr>
    </w:lvl>
    <w:lvl w:ilvl="1" w:tplc="3008F0E6" w:tentative="1">
      <w:start w:val="1"/>
      <w:numFmt w:val="bullet"/>
      <w:lvlText w:val="•"/>
      <w:lvlJc w:val="left"/>
      <w:pPr>
        <w:tabs>
          <w:tab w:val="num" w:pos="1440"/>
        </w:tabs>
        <w:ind w:left="1440" w:hanging="360"/>
      </w:pPr>
      <w:rPr>
        <w:rFonts w:ascii="Arial" w:hAnsi="Arial" w:hint="default"/>
      </w:rPr>
    </w:lvl>
    <w:lvl w:ilvl="2" w:tplc="384E7670" w:tentative="1">
      <w:start w:val="1"/>
      <w:numFmt w:val="bullet"/>
      <w:lvlText w:val="•"/>
      <w:lvlJc w:val="left"/>
      <w:pPr>
        <w:tabs>
          <w:tab w:val="num" w:pos="2160"/>
        </w:tabs>
        <w:ind w:left="2160" w:hanging="360"/>
      </w:pPr>
      <w:rPr>
        <w:rFonts w:ascii="Arial" w:hAnsi="Arial" w:hint="default"/>
      </w:rPr>
    </w:lvl>
    <w:lvl w:ilvl="3" w:tplc="037C2020" w:tentative="1">
      <w:start w:val="1"/>
      <w:numFmt w:val="bullet"/>
      <w:lvlText w:val="•"/>
      <w:lvlJc w:val="left"/>
      <w:pPr>
        <w:tabs>
          <w:tab w:val="num" w:pos="2880"/>
        </w:tabs>
        <w:ind w:left="2880" w:hanging="360"/>
      </w:pPr>
      <w:rPr>
        <w:rFonts w:ascii="Arial" w:hAnsi="Arial" w:hint="default"/>
      </w:rPr>
    </w:lvl>
    <w:lvl w:ilvl="4" w:tplc="ED94E354" w:tentative="1">
      <w:start w:val="1"/>
      <w:numFmt w:val="bullet"/>
      <w:lvlText w:val="•"/>
      <w:lvlJc w:val="left"/>
      <w:pPr>
        <w:tabs>
          <w:tab w:val="num" w:pos="3600"/>
        </w:tabs>
        <w:ind w:left="3600" w:hanging="360"/>
      </w:pPr>
      <w:rPr>
        <w:rFonts w:ascii="Arial" w:hAnsi="Arial" w:hint="default"/>
      </w:rPr>
    </w:lvl>
    <w:lvl w:ilvl="5" w:tplc="96CA67DC" w:tentative="1">
      <w:start w:val="1"/>
      <w:numFmt w:val="bullet"/>
      <w:lvlText w:val="•"/>
      <w:lvlJc w:val="left"/>
      <w:pPr>
        <w:tabs>
          <w:tab w:val="num" w:pos="4320"/>
        </w:tabs>
        <w:ind w:left="4320" w:hanging="360"/>
      </w:pPr>
      <w:rPr>
        <w:rFonts w:ascii="Arial" w:hAnsi="Arial" w:hint="default"/>
      </w:rPr>
    </w:lvl>
    <w:lvl w:ilvl="6" w:tplc="F3DA84F2" w:tentative="1">
      <w:start w:val="1"/>
      <w:numFmt w:val="bullet"/>
      <w:lvlText w:val="•"/>
      <w:lvlJc w:val="left"/>
      <w:pPr>
        <w:tabs>
          <w:tab w:val="num" w:pos="5040"/>
        </w:tabs>
        <w:ind w:left="5040" w:hanging="360"/>
      </w:pPr>
      <w:rPr>
        <w:rFonts w:ascii="Arial" w:hAnsi="Arial" w:hint="default"/>
      </w:rPr>
    </w:lvl>
    <w:lvl w:ilvl="7" w:tplc="CC880C62" w:tentative="1">
      <w:start w:val="1"/>
      <w:numFmt w:val="bullet"/>
      <w:lvlText w:val="•"/>
      <w:lvlJc w:val="left"/>
      <w:pPr>
        <w:tabs>
          <w:tab w:val="num" w:pos="5760"/>
        </w:tabs>
        <w:ind w:left="5760" w:hanging="360"/>
      </w:pPr>
      <w:rPr>
        <w:rFonts w:ascii="Arial" w:hAnsi="Arial" w:hint="default"/>
      </w:rPr>
    </w:lvl>
    <w:lvl w:ilvl="8" w:tplc="56961C4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2357FFC"/>
    <w:multiLevelType w:val="hybridMultilevel"/>
    <w:tmpl w:val="7D20D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E86536"/>
    <w:multiLevelType w:val="hybridMultilevel"/>
    <w:tmpl w:val="304E9956"/>
    <w:lvl w:ilvl="0" w:tplc="0EFE8206">
      <w:start w:val="1"/>
      <w:numFmt w:val="bullet"/>
      <w:lvlText w:val="•"/>
      <w:lvlJc w:val="left"/>
      <w:pPr>
        <w:tabs>
          <w:tab w:val="num" w:pos="720"/>
        </w:tabs>
        <w:ind w:left="720" w:hanging="360"/>
      </w:pPr>
      <w:rPr>
        <w:rFonts w:ascii="Arial" w:hAnsi="Arial" w:hint="default"/>
      </w:rPr>
    </w:lvl>
    <w:lvl w:ilvl="1" w:tplc="97B45C8E" w:tentative="1">
      <w:start w:val="1"/>
      <w:numFmt w:val="bullet"/>
      <w:lvlText w:val="•"/>
      <w:lvlJc w:val="left"/>
      <w:pPr>
        <w:tabs>
          <w:tab w:val="num" w:pos="1440"/>
        </w:tabs>
        <w:ind w:left="1440" w:hanging="360"/>
      </w:pPr>
      <w:rPr>
        <w:rFonts w:ascii="Arial" w:hAnsi="Arial" w:hint="default"/>
      </w:rPr>
    </w:lvl>
    <w:lvl w:ilvl="2" w:tplc="08EA468C" w:tentative="1">
      <w:start w:val="1"/>
      <w:numFmt w:val="bullet"/>
      <w:lvlText w:val="•"/>
      <w:lvlJc w:val="left"/>
      <w:pPr>
        <w:tabs>
          <w:tab w:val="num" w:pos="2160"/>
        </w:tabs>
        <w:ind w:left="2160" w:hanging="360"/>
      </w:pPr>
      <w:rPr>
        <w:rFonts w:ascii="Arial" w:hAnsi="Arial" w:hint="default"/>
      </w:rPr>
    </w:lvl>
    <w:lvl w:ilvl="3" w:tplc="F7BC9A6E" w:tentative="1">
      <w:start w:val="1"/>
      <w:numFmt w:val="bullet"/>
      <w:lvlText w:val="•"/>
      <w:lvlJc w:val="left"/>
      <w:pPr>
        <w:tabs>
          <w:tab w:val="num" w:pos="2880"/>
        </w:tabs>
        <w:ind w:left="2880" w:hanging="360"/>
      </w:pPr>
      <w:rPr>
        <w:rFonts w:ascii="Arial" w:hAnsi="Arial" w:hint="default"/>
      </w:rPr>
    </w:lvl>
    <w:lvl w:ilvl="4" w:tplc="EC3202E6" w:tentative="1">
      <w:start w:val="1"/>
      <w:numFmt w:val="bullet"/>
      <w:lvlText w:val="•"/>
      <w:lvlJc w:val="left"/>
      <w:pPr>
        <w:tabs>
          <w:tab w:val="num" w:pos="3600"/>
        </w:tabs>
        <w:ind w:left="3600" w:hanging="360"/>
      </w:pPr>
      <w:rPr>
        <w:rFonts w:ascii="Arial" w:hAnsi="Arial" w:hint="default"/>
      </w:rPr>
    </w:lvl>
    <w:lvl w:ilvl="5" w:tplc="8A22E3FE" w:tentative="1">
      <w:start w:val="1"/>
      <w:numFmt w:val="bullet"/>
      <w:lvlText w:val="•"/>
      <w:lvlJc w:val="left"/>
      <w:pPr>
        <w:tabs>
          <w:tab w:val="num" w:pos="4320"/>
        </w:tabs>
        <w:ind w:left="4320" w:hanging="360"/>
      </w:pPr>
      <w:rPr>
        <w:rFonts w:ascii="Arial" w:hAnsi="Arial" w:hint="default"/>
      </w:rPr>
    </w:lvl>
    <w:lvl w:ilvl="6" w:tplc="19286DEE" w:tentative="1">
      <w:start w:val="1"/>
      <w:numFmt w:val="bullet"/>
      <w:lvlText w:val="•"/>
      <w:lvlJc w:val="left"/>
      <w:pPr>
        <w:tabs>
          <w:tab w:val="num" w:pos="5040"/>
        </w:tabs>
        <w:ind w:left="5040" w:hanging="360"/>
      </w:pPr>
      <w:rPr>
        <w:rFonts w:ascii="Arial" w:hAnsi="Arial" w:hint="default"/>
      </w:rPr>
    </w:lvl>
    <w:lvl w:ilvl="7" w:tplc="E72C396A" w:tentative="1">
      <w:start w:val="1"/>
      <w:numFmt w:val="bullet"/>
      <w:lvlText w:val="•"/>
      <w:lvlJc w:val="left"/>
      <w:pPr>
        <w:tabs>
          <w:tab w:val="num" w:pos="5760"/>
        </w:tabs>
        <w:ind w:left="5760" w:hanging="360"/>
      </w:pPr>
      <w:rPr>
        <w:rFonts w:ascii="Arial" w:hAnsi="Arial" w:hint="default"/>
      </w:rPr>
    </w:lvl>
    <w:lvl w:ilvl="8" w:tplc="24D0AB8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EAC2775"/>
    <w:multiLevelType w:val="hybridMultilevel"/>
    <w:tmpl w:val="EB162FB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00B1F67"/>
    <w:multiLevelType w:val="hybridMultilevel"/>
    <w:tmpl w:val="B386C88E"/>
    <w:lvl w:ilvl="0" w:tplc="8454FE24">
      <w:start w:val="1"/>
      <w:numFmt w:val="bullet"/>
      <w:lvlText w:val="•"/>
      <w:lvlJc w:val="left"/>
      <w:pPr>
        <w:tabs>
          <w:tab w:val="num" w:pos="720"/>
        </w:tabs>
        <w:ind w:left="720" w:hanging="360"/>
      </w:pPr>
      <w:rPr>
        <w:rFonts w:ascii="Arial" w:hAnsi="Arial" w:hint="default"/>
      </w:rPr>
    </w:lvl>
    <w:lvl w:ilvl="1" w:tplc="42BA3C32" w:tentative="1">
      <w:start w:val="1"/>
      <w:numFmt w:val="bullet"/>
      <w:lvlText w:val="•"/>
      <w:lvlJc w:val="left"/>
      <w:pPr>
        <w:tabs>
          <w:tab w:val="num" w:pos="1440"/>
        </w:tabs>
        <w:ind w:left="1440" w:hanging="360"/>
      </w:pPr>
      <w:rPr>
        <w:rFonts w:ascii="Arial" w:hAnsi="Arial" w:hint="default"/>
      </w:rPr>
    </w:lvl>
    <w:lvl w:ilvl="2" w:tplc="99E2231E" w:tentative="1">
      <w:start w:val="1"/>
      <w:numFmt w:val="bullet"/>
      <w:lvlText w:val="•"/>
      <w:lvlJc w:val="left"/>
      <w:pPr>
        <w:tabs>
          <w:tab w:val="num" w:pos="2160"/>
        </w:tabs>
        <w:ind w:left="2160" w:hanging="360"/>
      </w:pPr>
      <w:rPr>
        <w:rFonts w:ascii="Arial" w:hAnsi="Arial" w:hint="default"/>
      </w:rPr>
    </w:lvl>
    <w:lvl w:ilvl="3" w:tplc="B5621E00" w:tentative="1">
      <w:start w:val="1"/>
      <w:numFmt w:val="bullet"/>
      <w:lvlText w:val="•"/>
      <w:lvlJc w:val="left"/>
      <w:pPr>
        <w:tabs>
          <w:tab w:val="num" w:pos="2880"/>
        </w:tabs>
        <w:ind w:left="2880" w:hanging="360"/>
      </w:pPr>
      <w:rPr>
        <w:rFonts w:ascii="Arial" w:hAnsi="Arial" w:hint="default"/>
      </w:rPr>
    </w:lvl>
    <w:lvl w:ilvl="4" w:tplc="6B204B1A" w:tentative="1">
      <w:start w:val="1"/>
      <w:numFmt w:val="bullet"/>
      <w:lvlText w:val="•"/>
      <w:lvlJc w:val="left"/>
      <w:pPr>
        <w:tabs>
          <w:tab w:val="num" w:pos="3600"/>
        </w:tabs>
        <w:ind w:left="3600" w:hanging="360"/>
      </w:pPr>
      <w:rPr>
        <w:rFonts w:ascii="Arial" w:hAnsi="Arial" w:hint="default"/>
      </w:rPr>
    </w:lvl>
    <w:lvl w:ilvl="5" w:tplc="9FC26414" w:tentative="1">
      <w:start w:val="1"/>
      <w:numFmt w:val="bullet"/>
      <w:lvlText w:val="•"/>
      <w:lvlJc w:val="left"/>
      <w:pPr>
        <w:tabs>
          <w:tab w:val="num" w:pos="4320"/>
        </w:tabs>
        <w:ind w:left="4320" w:hanging="360"/>
      </w:pPr>
      <w:rPr>
        <w:rFonts w:ascii="Arial" w:hAnsi="Arial" w:hint="default"/>
      </w:rPr>
    </w:lvl>
    <w:lvl w:ilvl="6" w:tplc="CEC01CCE" w:tentative="1">
      <w:start w:val="1"/>
      <w:numFmt w:val="bullet"/>
      <w:lvlText w:val="•"/>
      <w:lvlJc w:val="left"/>
      <w:pPr>
        <w:tabs>
          <w:tab w:val="num" w:pos="5040"/>
        </w:tabs>
        <w:ind w:left="5040" w:hanging="360"/>
      </w:pPr>
      <w:rPr>
        <w:rFonts w:ascii="Arial" w:hAnsi="Arial" w:hint="default"/>
      </w:rPr>
    </w:lvl>
    <w:lvl w:ilvl="7" w:tplc="8CAC4898" w:tentative="1">
      <w:start w:val="1"/>
      <w:numFmt w:val="bullet"/>
      <w:lvlText w:val="•"/>
      <w:lvlJc w:val="left"/>
      <w:pPr>
        <w:tabs>
          <w:tab w:val="num" w:pos="5760"/>
        </w:tabs>
        <w:ind w:left="5760" w:hanging="360"/>
      </w:pPr>
      <w:rPr>
        <w:rFonts w:ascii="Arial" w:hAnsi="Arial" w:hint="default"/>
      </w:rPr>
    </w:lvl>
    <w:lvl w:ilvl="8" w:tplc="58B0A9D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1CE40CB"/>
    <w:multiLevelType w:val="hybridMultilevel"/>
    <w:tmpl w:val="00D8A708"/>
    <w:lvl w:ilvl="0" w:tplc="52806C5C">
      <w:start w:val="1"/>
      <w:numFmt w:val="bullet"/>
      <w:lvlText w:val="•"/>
      <w:lvlJc w:val="left"/>
      <w:pPr>
        <w:tabs>
          <w:tab w:val="num" w:pos="720"/>
        </w:tabs>
        <w:ind w:left="720" w:hanging="360"/>
      </w:pPr>
      <w:rPr>
        <w:rFonts w:ascii="Arial" w:hAnsi="Arial" w:hint="default"/>
      </w:rPr>
    </w:lvl>
    <w:lvl w:ilvl="1" w:tplc="9DDA4320" w:tentative="1">
      <w:start w:val="1"/>
      <w:numFmt w:val="bullet"/>
      <w:lvlText w:val="•"/>
      <w:lvlJc w:val="left"/>
      <w:pPr>
        <w:tabs>
          <w:tab w:val="num" w:pos="1440"/>
        </w:tabs>
        <w:ind w:left="1440" w:hanging="360"/>
      </w:pPr>
      <w:rPr>
        <w:rFonts w:ascii="Arial" w:hAnsi="Arial" w:hint="default"/>
      </w:rPr>
    </w:lvl>
    <w:lvl w:ilvl="2" w:tplc="87B6F974" w:tentative="1">
      <w:start w:val="1"/>
      <w:numFmt w:val="bullet"/>
      <w:lvlText w:val="•"/>
      <w:lvlJc w:val="left"/>
      <w:pPr>
        <w:tabs>
          <w:tab w:val="num" w:pos="2160"/>
        </w:tabs>
        <w:ind w:left="2160" w:hanging="360"/>
      </w:pPr>
      <w:rPr>
        <w:rFonts w:ascii="Arial" w:hAnsi="Arial" w:hint="default"/>
      </w:rPr>
    </w:lvl>
    <w:lvl w:ilvl="3" w:tplc="5C6E4A66" w:tentative="1">
      <w:start w:val="1"/>
      <w:numFmt w:val="bullet"/>
      <w:lvlText w:val="•"/>
      <w:lvlJc w:val="left"/>
      <w:pPr>
        <w:tabs>
          <w:tab w:val="num" w:pos="2880"/>
        </w:tabs>
        <w:ind w:left="2880" w:hanging="360"/>
      </w:pPr>
      <w:rPr>
        <w:rFonts w:ascii="Arial" w:hAnsi="Arial" w:hint="default"/>
      </w:rPr>
    </w:lvl>
    <w:lvl w:ilvl="4" w:tplc="9EACBF10" w:tentative="1">
      <w:start w:val="1"/>
      <w:numFmt w:val="bullet"/>
      <w:lvlText w:val="•"/>
      <w:lvlJc w:val="left"/>
      <w:pPr>
        <w:tabs>
          <w:tab w:val="num" w:pos="3600"/>
        </w:tabs>
        <w:ind w:left="3600" w:hanging="360"/>
      </w:pPr>
      <w:rPr>
        <w:rFonts w:ascii="Arial" w:hAnsi="Arial" w:hint="default"/>
      </w:rPr>
    </w:lvl>
    <w:lvl w:ilvl="5" w:tplc="7F0EB534" w:tentative="1">
      <w:start w:val="1"/>
      <w:numFmt w:val="bullet"/>
      <w:lvlText w:val="•"/>
      <w:lvlJc w:val="left"/>
      <w:pPr>
        <w:tabs>
          <w:tab w:val="num" w:pos="4320"/>
        </w:tabs>
        <w:ind w:left="4320" w:hanging="360"/>
      </w:pPr>
      <w:rPr>
        <w:rFonts w:ascii="Arial" w:hAnsi="Arial" w:hint="default"/>
      </w:rPr>
    </w:lvl>
    <w:lvl w:ilvl="6" w:tplc="44CCA8E4" w:tentative="1">
      <w:start w:val="1"/>
      <w:numFmt w:val="bullet"/>
      <w:lvlText w:val="•"/>
      <w:lvlJc w:val="left"/>
      <w:pPr>
        <w:tabs>
          <w:tab w:val="num" w:pos="5040"/>
        </w:tabs>
        <w:ind w:left="5040" w:hanging="360"/>
      </w:pPr>
      <w:rPr>
        <w:rFonts w:ascii="Arial" w:hAnsi="Arial" w:hint="default"/>
      </w:rPr>
    </w:lvl>
    <w:lvl w:ilvl="7" w:tplc="D3CCE1A2" w:tentative="1">
      <w:start w:val="1"/>
      <w:numFmt w:val="bullet"/>
      <w:lvlText w:val="•"/>
      <w:lvlJc w:val="left"/>
      <w:pPr>
        <w:tabs>
          <w:tab w:val="num" w:pos="5760"/>
        </w:tabs>
        <w:ind w:left="5760" w:hanging="360"/>
      </w:pPr>
      <w:rPr>
        <w:rFonts w:ascii="Arial" w:hAnsi="Arial" w:hint="default"/>
      </w:rPr>
    </w:lvl>
    <w:lvl w:ilvl="8" w:tplc="8880131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2"/>
  </w:num>
  <w:num w:numId="4">
    <w:abstractNumId w:val="5"/>
  </w:num>
  <w:num w:numId="5">
    <w:abstractNumId w:val="1"/>
  </w:num>
  <w:num w:numId="6">
    <w:abstractNumId w:val="3"/>
  </w:num>
  <w:num w:numId="7">
    <w:abstractNumId w:val="8"/>
  </w:num>
  <w:num w:numId="8">
    <w:abstractNumId w:val="7"/>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36C"/>
    <w:rsid w:val="00073D11"/>
    <w:rsid w:val="00075500"/>
    <w:rsid w:val="000F60AD"/>
    <w:rsid w:val="001036FF"/>
    <w:rsid w:val="00115388"/>
    <w:rsid w:val="0012063D"/>
    <w:rsid w:val="00120F09"/>
    <w:rsid w:val="00121326"/>
    <w:rsid w:val="001368D8"/>
    <w:rsid w:val="0015543B"/>
    <w:rsid w:val="001A6786"/>
    <w:rsid w:val="001C709E"/>
    <w:rsid w:val="001E40BB"/>
    <w:rsid w:val="00224C4E"/>
    <w:rsid w:val="0023236C"/>
    <w:rsid w:val="00237905"/>
    <w:rsid w:val="002B70A4"/>
    <w:rsid w:val="002C1C78"/>
    <w:rsid w:val="00304661"/>
    <w:rsid w:val="00320FBD"/>
    <w:rsid w:val="00386ADA"/>
    <w:rsid w:val="004005F7"/>
    <w:rsid w:val="004610C4"/>
    <w:rsid w:val="004701DE"/>
    <w:rsid w:val="004731FC"/>
    <w:rsid w:val="00534729"/>
    <w:rsid w:val="00556DF6"/>
    <w:rsid w:val="00564B78"/>
    <w:rsid w:val="00595CCA"/>
    <w:rsid w:val="005B0307"/>
    <w:rsid w:val="0061300D"/>
    <w:rsid w:val="00632636"/>
    <w:rsid w:val="006C4656"/>
    <w:rsid w:val="00720D6C"/>
    <w:rsid w:val="00736F4D"/>
    <w:rsid w:val="0077003F"/>
    <w:rsid w:val="007919AB"/>
    <w:rsid w:val="007A5245"/>
    <w:rsid w:val="007D4B44"/>
    <w:rsid w:val="008040A0"/>
    <w:rsid w:val="0082661D"/>
    <w:rsid w:val="00827489"/>
    <w:rsid w:val="008423DA"/>
    <w:rsid w:val="00844979"/>
    <w:rsid w:val="008863EE"/>
    <w:rsid w:val="008914D0"/>
    <w:rsid w:val="00893BC1"/>
    <w:rsid w:val="008C432F"/>
    <w:rsid w:val="008D245C"/>
    <w:rsid w:val="008D5F41"/>
    <w:rsid w:val="008E06FB"/>
    <w:rsid w:val="008E3330"/>
    <w:rsid w:val="00901444"/>
    <w:rsid w:val="00970E53"/>
    <w:rsid w:val="00973BC5"/>
    <w:rsid w:val="0098669F"/>
    <w:rsid w:val="009B3E17"/>
    <w:rsid w:val="009D26AA"/>
    <w:rsid w:val="00A25CD1"/>
    <w:rsid w:val="00A9578A"/>
    <w:rsid w:val="00AB419D"/>
    <w:rsid w:val="00AD5C2D"/>
    <w:rsid w:val="00AE784D"/>
    <w:rsid w:val="00B117E0"/>
    <w:rsid w:val="00BE0AA9"/>
    <w:rsid w:val="00BE604A"/>
    <w:rsid w:val="00C10F0A"/>
    <w:rsid w:val="00C21BAC"/>
    <w:rsid w:val="00C27BFA"/>
    <w:rsid w:val="00C414FF"/>
    <w:rsid w:val="00C747C5"/>
    <w:rsid w:val="00CD4788"/>
    <w:rsid w:val="00D10A27"/>
    <w:rsid w:val="00D16CE2"/>
    <w:rsid w:val="00D518AA"/>
    <w:rsid w:val="00DD3F3E"/>
    <w:rsid w:val="00E60273"/>
    <w:rsid w:val="00E82C45"/>
    <w:rsid w:val="00E95CDA"/>
    <w:rsid w:val="00EC6B05"/>
    <w:rsid w:val="00F44266"/>
    <w:rsid w:val="00F468CB"/>
    <w:rsid w:val="00F72FDA"/>
    <w:rsid w:val="00F83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92BEE"/>
  <w15:chartTrackingRefBased/>
  <w15:docId w15:val="{F4302CD5-E874-4D66-8A2E-6EC3C76D6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236C"/>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8040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14FF"/>
    <w:rPr>
      <w:color w:val="0563C1" w:themeColor="hyperlink"/>
      <w:u w:val="single"/>
    </w:rPr>
  </w:style>
  <w:style w:type="character" w:styleId="UnresolvedMention">
    <w:name w:val="Unresolved Mention"/>
    <w:basedOn w:val="DefaultParagraphFont"/>
    <w:uiPriority w:val="99"/>
    <w:semiHidden/>
    <w:unhideWhenUsed/>
    <w:rsid w:val="00C414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30285">
      <w:bodyDiv w:val="1"/>
      <w:marLeft w:val="0"/>
      <w:marRight w:val="0"/>
      <w:marTop w:val="0"/>
      <w:marBottom w:val="0"/>
      <w:divBdr>
        <w:top w:val="none" w:sz="0" w:space="0" w:color="auto"/>
        <w:left w:val="none" w:sz="0" w:space="0" w:color="auto"/>
        <w:bottom w:val="none" w:sz="0" w:space="0" w:color="auto"/>
        <w:right w:val="none" w:sz="0" w:space="0" w:color="auto"/>
      </w:divBdr>
      <w:divsChild>
        <w:div w:id="707410438">
          <w:marLeft w:val="0"/>
          <w:marRight w:val="0"/>
          <w:marTop w:val="0"/>
          <w:marBottom w:val="160"/>
          <w:divBdr>
            <w:top w:val="none" w:sz="0" w:space="0" w:color="auto"/>
            <w:left w:val="none" w:sz="0" w:space="0" w:color="auto"/>
            <w:bottom w:val="none" w:sz="0" w:space="0" w:color="auto"/>
            <w:right w:val="none" w:sz="0" w:space="0" w:color="auto"/>
          </w:divBdr>
        </w:div>
      </w:divsChild>
    </w:div>
    <w:div w:id="79445255">
      <w:bodyDiv w:val="1"/>
      <w:marLeft w:val="0"/>
      <w:marRight w:val="0"/>
      <w:marTop w:val="0"/>
      <w:marBottom w:val="0"/>
      <w:divBdr>
        <w:top w:val="none" w:sz="0" w:space="0" w:color="auto"/>
        <w:left w:val="none" w:sz="0" w:space="0" w:color="auto"/>
        <w:bottom w:val="none" w:sz="0" w:space="0" w:color="auto"/>
        <w:right w:val="none" w:sz="0" w:space="0" w:color="auto"/>
      </w:divBdr>
    </w:div>
    <w:div w:id="159083851">
      <w:bodyDiv w:val="1"/>
      <w:marLeft w:val="0"/>
      <w:marRight w:val="0"/>
      <w:marTop w:val="0"/>
      <w:marBottom w:val="0"/>
      <w:divBdr>
        <w:top w:val="none" w:sz="0" w:space="0" w:color="auto"/>
        <w:left w:val="none" w:sz="0" w:space="0" w:color="auto"/>
        <w:bottom w:val="none" w:sz="0" w:space="0" w:color="auto"/>
        <w:right w:val="none" w:sz="0" w:space="0" w:color="auto"/>
      </w:divBdr>
      <w:divsChild>
        <w:div w:id="316690047">
          <w:marLeft w:val="0"/>
          <w:marRight w:val="0"/>
          <w:marTop w:val="0"/>
          <w:marBottom w:val="160"/>
          <w:divBdr>
            <w:top w:val="none" w:sz="0" w:space="0" w:color="auto"/>
            <w:left w:val="none" w:sz="0" w:space="0" w:color="auto"/>
            <w:bottom w:val="none" w:sz="0" w:space="0" w:color="auto"/>
            <w:right w:val="none" w:sz="0" w:space="0" w:color="auto"/>
          </w:divBdr>
        </w:div>
      </w:divsChild>
    </w:div>
    <w:div w:id="376929768">
      <w:bodyDiv w:val="1"/>
      <w:marLeft w:val="0"/>
      <w:marRight w:val="0"/>
      <w:marTop w:val="0"/>
      <w:marBottom w:val="0"/>
      <w:divBdr>
        <w:top w:val="none" w:sz="0" w:space="0" w:color="auto"/>
        <w:left w:val="none" w:sz="0" w:space="0" w:color="auto"/>
        <w:bottom w:val="none" w:sz="0" w:space="0" w:color="auto"/>
        <w:right w:val="none" w:sz="0" w:space="0" w:color="auto"/>
      </w:divBdr>
      <w:divsChild>
        <w:div w:id="771096640">
          <w:marLeft w:val="0"/>
          <w:marRight w:val="0"/>
          <w:marTop w:val="0"/>
          <w:marBottom w:val="160"/>
          <w:divBdr>
            <w:top w:val="none" w:sz="0" w:space="0" w:color="auto"/>
            <w:left w:val="none" w:sz="0" w:space="0" w:color="auto"/>
            <w:bottom w:val="none" w:sz="0" w:space="0" w:color="auto"/>
            <w:right w:val="none" w:sz="0" w:space="0" w:color="auto"/>
          </w:divBdr>
        </w:div>
      </w:divsChild>
    </w:div>
    <w:div w:id="469636873">
      <w:bodyDiv w:val="1"/>
      <w:marLeft w:val="0"/>
      <w:marRight w:val="0"/>
      <w:marTop w:val="0"/>
      <w:marBottom w:val="0"/>
      <w:divBdr>
        <w:top w:val="none" w:sz="0" w:space="0" w:color="auto"/>
        <w:left w:val="none" w:sz="0" w:space="0" w:color="auto"/>
        <w:bottom w:val="none" w:sz="0" w:space="0" w:color="auto"/>
        <w:right w:val="none" w:sz="0" w:space="0" w:color="auto"/>
      </w:divBdr>
      <w:divsChild>
        <w:div w:id="830605326">
          <w:marLeft w:val="0"/>
          <w:marRight w:val="0"/>
          <w:marTop w:val="0"/>
          <w:marBottom w:val="160"/>
          <w:divBdr>
            <w:top w:val="none" w:sz="0" w:space="0" w:color="auto"/>
            <w:left w:val="none" w:sz="0" w:space="0" w:color="auto"/>
            <w:bottom w:val="none" w:sz="0" w:space="0" w:color="auto"/>
            <w:right w:val="none" w:sz="0" w:space="0" w:color="auto"/>
          </w:divBdr>
        </w:div>
      </w:divsChild>
    </w:div>
    <w:div w:id="640423797">
      <w:bodyDiv w:val="1"/>
      <w:marLeft w:val="0"/>
      <w:marRight w:val="0"/>
      <w:marTop w:val="0"/>
      <w:marBottom w:val="0"/>
      <w:divBdr>
        <w:top w:val="none" w:sz="0" w:space="0" w:color="auto"/>
        <w:left w:val="none" w:sz="0" w:space="0" w:color="auto"/>
        <w:bottom w:val="none" w:sz="0" w:space="0" w:color="auto"/>
        <w:right w:val="none" w:sz="0" w:space="0" w:color="auto"/>
      </w:divBdr>
    </w:div>
    <w:div w:id="690306091">
      <w:bodyDiv w:val="1"/>
      <w:marLeft w:val="0"/>
      <w:marRight w:val="0"/>
      <w:marTop w:val="0"/>
      <w:marBottom w:val="0"/>
      <w:divBdr>
        <w:top w:val="none" w:sz="0" w:space="0" w:color="auto"/>
        <w:left w:val="none" w:sz="0" w:space="0" w:color="auto"/>
        <w:bottom w:val="none" w:sz="0" w:space="0" w:color="auto"/>
        <w:right w:val="none" w:sz="0" w:space="0" w:color="auto"/>
      </w:divBdr>
      <w:divsChild>
        <w:div w:id="353507404">
          <w:marLeft w:val="0"/>
          <w:marRight w:val="0"/>
          <w:marTop w:val="0"/>
          <w:marBottom w:val="160"/>
          <w:divBdr>
            <w:top w:val="none" w:sz="0" w:space="0" w:color="auto"/>
            <w:left w:val="none" w:sz="0" w:space="0" w:color="auto"/>
            <w:bottom w:val="none" w:sz="0" w:space="0" w:color="auto"/>
            <w:right w:val="none" w:sz="0" w:space="0" w:color="auto"/>
          </w:divBdr>
        </w:div>
      </w:divsChild>
    </w:div>
    <w:div w:id="1197427728">
      <w:bodyDiv w:val="1"/>
      <w:marLeft w:val="0"/>
      <w:marRight w:val="0"/>
      <w:marTop w:val="0"/>
      <w:marBottom w:val="0"/>
      <w:divBdr>
        <w:top w:val="none" w:sz="0" w:space="0" w:color="auto"/>
        <w:left w:val="none" w:sz="0" w:space="0" w:color="auto"/>
        <w:bottom w:val="none" w:sz="0" w:space="0" w:color="auto"/>
        <w:right w:val="none" w:sz="0" w:space="0" w:color="auto"/>
      </w:divBdr>
      <w:divsChild>
        <w:div w:id="1711417685">
          <w:marLeft w:val="0"/>
          <w:marRight w:val="0"/>
          <w:marTop w:val="0"/>
          <w:marBottom w:val="160"/>
          <w:divBdr>
            <w:top w:val="none" w:sz="0" w:space="0" w:color="auto"/>
            <w:left w:val="none" w:sz="0" w:space="0" w:color="auto"/>
            <w:bottom w:val="none" w:sz="0" w:space="0" w:color="auto"/>
            <w:right w:val="none" w:sz="0" w:space="0" w:color="auto"/>
          </w:divBdr>
        </w:div>
      </w:divsChild>
    </w:div>
    <w:div w:id="1411922403">
      <w:bodyDiv w:val="1"/>
      <w:marLeft w:val="0"/>
      <w:marRight w:val="0"/>
      <w:marTop w:val="0"/>
      <w:marBottom w:val="0"/>
      <w:divBdr>
        <w:top w:val="none" w:sz="0" w:space="0" w:color="auto"/>
        <w:left w:val="none" w:sz="0" w:space="0" w:color="auto"/>
        <w:bottom w:val="none" w:sz="0" w:space="0" w:color="auto"/>
        <w:right w:val="none" w:sz="0" w:space="0" w:color="auto"/>
      </w:divBdr>
      <w:divsChild>
        <w:div w:id="774832230">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geing-better.org.uk/about-us/our-vision-missio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2AEC36-8276-417F-B462-B893BE76A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8</Pages>
  <Words>3609</Words>
  <Characters>20577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7</cp:revision>
  <dcterms:created xsi:type="dcterms:W3CDTF">2021-11-15T11:16:00Z</dcterms:created>
  <dcterms:modified xsi:type="dcterms:W3CDTF">2021-11-20T18:22:00Z</dcterms:modified>
</cp:coreProperties>
</file>