
<file path=[Content_Types].xml><?xml version="1.0" encoding="utf-8"?>
<Types xmlns="http://schemas.openxmlformats.org/package/2006/content-types">
  <Default Extension="xml" ContentType="application/xml"/>
  <Default Extension="xlsx" ContentType="application/vnd.openxmlformats-officedocument.spreadsheetml.sheet"/>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2A24D4" w14:textId="77777777" w:rsidR="00A218D3" w:rsidRDefault="00A218D3" w:rsidP="00D0334F">
      <w:pPr>
        <w:spacing w:line="360" w:lineRule="auto"/>
        <w:jc w:val="both"/>
        <w:rPr>
          <w:b/>
        </w:rPr>
      </w:pPr>
      <w:r w:rsidRPr="00BD7B57">
        <w:rPr>
          <w:b/>
        </w:rPr>
        <w:t>Chapter 1.</w:t>
      </w:r>
      <w:r w:rsidRPr="00BD7B57">
        <w:rPr>
          <w:b/>
        </w:rPr>
        <w:tab/>
        <w:t xml:space="preserve">Introduction </w:t>
      </w:r>
    </w:p>
    <w:p w14:paraId="65257E2D" w14:textId="77777777" w:rsidR="00547B8B" w:rsidRPr="00BD7B57" w:rsidRDefault="00547B8B" w:rsidP="00D0334F">
      <w:pPr>
        <w:spacing w:line="360" w:lineRule="auto"/>
        <w:jc w:val="both"/>
        <w:rPr>
          <w:b/>
        </w:rPr>
      </w:pPr>
    </w:p>
    <w:p w14:paraId="15D394BD" w14:textId="77777777" w:rsidR="00A218D3" w:rsidRDefault="00A218D3" w:rsidP="00D0334F">
      <w:pPr>
        <w:spacing w:line="360" w:lineRule="auto"/>
        <w:jc w:val="both"/>
      </w:pPr>
    </w:p>
    <w:p w14:paraId="70FDC137" w14:textId="77777777" w:rsidR="00A218D3" w:rsidRDefault="00A218D3" w:rsidP="00D0334F">
      <w:pPr>
        <w:spacing w:line="360" w:lineRule="auto"/>
        <w:jc w:val="both"/>
      </w:pPr>
      <w:r>
        <w:t>I conduct this research objectively and as neutral as possible.  The research is carried out independently of my professional role in an attempt not to contaminate the findings which largely supports the notion of adopting the Thomas (2013) paradigm of a positivist.  Through various methods including anonymous practitioner questionnaires, school data and a semi-structured interview, this research study aims to explore adults’ perspectives of child wellbeing from one school in Wales and begin to explore the key themes drawn out from the results to inform my future practice.</w:t>
      </w:r>
    </w:p>
    <w:p w14:paraId="51EA61C7" w14:textId="77777777" w:rsidR="00A218D3" w:rsidRDefault="00A218D3" w:rsidP="00D0334F">
      <w:pPr>
        <w:spacing w:line="360" w:lineRule="auto"/>
        <w:jc w:val="both"/>
      </w:pPr>
    </w:p>
    <w:p w14:paraId="27B5E071" w14:textId="77777777" w:rsidR="00A218D3" w:rsidRDefault="00A218D3" w:rsidP="00D0334F">
      <w:pPr>
        <w:spacing w:line="360" w:lineRule="auto"/>
        <w:jc w:val="both"/>
      </w:pPr>
    </w:p>
    <w:p w14:paraId="07701E07" w14:textId="77777777" w:rsidR="00A218D3" w:rsidRDefault="00A218D3" w:rsidP="00D0334F">
      <w:pPr>
        <w:spacing w:line="360" w:lineRule="auto"/>
        <w:jc w:val="both"/>
      </w:pPr>
      <w:r>
        <w:t>Unicef is the world’s largest children’s organisation, working in over one hundred and ninety-three countries around the world.  Unicef UK recognise that life for children in the UK can be tough.  Latest statistic shows that almost four million children (Unicef, 2009) live in poverty, obesity and mental health problems are rising, with many children experiencing violence, abuse and neglect.  So here in the UK, Unicef work with hospitals where children are born, schools where they learn and grow, and the communities that shape their lives.  As Unicef’s Professional Advisor; ‘Wales’, I work with and support education and schools in Wales to adopt a child rights-based approach through Unicef UK’s Rights Respecting Schools Award (RRS).  Before discussing how this research study will inform my professional practice, it would be oversight not to introduce the background of children’s rights in the UK and Wales and provide an overview of Unicef’s RRS to set the context for the research.</w:t>
      </w:r>
    </w:p>
    <w:p w14:paraId="733CB740" w14:textId="77777777" w:rsidR="00A218D3" w:rsidRDefault="00A218D3" w:rsidP="00D0334F">
      <w:pPr>
        <w:spacing w:line="360" w:lineRule="auto"/>
        <w:jc w:val="both"/>
      </w:pPr>
    </w:p>
    <w:p w14:paraId="7B4F01BD" w14:textId="77777777" w:rsidR="00A218D3" w:rsidRDefault="00A218D3" w:rsidP="00D0334F">
      <w:pPr>
        <w:spacing w:line="360" w:lineRule="auto"/>
        <w:jc w:val="both"/>
      </w:pPr>
    </w:p>
    <w:p w14:paraId="2102BAA8" w14:textId="77777777" w:rsidR="00A218D3" w:rsidRDefault="00A218D3" w:rsidP="00D0334F">
      <w:pPr>
        <w:spacing w:line="360" w:lineRule="auto"/>
        <w:jc w:val="both"/>
      </w:pPr>
      <w:r>
        <w:t xml:space="preserve">United Nations Convention on the Rights of the Child (UNCRC) (Unicef, no date) applies to all children and young people under 18 and is a legally-binding international agreement setting out the civil, political, economic, social and cultural rights of every child, regardless of their race, religion or abilities.  The articles enshrined within the UNCRC aim to recognise the rights of children and young people and ensure that they grow up in the spirit of peace, dignity, tolerance, freedom, equity and solidarity. The Convention consists of fifty-four articles that cover all aspects of a child’s life.  Whilst articles one to forty-two are directly for children, </w:t>
      </w:r>
      <w:r>
        <w:lastRenderedPageBreak/>
        <w:t xml:space="preserve">articles forty-three to fifty-two set out how duty bearers including governments need to work together to ensure that all children’s rights are realised. There are four articles in the Convention that are seen as special (Unicef, 2018); known as the </w:t>
      </w:r>
      <w:r w:rsidRPr="00C53DB6">
        <w:rPr>
          <w:i/>
        </w:rPr>
        <w:t>‘General Principles’</w:t>
      </w:r>
      <w:r>
        <w:t>.  These principles help to interpret all the other articles and play a fundamental role in making rights a reality for all children.  They are;</w:t>
      </w:r>
    </w:p>
    <w:p w14:paraId="00BF706A" w14:textId="77777777" w:rsidR="00A218D3" w:rsidRDefault="00A218D3" w:rsidP="00D0334F">
      <w:pPr>
        <w:spacing w:line="360" w:lineRule="auto"/>
        <w:jc w:val="both"/>
      </w:pPr>
    </w:p>
    <w:p w14:paraId="4B483A85" w14:textId="77777777" w:rsidR="00A218D3" w:rsidRDefault="00A218D3" w:rsidP="00D0334F">
      <w:pPr>
        <w:pStyle w:val="ListParagraph"/>
        <w:numPr>
          <w:ilvl w:val="0"/>
          <w:numId w:val="1"/>
        </w:numPr>
        <w:ind w:left="1440"/>
        <w:jc w:val="both"/>
      </w:pPr>
      <w:r>
        <w:t>Non-discrimination (Article 2)</w:t>
      </w:r>
    </w:p>
    <w:p w14:paraId="2CF9DA02" w14:textId="77777777" w:rsidR="00A218D3" w:rsidRDefault="00A218D3" w:rsidP="00D0334F">
      <w:pPr>
        <w:pStyle w:val="ListParagraph"/>
        <w:numPr>
          <w:ilvl w:val="0"/>
          <w:numId w:val="1"/>
        </w:numPr>
        <w:ind w:left="1440"/>
        <w:jc w:val="both"/>
      </w:pPr>
      <w:r>
        <w:t>Best Interests of the Child (Article 3)</w:t>
      </w:r>
    </w:p>
    <w:p w14:paraId="082D4DEE" w14:textId="77777777" w:rsidR="00A218D3" w:rsidRDefault="00A218D3" w:rsidP="00D0334F">
      <w:pPr>
        <w:pStyle w:val="ListParagraph"/>
        <w:numPr>
          <w:ilvl w:val="0"/>
          <w:numId w:val="1"/>
        </w:numPr>
        <w:ind w:left="1440"/>
        <w:jc w:val="both"/>
      </w:pPr>
      <w:r>
        <w:t>Right to life, survival and development (Article 6)</w:t>
      </w:r>
    </w:p>
    <w:p w14:paraId="4D1356B6" w14:textId="77777777" w:rsidR="00A218D3" w:rsidRDefault="00A218D3" w:rsidP="00D0334F">
      <w:pPr>
        <w:pStyle w:val="ListParagraph"/>
        <w:numPr>
          <w:ilvl w:val="0"/>
          <w:numId w:val="1"/>
        </w:numPr>
        <w:ind w:left="1440"/>
        <w:jc w:val="both"/>
      </w:pPr>
      <w:r>
        <w:t xml:space="preserve">Right to be heard (Article 12) </w:t>
      </w:r>
    </w:p>
    <w:p w14:paraId="79F2673E" w14:textId="77777777" w:rsidR="00A218D3" w:rsidRDefault="00A218D3" w:rsidP="00D0334F">
      <w:pPr>
        <w:ind w:left="1440"/>
        <w:jc w:val="both"/>
      </w:pPr>
    </w:p>
    <w:p w14:paraId="636FC1A3" w14:textId="77777777" w:rsidR="00A218D3" w:rsidRDefault="00A218D3" w:rsidP="00D0334F">
      <w:pPr>
        <w:ind w:left="6480"/>
        <w:jc w:val="right"/>
      </w:pPr>
      <w:r>
        <w:t>(Unicef, 2008)</w:t>
      </w:r>
    </w:p>
    <w:p w14:paraId="51647DD4" w14:textId="77777777" w:rsidR="00A218D3" w:rsidRDefault="00A218D3" w:rsidP="00D0334F">
      <w:pPr>
        <w:spacing w:line="360" w:lineRule="auto"/>
        <w:jc w:val="both"/>
      </w:pPr>
    </w:p>
    <w:p w14:paraId="173C1246" w14:textId="77777777" w:rsidR="00A218D3" w:rsidRDefault="00A218D3" w:rsidP="00D0334F">
      <w:pPr>
        <w:spacing w:line="360" w:lineRule="auto"/>
        <w:jc w:val="both"/>
      </w:pPr>
    </w:p>
    <w:p w14:paraId="7695BC40" w14:textId="77777777" w:rsidR="00A218D3" w:rsidRDefault="00A218D3" w:rsidP="00D0334F">
      <w:pPr>
        <w:spacing w:line="360" w:lineRule="auto"/>
        <w:jc w:val="both"/>
      </w:pPr>
      <w:r>
        <w:t>The UNCRC was drafted in 1989 and is the most widely and rapidly ratified human rights treaty in history.  However, the fact that a country has ratified it does not guarantee that the rights within it shall be respected, protected and fulfilled.  This can only be ensured when steps are taken to embody the Convention into domestic law, policy and practice.  Over one hundred and ninety countries around the world have ratified the UNCRC, including the United Kingdom on 16</w:t>
      </w:r>
      <w:r w:rsidRPr="0001025A">
        <w:rPr>
          <w:vertAlign w:val="superscript"/>
        </w:rPr>
        <w:t>th</w:t>
      </w:r>
      <w:r>
        <w:t xml:space="preserve"> December, 1991. The United States of America (USA) is the only country in the world not to have ratified the Convention.  In the context of Wales, the Welsh Government stated that policy making for children and young people in Wales (Welsh Government, 2000) which are explored later in the literature review as their vision for children. Welsh Government went further on 18</w:t>
      </w:r>
      <w:r w:rsidRPr="001B4F90">
        <w:rPr>
          <w:vertAlign w:val="superscript"/>
        </w:rPr>
        <w:t>th</w:t>
      </w:r>
      <w:r>
        <w:t xml:space="preserve"> February 2011, when a landmark piece of legislation (Wales, 2011) was approved with unanimous cross-party support to impose a statutory requirement on Welsh Ministers to show a due regard to the Convention and the obligations set out in the UNCRC and its Optional Protocols when exercising their functions and making decisions.  As part of the Rights of </w:t>
      </w:r>
      <w:r w:rsidRPr="00F83B23">
        <w:rPr>
          <w:i/>
        </w:rPr>
        <w:t xml:space="preserve">Children and Young People (Wales) Measure </w:t>
      </w:r>
      <w:r>
        <w:t>(Wales, 2011), Ministers also have an obligation as part of Article 42 to promote knowledge and awareness of the UNCRC.  Unicef’s RRS programme contributes to the realisation of this obligation.</w:t>
      </w:r>
    </w:p>
    <w:p w14:paraId="6963E59F" w14:textId="77777777" w:rsidR="00A218D3" w:rsidRDefault="00A218D3" w:rsidP="00D0334F">
      <w:pPr>
        <w:spacing w:line="360" w:lineRule="auto"/>
        <w:jc w:val="both"/>
      </w:pPr>
    </w:p>
    <w:p w14:paraId="386D0710" w14:textId="77777777" w:rsidR="00A218D3" w:rsidRDefault="00A218D3" w:rsidP="00D0334F">
      <w:pPr>
        <w:spacing w:line="360" w:lineRule="auto"/>
        <w:jc w:val="both"/>
      </w:pPr>
    </w:p>
    <w:p w14:paraId="49B4C5C8" w14:textId="77777777" w:rsidR="00A218D3" w:rsidRDefault="00A218D3" w:rsidP="00D0334F">
      <w:pPr>
        <w:spacing w:line="360" w:lineRule="auto"/>
        <w:jc w:val="both"/>
      </w:pPr>
      <w:r>
        <w:lastRenderedPageBreak/>
        <w:t xml:space="preserve">Unicef works with schools in the UK to create safe and inspiring places for them to learn, where children are respected, their talents are nurtured and they can thrive.  The RRS programme aims to puts children’s rights at the heart of a school’s ethos by embedding its values and principles into daily life.  By doing this, RRS aims to improve the positive outcomes for children by giving them the best chance to lead happy, healthy lives and empower them to be responsible, active citizens (Unicef, 2019).  RRS is part of the wider Unicef UK Programmes Directorate and since its introduction in 2004, there continues to be a steady growth in the number of schools engaged with RRS across all four jurisdictions of the UK with over 1.6 million children in the UK attending a RRS school, thus nearly five thousand schools up and down the country working their way through the award (Unicef, 2019).  Scotland has seen the most rapid growth with just over fifty-five percent of schools (mainstream primary, secondary and special schools) engaged with RRS.  As Scotland places health and wellbeing as one of their eight statutory </w:t>
      </w:r>
      <w:r w:rsidRPr="00EB6A93">
        <w:rPr>
          <w:i/>
        </w:rPr>
        <w:t>Curriculum Domains</w:t>
      </w:r>
      <w:r>
        <w:t xml:space="preserve"> (Scotland, 2009), there is evidence to support the hypothesis that the Scottish </w:t>
      </w:r>
      <w:r w:rsidRPr="00EB6A93">
        <w:rPr>
          <w:i/>
        </w:rPr>
        <w:t>Curriculum for Excellence</w:t>
      </w:r>
      <w:r>
        <w:t xml:space="preserve"> (Scotland, 2009) is the catalyst for the high engagement of schools across Scotland.  The uptake in Northern Ireland and England is much lower than Scotland, with just over twenty-five percent of Welsh schools engaged with the RRS programme.</w:t>
      </w:r>
    </w:p>
    <w:p w14:paraId="371462BF" w14:textId="77777777" w:rsidR="00A218D3" w:rsidRDefault="00A218D3" w:rsidP="00D0334F">
      <w:pPr>
        <w:spacing w:line="360" w:lineRule="auto"/>
        <w:jc w:val="both"/>
      </w:pPr>
    </w:p>
    <w:p w14:paraId="241D121B" w14:textId="77777777" w:rsidR="00A218D3" w:rsidRDefault="00A218D3" w:rsidP="00D0334F">
      <w:pPr>
        <w:spacing w:line="360" w:lineRule="auto"/>
        <w:jc w:val="both"/>
      </w:pPr>
    </w:p>
    <w:p w14:paraId="0A4C4BB0" w14:textId="77777777" w:rsidR="00A218D3" w:rsidRDefault="00A218D3" w:rsidP="00D0334F">
      <w:pPr>
        <w:spacing w:line="360" w:lineRule="auto"/>
        <w:jc w:val="both"/>
      </w:pPr>
      <w:r>
        <w:t xml:space="preserve">The RRS programme was strengthened and streamlined in January 2018, to ensure schools worked towards an outcome focused programme as opposed to a process driven award.  A school must evidence that it has reached the outcomes of the three RRS Strands (Unicef, 2019) to be accredited at each stage of the award; Bronze: Rights Committed; Silver: Rights Aware and Gold: Rights Respecting </w:t>
      </w:r>
      <w:r w:rsidRPr="000629F8">
        <w:rPr>
          <w:i/>
        </w:rPr>
        <w:t>(Appendix 7.1)</w:t>
      </w:r>
      <w:r>
        <w:t xml:space="preserve">.  A school will use these strands and other guidance provided by Unicef to plan and monitor its progress.  Details can be seen in </w:t>
      </w:r>
      <w:r w:rsidRPr="00EB6A93">
        <w:rPr>
          <w:i/>
        </w:rPr>
        <w:t>Table 1.</w:t>
      </w:r>
      <w:r>
        <w:t xml:space="preserve">  </w:t>
      </w:r>
    </w:p>
    <w:p w14:paraId="2C00430E" w14:textId="77777777" w:rsidR="00A218D3" w:rsidRDefault="00A218D3" w:rsidP="00D0334F">
      <w:pPr>
        <w:spacing w:line="360" w:lineRule="auto"/>
        <w:jc w:val="both"/>
      </w:pPr>
    </w:p>
    <w:p w14:paraId="211938B2" w14:textId="77777777" w:rsidR="00A218D3" w:rsidRDefault="00A218D3" w:rsidP="00D0334F">
      <w:pPr>
        <w:spacing w:line="360" w:lineRule="auto"/>
        <w:jc w:val="both"/>
      </w:pPr>
    </w:p>
    <w:p w14:paraId="45FE7E64" w14:textId="77777777" w:rsidR="00FB37E3" w:rsidRDefault="00FB37E3" w:rsidP="00D0334F">
      <w:pPr>
        <w:spacing w:line="360" w:lineRule="auto"/>
        <w:jc w:val="both"/>
        <w:rPr>
          <w:b/>
          <w:i/>
          <w:u w:val="single"/>
        </w:rPr>
      </w:pPr>
    </w:p>
    <w:p w14:paraId="0BFB3C70" w14:textId="77777777" w:rsidR="00D0334F" w:rsidRDefault="00D0334F" w:rsidP="00D0334F">
      <w:pPr>
        <w:spacing w:line="360" w:lineRule="auto"/>
        <w:jc w:val="both"/>
        <w:rPr>
          <w:b/>
          <w:i/>
          <w:u w:val="single"/>
        </w:rPr>
      </w:pPr>
    </w:p>
    <w:p w14:paraId="404A5DE5" w14:textId="77777777" w:rsidR="00D0334F" w:rsidRDefault="00D0334F" w:rsidP="00D0334F">
      <w:pPr>
        <w:spacing w:line="360" w:lineRule="auto"/>
        <w:jc w:val="both"/>
        <w:rPr>
          <w:b/>
          <w:i/>
          <w:u w:val="single"/>
        </w:rPr>
      </w:pPr>
    </w:p>
    <w:p w14:paraId="0000DF6E" w14:textId="77777777" w:rsidR="00D0334F" w:rsidRDefault="00D0334F" w:rsidP="00D0334F">
      <w:pPr>
        <w:spacing w:line="360" w:lineRule="auto"/>
        <w:jc w:val="both"/>
        <w:rPr>
          <w:b/>
          <w:i/>
          <w:u w:val="single"/>
        </w:rPr>
      </w:pPr>
    </w:p>
    <w:p w14:paraId="3C882C25" w14:textId="77777777" w:rsidR="00D0334F" w:rsidRDefault="00D0334F" w:rsidP="00D0334F">
      <w:pPr>
        <w:spacing w:line="360" w:lineRule="auto"/>
        <w:jc w:val="both"/>
        <w:rPr>
          <w:b/>
          <w:i/>
          <w:u w:val="single"/>
        </w:rPr>
      </w:pPr>
    </w:p>
    <w:p w14:paraId="5FA0B883" w14:textId="77777777" w:rsidR="00A218D3" w:rsidRPr="00E42AF6" w:rsidRDefault="00A218D3" w:rsidP="00D0334F">
      <w:pPr>
        <w:spacing w:line="360" w:lineRule="auto"/>
        <w:jc w:val="both"/>
        <w:rPr>
          <w:b/>
          <w:u w:val="single"/>
        </w:rPr>
      </w:pPr>
      <w:r w:rsidRPr="00E42AF6">
        <w:rPr>
          <w:b/>
          <w:i/>
          <w:u w:val="single"/>
        </w:rPr>
        <w:lastRenderedPageBreak/>
        <w:t>Table 1</w:t>
      </w:r>
      <w:r w:rsidRPr="00E42AF6">
        <w:rPr>
          <w:b/>
          <w:u w:val="single"/>
        </w:rPr>
        <w:t xml:space="preserve">. </w:t>
      </w:r>
      <w:r w:rsidRPr="00E42AF6">
        <w:rPr>
          <w:u w:val="single"/>
        </w:rPr>
        <w:t>The three strands of the Rights Respecting School’s Programme (RRS)</w:t>
      </w:r>
    </w:p>
    <w:p w14:paraId="5133C698" w14:textId="77777777" w:rsidR="00A218D3" w:rsidRDefault="00A218D3" w:rsidP="00D0334F">
      <w:pPr>
        <w:spacing w:line="360" w:lineRule="auto"/>
        <w:jc w:val="both"/>
      </w:pPr>
    </w:p>
    <w:tbl>
      <w:tblPr>
        <w:tblStyle w:val="TableGrid"/>
        <w:tblW w:w="0" w:type="auto"/>
        <w:tblLook w:val="04A0" w:firstRow="1" w:lastRow="0" w:firstColumn="1" w:lastColumn="0" w:noHBand="0" w:noVBand="1"/>
      </w:tblPr>
      <w:tblGrid>
        <w:gridCol w:w="4505"/>
        <w:gridCol w:w="4505"/>
      </w:tblGrid>
      <w:tr w:rsidR="00A218D3" w14:paraId="22D82CDE" w14:textId="77777777" w:rsidTr="005C0F2E">
        <w:tc>
          <w:tcPr>
            <w:tcW w:w="4505" w:type="dxa"/>
          </w:tcPr>
          <w:p w14:paraId="4A568551" w14:textId="77777777" w:rsidR="00A218D3" w:rsidRPr="00AE1F55" w:rsidRDefault="00A218D3" w:rsidP="00D0334F">
            <w:pPr>
              <w:spacing w:line="360" w:lineRule="auto"/>
              <w:jc w:val="both"/>
              <w:rPr>
                <w:b/>
              </w:rPr>
            </w:pPr>
            <w:r w:rsidRPr="00AE1F55">
              <w:rPr>
                <w:b/>
              </w:rPr>
              <w:t>Strand</w:t>
            </w:r>
          </w:p>
        </w:tc>
        <w:tc>
          <w:tcPr>
            <w:tcW w:w="4505" w:type="dxa"/>
          </w:tcPr>
          <w:p w14:paraId="744554EE" w14:textId="77777777" w:rsidR="00A218D3" w:rsidRPr="00AE1F55" w:rsidRDefault="00A218D3" w:rsidP="00D0334F">
            <w:pPr>
              <w:spacing w:line="360" w:lineRule="auto"/>
              <w:jc w:val="both"/>
              <w:rPr>
                <w:b/>
              </w:rPr>
            </w:pPr>
            <w:r w:rsidRPr="00AE1F55">
              <w:rPr>
                <w:b/>
              </w:rPr>
              <w:t>Outcome</w:t>
            </w:r>
          </w:p>
        </w:tc>
      </w:tr>
      <w:tr w:rsidR="00A218D3" w14:paraId="7617D9F1" w14:textId="77777777" w:rsidTr="005C0F2E">
        <w:tc>
          <w:tcPr>
            <w:tcW w:w="4505" w:type="dxa"/>
            <w:shd w:val="clear" w:color="auto" w:fill="D0CECE" w:themeFill="background2" w:themeFillShade="E6"/>
          </w:tcPr>
          <w:p w14:paraId="5A3E049B" w14:textId="77777777" w:rsidR="00A218D3" w:rsidRPr="00AE1F55" w:rsidRDefault="00A218D3" w:rsidP="00D0334F">
            <w:pPr>
              <w:spacing w:line="360" w:lineRule="auto"/>
              <w:jc w:val="both"/>
              <w:rPr>
                <w:b/>
              </w:rPr>
            </w:pPr>
          </w:p>
        </w:tc>
        <w:tc>
          <w:tcPr>
            <w:tcW w:w="4505" w:type="dxa"/>
            <w:shd w:val="clear" w:color="auto" w:fill="D0CECE" w:themeFill="background2" w:themeFillShade="E6"/>
          </w:tcPr>
          <w:p w14:paraId="1843A4D9" w14:textId="77777777" w:rsidR="00A218D3" w:rsidRDefault="00A218D3" w:rsidP="00D0334F">
            <w:pPr>
              <w:spacing w:line="360" w:lineRule="auto"/>
              <w:jc w:val="both"/>
            </w:pPr>
          </w:p>
        </w:tc>
      </w:tr>
      <w:tr w:rsidR="00A218D3" w14:paraId="2D9FF60C" w14:textId="77777777" w:rsidTr="005C0F2E">
        <w:trPr>
          <w:trHeight w:val="1502"/>
        </w:trPr>
        <w:tc>
          <w:tcPr>
            <w:tcW w:w="4505" w:type="dxa"/>
          </w:tcPr>
          <w:p w14:paraId="0C10ECD6" w14:textId="77777777" w:rsidR="00A218D3" w:rsidRPr="00AE1F55" w:rsidRDefault="00A218D3" w:rsidP="00D0334F">
            <w:pPr>
              <w:spacing w:line="360" w:lineRule="auto"/>
              <w:jc w:val="both"/>
              <w:rPr>
                <w:b/>
              </w:rPr>
            </w:pPr>
            <w:r w:rsidRPr="00AE1F55">
              <w:rPr>
                <w:b/>
              </w:rPr>
              <w:t xml:space="preserve">Strand A:  Teaching and learning about rights </w:t>
            </w:r>
          </w:p>
        </w:tc>
        <w:tc>
          <w:tcPr>
            <w:tcW w:w="4505" w:type="dxa"/>
          </w:tcPr>
          <w:p w14:paraId="005A9202" w14:textId="77777777" w:rsidR="00A218D3" w:rsidRDefault="00A218D3" w:rsidP="00D0334F">
            <w:pPr>
              <w:spacing w:line="360" w:lineRule="auto"/>
              <w:jc w:val="both"/>
            </w:pPr>
            <w:r>
              <w:t>The United Nations Convention on the Rights of the Child (CRC) is made well known to children, young people and adults, who use this shared understanding to work for improved children wellbeing, school improvement, global justice and sustainable living.</w:t>
            </w:r>
          </w:p>
        </w:tc>
      </w:tr>
      <w:tr w:rsidR="00A218D3" w14:paraId="2619AF3E" w14:textId="77777777" w:rsidTr="005C0F2E">
        <w:tc>
          <w:tcPr>
            <w:tcW w:w="4505" w:type="dxa"/>
          </w:tcPr>
          <w:p w14:paraId="6CAF015A" w14:textId="77777777" w:rsidR="00A218D3" w:rsidRPr="00AE1F55" w:rsidRDefault="00A218D3" w:rsidP="00D0334F">
            <w:pPr>
              <w:spacing w:line="360" w:lineRule="auto"/>
              <w:jc w:val="both"/>
              <w:rPr>
                <w:b/>
              </w:rPr>
            </w:pPr>
            <w:r w:rsidRPr="00AE1F55">
              <w:rPr>
                <w:b/>
              </w:rPr>
              <w:t>Strand B:  Teaching and learning through rights – ethos and relationships</w:t>
            </w:r>
          </w:p>
        </w:tc>
        <w:tc>
          <w:tcPr>
            <w:tcW w:w="4505" w:type="dxa"/>
          </w:tcPr>
          <w:p w14:paraId="10D3BD81" w14:textId="77777777" w:rsidR="00A218D3" w:rsidRDefault="00A218D3" w:rsidP="00D0334F">
            <w:pPr>
              <w:spacing w:line="360" w:lineRule="auto"/>
              <w:jc w:val="both"/>
            </w:pPr>
            <w:r>
              <w:t>Actions and decisions affecting children are routed in, reviewed and resolved through rights.  Children, young people and adults collaborate to develop and maintain a school community based on equality, dignity, respect, non-discrimination and participation; this includes learning and teaching in a way that respects the rights of both educators and learners and promotes wellbeing.</w:t>
            </w:r>
          </w:p>
        </w:tc>
      </w:tr>
      <w:tr w:rsidR="00A218D3" w14:paraId="0995E4A0" w14:textId="77777777" w:rsidTr="005C0F2E">
        <w:tc>
          <w:tcPr>
            <w:tcW w:w="4505" w:type="dxa"/>
          </w:tcPr>
          <w:p w14:paraId="4264ABE6" w14:textId="77777777" w:rsidR="00A218D3" w:rsidRPr="00AE1F55" w:rsidRDefault="00A218D3" w:rsidP="00D0334F">
            <w:pPr>
              <w:spacing w:line="360" w:lineRule="auto"/>
              <w:jc w:val="both"/>
              <w:rPr>
                <w:b/>
              </w:rPr>
            </w:pPr>
            <w:r w:rsidRPr="00AE1F55">
              <w:rPr>
                <w:b/>
              </w:rPr>
              <w:t xml:space="preserve">Strand C – Teaching and learning for rights – participation, empowerment and action </w:t>
            </w:r>
          </w:p>
        </w:tc>
        <w:tc>
          <w:tcPr>
            <w:tcW w:w="4505" w:type="dxa"/>
          </w:tcPr>
          <w:p w14:paraId="2B23703F" w14:textId="77777777" w:rsidR="00A218D3" w:rsidRDefault="00A218D3" w:rsidP="00D0334F">
            <w:pPr>
              <w:spacing w:line="360" w:lineRule="auto"/>
              <w:jc w:val="both"/>
            </w:pPr>
            <w:r>
              <w:t xml:space="preserve">Children are empowered to enjoy and exercise their rights and to promote the rights of others locally and globally.  Duty bearers are accountable for ensuring that children experience their rights. </w:t>
            </w:r>
          </w:p>
        </w:tc>
      </w:tr>
    </w:tbl>
    <w:p w14:paraId="56708964" w14:textId="77777777" w:rsidR="00A218D3" w:rsidRDefault="00A218D3" w:rsidP="00D0334F">
      <w:pPr>
        <w:spacing w:line="360" w:lineRule="auto"/>
        <w:jc w:val="both"/>
      </w:pPr>
    </w:p>
    <w:p w14:paraId="3653B52B" w14:textId="77777777" w:rsidR="00A218D3" w:rsidRDefault="00A218D3" w:rsidP="00D0334F">
      <w:pPr>
        <w:spacing w:line="360" w:lineRule="auto"/>
        <w:jc w:val="both"/>
      </w:pPr>
    </w:p>
    <w:p w14:paraId="445A056B" w14:textId="77777777" w:rsidR="00A218D3" w:rsidRDefault="00A218D3" w:rsidP="00D0334F">
      <w:pPr>
        <w:spacing w:line="360" w:lineRule="auto"/>
        <w:jc w:val="both"/>
      </w:pPr>
    </w:p>
    <w:p w14:paraId="4C8EA8B2" w14:textId="09705250" w:rsidR="00A218D3" w:rsidRDefault="00A218D3" w:rsidP="00D0334F">
      <w:pPr>
        <w:spacing w:line="360" w:lineRule="auto"/>
        <w:jc w:val="both"/>
      </w:pPr>
      <w:r>
        <w:t xml:space="preserve">Accountability and securing the quality of RRS as the programme continues to organically grow is essential along with ensuring its consistency of it across all four regions in the UK.  </w:t>
      </w:r>
      <w:r>
        <w:lastRenderedPageBreak/>
        <w:t xml:space="preserve">Professional Advisors are responsible for the programme in their region including its growth and the progress of the schools.  Advisors also provide individual support to schools along each stage of the award, deliver bespoke and regional training and accredit/award schools.  As the growth of the programme continues, it is essential that Unicef UK is able to confidently capture the impact of the programme on schools, practitioners and children and young people.  This is achieved through schools collated and qualitative and quantitative data at each stage of the award.  Data includes </w:t>
      </w:r>
      <w:r w:rsidR="00F2367C">
        <w:t xml:space="preserve">a summary sheet from </w:t>
      </w:r>
      <w:r>
        <w:t>children and adult questionnaires</w:t>
      </w:r>
      <w:r w:rsidR="00F2367C">
        <w:t xml:space="preserve"> </w:t>
      </w:r>
      <w:r w:rsidR="008D7C0F">
        <w:rPr>
          <w:i/>
        </w:rPr>
        <w:t>(Appendix 7.2</w:t>
      </w:r>
      <w:r w:rsidR="00F2367C" w:rsidRPr="00D552AB">
        <w:rPr>
          <w:i/>
        </w:rPr>
        <w:t>)</w:t>
      </w:r>
      <w:r w:rsidR="008D7C0F">
        <w:t xml:space="preserve"> and a school self-evaluation containing an impact evaluation</w:t>
      </w:r>
      <w:r>
        <w:t xml:space="preserve"> </w:t>
      </w:r>
      <w:r w:rsidR="008D7C0F">
        <w:rPr>
          <w:i/>
        </w:rPr>
        <w:t>(Appendix 7.3</w:t>
      </w:r>
      <w:r w:rsidRPr="00D552AB">
        <w:rPr>
          <w:i/>
        </w:rPr>
        <w:t>).</w:t>
      </w:r>
      <w:r>
        <w:t xml:space="preserve">  I will be using the data from the adult questionnaire as part of my data collection to support my findings.  </w:t>
      </w:r>
    </w:p>
    <w:p w14:paraId="17EA91CD" w14:textId="77777777" w:rsidR="00A218D3" w:rsidRDefault="00A218D3" w:rsidP="00D0334F">
      <w:pPr>
        <w:spacing w:line="360" w:lineRule="auto"/>
        <w:jc w:val="both"/>
      </w:pPr>
    </w:p>
    <w:p w14:paraId="1CE836D9" w14:textId="77777777" w:rsidR="00A218D3" w:rsidRDefault="00A218D3" w:rsidP="00D0334F">
      <w:pPr>
        <w:spacing w:line="360" w:lineRule="auto"/>
        <w:jc w:val="both"/>
      </w:pPr>
    </w:p>
    <w:p w14:paraId="138CE05A" w14:textId="77777777" w:rsidR="00A218D3" w:rsidRDefault="00A218D3" w:rsidP="00D0334F">
      <w:pPr>
        <w:spacing w:line="360" w:lineRule="auto"/>
        <w:jc w:val="both"/>
      </w:pPr>
      <w:r>
        <w:t xml:space="preserve">This research will support my professional practice and contribute to the training that I deliver to both individual schools and the Unicef UK regional training programme which is offered across Wales.  The content of the current training introduces the UNCRC within the global and Welsh context but is primarily focused on providing practical ideas and suggestions to enable practitioners to introduce children’s rights into their practice and bring about a whole school awareness and commitment to the UNCRC.  Whilst information is given to delegates to illustrate how RRS supports and provides the rationale for a wide range of whole-school practices and initiatives, there is an assumption that practitioners understand their role as duty bearers for child wellbeing and for ensuring children’s rights are protected, respected and realised.  It has been during these training courses, that I have observed and been part of discussions where adults have questioned the meaning of child wellbeing along with the accountability for it.  I have seen a growing trend in the number of adults sharing different definitions, perceptions, ideas and indicators when child wellbeing is introduced; with many using their personal values to form their opinion.  This growing trend has prompted me to look at the content of my current training to investigate whether it is best suited to meet the needs of the delegates.  This research will help me to review the training content by enabling me to gain a better understanding of a wider sample of adults’ perception of child wellbeing and accountability and whether this concept needs to be more explicitly focused on in future training.  </w:t>
      </w:r>
    </w:p>
    <w:p w14:paraId="4F124F39" w14:textId="77777777" w:rsidR="00D0334F" w:rsidRDefault="00D0334F" w:rsidP="00D0334F">
      <w:pPr>
        <w:spacing w:line="360" w:lineRule="auto"/>
        <w:jc w:val="both"/>
        <w:outlineLvl w:val="0"/>
      </w:pPr>
    </w:p>
    <w:p w14:paraId="566FA7DB" w14:textId="77777777" w:rsidR="008E216D" w:rsidRDefault="008E216D" w:rsidP="00D0334F">
      <w:pPr>
        <w:spacing w:line="360" w:lineRule="auto"/>
        <w:jc w:val="both"/>
        <w:outlineLvl w:val="0"/>
        <w:rPr>
          <w:b/>
        </w:rPr>
      </w:pPr>
      <w:r w:rsidRPr="00A96189">
        <w:rPr>
          <w:b/>
        </w:rPr>
        <w:lastRenderedPageBreak/>
        <w:t>Chapter 2.</w:t>
      </w:r>
      <w:r w:rsidRPr="00A96189">
        <w:rPr>
          <w:b/>
        </w:rPr>
        <w:tab/>
        <w:t xml:space="preserve">Literature Review </w:t>
      </w:r>
    </w:p>
    <w:p w14:paraId="42692C2A" w14:textId="77777777" w:rsidR="00547B8B" w:rsidRPr="00A96189" w:rsidRDefault="00547B8B" w:rsidP="00D0334F">
      <w:pPr>
        <w:spacing w:line="360" w:lineRule="auto"/>
        <w:jc w:val="both"/>
        <w:outlineLvl w:val="0"/>
        <w:rPr>
          <w:b/>
        </w:rPr>
      </w:pPr>
    </w:p>
    <w:p w14:paraId="14875B59" w14:textId="77777777" w:rsidR="008E216D" w:rsidRPr="00A96189" w:rsidRDefault="008E216D" w:rsidP="00D0334F">
      <w:pPr>
        <w:spacing w:line="360" w:lineRule="auto"/>
        <w:jc w:val="both"/>
        <w:rPr>
          <w:b/>
          <w:u w:val="single"/>
        </w:rPr>
      </w:pPr>
    </w:p>
    <w:p w14:paraId="27C81031" w14:textId="77777777" w:rsidR="008E216D" w:rsidRDefault="008E216D" w:rsidP="00D0334F">
      <w:pPr>
        <w:spacing w:line="360" w:lineRule="auto"/>
        <w:jc w:val="both"/>
      </w:pPr>
      <w:r w:rsidRPr="00A96189">
        <w:t xml:space="preserve">For the purpose of this review, I will look at two significant areas of literature relevant to this study.  Child wellbeing is explored to offer an unbiased view of it particularly within the Welsh context but also taking into consideration how it has emerged and been influenced by research, publications and influence from across the UK and wider world. Linked to this, it can be argued that schools in Wales are driven by the desire to raise educational standards and perform to comply with Estyn’s </w:t>
      </w:r>
      <w:r w:rsidRPr="00A96189">
        <w:rPr>
          <w:i/>
        </w:rPr>
        <w:t>Common Inspection Framework</w:t>
      </w:r>
      <w:r w:rsidRPr="00A96189">
        <w:t xml:space="preserve"> (Estyn, 2017) to in turn receive a positive judgement.  If literature is to explore this in relation to Wales’ effectiveness to address child wellbeing, then the accountability for it on education, schools and practitioners must be identified in the complex and ever-changing world of education.  </w:t>
      </w:r>
    </w:p>
    <w:p w14:paraId="3125F197" w14:textId="77777777" w:rsidR="008E216D" w:rsidRPr="00A96189" w:rsidRDefault="008E216D" w:rsidP="00D0334F">
      <w:pPr>
        <w:spacing w:line="360" w:lineRule="auto"/>
        <w:jc w:val="both"/>
      </w:pPr>
    </w:p>
    <w:p w14:paraId="4121FDBE" w14:textId="77777777" w:rsidR="008E216D" w:rsidRPr="00A96189" w:rsidRDefault="008E216D" w:rsidP="00D0334F">
      <w:pPr>
        <w:spacing w:line="360" w:lineRule="auto"/>
        <w:jc w:val="both"/>
      </w:pPr>
      <w:r w:rsidRPr="00A96189">
        <w:t xml:space="preserve">  </w:t>
      </w:r>
    </w:p>
    <w:p w14:paraId="501048F9" w14:textId="77777777" w:rsidR="008E216D" w:rsidRDefault="008E216D" w:rsidP="00D0334F">
      <w:pPr>
        <w:spacing w:line="360" w:lineRule="auto"/>
        <w:jc w:val="both"/>
        <w:outlineLvl w:val="0"/>
        <w:rPr>
          <w:u w:val="single"/>
        </w:rPr>
      </w:pPr>
      <w:r w:rsidRPr="00A96189">
        <w:rPr>
          <w:u w:val="single"/>
        </w:rPr>
        <w:t xml:space="preserve">Child Wellbeing </w:t>
      </w:r>
    </w:p>
    <w:p w14:paraId="17B1F856" w14:textId="77777777" w:rsidR="008E216D" w:rsidRPr="00A96189" w:rsidRDefault="008E216D" w:rsidP="00D0334F">
      <w:pPr>
        <w:spacing w:line="360" w:lineRule="auto"/>
        <w:jc w:val="both"/>
        <w:outlineLvl w:val="0"/>
        <w:rPr>
          <w:u w:val="single"/>
        </w:rPr>
      </w:pPr>
    </w:p>
    <w:p w14:paraId="1BCC6854" w14:textId="77777777" w:rsidR="008E216D" w:rsidRDefault="008E216D" w:rsidP="00D0334F">
      <w:pPr>
        <w:spacing w:line="360" w:lineRule="auto"/>
        <w:jc w:val="both"/>
      </w:pPr>
      <w:r w:rsidRPr="00A96189">
        <w:t xml:space="preserve">The study of child wellbeing is a significant emerging frontier in child development research.  There is an increasing demand for theory and research that extends beyond the study of children’s health, disorders and deficits and it is widely accepted that there is a growing need to place an emphasis on the attributes of children.  The child wellbeing literature base is enormous and continues to expand rapidly, however, despite this growing interest and recognition of child wellbeing over the last two decades, there are limited published books and accepted theories.  This makes the task of sourcing the best and most reliable information and research more challenging.  Pollard and Lee (2003), offered a systematic review of the English language child wellbeing literature, updating and expanding on a previous review spanning 1974-1992 which also summarised its research base.  The summary recognised the need to empirically define wellbeing and ascertain the scope of what child wellbeing encompasses which remains true today.  As wellbeing literature spans a variety of disciplines, it is a complex, multi-faceted concept that continues to elude researcher’s attempts to define and measure it.  The term child wellbeing is commonly used but inconsistently defined.  Pollard and Lee (2003) revealed that the definition of child wellbeing is highly variable as it </w:t>
      </w:r>
      <w:r w:rsidRPr="00A96189">
        <w:lastRenderedPageBreak/>
        <w:t xml:space="preserve">has been studied across a wide range of disciplines, age groups, cultures, countries, perspectives and communities, resulting in an assortment of definitions.  </w:t>
      </w:r>
    </w:p>
    <w:p w14:paraId="2190C3DA" w14:textId="77777777" w:rsidR="008E216D" w:rsidRPr="00A96189" w:rsidRDefault="008E216D" w:rsidP="00D0334F">
      <w:pPr>
        <w:spacing w:line="360" w:lineRule="auto"/>
        <w:jc w:val="both"/>
      </w:pPr>
    </w:p>
    <w:p w14:paraId="0BCB1943" w14:textId="77777777" w:rsidR="008E216D" w:rsidRPr="00A96189" w:rsidRDefault="008E216D" w:rsidP="00D0334F">
      <w:pPr>
        <w:spacing w:line="360" w:lineRule="auto"/>
        <w:jc w:val="both"/>
      </w:pPr>
    </w:p>
    <w:p w14:paraId="0994E268" w14:textId="77777777" w:rsidR="008E216D" w:rsidRPr="00A96189" w:rsidRDefault="008E216D" w:rsidP="00D0334F">
      <w:pPr>
        <w:spacing w:line="360" w:lineRule="auto"/>
        <w:jc w:val="both"/>
      </w:pPr>
      <w:r w:rsidRPr="00A96189">
        <w:t xml:space="preserve">Wellbeing could be defined and operationalised at the individual level within a specific domain (physical, social, cognitive or psychological) or at the environmental level by incorporating effects of the developing child’s environmental context.  A more useful definition of child wellbeing would be similar to the one adopted by Yarcheski et. al (1994) who used Columbo’s (1986) conceptualisation of adolescent wellbeing which described wellbeing as </w:t>
      </w:r>
      <w:r w:rsidRPr="00A96189">
        <w:rPr>
          <w:i/>
        </w:rPr>
        <w:t>“a multidimensional construct incorporating mental/psychological, physical and social dimensions”</w:t>
      </w:r>
      <w:r w:rsidRPr="00A96189">
        <w:t xml:space="preserve"> (1986, p. 288).  For the purpose of this research, I refer to Unicef’s (2007) ecological definition to child wellbeing which offers a broad view of the characteristics and factors associated with child wellbeing;</w:t>
      </w:r>
    </w:p>
    <w:p w14:paraId="2FBE52B3" w14:textId="77777777" w:rsidR="008E216D" w:rsidRDefault="008E216D" w:rsidP="00D0334F">
      <w:pPr>
        <w:spacing w:line="360" w:lineRule="auto"/>
        <w:jc w:val="both"/>
      </w:pPr>
    </w:p>
    <w:p w14:paraId="7C6EBF4F" w14:textId="77777777" w:rsidR="00B33DE0" w:rsidRPr="00A96189" w:rsidRDefault="00B33DE0" w:rsidP="00D0334F">
      <w:pPr>
        <w:spacing w:line="360" w:lineRule="auto"/>
        <w:jc w:val="both"/>
      </w:pPr>
    </w:p>
    <w:p w14:paraId="3377693B" w14:textId="77777777" w:rsidR="008E216D" w:rsidRPr="00A96189" w:rsidRDefault="008E216D" w:rsidP="00E81316">
      <w:pPr>
        <w:ind w:left="720" w:right="720"/>
        <w:jc w:val="both"/>
      </w:pPr>
      <w:r w:rsidRPr="00A96189">
        <w:t xml:space="preserve">The true measure of a nation’s standing is how well it attends to its children – their health and safety, their material security, their education and socialisation and their sense of being loved, valued and included in the families and societies to which they are born. </w:t>
      </w:r>
    </w:p>
    <w:p w14:paraId="070CCBDD" w14:textId="77777777" w:rsidR="008E216D" w:rsidRPr="00A96189" w:rsidRDefault="008E216D" w:rsidP="00E81316">
      <w:pPr>
        <w:ind w:left="720"/>
        <w:jc w:val="right"/>
      </w:pPr>
      <w:r w:rsidRPr="00A96189">
        <w:t>(Unicef, 2007, pg. 4)</w:t>
      </w:r>
    </w:p>
    <w:p w14:paraId="10F57F15" w14:textId="77777777" w:rsidR="008E216D" w:rsidRPr="00A96189" w:rsidRDefault="008E216D" w:rsidP="00D0334F">
      <w:pPr>
        <w:spacing w:line="360" w:lineRule="auto"/>
        <w:jc w:val="both"/>
      </w:pPr>
    </w:p>
    <w:p w14:paraId="49B6360C" w14:textId="77777777" w:rsidR="008E216D" w:rsidRDefault="008E216D" w:rsidP="00D0334F">
      <w:pPr>
        <w:spacing w:line="360" w:lineRule="auto"/>
        <w:jc w:val="both"/>
      </w:pPr>
    </w:p>
    <w:p w14:paraId="3518F909" w14:textId="77777777" w:rsidR="008E216D" w:rsidRDefault="008E216D" w:rsidP="00D0334F">
      <w:pPr>
        <w:spacing w:line="360" w:lineRule="auto"/>
        <w:jc w:val="both"/>
      </w:pPr>
      <w:r w:rsidRPr="00A96189">
        <w:t xml:space="preserve">Across the UK, there has been a shift in policy aspirations for children and young people in terms of our (society) vision for children which is supported by the incorporation of child wellbeing into legislation; presented in this review.  The evidence for incorporating it into policy comes from the ecological approach to child development which Bronfenbrenner (1979) first introduced in the 1970’s.   McAuley and Rose (2010) cited Bronfenbrenner’s approach, recognising that </w:t>
      </w:r>
      <w:r w:rsidRPr="00A96189">
        <w:rPr>
          <w:i/>
        </w:rPr>
        <w:t>“all the experiences children will have will contribute to their overall wellbeing and that what is happening in one part of a child’s life will affect what is going on elsewhere</w:t>
      </w:r>
      <w:r w:rsidRPr="00A96189">
        <w:t xml:space="preserve">” (2010, p. 22).  The UK Government’s Green Paper; </w:t>
      </w:r>
      <w:r w:rsidRPr="00A96189">
        <w:rPr>
          <w:i/>
        </w:rPr>
        <w:t>Every Child Matters</w:t>
      </w:r>
      <w:r w:rsidRPr="00A96189">
        <w:t xml:space="preserve"> (Great Britain, 2003) which described the conceptual and operational framework for the delivery of services for children and young people in England and Wales was the first movement in UK policy to recognise the ecological factors influencing a child’s life and </w:t>
      </w:r>
      <w:r w:rsidRPr="00A96189">
        <w:lastRenderedPageBreak/>
        <w:t xml:space="preserve">wellbeing.   This was closely followed by </w:t>
      </w:r>
      <w:r w:rsidRPr="00A96189">
        <w:rPr>
          <w:i/>
        </w:rPr>
        <w:t>The Children’s Act</w:t>
      </w:r>
      <w:r w:rsidRPr="00A96189">
        <w:t xml:space="preserve"> (Great Britain, 2004) which enshrined the concept of child wellbeing into UK legislation.   Recognition should be given to Unicef’s (2007) report; </w:t>
      </w:r>
      <w:r w:rsidRPr="00A96189">
        <w:rPr>
          <w:i/>
        </w:rPr>
        <w:t>An Overview of Child Wellbeing in Rich Countries</w:t>
      </w:r>
      <w:r w:rsidRPr="00A96189">
        <w:t xml:space="preserve"> which publicly recognised the need for Government to address it more purposefully.  The report identified six dimensions of child wellbeing; </w:t>
      </w:r>
      <w:r w:rsidRPr="00A96189">
        <w:rPr>
          <w:i/>
        </w:rPr>
        <w:t>material wellbeing, health and safety, educational wellbeing, family and peer relationships, behaviours and risks, and subjective wellbeing.</w:t>
      </w:r>
      <w:r w:rsidRPr="00A96189">
        <w:t xml:space="preserve">  By looking at forty </w:t>
      </w:r>
      <w:r w:rsidRPr="00A96189">
        <w:rPr>
          <w:i/>
        </w:rPr>
        <w:t>wellbeing indicators</w:t>
      </w:r>
      <w:r w:rsidRPr="00A96189">
        <w:t>, the report was designed to give an overview of a country’s strengths and weaknesses and to set out what is achievable by comparing and contrasting progress for children across the developed world.  The purpose of the report was to “</w:t>
      </w:r>
      <w:r w:rsidRPr="00A96189">
        <w:rPr>
          <w:i/>
        </w:rPr>
        <w:t>encourage monitoring to permit comparison and to stimulate the discussion and development of policies to improve children’s lives”</w:t>
      </w:r>
      <w:r w:rsidRPr="00A96189">
        <w:t xml:space="preserve"> (2007, p. 2).  Surprising to many, the report ranked the UK twenty first out of twenty-one countries that were analysed and exposed the UK as having more weaknesses than strengths.  The UK fell just below the United States of America in five out of the six </w:t>
      </w:r>
      <w:r w:rsidRPr="00A96189">
        <w:rPr>
          <w:i/>
        </w:rPr>
        <w:t>wellbeing indicators</w:t>
      </w:r>
      <w:r w:rsidRPr="00A96189">
        <w:t xml:space="preserve">.  An interim report published by Unicef (2013); </w:t>
      </w:r>
      <w:r w:rsidRPr="00A96189">
        <w:rPr>
          <w:i/>
        </w:rPr>
        <w:t xml:space="preserve">Child Wellbeing in Rich Countries; A Comparative Overview </w:t>
      </w:r>
      <w:r w:rsidRPr="00A96189">
        <w:t xml:space="preserve">scrutinised country progress and highlighted that the UK had risen to a mid-table position with the educational wellbeing indicator still being ranked in the bottom third of the table.  As the report was publicised widely on national media, the notion of child wellbeing continued to gather momentum and drew public attention to the need to look holistically at children which was not previously on the Government’s radar.  As a result, the then Prime Minister of the UK, made a public speech committing Government to monitor and act on child wellbeing.  However, </w:t>
      </w:r>
      <w:r w:rsidRPr="00A96189">
        <w:rPr>
          <w:i/>
        </w:rPr>
        <w:t>The Good Childhood Report</w:t>
      </w:r>
      <w:r w:rsidRPr="00A96189">
        <w:t xml:space="preserve"> (The Children’s Society, 2016) publicly criticised Government for not providing firm assurance that child wellbeing will be monitored and measured to ensure positive outcomes for children and young people in the UK.  One of the recommendations stated; </w:t>
      </w:r>
      <w:r w:rsidRPr="00A96189">
        <w:rPr>
          <w:i/>
        </w:rPr>
        <w:t>“with a new Government in place, now is the time to reaffirm the commitment to monitoring wellbeing, and particularly children’s wellbeing – across the UK”</w:t>
      </w:r>
      <w:r w:rsidRPr="00A96189">
        <w:t xml:space="preserve"> (2016, p. 14).   </w:t>
      </w:r>
    </w:p>
    <w:p w14:paraId="6E443882" w14:textId="77777777" w:rsidR="008E216D" w:rsidRPr="00A96189" w:rsidRDefault="008E216D" w:rsidP="00D0334F">
      <w:pPr>
        <w:spacing w:line="360" w:lineRule="auto"/>
        <w:jc w:val="both"/>
      </w:pPr>
    </w:p>
    <w:p w14:paraId="1A168EC9" w14:textId="77777777" w:rsidR="008E216D" w:rsidRPr="00A96189" w:rsidRDefault="008E216D" w:rsidP="00D0334F">
      <w:pPr>
        <w:spacing w:line="360" w:lineRule="auto"/>
        <w:jc w:val="both"/>
      </w:pPr>
    </w:p>
    <w:p w14:paraId="6E70778E" w14:textId="77777777" w:rsidR="008E216D" w:rsidRDefault="008E216D" w:rsidP="00D0334F">
      <w:pPr>
        <w:spacing w:line="360" w:lineRule="auto"/>
        <w:jc w:val="both"/>
      </w:pPr>
      <w:r w:rsidRPr="00A96189">
        <w:t xml:space="preserve">Models of assessment for children and young people that include wellbeing indicators have been adopted by all Governments in the UK.  Scotland’s </w:t>
      </w:r>
      <w:r w:rsidRPr="00A96189">
        <w:rPr>
          <w:i/>
        </w:rPr>
        <w:t>Getting it Right for Every Child (GIRFEC)</w:t>
      </w:r>
      <w:r w:rsidRPr="00A96189">
        <w:t xml:space="preserve"> (Scotland, 2005) is an example of this after all recommendations were adopted and </w:t>
      </w:r>
      <w:r w:rsidRPr="00A96189">
        <w:lastRenderedPageBreak/>
        <w:t>widened to all children services following the juvenile justice system review.  The application of GIRFEC set out the Scottish Government’s aspiration for children</w:t>
      </w:r>
      <w:r w:rsidRPr="00A96189">
        <w:rPr>
          <w:i/>
        </w:rPr>
        <w:t>; “to be confident individuals, effective contributors, successful learners and responsible citizens”</w:t>
      </w:r>
      <w:r w:rsidRPr="00A96189">
        <w:t xml:space="preserve"> (Scotland, 2005, p. 4) which is directly translated into the Scottish </w:t>
      </w:r>
      <w:r w:rsidRPr="00A96189">
        <w:rPr>
          <w:i/>
        </w:rPr>
        <w:t>Curriculum for Excellence</w:t>
      </w:r>
      <w:r w:rsidRPr="00A96189">
        <w:t xml:space="preserve"> (Scotland, 2009).  This sets out the statutory requirements of the curriculum for three to eighteen-year olds in Scotland.  For the first time, health and wellbeing was cited as one of the </w:t>
      </w:r>
      <w:r w:rsidRPr="00A96189">
        <w:rPr>
          <w:i/>
        </w:rPr>
        <w:t>eight curriculum domains</w:t>
      </w:r>
      <w:r w:rsidRPr="00A96189">
        <w:t xml:space="preserve">.  As these domains are statutory, teachers are expected to plan and deliver a coherent set of learning experiences to meet the expected outcomes of each domain which schools are inspected against.  </w:t>
      </w:r>
    </w:p>
    <w:p w14:paraId="19156E93" w14:textId="77777777" w:rsidR="008E216D" w:rsidRPr="00A96189" w:rsidRDefault="008E216D" w:rsidP="00D0334F">
      <w:pPr>
        <w:spacing w:line="360" w:lineRule="auto"/>
        <w:jc w:val="both"/>
      </w:pPr>
    </w:p>
    <w:p w14:paraId="6BA767D0" w14:textId="77777777" w:rsidR="008E216D" w:rsidRPr="00A96189" w:rsidRDefault="008E216D" w:rsidP="00D0334F">
      <w:pPr>
        <w:spacing w:line="360" w:lineRule="auto"/>
        <w:jc w:val="both"/>
      </w:pPr>
    </w:p>
    <w:p w14:paraId="10467FB1" w14:textId="77777777" w:rsidR="008E216D" w:rsidRDefault="008E216D" w:rsidP="00D0334F">
      <w:pPr>
        <w:spacing w:line="360" w:lineRule="auto"/>
        <w:jc w:val="both"/>
      </w:pPr>
      <w:r w:rsidRPr="00A96189">
        <w:t xml:space="preserve">Post devolution in Wales, the Welsh Government used </w:t>
      </w:r>
      <w:r w:rsidRPr="00A96189">
        <w:rPr>
          <w:i/>
        </w:rPr>
        <w:t>7 Core Aims</w:t>
      </w:r>
      <w:r w:rsidRPr="00A96189">
        <w:t xml:space="preserve"> (Wales, 2000) as the vision for children and young people.  All work with children and young people is based around the </w:t>
      </w:r>
      <w:r w:rsidRPr="00A96189">
        <w:rPr>
          <w:i/>
        </w:rPr>
        <w:t>7 Core Aims</w:t>
      </w:r>
      <w:r w:rsidRPr="00A96189">
        <w:t xml:space="preserve"> (Wales, 2000) and these aims inform decisions on priorities and objectives nationally.  The aims also form the basis for decisions on strategy and service provision locally.  Welsh Government want all children and young people to:</w:t>
      </w:r>
    </w:p>
    <w:p w14:paraId="663FC3D5" w14:textId="77777777" w:rsidR="008E216D" w:rsidRPr="00A96189" w:rsidRDefault="008E216D" w:rsidP="00D0334F">
      <w:pPr>
        <w:spacing w:line="360" w:lineRule="auto"/>
        <w:jc w:val="both"/>
      </w:pPr>
    </w:p>
    <w:p w14:paraId="7B9D56C7" w14:textId="77777777" w:rsidR="008E216D" w:rsidRPr="00A96189" w:rsidRDefault="008E216D" w:rsidP="00D0334F">
      <w:pPr>
        <w:spacing w:line="360" w:lineRule="auto"/>
        <w:ind w:left="720" w:right="720"/>
        <w:jc w:val="both"/>
        <w:rPr>
          <w:i/>
        </w:rPr>
      </w:pPr>
    </w:p>
    <w:p w14:paraId="5E171A4F" w14:textId="77777777" w:rsidR="008E216D" w:rsidRPr="00A96189" w:rsidRDefault="008E216D" w:rsidP="00E81316">
      <w:pPr>
        <w:pStyle w:val="ListParagraph"/>
        <w:numPr>
          <w:ilvl w:val="0"/>
          <w:numId w:val="2"/>
        </w:numPr>
        <w:spacing w:after="160"/>
        <w:ind w:right="720"/>
        <w:jc w:val="both"/>
      </w:pPr>
      <w:r w:rsidRPr="00A96189">
        <w:t>Have a flying start in life (the early years)</w:t>
      </w:r>
    </w:p>
    <w:p w14:paraId="37593905" w14:textId="77777777" w:rsidR="008E216D" w:rsidRPr="00A96189" w:rsidRDefault="008E216D" w:rsidP="00E81316">
      <w:pPr>
        <w:pStyle w:val="ListParagraph"/>
        <w:numPr>
          <w:ilvl w:val="0"/>
          <w:numId w:val="2"/>
        </w:numPr>
        <w:spacing w:after="160"/>
        <w:ind w:right="720"/>
        <w:jc w:val="both"/>
      </w:pPr>
      <w:r w:rsidRPr="00A96189">
        <w:t>Have a comprehensive range of education and learning opportunities</w:t>
      </w:r>
    </w:p>
    <w:p w14:paraId="74ED3301" w14:textId="77777777" w:rsidR="008E216D" w:rsidRPr="00A96189" w:rsidRDefault="008E216D" w:rsidP="00E81316">
      <w:pPr>
        <w:pStyle w:val="ListParagraph"/>
        <w:numPr>
          <w:ilvl w:val="0"/>
          <w:numId w:val="2"/>
        </w:numPr>
        <w:spacing w:after="160"/>
        <w:ind w:right="720"/>
        <w:jc w:val="both"/>
      </w:pPr>
      <w:r w:rsidRPr="00A96189">
        <w:t xml:space="preserve">Enjoy the best possible health and are free from abuse, victimisation and exploitation </w:t>
      </w:r>
    </w:p>
    <w:p w14:paraId="4ACAA46D" w14:textId="77777777" w:rsidR="008E216D" w:rsidRPr="00A96189" w:rsidRDefault="008E216D" w:rsidP="00E81316">
      <w:pPr>
        <w:pStyle w:val="ListParagraph"/>
        <w:numPr>
          <w:ilvl w:val="0"/>
          <w:numId w:val="2"/>
        </w:numPr>
        <w:spacing w:after="160"/>
        <w:ind w:right="720"/>
        <w:jc w:val="both"/>
      </w:pPr>
      <w:r w:rsidRPr="00A96189">
        <w:t xml:space="preserve">Have access to play, leisure, sporting and cultural activities </w:t>
      </w:r>
    </w:p>
    <w:p w14:paraId="5B12B533" w14:textId="77777777" w:rsidR="008E216D" w:rsidRPr="00A96189" w:rsidRDefault="008E216D" w:rsidP="00E81316">
      <w:pPr>
        <w:pStyle w:val="ListParagraph"/>
        <w:numPr>
          <w:ilvl w:val="0"/>
          <w:numId w:val="2"/>
        </w:numPr>
        <w:spacing w:after="160"/>
        <w:ind w:right="720"/>
        <w:jc w:val="both"/>
      </w:pPr>
      <w:r w:rsidRPr="00A96189">
        <w:t>Be listened to, treated with respect, and have their race and culture identity recognised (participation in decision making)</w:t>
      </w:r>
    </w:p>
    <w:p w14:paraId="77BE49EE" w14:textId="77777777" w:rsidR="008E216D" w:rsidRPr="00A96189" w:rsidRDefault="008E216D" w:rsidP="00E81316">
      <w:pPr>
        <w:pStyle w:val="ListParagraph"/>
        <w:numPr>
          <w:ilvl w:val="0"/>
          <w:numId w:val="2"/>
        </w:numPr>
        <w:spacing w:after="160"/>
        <w:ind w:right="720"/>
        <w:jc w:val="both"/>
      </w:pPr>
      <w:r w:rsidRPr="00A96189">
        <w:t xml:space="preserve">Have a safe home and a community which supports physical and emotional wellbeing </w:t>
      </w:r>
    </w:p>
    <w:p w14:paraId="5A271896" w14:textId="77777777" w:rsidR="008E216D" w:rsidRPr="00A96189" w:rsidRDefault="008E216D" w:rsidP="00E81316">
      <w:pPr>
        <w:pStyle w:val="ListParagraph"/>
        <w:numPr>
          <w:ilvl w:val="0"/>
          <w:numId w:val="2"/>
        </w:numPr>
        <w:spacing w:after="160"/>
        <w:ind w:right="720"/>
        <w:jc w:val="both"/>
      </w:pPr>
      <w:r w:rsidRPr="00A96189">
        <w:t>Not to be disadvantaged by poverty</w:t>
      </w:r>
    </w:p>
    <w:p w14:paraId="28E70657" w14:textId="77777777" w:rsidR="008E216D" w:rsidRPr="00A96189" w:rsidRDefault="008E216D" w:rsidP="00E81316">
      <w:pPr>
        <w:pStyle w:val="ListParagraph"/>
        <w:ind w:right="720"/>
        <w:jc w:val="both"/>
      </w:pPr>
    </w:p>
    <w:p w14:paraId="41EAF4E6" w14:textId="77777777" w:rsidR="008E216D" w:rsidRPr="00A96189" w:rsidRDefault="008E216D" w:rsidP="00E81316">
      <w:pPr>
        <w:pStyle w:val="ListParagraph"/>
        <w:jc w:val="right"/>
      </w:pPr>
      <w:r w:rsidRPr="00A96189">
        <w:t xml:space="preserve">(Wales, 2000) </w:t>
      </w:r>
    </w:p>
    <w:p w14:paraId="6DC1E55B" w14:textId="77777777" w:rsidR="008E216D" w:rsidRPr="00A96189" w:rsidRDefault="008E216D" w:rsidP="00D0334F">
      <w:pPr>
        <w:spacing w:line="360" w:lineRule="auto"/>
        <w:ind w:left="720" w:right="720"/>
        <w:jc w:val="both"/>
      </w:pPr>
    </w:p>
    <w:p w14:paraId="2ED266BC" w14:textId="77777777" w:rsidR="000D67B4" w:rsidRDefault="000D67B4" w:rsidP="00D0334F">
      <w:pPr>
        <w:spacing w:line="360" w:lineRule="auto"/>
        <w:jc w:val="both"/>
      </w:pPr>
    </w:p>
    <w:p w14:paraId="4288D10A" w14:textId="77777777" w:rsidR="008E216D" w:rsidRPr="00A96189" w:rsidRDefault="008E216D" w:rsidP="00D0334F">
      <w:pPr>
        <w:spacing w:line="360" w:lineRule="auto"/>
        <w:jc w:val="both"/>
      </w:pPr>
      <w:r w:rsidRPr="00A96189">
        <w:t xml:space="preserve">These examples from Scotland and Wales are not comparative to England and Northern Ireland who have adopted different ways of monitoring child wellbeing across statutory services.  The Department for Education in Northern Ireland launched a </w:t>
      </w:r>
      <w:r w:rsidRPr="00A96189">
        <w:rPr>
          <w:i/>
        </w:rPr>
        <w:t>Children’s and Young People Strategy</w:t>
      </w:r>
      <w:r w:rsidRPr="00A96189">
        <w:t xml:space="preserve"> (Northern Ireland, 2017) with the aim of services working collaboratively to </w:t>
      </w:r>
      <w:r w:rsidRPr="00A96189">
        <w:lastRenderedPageBreak/>
        <w:t xml:space="preserve">improve the wellbeing of all children and young people in Northern Ireland.  It is envisioned that this will contribute to producing positive outcomes.  In England, child wellbeing is measured by the government using the five </w:t>
      </w:r>
      <w:r w:rsidRPr="00A96189">
        <w:rPr>
          <w:i/>
        </w:rPr>
        <w:t>Every Child Matters</w:t>
      </w:r>
      <w:r w:rsidRPr="00A96189">
        <w:t xml:space="preserve"> (2003) outcomes for children: </w:t>
      </w:r>
      <w:r w:rsidRPr="00A96189">
        <w:rPr>
          <w:i/>
        </w:rPr>
        <w:t>being safe; being healthy; enjoying and achieving; making a contribution and economical wellbeing</w:t>
      </w:r>
      <w:r w:rsidRPr="00A96189">
        <w:t xml:space="preserve">.   </w:t>
      </w:r>
    </w:p>
    <w:p w14:paraId="15C84593" w14:textId="77777777" w:rsidR="008E216D" w:rsidRDefault="008E216D" w:rsidP="00D0334F">
      <w:pPr>
        <w:spacing w:line="360" w:lineRule="auto"/>
        <w:jc w:val="both"/>
      </w:pPr>
    </w:p>
    <w:p w14:paraId="3748B8B1" w14:textId="77777777" w:rsidR="008E216D" w:rsidRPr="00A96189" w:rsidRDefault="008E216D" w:rsidP="00D0334F">
      <w:pPr>
        <w:spacing w:line="360" w:lineRule="auto"/>
        <w:jc w:val="both"/>
      </w:pPr>
    </w:p>
    <w:p w14:paraId="3F21E32E" w14:textId="77777777" w:rsidR="008E216D" w:rsidRPr="00A96189" w:rsidRDefault="008E216D" w:rsidP="00D0334F">
      <w:pPr>
        <w:spacing w:line="360" w:lineRule="auto"/>
        <w:jc w:val="both"/>
      </w:pPr>
      <w:r w:rsidRPr="00A96189">
        <w:t xml:space="preserve">If schools and the education sector are expected to contribute to child wellbeing, then it is inevitable progress and impact will be monitored.  As discussed earlier, given the ambiguous definition of child wellbeing and the variety of ways that schools can interpret and promote it, it can sometimes be difficult for subjective wellbeing indicators such as self-confidence, happiness and safety etc. to be measured.   McAuley and Rose (2010), cite the work of Husband, Shreeve and Jones (2008) who recognised that </w:t>
      </w:r>
      <w:r w:rsidRPr="00A96189">
        <w:rPr>
          <w:i/>
        </w:rPr>
        <w:t>“health and wellbeing indicators were less common that pupil attainment measures, and that these varied in different countries”</w:t>
      </w:r>
      <w:r w:rsidRPr="00A96189">
        <w:t xml:space="preserve"> (2010, p. 105).  With this is mind, different approaches to measuring wellbeing are used across the four nations of the UK.  In Wales, schools are accountable to Estyn who are the office of Her Majesty’s Inspectorate for Education and Training following the introduction of the </w:t>
      </w:r>
      <w:r w:rsidRPr="00A96189">
        <w:rPr>
          <w:i/>
        </w:rPr>
        <w:t>Wales (1992) Education Act</w:t>
      </w:r>
      <w:r w:rsidRPr="00A96189">
        <w:t xml:space="preserve"> (Wales, 1992).  Estyn are independent of, but funded by, the National Assembly for Wales.  Estyn’s purpose is to inspect standards and quality of education and training across Wales.  In 2010, wellbeing was introduced as a key inspection area within the </w:t>
      </w:r>
      <w:r w:rsidRPr="00A96189">
        <w:rPr>
          <w:i/>
        </w:rPr>
        <w:t>Common Inspection Framework</w:t>
      </w:r>
      <w:r w:rsidRPr="00A96189">
        <w:t xml:space="preserve"> (2010) and remained a key feature after the re-launch in 2017 (Estyn 2017).  All educational settings are inspected against the five inspection areas; </w:t>
      </w:r>
      <w:r w:rsidRPr="00A96189">
        <w:rPr>
          <w:i/>
        </w:rPr>
        <w:t>Standards; Wellbeing and Attitudes to Learning; Teaching and Learning Experiences; Care, Support and Guidance and Leadership and Management</w:t>
      </w:r>
      <w:r w:rsidRPr="00A96189">
        <w:t xml:space="preserve"> and a judgement is made on a setting’s current performance and prospect for improvement.  This framework supports Welsh Government’s curriculum reform and Professor Donaldson’s; </w:t>
      </w:r>
      <w:r w:rsidRPr="00A96189">
        <w:rPr>
          <w:i/>
        </w:rPr>
        <w:t>Successful Futures (Donaldson, 2015)</w:t>
      </w:r>
      <w:r w:rsidRPr="00A96189">
        <w:t xml:space="preserve"> report which is being adopted as the new curriculum for Wales with statutory roll out in 2022.  Donaldson (2015) sets out distinctive purposes for the new curriculum in Wales with wellbeing named as one of the six </w:t>
      </w:r>
      <w:r w:rsidRPr="00A96189">
        <w:rPr>
          <w:i/>
        </w:rPr>
        <w:t>Areas of Learning and Experience</w:t>
      </w:r>
      <w:r w:rsidRPr="00A96189">
        <w:t>;</w:t>
      </w:r>
    </w:p>
    <w:p w14:paraId="12154031" w14:textId="77777777" w:rsidR="008E216D" w:rsidRDefault="008E216D" w:rsidP="00D0334F">
      <w:pPr>
        <w:spacing w:line="360" w:lineRule="auto"/>
        <w:ind w:left="720"/>
        <w:jc w:val="both"/>
      </w:pPr>
    </w:p>
    <w:p w14:paraId="7BE230DE" w14:textId="77777777" w:rsidR="008E216D" w:rsidRPr="00A96189" w:rsidRDefault="008E216D" w:rsidP="00D0334F">
      <w:pPr>
        <w:spacing w:line="360" w:lineRule="auto"/>
        <w:ind w:left="720"/>
        <w:jc w:val="both"/>
      </w:pPr>
    </w:p>
    <w:p w14:paraId="544C6188" w14:textId="77777777" w:rsidR="008E216D" w:rsidRPr="00A96189" w:rsidRDefault="008E216D" w:rsidP="000D67B4">
      <w:pPr>
        <w:pStyle w:val="ListParagraph"/>
        <w:numPr>
          <w:ilvl w:val="0"/>
          <w:numId w:val="3"/>
        </w:numPr>
        <w:spacing w:after="160"/>
        <w:jc w:val="both"/>
      </w:pPr>
      <w:r w:rsidRPr="00A96189">
        <w:t>Expressive Arts</w:t>
      </w:r>
    </w:p>
    <w:p w14:paraId="11466E0F" w14:textId="77777777" w:rsidR="008E216D" w:rsidRPr="00A96189" w:rsidRDefault="008E216D" w:rsidP="000D67B4">
      <w:pPr>
        <w:pStyle w:val="ListParagraph"/>
        <w:numPr>
          <w:ilvl w:val="0"/>
          <w:numId w:val="3"/>
        </w:numPr>
        <w:spacing w:after="160"/>
        <w:jc w:val="both"/>
      </w:pPr>
      <w:r w:rsidRPr="00A96189">
        <w:lastRenderedPageBreak/>
        <w:t xml:space="preserve">Health &amp; Wellbeing </w:t>
      </w:r>
    </w:p>
    <w:p w14:paraId="55F8EC25" w14:textId="77777777" w:rsidR="008E216D" w:rsidRPr="00A96189" w:rsidRDefault="008E216D" w:rsidP="000D67B4">
      <w:pPr>
        <w:pStyle w:val="ListParagraph"/>
        <w:numPr>
          <w:ilvl w:val="0"/>
          <w:numId w:val="3"/>
        </w:numPr>
        <w:spacing w:after="160"/>
        <w:jc w:val="both"/>
      </w:pPr>
      <w:r w:rsidRPr="00A96189">
        <w:t xml:space="preserve">Humanities </w:t>
      </w:r>
    </w:p>
    <w:p w14:paraId="49883835" w14:textId="77777777" w:rsidR="008E216D" w:rsidRPr="00A96189" w:rsidRDefault="008E216D" w:rsidP="000D67B4">
      <w:pPr>
        <w:pStyle w:val="ListParagraph"/>
        <w:numPr>
          <w:ilvl w:val="0"/>
          <w:numId w:val="3"/>
        </w:numPr>
        <w:spacing w:after="160"/>
        <w:jc w:val="both"/>
      </w:pPr>
      <w:r w:rsidRPr="00A96189">
        <w:t xml:space="preserve">Languages, Literacy &amp; Communication </w:t>
      </w:r>
    </w:p>
    <w:p w14:paraId="09E13142" w14:textId="77777777" w:rsidR="008E216D" w:rsidRPr="00A96189" w:rsidRDefault="008E216D" w:rsidP="000D67B4">
      <w:pPr>
        <w:pStyle w:val="ListParagraph"/>
        <w:numPr>
          <w:ilvl w:val="0"/>
          <w:numId w:val="3"/>
        </w:numPr>
        <w:spacing w:after="160"/>
        <w:jc w:val="both"/>
      </w:pPr>
      <w:r w:rsidRPr="00A96189">
        <w:t xml:space="preserve">Science &amp; Technology </w:t>
      </w:r>
    </w:p>
    <w:p w14:paraId="1F2B68F3" w14:textId="77777777" w:rsidR="008E216D" w:rsidRPr="00A96189" w:rsidRDefault="008E216D" w:rsidP="000D67B4">
      <w:pPr>
        <w:pStyle w:val="ListParagraph"/>
        <w:numPr>
          <w:ilvl w:val="0"/>
          <w:numId w:val="3"/>
        </w:numPr>
        <w:spacing w:after="160"/>
        <w:jc w:val="both"/>
      </w:pPr>
      <w:r w:rsidRPr="00A96189">
        <w:t xml:space="preserve">Mathematics &amp; Numeracy </w:t>
      </w:r>
    </w:p>
    <w:p w14:paraId="5F66000D" w14:textId="77777777" w:rsidR="008E216D" w:rsidRPr="00A96189" w:rsidRDefault="008E216D" w:rsidP="000D67B4">
      <w:pPr>
        <w:pStyle w:val="ListParagraph"/>
        <w:ind w:left="6480"/>
        <w:jc w:val="right"/>
      </w:pPr>
    </w:p>
    <w:p w14:paraId="671CE164" w14:textId="77777777" w:rsidR="008E216D" w:rsidRPr="00A96189" w:rsidRDefault="008E216D" w:rsidP="000D67B4">
      <w:pPr>
        <w:pStyle w:val="ListParagraph"/>
        <w:ind w:left="6480"/>
        <w:jc w:val="right"/>
      </w:pPr>
      <w:r w:rsidRPr="00A96189">
        <w:t>Donaldson (2015)</w:t>
      </w:r>
    </w:p>
    <w:p w14:paraId="59FF9E08" w14:textId="77777777" w:rsidR="008E216D" w:rsidRPr="00A96189" w:rsidRDefault="008E216D" w:rsidP="00D0334F">
      <w:pPr>
        <w:spacing w:line="360" w:lineRule="auto"/>
        <w:jc w:val="both"/>
      </w:pPr>
    </w:p>
    <w:p w14:paraId="2F79BB4C" w14:textId="77777777" w:rsidR="008E216D" w:rsidRDefault="008E216D" w:rsidP="00D0334F">
      <w:pPr>
        <w:spacing w:line="360" w:lineRule="auto"/>
        <w:jc w:val="both"/>
      </w:pPr>
    </w:p>
    <w:p w14:paraId="3E5E778B" w14:textId="77777777" w:rsidR="008E216D" w:rsidRDefault="008E216D" w:rsidP="00D0334F">
      <w:pPr>
        <w:spacing w:line="360" w:lineRule="auto"/>
        <w:jc w:val="both"/>
      </w:pPr>
      <w:r w:rsidRPr="00A96189">
        <w:t xml:space="preserve">Many of the indicators that contribute to the ecological wellbeing of children which was presented at the start of this review are explicitly linked to the Articles enshrined within the UNCRC (United Nations Convention on the Rights of a Child) (Unicef, no date) such as health linked to Article 6 and Article 24, access to education to Article 29 and reaching potential to Article 29.  Therefore, it could be argued that a child rights-based approach to education and the fulfilment of rights can be directly linked to aiding child wellbeing.  Wales has for some time been used to working with the framework of the UNCRC as it not only shapes Wales’ </w:t>
      </w:r>
      <w:r w:rsidRPr="00A96189">
        <w:rPr>
          <w:i/>
        </w:rPr>
        <w:t>7 Core Aims</w:t>
      </w:r>
      <w:r w:rsidRPr="00A96189">
        <w:t xml:space="preserve"> (Wales, 2000) for children’s services but was introduced fully into the functions of Welsh Ministers in May 2014 following the passing of the landmark legislation, namely, </w:t>
      </w:r>
      <w:r w:rsidRPr="00A96189">
        <w:rPr>
          <w:i/>
        </w:rPr>
        <w:t>Rights of Children and Young Persons (Wales) Measure 2011</w:t>
      </w:r>
      <w:r w:rsidRPr="00A96189">
        <w:t xml:space="preserve"> (Wales, 2011).     </w:t>
      </w:r>
    </w:p>
    <w:p w14:paraId="6C1315D1" w14:textId="77777777" w:rsidR="008E216D" w:rsidRPr="00A96189" w:rsidRDefault="008E216D" w:rsidP="00D0334F">
      <w:pPr>
        <w:spacing w:line="360" w:lineRule="auto"/>
        <w:jc w:val="both"/>
      </w:pPr>
    </w:p>
    <w:p w14:paraId="491CD2C8" w14:textId="77777777" w:rsidR="008E216D" w:rsidRPr="00A96189" w:rsidRDefault="008E216D" w:rsidP="00D0334F">
      <w:pPr>
        <w:spacing w:line="360" w:lineRule="auto"/>
        <w:jc w:val="both"/>
      </w:pPr>
    </w:p>
    <w:p w14:paraId="71CF20D7" w14:textId="77777777" w:rsidR="008E216D" w:rsidRDefault="008E216D" w:rsidP="00D0334F">
      <w:pPr>
        <w:spacing w:line="360" w:lineRule="auto"/>
        <w:jc w:val="both"/>
        <w:outlineLvl w:val="0"/>
        <w:rPr>
          <w:u w:val="single"/>
        </w:rPr>
      </w:pPr>
      <w:r w:rsidRPr="00A96189">
        <w:rPr>
          <w:u w:val="single"/>
        </w:rPr>
        <w:t xml:space="preserve">Accountability </w:t>
      </w:r>
    </w:p>
    <w:p w14:paraId="3338F082" w14:textId="77777777" w:rsidR="008E216D" w:rsidRPr="00A96189" w:rsidRDefault="008E216D" w:rsidP="00D0334F">
      <w:pPr>
        <w:spacing w:line="360" w:lineRule="auto"/>
        <w:jc w:val="both"/>
        <w:outlineLvl w:val="0"/>
        <w:rPr>
          <w:u w:val="single"/>
        </w:rPr>
      </w:pPr>
    </w:p>
    <w:p w14:paraId="322BBE4F" w14:textId="77777777" w:rsidR="008E216D" w:rsidRPr="00A96189" w:rsidRDefault="008E216D" w:rsidP="00D0334F">
      <w:pPr>
        <w:spacing w:line="360" w:lineRule="auto"/>
        <w:jc w:val="both"/>
      </w:pPr>
      <w:r w:rsidRPr="00A96189">
        <w:t>A system of accountability can be broadly applied to all services and disciples such as medical services or restricted to special initiatives such as truancy reduction as offered by Stobart (2007).  The reason for accountability in relation to education resides in the facts that not only is it publicly funded but a universal state service.  Accountability in the education system is therefore in the public interest and must be accountable at both the national and local level (House of Commons, 2010).  Published books, organisations and theorists offer a range of definitions for accountability, which can be applied to different disciplines but for the purpose of this paper, I want to look offer accountability directly linked to education.  Anderson (2005) offers;</w:t>
      </w:r>
    </w:p>
    <w:p w14:paraId="5330AD3F" w14:textId="77777777" w:rsidR="008E216D" w:rsidRPr="00A96189" w:rsidRDefault="008E216D" w:rsidP="00D0334F">
      <w:pPr>
        <w:autoSpaceDE w:val="0"/>
        <w:autoSpaceDN w:val="0"/>
        <w:adjustRightInd w:val="0"/>
        <w:spacing w:line="360" w:lineRule="auto"/>
        <w:ind w:left="283" w:right="283"/>
        <w:jc w:val="both"/>
        <w:rPr>
          <w:rFonts w:cs="Times New Roman"/>
          <w:color w:val="000000"/>
        </w:rPr>
      </w:pPr>
    </w:p>
    <w:p w14:paraId="0D732DD8" w14:textId="77777777" w:rsidR="008E216D" w:rsidRPr="00A96189" w:rsidRDefault="008E216D" w:rsidP="000D67B4">
      <w:pPr>
        <w:autoSpaceDE w:val="0"/>
        <w:autoSpaceDN w:val="0"/>
        <w:adjustRightInd w:val="0"/>
        <w:ind w:left="720" w:right="720"/>
        <w:jc w:val="both"/>
        <w:rPr>
          <w:rFonts w:cs="Times New Roman"/>
          <w:color w:val="000000"/>
        </w:rPr>
      </w:pPr>
      <w:r w:rsidRPr="00A96189">
        <w:rPr>
          <w:rFonts w:cs="Times New Roman"/>
          <w:color w:val="000000"/>
        </w:rPr>
        <w:lastRenderedPageBreak/>
        <w:t>In the field of education there are three main types of accountability system: (a) compliance with regulations, (b) adherence to professional norms, and (c) results driven. School accountability systems operate according to a set of principles and use a variety of implementation strategies.</w:t>
      </w:r>
    </w:p>
    <w:p w14:paraId="16B276C9" w14:textId="77777777" w:rsidR="008E216D" w:rsidRPr="00A96189" w:rsidRDefault="008E216D" w:rsidP="000D67B4">
      <w:pPr>
        <w:autoSpaceDE w:val="0"/>
        <w:autoSpaceDN w:val="0"/>
        <w:adjustRightInd w:val="0"/>
        <w:ind w:left="283" w:right="283"/>
        <w:jc w:val="right"/>
        <w:rPr>
          <w:rFonts w:cs="Times New Roman"/>
          <w:color w:val="000000"/>
        </w:rPr>
      </w:pPr>
      <w:r w:rsidRPr="00A96189">
        <w:rPr>
          <w:rFonts w:cs="Times New Roman"/>
          <w:color w:val="000000"/>
        </w:rPr>
        <w:tab/>
      </w:r>
      <w:r w:rsidRPr="00A96189">
        <w:rPr>
          <w:rFonts w:cs="Times New Roman"/>
          <w:color w:val="000000"/>
        </w:rPr>
        <w:tab/>
      </w:r>
      <w:r w:rsidRPr="00A96189">
        <w:rPr>
          <w:rFonts w:cs="Times New Roman"/>
          <w:color w:val="000000"/>
        </w:rPr>
        <w:tab/>
      </w:r>
      <w:r w:rsidRPr="00A96189">
        <w:rPr>
          <w:rFonts w:cs="Times New Roman"/>
          <w:color w:val="000000"/>
        </w:rPr>
        <w:tab/>
      </w:r>
      <w:r w:rsidRPr="00A96189">
        <w:rPr>
          <w:rFonts w:cs="Times New Roman"/>
          <w:color w:val="000000"/>
        </w:rPr>
        <w:tab/>
      </w:r>
      <w:r w:rsidRPr="00A96189">
        <w:rPr>
          <w:rFonts w:cs="Times New Roman"/>
          <w:color w:val="000000"/>
        </w:rPr>
        <w:tab/>
      </w:r>
      <w:r w:rsidRPr="00A96189">
        <w:rPr>
          <w:rFonts w:cs="Times New Roman"/>
          <w:color w:val="000000"/>
        </w:rPr>
        <w:tab/>
      </w:r>
      <w:r w:rsidRPr="00A96189">
        <w:rPr>
          <w:rFonts w:cs="Times New Roman"/>
          <w:color w:val="000000"/>
        </w:rPr>
        <w:tab/>
      </w:r>
      <w:r w:rsidRPr="00A96189">
        <w:rPr>
          <w:rFonts w:cs="Times New Roman"/>
          <w:color w:val="000000"/>
        </w:rPr>
        <w:tab/>
      </w:r>
    </w:p>
    <w:p w14:paraId="5783C327" w14:textId="6241576E" w:rsidR="008E216D" w:rsidRPr="00A96189" w:rsidRDefault="000D67B4" w:rsidP="000D67B4">
      <w:pPr>
        <w:autoSpaceDE w:val="0"/>
        <w:autoSpaceDN w:val="0"/>
        <w:adjustRightInd w:val="0"/>
        <w:ind w:left="283" w:right="283"/>
        <w:jc w:val="right"/>
      </w:pPr>
      <w:r>
        <w:rPr>
          <w:rFonts w:cs="Times New Roman"/>
          <w:color w:val="000000"/>
        </w:rPr>
        <w:t>(Anderson, 2005 p. 1)</w:t>
      </w:r>
    </w:p>
    <w:p w14:paraId="74E2899A" w14:textId="77777777" w:rsidR="008E216D" w:rsidRDefault="008E216D" w:rsidP="00D0334F">
      <w:pPr>
        <w:spacing w:line="360" w:lineRule="auto"/>
        <w:jc w:val="both"/>
      </w:pPr>
    </w:p>
    <w:p w14:paraId="2A6F6F30" w14:textId="77777777" w:rsidR="008E216D" w:rsidRPr="00A96189" w:rsidRDefault="008E216D" w:rsidP="00D0334F">
      <w:pPr>
        <w:spacing w:line="360" w:lineRule="auto"/>
        <w:jc w:val="both"/>
      </w:pPr>
    </w:p>
    <w:p w14:paraId="31C5E25D" w14:textId="77777777" w:rsidR="008E216D" w:rsidRPr="00A96189" w:rsidRDefault="008E216D" w:rsidP="00D0334F">
      <w:pPr>
        <w:spacing w:line="360" w:lineRule="auto"/>
        <w:jc w:val="both"/>
      </w:pPr>
      <w:r w:rsidRPr="00A96189">
        <w:t xml:space="preserve">When looking at the history of accountability of education across Wales and the UK, we have seen radical changes across the last four decades sparked by the then Labour Prime Minister, Jim Callaghan (1976) at Ruskin College.  During his famous Ruskin speech (1976), Callaghan launched what is now known as ‘the great education debate’, which many including Chitty (2014) argue marked </w:t>
      </w:r>
      <w:r w:rsidRPr="00A96189">
        <w:rPr>
          <w:i/>
        </w:rPr>
        <w:t>“a clear shift on the part of the labour leadership towards policies that would facilitate greater control of the education system”</w:t>
      </w:r>
      <w:r w:rsidRPr="00A96189">
        <w:t xml:space="preserve"> (2014, p. 45).  Callaghan called for a democratic approach to the curriculum as highlighted by Sharp and Dunford (2009) which emphasised the need for the world of business and parents to be involved in education.  This initiated a rapid change in the accountability of the educational system across the UK which is still very much present today.</w:t>
      </w:r>
    </w:p>
    <w:p w14:paraId="0F89E8B9" w14:textId="77777777" w:rsidR="008E216D" w:rsidRDefault="008E216D" w:rsidP="00D0334F">
      <w:pPr>
        <w:spacing w:line="360" w:lineRule="auto"/>
        <w:jc w:val="both"/>
      </w:pPr>
    </w:p>
    <w:p w14:paraId="1009549D" w14:textId="77777777" w:rsidR="008E216D" w:rsidRPr="00A96189" w:rsidRDefault="008E216D" w:rsidP="00D0334F">
      <w:pPr>
        <w:spacing w:line="360" w:lineRule="auto"/>
        <w:jc w:val="both"/>
      </w:pPr>
    </w:p>
    <w:p w14:paraId="38B1BA01" w14:textId="296C7FA2" w:rsidR="008E216D" w:rsidRDefault="008E216D" w:rsidP="00D0334F">
      <w:pPr>
        <w:spacing w:line="360" w:lineRule="auto"/>
        <w:jc w:val="both"/>
      </w:pPr>
      <w:r w:rsidRPr="00A96189">
        <w:t xml:space="preserve">There has a been a succession of laws, acts and legislative changes since Callaghan’s speech including the introduction of the </w:t>
      </w:r>
      <w:r w:rsidRPr="00A96189">
        <w:rPr>
          <w:i/>
        </w:rPr>
        <w:t>Education Reform Act</w:t>
      </w:r>
      <w:r w:rsidRPr="00A96189">
        <w:t xml:space="preserve"> (Great Britain, 1988), which is well known for introducing a </w:t>
      </w:r>
      <w:r w:rsidRPr="00A96189">
        <w:rPr>
          <w:i/>
        </w:rPr>
        <w:t>National Curriculum</w:t>
      </w:r>
      <w:r w:rsidRPr="00A96189">
        <w:t xml:space="preserve"> and standardising a national testing framework which would later become a key measure to which schools would be held account.  In 1992, Government again set out to restructure and introduced the </w:t>
      </w:r>
      <w:r w:rsidRPr="00A96189">
        <w:rPr>
          <w:rFonts w:eastAsia="Times New Roman" w:cs="Arial"/>
          <w:i/>
          <w:shd w:val="clear" w:color="auto" w:fill="FFFFFF"/>
        </w:rPr>
        <w:t>Education (School Performance Information) (England) Regulations</w:t>
      </w:r>
      <w:r w:rsidRPr="00A96189">
        <w:t xml:space="preserve"> (Great Britain, 1992).  These regulations transformed the composition of Governing Bodies in schools to make </w:t>
      </w:r>
      <w:r w:rsidR="00547B8B" w:rsidRPr="00A96189">
        <w:t>headteacher’s</w:t>
      </w:r>
      <w:r w:rsidRPr="00A96189">
        <w:t xml:space="preserve"> hierarchically accountable to parents.  This gave parents autonomy and empowered them to play a major role in education.  The regulations were part of the wider </w:t>
      </w:r>
      <w:r w:rsidRPr="00A96189">
        <w:rPr>
          <w:i/>
        </w:rPr>
        <w:t>Education (Schools) Act</w:t>
      </w:r>
      <w:r w:rsidRPr="00A96189">
        <w:t xml:space="preserve"> (Great Britain, 1992) which saw the establishment of Estyn, Her Majesty’s Inspectorate for Wales, and also the imposition of league tables which saw a significant development in terms of school accountability.  Authors such as Mattei (2012) have presented much debate about the impact of this on schools.  </w:t>
      </w:r>
    </w:p>
    <w:p w14:paraId="50FFCC26" w14:textId="77777777" w:rsidR="008E216D" w:rsidRPr="00A96189" w:rsidRDefault="008E216D" w:rsidP="00D0334F">
      <w:pPr>
        <w:spacing w:line="360" w:lineRule="auto"/>
        <w:jc w:val="both"/>
      </w:pPr>
    </w:p>
    <w:p w14:paraId="15398611" w14:textId="77777777" w:rsidR="008E216D" w:rsidRPr="00A96189" w:rsidRDefault="008E216D" w:rsidP="00D0334F">
      <w:pPr>
        <w:spacing w:line="360" w:lineRule="auto"/>
        <w:jc w:val="both"/>
      </w:pPr>
    </w:p>
    <w:p w14:paraId="5AD8FB83" w14:textId="77777777" w:rsidR="008E216D" w:rsidRDefault="008E216D" w:rsidP="00D0334F">
      <w:pPr>
        <w:spacing w:line="360" w:lineRule="auto"/>
        <w:jc w:val="both"/>
      </w:pPr>
      <w:r w:rsidRPr="00A96189">
        <w:t xml:space="preserve">The Devolution Settlement in 1998 enabled Wales to have responsibility for nearly all areas of education and training through Wales’ newly instated devolved powers.  Since then, and as the devolved administration in Wales has gained in competence and confidence, Wales has introduced distinct education policies that have resulted in a gradual differentiation from those of England, aiming to match its education needs.  An example of this was the Welsh Government eradicating league tables in Wales.  To further discuss this, the earlier work of Thomas (1998) raised the issue that overall statistics of pupil performances do not give a true reflection of how effective a school is at raising standards and the attainment of its pupils.  Following this, interesting research emerged when Burgess et. al (2010) tested the hypothesis that school effectiveness decreased in Wales after the abolition of league performance tables in comparison to counterparts in England.  The authors reported that Wales’ eradication of league tables did in fact reduce school effectiveness in Wales.  </w:t>
      </w:r>
    </w:p>
    <w:p w14:paraId="0047A1BB" w14:textId="77777777" w:rsidR="008E216D" w:rsidRPr="00A96189" w:rsidRDefault="008E216D" w:rsidP="00D0334F">
      <w:pPr>
        <w:spacing w:line="360" w:lineRule="auto"/>
        <w:jc w:val="both"/>
      </w:pPr>
    </w:p>
    <w:p w14:paraId="5135B96A" w14:textId="77777777" w:rsidR="008E216D" w:rsidRPr="00A96189" w:rsidRDefault="008E216D" w:rsidP="00D0334F">
      <w:pPr>
        <w:spacing w:line="360" w:lineRule="auto"/>
        <w:jc w:val="both"/>
      </w:pPr>
    </w:p>
    <w:p w14:paraId="1516F5C5" w14:textId="77777777" w:rsidR="008E216D" w:rsidRDefault="008E216D" w:rsidP="00D0334F">
      <w:pPr>
        <w:spacing w:line="360" w:lineRule="auto"/>
        <w:jc w:val="both"/>
      </w:pPr>
      <w:r w:rsidRPr="00A96189">
        <w:t>The overall responsibility for the Welsh education system lies with</w:t>
      </w:r>
      <w:r w:rsidRPr="00A96189">
        <w:rPr>
          <w:rFonts w:cs="Arial"/>
          <w:color w:val="000000"/>
        </w:rPr>
        <w:t xml:space="preserve"> the Department for Children, Education, Lifelong Learning and Skills (DCELLS</w:t>
      </w:r>
      <w:r w:rsidRPr="00A96189">
        <w:t>) who are responsible for (with the exception of Higher Education) funding across all levels of education and training (Great Britain, 1992).  That said, as local authorities have a statutory duty to secure the provision of primary and compulsory secondary education, it could be argued that the responsibility for education provision is largely decentralised and lies with local authorities, the governing bodies of educational institutions, the teaching profession and voluntary providers including churches.  The publication by the European Commission (</w:t>
      </w:r>
      <w:r w:rsidRPr="00A96189">
        <w:rPr>
          <w:rFonts w:cs="Times New Roman"/>
          <w:color w:val="000000"/>
        </w:rPr>
        <w:t>2013</w:t>
      </w:r>
      <w:r w:rsidRPr="00A96189">
        <w:t>) also stipulated that schools have responsibility for promoting high standards of education for children and young people of school age in their area.</w:t>
      </w:r>
    </w:p>
    <w:p w14:paraId="571420D4" w14:textId="77777777" w:rsidR="008E216D" w:rsidRPr="00A96189" w:rsidRDefault="008E216D" w:rsidP="00D0334F">
      <w:pPr>
        <w:spacing w:line="360" w:lineRule="auto"/>
        <w:jc w:val="both"/>
      </w:pPr>
    </w:p>
    <w:p w14:paraId="2CDF4D60" w14:textId="77777777" w:rsidR="008E216D" w:rsidRPr="00A96189" w:rsidRDefault="008E216D" w:rsidP="00D0334F">
      <w:pPr>
        <w:spacing w:line="360" w:lineRule="auto"/>
        <w:jc w:val="both"/>
      </w:pPr>
    </w:p>
    <w:p w14:paraId="0DA8284E" w14:textId="77777777" w:rsidR="008E216D" w:rsidRPr="00A96189" w:rsidRDefault="008E216D" w:rsidP="00D0334F">
      <w:pPr>
        <w:spacing w:line="360" w:lineRule="auto"/>
        <w:jc w:val="both"/>
      </w:pPr>
      <w:r w:rsidRPr="00A96189">
        <w:t xml:space="preserve">The eagerly awaited publication of </w:t>
      </w:r>
      <w:r w:rsidRPr="00A96189">
        <w:rPr>
          <w:i/>
        </w:rPr>
        <w:t>The Learning Country:  A Comprehensive Education and Lifelong Learning Programme to 2001</w:t>
      </w:r>
      <w:r w:rsidRPr="00A96189">
        <w:t xml:space="preserve"> (DCELLS, 2001) was the first major articulation of the vision for the education system in Wales.  Furthermore, </w:t>
      </w:r>
      <w:r w:rsidRPr="00A96189">
        <w:rPr>
          <w:i/>
        </w:rPr>
        <w:t xml:space="preserve">The Learning Country </w:t>
      </w:r>
      <w:r w:rsidRPr="00A96189">
        <w:t xml:space="preserve">(DCELLS, 2001) stated that it was providing the </w:t>
      </w:r>
      <w:r w:rsidRPr="00A96189">
        <w:rPr>
          <w:i/>
        </w:rPr>
        <w:t>“first comprehensive strategic statement on education and lifelong learning”</w:t>
      </w:r>
      <w:r w:rsidRPr="00A96189">
        <w:t xml:space="preserve"> (2001, p. 1) ever produced for Wales.  As well as the approval from </w:t>
      </w:r>
      <w:r w:rsidRPr="00A96189">
        <w:lastRenderedPageBreak/>
        <w:t xml:space="preserve">educationalists across Wales and beyond, this publication attracted international recognition with authors including Jones and Roderick (2003) applauding the vision as </w:t>
      </w:r>
      <w:r w:rsidRPr="00A96189">
        <w:rPr>
          <w:i/>
        </w:rPr>
        <w:t>“a radical departure, providing Wales with an education system based on different social principles which amounts to a statement about the nature of Welsh society”</w:t>
      </w:r>
      <w:r w:rsidRPr="00A96189">
        <w:t xml:space="preserve"> (2003, p. 225).  Systems and practices including the establishment of Estyn, a qualifications body, the continuing role of local education authorities and a state comprehensive school system were introduced following the </w:t>
      </w:r>
      <w:r w:rsidRPr="00A96189">
        <w:rPr>
          <w:i/>
        </w:rPr>
        <w:t>Learning Country</w:t>
      </w:r>
      <w:r w:rsidRPr="00A96189">
        <w:t xml:space="preserve"> (DCELLS, 2001) and helped create many of the features that we still see in Wales today.  Another significant movement to strengthen the framework for school accountability and to help simplify the school improvement process was the introduction of the </w:t>
      </w:r>
      <w:r w:rsidRPr="00A96189">
        <w:rPr>
          <w:i/>
        </w:rPr>
        <w:t>Education Act</w:t>
      </w:r>
      <w:r w:rsidRPr="00A96189">
        <w:t xml:space="preserve"> (Great Britain, 2005).  Whilst maintaining rigour, the Act brought about shorter school inspections and put greater weight on a school evaluating its own progress against benchmarked national data.  </w:t>
      </w:r>
    </w:p>
    <w:p w14:paraId="071EF64E" w14:textId="77777777" w:rsidR="008E216D" w:rsidRDefault="008E216D" w:rsidP="00D0334F">
      <w:pPr>
        <w:spacing w:line="360" w:lineRule="auto"/>
        <w:jc w:val="both"/>
      </w:pPr>
    </w:p>
    <w:p w14:paraId="3A3C5110" w14:textId="77777777" w:rsidR="008E216D" w:rsidRPr="00A96189" w:rsidRDefault="008E216D" w:rsidP="00D0334F">
      <w:pPr>
        <w:spacing w:line="360" w:lineRule="auto"/>
        <w:jc w:val="both"/>
      </w:pPr>
    </w:p>
    <w:p w14:paraId="49DBCA21" w14:textId="7E3F891A" w:rsidR="008E216D" w:rsidRDefault="008E216D" w:rsidP="00D0334F">
      <w:pPr>
        <w:spacing w:line="360" w:lineRule="auto"/>
        <w:jc w:val="both"/>
        <w:rPr>
          <w:rFonts w:cs="Arial"/>
          <w:color w:val="000000"/>
        </w:rPr>
      </w:pPr>
      <w:r w:rsidRPr="00A96189">
        <w:t xml:space="preserve">The </w:t>
      </w:r>
      <w:r w:rsidRPr="00A96189">
        <w:rPr>
          <w:i/>
        </w:rPr>
        <w:t xml:space="preserve">School Effectiveness Framework </w:t>
      </w:r>
      <w:r w:rsidRPr="00A96189">
        <w:t>(SEF) (</w:t>
      </w:r>
      <w:r w:rsidRPr="00A96189">
        <w:rPr>
          <w:rFonts w:cs="Arial"/>
          <w:color w:val="000000"/>
        </w:rPr>
        <w:t xml:space="preserve">DCELLS, 2008) synthesised international evidence and provided schools and teachers with a framework to enable them to raise standards for learners and placed greater accountability on local authorities, governing bodies and </w:t>
      </w:r>
      <w:r w:rsidR="00547B8B" w:rsidRPr="00A96189">
        <w:rPr>
          <w:rFonts w:cs="Arial"/>
          <w:color w:val="000000"/>
        </w:rPr>
        <w:t>headteacher’s</w:t>
      </w:r>
      <w:r w:rsidRPr="00A96189">
        <w:rPr>
          <w:rFonts w:cs="Arial"/>
          <w:color w:val="000000"/>
        </w:rPr>
        <w:t xml:space="preserve">.  Wales used the work of the international movement on school improvement and effectiveness to design the SEF.  One of the drivers for this was the spotlight on Wales’ educational policies from 2006 after evidence emerged from authors including Chapman et. al (2010) who highlighted that the standards of attainment by learners in Wales had fallen below our neighbouring counties in the UK.   </w:t>
      </w:r>
    </w:p>
    <w:p w14:paraId="36FEB831" w14:textId="77777777" w:rsidR="008E216D" w:rsidRPr="00A96189" w:rsidRDefault="008E216D" w:rsidP="00D0334F">
      <w:pPr>
        <w:spacing w:line="360" w:lineRule="auto"/>
        <w:jc w:val="both"/>
      </w:pPr>
    </w:p>
    <w:p w14:paraId="0FE62BE2" w14:textId="77777777" w:rsidR="008E216D" w:rsidRPr="00A96189" w:rsidRDefault="008E216D" w:rsidP="00D0334F">
      <w:pPr>
        <w:spacing w:line="360" w:lineRule="auto"/>
        <w:jc w:val="both"/>
      </w:pPr>
    </w:p>
    <w:p w14:paraId="0C2E330E" w14:textId="77777777" w:rsidR="008E216D" w:rsidRPr="00A96189" w:rsidRDefault="008E216D" w:rsidP="00D0334F">
      <w:pPr>
        <w:autoSpaceDE w:val="0"/>
        <w:autoSpaceDN w:val="0"/>
        <w:adjustRightInd w:val="0"/>
        <w:spacing w:line="360" w:lineRule="auto"/>
        <w:jc w:val="both"/>
      </w:pPr>
      <w:r w:rsidRPr="00A96189">
        <w:t xml:space="preserve">Whilst the SEF was met with broad approval from the education community, its implementation was problematic which thrust Wales back into the spotlight from 2009.  This was further supported by poor PISA </w:t>
      </w:r>
      <w:r w:rsidRPr="00A96189">
        <w:rPr>
          <w:i/>
        </w:rPr>
        <w:t>(Programme for International Student Assessment)</w:t>
      </w:r>
      <w:r w:rsidRPr="00A96189">
        <w:t xml:space="preserve"> results (2009) which sparked a national debate on how far Wales was from realising its curriculum commitment.  However, a revised curriculum had begun to be introduced in 2008 and the </w:t>
      </w:r>
      <w:r w:rsidRPr="00A96189">
        <w:rPr>
          <w:i/>
        </w:rPr>
        <w:t xml:space="preserve">Skills Framework for 3 to 19-year-olds in Wales </w:t>
      </w:r>
      <w:r w:rsidRPr="00A96189">
        <w:t>(</w:t>
      </w:r>
      <w:r w:rsidRPr="00A96189">
        <w:rPr>
          <w:rFonts w:cs="Arial"/>
          <w:color w:val="000000"/>
        </w:rPr>
        <w:t>DCELLS, 2008</w:t>
      </w:r>
      <w:r w:rsidRPr="00A96189">
        <w:t xml:space="preserve">) sought to meet the needs of leaners ready for the twenty first century by focusing more on skills and reducing the prescribed content of the current curriculum.  This revised curriculum also aimed to </w:t>
      </w:r>
      <w:r w:rsidRPr="00A96189">
        <w:lastRenderedPageBreak/>
        <w:t xml:space="preserve">ensure progression and continuity for learners between all phases of their education and satisfy other government priorities including global citizenship and bilingualism.  The final phase of this revised curriculum was implemented in 2011 through the introduction of the </w:t>
      </w:r>
      <w:r w:rsidRPr="00A96189">
        <w:rPr>
          <w:i/>
        </w:rPr>
        <w:t>Foundation Phase</w:t>
      </w:r>
      <w:r w:rsidRPr="00A96189">
        <w:t xml:space="preserve"> (</w:t>
      </w:r>
      <w:r w:rsidRPr="00A96189">
        <w:rPr>
          <w:rFonts w:cs="Arial"/>
          <w:color w:val="000000"/>
        </w:rPr>
        <w:t xml:space="preserve">DCELLS, 2008) which became statutory for three to seven-year olds across Wales.  The </w:t>
      </w:r>
      <w:r w:rsidRPr="00A96189">
        <w:rPr>
          <w:rFonts w:cs="Arial"/>
          <w:i/>
          <w:color w:val="000000"/>
        </w:rPr>
        <w:t xml:space="preserve">Foundation Phase </w:t>
      </w:r>
      <w:r w:rsidRPr="00A96189">
        <w:rPr>
          <w:rFonts w:cs="Arial"/>
          <w:color w:val="000000"/>
        </w:rPr>
        <w:t xml:space="preserve">(DCELLS, 2008) philosophy was to offer children experiential learning through play and investigation which were both organised and practical.  It combined and replaced early years </w:t>
      </w:r>
      <w:r w:rsidRPr="00A96189">
        <w:t>education (ages three to five) and key stage 1 (ages five to seven)</w:t>
      </w:r>
      <w:r w:rsidRPr="00A96189">
        <w:rPr>
          <w:rFonts w:cs="Arial"/>
          <w:color w:val="000000"/>
        </w:rPr>
        <w:t>.  Wales embarked on a large-scale reform of school improvement with this backdrop in 2011, which resulted in a range of policies introduced all aimed at improving the quality of the Welsh education system.  The OECD (Organisation for Economic Co-operation and Development) in its published report, titled</w:t>
      </w:r>
      <w:r w:rsidRPr="00A96189">
        <w:rPr>
          <w:rFonts w:cs="Arial"/>
          <w:i/>
          <w:color w:val="000000"/>
        </w:rPr>
        <w:t>; Improving Schools in Wales: An OECD Perspective</w:t>
      </w:r>
      <w:r w:rsidRPr="00A96189">
        <w:rPr>
          <w:rFonts w:cs="Arial"/>
          <w:color w:val="000000"/>
        </w:rPr>
        <w:t xml:space="preserve"> (2014) recognised that prior to this reform, there was little accountability on school leaders and that school monitoring, evaluation and assessment processes were primarily developmental.  </w:t>
      </w:r>
      <w:r w:rsidRPr="00A96189">
        <w:t>To further support this, the report stated that countries who implemented the most comprehensive mechanisms for formal assessment and evaluation, also ranked the highest for their quality results in the PISA surveys.  Countries named included Australia, Canada, the Netherlands and Korea (OECD, 2014).</w:t>
      </w:r>
    </w:p>
    <w:p w14:paraId="63694B2B" w14:textId="77777777" w:rsidR="008E216D" w:rsidRPr="00A96189" w:rsidRDefault="008E216D" w:rsidP="00D0334F">
      <w:pPr>
        <w:autoSpaceDE w:val="0"/>
        <w:autoSpaceDN w:val="0"/>
        <w:adjustRightInd w:val="0"/>
        <w:spacing w:line="360" w:lineRule="auto"/>
        <w:jc w:val="both"/>
      </w:pPr>
    </w:p>
    <w:p w14:paraId="0FDA252F" w14:textId="77777777" w:rsidR="008E216D" w:rsidRPr="00A96189" w:rsidRDefault="008E216D" w:rsidP="00D0334F">
      <w:pPr>
        <w:autoSpaceDE w:val="0"/>
        <w:autoSpaceDN w:val="0"/>
        <w:adjustRightInd w:val="0"/>
        <w:spacing w:line="360" w:lineRule="auto"/>
        <w:jc w:val="both"/>
      </w:pPr>
    </w:p>
    <w:p w14:paraId="3ED146B4" w14:textId="77777777" w:rsidR="008E216D" w:rsidRPr="00A96189" w:rsidRDefault="008E216D" w:rsidP="00D0334F">
      <w:pPr>
        <w:spacing w:line="360" w:lineRule="auto"/>
        <w:jc w:val="both"/>
      </w:pPr>
      <w:r w:rsidRPr="00A96189">
        <w:t xml:space="preserve">It was in 2014, that Welsh Government invited the OECD to conduct a review of its school system which was sparked by its ever-changing landscape.  After looking at Welsh education, the OECD (2014) analysed the strengths of systems, highlighted weaknesses and proposed a series of recommendations to strengthen and shape Wales’ long-term vision.  In response to this report, and several other research publications including the earlier work of Hill (2013), Wales announced a revised vision and strategic plan for education and </w:t>
      </w:r>
      <w:r w:rsidRPr="00A96189">
        <w:rPr>
          <w:i/>
        </w:rPr>
        <w:t>Qualified for Life: An Education Improvement Plan</w:t>
      </w:r>
      <w:r w:rsidRPr="00A96189">
        <w:t xml:space="preserve"> (DCELLS, 2014) was introduced.  Furthermore, a Welsh Education Report Card (DCELLS, 2014) which evidence’s progress against the strategic aims of the plan through a range of performance indictors is published annually.  </w:t>
      </w:r>
    </w:p>
    <w:p w14:paraId="7D923DEE" w14:textId="77777777" w:rsidR="008E216D" w:rsidRPr="00A96189" w:rsidRDefault="008E216D" w:rsidP="00D0334F">
      <w:pPr>
        <w:autoSpaceDE w:val="0"/>
        <w:autoSpaceDN w:val="0"/>
        <w:adjustRightInd w:val="0"/>
        <w:spacing w:line="360" w:lineRule="auto"/>
        <w:jc w:val="both"/>
      </w:pPr>
    </w:p>
    <w:p w14:paraId="6E5ECBCB" w14:textId="77777777" w:rsidR="008E216D" w:rsidRPr="00A96189" w:rsidRDefault="008E216D" w:rsidP="00D0334F">
      <w:pPr>
        <w:autoSpaceDE w:val="0"/>
        <w:autoSpaceDN w:val="0"/>
        <w:adjustRightInd w:val="0"/>
        <w:spacing w:line="360" w:lineRule="auto"/>
        <w:jc w:val="both"/>
      </w:pPr>
    </w:p>
    <w:p w14:paraId="45BD2029" w14:textId="0B030705" w:rsidR="008E216D" w:rsidRDefault="008E216D" w:rsidP="00D0334F">
      <w:pPr>
        <w:spacing w:line="360" w:lineRule="auto"/>
        <w:jc w:val="both"/>
      </w:pPr>
      <w:r w:rsidRPr="00A96189">
        <w:t xml:space="preserve">As well as standards, PISA (2009) also measured whether learner achievement is communicated to parents, posted publicly, tracked by authorities or used to inform decisions </w:t>
      </w:r>
      <w:r w:rsidRPr="00A96189">
        <w:lastRenderedPageBreak/>
        <w:t xml:space="preserve">on resource allocation.  However, even though many contested to what PISA (2009) alluded to, tensions across Wales heightened.  For instance, PISA’s (2009) analysis showed that there was a measurable relationship between the performance of school systems and the use of assessment data for the purpose of accountability.  However, looking at evidence from sixteen different jurisdictions, it indicated that </w:t>
      </w:r>
      <w:r w:rsidR="00547B8B" w:rsidRPr="00A96189">
        <w:t>headteacher’s</w:t>
      </w:r>
      <w:r w:rsidRPr="00A96189">
        <w:t xml:space="preserve"> who made learner achievement public out performed schools that did not.  Whilst this went some way in providing a more consistent pattern between the relationship between published assessment data and school performance, the evidence was weakened (and made more complicated) as the schools in the majority of these sixteen jurisdictions were socially and economically advantaged.  The pattern only remained true in six of the jurisdictions (Romania, Chinese Taipei, Columbia, Turkey, Hong Kong-China and Kyrgyzstan) when this factor was controlled.  In recognition of contradictions such as this, PISA (2009) did highlight the complexity of comparing such findings which exposes the difficulty in supporting individual accountability using cross country analysis.  Furthermore, PISA (2009) clearly stated that standardised tests should provide schools with the tools in which they can compare themselves against other schools.  Evidence provided by PISA (2009) amongst others supports the hypothesis that publicising standardised test results (locally comparative) is an effective means to reduce inequalities in attainment and raise standards and test-based accountability to have a positive impact on the performance of learners as highlighted by Burgess et. al (2010). </w:t>
      </w:r>
    </w:p>
    <w:p w14:paraId="7D965216" w14:textId="77777777" w:rsidR="008E216D" w:rsidRPr="00A96189" w:rsidRDefault="008E216D" w:rsidP="00D0334F">
      <w:pPr>
        <w:spacing w:line="360" w:lineRule="auto"/>
        <w:jc w:val="both"/>
      </w:pPr>
    </w:p>
    <w:p w14:paraId="038790A7" w14:textId="77777777" w:rsidR="008E216D" w:rsidRPr="00A96189" w:rsidRDefault="008E216D" w:rsidP="00D0334F">
      <w:pPr>
        <w:spacing w:line="360" w:lineRule="auto"/>
        <w:jc w:val="both"/>
      </w:pPr>
    </w:p>
    <w:p w14:paraId="02C4FC49" w14:textId="77777777" w:rsidR="008E216D" w:rsidRPr="00A96189" w:rsidRDefault="008E216D" w:rsidP="00D0334F">
      <w:pPr>
        <w:spacing w:line="360" w:lineRule="auto"/>
        <w:jc w:val="both"/>
      </w:pPr>
      <w:r w:rsidRPr="00A96189">
        <w:t xml:space="preserve">Although resistant, the aftermath of PISA (2009) did go some way in initiating a movement which saw Wales somewhat following England’s more focused approach to education and training.  The then Education Minister, Andrews (2011) took a lead in consolidating a series of policy reforms and as a result Welsh Government launched a twenty-point plan aimed at raising the performance and standards of Welsh schools as set out in the </w:t>
      </w:r>
      <w:r w:rsidRPr="00A96189">
        <w:rPr>
          <w:i/>
        </w:rPr>
        <w:t>Improving Schools Plan</w:t>
      </w:r>
      <w:r w:rsidRPr="00A96189">
        <w:t xml:space="preserve"> (DCELLS, 2012).  The plan’s objectives were to: </w:t>
      </w:r>
      <w:r w:rsidRPr="00A96189">
        <w:rPr>
          <w:i/>
        </w:rPr>
        <w:t>1) improve levels of literacy; 2) improve levels of numeracy; and 3) reduce the impact of deprivation on educational attainment</w:t>
      </w:r>
      <w:r w:rsidRPr="00A96189">
        <w:t xml:space="preserve">.  Alongside this plan, the </w:t>
      </w:r>
      <w:r w:rsidRPr="00A96189">
        <w:rPr>
          <w:i/>
        </w:rPr>
        <w:t>National Literacy and Numeracy Framework</w:t>
      </w:r>
      <w:r w:rsidRPr="00A96189">
        <w:t xml:space="preserve"> (DCELLS, 2012) was introduced which became a statutory component of the National Curriculum for all learners aged between five and fourteen.  This framework also saw the introduction of statutory numeracy and reading tests for learners from year two to year nine in May 2013.  The dual </w:t>
      </w:r>
      <w:r w:rsidRPr="00A96189">
        <w:lastRenderedPageBreak/>
        <w:t xml:space="preserve">purpose of these statutory tests was to provide the school community with a clear understanding of the performance of their learners and secondly to use the data collected to inform the </w:t>
      </w:r>
      <w:r w:rsidRPr="00A96189">
        <w:rPr>
          <w:i/>
        </w:rPr>
        <w:t>All Wales Core Data Sets</w:t>
      </w:r>
      <w:r w:rsidRPr="00A96189">
        <w:t xml:space="preserve"> as introduced as part of the </w:t>
      </w:r>
      <w:r w:rsidRPr="00A96189">
        <w:rPr>
          <w:i/>
        </w:rPr>
        <w:t xml:space="preserve">Making the Most of Assessment 7 – 14 </w:t>
      </w:r>
      <w:r w:rsidRPr="00A96189">
        <w:t xml:space="preserve">framework (DCELLS, 2010).  The objective of </w:t>
      </w:r>
      <w:r w:rsidRPr="00A96189">
        <w:rPr>
          <w:i/>
        </w:rPr>
        <w:t xml:space="preserve">All Wales Core Data Sets </w:t>
      </w:r>
      <w:r w:rsidRPr="00A96189">
        <w:t xml:space="preserve">was to enable all stakeholders including Estyn, local authorities and the school to monitor and evaluate the performance of all schools in Wales.  </w:t>
      </w:r>
    </w:p>
    <w:p w14:paraId="5A0F370A" w14:textId="77777777" w:rsidR="008E216D" w:rsidRDefault="008E216D" w:rsidP="00D0334F">
      <w:pPr>
        <w:spacing w:line="360" w:lineRule="auto"/>
        <w:jc w:val="both"/>
      </w:pPr>
    </w:p>
    <w:p w14:paraId="0AD80304" w14:textId="77777777" w:rsidR="008E216D" w:rsidRPr="00A96189" w:rsidRDefault="008E216D" w:rsidP="00D0334F">
      <w:pPr>
        <w:spacing w:line="360" w:lineRule="auto"/>
        <w:jc w:val="both"/>
      </w:pPr>
    </w:p>
    <w:p w14:paraId="14BF4F28" w14:textId="77777777" w:rsidR="008E216D" w:rsidRPr="00A96189" w:rsidRDefault="008E216D" w:rsidP="00D0334F">
      <w:pPr>
        <w:spacing w:line="360" w:lineRule="auto"/>
        <w:jc w:val="both"/>
      </w:pPr>
      <w:r w:rsidRPr="00A96189">
        <w:t xml:space="preserve">Andrews (2012) placed further accountability on school governing bodies stating they </w:t>
      </w:r>
      <w:r w:rsidRPr="00A96189">
        <w:rPr>
          <w:i/>
        </w:rPr>
        <w:t>“must understand and examine the data of their school.  Regulations made on 01 September 2011 set out the requirement for school governors’ annual report to parents to include the most recent comparative report of performance in end of key stage 4 study programmes and the most recent summary of secondary school performance”</w:t>
      </w:r>
      <w:r w:rsidRPr="00A96189">
        <w:t xml:space="preserve"> (Andrews, 2012).  Andrew’s went further to address school accountability stipulating that no school would do well under Estyn’s inspection framework unless this was done. Additionally, through Wales’ equivalent to an Act of Parliament, the </w:t>
      </w:r>
      <w:r w:rsidRPr="00A96189">
        <w:rPr>
          <w:i/>
        </w:rPr>
        <w:t>Education (Wales) Measure</w:t>
      </w:r>
      <w:r w:rsidRPr="00A96189">
        <w:t xml:space="preserve"> (Wales, 2011), legislated a statutory requirement for school governors and clerks to attend training.  The introduction of all these reforms represent a significant move in the Welsh education system to tighten accountability and the assessment arrangements to raise learner performance and improve education policy.</w:t>
      </w:r>
    </w:p>
    <w:p w14:paraId="0A4C77D1" w14:textId="77777777" w:rsidR="008E216D" w:rsidRDefault="008E216D" w:rsidP="00D0334F">
      <w:pPr>
        <w:spacing w:line="360" w:lineRule="auto"/>
        <w:jc w:val="both"/>
      </w:pPr>
    </w:p>
    <w:p w14:paraId="1BF86F05" w14:textId="77777777" w:rsidR="008E216D" w:rsidRPr="00A96189" w:rsidRDefault="008E216D" w:rsidP="00D0334F">
      <w:pPr>
        <w:spacing w:line="360" w:lineRule="auto"/>
        <w:jc w:val="both"/>
      </w:pPr>
    </w:p>
    <w:p w14:paraId="329D4EF0" w14:textId="1237E51C" w:rsidR="008E216D" w:rsidRPr="00A96189" w:rsidRDefault="008E216D" w:rsidP="00D0334F">
      <w:pPr>
        <w:spacing w:line="360" w:lineRule="auto"/>
        <w:jc w:val="both"/>
      </w:pPr>
      <w:r w:rsidRPr="00A96189">
        <w:t xml:space="preserve">Coinciding with the </w:t>
      </w:r>
      <w:r w:rsidRPr="00A96189">
        <w:rPr>
          <w:i/>
        </w:rPr>
        <w:t xml:space="preserve">Improving Schools, Raising School Standards </w:t>
      </w:r>
      <w:r w:rsidRPr="00A96189">
        <w:t>plan</w:t>
      </w:r>
      <w:r w:rsidRPr="00A96189">
        <w:rPr>
          <w:i/>
        </w:rPr>
        <w:t xml:space="preserve"> </w:t>
      </w:r>
      <w:r w:rsidRPr="00A96189">
        <w:t xml:space="preserve">(DCELLS, 2012), sixty-six leadership standards were introduced as part of a revised performance management and appraisal framework.  These standards saw greater accountability placed on school leaders across Wales as the process linked directly to school improvement priorities.  The standards sat within the revised </w:t>
      </w:r>
      <w:r w:rsidRPr="00A96189">
        <w:rPr>
          <w:rFonts w:cs="Times New Roman"/>
          <w:i/>
          <w:iCs/>
          <w:color w:val="000000"/>
        </w:rPr>
        <w:t xml:space="preserve">Professional Standards for Education Practitioners </w:t>
      </w:r>
      <w:r w:rsidRPr="00A96189">
        <w:t>(DCELLS, 2011) which aimed to reinforce teaching and learning supported by a strengthened school governance system and improved performance management of headteacher</w:t>
      </w:r>
      <w:r w:rsidR="00C43DE6">
        <w:t>’</w:t>
      </w:r>
      <w:r w:rsidRPr="00A96189">
        <w:t xml:space="preserve">s.  In 2018, Welsh Government reviewed and relaunched the </w:t>
      </w:r>
      <w:r w:rsidRPr="00A96189">
        <w:rPr>
          <w:i/>
        </w:rPr>
        <w:t>New Professional Standards for Teaching and Leadership</w:t>
      </w:r>
      <w:r w:rsidRPr="00A96189">
        <w:t xml:space="preserve"> (DCELLS, 2017) which were developed in partnership with teachers, consortia and other key stakeholders across Wales.  These new standards consist of five key standards </w:t>
      </w:r>
      <w:r w:rsidRPr="00A96189">
        <w:lastRenderedPageBreak/>
        <w:t xml:space="preserve">which concentrate on the essential elements of every teacher’s work from trainee teacher to experienced school leader.  The standards will be fully implemented into initial teacher training from September 2019.  When the initial standards were introduced in 2012, Welsh Government was acknowledged for its clear desire to foster distributed leadership thus spreading accountability across all levels.  Even though this was clear in the </w:t>
      </w:r>
      <w:r w:rsidRPr="00A96189">
        <w:rPr>
          <w:i/>
        </w:rPr>
        <w:t xml:space="preserve">Improving Schools, Raising School Standards </w:t>
      </w:r>
      <w:r w:rsidRPr="00A96189">
        <w:t>plan</w:t>
      </w:r>
      <w:r w:rsidRPr="00A96189">
        <w:rPr>
          <w:i/>
        </w:rPr>
        <w:t xml:space="preserve"> </w:t>
      </w:r>
      <w:r w:rsidRPr="00A96189">
        <w:t xml:space="preserve">(DCELLS, 2012), in 2014, the OECD (2014) criticised Welsh Government stating that in practice, the leadership development system at all levels was under resourced, weak in its implementation and disconnected from the wider reform efforts in Wales.  The review concluded that that this was detrimental on educational practice and accountability.   </w:t>
      </w:r>
    </w:p>
    <w:p w14:paraId="57EA2800" w14:textId="77777777" w:rsidR="008E216D" w:rsidRDefault="008E216D" w:rsidP="00D0334F">
      <w:pPr>
        <w:spacing w:line="360" w:lineRule="auto"/>
        <w:jc w:val="both"/>
      </w:pPr>
    </w:p>
    <w:p w14:paraId="24C7DFFF" w14:textId="77777777" w:rsidR="008E216D" w:rsidRPr="00A96189" w:rsidRDefault="008E216D" w:rsidP="00D0334F">
      <w:pPr>
        <w:spacing w:line="360" w:lineRule="auto"/>
        <w:jc w:val="both"/>
      </w:pPr>
    </w:p>
    <w:p w14:paraId="4D0D6788" w14:textId="238C6D46" w:rsidR="008E216D" w:rsidRPr="00A96189" w:rsidRDefault="008E216D" w:rsidP="00D0334F">
      <w:pPr>
        <w:spacing w:line="360" w:lineRule="auto"/>
        <w:jc w:val="both"/>
      </w:pPr>
      <w:r w:rsidRPr="00A96189">
        <w:t xml:space="preserve">Welsh Government remained positive despite what was reported by OECD (2014) and education continued to be a key legislative and strategic priority.  The Standards and Delivery Unit (Wales, 2012) which sat within DCELLS was created to oversee the successful implementation of the </w:t>
      </w:r>
      <w:r w:rsidRPr="00A96189">
        <w:rPr>
          <w:i/>
        </w:rPr>
        <w:t xml:space="preserve">Improving Schools, Raising School Standards </w:t>
      </w:r>
      <w:r w:rsidRPr="00A96189">
        <w:t>plan</w:t>
      </w:r>
      <w:r w:rsidRPr="00A96189">
        <w:rPr>
          <w:i/>
        </w:rPr>
        <w:t xml:space="preserve"> </w:t>
      </w:r>
      <w:r w:rsidRPr="00A96189">
        <w:t>(DCELLS, 2012</w:t>
      </w:r>
      <w:r w:rsidR="00385363" w:rsidRPr="00A96189">
        <w:t>)</w:t>
      </w:r>
      <w:r w:rsidR="00385363" w:rsidRPr="00A96189">
        <w:rPr>
          <w:i/>
        </w:rPr>
        <w:t xml:space="preserve">, </w:t>
      </w:r>
      <w:r w:rsidR="00385363" w:rsidRPr="00A96189">
        <w:t>building</w:t>
      </w:r>
      <w:r w:rsidRPr="00A96189">
        <w:t xml:space="preserve"> on Welsh Government’s commitment to raise standards and the achievement of learners in Wales.  At the same time, secondary schools across Wales were grouped together and ‘school banding’ became compulsory.  Schools were grouped using a range of indicators including end of key stage results, attendance, the proportion of learners in eligible for free school meals and their relative improvement (School Standards Unit, 2011).  However, Hill (2013) amongst other educationalists challenged the aim of the policy which was to place an emphasis on the annual progress of school performance to avoid complacency.   This review, titled </w:t>
      </w:r>
      <w:r w:rsidRPr="00A96189">
        <w:rPr>
          <w:i/>
        </w:rPr>
        <w:t xml:space="preserve">The Future of Education Services in Wales </w:t>
      </w:r>
      <w:r w:rsidRPr="00A96189">
        <w:t>(Hill, 2013) criticised the school banding system stating that it merely provided a tool for schools to be benchmarked against each other.  The review also exposed the conflicting conclusions of a school delivered by the two different school evaluation systems in Wales i.e. school banding and Estyn (Hill, 2013).  These criticisms were supported by OECD (2014) who summarised that there are “</w:t>
      </w:r>
      <w:r w:rsidRPr="00A96189">
        <w:rPr>
          <w:i/>
        </w:rPr>
        <w:t>implications for the trust in the system and may be counterproductive to achieving the government’s goal of Wales having a world class education system</w:t>
      </w:r>
      <w:r w:rsidRPr="00A96189">
        <w:t xml:space="preserve">” (2014, p. 30).  </w:t>
      </w:r>
    </w:p>
    <w:p w14:paraId="1649BCF4" w14:textId="77777777" w:rsidR="008E216D" w:rsidRDefault="008E216D" w:rsidP="00D0334F">
      <w:pPr>
        <w:spacing w:line="360" w:lineRule="auto"/>
        <w:jc w:val="both"/>
      </w:pPr>
    </w:p>
    <w:p w14:paraId="3F8A2122" w14:textId="77777777" w:rsidR="008E216D" w:rsidRPr="00A96189" w:rsidRDefault="008E216D" w:rsidP="00D0334F">
      <w:pPr>
        <w:spacing w:line="360" w:lineRule="auto"/>
        <w:jc w:val="both"/>
      </w:pPr>
    </w:p>
    <w:p w14:paraId="25E28960" w14:textId="000F289E" w:rsidR="008E216D" w:rsidRPr="00A96189" w:rsidRDefault="008E216D" w:rsidP="00D0334F">
      <w:pPr>
        <w:spacing w:line="360" w:lineRule="auto"/>
        <w:jc w:val="both"/>
      </w:pPr>
      <w:r w:rsidRPr="00A96189">
        <w:lastRenderedPageBreak/>
        <w:t xml:space="preserve">In an attempt to strengthen the infrastructure and improve the delivery of services to schools, four regional </w:t>
      </w:r>
      <w:r>
        <w:t>consortia’</w:t>
      </w:r>
      <w:r w:rsidRPr="00A96189">
        <w:t xml:space="preserve"> were established by Welsh Government in 2012.  To bring about consistency across Wales, consortia aimed to streamline school improvement services by supporting local authorities with the long-term vision of raising school improvement.  Whilst met with optimism, Hill (2013) recognised that schools were not clear on who to approach for support and there was uncertainty of the roles and relationships (including the accountability) between DCELLS, consortia and local authorities.  It was also clear that consortia were not established consistently around all areas in Wales.  In response to this review, Welsh Government were quick to action a series of measures aimed at strengthening the support systems and defining its governance and as a result a </w:t>
      </w:r>
      <w:r w:rsidRPr="00A96189">
        <w:rPr>
          <w:i/>
        </w:rPr>
        <w:t>National Model for Regional Working</w:t>
      </w:r>
      <w:r w:rsidRPr="00A96189">
        <w:t xml:space="preserve"> (School Management and Effectiveness, 2015) was introduced to address accountability and governance, even though local authorities had been working through the regional consortia arrangements since 2012.  With this changing landscape in education, the OECD (2014) forewarned Welsh Government to be proactive to ensure that “</w:t>
      </w:r>
      <w:r w:rsidRPr="00A96189">
        <w:rPr>
          <w:i/>
        </w:rPr>
        <w:t>adequate care is taken to build the capacity of the school improvement services, that there is a clarity of roles and responsibilities of the consortia and the local authorities, and that this is transmitted to schools</w:t>
      </w:r>
      <w:r w:rsidRPr="00A96189">
        <w:t xml:space="preserve">” (2014, p 36).  With this in mind, Welsh Government placed greater accountability on all levels of the education system in Wales.  </w:t>
      </w:r>
    </w:p>
    <w:p w14:paraId="7EBCEC35" w14:textId="77777777" w:rsidR="008E216D" w:rsidRDefault="008E216D" w:rsidP="00D0334F">
      <w:pPr>
        <w:spacing w:line="360" w:lineRule="auto"/>
        <w:jc w:val="both"/>
      </w:pPr>
    </w:p>
    <w:p w14:paraId="22E8F090" w14:textId="77777777" w:rsidR="008E216D" w:rsidRPr="00A96189" w:rsidRDefault="008E216D" w:rsidP="00D0334F">
      <w:pPr>
        <w:spacing w:line="360" w:lineRule="auto"/>
        <w:jc w:val="both"/>
      </w:pPr>
    </w:p>
    <w:p w14:paraId="30BEA045" w14:textId="64D5254B" w:rsidR="008E216D" w:rsidRPr="00A96189" w:rsidRDefault="008E216D" w:rsidP="00D0334F">
      <w:pPr>
        <w:spacing w:line="360" w:lineRule="auto"/>
        <w:jc w:val="both"/>
      </w:pPr>
      <w:r w:rsidRPr="00A96189">
        <w:t xml:space="preserve">As the secondary school banding; introduced as part of the </w:t>
      </w:r>
      <w:r w:rsidRPr="00A96189">
        <w:rPr>
          <w:i/>
        </w:rPr>
        <w:t xml:space="preserve">Improving Schools, Raising School Standards </w:t>
      </w:r>
      <w:r w:rsidRPr="00A96189">
        <w:t>plan</w:t>
      </w:r>
      <w:r w:rsidRPr="00A96189">
        <w:rPr>
          <w:i/>
        </w:rPr>
        <w:t xml:space="preserve"> </w:t>
      </w:r>
      <w:r w:rsidRPr="00A96189">
        <w:t xml:space="preserve">(DCELLS, 2012) was deemed a success as improvements were seen, the then Cabinet Secretary for Education and Skills, Lewis (2014) extended the system to primary schools in his written statement; </w:t>
      </w:r>
      <w:r w:rsidRPr="00A96189">
        <w:rPr>
          <w:i/>
        </w:rPr>
        <w:t>National School Categorisation System</w:t>
      </w:r>
      <w:r w:rsidRPr="00A96189">
        <w:t xml:space="preserve"> (Lewis, 2014).  The banding would cover all phases of education and set out to assess schools under the following headings; </w:t>
      </w:r>
      <w:r w:rsidRPr="00A96189">
        <w:rPr>
          <w:i/>
        </w:rPr>
        <w:t>1) a range of performance indicators provided by Welsh Government; 2) a robust self-evaluation from individual schools on their ability to improve in relation to leadership, teaching and learning; and 3) corroboration of the school’s self-evaluation by regional consortia Challenge Advis</w:t>
      </w:r>
      <w:r w:rsidRPr="00A96189">
        <w:t xml:space="preserve">ers under the newly agreed </w:t>
      </w:r>
      <w:r w:rsidRPr="00A96189">
        <w:rPr>
          <w:i/>
        </w:rPr>
        <w:t>National Model for Regional Working</w:t>
      </w:r>
      <w:r w:rsidRPr="00A96189">
        <w:t xml:space="preserve"> (School Management and Effectiveness, 2015). A categorisation for individual schools was determined by the outcome of a school’s self-evaluation and performance data.  To ensure consistency across </w:t>
      </w:r>
      <w:r w:rsidR="008C3540" w:rsidRPr="00A96189">
        <w:t>schools</w:t>
      </w:r>
      <w:r w:rsidRPr="00A96189">
        <w:t xml:space="preserve"> and regional consortia’s, the outcome for a school would be </w:t>
      </w:r>
      <w:r w:rsidRPr="00A96189">
        <w:lastRenderedPageBreak/>
        <w:t>initially determined by consortia, discussed with the school and finally moderated by the Assurance and Standardisation Group.  As alluded to throughout this review, accountability in Wales is primarily exercised through school inspections concluded by Estyn, an increased use of data sets collated through national testing, a stronger focus on literacy and numeracy within all areas of the national curriculum and through the establishment of regional consortia and Wales’ categorisation system.  Therefore, it must be recognised that distributed accountability is apparent at all levels within these systems from the headteacher to governing bodies and inclusive of all school staff.</w:t>
      </w:r>
    </w:p>
    <w:p w14:paraId="1C174A04" w14:textId="77777777" w:rsidR="008E216D" w:rsidRDefault="008E216D" w:rsidP="00D0334F">
      <w:pPr>
        <w:spacing w:line="360" w:lineRule="auto"/>
        <w:jc w:val="both"/>
      </w:pPr>
      <w:r w:rsidRPr="00A96189">
        <w:t xml:space="preserve">     </w:t>
      </w:r>
    </w:p>
    <w:p w14:paraId="2E9DAE17" w14:textId="77777777" w:rsidR="0036410F" w:rsidRPr="00A96189" w:rsidRDefault="0036410F" w:rsidP="00D0334F">
      <w:pPr>
        <w:spacing w:line="360" w:lineRule="auto"/>
        <w:jc w:val="both"/>
      </w:pPr>
    </w:p>
    <w:p w14:paraId="447F31DA" w14:textId="1F537291" w:rsidR="008E216D" w:rsidRDefault="008E216D" w:rsidP="00D0334F">
      <w:pPr>
        <w:spacing w:line="360" w:lineRule="auto"/>
        <w:jc w:val="both"/>
      </w:pPr>
      <w:r w:rsidRPr="00A96189">
        <w:t xml:space="preserve">It is useful as part of this review to focus on the role and function of Wales’ inspectorate, Estyn given its importance.  Estyn’s purpose is to inspect the standards and quality of education and training (Great Britain, 1992) throughout Wales through statutory inspections across all sectors of the education system including pre-school education, private and public schools, further education institutes, local authorities and regional consortia’s.  Educational establishments are expected to conform to key questions set out in Estyn’s </w:t>
      </w:r>
      <w:r w:rsidRPr="00A96189">
        <w:rPr>
          <w:i/>
        </w:rPr>
        <w:t>Common Inspection Framework (2017)</w:t>
      </w:r>
      <w:r w:rsidRPr="00A96189">
        <w:t xml:space="preserve"> and a judgement is made on its current performance and prospects for improvement; benchmarked against this framework.  In addition to Estyn’s periodic inspections, schools are subjected to further monitoring by their local authority and School Challenge Advisors who are appointed by regional consortia’s following the introduction of the </w:t>
      </w:r>
      <w:r w:rsidRPr="00A96189">
        <w:rPr>
          <w:i/>
        </w:rPr>
        <w:t>National Schools Categorisation System</w:t>
      </w:r>
      <w:r w:rsidRPr="00A96189">
        <w:t xml:space="preserve"> (Lewis, 2014).  Furthermore, schools would be further indebted to additional levels of accountability if they are faith schools or part of other initiatives such as Welsh Government’s </w:t>
      </w:r>
      <w:r w:rsidRPr="00A96189">
        <w:rPr>
          <w:i/>
        </w:rPr>
        <w:t xml:space="preserve">School Challenge Cymru </w:t>
      </w:r>
      <w:r w:rsidRPr="00A96189">
        <w:t xml:space="preserve">(Lewis, 2017).  School inspection reports are released and made available for public scrutiny by Estyn and school categorisation is published annually.  It could be argued that greater pressure is being put on school leader’s, teachers and governing bodies because of the exponential growth in accountability that we have seen in Wales.  Before the explosion of educational policies and systems in Wales, Elmore (2007) argued that such a disproportionate use of accountability could be counter-productive, and this argument has resurfaced through the introduction of so many layers of scrutiny.  When looking at the systems for accountability in Wales, much of the process is data driven and it could be suggested that the Welsh education system is at risk of becoming data obsessed.  The value and need for data should </w:t>
      </w:r>
      <w:r w:rsidRPr="00A96189">
        <w:lastRenderedPageBreak/>
        <w:t>of course be recognised, but as indicated in the Alliance for Useful Eviden</w:t>
      </w:r>
      <w:r w:rsidRPr="00A96189">
        <w:rPr>
          <w:i/>
        </w:rPr>
        <w:t>ce</w:t>
      </w:r>
      <w:r w:rsidRPr="00A96189">
        <w:t xml:space="preserve"> (2016) publication, titled; </w:t>
      </w:r>
      <w:r w:rsidRPr="00A96189">
        <w:rPr>
          <w:i/>
        </w:rPr>
        <w:t>Using Research Evidence</w:t>
      </w:r>
      <w:r w:rsidRPr="00A96189">
        <w:t xml:space="preserve"> (2016)</w:t>
      </w:r>
      <w:r w:rsidR="0036410F">
        <w:t>, a triangul</w:t>
      </w:r>
      <w:r w:rsidR="0036410F" w:rsidRPr="00A96189">
        <w:t>ation</w:t>
      </w:r>
      <w:r w:rsidRPr="00A96189">
        <w:t xml:space="preserve"> of evidence is needed and data should not be used in isolation as it is merely one form of evidence.</w:t>
      </w:r>
    </w:p>
    <w:p w14:paraId="722C7F0B" w14:textId="77777777" w:rsidR="0036410F" w:rsidRPr="00A96189" w:rsidRDefault="0036410F" w:rsidP="00D0334F">
      <w:pPr>
        <w:spacing w:line="360" w:lineRule="auto"/>
        <w:jc w:val="both"/>
      </w:pPr>
    </w:p>
    <w:p w14:paraId="5EA84D16" w14:textId="77777777" w:rsidR="008E216D" w:rsidRPr="00A96189" w:rsidRDefault="008E216D" w:rsidP="00D0334F">
      <w:pPr>
        <w:spacing w:line="360" w:lineRule="auto"/>
        <w:jc w:val="both"/>
      </w:pPr>
    </w:p>
    <w:p w14:paraId="79A23D79" w14:textId="77777777" w:rsidR="008E216D" w:rsidRDefault="008E216D" w:rsidP="00D0334F">
      <w:pPr>
        <w:spacing w:line="360" w:lineRule="auto"/>
        <w:jc w:val="both"/>
        <w:rPr>
          <w:rFonts w:eastAsia="Times New Roman" w:cs="Times New Roman"/>
          <w:bCs/>
          <w:shd w:val="clear" w:color="auto" w:fill="FEFEFE"/>
          <w:lang w:eastAsia="en-GB"/>
        </w:rPr>
      </w:pPr>
      <w:r w:rsidRPr="00A96189">
        <w:t xml:space="preserve">Wellbeing remains on the forefront of Welsh policy, which was reinforced through the introduction of the </w:t>
      </w:r>
      <w:r w:rsidRPr="00A96189">
        <w:rPr>
          <w:i/>
        </w:rPr>
        <w:t>Well-being of Future Generations (Wales) Act</w:t>
      </w:r>
      <w:r w:rsidRPr="00A96189">
        <w:t xml:space="preserve"> (Wales, 2015).  The Act requires public bodies in Wales to </w:t>
      </w:r>
      <w:r w:rsidRPr="00A96189">
        <w:rPr>
          <w:rFonts w:eastAsia="Times New Roman" w:cs="Times New Roman"/>
          <w:shd w:val="clear" w:color="auto" w:fill="FEFEFE"/>
          <w:lang w:eastAsia="en-GB"/>
        </w:rPr>
        <w:t xml:space="preserve">think about the long-term impact of their decisions, to work better with people, communities and each other, and to prevent persistent problems such as poverty, health inequalities and climate change (Wales, 2015).  Through seven </w:t>
      </w:r>
      <w:r w:rsidRPr="00A96189">
        <w:rPr>
          <w:rFonts w:eastAsia="Times New Roman" w:cs="Times New Roman"/>
          <w:i/>
          <w:shd w:val="clear" w:color="auto" w:fill="FEFEFE"/>
          <w:lang w:eastAsia="en-GB"/>
        </w:rPr>
        <w:t xml:space="preserve">wellbeing goals </w:t>
      </w:r>
      <w:r w:rsidRPr="00A96189">
        <w:rPr>
          <w:rFonts w:eastAsia="Times New Roman" w:cs="Times New Roman"/>
          <w:shd w:val="clear" w:color="auto" w:fill="FEFEFE"/>
          <w:lang w:eastAsia="en-GB"/>
        </w:rPr>
        <w:t>(Wales, 2015)</w:t>
      </w:r>
      <w:r w:rsidRPr="00A96189">
        <w:rPr>
          <w:rFonts w:eastAsia="Times New Roman" w:cs="Times New Roman"/>
          <w:i/>
          <w:shd w:val="clear" w:color="auto" w:fill="FEFEFE"/>
          <w:lang w:eastAsia="en-GB"/>
        </w:rPr>
        <w:t>;</w:t>
      </w:r>
      <w:r w:rsidRPr="00A96189">
        <w:rPr>
          <w:rFonts w:eastAsia="Times New Roman" w:cs="Times New Roman"/>
          <w:shd w:val="clear" w:color="auto" w:fill="FEFEFE"/>
          <w:lang w:eastAsia="en-GB"/>
        </w:rPr>
        <w:t xml:space="preserve"> which public bodies are expected to work towards achieving, Wales is hoping that the A</w:t>
      </w:r>
      <w:r w:rsidRPr="00A96189">
        <w:rPr>
          <w:rFonts w:eastAsia="Times New Roman" w:cs="Times New Roman"/>
          <w:bCs/>
          <w:shd w:val="clear" w:color="auto" w:fill="FEFEFE"/>
          <w:lang w:eastAsia="en-GB"/>
        </w:rPr>
        <w:t xml:space="preserve">ct gives the ambition, permission and legal obligation to improve the social, cultural, environmental and economic wellbeing of people living in Wales.   </w:t>
      </w:r>
    </w:p>
    <w:p w14:paraId="78CE9075" w14:textId="77777777" w:rsidR="00EE0F2E" w:rsidRPr="00A96189" w:rsidRDefault="00EE0F2E" w:rsidP="00D0334F">
      <w:pPr>
        <w:spacing w:line="360" w:lineRule="auto"/>
        <w:jc w:val="both"/>
        <w:rPr>
          <w:rFonts w:eastAsia="Times New Roman" w:cs="Times New Roman"/>
          <w:lang w:eastAsia="en-GB"/>
        </w:rPr>
      </w:pPr>
    </w:p>
    <w:p w14:paraId="601D4E28" w14:textId="77777777" w:rsidR="008E216D" w:rsidRPr="00A96189" w:rsidRDefault="008E216D" w:rsidP="00D0334F">
      <w:pPr>
        <w:spacing w:line="360" w:lineRule="auto"/>
        <w:jc w:val="both"/>
        <w:rPr>
          <w:rFonts w:eastAsia="Times New Roman" w:cs="Times New Roman"/>
          <w:lang w:eastAsia="en-GB"/>
        </w:rPr>
      </w:pPr>
      <w:r w:rsidRPr="00A96189">
        <w:rPr>
          <w:rFonts w:eastAsia="Times New Roman" w:cs="Times New Roman"/>
          <w:shd w:val="clear" w:color="auto" w:fill="FEFEFE"/>
          <w:lang w:eastAsia="en-GB"/>
        </w:rPr>
        <w:t xml:space="preserve"> </w:t>
      </w:r>
    </w:p>
    <w:p w14:paraId="5F4C3077" w14:textId="77777777" w:rsidR="008E216D" w:rsidRPr="00A96189" w:rsidRDefault="008E216D" w:rsidP="00D0334F">
      <w:pPr>
        <w:shd w:val="clear" w:color="auto" w:fill="FFFFFF"/>
        <w:spacing w:line="360" w:lineRule="auto"/>
        <w:jc w:val="both"/>
        <w:rPr>
          <w:rFonts w:eastAsia="Times New Roman" w:cstheme="minorHAnsi"/>
          <w:lang w:eastAsia="en-GB"/>
        </w:rPr>
      </w:pPr>
      <w:r w:rsidRPr="00A96189">
        <w:rPr>
          <w:rFonts w:cstheme="minorHAnsi"/>
        </w:rPr>
        <w:t xml:space="preserve">This literature review has looked at the concept of child wellbeing within the ever-changing world of education.  Non-bias research has been presented to analyse how child wellbeing has emerged within education and is now on the forefront of education policy development.  Linked with it, the </w:t>
      </w:r>
      <w:r w:rsidRPr="00A96189">
        <w:rPr>
          <w:rFonts w:eastAsia="Times New Roman" w:cstheme="minorHAnsi"/>
          <w:lang w:eastAsia="en-GB"/>
        </w:rPr>
        <w:t>history and development of school improvement and accountability in Wales has been discussed, particularly with the emphasis on distributed accountability at all levels of the school system which encompasses child wellbeing.  This literature view recognises the successes and challenges such a system faces and outlines the policy aspirations and education vision for Welsh Government.</w:t>
      </w:r>
    </w:p>
    <w:p w14:paraId="08EC4091" w14:textId="77777777" w:rsidR="008E216D" w:rsidRDefault="008E216D" w:rsidP="00D0334F">
      <w:pPr>
        <w:spacing w:line="360" w:lineRule="auto"/>
        <w:jc w:val="both"/>
      </w:pPr>
      <w:r w:rsidRPr="00A96189">
        <w:t xml:space="preserve"> </w:t>
      </w:r>
    </w:p>
    <w:p w14:paraId="2788C633" w14:textId="77777777" w:rsidR="00EE0F2E" w:rsidRPr="00A96189" w:rsidRDefault="00EE0F2E" w:rsidP="00D0334F">
      <w:pPr>
        <w:spacing w:line="360" w:lineRule="auto"/>
        <w:jc w:val="both"/>
      </w:pPr>
    </w:p>
    <w:p w14:paraId="6A75AD66" w14:textId="77777777" w:rsidR="008E216D" w:rsidRDefault="008E216D" w:rsidP="00D0334F">
      <w:pPr>
        <w:spacing w:line="360" w:lineRule="auto"/>
        <w:jc w:val="both"/>
      </w:pPr>
      <w:r w:rsidRPr="00A96189">
        <w:t xml:space="preserve">Wales has not slowed down with its constant change and is currently amid a curriculum reform. This reform has set in motion a new approach to policy design in Wales as the new curriculum; </w:t>
      </w:r>
      <w:r w:rsidRPr="00A96189">
        <w:rPr>
          <w:i/>
        </w:rPr>
        <w:t>Successful Futures</w:t>
      </w:r>
      <w:r w:rsidRPr="00A96189">
        <w:t xml:space="preserve"> (Donaldson, 2015) which has been co-constructed by key stakeholders including schools and practitioners and will become statutory across Wales in 2022.  Even though distributed leadership and accountability for school improvement remains a consistent theme throughout Wales’ policy development, it must be noted that there are dangers for Wales as they embark on such a rapid journey.  The OECD whilst </w:t>
      </w:r>
      <w:r w:rsidRPr="00A96189">
        <w:lastRenderedPageBreak/>
        <w:t xml:space="preserve">applauding Wales’ vision and commitment to education, noted such dangers in it 2016 review titled </w:t>
      </w:r>
      <w:r w:rsidRPr="00A96189">
        <w:rPr>
          <w:i/>
        </w:rPr>
        <w:t xml:space="preserve">Welsh Education Reform Journey: A Rapid Policy Assessment </w:t>
      </w:r>
      <w:r w:rsidRPr="00A96189">
        <w:t xml:space="preserve">(2016) stating; </w:t>
      </w:r>
      <w:r w:rsidRPr="00A96189">
        <w:rPr>
          <w:i/>
        </w:rPr>
        <w:t>"to support the realisation of its education objectives and ultimately its vision of the Welsh learner, Wales should continue its curriculum reform efforts underpinned by sustained investments in key policy areas and strengthen the implementation process to ensure that its reform journey is comprehensive and effective”</w:t>
      </w:r>
      <w:r w:rsidRPr="00A96189">
        <w:t xml:space="preserve"> (2016, p. 7).</w:t>
      </w:r>
    </w:p>
    <w:p w14:paraId="4528695F" w14:textId="77777777" w:rsidR="00EE0F2E" w:rsidRDefault="00EE0F2E" w:rsidP="00D0334F">
      <w:pPr>
        <w:spacing w:line="360" w:lineRule="auto"/>
        <w:jc w:val="both"/>
      </w:pPr>
    </w:p>
    <w:p w14:paraId="3A5F28FE" w14:textId="77777777" w:rsidR="00EE0F2E" w:rsidRDefault="00EE0F2E" w:rsidP="00D0334F">
      <w:pPr>
        <w:spacing w:line="360" w:lineRule="auto"/>
        <w:jc w:val="both"/>
      </w:pPr>
    </w:p>
    <w:p w14:paraId="6FB47D0D" w14:textId="77777777" w:rsidR="00EE0F2E" w:rsidRDefault="00EE0F2E" w:rsidP="00D0334F">
      <w:pPr>
        <w:spacing w:line="360" w:lineRule="auto"/>
        <w:jc w:val="both"/>
      </w:pPr>
    </w:p>
    <w:p w14:paraId="7A2E4152" w14:textId="77777777" w:rsidR="00EE0F2E" w:rsidRDefault="00EE0F2E" w:rsidP="00D0334F">
      <w:pPr>
        <w:spacing w:line="360" w:lineRule="auto"/>
        <w:jc w:val="both"/>
      </w:pPr>
    </w:p>
    <w:p w14:paraId="5B8CF2AE" w14:textId="77777777" w:rsidR="00EE0F2E" w:rsidRDefault="00EE0F2E" w:rsidP="00D0334F">
      <w:pPr>
        <w:spacing w:line="360" w:lineRule="auto"/>
        <w:jc w:val="both"/>
      </w:pPr>
    </w:p>
    <w:p w14:paraId="4946DBD8" w14:textId="77777777" w:rsidR="00EE0F2E" w:rsidRDefault="00EE0F2E" w:rsidP="00D0334F">
      <w:pPr>
        <w:spacing w:line="360" w:lineRule="auto"/>
        <w:jc w:val="both"/>
      </w:pPr>
    </w:p>
    <w:p w14:paraId="3E6CD71E" w14:textId="77777777" w:rsidR="00EE0F2E" w:rsidRDefault="00EE0F2E" w:rsidP="00D0334F">
      <w:pPr>
        <w:spacing w:line="360" w:lineRule="auto"/>
        <w:jc w:val="both"/>
      </w:pPr>
    </w:p>
    <w:p w14:paraId="70857815" w14:textId="77777777" w:rsidR="00EE0F2E" w:rsidRDefault="00EE0F2E" w:rsidP="00D0334F">
      <w:pPr>
        <w:spacing w:line="360" w:lineRule="auto"/>
        <w:jc w:val="both"/>
      </w:pPr>
    </w:p>
    <w:p w14:paraId="4B5CA3D5" w14:textId="77777777" w:rsidR="00EE0F2E" w:rsidRDefault="00EE0F2E" w:rsidP="00D0334F">
      <w:pPr>
        <w:spacing w:line="360" w:lineRule="auto"/>
        <w:jc w:val="both"/>
      </w:pPr>
    </w:p>
    <w:p w14:paraId="3C05F2ED" w14:textId="77777777" w:rsidR="00EE0F2E" w:rsidRDefault="00EE0F2E" w:rsidP="00D0334F">
      <w:pPr>
        <w:spacing w:line="360" w:lineRule="auto"/>
        <w:jc w:val="both"/>
      </w:pPr>
    </w:p>
    <w:p w14:paraId="4B45520D" w14:textId="77777777" w:rsidR="00EE0F2E" w:rsidRDefault="00EE0F2E" w:rsidP="00D0334F">
      <w:pPr>
        <w:spacing w:line="360" w:lineRule="auto"/>
        <w:jc w:val="both"/>
      </w:pPr>
    </w:p>
    <w:p w14:paraId="3D69A267" w14:textId="77777777" w:rsidR="00EE0F2E" w:rsidRDefault="00EE0F2E" w:rsidP="00D0334F">
      <w:pPr>
        <w:spacing w:line="360" w:lineRule="auto"/>
        <w:jc w:val="both"/>
      </w:pPr>
    </w:p>
    <w:p w14:paraId="18880F8E" w14:textId="77777777" w:rsidR="00EE0F2E" w:rsidRDefault="00EE0F2E" w:rsidP="00D0334F">
      <w:pPr>
        <w:spacing w:line="360" w:lineRule="auto"/>
        <w:jc w:val="both"/>
      </w:pPr>
    </w:p>
    <w:p w14:paraId="36C96EA9" w14:textId="77777777" w:rsidR="00EE0F2E" w:rsidRDefault="00EE0F2E" w:rsidP="00D0334F">
      <w:pPr>
        <w:spacing w:line="360" w:lineRule="auto"/>
        <w:jc w:val="both"/>
      </w:pPr>
    </w:p>
    <w:p w14:paraId="68A72C73" w14:textId="77777777" w:rsidR="00EE0F2E" w:rsidRDefault="00EE0F2E" w:rsidP="00D0334F">
      <w:pPr>
        <w:spacing w:line="360" w:lineRule="auto"/>
        <w:jc w:val="both"/>
      </w:pPr>
    </w:p>
    <w:p w14:paraId="7061168F" w14:textId="77777777" w:rsidR="00EE0F2E" w:rsidRDefault="00EE0F2E" w:rsidP="00D0334F">
      <w:pPr>
        <w:spacing w:line="360" w:lineRule="auto"/>
        <w:jc w:val="both"/>
      </w:pPr>
    </w:p>
    <w:p w14:paraId="57AB6389" w14:textId="77777777" w:rsidR="00EE0F2E" w:rsidRDefault="00EE0F2E" w:rsidP="00D0334F">
      <w:pPr>
        <w:spacing w:line="360" w:lineRule="auto"/>
        <w:jc w:val="both"/>
      </w:pPr>
    </w:p>
    <w:p w14:paraId="651654B6" w14:textId="77777777" w:rsidR="00EE0F2E" w:rsidRDefault="00EE0F2E" w:rsidP="00D0334F">
      <w:pPr>
        <w:spacing w:line="360" w:lineRule="auto"/>
        <w:jc w:val="both"/>
      </w:pPr>
    </w:p>
    <w:p w14:paraId="24BCB112" w14:textId="77777777" w:rsidR="00EE0F2E" w:rsidRDefault="00EE0F2E" w:rsidP="00D0334F">
      <w:pPr>
        <w:spacing w:line="360" w:lineRule="auto"/>
        <w:jc w:val="both"/>
      </w:pPr>
    </w:p>
    <w:p w14:paraId="75E1C90A" w14:textId="77777777" w:rsidR="00EE0F2E" w:rsidRDefault="00EE0F2E" w:rsidP="00D0334F">
      <w:pPr>
        <w:spacing w:line="360" w:lineRule="auto"/>
        <w:jc w:val="both"/>
      </w:pPr>
    </w:p>
    <w:p w14:paraId="71EA8C1A" w14:textId="77777777" w:rsidR="00EE0F2E" w:rsidRDefault="00EE0F2E" w:rsidP="00D0334F">
      <w:pPr>
        <w:spacing w:line="360" w:lineRule="auto"/>
        <w:jc w:val="both"/>
      </w:pPr>
    </w:p>
    <w:p w14:paraId="4E0DAADE" w14:textId="77777777" w:rsidR="00EE0F2E" w:rsidRDefault="00EE0F2E" w:rsidP="00D0334F">
      <w:pPr>
        <w:spacing w:line="360" w:lineRule="auto"/>
        <w:jc w:val="both"/>
      </w:pPr>
    </w:p>
    <w:p w14:paraId="7D60F65D" w14:textId="77777777" w:rsidR="00EE0F2E" w:rsidRDefault="00EE0F2E" w:rsidP="00D0334F">
      <w:pPr>
        <w:spacing w:line="360" w:lineRule="auto"/>
        <w:jc w:val="both"/>
      </w:pPr>
    </w:p>
    <w:p w14:paraId="0BD84753" w14:textId="77777777" w:rsidR="00EE0F2E" w:rsidRDefault="00EE0F2E" w:rsidP="00D0334F">
      <w:pPr>
        <w:spacing w:line="360" w:lineRule="auto"/>
        <w:jc w:val="both"/>
      </w:pPr>
    </w:p>
    <w:p w14:paraId="0334E03F" w14:textId="77777777" w:rsidR="00EE0F2E" w:rsidRDefault="00EE0F2E" w:rsidP="00D0334F">
      <w:pPr>
        <w:spacing w:line="360" w:lineRule="auto"/>
        <w:jc w:val="both"/>
      </w:pPr>
    </w:p>
    <w:p w14:paraId="5B96E847" w14:textId="77777777" w:rsidR="003145EA" w:rsidRDefault="003145EA" w:rsidP="00D0334F">
      <w:pPr>
        <w:spacing w:line="360" w:lineRule="auto"/>
        <w:jc w:val="both"/>
      </w:pPr>
    </w:p>
    <w:p w14:paraId="61C3C48A" w14:textId="77777777" w:rsidR="00243CDB" w:rsidRDefault="00243CDB" w:rsidP="00D0334F">
      <w:pPr>
        <w:spacing w:line="360" w:lineRule="auto"/>
        <w:jc w:val="both"/>
        <w:rPr>
          <w:b/>
        </w:rPr>
      </w:pPr>
      <w:r w:rsidRPr="00243CDB">
        <w:rPr>
          <w:b/>
        </w:rPr>
        <w:lastRenderedPageBreak/>
        <w:t>Chapter 3.</w:t>
      </w:r>
      <w:r w:rsidRPr="00243CDB">
        <w:rPr>
          <w:b/>
        </w:rPr>
        <w:tab/>
        <w:t>Research Design</w:t>
      </w:r>
    </w:p>
    <w:p w14:paraId="72D3A0EB" w14:textId="77777777" w:rsidR="008C3540" w:rsidRPr="00243CDB" w:rsidRDefault="008C3540" w:rsidP="00D0334F">
      <w:pPr>
        <w:spacing w:line="360" w:lineRule="auto"/>
        <w:jc w:val="both"/>
        <w:rPr>
          <w:b/>
        </w:rPr>
      </w:pPr>
    </w:p>
    <w:p w14:paraId="2E57CD5B" w14:textId="77777777" w:rsidR="00243CDB" w:rsidRPr="00243CDB" w:rsidRDefault="00243CDB" w:rsidP="00D0334F">
      <w:pPr>
        <w:spacing w:line="360" w:lineRule="auto"/>
        <w:jc w:val="both"/>
      </w:pPr>
    </w:p>
    <w:p w14:paraId="796DF31F" w14:textId="77777777" w:rsidR="00243CDB" w:rsidRPr="00243CDB" w:rsidRDefault="00243CDB" w:rsidP="00D0334F">
      <w:pPr>
        <w:spacing w:line="360" w:lineRule="auto"/>
        <w:jc w:val="both"/>
      </w:pPr>
      <w:r w:rsidRPr="00243CDB">
        <w:t>As my research study is taking place in education, it is identified as ‘</w:t>
      </w:r>
      <w:r w:rsidRPr="00243CDB">
        <w:rPr>
          <w:i/>
        </w:rPr>
        <w:t>Educational Research’</w:t>
      </w:r>
      <w:r w:rsidRPr="00243CDB">
        <w:t xml:space="preserve">. Educational research has now become so diverse and complex that beyond even the most basic of definitions, it js no longer has any single identity. Sharp (2009) supports this, stating </w:t>
      </w:r>
      <w:r w:rsidRPr="00243CDB">
        <w:rPr>
          <w:i/>
        </w:rPr>
        <w:t>"educational researchers do what they do in a whole manner of different ways, for a whole manner of different reasons and for a whole manner of purposes. As a direct consequence, the boundaries between the different approaches which bind educational researchers together and shape their values and beliefs have become blurred and confused"</w:t>
      </w:r>
      <w:r w:rsidRPr="00243CDB">
        <w:t xml:space="preserve"> (2009, p. 1). In its simplest format, educational research can be loosely defined as concerning itself with finding things out about education, but as an operational definition, Sharp (2009) offers:</w:t>
      </w:r>
    </w:p>
    <w:p w14:paraId="0A14EF04" w14:textId="77777777" w:rsidR="00243CDB" w:rsidRPr="00243CDB" w:rsidRDefault="00243CDB" w:rsidP="00D0334F">
      <w:pPr>
        <w:spacing w:line="360" w:lineRule="auto"/>
        <w:jc w:val="both"/>
      </w:pPr>
    </w:p>
    <w:p w14:paraId="60221E94" w14:textId="77777777" w:rsidR="00243CDB" w:rsidRPr="00243CDB" w:rsidRDefault="00243CDB" w:rsidP="00D0334F">
      <w:pPr>
        <w:spacing w:line="360" w:lineRule="auto"/>
        <w:jc w:val="both"/>
      </w:pPr>
    </w:p>
    <w:p w14:paraId="17FC0177" w14:textId="77777777" w:rsidR="00243CDB" w:rsidRPr="00243CDB" w:rsidRDefault="00243CDB" w:rsidP="003145EA">
      <w:pPr>
        <w:ind w:left="720" w:right="720"/>
        <w:jc w:val="both"/>
      </w:pPr>
      <w:r w:rsidRPr="00243CDB">
        <w:t xml:space="preserve">Educational research involves the rigorous and ethically appropriate process of arriving at dependable answers to questions and solutions to problems of an educational nature through the systematic collection and critical analysis, interpretation and presentation of relevant data and other forms of information". </w:t>
      </w:r>
    </w:p>
    <w:p w14:paraId="39D0E2B6" w14:textId="77777777" w:rsidR="00243CDB" w:rsidRPr="00243CDB" w:rsidRDefault="00243CDB" w:rsidP="003145EA">
      <w:pPr>
        <w:ind w:left="283" w:right="283"/>
        <w:jc w:val="both"/>
      </w:pPr>
    </w:p>
    <w:p w14:paraId="1D96279A" w14:textId="77777777" w:rsidR="00243CDB" w:rsidRPr="00243CDB" w:rsidRDefault="00243CDB" w:rsidP="003145EA">
      <w:pPr>
        <w:ind w:left="283"/>
        <w:jc w:val="right"/>
      </w:pPr>
      <w:r w:rsidRPr="00243CDB">
        <w:t>(Sharp, 2009, p. 3)</w:t>
      </w:r>
    </w:p>
    <w:p w14:paraId="2479FD5D" w14:textId="77777777" w:rsidR="00243CDB" w:rsidRPr="00243CDB" w:rsidRDefault="00243CDB" w:rsidP="00D0334F">
      <w:pPr>
        <w:spacing w:line="360" w:lineRule="auto"/>
        <w:ind w:left="283" w:right="283"/>
        <w:jc w:val="both"/>
      </w:pPr>
    </w:p>
    <w:p w14:paraId="76F99806" w14:textId="77777777" w:rsidR="00243CDB" w:rsidRPr="00243CDB" w:rsidRDefault="00243CDB" w:rsidP="00D0334F">
      <w:pPr>
        <w:spacing w:line="360" w:lineRule="auto"/>
        <w:jc w:val="both"/>
      </w:pPr>
      <w:r w:rsidRPr="00243CDB">
        <w:t xml:space="preserve">It must be recognised that this study is </w:t>
      </w:r>
      <w:r w:rsidRPr="00243CDB">
        <w:rPr>
          <w:i/>
        </w:rPr>
        <w:t xml:space="preserve">‘Action Research’ </w:t>
      </w:r>
      <w:r w:rsidRPr="00243CDB">
        <w:t xml:space="preserve">as it will inform my professional practice as outlined in the introduction. Action research is designed to bridge the gap between research and practice with Cohen et al. (2011) offering the definition; </w:t>
      </w:r>
      <w:r w:rsidRPr="00243CDB">
        <w:rPr>
          <w:i/>
        </w:rPr>
        <w:t>"action research is a systematic study that combines action and reflection with the intention of improving practice"</w:t>
      </w:r>
      <w:r w:rsidRPr="00243CDB">
        <w:t xml:space="preserve"> (2011, p. 345). As identified by Yin (2009), this is a single-case exploratory study as it provides the opportunity for my research question to be studied in some depth within a limited time scale. There are many advantages to case studies with Dyer (1995) arguing that they have advantages over historical studies as they are descriptive and detailed, with a narrow focus, and combine subjective and objective data. For this research, a single through school for three to sixteen-year olds in Wales was chosen. The selection was based on the school's recent expression of interest to engage with the RRS programme.  However, it is noted that I had not visited the school in any professional capacity before this research </w:t>
      </w:r>
      <w:r w:rsidRPr="00243CDB">
        <w:lastRenderedPageBreak/>
        <w:t>study. My intention from the outset was to capture as many participants views as possible and to hear the voices of a wide range of adults in the school which is why I did not restrict the sample size to just teaching or senior leadership staff. However, to ensure my research findings were as robust as possible, I did request that the participants worked directly working with children, thus excluding office, premises, lunchtime supervisors and cleaning staff.</w:t>
      </w:r>
    </w:p>
    <w:p w14:paraId="604A03B5" w14:textId="77777777" w:rsidR="00243CDB" w:rsidRPr="00243CDB" w:rsidRDefault="00243CDB" w:rsidP="00D0334F">
      <w:pPr>
        <w:spacing w:line="360" w:lineRule="auto"/>
        <w:jc w:val="both"/>
      </w:pPr>
    </w:p>
    <w:p w14:paraId="127D1564" w14:textId="77777777" w:rsidR="00243CDB" w:rsidRPr="00243CDB" w:rsidRDefault="00243CDB" w:rsidP="00D0334F">
      <w:pPr>
        <w:spacing w:line="360" w:lineRule="auto"/>
        <w:jc w:val="both"/>
      </w:pPr>
    </w:p>
    <w:p w14:paraId="63AA609D" w14:textId="6FEEF6CC" w:rsidR="00243CDB" w:rsidRPr="00243CDB" w:rsidRDefault="00243CDB" w:rsidP="00D0334F">
      <w:pPr>
        <w:spacing w:line="360" w:lineRule="auto"/>
        <w:jc w:val="both"/>
      </w:pPr>
      <w:r w:rsidRPr="00243CDB">
        <w:t xml:space="preserve">Mixed methodology of qualitative and quantitative data was collected through an anonymous written questionnaire </w:t>
      </w:r>
      <w:r w:rsidR="005021EF">
        <w:rPr>
          <w:i/>
        </w:rPr>
        <w:t>(Appendix 7.4</w:t>
      </w:r>
      <w:r w:rsidRPr="00243CDB">
        <w:rPr>
          <w:i/>
        </w:rPr>
        <w:t xml:space="preserve">), </w:t>
      </w:r>
      <w:r w:rsidRPr="00243CDB">
        <w:t xml:space="preserve">a semi-structured interview and baseline data collated </w:t>
      </w:r>
      <w:r w:rsidR="005021EF">
        <w:t xml:space="preserve">on a questionnaire summary sheet </w:t>
      </w:r>
      <w:r w:rsidR="005021EF">
        <w:rPr>
          <w:i/>
        </w:rPr>
        <w:t>(Appendix 7.2</w:t>
      </w:r>
      <w:r w:rsidR="005021EF" w:rsidRPr="00243CDB">
        <w:rPr>
          <w:i/>
        </w:rPr>
        <w:t>)</w:t>
      </w:r>
      <w:r w:rsidR="005021EF">
        <w:rPr>
          <w:i/>
        </w:rPr>
        <w:t xml:space="preserve"> </w:t>
      </w:r>
      <w:r w:rsidR="005021EF">
        <w:t>by Unicef UK</w:t>
      </w:r>
      <w:r w:rsidRPr="00243CDB">
        <w:rPr>
          <w:i/>
        </w:rPr>
        <w:t xml:space="preserve">. </w:t>
      </w:r>
      <w:r w:rsidR="005021EF">
        <w:rPr>
          <w:i/>
        </w:rPr>
        <w:t xml:space="preserve"> </w:t>
      </w:r>
      <w:r w:rsidRPr="00243CDB">
        <w:t xml:space="preserve">Whilst qualitative research is arguably more diverse than quantitative research, there are at the same time important features that reoccur across many strategies in qualitative research. A major feature of qualitative research is that by and large it is naturalistic and generally studies people, things and events in their natural settings. This is supported by Punch and Oancea (2014) who state that qualitative data </w:t>
      </w:r>
      <w:r w:rsidRPr="00243CDB">
        <w:rPr>
          <w:i/>
        </w:rPr>
        <w:t>"doesn't artificially contrive situations for research purposes"</w:t>
      </w:r>
      <w:r w:rsidRPr="00243CDB">
        <w:t xml:space="preserve"> (2014, p. 146). Furthermore, my research conforms too many of the recurrent elements of Miles et al. (2017); notably </w:t>
      </w:r>
      <w:r w:rsidRPr="00243CDB">
        <w:rPr>
          <w:i/>
        </w:rPr>
        <w:t>"the researcher attempts to capture data on the perceptions of local actors from the inside"</w:t>
      </w:r>
      <w:r w:rsidRPr="00243CDB">
        <w:t xml:space="preserve"> (1994, p. 6).</w:t>
      </w:r>
    </w:p>
    <w:p w14:paraId="1A494539" w14:textId="77777777" w:rsidR="00243CDB" w:rsidRPr="00243CDB" w:rsidRDefault="00243CDB" w:rsidP="00D0334F">
      <w:pPr>
        <w:spacing w:line="360" w:lineRule="auto"/>
        <w:jc w:val="both"/>
      </w:pPr>
    </w:p>
    <w:p w14:paraId="07F15B8D" w14:textId="77777777" w:rsidR="00243CDB" w:rsidRPr="00243CDB" w:rsidRDefault="00243CDB" w:rsidP="00D0334F">
      <w:pPr>
        <w:spacing w:line="360" w:lineRule="auto"/>
        <w:jc w:val="both"/>
      </w:pPr>
    </w:p>
    <w:p w14:paraId="5151DA68" w14:textId="77777777" w:rsidR="00243CDB" w:rsidRPr="00243CDB" w:rsidRDefault="00243CDB" w:rsidP="00D0334F">
      <w:pPr>
        <w:spacing w:line="360" w:lineRule="auto"/>
        <w:jc w:val="both"/>
      </w:pPr>
      <w:r w:rsidRPr="00243CDB">
        <w:t xml:space="preserve">The research questionnaire consisted of open and closed questions with qualitative data being captured through adults expressing their thoughts, feelings and opinions during open ended questions and at the end of the questionnaire. The questionnaire was not compulsory, and during my initial visit to the school where I met with staff, participants were verbally informed that there would be no positive or negative repercussion if they opted into the research. Additionally, this was explicitly noted on the introduction page at the front of the questionnaire. Participants had the option to partially or fully complete the questionnaire or return it blank. As identified by the school, all staff could speak English as their first language and were able to complete the questionnaire in English therefore no translation was required. The demographics of the staff group are not known, so the research is not able to tell us male/female, age, length of teaching service etc. However, the school did state that their staff group was diverse with a wide range of teaching experience. To conform to the work of Bell </w:t>
      </w:r>
      <w:r w:rsidRPr="00243CDB">
        <w:lastRenderedPageBreak/>
        <w:t xml:space="preserve">(1996) who highlights that more cooperation is likely if personal contact is established with the participants, I initially visited a compulsory, all staff afterschool twilight session to introduce myself, my role as the researcher and the purpose of the study. Furthermore, I offered onsite support sessions for participants throughout the twenty-day open period (one session per week) should participants require clarification or additional support. The support sessions lasted for two-hours which overlapped with the end of the school day; ensuring they were accessible to staff, including those with teaching commitments. At the end of the 'open' period, no member of staff accessed the support sessions or contacted me via the researcher's email or postal address. All questionnaires were distributed after the staff twilight session, accompanied with a pre-paid envelope. This gave participants the option of either posting the questionnaire or returning them to a sealed box (clearly marked) in the onsite main office which was emptied by the researcher after each support session and at the end of the twenty-day 'open' period. As previously discussed, the questionnaire aimed to gather quantitative and qualitative data and identify emerging key themes. </w:t>
      </w:r>
    </w:p>
    <w:p w14:paraId="4C34ABBC" w14:textId="77777777" w:rsidR="00243CDB" w:rsidRPr="00243CDB" w:rsidRDefault="00243CDB" w:rsidP="00D0334F">
      <w:pPr>
        <w:spacing w:line="360" w:lineRule="auto"/>
        <w:jc w:val="both"/>
      </w:pPr>
    </w:p>
    <w:p w14:paraId="1BAD30FA" w14:textId="77777777" w:rsidR="00243CDB" w:rsidRPr="00243CDB" w:rsidRDefault="00243CDB" w:rsidP="00D0334F">
      <w:pPr>
        <w:spacing w:line="360" w:lineRule="auto"/>
        <w:jc w:val="both"/>
      </w:pPr>
    </w:p>
    <w:p w14:paraId="5E3CACF4" w14:textId="77777777" w:rsidR="00243CDB" w:rsidRPr="00243CDB" w:rsidRDefault="00243CDB" w:rsidP="00D0334F">
      <w:pPr>
        <w:spacing w:line="360" w:lineRule="auto"/>
        <w:jc w:val="both"/>
      </w:pPr>
      <w:r w:rsidRPr="00243CDB">
        <w:t xml:space="preserve">Further quantitative data was collated through a semi-structure interview with the PSE (Personal Social Education) lead teacher in order to gain a strategic perspective of the whole school's approach to child wellbeing and to pick up and expand on the participant questionnaire results. An </w:t>
      </w:r>
      <w:r w:rsidRPr="00243CDB">
        <w:rPr>
          <w:i/>
        </w:rPr>
        <w:t>'interview guide approach'</w:t>
      </w:r>
      <w:r w:rsidRPr="00243CDB">
        <w:t xml:space="preserve"> as highlighted by Cohen et al. (2011) was adopted and the lead teacher was presented with a brief of the research topic and interview in advance. This type of interview allowed me to discuss child wellbeing and the participant's responses to ensure that the data collected was systematic, but I could determine the sequence of the questions during the interview. Cohen et al. (2011) further describe the interview as being an</w:t>
      </w:r>
      <w:r w:rsidRPr="00243CDB">
        <w:rPr>
          <w:i/>
        </w:rPr>
        <w:t xml:space="preserve"> 'encounter'</w:t>
      </w:r>
      <w:r w:rsidRPr="00243CDB">
        <w:t xml:space="preserve"> to help the researcher fully appreciate the unavoidable features of the situation i.e. being conducted in their place of work during the school day. A semi-structured interview allowed me to ensure the interview flowed so thoughts, feelings and anecdotal evidence could be naturally shared and discussed whilst maintaining structure to ensure the intended questions were asked. Due to the nature of this small-scale research, this approach to interviewing supports the work of Thomas (2013) who highlights that </w:t>
      </w:r>
      <w:r w:rsidRPr="00243CDB">
        <w:rPr>
          <w:i/>
        </w:rPr>
        <w:t xml:space="preserve">"this type of interview provides the best of both worlds as far as interviewing is concerned. Because </w:t>
      </w:r>
      <w:r w:rsidRPr="00243CDB">
        <w:rPr>
          <w:i/>
        </w:rPr>
        <w:lastRenderedPageBreak/>
        <w:t xml:space="preserve">of this combination, it is the most common arrangement in most small-scale research" </w:t>
      </w:r>
      <w:r w:rsidRPr="00243CDB">
        <w:t>(2013, p. 198).</w:t>
      </w:r>
    </w:p>
    <w:p w14:paraId="58C3E714" w14:textId="77777777" w:rsidR="00243CDB" w:rsidRPr="00243CDB" w:rsidRDefault="00243CDB" w:rsidP="00D0334F">
      <w:pPr>
        <w:spacing w:line="360" w:lineRule="auto"/>
        <w:jc w:val="both"/>
      </w:pPr>
    </w:p>
    <w:p w14:paraId="6E84CD51" w14:textId="77777777" w:rsidR="00243CDB" w:rsidRPr="00243CDB" w:rsidRDefault="00243CDB" w:rsidP="00D0334F">
      <w:pPr>
        <w:spacing w:line="360" w:lineRule="auto"/>
        <w:jc w:val="both"/>
      </w:pPr>
    </w:p>
    <w:p w14:paraId="77C5A192" w14:textId="3DA6506C" w:rsidR="00243CDB" w:rsidRPr="00243CDB" w:rsidRDefault="00243CDB" w:rsidP="00D0334F">
      <w:pPr>
        <w:spacing w:line="360" w:lineRule="auto"/>
        <w:jc w:val="both"/>
      </w:pPr>
      <w:r w:rsidRPr="00243CDB">
        <w:t>Another method for quantitative data collection were the results taken from the</w:t>
      </w:r>
      <w:r w:rsidR="00A94212">
        <w:t xml:space="preserve"> summary sheet from</w:t>
      </w:r>
      <w:r w:rsidRPr="00243CDB">
        <w:t xml:space="preserve"> anonymous adult questionnaires completed by a school as part of the RRS programme </w:t>
      </w:r>
      <w:r w:rsidR="00A94212">
        <w:rPr>
          <w:i/>
        </w:rPr>
        <w:t>(Appendix 7.2</w:t>
      </w:r>
      <w:r w:rsidRPr="00243CDB">
        <w:rPr>
          <w:i/>
        </w:rPr>
        <w:t xml:space="preserve">). </w:t>
      </w:r>
      <w:r w:rsidRPr="00243CDB">
        <w:t xml:space="preserve">When a school engages with RRS, they are requested to complete questionnaires with a sample of children and adults. The main purpose of this data collection is for a school to establish their baseline position, so that they have an overview of their school community’s current awareness and understanding of children's rights along with the wider wellbeing agenda.  The RRS questionnaire uses </w:t>
      </w:r>
      <w:r w:rsidRPr="00243CDB">
        <w:rPr>
          <w:i/>
        </w:rPr>
        <w:t>subjective wellbeing</w:t>
      </w:r>
      <w:r w:rsidRPr="00243CDB">
        <w:t xml:space="preserve"> indicators to ask adults and children about their feelings. Schools are then required to repeat their questionnaires (with the same sample) at different progression stages of the RRS programme to help evidence their progress. As Professional Advisor for Wales, the school submitted the summary sheet for their baseline anonymous questionnaires to me after this independent research was completed in school. The results have been compared against the findings from the research questionnaires and discussed during the findings section in this research.</w:t>
      </w:r>
    </w:p>
    <w:p w14:paraId="73D455B2" w14:textId="77777777" w:rsidR="00243CDB" w:rsidRPr="00243CDB" w:rsidRDefault="00243CDB" w:rsidP="00D0334F">
      <w:pPr>
        <w:spacing w:line="360" w:lineRule="auto"/>
        <w:jc w:val="both"/>
      </w:pPr>
    </w:p>
    <w:p w14:paraId="33E89104" w14:textId="77777777" w:rsidR="00243CDB" w:rsidRPr="00243CDB" w:rsidRDefault="00243CDB" w:rsidP="00D0334F">
      <w:pPr>
        <w:spacing w:line="360" w:lineRule="auto"/>
        <w:jc w:val="both"/>
      </w:pPr>
    </w:p>
    <w:p w14:paraId="7C1009F6" w14:textId="77777777" w:rsidR="00243CDB" w:rsidRPr="00243CDB" w:rsidRDefault="00243CDB" w:rsidP="00D0334F">
      <w:pPr>
        <w:spacing w:line="360" w:lineRule="auto"/>
        <w:jc w:val="both"/>
      </w:pPr>
      <w:r w:rsidRPr="00243CDB">
        <w:t xml:space="preserve">Due to the nature of this research question, the timescale and size of the research, I believe that there are many strengths in my chosen research design. The anonymous questionnaire allowed me to capture a wide sample of participants and produce quantitative data on adults’ perception of child wellbeing. Choosing purposive sampling allowed me to select participants based on the research question to maximise the quality of the data collected which is recognised by Cohen et al. (2011). For this research, using adults who worked directly with children helped the validity of the research as they would be better informed and educated on child wellbeing within a school setting given their direct contact with children and young people. However, using a single-case study (Yin, 2009) also limited the data collection that was captured. Whilst the aim of this research is to explore adults’ perception of child wellbeing, it should be acknowledged that the evidence presented is not conclusive and it could be argued that there are flaws in the methods used. This will be discussed in later </w:t>
      </w:r>
      <w:r w:rsidRPr="00243CDB">
        <w:lastRenderedPageBreak/>
        <w:t>chapters of this paper with further opportunities for research explored and recommendations made.</w:t>
      </w:r>
    </w:p>
    <w:p w14:paraId="0E5B1576" w14:textId="77777777" w:rsidR="00243CDB" w:rsidRPr="00243CDB" w:rsidRDefault="00243CDB" w:rsidP="00D0334F">
      <w:pPr>
        <w:spacing w:line="360" w:lineRule="auto"/>
        <w:jc w:val="both"/>
      </w:pPr>
    </w:p>
    <w:p w14:paraId="57530358" w14:textId="77777777" w:rsidR="00243CDB" w:rsidRPr="00243CDB" w:rsidRDefault="00243CDB" w:rsidP="00D0334F">
      <w:pPr>
        <w:spacing w:line="360" w:lineRule="auto"/>
        <w:jc w:val="both"/>
        <w:rPr>
          <w:u w:color="000000"/>
        </w:rPr>
      </w:pPr>
    </w:p>
    <w:p w14:paraId="26B418A4" w14:textId="77777777" w:rsidR="00243CDB" w:rsidRPr="00243CDB" w:rsidRDefault="00243CDB" w:rsidP="00D0334F">
      <w:pPr>
        <w:spacing w:line="360" w:lineRule="auto"/>
        <w:jc w:val="both"/>
        <w:rPr>
          <w:u w:val="single"/>
        </w:rPr>
      </w:pPr>
      <w:r w:rsidRPr="00243CDB">
        <w:rPr>
          <w:u w:val="single" w:color="000000"/>
        </w:rPr>
        <w:t>Ethical Considerations</w:t>
      </w:r>
    </w:p>
    <w:p w14:paraId="662224F7" w14:textId="77777777" w:rsidR="00243CDB" w:rsidRPr="00243CDB" w:rsidRDefault="00243CDB" w:rsidP="00D0334F">
      <w:pPr>
        <w:spacing w:line="360" w:lineRule="auto"/>
        <w:jc w:val="both"/>
      </w:pPr>
    </w:p>
    <w:p w14:paraId="2872718B" w14:textId="77777777" w:rsidR="00243CDB" w:rsidRPr="00243CDB" w:rsidRDefault="00243CDB" w:rsidP="00D0334F">
      <w:pPr>
        <w:spacing w:line="360" w:lineRule="auto"/>
        <w:jc w:val="both"/>
      </w:pPr>
      <w:r w:rsidRPr="00243CDB">
        <w:t xml:space="preserve">Ethical guidelines were followed in accordance with </w:t>
      </w:r>
      <w:r w:rsidRPr="00243CDB">
        <w:rPr>
          <w:i/>
        </w:rPr>
        <w:t>BERA Ethical Guidelines for Education Research</w:t>
      </w:r>
      <w:r w:rsidRPr="00243CDB">
        <w:t xml:space="preserve"> (2018) and the research is consistent with typical educational research i.e. staff questionnaires. Participants were able to make an informed decision as to whether they opted to take part in the research as all staff were provided with a formal face-to-face introduction to the research, given adequate literature on the research proposal, provided with information on their right to withdraw by not completing and/or returning the questionnaire incomplete and issues around anonymity and confidentiality were transparent. However, all staff were made aware that once a questionnaire was returned, withdrawal was not then an option. This was because individual questionnaires could not be traced due to their anonymity. However, the PSE lead teacher was informed that their right to withdraw stood any stage of the research; before, during or after the semi-structured interview took place. Neither the identities of the participants or the school name is available within this research and the raw data is held solely by the researcher in a secure, locked cabinet and will be destroyed in accordance with the UWTSD policy and </w:t>
      </w:r>
      <w:r w:rsidRPr="00243CDB">
        <w:rPr>
          <w:i/>
        </w:rPr>
        <w:t>Data Protection Act</w:t>
      </w:r>
      <w:r w:rsidRPr="00243CDB">
        <w:t xml:space="preserve"> (Great Britain, 2018) once the research is completed. </w:t>
      </w:r>
      <w:r w:rsidRPr="00243CDB">
        <w:rPr>
          <w:noProof/>
        </w:rPr>
        <w:drawing>
          <wp:inline distT="0" distB="0" distL="0" distR="0" wp14:anchorId="39AA7834" wp14:editId="5BD230BD">
            <wp:extent cx="3048" cy="3049"/>
            <wp:effectExtent l="0" t="0" r="0" b="0"/>
            <wp:docPr id="2969" name="Picture 2969"/>
            <wp:cNvGraphicFramePr/>
            <a:graphic xmlns:a="http://schemas.openxmlformats.org/drawingml/2006/main">
              <a:graphicData uri="http://schemas.openxmlformats.org/drawingml/2006/picture">
                <pic:pic xmlns:pic="http://schemas.openxmlformats.org/drawingml/2006/picture">
                  <pic:nvPicPr>
                    <pic:cNvPr id="2969" name="Picture 2969"/>
                    <pic:cNvPicPr/>
                  </pic:nvPicPr>
                  <pic:blipFill>
                    <a:blip r:embed="rId5"/>
                    <a:stretch>
                      <a:fillRect/>
                    </a:stretch>
                  </pic:blipFill>
                  <pic:spPr>
                    <a:xfrm>
                      <a:off x="0" y="0"/>
                      <a:ext cx="3048" cy="3049"/>
                    </a:xfrm>
                    <a:prstGeom prst="rect">
                      <a:avLst/>
                    </a:prstGeom>
                  </pic:spPr>
                </pic:pic>
              </a:graphicData>
            </a:graphic>
          </wp:inline>
        </w:drawing>
      </w:r>
      <w:r w:rsidRPr="00243CDB">
        <w:t>Several ethical considerations were considered to ensure the validity of the research.</w:t>
      </w:r>
    </w:p>
    <w:p w14:paraId="025DDBD8" w14:textId="77777777" w:rsidR="00243CDB" w:rsidRPr="00243CDB" w:rsidRDefault="00243CDB" w:rsidP="00D0334F">
      <w:pPr>
        <w:spacing w:line="360" w:lineRule="auto"/>
        <w:jc w:val="both"/>
      </w:pPr>
    </w:p>
    <w:p w14:paraId="65C79B9F" w14:textId="77777777" w:rsidR="00243CDB" w:rsidRPr="00243CDB" w:rsidRDefault="00243CDB" w:rsidP="00D0334F">
      <w:pPr>
        <w:spacing w:line="360" w:lineRule="auto"/>
        <w:jc w:val="both"/>
        <w:rPr>
          <w:u w:val="single"/>
        </w:rPr>
      </w:pPr>
      <w:r w:rsidRPr="00243CDB">
        <w:rPr>
          <w:i/>
          <w:u w:val="single"/>
        </w:rPr>
        <w:t>Staff (including Headteacher, PSE Lead Teacher)</w:t>
      </w:r>
    </w:p>
    <w:p w14:paraId="35AA1EC5" w14:textId="77777777" w:rsidR="00243CDB" w:rsidRPr="00243CDB" w:rsidRDefault="00243CDB" w:rsidP="00D0334F">
      <w:pPr>
        <w:spacing w:line="360" w:lineRule="auto"/>
        <w:jc w:val="both"/>
      </w:pPr>
    </w:p>
    <w:p w14:paraId="5A6B4DA5" w14:textId="77777777" w:rsidR="00243CDB" w:rsidRPr="00243CDB" w:rsidRDefault="00243CDB" w:rsidP="00D0334F">
      <w:pPr>
        <w:spacing w:line="360" w:lineRule="auto"/>
        <w:jc w:val="both"/>
      </w:pPr>
      <w:r w:rsidRPr="00243CDB">
        <w:t xml:space="preserve">School may feel an obligation to participate as I have already established contact with the school (headteacher) through their recent engagement in the RRS. As Unicef's Professional Advisor for Wales, it is my role to support all schools in Wales to engage and progress with RRS. To manage this risk, the right to not participate or the school's withdrawal from the research was formally explained to all participants. Withdrawal could have been done verbally (telephone/face to face) or through written forms of communication (e-mail, letter). The whole school community will be given the opportunity to see the final research paper, </w:t>
      </w:r>
      <w:r w:rsidRPr="00243CDB">
        <w:lastRenderedPageBreak/>
        <w:t>which will be anonymised and not traceable to the school or individual members of staff. The headteacher has been chosen as the appointed nominee for the research study and consent to work in the school for the purpose of this research has been gained. The school's participation is completely voluntary and the headteacher can withdraw the school from the research or refuse to participate without prejudice at any point.</w:t>
      </w:r>
    </w:p>
    <w:p w14:paraId="618EAA3A" w14:textId="77777777" w:rsidR="00243CDB" w:rsidRPr="00243CDB" w:rsidRDefault="00243CDB" w:rsidP="00D0334F">
      <w:pPr>
        <w:spacing w:line="360" w:lineRule="auto"/>
        <w:jc w:val="both"/>
      </w:pPr>
    </w:p>
    <w:p w14:paraId="39255381" w14:textId="77777777" w:rsidR="00243CDB" w:rsidRPr="00243CDB" w:rsidRDefault="00243CDB" w:rsidP="00D0334F">
      <w:pPr>
        <w:spacing w:line="360" w:lineRule="auto"/>
        <w:jc w:val="both"/>
      </w:pPr>
      <w:r w:rsidRPr="00243CDB">
        <w:t>There is a small risk that the school could be identified and that of the PSE lead teacher who took part in the semi-structured interview. This risk has been be managed through my published research containing no traceable information on the school or lead teacher. The research does not contain any information that would have any detrimental effect on the school as the research is aimed at gathering perspectives and not making a judgement or decision on what is deemed to be correct or incorrect. This risk was made explicit to all participants before the research was carried out.</w:t>
      </w:r>
    </w:p>
    <w:p w14:paraId="14F15B32" w14:textId="77777777" w:rsidR="00243CDB" w:rsidRPr="00243CDB" w:rsidRDefault="00243CDB" w:rsidP="00D0334F">
      <w:pPr>
        <w:spacing w:line="360" w:lineRule="auto"/>
        <w:jc w:val="both"/>
      </w:pPr>
    </w:p>
    <w:p w14:paraId="0A4455FF" w14:textId="77777777" w:rsidR="00243CDB" w:rsidRPr="00243CDB" w:rsidRDefault="00243CDB" w:rsidP="00D0334F">
      <w:pPr>
        <w:spacing w:line="360" w:lineRule="auto"/>
        <w:jc w:val="both"/>
        <w:rPr>
          <w:i/>
          <w:u w:val="single"/>
        </w:rPr>
      </w:pPr>
      <w:r w:rsidRPr="00243CDB">
        <w:rPr>
          <w:i/>
          <w:noProof/>
          <w:u w:val="single"/>
        </w:rPr>
        <w:drawing>
          <wp:anchor distT="0" distB="0" distL="114300" distR="114300" simplePos="0" relativeHeight="251659264" behindDoc="0" locked="0" layoutInCell="1" allowOverlap="0" wp14:anchorId="29A4B84D" wp14:editId="2F3F1C31">
            <wp:simplePos x="0" y="0"/>
            <wp:positionH relativeFrom="page">
              <wp:posOffset>655320</wp:posOffset>
            </wp:positionH>
            <wp:positionV relativeFrom="page">
              <wp:posOffset>3222042</wp:posOffset>
            </wp:positionV>
            <wp:extent cx="24384" cy="18290"/>
            <wp:effectExtent l="0" t="0" r="0" b="0"/>
            <wp:wrapSquare wrapText="bothSides"/>
            <wp:docPr id="6251" name="Picture 6251"/>
            <wp:cNvGraphicFramePr/>
            <a:graphic xmlns:a="http://schemas.openxmlformats.org/drawingml/2006/main">
              <a:graphicData uri="http://schemas.openxmlformats.org/drawingml/2006/picture">
                <pic:pic xmlns:pic="http://schemas.openxmlformats.org/drawingml/2006/picture">
                  <pic:nvPicPr>
                    <pic:cNvPr id="6251" name="Picture 6251"/>
                    <pic:cNvPicPr/>
                  </pic:nvPicPr>
                  <pic:blipFill>
                    <a:blip r:embed="rId6"/>
                    <a:stretch>
                      <a:fillRect/>
                    </a:stretch>
                  </pic:blipFill>
                  <pic:spPr>
                    <a:xfrm>
                      <a:off x="0" y="0"/>
                      <a:ext cx="24384" cy="18290"/>
                    </a:xfrm>
                    <a:prstGeom prst="rect">
                      <a:avLst/>
                    </a:prstGeom>
                  </pic:spPr>
                </pic:pic>
              </a:graphicData>
            </a:graphic>
          </wp:anchor>
        </w:drawing>
      </w:r>
      <w:r w:rsidRPr="00243CDB">
        <w:rPr>
          <w:i/>
          <w:u w:val="single"/>
        </w:rPr>
        <w:t>Researcher</w:t>
      </w:r>
    </w:p>
    <w:p w14:paraId="7AA3E064" w14:textId="77777777" w:rsidR="00243CDB" w:rsidRPr="00243CDB" w:rsidRDefault="00243CDB" w:rsidP="00D0334F">
      <w:pPr>
        <w:spacing w:line="360" w:lineRule="auto"/>
        <w:jc w:val="both"/>
      </w:pPr>
    </w:p>
    <w:p w14:paraId="7BE4447A" w14:textId="77777777" w:rsidR="00243CDB" w:rsidRPr="00243CDB" w:rsidRDefault="00243CDB" w:rsidP="00D0334F">
      <w:pPr>
        <w:spacing w:line="360" w:lineRule="auto"/>
        <w:jc w:val="both"/>
      </w:pPr>
      <w:r w:rsidRPr="00243CDB">
        <w:t>The researcher conducted the semi-structured interview with the PSE lead teacher. However, there was a potential risk for the staff member to take the discussion in a different direction which was difficult to predict. To manage this risk, I brought the discussion back to the focus of the research when necessary. I also set out guidelines to ensure anonymity and confidentiality within the discussion. When discussing the findings from the questionnaires, no individual participant was traceable, or any staff member discussed by their name.</w:t>
      </w:r>
    </w:p>
    <w:p w14:paraId="7F23E8BD" w14:textId="77777777" w:rsidR="00243CDB" w:rsidRPr="00243CDB" w:rsidRDefault="00243CDB" w:rsidP="00D0334F">
      <w:pPr>
        <w:spacing w:line="360" w:lineRule="auto"/>
        <w:jc w:val="both"/>
      </w:pPr>
    </w:p>
    <w:p w14:paraId="1FA49492" w14:textId="77777777" w:rsidR="00243CDB" w:rsidRPr="00243CDB" w:rsidRDefault="00243CDB" w:rsidP="00D0334F">
      <w:pPr>
        <w:spacing w:line="360" w:lineRule="auto"/>
        <w:jc w:val="both"/>
      </w:pPr>
    </w:p>
    <w:p w14:paraId="07E46CE6" w14:textId="77777777" w:rsidR="00243CDB" w:rsidRPr="00243CDB" w:rsidRDefault="00243CDB" w:rsidP="00D0334F">
      <w:pPr>
        <w:spacing w:line="360" w:lineRule="auto"/>
        <w:jc w:val="both"/>
      </w:pPr>
      <w:r w:rsidRPr="00243CDB">
        <w:t>I was also conscious that I was conducting this research as a student and not visiting the school in my professional capacity. To alleviate any conflict of interest, the RRS programme nor was child rights education discussed during any of the research visits and all onsite visits were carried outside my normal working hours. I also carried out the research before the school submitted any RRS paperwork or had undertaken any staff training, or any support was provided. Therefore, I was a new and unknown visitor to the staff group.</w:t>
      </w:r>
    </w:p>
    <w:p w14:paraId="61326E72" w14:textId="77777777" w:rsidR="00243CDB" w:rsidRPr="00243CDB" w:rsidRDefault="00243CDB" w:rsidP="00D0334F">
      <w:pPr>
        <w:spacing w:line="360" w:lineRule="auto"/>
        <w:jc w:val="both"/>
      </w:pPr>
    </w:p>
    <w:p w14:paraId="66C402C6" w14:textId="77777777" w:rsidR="00243CDB" w:rsidRPr="00243CDB" w:rsidRDefault="00243CDB" w:rsidP="00D0334F">
      <w:pPr>
        <w:spacing w:line="360" w:lineRule="auto"/>
        <w:jc w:val="both"/>
      </w:pPr>
    </w:p>
    <w:p w14:paraId="08AB4D56" w14:textId="77777777" w:rsidR="00243CDB" w:rsidRPr="00243CDB" w:rsidRDefault="00243CDB" w:rsidP="00D0334F">
      <w:pPr>
        <w:spacing w:line="360" w:lineRule="auto"/>
        <w:jc w:val="both"/>
      </w:pPr>
      <w:r w:rsidRPr="00243CDB">
        <w:lastRenderedPageBreak/>
        <w:t xml:space="preserve">These risks in addition to further risks that I became consciously aware of during the research will be further discussed in the discussion and findings chapter. </w:t>
      </w:r>
    </w:p>
    <w:p w14:paraId="7721EDC2" w14:textId="77777777" w:rsidR="00243CDB" w:rsidRPr="00243CDB" w:rsidRDefault="00243CDB" w:rsidP="00D0334F">
      <w:pPr>
        <w:spacing w:line="360" w:lineRule="auto"/>
        <w:jc w:val="both"/>
      </w:pPr>
    </w:p>
    <w:p w14:paraId="6BAB1725" w14:textId="77777777" w:rsidR="00243CDB" w:rsidRPr="00243CDB" w:rsidRDefault="00243CDB" w:rsidP="00D0334F">
      <w:pPr>
        <w:spacing w:line="360" w:lineRule="auto"/>
        <w:jc w:val="both"/>
        <w:rPr>
          <w:i/>
          <w:u w:val="single"/>
        </w:rPr>
      </w:pPr>
      <w:r w:rsidRPr="00243CDB">
        <w:rPr>
          <w:i/>
          <w:u w:val="single"/>
        </w:rPr>
        <w:t>University</w:t>
      </w:r>
    </w:p>
    <w:p w14:paraId="1DA3E765" w14:textId="77777777" w:rsidR="00243CDB" w:rsidRPr="00243CDB" w:rsidRDefault="00243CDB" w:rsidP="00D0334F">
      <w:pPr>
        <w:spacing w:line="360" w:lineRule="auto"/>
        <w:jc w:val="both"/>
      </w:pPr>
    </w:p>
    <w:p w14:paraId="33F0D865" w14:textId="3DA2E20A" w:rsidR="00243CDB" w:rsidRPr="00243CDB" w:rsidRDefault="00243CDB" w:rsidP="00D0334F">
      <w:pPr>
        <w:spacing w:line="360" w:lineRule="auto"/>
        <w:jc w:val="both"/>
      </w:pPr>
      <w:r w:rsidRPr="00243CDB">
        <w:t xml:space="preserve">This research poses a risk to the University because its reputation is based on the quality of the research carried out by its staff and students. I have and will continue to ensure that the research is carried out in accordance with what is laid out in the Application for </w:t>
      </w:r>
      <w:r w:rsidRPr="00243CDB">
        <w:rPr>
          <w:i/>
        </w:rPr>
        <w:t>UWTSD,</w:t>
      </w:r>
      <w:r w:rsidRPr="00243CDB">
        <w:t xml:space="preserve"> </w:t>
      </w:r>
      <w:r w:rsidRPr="00243CDB">
        <w:rPr>
          <w:i/>
        </w:rPr>
        <w:t>Ethical Approval form (E1)</w:t>
      </w:r>
      <w:r w:rsidRPr="00243CDB">
        <w:t xml:space="preserve"> completed and signed </w:t>
      </w:r>
      <w:r w:rsidRPr="00243CDB">
        <w:rPr>
          <w:i/>
        </w:rPr>
        <w:t>(Appendix 7.</w:t>
      </w:r>
      <w:r w:rsidR="00760177">
        <w:rPr>
          <w:i/>
        </w:rPr>
        <w:t>5</w:t>
      </w:r>
      <w:r w:rsidRPr="00243CDB">
        <w:rPr>
          <w:i/>
        </w:rPr>
        <w:t>)</w:t>
      </w:r>
      <w:r w:rsidRPr="00243CDB">
        <w:t xml:space="preserve"> and request sought from my Tutor as and when needed. The researcher has attended supervision sessions with the course Tutor, so the study is monitored, and further help from the Programme Director continues to be available if needed.  </w:t>
      </w:r>
    </w:p>
    <w:p w14:paraId="03F53D3B" w14:textId="77777777" w:rsidR="00EE0F2E" w:rsidRPr="00243CDB" w:rsidRDefault="00EE0F2E" w:rsidP="00D0334F">
      <w:pPr>
        <w:spacing w:line="360" w:lineRule="auto"/>
        <w:jc w:val="both"/>
      </w:pPr>
    </w:p>
    <w:p w14:paraId="6B649960" w14:textId="77777777" w:rsidR="00A218D3" w:rsidRDefault="00A218D3" w:rsidP="00D0334F">
      <w:pPr>
        <w:spacing w:line="360" w:lineRule="auto"/>
        <w:jc w:val="both"/>
      </w:pPr>
    </w:p>
    <w:p w14:paraId="6D1EF89D" w14:textId="77777777" w:rsidR="00BD5173" w:rsidRDefault="00BD5173" w:rsidP="00D0334F">
      <w:pPr>
        <w:spacing w:line="360" w:lineRule="auto"/>
        <w:jc w:val="both"/>
      </w:pPr>
    </w:p>
    <w:p w14:paraId="58348A8E" w14:textId="77777777" w:rsidR="00BD5173" w:rsidRDefault="00BD5173" w:rsidP="00D0334F">
      <w:pPr>
        <w:spacing w:line="360" w:lineRule="auto"/>
        <w:jc w:val="both"/>
      </w:pPr>
    </w:p>
    <w:p w14:paraId="72B45C99" w14:textId="77777777" w:rsidR="00BD5173" w:rsidRDefault="00BD5173" w:rsidP="00D0334F">
      <w:pPr>
        <w:spacing w:line="360" w:lineRule="auto"/>
        <w:jc w:val="both"/>
      </w:pPr>
    </w:p>
    <w:p w14:paraId="0C5152D2" w14:textId="77777777" w:rsidR="00BD5173" w:rsidRDefault="00BD5173" w:rsidP="00D0334F">
      <w:pPr>
        <w:spacing w:line="360" w:lineRule="auto"/>
        <w:jc w:val="both"/>
      </w:pPr>
    </w:p>
    <w:p w14:paraId="26E2F1DF" w14:textId="77777777" w:rsidR="00BD5173" w:rsidRDefault="00BD5173" w:rsidP="00D0334F">
      <w:pPr>
        <w:spacing w:line="360" w:lineRule="auto"/>
        <w:jc w:val="both"/>
      </w:pPr>
    </w:p>
    <w:p w14:paraId="6B65B899" w14:textId="77777777" w:rsidR="00BD5173" w:rsidRDefault="00BD5173" w:rsidP="00D0334F">
      <w:pPr>
        <w:spacing w:line="360" w:lineRule="auto"/>
        <w:jc w:val="both"/>
      </w:pPr>
    </w:p>
    <w:p w14:paraId="3867B573" w14:textId="77777777" w:rsidR="00BD5173" w:rsidRDefault="00BD5173" w:rsidP="00D0334F">
      <w:pPr>
        <w:spacing w:line="360" w:lineRule="auto"/>
        <w:jc w:val="both"/>
      </w:pPr>
    </w:p>
    <w:p w14:paraId="7DA8DDF5" w14:textId="77777777" w:rsidR="00BD5173" w:rsidRDefault="00BD5173" w:rsidP="00D0334F">
      <w:pPr>
        <w:spacing w:line="360" w:lineRule="auto"/>
        <w:jc w:val="both"/>
      </w:pPr>
    </w:p>
    <w:p w14:paraId="5257F065" w14:textId="77777777" w:rsidR="00BD5173" w:rsidRDefault="00BD5173" w:rsidP="00D0334F">
      <w:pPr>
        <w:spacing w:line="360" w:lineRule="auto"/>
        <w:jc w:val="both"/>
      </w:pPr>
    </w:p>
    <w:p w14:paraId="12AE3E37" w14:textId="77777777" w:rsidR="00BD5173" w:rsidRDefault="00BD5173" w:rsidP="00D0334F">
      <w:pPr>
        <w:spacing w:line="360" w:lineRule="auto"/>
        <w:jc w:val="both"/>
      </w:pPr>
    </w:p>
    <w:p w14:paraId="4195908F" w14:textId="77777777" w:rsidR="00BD5173" w:rsidRDefault="00BD5173" w:rsidP="00D0334F">
      <w:pPr>
        <w:spacing w:line="360" w:lineRule="auto"/>
        <w:jc w:val="both"/>
      </w:pPr>
    </w:p>
    <w:p w14:paraId="21D789DB" w14:textId="77777777" w:rsidR="00BD5173" w:rsidRDefault="00BD5173" w:rsidP="00D0334F">
      <w:pPr>
        <w:spacing w:line="360" w:lineRule="auto"/>
        <w:jc w:val="both"/>
      </w:pPr>
    </w:p>
    <w:p w14:paraId="64D04A1B" w14:textId="77777777" w:rsidR="00BD5173" w:rsidRDefault="00BD5173" w:rsidP="00D0334F">
      <w:pPr>
        <w:spacing w:line="360" w:lineRule="auto"/>
        <w:jc w:val="both"/>
      </w:pPr>
    </w:p>
    <w:p w14:paraId="25B7ECD0" w14:textId="77777777" w:rsidR="00BD5173" w:rsidRDefault="00BD5173" w:rsidP="00D0334F">
      <w:pPr>
        <w:spacing w:line="360" w:lineRule="auto"/>
        <w:jc w:val="both"/>
      </w:pPr>
    </w:p>
    <w:p w14:paraId="1C04BCD5" w14:textId="77777777" w:rsidR="00BD5173" w:rsidRDefault="00BD5173" w:rsidP="00D0334F">
      <w:pPr>
        <w:spacing w:line="360" w:lineRule="auto"/>
        <w:jc w:val="both"/>
      </w:pPr>
    </w:p>
    <w:p w14:paraId="7CCD05FA" w14:textId="77777777" w:rsidR="00BD5173" w:rsidRDefault="00BD5173" w:rsidP="00D0334F">
      <w:pPr>
        <w:spacing w:line="360" w:lineRule="auto"/>
        <w:jc w:val="both"/>
      </w:pPr>
    </w:p>
    <w:p w14:paraId="606B366A" w14:textId="77777777" w:rsidR="00BD5173" w:rsidRDefault="00BD5173" w:rsidP="00D0334F">
      <w:pPr>
        <w:spacing w:line="360" w:lineRule="auto"/>
        <w:jc w:val="both"/>
      </w:pPr>
    </w:p>
    <w:p w14:paraId="7B9B70E0" w14:textId="77777777" w:rsidR="00AF6525" w:rsidRDefault="00AF6525" w:rsidP="00D0334F">
      <w:pPr>
        <w:spacing w:line="360" w:lineRule="auto"/>
        <w:outlineLvl w:val="0"/>
      </w:pPr>
    </w:p>
    <w:p w14:paraId="7F52641C" w14:textId="77777777" w:rsidR="00A670D9" w:rsidRDefault="00A670D9" w:rsidP="00D0334F">
      <w:pPr>
        <w:spacing w:line="360" w:lineRule="auto"/>
        <w:outlineLvl w:val="0"/>
        <w:rPr>
          <w:b/>
        </w:rPr>
      </w:pPr>
      <w:r w:rsidRPr="0017735A">
        <w:rPr>
          <w:b/>
        </w:rPr>
        <w:lastRenderedPageBreak/>
        <w:t xml:space="preserve">Chapter 4. </w:t>
      </w:r>
      <w:r w:rsidRPr="0017735A">
        <w:rPr>
          <w:b/>
        </w:rPr>
        <w:tab/>
        <w:t xml:space="preserve">Findings &amp; Discussion </w:t>
      </w:r>
    </w:p>
    <w:p w14:paraId="16D77931" w14:textId="77777777" w:rsidR="00A670D9" w:rsidRPr="0017735A" w:rsidRDefault="00A670D9" w:rsidP="00D0334F">
      <w:pPr>
        <w:spacing w:line="360" w:lineRule="auto"/>
        <w:outlineLvl w:val="0"/>
        <w:rPr>
          <w:b/>
        </w:rPr>
      </w:pPr>
    </w:p>
    <w:p w14:paraId="6350F962" w14:textId="77777777" w:rsidR="00A670D9" w:rsidRDefault="00A670D9" w:rsidP="00D0334F">
      <w:pPr>
        <w:spacing w:line="360" w:lineRule="auto"/>
      </w:pPr>
    </w:p>
    <w:p w14:paraId="347C015D" w14:textId="77777777" w:rsidR="00A670D9" w:rsidRDefault="00A670D9" w:rsidP="00D0334F">
      <w:pPr>
        <w:spacing w:line="360" w:lineRule="auto"/>
        <w:jc w:val="both"/>
      </w:pPr>
      <w:r>
        <w:t xml:space="preserve">The findings from this research project have been gathered using a variety of data collections methods.  I aim to employ a range of strategies to interpret the data to achieve the desired outcomes of exploring adults’ perception of child wellbeing.  From my analysis, I will draw out key emerging themes which will be presented and discussed to help inform my conclusion along with future recommendations.  Johnson and Qnwuegbuzie (2004) suggest that the rationale behind mixed methods research is that you can learn more about a research topic if you combine the strengths of methods focused on quantitative data with the strengths of methods focused on qualitative data, whilst compensating at the same time for the weaknesses each method brings.  This approach is known as the </w:t>
      </w:r>
      <w:r w:rsidRPr="003D533C">
        <w:rPr>
          <w:i/>
        </w:rPr>
        <w:t xml:space="preserve">functional principle of mixed methods research </w:t>
      </w:r>
      <w:r>
        <w:t xml:space="preserve">(Johnson and Qnwuegbuzie, 2004); </w:t>
      </w:r>
      <w:r w:rsidRPr="003D533C">
        <w:rPr>
          <w:i/>
        </w:rPr>
        <w:t>“combine the methods in a way that achieves c</w:t>
      </w:r>
      <w:r>
        <w:rPr>
          <w:i/>
        </w:rPr>
        <w:t>omplementary</w:t>
      </w:r>
      <w:r w:rsidRPr="003D533C">
        <w:rPr>
          <w:i/>
        </w:rPr>
        <w:t xml:space="preserve"> strengths and non-overlapping weaknesses”</w:t>
      </w:r>
      <w:r>
        <w:t xml:space="preserve"> (2004, p. 18). </w:t>
      </w:r>
    </w:p>
    <w:p w14:paraId="144D21AF" w14:textId="77777777" w:rsidR="00A670D9" w:rsidRDefault="00A670D9" w:rsidP="00D0334F">
      <w:pPr>
        <w:spacing w:line="360" w:lineRule="auto"/>
        <w:jc w:val="both"/>
      </w:pPr>
    </w:p>
    <w:p w14:paraId="6E11E254" w14:textId="77777777" w:rsidR="00A670D9" w:rsidRDefault="00A670D9" w:rsidP="00D0334F">
      <w:pPr>
        <w:spacing w:line="360" w:lineRule="auto"/>
        <w:jc w:val="both"/>
      </w:pPr>
    </w:p>
    <w:p w14:paraId="3F24B3B7" w14:textId="77777777" w:rsidR="00A670D9" w:rsidRDefault="00A670D9" w:rsidP="00D0334F">
      <w:pPr>
        <w:spacing w:line="360" w:lineRule="auto"/>
        <w:jc w:val="both"/>
      </w:pPr>
      <w:r>
        <w:t>Findings from each data collection method will be presented individually and the results will be synthesized by drawing on the findings from the triangulation of data collection, to support and discuss the key themes.</w:t>
      </w:r>
    </w:p>
    <w:p w14:paraId="7E0F4F6A" w14:textId="77777777" w:rsidR="00A670D9" w:rsidRDefault="00A670D9" w:rsidP="00D0334F">
      <w:pPr>
        <w:spacing w:line="360" w:lineRule="auto"/>
        <w:jc w:val="both"/>
      </w:pPr>
    </w:p>
    <w:p w14:paraId="2C6690D7" w14:textId="77777777" w:rsidR="00A670D9" w:rsidRDefault="00A670D9" w:rsidP="00D0334F">
      <w:pPr>
        <w:spacing w:line="360" w:lineRule="auto"/>
        <w:jc w:val="both"/>
      </w:pPr>
    </w:p>
    <w:p w14:paraId="75CF6158" w14:textId="77777777" w:rsidR="00A670D9" w:rsidRDefault="00A670D9" w:rsidP="00D0334F">
      <w:pPr>
        <w:spacing w:line="360" w:lineRule="auto"/>
        <w:jc w:val="both"/>
      </w:pPr>
      <w:r>
        <w:t xml:space="preserve">The questionnaire aimed to explore participants’ (adults’) perception of child wellbeing and primarily capture quantitative data through closed questions that could be presented in a visual format.  That is not to say that rich qualitative data was not gathered during the questionnaire as participants’ were invited to share their subjective opinions through open questions which enabled me to draw out emerging themes.  I was aware that research is only as good as the data on which it is based, so before presenting the questionnaire to participants’, I was mindful to take every precaution to ensure the data was as good as it could be. I largely conformed to Dillman’s (2006) three </w:t>
      </w:r>
      <w:r w:rsidRPr="00F65DB5">
        <w:rPr>
          <w:i/>
        </w:rPr>
        <w:t xml:space="preserve">general principles </w:t>
      </w:r>
      <w:r>
        <w:t>as cited by Punch and Oancea (2014) to;</w:t>
      </w:r>
    </w:p>
    <w:p w14:paraId="2FD6539F" w14:textId="77777777" w:rsidR="00A670D9" w:rsidRDefault="00A670D9" w:rsidP="00D0334F">
      <w:pPr>
        <w:spacing w:line="360" w:lineRule="auto"/>
        <w:ind w:left="720" w:right="720"/>
        <w:jc w:val="both"/>
      </w:pPr>
    </w:p>
    <w:p w14:paraId="4C52CEE8" w14:textId="77777777" w:rsidR="00A670D9" w:rsidRDefault="00A670D9" w:rsidP="00234E68">
      <w:pPr>
        <w:pStyle w:val="ListParagraph"/>
        <w:numPr>
          <w:ilvl w:val="0"/>
          <w:numId w:val="4"/>
        </w:numPr>
        <w:ind w:left="720" w:right="720"/>
        <w:jc w:val="both"/>
      </w:pPr>
      <w:r>
        <w:lastRenderedPageBreak/>
        <w:t>Ensure that respondents have been approached professionally, and, within limits, fully informed about the purpose and content of the research, about confidentiality, and anonymity, and about what use will be made, and by whom, of the information they provide.</w:t>
      </w:r>
    </w:p>
    <w:p w14:paraId="1FD87373" w14:textId="77777777" w:rsidR="00A670D9" w:rsidRDefault="00A670D9" w:rsidP="00234E68">
      <w:pPr>
        <w:pStyle w:val="ListParagraph"/>
        <w:numPr>
          <w:ilvl w:val="0"/>
          <w:numId w:val="4"/>
        </w:numPr>
        <w:ind w:left="720" w:right="720"/>
        <w:jc w:val="both"/>
      </w:pPr>
      <w:r>
        <w:t>The researcher should stay in control of the data collection procedure, rather than leave it to others to chance.  Thus, if face-to-face administration is possible instead of a mailed questionnaire, it is preferred, despite the additional work.</w:t>
      </w:r>
    </w:p>
    <w:p w14:paraId="4DD1BC19" w14:textId="77777777" w:rsidR="00A670D9" w:rsidRDefault="00A670D9" w:rsidP="00234E68">
      <w:pPr>
        <w:pStyle w:val="ListParagraph"/>
        <w:numPr>
          <w:ilvl w:val="0"/>
          <w:numId w:val="4"/>
        </w:numPr>
        <w:ind w:left="720" w:right="720"/>
        <w:jc w:val="both"/>
      </w:pPr>
      <w:r>
        <w:t>It is better to have a smaller data set of good quality, than a larger one of lower quality.</w:t>
      </w:r>
    </w:p>
    <w:p w14:paraId="0229E334" w14:textId="77777777" w:rsidR="00A670D9" w:rsidRDefault="00A670D9" w:rsidP="00234E68">
      <w:pPr>
        <w:jc w:val="both"/>
      </w:pPr>
    </w:p>
    <w:p w14:paraId="1BFDE662" w14:textId="77777777" w:rsidR="00A670D9" w:rsidRDefault="00A670D9" w:rsidP="00234E68">
      <w:pPr>
        <w:ind w:left="5040"/>
        <w:jc w:val="right"/>
      </w:pPr>
      <w:r>
        <w:t xml:space="preserve">(Punch and Oancea, 2004, p. 301) </w:t>
      </w:r>
    </w:p>
    <w:p w14:paraId="767C02AF" w14:textId="77777777" w:rsidR="00A670D9" w:rsidRDefault="00A670D9" w:rsidP="00D0334F">
      <w:pPr>
        <w:spacing w:line="360" w:lineRule="auto"/>
        <w:jc w:val="both"/>
      </w:pPr>
    </w:p>
    <w:p w14:paraId="0E7FF68D" w14:textId="77777777" w:rsidR="00A670D9" w:rsidRDefault="00A670D9" w:rsidP="00D0334F">
      <w:pPr>
        <w:spacing w:line="360" w:lineRule="auto"/>
        <w:jc w:val="both"/>
      </w:pPr>
    </w:p>
    <w:p w14:paraId="5E22462E" w14:textId="77777777" w:rsidR="00A670D9" w:rsidRDefault="00A670D9" w:rsidP="00D0334F">
      <w:pPr>
        <w:spacing w:line="360" w:lineRule="auto"/>
        <w:jc w:val="both"/>
      </w:pPr>
      <w:r>
        <w:t>As outline in the research design, all these principles were adopted through a face-to-face introduction and support sessions, the collection of the questionnaires in person from school site and choosing a purposive sampling for participants’ based on their role within the school setting.</w:t>
      </w:r>
    </w:p>
    <w:p w14:paraId="63EB2D13" w14:textId="77777777" w:rsidR="00A670D9" w:rsidRDefault="00A670D9" w:rsidP="00D0334F">
      <w:pPr>
        <w:spacing w:line="360" w:lineRule="auto"/>
        <w:jc w:val="both"/>
      </w:pPr>
    </w:p>
    <w:p w14:paraId="502D0DFD" w14:textId="77777777" w:rsidR="00A670D9" w:rsidRDefault="00A670D9" w:rsidP="00D0334F">
      <w:pPr>
        <w:spacing w:line="360" w:lineRule="auto"/>
        <w:jc w:val="both"/>
      </w:pPr>
    </w:p>
    <w:p w14:paraId="6B7E85D0" w14:textId="77777777" w:rsidR="00A670D9" w:rsidRDefault="00A670D9" w:rsidP="00D0334F">
      <w:pPr>
        <w:spacing w:line="360" w:lineRule="auto"/>
        <w:jc w:val="both"/>
      </w:pPr>
      <w:r>
        <w:t xml:space="preserve">When looking at the validity and reliability of the findings from the questionnaire, I needed to be consciously aware of the advantages but also flaws in this data collection method.  Cohen et. al (2011) notes </w:t>
      </w:r>
      <w:r w:rsidRPr="00480932">
        <w:rPr>
          <w:i/>
        </w:rPr>
        <w:t>“there are many advantages of questionnaires over interviews, for instance: it tends to be more reliable, it encourages greater honestly because it is anonymous</w:t>
      </w:r>
      <w:r>
        <w:rPr>
          <w:i/>
        </w:rPr>
        <w:t>”</w:t>
      </w:r>
      <w:r w:rsidRPr="00480932">
        <w:rPr>
          <w:i/>
        </w:rPr>
        <w:t xml:space="preserve"> </w:t>
      </w:r>
      <w:r>
        <w:t xml:space="preserve">(2011, p. 209).  Other advantages supportive of Cohen et al’s (2011) work which applied to my research included the option of mailing the questionnaire back which is more economical in terms of time and money.  As the questionnaires were anonymous, it would encourage participants’ to be honest with their answers and they were informed that there were no ‘right’ or ‘wrong’ answers, so would not be marked or judged on their reply.  This is a clear strength of anonymised questionnaires and enabled rich data to be collected.  However, the disadvantages of questionnaires cannot be ignored and must be considered.  Cohen et. al (2011) recognise that “the questions have different meanings for different people, respondents may be unwilling to write their answers for one reason or another and questionnaires are often filled out hurriedly” (2011, p. 209).  Considering these disadvantages, I included both closed and open questions so participants’ were not required to write for every answer and followed up the questionnaire with a semi-structured interview </w:t>
      </w:r>
      <w:r>
        <w:lastRenderedPageBreak/>
        <w:t>which could be conducted with appropriate speed.  Another central issue when considering the validity and reliability of questionnaires is that of the environmental and external factors that are out of the control of the researcher.  Factors that could hinder the results include the mood of the participant on the day of completion, the time of day the questionnaire was completed, the conditions in which it was completed e.g. in the car, staff room, during lunch etc.  All of these external factors provide a valid reason as to why an unidentifiable percentage of the results may not be accurate and therefore this research cannot be conclusive in its findings.   To help alleviate this, I was not prescriptive in when, where or with who the questionnaire was completed and gave participants’ a twenty-day ‘open’ period to take part in the research.</w:t>
      </w:r>
    </w:p>
    <w:p w14:paraId="6FE073C5" w14:textId="77777777" w:rsidR="00A670D9" w:rsidRDefault="00A670D9" w:rsidP="00D0334F">
      <w:pPr>
        <w:spacing w:line="360" w:lineRule="auto"/>
        <w:jc w:val="both"/>
      </w:pPr>
    </w:p>
    <w:p w14:paraId="10C64C79" w14:textId="77777777" w:rsidR="00A670D9" w:rsidRDefault="00A670D9" w:rsidP="00D0334F">
      <w:pPr>
        <w:spacing w:line="360" w:lineRule="auto"/>
        <w:jc w:val="both"/>
      </w:pPr>
    </w:p>
    <w:p w14:paraId="227073D5" w14:textId="77777777" w:rsidR="00A670D9" w:rsidRDefault="00A670D9" w:rsidP="00D0334F">
      <w:pPr>
        <w:spacing w:line="360" w:lineRule="auto"/>
        <w:jc w:val="both"/>
      </w:pPr>
      <w:r>
        <w:t>The questions were designed for participants’ to think about child wellbeing which as discussed in the literature review is on the forefront of education policy in Wales.  Due to the nature of my professional practice, I was interested in as to whether any of the participants’ used the UNCRC as a framework to support child wellbeing and explore how many of them actually know of the Convention’s existence.  With this said, I did not want to ask any leading questions or contaminate my findings, so consciously ensured that any questions relating to the UNCRC were asked in the latter part of the questionnaire and after general questions about wellbeing had been answered.</w:t>
      </w:r>
    </w:p>
    <w:p w14:paraId="4F187CDB" w14:textId="77777777" w:rsidR="00A670D9" w:rsidRDefault="00A670D9" w:rsidP="00D0334F">
      <w:pPr>
        <w:spacing w:line="360" w:lineRule="auto"/>
        <w:jc w:val="both"/>
      </w:pPr>
    </w:p>
    <w:p w14:paraId="797ACC86" w14:textId="77777777" w:rsidR="00A670D9" w:rsidRDefault="00A670D9" w:rsidP="00D0334F">
      <w:pPr>
        <w:spacing w:line="360" w:lineRule="auto"/>
        <w:jc w:val="both"/>
      </w:pPr>
    </w:p>
    <w:p w14:paraId="77053141" w14:textId="77777777" w:rsidR="00A670D9" w:rsidRDefault="00A670D9" w:rsidP="00D0334F">
      <w:pPr>
        <w:spacing w:line="360" w:lineRule="auto"/>
        <w:jc w:val="both"/>
      </w:pPr>
      <w:r>
        <w:t xml:space="preserve">Sixty-two questionnaires were distributed with a total of forty-eight responses; meaning a seventy-seven percent success rate of participants’ who returned their questionnaire through the sealed box left on school site.  No participant returned their questionnaire via the postal option.  No questionnaire was returned blank and all forty-eight participants’ completed the four closed questions.  However, many participants’ chose not to complete the open questions which will be discussed later in this chapter.  The key findings of the quantitative data collated from the closed questions are outlined in </w:t>
      </w:r>
      <w:r w:rsidRPr="00D44152">
        <w:rPr>
          <w:i/>
        </w:rPr>
        <w:t>figure 1</w:t>
      </w:r>
      <w:r>
        <w:t xml:space="preserve">.  The questionnaire consisted of eight questions in total, four closed with the rest open for participants’ to answers as they felt appropriate.  The findings from the four closed questions, indicate that all participants’ were aware of child wellbeing, however many of them did not feel personally accountable for </w:t>
      </w:r>
      <w:r>
        <w:lastRenderedPageBreak/>
        <w:t xml:space="preserve">it.  Furthermore, only a small minority were guided by a framework when thinking about child wellbeing and just under a quarter of participants’ had heard of the UNCRC.  </w:t>
      </w:r>
    </w:p>
    <w:p w14:paraId="1D3F7F21" w14:textId="77777777" w:rsidR="00A670D9" w:rsidRDefault="00A670D9" w:rsidP="00D0334F">
      <w:pPr>
        <w:spacing w:line="360" w:lineRule="auto"/>
        <w:jc w:val="both"/>
      </w:pPr>
    </w:p>
    <w:p w14:paraId="27FCD9D9" w14:textId="77777777" w:rsidR="00A670D9" w:rsidRPr="00ED79A5" w:rsidRDefault="00A670D9" w:rsidP="00D0334F">
      <w:pPr>
        <w:spacing w:line="360" w:lineRule="auto"/>
        <w:jc w:val="both"/>
        <w:outlineLvl w:val="0"/>
        <w:rPr>
          <w:u w:val="single"/>
        </w:rPr>
      </w:pPr>
      <w:r w:rsidRPr="00ED79A5">
        <w:rPr>
          <w:b/>
          <w:bCs/>
          <w:i/>
          <w:iCs/>
          <w:u w:val="single"/>
        </w:rPr>
        <w:t xml:space="preserve">Figure 1: </w:t>
      </w:r>
      <w:r w:rsidRPr="00ED79A5">
        <w:rPr>
          <w:u w:val="single"/>
        </w:rPr>
        <w:t>Adults perception of child wellbeing (closed questions)</w:t>
      </w:r>
    </w:p>
    <w:p w14:paraId="2A3E30E6" w14:textId="77777777" w:rsidR="00A670D9" w:rsidRDefault="00A670D9" w:rsidP="00D0334F">
      <w:pPr>
        <w:spacing w:line="360" w:lineRule="auto"/>
        <w:jc w:val="both"/>
      </w:pPr>
    </w:p>
    <w:p w14:paraId="2EE6C3F1" w14:textId="77777777" w:rsidR="00A670D9" w:rsidRDefault="00A670D9" w:rsidP="00D0334F">
      <w:pPr>
        <w:spacing w:line="360" w:lineRule="auto"/>
        <w:jc w:val="both"/>
      </w:pPr>
      <w:r>
        <w:rPr>
          <w:noProof/>
          <w:lang w:eastAsia="en-GB"/>
        </w:rPr>
        <w:drawing>
          <wp:anchor distT="0" distB="0" distL="114300" distR="114300" simplePos="0" relativeHeight="251666432" behindDoc="0" locked="0" layoutInCell="1" allowOverlap="1" wp14:anchorId="301E57F1" wp14:editId="0EF5DFDB">
            <wp:simplePos x="0" y="0"/>
            <wp:positionH relativeFrom="column">
              <wp:posOffset>0</wp:posOffset>
            </wp:positionH>
            <wp:positionV relativeFrom="paragraph">
              <wp:posOffset>-4445</wp:posOffset>
            </wp:positionV>
            <wp:extent cx="5727700" cy="3413433"/>
            <wp:effectExtent l="0" t="0" r="12700" b="15875"/>
            <wp:wrapThrough wrapText="bothSides">
              <wp:wrapPolygon edited="0">
                <wp:start x="0" y="0"/>
                <wp:lineTo x="0" y="21540"/>
                <wp:lineTo x="21552" y="21540"/>
                <wp:lineTo x="21552" y="0"/>
                <wp:lineTo x="0" y="0"/>
              </wp:wrapPolygon>
            </wp:wrapThrough>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p>
    <w:p w14:paraId="6E7F0674" w14:textId="77777777" w:rsidR="00A670D9" w:rsidRDefault="00A670D9" w:rsidP="00D0334F">
      <w:pPr>
        <w:spacing w:line="360" w:lineRule="auto"/>
        <w:jc w:val="both"/>
      </w:pPr>
    </w:p>
    <w:p w14:paraId="1A279178" w14:textId="77777777" w:rsidR="00A670D9" w:rsidRDefault="00A670D9" w:rsidP="00D0334F">
      <w:pPr>
        <w:spacing w:line="360" w:lineRule="auto"/>
        <w:jc w:val="both"/>
      </w:pPr>
      <w:r>
        <w:t>I will now explore each question individually, presenting and discussing their findings grouped with the relevant open question/s that allowed me to expand on the closed question answers.</w:t>
      </w:r>
    </w:p>
    <w:p w14:paraId="7B046FD9" w14:textId="77777777" w:rsidR="00A670D9" w:rsidRDefault="00A670D9" w:rsidP="00D0334F">
      <w:pPr>
        <w:spacing w:line="360" w:lineRule="auto"/>
        <w:jc w:val="both"/>
      </w:pPr>
    </w:p>
    <w:p w14:paraId="7443CE11" w14:textId="77777777" w:rsidR="00A670D9" w:rsidRDefault="00A670D9" w:rsidP="00D0334F">
      <w:pPr>
        <w:spacing w:line="360" w:lineRule="auto"/>
        <w:jc w:val="both"/>
      </w:pPr>
    </w:p>
    <w:p w14:paraId="6845544A" w14:textId="77777777" w:rsidR="00A670D9" w:rsidRPr="0051536C" w:rsidRDefault="00A670D9" w:rsidP="00D0334F">
      <w:pPr>
        <w:spacing w:line="360" w:lineRule="auto"/>
        <w:jc w:val="both"/>
        <w:outlineLvl w:val="0"/>
        <w:rPr>
          <w:u w:val="single"/>
        </w:rPr>
      </w:pPr>
      <w:r w:rsidRPr="0051536C">
        <w:rPr>
          <w:u w:val="single"/>
        </w:rPr>
        <w:t>Q1. Have you heard of child wellbeing?</w:t>
      </w:r>
    </w:p>
    <w:p w14:paraId="46BF8D4C" w14:textId="77777777" w:rsidR="00A670D9" w:rsidRDefault="00A670D9" w:rsidP="00D0334F">
      <w:pPr>
        <w:spacing w:line="360" w:lineRule="auto"/>
        <w:jc w:val="both"/>
      </w:pPr>
    </w:p>
    <w:p w14:paraId="3D9C8476" w14:textId="77777777" w:rsidR="00A670D9" w:rsidRDefault="00A670D9" w:rsidP="00D0334F">
      <w:pPr>
        <w:spacing w:line="360" w:lineRule="auto"/>
        <w:jc w:val="both"/>
      </w:pPr>
      <w:r>
        <w:t xml:space="preserve">One-hundred percent of participants’ stated that they had heard of child wellbeing.  This was unsurprising given the momentum and priority placed on child wellbeing; discussed in the literature review.  However, given the ambiguous nature and lack of a universally agreed definition for child wellbeing in education (Pollard and Lee, 2003), the findings do not indicate whether there is a consistent or agreed consensus of what definition participants’ are referring to.  Furthermore, we know that there are a range of indicators that make up child </w:t>
      </w:r>
      <w:r>
        <w:lastRenderedPageBreak/>
        <w:t xml:space="preserve">wellbeing (Unicef, 2007) including those for ecological wellbeing and subjective wellbeing, therefore, the findings are not conclusive in evidencing to what extent participants’ understand its concept.  </w:t>
      </w:r>
    </w:p>
    <w:p w14:paraId="38927344" w14:textId="77777777" w:rsidR="00A670D9" w:rsidRDefault="00A670D9" w:rsidP="00D0334F">
      <w:pPr>
        <w:spacing w:line="360" w:lineRule="auto"/>
        <w:jc w:val="both"/>
      </w:pPr>
    </w:p>
    <w:p w14:paraId="655CCDB8" w14:textId="77777777" w:rsidR="00A670D9" w:rsidRDefault="00A670D9" w:rsidP="00D0334F">
      <w:pPr>
        <w:spacing w:line="360" w:lineRule="auto"/>
        <w:jc w:val="both"/>
      </w:pPr>
    </w:p>
    <w:p w14:paraId="344CF9C4" w14:textId="77777777" w:rsidR="00A670D9" w:rsidRDefault="00A670D9" w:rsidP="00D0334F">
      <w:pPr>
        <w:spacing w:line="360" w:lineRule="auto"/>
        <w:jc w:val="both"/>
      </w:pPr>
      <w:r>
        <w:t>To some extent, this was explored in question five, which asked:</w:t>
      </w:r>
    </w:p>
    <w:p w14:paraId="08169997" w14:textId="77777777" w:rsidR="00A670D9" w:rsidRDefault="00A670D9" w:rsidP="00D0334F">
      <w:pPr>
        <w:spacing w:line="360" w:lineRule="auto"/>
        <w:jc w:val="both"/>
      </w:pPr>
    </w:p>
    <w:p w14:paraId="660EF0F9" w14:textId="77777777" w:rsidR="00A670D9" w:rsidRPr="00BB4DAC" w:rsidRDefault="00A670D9" w:rsidP="00D0334F">
      <w:pPr>
        <w:spacing w:line="360" w:lineRule="auto"/>
        <w:jc w:val="both"/>
        <w:outlineLvl w:val="0"/>
        <w:rPr>
          <w:i/>
          <w:u w:val="single"/>
        </w:rPr>
      </w:pPr>
      <w:r w:rsidRPr="00BB4DAC">
        <w:rPr>
          <w:i/>
          <w:u w:val="single"/>
        </w:rPr>
        <w:t>Q5. Can you think of (up to 5) characteristics that you identify with child wellbeing?</w:t>
      </w:r>
    </w:p>
    <w:p w14:paraId="663F665C" w14:textId="77777777" w:rsidR="00A670D9" w:rsidRDefault="00A670D9" w:rsidP="00D0334F">
      <w:pPr>
        <w:spacing w:line="360" w:lineRule="auto"/>
        <w:jc w:val="both"/>
      </w:pPr>
    </w:p>
    <w:p w14:paraId="2946B276" w14:textId="77777777" w:rsidR="00A670D9" w:rsidRDefault="00A670D9" w:rsidP="00D0334F">
      <w:pPr>
        <w:spacing w:line="360" w:lineRule="auto"/>
        <w:jc w:val="both"/>
      </w:pPr>
      <w:r>
        <w:t xml:space="preserve">The aim of this question was to explore participants’ knowledge of the components they believe contribute to or make up child wellbeing.  The number was limited to prevent participants’ feeling pressure to learn or research more than naturally came to mind.  I did not want to include more components that Unicef (2007) offer in their ecological definition for child wellbeing which was used for the purpose of this research.  </w:t>
      </w:r>
      <w:r w:rsidRPr="00A71198">
        <w:rPr>
          <w:i/>
        </w:rPr>
        <w:t>Figure 2</w:t>
      </w:r>
      <w:r>
        <w:t xml:space="preserve"> illustrates how many characteristics were noted out of the forty-eight responses.</w:t>
      </w:r>
    </w:p>
    <w:p w14:paraId="6397CFBA" w14:textId="77777777" w:rsidR="00A670D9" w:rsidRDefault="00A670D9" w:rsidP="00D0334F">
      <w:pPr>
        <w:spacing w:line="360" w:lineRule="auto"/>
        <w:jc w:val="both"/>
        <w:rPr>
          <w:b/>
          <w:bCs/>
          <w:i/>
          <w:iCs/>
          <w:u w:val="single"/>
          <w:lang w:val="en-US"/>
        </w:rPr>
      </w:pPr>
    </w:p>
    <w:p w14:paraId="52090D27" w14:textId="77777777" w:rsidR="00A670D9" w:rsidRDefault="00A670D9" w:rsidP="00D0334F">
      <w:pPr>
        <w:spacing w:line="360" w:lineRule="auto"/>
        <w:jc w:val="both"/>
        <w:outlineLvl w:val="0"/>
        <w:rPr>
          <w:u w:val="single"/>
        </w:rPr>
      </w:pPr>
      <w:r w:rsidRPr="00223A4A">
        <w:rPr>
          <w:b/>
          <w:bCs/>
          <w:i/>
          <w:iCs/>
          <w:u w:val="single"/>
          <w:lang w:val="en-US"/>
        </w:rPr>
        <w:t>Figure 2:</w:t>
      </w:r>
      <w:r w:rsidRPr="00223A4A">
        <w:rPr>
          <w:u w:val="single"/>
          <w:lang w:val="en-US"/>
        </w:rPr>
        <w:t xml:space="preserve"> Number of characteristics identified by </w:t>
      </w:r>
      <w:r>
        <w:rPr>
          <w:u w:val="single"/>
          <w:lang w:val="en-US"/>
        </w:rPr>
        <w:t>participants’</w:t>
      </w:r>
    </w:p>
    <w:p w14:paraId="02E9728A" w14:textId="66E2ED26" w:rsidR="00A670D9" w:rsidRDefault="004415FE" w:rsidP="00D0334F">
      <w:pPr>
        <w:spacing w:line="360" w:lineRule="auto"/>
        <w:jc w:val="both"/>
        <w:rPr>
          <w:u w:val="single"/>
        </w:rPr>
      </w:pPr>
      <w:r>
        <w:rPr>
          <w:noProof/>
          <w:lang w:eastAsia="en-GB"/>
        </w:rPr>
        <w:drawing>
          <wp:anchor distT="0" distB="0" distL="114300" distR="114300" simplePos="0" relativeHeight="251667456" behindDoc="0" locked="0" layoutInCell="1" allowOverlap="1" wp14:anchorId="533DAEFF" wp14:editId="5CCAF666">
            <wp:simplePos x="0" y="0"/>
            <wp:positionH relativeFrom="column">
              <wp:posOffset>-58420</wp:posOffset>
            </wp:positionH>
            <wp:positionV relativeFrom="paragraph">
              <wp:posOffset>353060</wp:posOffset>
            </wp:positionV>
            <wp:extent cx="5824220" cy="3362960"/>
            <wp:effectExtent l="0" t="0" r="17780" b="15240"/>
            <wp:wrapThrough wrapText="bothSides">
              <wp:wrapPolygon edited="0">
                <wp:start x="0" y="0"/>
                <wp:lineTo x="0" y="21535"/>
                <wp:lineTo x="21572" y="21535"/>
                <wp:lineTo x="21572" y="0"/>
                <wp:lineTo x="0" y="0"/>
              </wp:wrapPolygon>
            </wp:wrapThrough>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34DE67B7" w14:textId="7BF45161" w:rsidR="007425AE" w:rsidRDefault="007425AE" w:rsidP="00D0334F">
      <w:pPr>
        <w:spacing w:line="360" w:lineRule="auto"/>
        <w:jc w:val="both"/>
      </w:pPr>
    </w:p>
    <w:p w14:paraId="3B5324D9" w14:textId="77777777" w:rsidR="00A670D9" w:rsidRDefault="00A670D9" w:rsidP="00D0334F">
      <w:pPr>
        <w:spacing w:line="360" w:lineRule="auto"/>
        <w:jc w:val="both"/>
      </w:pPr>
      <w:r>
        <w:lastRenderedPageBreak/>
        <w:t xml:space="preserve">Participants’ were not asked to rank their chosen characteristics in order of importance, but for the purpose of this research, I have analysed and disaggregated the answers given to enquire if the participants’ matched any of their characteristics to the UNCRC or Unicef’s (2007) ecological definition of child wellbeing.  Out of the answers received, their popularity was ranked; illustrated in </w:t>
      </w:r>
      <w:r w:rsidRPr="001F69EB">
        <w:rPr>
          <w:i/>
        </w:rPr>
        <w:t>figure 3</w:t>
      </w:r>
      <w:r>
        <w:t>.</w:t>
      </w:r>
    </w:p>
    <w:p w14:paraId="3EE38F55" w14:textId="77777777" w:rsidR="00A670D9" w:rsidRDefault="00A670D9" w:rsidP="00D0334F">
      <w:pPr>
        <w:spacing w:line="360" w:lineRule="auto"/>
        <w:jc w:val="both"/>
        <w:outlineLvl w:val="0"/>
        <w:rPr>
          <w:b/>
          <w:bCs/>
          <w:i/>
          <w:iCs/>
          <w:u w:val="single"/>
        </w:rPr>
      </w:pPr>
    </w:p>
    <w:p w14:paraId="523566AB" w14:textId="1DEDD432" w:rsidR="00A670D9" w:rsidRPr="009B579C" w:rsidRDefault="00A670D9" w:rsidP="00D0334F">
      <w:pPr>
        <w:spacing w:line="360" w:lineRule="auto"/>
        <w:jc w:val="both"/>
        <w:outlineLvl w:val="0"/>
        <w:rPr>
          <w:u w:val="single"/>
        </w:rPr>
      </w:pPr>
      <w:r w:rsidRPr="009B579C">
        <w:rPr>
          <w:b/>
          <w:bCs/>
          <w:i/>
          <w:iCs/>
          <w:u w:val="single"/>
        </w:rPr>
        <w:t>Figure 3</w:t>
      </w:r>
      <w:r w:rsidRPr="009B579C">
        <w:rPr>
          <w:u w:val="single"/>
        </w:rPr>
        <w:t xml:space="preserve">: Top characteristics chosen by </w:t>
      </w:r>
      <w:r>
        <w:rPr>
          <w:u w:val="single"/>
        </w:rPr>
        <w:t>participants’</w:t>
      </w:r>
      <w:r w:rsidRPr="009B579C">
        <w:rPr>
          <w:u w:val="single"/>
        </w:rPr>
        <w:t xml:space="preserve">; ranked by popularity </w:t>
      </w:r>
    </w:p>
    <w:p w14:paraId="65B09FEF" w14:textId="77777777" w:rsidR="00A670D9" w:rsidRDefault="00A670D9" w:rsidP="00D0334F">
      <w:pPr>
        <w:spacing w:line="360" w:lineRule="auto"/>
        <w:jc w:val="both"/>
      </w:pPr>
    </w:p>
    <w:p w14:paraId="73FE544A" w14:textId="47F2338B" w:rsidR="00A670D9" w:rsidRDefault="00A670D9" w:rsidP="00D0334F">
      <w:pPr>
        <w:spacing w:line="360" w:lineRule="auto"/>
        <w:jc w:val="both"/>
      </w:pPr>
      <w:r>
        <w:rPr>
          <w:noProof/>
          <w:lang w:eastAsia="en-GB"/>
        </w:rPr>
        <w:drawing>
          <wp:anchor distT="0" distB="0" distL="114300" distR="114300" simplePos="0" relativeHeight="251668480" behindDoc="0" locked="0" layoutInCell="1" allowOverlap="1" wp14:anchorId="7D912988" wp14:editId="50CE85BF">
            <wp:simplePos x="0" y="0"/>
            <wp:positionH relativeFrom="column">
              <wp:posOffset>0</wp:posOffset>
            </wp:positionH>
            <wp:positionV relativeFrom="paragraph">
              <wp:posOffset>0</wp:posOffset>
            </wp:positionV>
            <wp:extent cx="5652135" cy="3200400"/>
            <wp:effectExtent l="0" t="0" r="12065" b="0"/>
            <wp:wrapThrough wrapText="bothSides">
              <wp:wrapPolygon edited="0">
                <wp:start x="0" y="0"/>
                <wp:lineTo x="0" y="21429"/>
                <wp:lineTo x="21549" y="21429"/>
                <wp:lineTo x="21549" y="0"/>
                <wp:lineTo x="0" y="0"/>
              </wp:wrapPolygon>
            </wp:wrapThrough>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7EF47E9C" w14:textId="77777777" w:rsidR="00A670D9" w:rsidRDefault="00A670D9" w:rsidP="00D0334F">
      <w:pPr>
        <w:spacing w:line="360" w:lineRule="auto"/>
        <w:jc w:val="both"/>
      </w:pPr>
      <w:r w:rsidRPr="009B579C">
        <w:rPr>
          <w:i/>
        </w:rPr>
        <w:t xml:space="preserve">Figure 3 </w:t>
      </w:r>
      <w:r>
        <w:t xml:space="preserve">clearly shows that forty-two of the forty-eight eight participants’ chose ‘happiness’ as their first characteristic.  When referring to Unicef’s (2007) ecological definition of child wellbeing, happiness is not one of the components.  Nor is happiness cited as an article in the Convention or mentioned in its four </w:t>
      </w:r>
      <w:r w:rsidRPr="006734DD">
        <w:rPr>
          <w:i/>
        </w:rPr>
        <w:t>guiding principles</w:t>
      </w:r>
      <w:r>
        <w:rPr>
          <w:i/>
        </w:rPr>
        <w:t>.</w:t>
      </w:r>
      <w:r>
        <w:t xml:space="preserve"> This is interesting because even though the literature review does not include or indeed mention a child’s happiness as an indicator for ecological child wellbeing, most participants’ in this research, immediately connected with it as their first characteristic.</w:t>
      </w:r>
    </w:p>
    <w:p w14:paraId="04AA1DE3" w14:textId="77777777" w:rsidR="00A670D9" w:rsidRDefault="00A670D9" w:rsidP="00D0334F">
      <w:pPr>
        <w:spacing w:line="360" w:lineRule="auto"/>
        <w:jc w:val="both"/>
      </w:pPr>
    </w:p>
    <w:p w14:paraId="0D4940A5" w14:textId="77777777" w:rsidR="00A670D9" w:rsidRDefault="00A670D9" w:rsidP="00D0334F">
      <w:pPr>
        <w:spacing w:line="360" w:lineRule="auto"/>
        <w:jc w:val="both"/>
      </w:pPr>
    </w:p>
    <w:p w14:paraId="4E41AFBD" w14:textId="77777777" w:rsidR="00A670D9" w:rsidRDefault="00A670D9" w:rsidP="00D0334F">
      <w:pPr>
        <w:spacing w:line="360" w:lineRule="auto"/>
        <w:jc w:val="both"/>
      </w:pPr>
      <w:r>
        <w:t>Happiness is a difficult indictor to measure to help determine the state of anyone’s ecological wellbeing.  However, there is widespread recognition, that if we are to have true child-</w:t>
      </w:r>
      <w:r>
        <w:lastRenderedPageBreak/>
        <w:t xml:space="preserve">centered education policy and service delivery, there is a need to included </w:t>
      </w:r>
      <w:r w:rsidRPr="00A07C8D">
        <w:rPr>
          <w:i/>
        </w:rPr>
        <w:t>subjective wellbeing</w:t>
      </w:r>
      <w:r>
        <w:t xml:space="preserve"> indicators, as identified in </w:t>
      </w:r>
      <w:r w:rsidRPr="00D9710C">
        <w:rPr>
          <w:i/>
        </w:rPr>
        <w:t>A Guide to Measuring Child Wellbeing</w:t>
      </w:r>
      <w:r>
        <w:t xml:space="preserve">; “indicators based on individuals’ self-reports of whether they feel happy, satisfied, content and fulfilled in their daily lives” (Action for Children, 2009) to accurately measure it.  The use of subjective indicators with children and young people has been regarded as problematic for a variety of reasons (Action for Children, 2009).  One of the main risks is that children may not always ‘feel happy’ about adults making a ‘for them’, but this cannot always not determine their wellbeing.  For example, as presented in the literature review, as a </w:t>
      </w:r>
      <w:r w:rsidRPr="004171CA">
        <w:rPr>
          <w:i/>
        </w:rPr>
        <w:t>guiding principle</w:t>
      </w:r>
      <w:r>
        <w:t xml:space="preserve"> of the UNCRC, duty bearers (adults) are required to act in the best interests of children.  This could mean that a child could be removed from a chaotic or dangerous environment to protect their safety (Article 19) but would not necessarily make them happy.  With this said, noted earlier in the review, </w:t>
      </w:r>
      <w:r w:rsidRPr="004171CA">
        <w:rPr>
          <w:i/>
        </w:rPr>
        <w:t>The Good Childhood Report</w:t>
      </w:r>
      <w:r>
        <w:t xml:space="preserve"> (The Children’s Society, 2016) showed that asking children directly about what contributes to their wellbeing can lead to findings that might not otherwise have been discovered (Action for Children, 2009). </w:t>
      </w:r>
    </w:p>
    <w:p w14:paraId="48FFCF89" w14:textId="77777777" w:rsidR="00A670D9" w:rsidRDefault="00A670D9" w:rsidP="00D0334F">
      <w:pPr>
        <w:spacing w:line="360" w:lineRule="auto"/>
        <w:jc w:val="both"/>
      </w:pPr>
    </w:p>
    <w:p w14:paraId="18C98780" w14:textId="77777777" w:rsidR="00A670D9" w:rsidRDefault="00A670D9" w:rsidP="00D0334F">
      <w:pPr>
        <w:spacing w:line="360" w:lineRule="auto"/>
        <w:jc w:val="both"/>
      </w:pPr>
    </w:p>
    <w:p w14:paraId="065FECFB" w14:textId="77777777" w:rsidR="00A670D9" w:rsidRDefault="00A670D9" w:rsidP="00D0334F">
      <w:pPr>
        <w:spacing w:line="360" w:lineRule="auto"/>
        <w:jc w:val="both"/>
      </w:pPr>
      <w:r>
        <w:t>The next three characteristics ranked in order of popularity were ‘safe’, ‘healthy’ and ‘protection’ which are all components encompassed within the ecological definition of child wellbeing (Unicef, 2007).  ‘Safety’ ranked the second most popular characteristic with thirty-six responses (out of forty-eight), ‘healthy’ ranked third with thirty (out of forty-six) responses and ‘protection’ placed forth with eight out of a possible twenty-one responses.  Two participants’ were able to name five characteristics with one participant citing ‘loved’ and the other response being ‘heard’.  Interestingly, ‘heard’ can be linked directly to Article 12 of the Convention which states that children should have their voices heard and opinions taken seriously (Unicef, no date).  However, it cannot be determined if the participant was referencing Article 12 when citing the answer.</w:t>
      </w:r>
    </w:p>
    <w:p w14:paraId="2913047E" w14:textId="77777777" w:rsidR="00A670D9" w:rsidRDefault="00A670D9" w:rsidP="00D0334F">
      <w:pPr>
        <w:spacing w:line="360" w:lineRule="auto"/>
        <w:jc w:val="both"/>
      </w:pPr>
    </w:p>
    <w:p w14:paraId="59A02F29" w14:textId="77777777" w:rsidR="00A670D9" w:rsidRDefault="00A670D9" w:rsidP="00D0334F">
      <w:pPr>
        <w:spacing w:line="360" w:lineRule="auto"/>
        <w:jc w:val="both"/>
      </w:pPr>
    </w:p>
    <w:p w14:paraId="793D5CCC" w14:textId="20E348F5" w:rsidR="00A670D9" w:rsidRDefault="00A670D9" w:rsidP="00D0334F">
      <w:pPr>
        <w:spacing w:line="360" w:lineRule="auto"/>
        <w:jc w:val="both"/>
      </w:pPr>
      <w:r>
        <w:t>Questions two and four required participants’ to provide answers on a sliding scale.  Using the Likert scale which was introduced by the Psychologist Renisis Likert (Thomas, 2013), participants’ had to indicate their level of agreement to the question rated from one to five (illustrated below).  The results are shared and discussed.</w:t>
      </w:r>
    </w:p>
    <w:p w14:paraId="421DF086" w14:textId="77777777" w:rsidR="00A670D9" w:rsidRDefault="00A670D9" w:rsidP="00D0334F">
      <w:pPr>
        <w:spacing w:line="360" w:lineRule="auto"/>
        <w:jc w:val="both"/>
        <w:rPr>
          <w:i/>
        </w:rPr>
      </w:pPr>
      <w:r>
        <w:rPr>
          <w:i/>
          <w:noProof/>
          <w:lang w:eastAsia="en-GB"/>
        </w:rPr>
        <w:lastRenderedPageBreak/>
        <mc:AlternateContent>
          <mc:Choice Requires="wpg">
            <w:drawing>
              <wp:anchor distT="0" distB="0" distL="114300" distR="114300" simplePos="0" relativeHeight="251662336" behindDoc="0" locked="0" layoutInCell="1" allowOverlap="1" wp14:anchorId="385BF725" wp14:editId="1181E94C">
                <wp:simplePos x="0" y="0"/>
                <wp:positionH relativeFrom="column">
                  <wp:posOffset>-622665</wp:posOffset>
                </wp:positionH>
                <wp:positionV relativeFrom="paragraph">
                  <wp:posOffset>316230</wp:posOffset>
                </wp:positionV>
                <wp:extent cx="7265035" cy="676275"/>
                <wp:effectExtent l="0" t="76200" r="0" b="9525"/>
                <wp:wrapThrough wrapText="bothSides">
                  <wp:wrapPolygon edited="0">
                    <wp:start x="1435" y="-2434"/>
                    <wp:lineTo x="831" y="-1623"/>
                    <wp:lineTo x="831" y="11358"/>
                    <wp:lineTo x="0" y="11358"/>
                    <wp:lineTo x="0" y="21093"/>
                    <wp:lineTo x="21523" y="21093"/>
                    <wp:lineTo x="21523" y="11358"/>
                    <wp:lineTo x="19106" y="11358"/>
                    <wp:lineTo x="19106" y="-1623"/>
                    <wp:lineTo x="18351" y="-2434"/>
                    <wp:lineTo x="1435" y="-2434"/>
                  </wp:wrapPolygon>
                </wp:wrapThrough>
                <wp:docPr id="10"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65035" cy="676275"/>
                          <a:chOff x="405" y="9168"/>
                          <a:chExt cx="11745" cy="1065"/>
                        </a:xfrm>
                      </wpg:grpSpPr>
                      <wps:wsp>
                        <wps:cNvPr id="11" name="AutoShape 3"/>
                        <wps:cNvCnPr>
                          <a:cxnSpLocks noChangeShapeType="1"/>
                        </wps:cNvCnPr>
                        <wps:spPr bwMode="auto">
                          <a:xfrm>
                            <a:off x="1335" y="9438"/>
                            <a:ext cx="8940" cy="0"/>
                          </a:xfrm>
                          <a:prstGeom prst="straightConnector1">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wps:wsp>
                        <wps:cNvPr id="12" name="Text Box 2"/>
                        <wps:cNvSpPr txBox="1">
                          <a:spLocks noChangeArrowheads="1"/>
                        </wps:cNvSpPr>
                        <wps:spPr bwMode="auto">
                          <a:xfrm>
                            <a:off x="405" y="9803"/>
                            <a:ext cx="11745" cy="43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A324784" w14:textId="77777777" w:rsidR="005C0F2E" w:rsidRPr="00D44891" w:rsidRDefault="005C0F2E" w:rsidP="00A670D9">
                              <w:pPr>
                                <w:pStyle w:val="Default"/>
                                <w:ind w:left="284" w:right="514"/>
                                <w:jc w:val="both"/>
                                <w:rPr>
                                  <w:rFonts w:ascii="Verdana" w:hAnsi="Verdana"/>
                                  <w:b/>
                                  <w:sz w:val="16"/>
                                  <w:szCs w:val="16"/>
                                </w:rPr>
                              </w:pPr>
                              <w:r>
                                <w:rPr>
                                  <w:rFonts w:ascii="Verdana" w:hAnsi="Verdana"/>
                                  <w:b/>
                                  <w:sz w:val="16"/>
                                  <w:szCs w:val="16"/>
                                </w:rPr>
                                <w:t>1 (not at all)</w:t>
                              </w:r>
                              <w:r>
                                <w:rPr>
                                  <w:rFonts w:ascii="Verdana" w:hAnsi="Verdana"/>
                                  <w:b/>
                                  <w:sz w:val="16"/>
                                  <w:szCs w:val="16"/>
                                </w:rPr>
                                <w:tab/>
                              </w:r>
                              <w:r w:rsidRPr="00D44891">
                                <w:rPr>
                                  <w:rFonts w:ascii="Verdana" w:hAnsi="Verdana"/>
                                  <w:b/>
                                  <w:sz w:val="16"/>
                                  <w:szCs w:val="16"/>
                                </w:rPr>
                                <w:tab/>
                              </w:r>
                              <w:r>
                                <w:rPr>
                                  <w:rFonts w:ascii="Verdana" w:hAnsi="Verdana"/>
                                  <w:b/>
                                  <w:sz w:val="16"/>
                                  <w:szCs w:val="16"/>
                                </w:rPr>
                                <w:tab/>
                                <w:t>2</w:t>
                              </w:r>
                              <w:r w:rsidRPr="00D44891">
                                <w:rPr>
                                  <w:rFonts w:ascii="Verdana" w:hAnsi="Verdana"/>
                                  <w:b/>
                                  <w:sz w:val="16"/>
                                  <w:szCs w:val="16"/>
                                </w:rPr>
                                <w:tab/>
                              </w:r>
                              <w:r>
                                <w:rPr>
                                  <w:rFonts w:ascii="Verdana" w:hAnsi="Verdana"/>
                                  <w:b/>
                                  <w:sz w:val="16"/>
                                  <w:szCs w:val="16"/>
                                </w:rPr>
                                <w:t xml:space="preserve">     </w:t>
                              </w:r>
                              <w:r>
                                <w:rPr>
                                  <w:rFonts w:ascii="Verdana" w:hAnsi="Verdana"/>
                                  <w:b/>
                                  <w:sz w:val="16"/>
                                  <w:szCs w:val="16"/>
                                </w:rPr>
                                <w:tab/>
                                <w:t xml:space="preserve">             3</w:t>
                              </w:r>
                              <w:r w:rsidRPr="00D44891">
                                <w:rPr>
                                  <w:rFonts w:ascii="Verdana" w:hAnsi="Verdana"/>
                                  <w:b/>
                                  <w:sz w:val="16"/>
                                  <w:szCs w:val="16"/>
                                </w:rPr>
                                <w:tab/>
                              </w:r>
                              <w:r w:rsidRPr="00D44891">
                                <w:rPr>
                                  <w:rFonts w:ascii="Verdana" w:hAnsi="Verdana"/>
                                  <w:b/>
                                  <w:sz w:val="16"/>
                                  <w:szCs w:val="16"/>
                                </w:rPr>
                                <w:tab/>
                              </w:r>
                              <w:r>
                                <w:rPr>
                                  <w:rFonts w:ascii="Verdana" w:hAnsi="Verdana"/>
                                  <w:b/>
                                  <w:sz w:val="16"/>
                                  <w:szCs w:val="16"/>
                                </w:rPr>
                                <w:t xml:space="preserve">              4</w:t>
                              </w:r>
                              <w:r w:rsidRPr="00D44891">
                                <w:rPr>
                                  <w:rFonts w:ascii="Verdana" w:hAnsi="Verdana"/>
                                  <w:b/>
                                  <w:sz w:val="16"/>
                                  <w:szCs w:val="16"/>
                                </w:rPr>
                                <w:tab/>
                              </w:r>
                              <w:r>
                                <w:rPr>
                                  <w:rFonts w:ascii="Verdana" w:hAnsi="Verdana"/>
                                  <w:b/>
                                  <w:sz w:val="16"/>
                                  <w:szCs w:val="16"/>
                                </w:rPr>
                                <w:t xml:space="preserve">                  5 (extremely)</w:t>
                              </w:r>
                            </w:p>
                            <w:p w14:paraId="65EE5D21" w14:textId="77777777" w:rsidR="005C0F2E" w:rsidRDefault="005C0F2E" w:rsidP="00A670D9"/>
                          </w:txbxContent>
                        </wps:txbx>
                        <wps:bodyPr rot="0" vert="horz" wrap="square" lIns="91440" tIns="45720" rIns="91440" bIns="45720" anchor="t" anchorCtr="0" upright="1">
                          <a:noAutofit/>
                        </wps:bodyPr>
                      </wps:wsp>
                      <wps:wsp>
                        <wps:cNvPr id="13" name="AutoShape 5"/>
                        <wps:cNvSpPr>
                          <a:spLocks noChangeArrowheads="1"/>
                        </wps:cNvSpPr>
                        <wps:spPr bwMode="auto">
                          <a:xfrm>
                            <a:off x="1035" y="9168"/>
                            <a:ext cx="510" cy="455"/>
                          </a:xfrm>
                          <a:prstGeom prst="star5">
                            <a:avLst/>
                          </a:prstGeom>
                          <a:solidFill>
                            <a:srgbClr val="4BACC6"/>
                          </a:solidFill>
                          <a:ln w="3175">
                            <a:solidFill>
                              <a:srgbClr val="000000"/>
                            </a:solidFill>
                            <a:miter lim="800000"/>
                            <a:headEnd/>
                            <a:tailEnd/>
                          </a:ln>
                          <a:effectLst>
                            <a:outerShdw blurRad="63500" dist="29783" dir="3885598" algn="ctr" rotWithShape="0">
                              <a:srgbClr val="205867">
                                <a:alpha val="50000"/>
                              </a:srgbClr>
                            </a:outerShdw>
                          </a:effectLst>
                        </wps:spPr>
                        <wps:bodyPr rot="0" vert="horz" wrap="square" lIns="91440" tIns="45720" rIns="91440" bIns="45720" anchor="t" anchorCtr="0" upright="1">
                          <a:noAutofit/>
                        </wps:bodyPr>
                      </wps:wsp>
                      <wps:wsp>
                        <wps:cNvPr id="14" name="AutoShape 6"/>
                        <wps:cNvSpPr>
                          <a:spLocks noChangeArrowheads="1"/>
                        </wps:cNvSpPr>
                        <wps:spPr bwMode="auto">
                          <a:xfrm>
                            <a:off x="3315" y="9168"/>
                            <a:ext cx="510" cy="455"/>
                          </a:xfrm>
                          <a:prstGeom prst="star5">
                            <a:avLst/>
                          </a:prstGeom>
                          <a:solidFill>
                            <a:srgbClr val="4BACC6"/>
                          </a:solidFill>
                          <a:ln w="3175">
                            <a:solidFill>
                              <a:srgbClr val="000000"/>
                            </a:solidFill>
                            <a:miter lim="800000"/>
                            <a:headEnd/>
                            <a:tailEnd/>
                          </a:ln>
                          <a:effectLst>
                            <a:outerShdw blurRad="63500" dist="29783" dir="3885598" algn="ctr" rotWithShape="0">
                              <a:srgbClr val="205867">
                                <a:alpha val="50000"/>
                              </a:srgbClr>
                            </a:outerShdw>
                          </a:effectLst>
                        </wps:spPr>
                        <wps:bodyPr rot="0" vert="horz" wrap="square" lIns="91440" tIns="45720" rIns="91440" bIns="45720" anchor="t" anchorCtr="0" upright="1">
                          <a:noAutofit/>
                        </wps:bodyPr>
                      </wps:wsp>
                      <wps:wsp>
                        <wps:cNvPr id="15" name="AutoShape 7"/>
                        <wps:cNvSpPr>
                          <a:spLocks noChangeArrowheads="1"/>
                        </wps:cNvSpPr>
                        <wps:spPr bwMode="auto">
                          <a:xfrm>
                            <a:off x="5490" y="9168"/>
                            <a:ext cx="510" cy="455"/>
                          </a:xfrm>
                          <a:prstGeom prst="star5">
                            <a:avLst/>
                          </a:prstGeom>
                          <a:solidFill>
                            <a:srgbClr val="4BACC6"/>
                          </a:solidFill>
                          <a:ln w="3175">
                            <a:solidFill>
                              <a:srgbClr val="000000"/>
                            </a:solidFill>
                            <a:miter lim="800000"/>
                            <a:headEnd/>
                            <a:tailEnd/>
                          </a:ln>
                          <a:effectLst>
                            <a:outerShdw blurRad="63500" dist="29783" dir="3885598" algn="ctr" rotWithShape="0">
                              <a:srgbClr val="205867">
                                <a:alpha val="50000"/>
                              </a:srgbClr>
                            </a:outerShdw>
                          </a:effectLst>
                        </wps:spPr>
                        <wps:bodyPr rot="0" vert="horz" wrap="square" lIns="91440" tIns="45720" rIns="91440" bIns="45720" anchor="t" anchorCtr="0" upright="1">
                          <a:noAutofit/>
                        </wps:bodyPr>
                      </wps:wsp>
                      <wps:wsp>
                        <wps:cNvPr id="16" name="AutoShape 8"/>
                        <wps:cNvSpPr>
                          <a:spLocks noChangeArrowheads="1"/>
                        </wps:cNvSpPr>
                        <wps:spPr bwMode="auto">
                          <a:xfrm>
                            <a:off x="7755" y="9193"/>
                            <a:ext cx="510" cy="455"/>
                          </a:xfrm>
                          <a:prstGeom prst="star5">
                            <a:avLst/>
                          </a:prstGeom>
                          <a:solidFill>
                            <a:srgbClr val="4BACC6"/>
                          </a:solidFill>
                          <a:ln w="3175">
                            <a:solidFill>
                              <a:srgbClr val="000000"/>
                            </a:solidFill>
                            <a:miter lim="800000"/>
                            <a:headEnd/>
                            <a:tailEnd/>
                          </a:ln>
                          <a:effectLst>
                            <a:outerShdw blurRad="63500" dist="29783" dir="3885598" algn="ctr" rotWithShape="0">
                              <a:srgbClr val="205867">
                                <a:alpha val="50000"/>
                              </a:srgbClr>
                            </a:outerShdw>
                          </a:effectLst>
                        </wps:spPr>
                        <wps:bodyPr rot="0" vert="horz" wrap="square" lIns="91440" tIns="45720" rIns="91440" bIns="45720" anchor="t" anchorCtr="0" upright="1">
                          <a:noAutofit/>
                        </wps:bodyPr>
                      </wps:wsp>
                      <wps:wsp>
                        <wps:cNvPr id="17" name="AutoShape 9"/>
                        <wps:cNvSpPr>
                          <a:spLocks noChangeArrowheads="1"/>
                        </wps:cNvSpPr>
                        <wps:spPr bwMode="auto">
                          <a:xfrm>
                            <a:off x="10005" y="9168"/>
                            <a:ext cx="510" cy="455"/>
                          </a:xfrm>
                          <a:prstGeom prst="star5">
                            <a:avLst/>
                          </a:prstGeom>
                          <a:solidFill>
                            <a:srgbClr val="4BACC6"/>
                          </a:solidFill>
                          <a:ln w="3175">
                            <a:solidFill>
                              <a:srgbClr val="000000"/>
                            </a:solidFill>
                            <a:miter lim="800000"/>
                            <a:headEnd/>
                            <a:tailEnd/>
                          </a:ln>
                          <a:effectLst>
                            <a:outerShdw blurRad="63500" dist="29783" dir="3885598" algn="ctr" rotWithShape="0">
                              <a:srgbClr val="205867">
                                <a:alpha val="50000"/>
                              </a:srgbClr>
                            </a:outerShdw>
                          </a:effec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85BF725" id="Group 10" o:spid="_x0000_s1026" style="position:absolute;left:0;text-align:left;margin-left:-49.05pt;margin-top:24.9pt;width:572.05pt;height:53.25pt;z-index:251662336" coordorigin="405,9168" coordsize="11745,106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">
                <v:shapetype id="_x0000_t32" coordsize="21600,21600" o:spt="32" o:oned="t" path="m0,0l21600,21600e" filled="f">
                  <v:path arrowok="t" fillok="f" o:connecttype="none"/>
                  <o:lock v:ext="edit" shapetype="t"/>
                </v:shapetype>
                <v:shape id="AutoShape 3" o:spid="_x0000_s1027" type="#_x0000_t32" style="position:absolute;left:1335;top:9438;width:8940;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" strokeweight="2.25pt"/>
                <v:shapetype id="_x0000_t202" coordsize="21600,21600" o:spt="202" path="m0,0l0,21600,21600,21600,21600,0xe">
                  <v:stroke joinstyle="miter"/>
                  <v:path gradientshapeok="t" o:connecttype="rect"/>
                </v:shapetype>
                <v:shape id="Text Box 2" o:spid="_x0000_s1028" type="#_x0000_t202" style="position:absolute;left:405;top:9803;width:11745;height:43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8CRvwAA&#10;ANsAAAAPAAAAZHJzL2Rvd25yZXYueG1sRE/LqsIwEN0L/kMYwY1oqlxf1SheQXFb9QPGZmyLzaQ0&#10;ubb+vbkguJvDec5625pSPKl2hWUF41EEgji1uuBMwfVyGC5AOI+ssbRMCl7kYLvpdtYYa9twQs+z&#10;z0QIYRejgtz7KpbSpTkZdCNbEQfubmuDPsA6k7rGJoSbUk6iaCYNFhwacqxon1P6OP8ZBfdTM5gu&#10;m9vRX+fJz+wXi/nNvpTq99rdCoSn1n/FH/dJh/kT+P8lHCA3bwA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BL/wJG/AAAA2wAAAA8AAAAAAAAAAAAAAAAAlwIAAGRycy9kb3ducmV2&#10;LnhtbFBLBQYAAAAABAAEAPUAAACDAwAAAAA=&#10;" stroked="f">
                  <v:textbox>
                    <w:txbxContent>
                      <w:p w14:paraId="2A324784" w14:textId="77777777" w:rsidR="005C0F2E" w:rsidRPr="00D44891" w:rsidRDefault="005C0F2E" w:rsidP="00A670D9">
                        <w:pPr>
                          <w:pStyle w:val="Default"/>
                          <w:ind w:left="284" w:right="514"/>
                          <w:jc w:val="both"/>
                          <w:rPr>
                            <w:rFonts w:ascii="Verdana" w:hAnsi="Verdana"/>
                            <w:b/>
                            <w:sz w:val="16"/>
                            <w:szCs w:val="16"/>
                          </w:rPr>
                        </w:pPr>
                        <w:r>
                          <w:rPr>
                            <w:rFonts w:ascii="Verdana" w:hAnsi="Verdana"/>
                            <w:b/>
                            <w:sz w:val="16"/>
                            <w:szCs w:val="16"/>
                          </w:rPr>
                          <w:t>1 (not at all)</w:t>
                        </w:r>
                        <w:r>
                          <w:rPr>
                            <w:rFonts w:ascii="Verdana" w:hAnsi="Verdana"/>
                            <w:b/>
                            <w:sz w:val="16"/>
                            <w:szCs w:val="16"/>
                          </w:rPr>
                          <w:tab/>
                        </w:r>
                        <w:r w:rsidRPr="00D44891">
                          <w:rPr>
                            <w:rFonts w:ascii="Verdana" w:hAnsi="Verdana"/>
                            <w:b/>
                            <w:sz w:val="16"/>
                            <w:szCs w:val="16"/>
                          </w:rPr>
                          <w:tab/>
                        </w:r>
                        <w:r>
                          <w:rPr>
                            <w:rFonts w:ascii="Verdana" w:hAnsi="Verdana"/>
                            <w:b/>
                            <w:sz w:val="16"/>
                            <w:szCs w:val="16"/>
                          </w:rPr>
                          <w:tab/>
                          <w:t>2</w:t>
                        </w:r>
                        <w:r w:rsidRPr="00D44891">
                          <w:rPr>
                            <w:rFonts w:ascii="Verdana" w:hAnsi="Verdana"/>
                            <w:b/>
                            <w:sz w:val="16"/>
                            <w:szCs w:val="16"/>
                          </w:rPr>
                          <w:tab/>
                        </w:r>
                        <w:r>
                          <w:rPr>
                            <w:rFonts w:ascii="Verdana" w:hAnsi="Verdana"/>
                            <w:b/>
                            <w:sz w:val="16"/>
                            <w:szCs w:val="16"/>
                          </w:rPr>
                          <w:t xml:space="preserve">     </w:t>
                        </w:r>
                        <w:r>
                          <w:rPr>
                            <w:rFonts w:ascii="Verdana" w:hAnsi="Verdana"/>
                            <w:b/>
                            <w:sz w:val="16"/>
                            <w:szCs w:val="16"/>
                          </w:rPr>
                          <w:tab/>
                          <w:t xml:space="preserve">             3</w:t>
                        </w:r>
                        <w:r w:rsidRPr="00D44891">
                          <w:rPr>
                            <w:rFonts w:ascii="Verdana" w:hAnsi="Verdana"/>
                            <w:b/>
                            <w:sz w:val="16"/>
                            <w:szCs w:val="16"/>
                          </w:rPr>
                          <w:tab/>
                        </w:r>
                        <w:r w:rsidRPr="00D44891">
                          <w:rPr>
                            <w:rFonts w:ascii="Verdana" w:hAnsi="Verdana"/>
                            <w:b/>
                            <w:sz w:val="16"/>
                            <w:szCs w:val="16"/>
                          </w:rPr>
                          <w:tab/>
                        </w:r>
                        <w:r>
                          <w:rPr>
                            <w:rFonts w:ascii="Verdana" w:hAnsi="Verdana"/>
                            <w:b/>
                            <w:sz w:val="16"/>
                            <w:szCs w:val="16"/>
                          </w:rPr>
                          <w:t xml:space="preserve">              4</w:t>
                        </w:r>
                        <w:r w:rsidRPr="00D44891">
                          <w:rPr>
                            <w:rFonts w:ascii="Verdana" w:hAnsi="Verdana"/>
                            <w:b/>
                            <w:sz w:val="16"/>
                            <w:szCs w:val="16"/>
                          </w:rPr>
                          <w:tab/>
                        </w:r>
                        <w:r>
                          <w:rPr>
                            <w:rFonts w:ascii="Verdana" w:hAnsi="Verdana"/>
                            <w:b/>
                            <w:sz w:val="16"/>
                            <w:szCs w:val="16"/>
                          </w:rPr>
                          <w:t xml:space="preserve">                  5 (extremely)</w:t>
                        </w:r>
                      </w:p>
                      <w:p w14:paraId="65EE5D21" w14:textId="77777777" w:rsidR="005C0F2E" w:rsidRDefault="005C0F2E" w:rsidP="00A670D9"/>
                    </w:txbxContent>
                  </v:textbox>
                </v:shape>
                <v:shape id="AutoShape 5" o:spid="_x0000_s1029" style="position:absolute;left:1035;top:9168;width:510;height:455;visibility:visible;mso-wrap-style:square;v-text-anchor:top" coordsize="10000,100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BDtFlwgAA&#10;ANsAAAAPAAAAZHJzL2Rvd25yZXYueG1sRE9Na8JAEL0X/A/LCL3VjRZqjW5CCLT0UBCtF29DdkwW&#10;s7MhuyZpf31XKPQ2j/c5u3yyrRio98axguUiAUFcOW24VnD6ent6BeEDssbWMSn4Jg95NnvYYard&#10;yAcajqEWMYR9igqaELpUSl81ZNEvXEccuYvrLYYI+1rqHscYblu5SpIXadFwbGiwo7Kh6nq8WQWb&#10;taPzufgJ75uxLo1xsvi87JV6nE/FFkSgKfyL/9wfOs5/hvsv8QCZ/QI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EEO0WXCAAAA2wAAAA8AAAAAAAAAAAAAAAAAlwIAAGRycy9kb3du&#10;cmV2LnhtbFBLBQYAAAAABAAEAPUAAACGAwAAAAA=&#10;" path="m0,3824l3824,3824,5000,,6176,3824,10000,3824,6902,6176,8098,10000,5000,7648,1902,10000,3098,6176,,3824xe" fillcolor="#4bacc6" strokeweight=".25pt">
                  <v:stroke joinstyle="miter"/>
                  <v:shadow on="t" color="#205867" opacity=".5" offset="1pt"/>
                  <v:path o:connecttype="custom" o:connectlocs="0,174;195,174;255,0;315,174;510,174;352,281;413,455;255,348;97,455;158,281;0,174" o:connectangles="0,0,0,0,0,0,0,0,0,0,0"/>
                </v:shape>
                <v:shape id="AutoShape 6" o:spid="_x0000_s1030" style="position:absolute;left:3315;top:9168;width:510;height:455;visibility:visible;mso-wrap-style:square;v-text-anchor:top" coordsize="10000,100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O50kRwgAA&#10;ANsAAAAPAAAAZHJzL2Rvd25yZXYueG1sRE9Na8JAEL0X/A/LCL3VjVJqjW5CCLT0UBCtF29DdkwW&#10;s7MhuyZpf31XKPQ2j/c5u3yyrRio98axguUiAUFcOW24VnD6ent6BeEDssbWMSn4Jg95NnvYYard&#10;yAcajqEWMYR9igqaELpUSl81ZNEvXEccuYvrLYYI+1rqHscYblu5SpIXadFwbGiwo7Kh6nq8WQWb&#10;taPzufgJ75uxLo1xsvi87JV6nE/FFkSgKfyL/9wfOs5/hvsv8QCZ/QI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M7nSRHCAAAA2wAAAA8AAAAAAAAAAAAAAAAAlwIAAGRycy9kb3du&#10;cmV2LnhtbFBLBQYAAAAABAAEAPUAAACGAwAAAAA=&#10;" path="m0,3824l3824,3824,5000,,6176,3824,10000,3824,6902,6176,8098,10000,5000,7648,1902,10000,3098,6176,,3824xe" fillcolor="#4bacc6" strokeweight=".25pt">
                  <v:stroke joinstyle="miter"/>
                  <v:shadow on="t" color="#205867" opacity=".5" offset="1pt"/>
                  <v:path o:connecttype="custom" o:connectlocs="0,174;195,174;255,0;315,174;510,174;352,281;413,455;255,348;97,455;158,281;0,174" o:connectangles="0,0,0,0,0,0,0,0,0,0,0"/>
                </v:shape>
                <v:shape id="AutoShape 7" o:spid="_x0000_s1031" style="position:absolute;left:5490;top:9168;width:510;height:455;visibility:visible;mso-wrap-style:square;v-text-anchor:top" coordsize="10000,100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hq+yKwgAA&#10;ANsAAAAPAAAAZHJzL2Rvd25yZXYueG1sRE9Na8JAEL0X/A/LCL3VjUJrjW5CCLT0UBCtF29DdkwW&#10;s7MhuyZpf31XKPQ2j/c5u3yyrRio98axguUiAUFcOW24VnD6ent6BeEDssbWMSn4Jg95NnvYYard&#10;yAcajqEWMYR9igqaELpUSl81ZNEvXEccuYvrLYYI+1rqHscYblu5SpIXadFwbGiwo7Kh6nq8WQWb&#10;taPzufgJ75uxLo1xsvi87JV6nE/FFkSgKfyL/9wfOs5/hvsv8QCZ/QI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Gr7IrCAAAA2wAAAA8AAAAAAAAAAAAAAAAAlwIAAGRycy9kb3du&#10;cmV2LnhtbFBLBQYAAAAABAAEAPUAAACGAwAAAAA=&#10;" path="m0,3824l3824,3824,5000,,6176,3824,10000,3824,6902,6176,8098,10000,5000,7648,1902,10000,3098,6176,,3824xe" fillcolor="#4bacc6" strokeweight=".25pt">
                  <v:stroke joinstyle="miter"/>
                  <v:shadow on="t" color="#205867" opacity=".5" offset="1pt"/>
                  <v:path o:connecttype="custom" o:connectlocs="0,174;195,174;255,0;315,174;510,174;352,281;413,455;255,348;97,455;158,281;0,174" o:connectangles="0,0,0,0,0,0,0,0,0,0,0"/>
                </v:shape>
                <v:shape id="AutoShape 8" o:spid="_x0000_s1032" style="position:absolute;left:7755;top:9193;width:510;height:455;visibility:visible;mso-wrap-style:square;v-text-anchor:top" coordsize="10000,100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ReXL9wgAA&#10;ANsAAAAPAAAAZHJzL2Rvd25yZXYueG1sRE89a8MwEN0D+Q/iCt1iuRnS2I0SjCEhQ6E07eLtsC62&#10;qHUylmK7/fVVoZDtHu/zdofZdmKkwRvHCp6SFARx7bThRsHnx3G1BeEDssbOMSn4Jg+H/XKxw1y7&#10;id9pvIRGxBD2OSpoQ+hzKX3dkkWfuJ44clc3WAwRDo3UA04x3HZynaYbadFwbGixp7Kl+utyswqy&#10;Z0dVVfyEUzY1pTFOFq/XN6UeH+biBUSgOdzF/+6zjvM38PdLPEDufwE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FF5cv3CAAAA2wAAAA8AAAAAAAAAAAAAAAAAlwIAAGRycy9kb3du&#10;cmV2LnhtbFBLBQYAAAAABAAEAPUAAACGAwAAAAA=&#10;" path="m0,3824l3824,3824,5000,,6176,3824,10000,3824,6902,6176,8098,10000,5000,7648,1902,10000,3098,6176,,3824xe" fillcolor="#4bacc6" strokeweight=".25pt">
                  <v:stroke joinstyle="miter"/>
                  <v:shadow on="t" color="#205867" opacity=".5" offset="1pt"/>
                  <v:path o:connecttype="custom" o:connectlocs="0,174;195,174;255,0;315,174;510,174;352,281;413,455;255,348;97,455;158,281;0,174" o:connectangles="0,0,0,0,0,0,0,0,0,0,0"/>
                </v:shape>
                <v:shape id="AutoShape 9" o:spid="_x0000_s1033" style="position:absolute;left:10005;top:9168;width:510;height:455;visibility:visible;mso-wrap-style:square;v-text-anchor:top" coordsize="10000,100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NddmwgAA&#10;ANsAAAAPAAAAZHJzL2Rvd25yZXYueG1sRE9Na8JAEL0L/odlCr3pph5qk7pKCFh6KIi2l9yG7Jgs&#10;zc6G7JpEf31XEHqbx/uczW6yrRio98axgpdlAoK4ctpwreDne794A+EDssbWMSm4kofddj7bYKbd&#10;yEcaTqEWMYR9hgqaELpMSl81ZNEvXUccubPrLYYI+1rqHscYblu5SpJXadFwbGiwo6Kh6vd0sQrS&#10;taOyzG/hIx3rwhgn86/zQannpyl/BxFoCv/ih/tTx/lruP8SD5DbP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D4112bCAAAA2wAAAA8AAAAAAAAAAAAAAAAAlwIAAGRycy9kb3du&#10;cmV2LnhtbFBLBQYAAAAABAAEAPUAAACGAwAAAAA=&#10;" path="m0,3824l3824,3824,5000,,6176,3824,10000,3824,6902,6176,8098,10000,5000,7648,1902,10000,3098,6176,,3824xe" fillcolor="#4bacc6" strokeweight=".25pt">
                  <v:stroke joinstyle="miter"/>
                  <v:shadow on="t" color="#205867" opacity=".5" offset="1pt"/>
                  <v:path o:connecttype="custom" o:connectlocs="0,174;195,174;255,0;315,174;510,174;352,281;413,455;255,348;97,455;158,281;0,174" o:connectangles="0,0,0,0,0,0,0,0,0,0,0"/>
                </v:shape>
                <w10:wrap type="through"/>
              </v:group>
            </w:pict>
          </mc:Fallback>
        </mc:AlternateContent>
      </w:r>
    </w:p>
    <w:p w14:paraId="34E98CA3" w14:textId="77777777" w:rsidR="002E6300" w:rsidRDefault="002E6300" w:rsidP="00D0334F">
      <w:pPr>
        <w:spacing w:line="360" w:lineRule="auto"/>
        <w:jc w:val="both"/>
        <w:outlineLvl w:val="0"/>
        <w:rPr>
          <w:i/>
        </w:rPr>
      </w:pPr>
    </w:p>
    <w:p w14:paraId="11A12C9C" w14:textId="77777777" w:rsidR="00A670D9" w:rsidRPr="00A95D42" w:rsidRDefault="00A670D9" w:rsidP="00D0334F">
      <w:pPr>
        <w:spacing w:line="360" w:lineRule="auto"/>
        <w:jc w:val="both"/>
        <w:outlineLvl w:val="0"/>
        <w:rPr>
          <w:i/>
        </w:rPr>
      </w:pPr>
      <w:r w:rsidRPr="007460C9">
        <w:rPr>
          <w:i/>
        </w:rPr>
        <w:t xml:space="preserve">Figure 4 </w:t>
      </w:r>
      <w:r>
        <w:t>illustrates the results from question two.</w:t>
      </w:r>
    </w:p>
    <w:p w14:paraId="6F390DAC" w14:textId="77777777" w:rsidR="00A670D9" w:rsidRDefault="00A670D9" w:rsidP="00D0334F">
      <w:pPr>
        <w:spacing w:line="360" w:lineRule="auto"/>
        <w:jc w:val="both"/>
      </w:pPr>
    </w:p>
    <w:p w14:paraId="725FCF7B" w14:textId="60A79812" w:rsidR="00A670D9" w:rsidRDefault="00A670D9" w:rsidP="00D0334F">
      <w:pPr>
        <w:spacing w:line="360" w:lineRule="auto"/>
        <w:jc w:val="both"/>
        <w:outlineLvl w:val="0"/>
        <w:rPr>
          <w:i/>
          <w:u w:val="single"/>
        </w:rPr>
      </w:pPr>
      <w:r w:rsidRPr="00D3487C">
        <w:rPr>
          <w:i/>
          <w:u w:val="single"/>
        </w:rPr>
        <w:t>Q2. On a scale from 1-5, how important do you think child wellbeing is?</w:t>
      </w:r>
    </w:p>
    <w:p w14:paraId="5DD4A264" w14:textId="77777777" w:rsidR="00A670D9" w:rsidRDefault="00A670D9" w:rsidP="00D0334F">
      <w:pPr>
        <w:spacing w:line="360" w:lineRule="auto"/>
        <w:jc w:val="both"/>
        <w:outlineLvl w:val="0"/>
        <w:rPr>
          <w:i/>
          <w:u w:val="single"/>
        </w:rPr>
      </w:pPr>
    </w:p>
    <w:p w14:paraId="4166C599" w14:textId="77777777" w:rsidR="00A670D9" w:rsidRDefault="00A670D9" w:rsidP="00D0334F">
      <w:pPr>
        <w:spacing w:line="360" w:lineRule="auto"/>
        <w:jc w:val="both"/>
        <w:outlineLvl w:val="0"/>
        <w:rPr>
          <w:i/>
          <w:u w:val="single"/>
        </w:rPr>
      </w:pPr>
      <w:r w:rsidRPr="00997A2F">
        <w:rPr>
          <w:b/>
          <w:i/>
          <w:u w:val="single"/>
        </w:rPr>
        <w:t>Figure 4:</w:t>
      </w:r>
      <w:r>
        <w:rPr>
          <w:i/>
          <w:u w:val="single"/>
        </w:rPr>
        <w:t xml:space="preserve"> </w:t>
      </w:r>
      <w:r w:rsidRPr="00A670D9">
        <w:rPr>
          <w:u w:val="single"/>
        </w:rPr>
        <w:t>How important do you think child wellbeing is?</w:t>
      </w:r>
    </w:p>
    <w:p w14:paraId="1EB74E4F" w14:textId="1A388A93" w:rsidR="00A670D9" w:rsidRDefault="00A670D9" w:rsidP="00D0334F">
      <w:pPr>
        <w:spacing w:line="360" w:lineRule="auto"/>
        <w:jc w:val="both"/>
      </w:pPr>
    </w:p>
    <w:p w14:paraId="7943EA5D" w14:textId="19DA0A39" w:rsidR="00A670D9" w:rsidRDefault="00A670D9" w:rsidP="00D0334F">
      <w:pPr>
        <w:spacing w:line="360" w:lineRule="auto"/>
        <w:jc w:val="both"/>
      </w:pPr>
      <w:r>
        <w:rPr>
          <w:noProof/>
          <w:lang w:eastAsia="en-GB"/>
        </w:rPr>
        <w:drawing>
          <wp:anchor distT="0" distB="0" distL="114300" distR="114300" simplePos="0" relativeHeight="251663360" behindDoc="0" locked="0" layoutInCell="1" allowOverlap="1" wp14:anchorId="18B64E74" wp14:editId="38B8F6BC">
            <wp:simplePos x="0" y="0"/>
            <wp:positionH relativeFrom="column">
              <wp:posOffset>51435</wp:posOffset>
            </wp:positionH>
            <wp:positionV relativeFrom="paragraph">
              <wp:posOffset>122555</wp:posOffset>
            </wp:positionV>
            <wp:extent cx="5309235" cy="2969260"/>
            <wp:effectExtent l="0" t="0" r="24765" b="2540"/>
            <wp:wrapThrough wrapText="bothSides">
              <wp:wrapPolygon edited="0">
                <wp:start x="0" y="0"/>
                <wp:lineTo x="0" y="21434"/>
                <wp:lineTo x="21597" y="21434"/>
                <wp:lineTo x="21597" y="0"/>
                <wp:lineTo x="0" y="0"/>
              </wp:wrapPolygon>
            </wp:wrapThrough>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3D82DE6F" w14:textId="77777777" w:rsidR="00A670D9" w:rsidRDefault="00A670D9" w:rsidP="00D0334F">
      <w:pPr>
        <w:spacing w:line="360" w:lineRule="auto"/>
        <w:jc w:val="both"/>
      </w:pPr>
    </w:p>
    <w:p w14:paraId="609C0A7C" w14:textId="77777777" w:rsidR="00A670D9" w:rsidRDefault="00A670D9" w:rsidP="00D0334F">
      <w:pPr>
        <w:spacing w:line="360" w:lineRule="auto"/>
        <w:jc w:val="both"/>
      </w:pPr>
    </w:p>
    <w:p w14:paraId="5D4B1FCC" w14:textId="77777777" w:rsidR="00A670D9" w:rsidRDefault="00A670D9" w:rsidP="00D0334F">
      <w:pPr>
        <w:spacing w:line="360" w:lineRule="auto"/>
        <w:jc w:val="both"/>
        <w:outlineLvl w:val="0"/>
        <w:rPr>
          <w:i/>
        </w:rPr>
      </w:pPr>
    </w:p>
    <w:p w14:paraId="4996165F" w14:textId="77777777" w:rsidR="002E6300" w:rsidRDefault="002E6300" w:rsidP="00D0334F">
      <w:pPr>
        <w:spacing w:line="360" w:lineRule="auto"/>
        <w:jc w:val="both"/>
        <w:outlineLvl w:val="0"/>
        <w:rPr>
          <w:i/>
        </w:rPr>
      </w:pPr>
    </w:p>
    <w:p w14:paraId="1DE51C98" w14:textId="77777777" w:rsidR="002E6300" w:rsidRDefault="002E6300" w:rsidP="00D0334F">
      <w:pPr>
        <w:spacing w:line="360" w:lineRule="auto"/>
        <w:jc w:val="both"/>
        <w:outlineLvl w:val="0"/>
        <w:rPr>
          <w:i/>
        </w:rPr>
      </w:pPr>
    </w:p>
    <w:p w14:paraId="7986C423" w14:textId="77777777" w:rsidR="002E6300" w:rsidRDefault="002E6300" w:rsidP="00D0334F">
      <w:pPr>
        <w:spacing w:line="360" w:lineRule="auto"/>
        <w:jc w:val="both"/>
        <w:outlineLvl w:val="0"/>
        <w:rPr>
          <w:i/>
        </w:rPr>
      </w:pPr>
    </w:p>
    <w:p w14:paraId="22F76225" w14:textId="77777777" w:rsidR="00E35BF2" w:rsidRDefault="00E35BF2" w:rsidP="00D0334F">
      <w:pPr>
        <w:spacing w:line="360" w:lineRule="auto"/>
        <w:jc w:val="both"/>
        <w:outlineLvl w:val="0"/>
        <w:rPr>
          <w:i/>
        </w:rPr>
      </w:pPr>
    </w:p>
    <w:p w14:paraId="077CF758" w14:textId="77777777" w:rsidR="00E35BF2" w:rsidRDefault="00E35BF2" w:rsidP="00D0334F">
      <w:pPr>
        <w:spacing w:line="360" w:lineRule="auto"/>
        <w:jc w:val="both"/>
        <w:outlineLvl w:val="0"/>
        <w:rPr>
          <w:i/>
        </w:rPr>
      </w:pPr>
    </w:p>
    <w:p w14:paraId="60298C89" w14:textId="77777777" w:rsidR="00E35BF2" w:rsidRDefault="00E35BF2" w:rsidP="00D0334F">
      <w:pPr>
        <w:spacing w:line="360" w:lineRule="auto"/>
        <w:jc w:val="both"/>
        <w:outlineLvl w:val="0"/>
        <w:rPr>
          <w:i/>
        </w:rPr>
      </w:pPr>
    </w:p>
    <w:p w14:paraId="35014BFF" w14:textId="77777777" w:rsidR="00E35BF2" w:rsidRDefault="00E35BF2" w:rsidP="00D0334F">
      <w:pPr>
        <w:spacing w:line="360" w:lineRule="auto"/>
        <w:jc w:val="both"/>
        <w:outlineLvl w:val="0"/>
        <w:rPr>
          <w:i/>
        </w:rPr>
      </w:pPr>
    </w:p>
    <w:p w14:paraId="0DCD4284" w14:textId="77777777" w:rsidR="00E35BF2" w:rsidRDefault="00E35BF2" w:rsidP="00D0334F">
      <w:pPr>
        <w:spacing w:line="360" w:lineRule="auto"/>
        <w:jc w:val="both"/>
        <w:outlineLvl w:val="0"/>
        <w:rPr>
          <w:i/>
        </w:rPr>
      </w:pPr>
    </w:p>
    <w:p w14:paraId="167D835E" w14:textId="77777777" w:rsidR="00E35BF2" w:rsidRDefault="00E35BF2" w:rsidP="00D0334F">
      <w:pPr>
        <w:spacing w:line="360" w:lineRule="auto"/>
        <w:jc w:val="both"/>
        <w:outlineLvl w:val="0"/>
        <w:rPr>
          <w:i/>
        </w:rPr>
      </w:pPr>
    </w:p>
    <w:p w14:paraId="260FAC67" w14:textId="77777777" w:rsidR="00A670D9" w:rsidRDefault="00A670D9" w:rsidP="00D0334F">
      <w:pPr>
        <w:spacing w:line="360" w:lineRule="auto"/>
        <w:jc w:val="both"/>
        <w:outlineLvl w:val="0"/>
      </w:pPr>
      <w:r w:rsidRPr="00C21B7E">
        <w:rPr>
          <w:i/>
        </w:rPr>
        <w:t>Figure 5</w:t>
      </w:r>
      <w:r>
        <w:t xml:space="preserve"> illustrates the results from the second of the scaling questions.</w:t>
      </w:r>
    </w:p>
    <w:p w14:paraId="4255B659" w14:textId="77777777" w:rsidR="00A670D9" w:rsidRDefault="00A670D9" w:rsidP="00D0334F">
      <w:pPr>
        <w:spacing w:line="360" w:lineRule="auto"/>
        <w:jc w:val="both"/>
      </w:pPr>
    </w:p>
    <w:p w14:paraId="7B4FD773" w14:textId="41BD0AD5" w:rsidR="00A670D9" w:rsidRPr="00513476" w:rsidRDefault="00A670D9" w:rsidP="00D0334F">
      <w:pPr>
        <w:spacing w:line="360" w:lineRule="auto"/>
        <w:jc w:val="both"/>
        <w:rPr>
          <w:i/>
          <w:u w:val="single"/>
        </w:rPr>
      </w:pPr>
      <w:r w:rsidRPr="00AA55D3">
        <w:rPr>
          <w:i/>
          <w:u w:val="single"/>
        </w:rPr>
        <w:t>Q4. One a scale from 1-5, how much do you think child wellbeing impacts on individual learning?</w:t>
      </w:r>
    </w:p>
    <w:p w14:paraId="41094DB0" w14:textId="77777777" w:rsidR="00A670D9" w:rsidRDefault="00A670D9" w:rsidP="00D0334F">
      <w:pPr>
        <w:spacing w:line="360" w:lineRule="auto"/>
        <w:jc w:val="both"/>
      </w:pPr>
    </w:p>
    <w:p w14:paraId="07395C23" w14:textId="77777777" w:rsidR="00513476" w:rsidRDefault="00513476" w:rsidP="00D0334F">
      <w:pPr>
        <w:spacing w:line="360" w:lineRule="auto"/>
        <w:jc w:val="both"/>
        <w:rPr>
          <w:b/>
          <w:bCs/>
          <w:i/>
          <w:iCs/>
          <w:u w:val="single"/>
          <w:lang w:val="en-US"/>
        </w:rPr>
      </w:pPr>
    </w:p>
    <w:p w14:paraId="3E9061B6" w14:textId="77777777" w:rsidR="00513476" w:rsidRDefault="00513476" w:rsidP="00D0334F">
      <w:pPr>
        <w:spacing w:line="360" w:lineRule="auto"/>
        <w:jc w:val="both"/>
        <w:rPr>
          <w:b/>
          <w:bCs/>
          <w:i/>
          <w:iCs/>
          <w:u w:val="single"/>
          <w:lang w:val="en-US"/>
        </w:rPr>
      </w:pPr>
    </w:p>
    <w:p w14:paraId="690244D7" w14:textId="77777777" w:rsidR="00513476" w:rsidRDefault="00513476" w:rsidP="00D0334F">
      <w:pPr>
        <w:spacing w:line="360" w:lineRule="auto"/>
        <w:jc w:val="both"/>
        <w:rPr>
          <w:b/>
          <w:bCs/>
          <w:i/>
          <w:iCs/>
          <w:u w:val="single"/>
          <w:lang w:val="en-US"/>
        </w:rPr>
      </w:pPr>
    </w:p>
    <w:p w14:paraId="1CF63CF8" w14:textId="77777777" w:rsidR="00A670D9" w:rsidRPr="00044947" w:rsidRDefault="00A670D9" w:rsidP="00D0334F">
      <w:pPr>
        <w:spacing w:line="360" w:lineRule="auto"/>
        <w:jc w:val="both"/>
        <w:rPr>
          <w:u w:val="single"/>
        </w:rPr>
      </w:pPr>
      <w:r>
        <w:rPr>
          <w:b/>
          <w:bCs/>
          <w:i/>
          <w:iCs/>
          <w:u w:val="single"/>
          <w:lang w:val="en-US"/>
        </w:rPr>
        <w:lastRenderedPageBreak/>
        <w:t>Figure</w:t>
      </w:r>
      <w:r w:rsidRPr="00044947">
        <w:rPr>
          <w:b/>
          <w:bCs/>
          <w:i/>
          <w:iCs/>
          <w:u w:val="single"/>
          <w:lang w:val="en-US"/>
        </w:rPr>
        <w:t xml:space="preserve"> 5:</w:t>
      </w:r>
      <w:r w:rsidRPr="00044947">
        <w:rPr>
          <w:u w:val="single"/>
          <w:lang w:val="en-US"/>
        </w:rPr>
        <w:t xml:space="preserve"> </w:t>
      </w:r>
      <w:r w:rsidRPr="00A670D9">
        <w:rPr>
          <w:u w:val="single"/>
          <w:lang w:val="en-US"/>
        </w:rPr>
        <w:t>How much do you think child wellbeing impacts on individual learning</w:t>
      </w:r>
    </w:p>
    <w:p w14:paraId="423CA5AF" w14:textId="2C02917D" w:rsidR="00513476" w:rsidRDefault="00513476" w:rsidP="00D0334F">
      <w:pPr>
        <w:spacing w:line="360" w:lineRule="auto"/>
        <w:jc w:val="both"/>
      </w:pPr>
    </w:p>
    <w:p w14:paraId="0A0B38CF" w14:textId="79943043" w:rsidR="00513476" w:rsidRDefault="00513476" w:rsidP="00D0334F">
      <w:pPr>
        <w:spacing w:line="360" w:lineRule="auto"/>
        <w:jc w:val="both"/>
      </w:pPr>
      <w:r>
        <w:rPr>
          <w:noProof/>
          <w:lang w:eastAsia="en-GB"/>
        </w:rPr>
        <w:drawing>
          <wp:anchor distT="0" distB="0" distL="114300" distR="114300" simplePos="0" relativeHeight="251661312" behindDoc="0" locked="0" layoutInCell="1" allowOverlap="1" wp14:anchorId="1F89FFCF" wp14:editId="0BE28B85">
            <wp:simplePos x="0" y="0"/>
            <wp:positionH relativeFrom="column">
              <wp:posOffset>54610</wp:posOffset>
            </wp:positionH>
            <wp:positionV relativeFrom="page">
              <wp:posOffset>1483995</wp:posOffset>
            </wp:positionV>
            <wp:extent cx="5480685" cy="3199765"/>
            <wp:effectExtent l="0" t="0" r="5715" b="635"/>
            <wp:wrapThrough wrapText="bothSides">
              <wp:wrapPolygon edited="0">
                <wp:start x="0" y="0"/>
                <wp:lineTo x="0" y="21433"/>
                <wp:lineTo x="21522" y="21433"/>
                <wp:lineTo x="21522" y="0"/>
                <wp:lineTo x="0" y="0"/>
              </wp:wrapPolygon>
            </wp:wrapThrough>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2BACF3A2" w14:textId="77777777" w:rsidR="00513476" w:rsidRDefault="00513476" w:rsidP="00D0334F">
      <w:pPr>
        <w:spacing w:line="360" w:lineRule="auto"/>
        <w:jc w:val="both"/>
      </w:pPr>
    </w:p>
    <w:p w14:paraId="7B28A682" w14:textId="77777777" w:rsidR="00A670D9" w:rsidRDefault="00A670D9" w:rsidP="00D0334F">
      <w:pPr>
        <w:spacing w:line="360" w:lineRule="auto"/>
        <w:jc w:val="both"/>
      </w:pPr>
      <w:r>
        <w:t xml:space="preserve">When participants’ were given the option of plotting their answer on the sliding scale, for question two, one-hundred percent of them chose ‘five’ stating that they felt child wellbeing was extremely important with ninety-six percent of participants’ choosing ‘five’ for question four, stating that they think child wellbeing impacts on individual learning. Three participants’ chose position four on the sliding scale for question four. However, whilst both these questions clearly illustrate the importance and impact of child wellbeing, supportive of the literature review, participants’ were not given the option to expand on or state their reasons for their chosen choice.  Therefore, it is hard to determine form the data why this is.  We can speculate that participants’ were mindful of its important because as we know, child wellbeing is a priority for Welsh Government through the mass of policy introductions and secondly, the </w:t>
      </w:r>
      <w:r w:rsidRPr="00CC1045">
        <w:rPr>
          <w:i/>
        </w:rPr>
        <w:t>Common Inspection Framework</w:t>
      </w:r>
      <w:r>
        <w:t>, (Estyn, 2017) inspects schools against their progress and prospects for improvement; with wellbeing, as one of their key inspection areas.  With this in mind, it is not surprising that participants’ were in almost total agreement of the importance of child wellbeing and its wider impact.</w:t>
      </w:r>
    </w:p>
    <w:p w14:paraId="6188C2AF" w14:textId="77777777" w:rsidR="00A670D9" w:rsidRDefault="00A670D9" w:rsidP="00D0334F">
      <w:pPr>
        <w:spacing w:line="360" w:lineRule="auto"/>
        <w:jc w:val="both"/>
      </w:pPr>
    </w:p>
    <w:p w14:paraId="56A19E59" w14:textId="77777777" w:rsidR="00A670D9" w:rsidRDefault="00A670D9" w:rsidP="00D0334F">
      <w:pPr>
        <w:spacing w:line="360" w:lineRule="auto"/>
        <w:jc w:val="both"/>
      </w:pPr>
    </w:p>
    <w:p w14:paraId="11448FF5" w14:textId="6E740F02" w:rsidR="00A670D9" w:rsidRPr="00987413" w:rsidRDefault="00A670D9" w:rsidP="00D0334F">
      <w:pPr>
        <w:spacing w:line="360" w:lineRule="auto"/>
        <w:jc w:val="both"/>
      </w:pPr>
      <w:r w:rsidRPr="00987413">
        <w:lastRenderedPageBreak/>
        <w:t xml:space="preserve">The next closed question looked solely at the accountability of child wellbeing, followed up by an open question where participants were asked to follow up their answer if they choose 'no'. </w:t>
      </w:r>
      <w:r w:rsidRPr="00987413">
        <w:rPr>
          <w:i/>
        </w:rPr>
        <w:t>Figure 1</w:t>
      </w:r>
      <w:r w:rsidRPr="00987413">
        <w:t xml:space="preserve"> represents </w:t>
      </w:r>
      <w:r w:rsidR="00A5637F">
        <w:t>the data collected for closed question three.</w:t>
      </w:r>
    </w:p>
    <w:p w14:paraId="0E535265" w14:textId="77777777" w:rsidR="00A670D9" w:rsidRPr="00987413" w:rsidRDefault="00A670D9" w:rsidP="00D0334F">
      <w:pPr>
        <w:spacing w:line="360" w:lineRule="auto"/>
        <w:ind w:left="14"/>
        <w:jc w:val="both"/>
      </w:pPr>
    </w:p>
    <w:p w14:paraId="2D8C9C7F" w14:textId="77777777" w:rsidR="00A670D9" w:rsidRPr="00987413" w:rsidRDefault="00A670D9" w:rsidP="00D0334F">
      <w:pPr>
        <w:spacing w:after="530" w:line="360" w:lineRule="auto"/>
        <w:ind w:left="14" w:right="4"/>
        <w:jc w:val="both"/>
        <w:rPr>
          <w:i/>
          <w:u w:val="single"/>
        </w:rPr>
      </w:pPr>
      <w:r w:rsidRPr="00987413">
        <w:rPr>
          <w:i/>
          <w:u w:val="single"/>
        </w:rPr>
        <w:t>Q3. As a practitioner, do you think that you are accountable for child wellbeing?</w:t>
      </w:r>
    </w:p>
    <w:p w14:paraId="065C89A2" w14:textId="77777777" w:rsidR="00A670D9" w:rsidRPr="00987413" w:rsidRDefault="00A670D9" w:rsidP="00D0334F">
      <w:pPr>
        <w:spacing w:after="606" w:line="360" w:lineRule="auto"/>
        <w:ind w:left="14" w:right="4"/>
        <w:jc w:val="both"/>
      </w:pPr>
      <w:r w:rsidRPr="00987413">
        <w:t>Only fifty-four percent of participants thought that they were personally accountable for child wellbeing which was a surprising result. Even though we have seen a huge rise in distributed accountability in the education system, which was discussed in the literature review, this result indicates that this is not being translated to practitioners. This does support the hypothesis of this research and the need to include explicit content on child wellbeing and accountability in my future training courses. With this said, the data is not conclusive and must be discussed in relation to the second part of the question which asked the forty-six percentage of participants who answered no to question three:</w:t>
      </w:r>
    </w:p>
    <w:p w14:paraId="2718C8FF" w14:textId="77777777" w:rsidR="00A670D9" w:rsidRPr="00987413" w:rsidRDefault="00A670D9" w:rsidP="00D0334F">
      <w:pPr>
        <w:spacing w:after="596" w:line="360" w:lineRule="auto"/>
        <w:ind w:left="29"/>
        <w:jc w:val="both"/>
        <w:rPr>
          <w:rFonts w:cstheme="minorHAnsi"/>
          <w:i/>
          <w:u w:val="single"/>
        </w:rPr>
      </w:pPr>
      <w:r w:rsidRPr="00987413">
        <w:rPr>
          <w:rFonts w:eastAsia="Times New Roman" w:cstheme="minorHAnsi"/>
          <w:i/>
          <w:u w:val="single"/>
        </w:rPr>
        <w:t>Q3b. If answered no, who do you think is accountable for child wellbeing?</w:t>
      </w:r>
    </w:p>
    <w:p w14:paraId="7CE39A80" w14:textId="77777777" w:rsidR="00A670D9" w:rsidRPr="00987413" w:rsidRDefault="00A670D9" w:rsidP="00D0334F">
      <w:pPr>
        <w:spacing w:after="617" w:line="360" w:lineRule="auto"/>
        <w:ind w:left="14" w:right="4"/>
        <w:jc w:val="both"/>
      </w:pPr>
      <w:r w:rsidRPr="00987413">
        <w:t xml:space="preserve">Out of the forty-six percent of participants who were required to expand on their answer, ninety-five percent provided an answer. Out of these answers received, sixty-six percent noted the headteacher with twenty-nine percent citing the PSE lead teacher and five percent answering that they thought that government were accountable for child wellbeing. The remaining five percent of questionnaires left question three (b) blank. It is interesting when analysing the data that all answers given are of people placed in a senior position in the school hierarchal structure. This could lead us to the possible conclusion that practitioners feel accountability lies with senior leaders in a school and for those in positions of power i.e. governments. However, as the data is anonymous, the roles of the participants completing the questionnaire cannot be determined. There is no way of identifying what percentage of the participants who thought that they were not accountable for child wellbeing were senior leaders, teachers or support staff. If we are to presume that a large percentage are support staff, it can be fully understood why they do not feel accountable and may have cited senior colleagues as accountable as they are not paid a </w:t>
      </w:r>
      <w:r w:rsidRPr="00987413">
        <w:rPr>
          <w:i/>
        </w:rPr>
        <w:t>QTS</w:t>
      </w:r>
      <w:r w:rsidRPr="00987413">
        <w:t xml:space="preserve"> (Qualified teacher Salary) and are not </w:t>
      </w:r>
      <w:r w:rsidRPr="00987413">
        <w:lastRenderedPageBreak/>
        <w:t xml:space="preserve">therefore required to adhere to the new </w:t>
      </w:r>
      <w:r w:rsidRPr="00987413">
        <w:rPr>
          <w:i/>
        </w:rPr>
        <w:t>Professional Standards for Teaching and Leadership</w:t>
      </w:r>
      <w:r w:rsidRPr="00987413">
        <w:t xml:space="preserve"> (DCELLS, 2017) as presented in the literature review. Furthermore, Estyn would not directly observe support staff as part of their school inspection, so accountability for teaching and standards; inclusive of child wellbeing within a school system would be placed on teachers and the school senior leadership team to evidence the school's system to support child wellbeing.</w:t>
      </w:r>
    </w:p>
    <w:p w14:paraId="42AB25B9" w14:textId="77777777" w:rsidR="00A670D9" w:rsidRDefault="00A670D9" w:rsidP="00D0334F">
      <w:pPr>
        <w:spacing w:line="360" w:lineRule="auto"/>
        <w:ind w:left="14" w:right="4"/>
        <w:jc w:val="both"/>
      </w:pPr>
      <w:r w:rsidRPr="00987413">
        <w:t>If we are to look accountability linked to the UNCRC, as all adults are duty bearers for protecting, upholding and realising the rights of children, accountability is placed on all practitioners despite one's hierarchal position in a school or education system. The literature review recognises how children's rights correlates directly too many of the components that contribute to the ecological wellbeing of children and are explicitly linked to Articles in the Convention.</w:t>
      </w:r>
    </w:p>
    <w:p w14:paraId="3AD3028C" w14:textId="77777777" w:rsidR="00A670D9" w:rsidRPr="00987413" w:rsidRDefault="00A670D9" w:rsidP="00D0334F">
      <w:pPr>
        <w:spacing w:line="360" w:lineRule="auto"/>
        <w:ind w:left="14" w:right="4"/>
        <w:jc w:val="both"/>
      </w:pPr>
    </w:p>
    <w:p w14:paraId="4C15949E" w14:textId="77777777" w:rsidR="00A670D9" w:rsidRPr="00987413" w:rsidRDefault="00A670D9" w:rsidP="00D0334F">
      <w:pPr>
        <w:spacing w:line="360" w:lineRule="auto"/>
        <w:ind w:left="14" w:right="4"/>
        <w:jc w:val="both"/>
      </w:pPr>
    </w:p>
    <w:p w14:paraId="72F3507B" w14:textId="77777777" w:rsidR="00A670D9" w:rsidRPr="00987413" w:rsidRDefault="00A670D9" w:rsidP="00D0334F">
      <w:pPr>
        <w:spacing w:after="562" w:line="360" w:lineRule="auto"/>
        <w:ind w:left="-10" w:right="4"/>
        <w:jc w:val="both"/>
      </w:pPr>
      <w:r w:rsidRPr="00987413">
        <w:t>As I live in a professional world where I work within the framework of the UNCRC, I was consciously aware not to assume that all practitioners had any knowledge and awareness of children's rights. Question's six and seven were aimed at determining participant's knowledge of the Convention and whether they linked it to wellbeing.</w:t>
      </w:r>
    </w:p>
    <w:p w14:paraId="7B636BC7" w14:textId="77777777" w:rsidR="00A670D9" w:rsidRPr="00987413" w:rsidRDefault="00A670D9" w:rsidP="00D0334F">
      <w:pPr>
        <w:spacing w:after="491" w:line="360" w:lineRule="auto"/>
        <w:ind w:left="9" w:hanging="10"/>
        <w:jc w:val="both"/>
        <w:rPr>
          <w:rFonts w:cstheme="minorHAnsi"/>
          <w:i/>
          <w:u w:val="single"/>
        </w:rPr>
      </w:pPr>
      <w:r w:rsidRPr="00987413">
        <w:rPr>
          <w:rFonts w:eastAsia="Times New Roman" w:cstheme="minorHAnsi"/>
          <w:i/>
          <w:u w:val="single"/>
        </w:rPr>
        <w:t>Q6. Are you guided by any framework when thinking about child wellbeing?</w:t>
      </w:r>
    </w:p>
    <w:p w14:paraId="302A9D1E" w14:textId="77777777" w:rsidR="00A670D9" w:rsidRPr="00987413" w:rsidRDefault="00A670D9" w:rsidP="00D0334F">
      <w:pPr>
        <w:spacing w:line="360" w:lineRule="auto"/>
        <w:ind w:right="4"/>
        <w:jc w:val="both"/>
      </w:pPr>
      <w:r w:rsidRPr="00987413">
        <w:t>Figure</w:t>
      </w:r>
      <w:r w:rsidRPr="00987413">
        <w:rPr>
          <w:i/>
        </w:rPr>
        <w:t xml:space="preserve"> 1</w:t>
      </w:r>
      <w:r w:rsidRPr="00987413">
        <w:t xml:space="preserve"> illustrates that when asked this question, ninety-six percent of participants stated that they were not guided by any framework whilst four percent stated that they were. If participants answered 'yes' to question six, they were asked to expand on their answer.</w:t>
      </w:r>
    </w:p>
    <w:p w14:paraId="6DDA4A0F" w14:textId="77777777" w:rsidR="00A670D9" w:rsidRDefault="00A670D9" w:rsidP="00D0334F">
      <w:pPr>
        <w:pStyle w:val="NoSpacing"/>
        <w:spacing w:line="360" w:lineRule="auto"/>
      </w:pPr>
    </w:p>
    <w:p w14:paraId="6A580A32" w14:textId="77777777" w:rsidR="00A670D9" w:rsidRDefault="00A670D9" w:rsidP="00D0334F">
      <w:pPr>
        <w:pStyle w:val="NoSpacing"/>
        <w:spacing w:line="360" w:lineRule="auto"/>
      </w:pPr>
    </w:p>
    <w:p w14:paraId="4E8C1DF8" w14:textId="77777777" w:rsidR="00A670D9" w:rsidRPr="00987413" w:rsidRDefault="00A670D9" w:rsidP="00D0334F">
      <w:pPr>
        <w:spacing w:after="578" w:line="360" w:lineRule="auto"/>
        <w:jc w:val="both"/>
        <w:rPr>
          <w:rFonts w:cstheme="minorHAnsi"/>
          <w:i/>
          <w:u w:val="single"/>
        </w:rPr>
      </w:pPr>
      <w:r w:rsidRPr="00987413">
        <w:rPr>
          <w:rFonts w:eastAsia="Times New Roman" w:cstheme="minorHAnsi"/>
          <w:i/>
          <w:u w:val="single"/>
        </w:rPr>
        <w:t>6b. if yes, please state what framework:</w:t>
      </w:r>
    </w:p>
    <w:p w14:paraId="70668BF5" w14:textId="77777777" w:rsidR="00A670D9" w:rsidRDefault="00A670D9" w:rsidP="00D0334F">
      <w:pPr>
        <w:spacing w:line="360" w:lineRule="auto"/>
        <w:ind w:left="-10" w:right="4"/>
        <w:jc w:val="both"/>
      </w:pPr>
      <w:r w:rsidRPr="00987413">
        <w:t xml:space="preserve">All participants who were invited to complete this question (four percent), provided the same answer, citing Estyn as the framework they were guided by when thinking about child </w:t>
      </w:r>
      <w:r w:rsidRPr="00987413">
        <w:lastRenderedPageBreak/>
        <w:t>wellbeing. This was unsurprising given the status of Estyn and its significance to the education system in Wales. This supports the literature review which strongly suggests that because of accountability, schools conform to the key questions as set out in Estyn's Common Inspection Framework (2017) of which child wellbeing is one. No participant recognised that the UNCRC could be a framework to support child wellbeing, but to establish participants' awareness of the Convention, question seven directly relates to this.</w:t>
      </w:r>
    </w:p>
    <w:p w14:paraId="04234707" w14:textId="77777777" w:rsidR="00A670D9" w:rsidRPr="00987413" w:rsidRDefault="00A670D9" w:rsidP="00055450">
      <w:pPr>
        <w:spacing w:line="360" w:lineRule="auto"/>
        <w:ind w:right="4"/>
        <w:jc w:val="both"/>
      </w:pPr>
    </w:p>
    <w:p w14:paraId="58688180" w14:textId="77777777" w:rsidR="00A670D9" w:rsidRPr="00987413" w:rsidRDefault="00A670D9" w:rsidP="00D0334F">
      <w:pPr>
        <w:spacing w:after="491" w:line="360" w:lineRule="auto"/>
        <w:ind w:left="9" w:hanging="10"/>
        <w:jc w:val="both"/>
        <w:rPr>
          <w:rFonts w:cstheme="minorHAnsi"/>
          <w:i/>
          <w:u w:val="single"/>
        </w:rPr>
      </w:pPr>
      <w:r w:rsidRPr="00987413">
        <w:rPr>
          <w:rFonts w:eastAsia="Times New Roman" w:cstheme="minorHAnsi"/>
          <w:i/>
          <w:u w:val="single"/>
        </w:rPr>
        <w:t>Q7. Have you ever heard of the UNCIRC (United Nations Convention on the Rights of the Child)?</w:t>
      </w:r>
    </w:p>
    <w:p w14:paraId="3C3D00EA" w14:textId="77777777" w:rsidR="00A670D9" w:rsidRPr="00987413" w:rsidRDefault="00A670D9" w:rsidP="00D0334F">
      <w:pPr>
        <w:spacing w:after="19" w:line="360" w:lineRule="auto"/>
        <w:ind w:right="4"/>
        <w:jc w:val="both"/>
      </w:pPr>
      <w:r w:rsidRPr="00987413">
        <w:t>As a closed question, figure</w:t>
      </w:r>
      <w:r w:rsidRPr="00987413">
        <w:rPr>
          <w:i/>
        </w:rPr>
        <w:t xml:space="preserve"> 1</w:t>
      </w:r>
      <w:r w:rsidRPr="00987413">
        <w:t xml:space="preserve"> illustrates that seventy-nine percent of participants had heard of the UNCRC.  Even though the UNCRC is littered throughout policy documents and is on the forefront of Welsh Government, namely through the Rights of Children and Young Persons (Wales) Measure (2011), my experience of working with schools in my professional capacity, suggests that awareness of the Convention is much lower on average than that identified by this purposive sample. The results from this question can however be somewhat contradicted by the third method of data collected through the summary sheet from the adult questionnaires submitted to Unicef by the school.</w:t>
      </w:r>
    </w:p>
    <w:p w14:paraId="0B58DCB0" w14:textId="77777777" w:rsidR="00A670D9" w:rsidRPr="00987413" w:rsidRDefault="00A670D9" w:rsidP="00D0334F">
      <w:pPr>
        <w:spacing w:after="19" w:line="360" w:lineRule="auto"/>
        <w:ind w:left="-10" w:right="4"/>
        <w:jc w:val="both"/>
      </w:pPr>
    </w:p>
    <w:p w14:paraId="6B1710F2" w14:textId="77777777" w:rsidR="00A670D9" w:rsidRPr="00987413" w:rsidRDefault="00A670D9" w:rsidP="00D0334F">
      <w:pPr>
        <w:spacing w:after="19" w:line="360" w:lineRule="auto"/>
        <w:ind w:left="-10" w:right="4" w:firstLine="4"/>
        <w:jc w:val="both"/>
      </w:pPr>
    </w:p>
    <w:p w14:paraId="6EF1F8EA" w14:textId="01BB03FA" w:rsidR="00A670D9" w:rsidRPr="00A00582" w:rsidRDefault="00A670D9" w:rsidP="00D0334F">
      <w:pPr>
        <w:pStyle w:val="NoSpacing"/>
        <w:spacing w:line="360" w:lineRule="auto"/>
        <w:rPr>
          <w:sz w:val="24"/>
          <w:szCs w:val="24"/>
        </w:rPr>
      </w:pPr>
      <w:r w:rsidRPr="00A00582">
        <w:rPr>
          <w:sz w:val="24"/>
          <w:szCs w:val="24"/>
        </w:rPr>
        <w:t xml:space="preserve">This </w:t>
      </w:r>
      <w:r w:rsidR="006376FB">
        <w:rPr>
          <w:sz w:val="24"/>
          <w:szCs w:val="24"/>
        </w:rPr>
        <w:t xml:space="preserve">summary sheet from the </w:t>
      </w:r>
      <w:r w:rsidRPr="00A00582">
        <w:rPr>
          <w:sz w:val="24"/>
          <w:szCs w:val="24"/>
        </w:rPr>
        <w:t xml:space="preserve">baseline questionnaire </w:t>
      </w:r>
      <w:r w:rsidRPr="00A00582">
        <w:rPr>
          <w:i/>
          <w:sz w:val="24"/>
          <w:szCs w:val="24"/>
        </w:rPr>
        <w:t>(</w:t>
      </w:r>
      <w:r w:rsidR="006376FB">
        <w:rPr>
          <w:i/>
          <w:sz w:val="24"/>
          <w:szCs w:val="24"/>
        </w:rPr>
        <w:t>sample available as Appendix 7.2</w:t>
      </w:r>
      <w:r w:rsidRPr="00A00582">
        <w:rPr>
          <w:i/>
          <w:sz w:val="24"/>
          <w:szCs w:val="24"/>
        </w:rPr>
        <w:t>)</w:t>
      </w:r>
      <w:r w:rsidRPr="00A00582">
        <w:rPr>
          <w:sz w:val="24"/>
          <w:szCs w:val="24"/>
        </w:rPr>
        <w:t xml:space="preserve"> collects baseline data from a sample of adults and children in a school as they engage with Unicef' RRS programme. After the data collection for this study, five weeks later, the school submitted their questionnaire summary sheet to me as part of their requirement for working towards RRS Bronze status. The questionnaire helps a school to identify their baseline position and once completed at different stages of their journey, will help them to measure the impact of RRS and evaluate their progress. Additionally, it can serve as a useful tool for a school to set actions as part of their RRS journey based on an analysis of their questionnaire results.</w:t>
      </w:r>
    </w:p>
    <w:p w14:paraId="53E72384" w14:textId="77777777" w:rsidR="00A670D9" w:rsidRPr="00A00582" w:rsidRDefault="00A670D9" w:rsidP="00D0334F">
      <w:pPr>
        <w:pStyle w:val="NoSpacing"/>
        <w:spacing w:line="360" w:lineRule="auto"/>
        <w:rPr>
          <w:sz w:val="24"/>
          <w:szCs w:val="24"/>
        </w:rPr>
      </w:pPr>
    </w:p>
    <w:p w14:paraId="654A5831" w14:textId="77777777" w:rsidR="00A670D9" w:rsidRPr="00A00582" w:rsidRDefault="00A670D9" w:rsidP="00D0334F">
      <w:pPr>
        <w:pStyle w:val="NoSpacing"/>
        <w:spacing w:line="360" w:lineRule="auto"/>
        <w:rPr>
          <w:sz w:val="24"/>
          <w:szCs w:val="24"/>
        </w:rPr>
      </w:pPr>
    </w:p>
    <w:p w14:paraId="70263673" w14:textId="77777777" w:rsidR="00A670D9" w:rsidRDefault="00A670D9" w:rsidP="00D0334F">
      <w:pPr>
        <w:pStyle w:val="NoSpacing"/>
        <w:spacing w:line="360" w:lineRule="auto"/>
        <w:rPr>
          <w:sz w:val="24"/>
          <w:szCs w:val="24"/>
        </w:rPr>
      </w:pPr>
      <w:r w:rsidRPr="00A00582">
        <w:rPr>
          <w:sz w:val="24"/>
          <w:szCs w:val="24"/>
        </w:rPr>
        <w:lastRenderedPageBreak/>
        <w:t xml:space="preserve">The school identified that out of the fifty-six adults who completed the RRS questionnaire, ninety-eight percent of them did not feel confident to talk to children about their rights </w:t>
      </w:r>
      <w:r w:rsidRPr="00A00582">
        <w:rPr>
          <w:i/>
          <w:sz w:val="24"/>
          <w:szCs w:val="24"/>
        </w:rPr>
        <w:t>(summary sheet; question three)</w:t>
      </w:r>
      <w:r w:rsidRPr="00A00582">
        <w:rPr>
          <w:sz w:val="24"/>
          <w:szCs w:val="24"/>
        </w:rPr>
        <w:t>. Even though the numbers do not directly correlate, namely as more adults completed the RRS questionnaire than took part in this research, almost all adults stated that they were not confident on the Convention. Whilst the school RRS questionnaire seems to be a contradiction to this research results as a higher percentage of participants stated that they knew about the UNCRC, it must be acknowledged that there is a difference between an awareness and an understanding which neither of these data collection methods can determine.</w:t>
      </w:r>
    </w:p>
    <w:p w14:paraId="7EEE0E04" w14:textId="77777777" w:rsidR="00A670D9" w:rsidRPr="00A00582" w:rsidRDefault="00A670D9" w:rsidP="00D0334F">
      <w:pPr>
        <w:pStyle w:val="NoSpacing"/>
        <w:spacing w:line="360" w:lineRule="auto"/>
        <w:rPr>
          <w:sz w:val="24"/>
          <w:szCs w:val="24"/>
        </w:rPr>
      </w:pPr>
    </w:p>
    <w:p w14:paraId="0D9C9E5A" w14:textId="77777777" w:rsidR="00A670D9" w:rsidRPr="00A00582" w:rsidRDefault="00A670D9" w:rsidP="00D0334F">
      <w:pPr>
        <w:spacing w:after="609" w:line="360" w:lineRule="auto"/>
        <w:ind w:left="14" w:right="9"/>
        <w:jc w:val="both"/>
      </w:pPr>
      <w:r w:rsidRPr="00A00582">
        <w:t>If participants answered yes to question seven, they were asked to complete part 'b' which asked their thoughts of the UNCRC linked to wellbeing.</w:t>
      </w:r>
    </w:p>
    <w:p w14:paraId="4C738F94" w14:textId="77777777" w:rsidR="00A670D9" w:rsidRPr="00987413" w:rsidRDefault="00A670D9" w:rsidP="00D0334F">
      <w:pPr>
        <w:spacing w:after="499" w:line="360" w:lineRule="auto"/>
        <w:ind w:left="14" w:right="9"/>
        <w:jc w:val="both"/>
        <w:rPr>
          <w:i/>
          <w:u w:val="single"/>
        </w:rPr>
      </w:pPr>
      <w:r w:rsidRPr="00987413">
        <w:rPr>
          <w:i/>
          <w:u w:val="single"/>
        </w:rPr>
        <w:t>Q7b. If yes, do you think the UNCIRC has any relevance to child wellbeing and if so, why?</w:t>
      </w:r>
    </w:p>
    <w:p w14:paraId="0857F30A" w14:textId="77777777" w:rsidR="00A670D9" w:rsidRPr="00987413" w:rsidRDefault="00A670D9" w:rsidP="00D0334F">
      <w:pPr>
        <w:spacing w:after="592" w:line="360" w:lineRule="auto"/>
        <w:ind w:left="14" w:right="9"/>
        <w:jc w:val="both"/>
      </w:pPr>
      <w:r w:rsidRPr="00987413">
        <w:t>Seventy-nine percent of participants were invited to complete this question.  Out of that, seventy-four percent left the response blank with twenty-six percent of participants giving an answer. However, most of the responses reiterated that they did think the Convention was important and linked to wellbeing, but failed to give a reason or expand on as to why. The three of the responses with a substantive response were:</w:t>
      </w:r>
    </w:p>
    <w:p w14:paraId="31138B0B" w14:textId="77777777" w:rsidR="00A670D9" w:rsidRPr="00987413" w:rsidRDefault="00A670D9" w:rsidP="0090427F">
      <w:pPr>
        <w:spacing w:after="132"/>
        <w:ind w:left="720"/>
        <w:jc w:val="both"/>
      </w:pPr>
      <w:r w:rsidRPr="00987413">
        <w:t>'Rights help children to feel safe'.</w:t>
      </w:r>
    </w:p>
    <w:p w14:paraId="55C9F89D" w14:textId="77777777" w:rsidR="00A670D9" w:rsidRPr="00987413" w:rsidRDefault="00A670D9" w:rsidP="0090427F">
      <w:pPr>
        <w:spacing w:after="141"/>
        <w:ind w:left="720" w:right="9"/>
        <w:jc w:val="both"/>
      </w:pPr>
      <w:r w:rsidRPr="00987413">
        <w:t>'The UNCRC is for all children'.</w:t>
      </w:r>
    </w:p>
    <w:p w14:paraId="40539426" w14:textId="77777777" w:rsidR="00A670D9" w:rsidRPr="00987413" w:rsidRDefault="00A670D9" w:rsidP="0090427F">
      <w:pPr>
        <w:spacing w:after="603"/>
        <w:ind w:left="720" w:right="9"/>
        <w:jc w:val="both"/>
      </w:pPr>
      <w:r w:rsidRPr="00987413">
        <w:t>'We should help children to be safe and know their rights'.</w:t>
      </w:r>
    </w:p>
    <w:p w14:paraId="61674BF8" w14:textId="77777777" w:rsidR="00A670D9" w:rsidRPr="003A4F2B" w:rsidRDefault="00A670D9" w:rsidP="00D0334F">
      <w:pPr>
        <w:pStyle w:val="NoSpacing"/>
        <w:spacing w:line="360" w:lineRule="auto"/>
        <w:rPr>
          <w:sz w:val="24"/>
          <w:szCs w:val="24"/>
        </w:rPr>
      </w:pPr>
      <w:r w:rsidRPr="003A4F2B">
        <w:rPr>
          <w:sz w:val="24"/>
          <w:szCs w:val="24"/>
        </w:rPr>
        <w:t>Looking at these responses, they explicitly link to Article 2 and Article 19 of the Convention and can be linked to the components of the ecological definition of child wellbeing offered by Unicef (2007) in the literature review.</w:t>
      </w:r>
    </w:p>
    <w:p w14:paraId="52DA64F3" w14:textId="77777777" w:rsidR="00A670D9" w:rsidRPr="003A4F2B" w:rsidRDefault="00A670D9" w:rsidP="00D0334F">
      <w:pPr>
        <w:pStyle w:val="NoSpacing"/>
        <w:spacing w:line="360" w:lineRule="auto"/>
        <w:rPr>
          <w:sz w:val="24"/>
          <w:szCs w:val="24"/>
        </w:rPr>
      </w:pPr>
    </w:p>
    <w:p w14:paraId="1F5FA1C9" w14:textId="77777777" w:rsidR="00A670D9" w:rsidRPr="003A4F2B" w:rsidRDefault="00A670D9" w:rsidP="00D0334F">
      <w:pPr>
        <w:pStyle w:val="NoSpacing"/>
        <w:spacing w:line="360" w:lineRule="auto"/>
        <w:rPr>
          <w:sz w:val="24"/>
          <w:szCs w:val="24"/>
        </w:rPr>
      </w:pPr>
    </w:p>
    <w:p w14:paraId="32CE57E3" w14:textId="77777777" w:rsidR="00A670D9" w:rsidRDefault="00A670D9" w:rsidP="00D0334F">
      <w:pPr>
        <w:pStyle w:val="NoSpacing"/>
        <w:spacing w:line="360" w:lineRule="auto"/>
        <w:rPr>
          <w:sz w:val="24"/>
          <w:szCs w:val="24"/>
        </w:rPr>
      </w:pPr>
      <w:r w:rsidRPr="003A4F2B">
        <w:rPr>
          <w:sz w:val="24"/>
          <w:szCs w:val="24"/>
        </w:rPr>
        <w:lastRenderedPageBreak/>
        <w:t>The final question allowed participants to express any additional thoughts or comments for the researcher. Out of a possible forty-eight responses, four comments were left:</w:t>
      </w:r>
    </w:p>
    <w:p w14:paraId="310E7E53" w14:textId="77777777" w:rsidR="00A670D9" w:rsidRPr="003A4F2B" w:rsidRDefault="00A670D9" w:rsidP="00D0334F">
      <w:pPr>
        <w:pStyle w:val="NoSpacing"/>
        <w:spacing w:line="360" w:lineRule="auto"/>
        <w:rPr>
          <w:sz w:val="24"/>
          <w:szCs w:val="24"/>
        </w:rPr>
      </w:pPr>
    </w:p>
    <w:p w14:paraId="14110E59" w14:textId="77777777" w:rsidR="00A670D9" w:rsidRPr="003A4F2B" w:rsidRDefault="00A670D9" w:rsidP="0090427F">
      <w:pPr>
        <w:ind w:left="720" w:right="720"/>
        <w:jc w:val="both"/>
      </w:pPr>
      <w:r w:rsidRPr="003A4F2B">
        <w:t>'A thought-provoking questionnaire, thanks'.</w:t>
      </w:r>
    </w:p>
    <w:p w14:paraId="6D6017CA" w14:textId="77777777" w:rsidR="00A670D9" w:rsidRPr="003A4F2B" w:rsidRDefault="00A670D9" w:rsidP="0090427F">
      <w:pPr>
        <w:ind w:left="720" w:right="720"/>
        <w:jc w:val="both"/>
      </w:pPr>
    </w:p>
    <w:p w14:paraId="1A7D87B6" w14:textId="77777777" w:rsidR="00A670D9" w:rsidRPr="00987413" w:rsidRDefault="00A670D9" w:rsidP="0090427F">
      <w:pPr>
        <w:spacing w:after="138"/>
        <w:ind w:left="720" w:right="720"/>
        <w:jc w:val="both"/>
      </w:pPr>
      <w:r w:rsidRPr="00987413">
        <w:t>'Made me think about wellbeing, not sure if I would have even considered it, we just don't get time to stop and think about it'.</w:t>
      </w:r>
    </w:p>
    <w:p w14:paraId="5CCC172C" w14:textId="77777777" w:rsidR="00A670D9" w:rsidRPr="00987413" w:rsidRDefault="00A670D9" w:rsidP="0090427F">
      <w:pPr>
        <w:ind w:left="720" w:right="720"/>
        <w:jc w:val="both"/>
      </w:pPr>
      <w:r w:rsidRPr="00987413">
        <w:t>'Thank you — very friendly researcher'.</w:t>
      </w:r>
    </w:p>
    <w:p w14:paraId="1CA1ECD2" w14:textId="77777777" w:rsidR="00A670D9" w:rsidRPr="00987413" w:rsidRDefault="00A670D9" w:rsidP="0090427F">
      <w:pPr>
        <w:ind w:left="720" w:right="720"/>
        <w:jc w:val="both"/>
      </w:pPr>
    </w:p>
    <w:p w14:paraId="0B06F51B" w14:textId="77777777" w:rsidR="00A670D9" w:rsidRPr="00987413" w:rsidRDefault="00A670D9" w:rsidP="0090427F">
      <w:pPr>
        <w:ind w:left="720" w:right="720"/>
        <w:jc w:val="both"/>
      </w:pPr>
      <w:r w:rsidRPr="00987413">
        <w:t>'l think wellbeing is the most important thing for children, but parents also have a responsibility.</w:t>
      </w:r>
    </w:p>
    <w:p w14:paraId="24F5C4DB" w14:textId="77777777" w:rsidR="00A670D9" w:rsidRPr="00987413" w:rsidRDefault="00A670D9" w:rsidP="00D0334F">
      <w:pPr>
        <w:spacing w:after="160" w:line="360" w:lineRule="auto"/>
        <w:jc w:val="both"/>
      </w:pPr>
    </w:p>
    <w:p w14:paraId="038DDA4E" w14:textId="77777777" w:rsidR="00A670D9" w:rsidRDefault="00A670D9" w:rsidP="00D0334F">
      <w:pPr>
        <w:spacing w:line="360" w:lineRule="auto"/>
        <w:ind w:left="-5" w:right="9"/>
        <w:jc w:val="both"/>
      </w:pPr>
      <w:r w:rsidRPr="00987413">
        <w:t>The research questionnaire enabled me to gather quantitative and qualitative data in a way that was effective to the aim of the research and went some way in supporting the need for a change in the content of my future training in Wales. However, there were constraints in the outcome of this data method and weaknesses that questionnaires in general pose, as outlined at the start of this chapter. The results left me pondering over some of the questions and feeling frustrated that I had no opportunity to disaggregate the data or further explore some of the questions. Examples of this include differentiating between participant’s awareness and understanding of the UNCRC, establishing if there was a consistent definition being referred to when participants thought about child wellbeing and further exploring personal accountability and its possible link to the job role and hierarchal structure of the school and education system.</w:t>
      </w:r>
    </w:p>
    <w:p w14:paraId="73FCA685" w14:textId="77777777" w:rsidR="00A670D9" w:rsidRDefault="00A670D9" w:rsidP="00D0334F">
      <w:pPr>
        <w:spacing w:line="360" w:lineRule="auto"/>
        <w:ind w:left="-5" w:right="9"/>
        <w:jc w:val="both"/>
      </w:pPr>
    </w:p>
    <w:p w14:paraId="3E8D2165" w14:textId="77777777" w:rsidR="00A670D9" w:rsidRPr="00987413" w:rsidRDefault="00A670D9" w:rsidP="00D0334F">
      <w:pPr>
        <w:spacing w:line="360" w:lineRule="auto"/>
        <w:ind w:left="-5" w:right="9"/>
        <w:jc w:val="both"/>
      </w:pPr>
    </w:p>
    <w:p w14:paraId="4746FAE1" w14:textId="77777777" w:rsidR="00A670D9" w:rsidRPr="00987413" w:rsidRDefault="00A670D9" w:rsidP="00D0334F">
      <w:pPr>
        <w:spacing w:line="360" w:lineRule="auto"/>
        <w:ind w:left="-5" w:right="9"/>
        <w:jc w:val="both"/>
      </w:pPr>
      <w:r w:rsidRPr="00987413">
        <w:t xml:space="preserve">A major advantage of the semi-structured interview is its adaptability. I used the semi-structured interview with the PSE lead teacher as an opportunity to investigate some of my frustrations which supports the work of Bell (2002) "a skilful interviewer can follow up ideas, probe responses and investigate motives and feelings, which the questionnaire can 'never do" (2002, p. 135). As the questionnaires had to be taken on face value, the one-and-a-half-hour interview, allowed me to explore and to some-what clarify some the responses. Of course, there are problems that must be considered with interviews with some already noted in the research design. The biggest problem that I wanted to avoid was bias. As a researcher, I need to be consciously aware of the fact that bias can creep into any research, rather than </w:t>
      </w:r>
      <w:r w:rsidRPr="00987413">
        <w:lastRenderedPageBreak/>
        <w:t xml:space="preserve">to try to eliminate it altogether.  Largely because, as Selltiz et. al (1962) forewarns </w:t>
      </w:r>
      <w:r w:rsidRPr="00987413">
        <w:rPr>
          <w:i/>
        </w:rPr>
        <w:t xml:space="preserve">"interviewers are human beings and not machines and their manner may influence the interviewee” </w:t>
      </w:r>
      <w:r w:rsidRPr="00987413">
        <w:t>(1962, p. 583). As this research was conducted by one researcher, bias may go unnoticed which is why I was aware of the problem and had heightened self-control to conduct the interview as objectively as possible. As I hold strong views and have professional knowledge on the research topic, I had to follow the wording of the questionnaire in a conscious attempt not impose my frustrations, thoughts and feelings onto the interviewee. During the interview, I remained impartial when conversation digressed slightly which can be expected as part of 'encounter' interview (Cohen et al., 2011).  Before I conducted the interview, I became consciously aware of the potential risk that the interviewee could be bias and possibly defensive of the questionnaire results to try and provide answers that were deemed correct. This is consistent with the risks that Borg (1981) identifies:</w:t>
      </w:r>
    </w:p>
    <w:p w14:paraId="091365C1" w14:textId="77777777" w:rsidR="00A670D9" w:rsidRPr="00987413" w:rsidRDefault="00A670D9" w:rsidP="00D0334F">
      <w:pPr>
        <w:spacing w:after="213" w:line="360" w:lineRule="auto"/>
        <w:ind w:left="283" w:right="283"/>
        <w:jc w:val="both"/>
      </w:pPr>
    </w:p>
    <w:p w14:paraId="483352B0" w14:textId="77777777" w:rsidR="00A670D9" w:rsidRPr="00987413" w:rsidRDefault="00A670D9" w:rsidP="0090427F">
      <w:pPr>
        <w:spacing w:after="213"/>
        <w:ind w:left="720" w:right="720"/>
        <w:jc w:val="both"/>
      </w:pPr>
      <w:r w:rsidRPr="00987413">
        <w:t>Eagerness of the respondent to please the interviewer, a vague antagonism that sometimes arises between interviewer and respondent, or the tendency of the interviewer to seek out the answers that support his preconceived notions are but few of the factors that may contribute to biasing of data obtained from the interview. These factors are called response effect by survey researchers.</w:t>
      </w:r>
    </w:p>
    <w:p w14:paraId="73F7FEE7" w14:textId="77777777" w:rsidR="00A670D9" w:rsidRPr="00987413" w:rsidRDefault="00A670D9" w:rsidP="0090427F">
      <w:pPr>
        <w:spacing w:after="426"/>
        <w:ind w:right="10"/>
        <w:jc w:val="right"/>
      </w:pPr>
      <w:r w:rsidRPr="00987413">
        <w:t>(Borg, 1981, p. 87)</w:t>
      </w:r>
    </w:p>
    <w:p w14:paraId="0BFAE360" w14:textId="7F13F3B9" w:rsidR="00A670D9" w:rsidRPr="00987413" w:rsidRDefault="00A670D9" w:rsidP="00D0334F">
      <w:pPr>
        <w:spacing w:line="360" w:lineRule="auto"/>
        <w:ind w:left="-5" w:right="9"/>
        <w:jc w:val="both"/>
      </w:pPr>
      <w:r w:rsidRPr="00987413">
        <w:t xml:space="preserve">After some initial pleasantries, I re-iterated the purpose of the research, stating the interviewee's right to withdraw and issues around confidentiality and anonymity. The interviewee was told that the interview would be used in conjunction with the other data collection methods to help synthesize and interpret the findings. The interviewee was told that they were not being judged or tested on the answers provided and they would face no receive no benefit or prejudice if they chose to take part. The interview flowed well for the duration and promptly ended after the allocated hour-and-a half session. This allowed the interviewee to have lunch onsite before returning to teaching commitments. The date, time and location were chosen by the interviewee to ensure comfort and ease. The discussion largely remained on topic and the questionnaire was discussed in sequential order. From the interview with the PSE teacher much of the evidence extracted aligns with what has already been discussed in this chapter. When focusing on the frustrations I felt following the </w:t>
      </w:r>
      <w:r w:rsidRPr="00987413">
        <w:lastRenderedPageBreak/>
        <w:t>questionnaire, a summary of the additional points that the PSE lead t</w:t>
      </w:r>
      <w:r w:rsidR="0090427F">
        <w:t>eacher noted are outlined below in key themes.</w:t>
      </w:r>
    </w:p>
    <w:p w14:paraId="32F18C4E" w14:textId="77777777" w:rsidR="00A670D9" w:rsidRPr="00987413" w:rsidRDefault="00A670D9" w:rsidP="00D0334F">
      <w:pPr>
        <w:pStyle w:val="NoSpacing"/>
        <w:spacing w:line="360" w:lineRule="auto"/>
        <w:rPr>
          <w:rFonts w:asciiTheme="minorHAnsi" w:hAnsiTheme="minorHAnsi"/>
          <w:sz w:val="24"/>
          <w:szCs w:val="24"/>
        </w:rPr>
      </w:pPr>
    </w:p>
    <w:p w14:paraId="77A0492D" w14:textId="77777777" w:rsidR="00A670D9" w:rsidRPr="00987413" w:rsidRDefault="00A670D9" w:rsidP="00D0334F">
      <w:pPr>
        <w:pStyle w:val="NoSpacing"/>
        <w:spacing w:line="360" w:lineRule="auto"/>
        <w:rPr>
          <w:rFonts w:asciiTheme="minorHAnsi" w:hAnsiTheme="minorHAnsi"/>
          <w:sz w:val="24"/>
          <w:szCs w:val="24"/>
        </w:rPr>
      </w:pPr>
    </w:p>
    <w:p w14:paraId="5B243011" w14:textId="77777777" w:rsidR="00A670D9" w:rsidRPr="00987413" w:rsidRDefault="00A670D9" w:rsidP="00D0334F">
      <w:pPr>
        <w:spacing w:after="488" w:line="360" w:lineRule="auto"/>
        <w:ind w:left="9" w:hanging="10"/>
        <w:jc w:val="both"/>
        <w:rPr>
          <w:rFonts w:cstheme="minorHAnsi"/>
          <w:i/>
          <w:u w:val="single"/>
        </w:rPr>
      </w:pPr>
      <w:r w:rsidRPr="00987413">
        <w:rPr>
          <w:rFonts w:eastAsia="Times New Roman" w:cstheme="minorHAnsi"/>
          <w:i/>
          <w:u w:val="single"/>
        </w:rPr>
        <w:t>Definition of child wellbeing</w:t>
      </w:r>
    </w:p>
    <w:p w14:paraId="1654EB99" w14:textId="77777777" w:rsidR="00A670D9" w:rsidRPr="00987413" w:rsidRDefault="00A670D9" w:rsidP="00D0334F">
      <w:pPr>
        <w:spacing w:after="630" w:line="360" w:lineRule="auto"/>
        <w:ind w:left="9" w:right="4"/>
        <w:jc w:val="both"/>
      </w:pPr>
      <w:r w:rsidRPr="00987413">
        <w:t xml:space="preserve">The interviewee confirmed that the school has not published a universally agreed definition for child wellbeing amongst staff.  However, teaching staff would be more aware of Estyn's; </w:t>
      </w:r>
      <w:r w:rsidRPr="00987413">
        <w:rPr>
          <w:i/>
        </w:rPr>
        <w:t>Common Inspection Framework</w:t>
      </w:r>
      <w:r w:rsidRPr="00987413">
        <w:t xml:space="preserve"> (Estyn, 2017) and conform to the expected requirements.  The interviewee also highlighted that teaching staff would be more aware of the school development plan and self-evaluation process. The interviewee confirmed that wellbeing is noted as a whole-school priority in the school development plan and that staff are grouped in cross-phase teams to look at one area of the school development plan and work together to set actions and monitor its progress. The school has engaged with Unicef's RRS programme as an action under the wellbeing priority area and it is hoped that a rights-based approach will bring about a consistent approach to supporting children and their wellbeing. Teaching staff have designated time through compulsory staff twilight sessions to work on this and therefore have heightened awareness of the importance of wellbeing and its impact on learning. This was supported by the questionnaires.</w:t>
      </w:r>
    </w:p>
    <w:p w14:paraId="52DF03E1" w14:textId="77777777" w:rsidR="00A670D9" w:rsidRPr="00987413" w:rsidRDefault="00A670D9" w:rsidP="00D0334F">
      <w:pPr>
        <w:spacing w:after="488" w:line="360" w:lineRule="auto"/>
        <w:ind w:left="9" w:hanging="10"/>
        <w:jc w:val="both"/>
        <w:rPr>
          <w:rFonts w:cstheme="minorHAnsi"/>
          <w:i/>
          <w:u w:val="single"/>
        </w:rPr>
      </w:pPr>
      <w:r w:rsidRPr="00987413">
        <w:rPr>
          <w:rFonts w:eastAsia="Times New Roman" w:cstheme="minorHAnsi"/>
          <w:i/>
          <w:u w:val="single"/>
        </w:rPr>
        <w:t>Accountability</w:t>
      </w:r>
    </w:p>
    <w:p w14:paraId="50A4AA86" w14:textId="77777777" w:rsidR="00A670D9" w:rsidRPr="00987413" w:rsidRDefault="00A670D9" w:rsidP="00D0334F">
      <w:pPr>
        <w:spacing w:line="360" w:lineRule="auto"/>
        <w:ind w:left="9" w:right="4"/>
        <w:jc w:val="both"/>
      </w:pPr>
      <w:r w:rsidRPr="00987413">
        <w:t xml:space="preserve">As noted earlier in the findings, there is no way to disaggregate the role of the participants against who did not feel personally accountable for child wellbeing. There are a high percentage of support staff in the school who are not required to conform to the </w:t>
      </w:r>
      <w:r w:rsidRPr="00987413">
        <w:rPr>
          <w:i/>
        </w:rPr>
        <w:t>Professional Standards for Teaching and Leadership</w:t>
      </w:r>
      <w:r w:rsidRPr="00987413">
        <w:t xml:space="preserve"> (DCELLS, 2017) and are there primarily to support the teacher. The interviewee felt that many of the respondents were support staff who would undoubtedly not feel accountable for the systems and practices that are adopted within school. As wellbeing is a whole-school priority, respondents may have taken a literal approach to answering the question and feel accountability lies with the member of staff with a </w:t>
      </w:r>
      <w:r w:rsidRPr="00987413">
        <w:rPr>
          <w:i/>
        </w:rPr>
        <w:t>TLR</w:t>
      </w:r>
      <w:r w:rsidRPr="00987413">
        <w:t xml:space="preserve"> (Teaching and Learning Responsibility) for the priority area i.e. PSE lead teacher for wellbeing. </w:t>
      </w:r>
      <w:r w:rsidRPr="00987413">
        <w:lastRenderedPageBreak/>
        <w:t>Due to the ever-growing accountability systems being placed on school through Estyn inspections, local authority monitoring and regional consortia, participants may also ultimately direct accountability to the senior leadership team. This was supported to some extent by the limited number of participants who answered question three (b).</w:t>
      </w:r>
    </w:p>
    <w:p w14:paraId="1524EE3D" w14:textId="77777777" w:rsidR="00A670D9" w:rsidRPr="00987413" w:rsidRDefault="00A670D9" w:rsidP="00D0334F">
      <w:pPr>
        <w:pStyle w:val="NoSpacing"/>
        <w:spacing w:line="360" w:lineRule="auto"/>
        <w:rPr>
          <w:rFonts w:asciiTheme="minorHAnsi" w:hAnsiTheme="minorHAnsi"/>
          <w:sz w:val="24"/>
          <w:szCs w:val="24"/>
        </w:rPr>
      </w:pPr>
    </w:p>
    <w:p w14:paraId="44D44BC3" w14:textId="77777777" w:rsidR="00A670D9" w:rsidRPr="00987413" w:rsidRDefault="00A670D9" w:rsidP="00D0334F">
      <w:pPr>
        <w:pStyle w:val="Heading1"/>
        <w:spacing w:line="360" w:lineRule="auto"/>
        <w:jc w:val="both"/>
        <w:rPr>
          <w:rFonts w:asciiTheme="minorHAnsi" w:hAnsiTheme="minorHAnsi" w:cstheme="minorHAnsi"/>
          <w:i/>
          <w:sz w:val="24"/>
          <w:szCs w:val="24"/>
          <w:u w:val="single"/>
        </w:rPr>
      </w:pPr>
      <w:r w:rsidRPr="00987413">
        <w:rPr>
          <w:rFonts w:asciiTheme="minorHAnsi" w:hAnsiTheme="minorHAnsi" w:cstheme="minorHAnsi"/>
          <w:i/>
          <w:sz w:val="24"/>
          <w:szCs w:val="24"/>
          <w:u w:val="single"/>
        </w:rPr>
        <w:t>UNCRC</w:t>
      </w:r>
    </w:p>
    <w:p w14:paraId="1F6B5B1F" w14:textId="77777777" w:rsidR="00A670D9" w:rsidRDefault="00A670D9" w:rsidP="0090427F">
      <w:pPr>
        <w:spacing w:line="360" w:lineRule="auto"/>
        <w:ind w:right="4"/>
        <w:jc w:val="both"/>
      </w:pPr>
      <w:r w:rsidRPr="00987413">
        <w:t xml:space="preserve">The interviewee felt strongly that there is a good whole school awareness of the UNCRC which was supported by the questionnaire. As discussed earlier, the lead teacher noted the difference between an awareness and an understanding. As Wales is amid a curriculum reform, staff have received information and attended whole staff twilight meetings where the four core purposes of the new curriculum; </w:t>
      </w:r>
      <w:r w:rsidRPr="00987413">
        <w:rPr>
          <w:i/>
        </w:rPr>
        <w:t>Successful Futures</w:t>
      </w:r>
      <w:r w:rsidRPr="00987413">
        <w:t xml:space="preserve"> (Donaldson, 2015) has been discussed. As </w:t>
      </w:r>
      <w:r w:rsidRPr="00987413">
        <w:rPr>
          <w:i/>
        </w:rPr>
        <w:t>Success Futures</w:t>
      </w:r>
      <w:r w:rsidRPr="00987413">
        <w:t xml:space="preserve"> (Donaldson, 2015) makes explicit reference to the Convention playing a pivotal role in supporting the purposes of the new curriculum, the interviewee believes that there is a heightened awareness and 'buzz' around children's rights. The questionnaire cannot determine to what extent participants understand the Convention or the rights enshrined within it, but the interviewee summarised that this is a developmental area in the school. This need is supported by the low percentage of adults in the school who do not feel confident to talk to children about their rights; identified in the RRS adult questionnaire.</w:t>
      </w:r>
    </w:p>
    <w:p w14:paraId="74938196" w14:textId="77777777" w:rsidR="00A670D9" w:rsidRPr="00987413" w:rsidRDefault="00A670D9" w:rsidP="00D0334F">
      <w:pPr>
        <w:spacing w:line="360" w:lineRule="auto"/>
        <w:ind w:left="9" w:right="4"/>
        <w:jc w:val="both"/>
      </w:pPr>
    </w:p>
    <w:p w14:paraId="59DF42B7" w14:textId="77777777" w:rsidR="00A670D9" w:rsidRPr="00987413" w:rsidRDefault="00A670D9" w:rsidP="00D0334F">
      <w:pPr>
        <w:spacing w:line="360" w:lineRule="auto"/>
        <w:ind w:left="9" w:right="4"/>
        <w:jc w:val="both"/>
      </w:pPr>
    </w:p>
    <w:p w14:paraId="650F3D9F" w14:textId="77777777" w:rsidR="00A670D9" w:rsidRPr="00987413" w:rsidRDefault="00A670D9" w:rsidP="00D0334F">
      <w:pPr>
        <w:spacing w:line="360" w:lineRule="auto"/>
        <w:ind w:left="-15" w:right="4"/>
        <w:jc w:val="both"/>
      </w:pPr>
      <w:r w:rsidRPr="00987413">
        <w:t xml:space="preserve">The findings from my data collection methods enabled me to successfully explore adults’ perception of wellbeing from the purposive sample used. There were many successes in the chosen data collection methods outlined throughout this chapter.   However, the research has left me with frustrations and wanting to further explore some of the findings to gain a more comprehensive understanding of these initial findings. The impact of this research has enabled the school to have a clear baseline for their work on children's rights as they progress through the RRS programme. With future support from me in my professional capacity, the school can see how a rights-based approach can be used as a framework to support child wellbeing through using a consistent universal language that makes sense to the child. </w:t>
      </w:r>
      <w:r w:rsidRPr="00987413">
        <w:lastRenderedPageBreak/>
        <w:t>Furthermore, this will help the wider educational audience as the school will work collaboratively with other schools through engagement in a RRS PLC’s (</w:t>
      </w:r>
      <w:r w:rsidRPr="00987413">
        <w:rPr>
          <w:i/>
        </w:rPr>
        <w:t>professional learning community)</w:t>
      </w:r>
      <w:r w:rsidRPr="00987413">
        <w:t xml:space="preserve">.  During these PLC meetings, the school will have the opportunity to share best practice on children's rights and evidence how it supports wider school priorities including child wellbeing.  </w:t>
      </w:r>
    </w:p>
    <w:p w14:paraId="14BBE01F" w14:textId="77777777" w:rsidR="00A670D9" w:rsidRDefault="00A670D9" w:rsidP="00D0334F">
      <w:pPr>
        <w:spacing w:line="360" w:lineRule="auto"/>
        <w:jc w:val="both"/>
      </w:pPr>
    </w:p>
    <w:p w14:paraId="468A77FE" w14:textId="77777777" w:rsidR="00BD5173" w:rsidRPr="00243CDB" w:rsidRDefault="00BD5173" w:rsidP="00D0334F">
      <w:pPr>
        <w:spacing w:line="360" w:lineRule="auto"/>
        <w:jc w:val="both"/>
      </w:pPr>
    </w:p>
    <w:p w14:paraId="32F6D328" w14:textId="77777777" w:rsidR="0090427F" w:rsidRDefault="0090427F" w:rsidP="00D0334F">
      <w:pPr>
        <w:spacing w:line="360" w:lineRule="auto"/>
        <w:jc w:val="both"/>
        <w:outlineLvl w:val="0"/>
        <w:rPr>
          <w:b/>
        </w:rPr>
      </w:pPr>
    </w:p>
    <w:p w14:paraId="420F6BF7" w14:textId="77777777" w:rsidR="0090427F" w:rsidRDefault="0090427F" w:rsidP="00D0334F">
      <w:pPr>
        <w:spacing w:line="360" w:lineRule="auto"/>
        <w:jc w:val="both"/>
        <w:outlineLvl w:val="0"/>
        <w:rPr>
          <w:b/>
        </w:rPr>
      </w:pPr>
    </w:p>
    <w:p w14:paraId="64ADB2AD" w14:textId="77777777" w:rsidR="0090427F" w:rsidRDefault="0090427F" w:rsidP="00D0334F">
      <w:pPr>
        <w:spacing w:line="360" w:lineRule="auto"/>
        <w:jc w:val="both"/>
        <w:outlineLvl w:val="0"/>
        <w:rPr>
          <w:b/>
        </w:rPr>
      </w:pPr>
    </w:p>
    <w:p w14:paraId="76AC8FC7" w14:textId="77777777" w:rsidR="0090427F" w:rsidRDefault="0090427F" w:rsidP="00D0334F">
      <w:pPr>
        <w:spacing w:line="360" w:lineRule="auto"/>
        <w:jc w:val="both"/>
        <w:outlineLvl w:val="0"/>
        <w:rPr>
          <w:b/>
        </w:rPr>
      </w:pPr>
    </w:p>
    <w:p w14:paraId="5514CBF0" w14:textId="77777777" w:rsidR="0090427F" w:rsidRDefault="0090427F" w:rsidP="00D0334F">
      <w:pPr>
        <w:spacing w:line="360" w:lineRule="auto"/>
        <w:jc w:val="both"/>
        <w:outlineLvl w:val="0"/>
        <w:rPr>
          <w:b/>
        </w:rPr>
      </w:pPr>
    </w:p>
    <w:p w14:paraId="19E09FC4" w14:textId="77777777" w:rsidR="0090427F" w:rsidRDefault="0090427F" w:rsidP="00D0334F">
      <w:pPr>
        <w:spacing w:line="360" w:lineRule="auto"/>
        <w:jc w:val="both"/>
        <w:outlineLvl w:val="0"/>
        <w:rPr>
          <w:b/>
        </w:rPr>
      </w:pPr>
    </w:p>
    <w:p w14:paraId="595DD30E" w14:textId="77777777" w:rsidR="0090427F" w:rsidRDefault="0090427F" w:rsidP="00D0334F">
      <w:pPr>
        <w:spacing w:line="360" w:lineRule="auto"/>
        <w:jc w:val="both"/>
        <w:outlineLvl w:val="0"/>
        <w:rPr>
          <w:b/>
        </w:rPr>
      </w:pPr>
    </w:p>
    <w:p w14:paraId="7F76AA68" w14:textId="77777777" w:rsidR="0090427F" w:rsidRDefault="0090427F" w:rsidP="00D0334F">
      <w:pPr>
        <w:spacing w:line="360" w:lineRule="auto"/>
        <w:jc w:val="both"/>
        <w:outlineLvl w:val="0"/>
        <w:rPr>
          <w:b/>
        </w:rPr>
      </w:pPr>
    </w:p>
    <w:p w14:paraId="06744E52" w14:textId="77777777" w:rsidR="0090427F" w:rsidRDefault="0090427F" w:rsidP="00D0334F">
      <w:pPr>
        <w:spacing w:line="360" w:lineRule="auto"/>
        <w:jc w:val="both"/>
        <w:outlineLvl w:val="0"/>
        <w:rPr>
          <w:b/>
        </w:rPr>
      </w:pPr>
    </w:p>
    <w:p w14:paraId="36ED610D" w14:textId="77777777" w:rsidR="0090427F" w:rsidRDefault="0090427F" w:rsidP="00D0334F">
      <w:pPr>
        <w:spacing w:line="360" w:lineRule="auto"/>
        <w:jc w:val="both"/>
        <w:outlineLvl w:val="0"/>
        <w:rPr>
          <w:b/>
        </w:rPr>
      </w:pPr>
    </w:p>
    <w:p w14:paraId="4BB11194" w14:textId="77777777" w:rsidR="0090427F" w:rsidRDefault="0090427F" w:rsidP="00D0334F">
      <w:pPr>
        <w:spacing w:line="360" w:lineRule="auto"/>
        <w:jc w:val="both"/>
        <w:outlineLvl w:val="0"/>
        <w:rPr>
          <w:b/>
        </w:rPr>
      </w:pPr>
    </w:p>
    <w:p w14:paraId="62FC3D25" w14:textId="77777777" w:rsidR="0090427F" w:rsidRDefault="0090427F" w:rsidP="00D0334F">
      <w:pPr>
        <w:spacing w:line="360" w:lineRule="auto"/>
        <w:jc w:val="both"/>
        <w:outlineLvl w:val="0"/>
        <w:rPr>
          <w:b/>
        </w:rPr>
      </w:pPr>
    </w:p>
    <w:p w14:paraId="01C2A13E" w14:textId="77777777" w:rsidR="0090427F" w:rsidRDefault="0090427F" w:rsidP="00D0334F">
      <w:pPr>
        <w:spacing w:line="360" w:lineRule="auto"/>
        <w:jc w:val="both"/>
        <w:outlineLvl w:val="0"/>
        <w:rPr>
          <w:b/>
        </w:rPr>
      </w:pPr>
    </w:p>
    <w:p w14:paraId="22B0711C" w14:textId="77777777" w:rsidR="0090427F" w:rsidRDefault="0090427F" w:rsidP="00D0334F">
      <w:pPr>
        <w:spacing w:line="360" w:lineRule="auto"/>
        <w:jc w:val="both"/>
        <w:outlineLvl w:val="0"/>
        <w:rPr>
          <w:b/>
        </w:rPr>
      </w:pPr>
    </w:p>
    <w:p w14:paraId="65F011BE" w14:textId="77777777" w:rsidR="0090427F" w:rsidRDefault="0090427F" w:rsidP="00D0334F">
      <w:pPr>
        <w:spacing w:line="360" w:lineRule="auto"/>
        <w:jc w:val="both"/>
        <w:outlineLvl w:val="0"/>
        <w:rPr>
          <w:b/>
        </w:rPr>
      </w:pPr>
    </w:p>
    <w:p w14:paraId="45E59D4F" w14:textId="77777777" w:rsidR="0090427F" w:rsidRDefault="0090427F" w:rsidP="00D0334F">
      <w:pPr>
        <w:spacing w:line="360" w:lineRule="auto"/>
        <w:jc w:val="both"/>
        <w:outlineLvl w:val="0"/>
        <w:rPr>
          <w:b/>
        </w:rPr>
      </w:pPr>
    </w:p>
    <w:p w14:paraId="14D0C023" w14:textId="77777777" w:rsidR="0090427F" w:rsidRDefault="0090427F" w:rsidP="00D0334F">
      <w:pPr>
        <w:spacing w:line="360" w:lineRule="auto"/>
        <w:jc w:val="both"/>
        <w:outlineLvl w:val="0"/>
        <w:rPr>
          <w:b/>
        </w:rPr>
      </w:pPr>
    </w:p>
    <w:p w14:paraId="2767A96D" w14:textId="77777777" w:rsidR="0090427F" w:rsidRDefault="0090427F" w:rsidP="00D0334F">
      <w:pPr>
        <w:spacing w:line="360" w:lineRule="auto"/>
        <w:jc w:val="both"/>
        <w:outlineLvl w:val="0"/>
        <w:rPr>
          <w:b/>
        </w:rPr>
      </w:pPr>
    </w:p>
    <w:p w14:paraId="4EDB829A" w14:textId="77777777" w:rsidR="0090427F" w:rsidRDefault="0090427F" w:rsidP="00D0334F">
      <w:pPr>
        <w:spacing w:line="360" w:lineRule="auto"/>
        <w:jc w:val="both"/>
        <w:outlineLvl w:val="0"/>
        <w:rPr>
          <w:b/>
        </w:rPr>
      </w:pPr>
    </w:p>
    <w:p w14:paraId="562E3D23" w14:textId="77777777" w:rsidR="0090427F" w:rsidRDefault="0090427F" w:rsidP="00D0334F">
      <w:pPr>
        <w:spacing w:line="360" w:lineRule="auto"/>
        <w:jc w:val="both"/>
        <w:outlineLvl w:val="0"/>
        <w:rPr>
          <w:b/>
        </w:rPr>
      </w:pPr>
    </w:p>
    <w:p w14:paraId="46EC56D5" w14:textId="77777777" w:rsidR="0090427F" w:rsidRDefault="0090427F" w:rsidP="00D0334F">
      <w:pPr>
        <w:spacing w:line="360" w:lineRule="auto"/>
        <w:jc w:val="both"/>
        <w:outlineLvl w:val="0"/>
        <w:rPr>
          <w:b/>
        </w:rPr>
      </w:pPr>
    </w:p>
    <w:p w14:paraId="73CC1187" w14:textId="77777777" w:rsidR="0090427F" w:rsidRDefault="0090427F" w:rsidP="00D0334F">
      <w:pPr>
        <w:spacing w:line="360" w:lineRule="auto"/>
        <w:jc w:val="both"/>
        <w:outlineLvl w:val="0"/>
        <w:rPr>
          <w:b/>
        </w:rPr>
      </w:pPr>
    </w:p>
    <w:p w14:paraId="76C95450" w14:textId="77777777" w:rsidR="0090427F" w:rsidRDefault="0090427F" w:rsidP="00D0334F">
      <w:pPr>
        <w:spacing w:line="360" w:lineRule="auto"/>
        <w:jc w:val="both"/>
        <w:outlineLvl w:val="0"/>
        <w:rPr>
          <w:b/>
        </w:rPr>
      </w:pPr>
    </w:p>
    <w:p w14:paraId="24B46D09" w14:textId="77777777" w:rsidR="0090427F" w:rsidRDefault="0090427F" w:rsidP="00D0334F">
      <w:pPr>
        <w:spacing w:line="360" w:lineRule="auto"/>
        <w:jc w:val="both"/>
        <w:outlineLvl w:val="0"/>
        <w:rPr>
          <w:b/>
        </w:rPr>
      </w:pPr>
    </w:p>
    <w:p w14:paraId="38C7C25E" w14:textId="77777777" w:rsidR="0090427F" w:rsidRDefault="0090427F" w:rsidP="00D0334F">
      <w:pPr>
        <w:spacing w:line="360" w:lineRule="auto"/>
        <w:jc w:val="both"/>
        <w:outlineLvl w:val="0"/>
        <w:rPr>
          <w:b/>
        </w:rPr>
      </w:pPr>
    </w:p>
    <w:p w14:paraId="18A07E73" w14:textId="77777777" w:rsidR="005C0F2E" w:rsidRDefault="005C0F2E" w:rsidP="00D0334F">
      <w:pPr>
        <w:spacing w:line="360" w:lineRule="auto"/>
        <w:jc w:val="both"/>
        <w:outlineLvl w:val="0"/>
        <w:rPr>
          <w:b/>
        </w:rPr>
      </w:pPr>
      <w:r w:rsidRPr="003907D6">
        <w:rPr>
          <w:b/>
        </w:rPr>
        <w:lastRenderedPageBreak/>
        <w:t>Chapter 5.</w:t>
      </w:r>
      <w:r w:rsidRPr="003907D6">
        <w:rPr>
          <w:b/>
        </w:rPr>
        <w:tab/>
        <w:t>Conclusion and Recommendations</w:t>
      </w:r>
    </w:p>
    <w:p w14:paraId="2A289B1E" w14:textId="77777777" w:rsidR="008C3540" w:rsidRPr="003907D6" w:rsidRDefault="008C3540" w:rsidP="00D0334F">
      <w:pPr>
        <w:spacing w:line="360" w:lineRule="auto"/>
        <w:jc w:val="both"/>
        <w:outlineLvl w:val="0"/>
        <w:rPr>
          <w:b/>
        </w:rPr>
      </w:pPr>
    </w:p>
    <w:p w14:paraId="601FB015" w14:textId="77777777" w:rsidR="005C0F2E" w:rsidRDefault="005C0F2E" w:rsidP="00D0334F">
      <w:pPr>
        <w:spacing w:line="360" w:lineRule="auto"/>
        <w:jc w:val="both"/>
        <w:rPr>
          <w:b/>
          <w:u w:val="single"/>
        </w:rPr>
      </w:pPr>
    </w:p>
    <w:p w14:paraId="3AB2F936" w14:textId="77777777" w:rsidR="005C0F2E" w:rsidRDefault="005C0F2E" w:rsidP="00D0334F">
      <w:pPr>
        <w:spacing w:line="360" w:lineRule="auto"/>
        <w:jc w:val="both"/>
      </w:pPr>
      <w:r>
        <w:t>This research study has explored adults’ perception of child wellbeing through a triangulation of data collection methods.  By analysing the results from anonymous questionnaires and evidence extracted from the semi-structured interview, I have drawn out some key themes which will help to inform my professional practice.</w:t>
      </w:r>
    </w:p>
    <w:p w14:paraId="48C434C1" w14:textId="77777777" w:rsidR="008C3540" w:rsidRDefault="008C3540" w:rsidP="00D0334F">
      <w:pPr>
        <w:spacing w:line="360" w:lineRule="auto"/>
        <w:jc w:val="both"/>
      </w:pPr>
    </w:p>
    <w:p w14:paraId="7F0F4F73" w14:textId="77777777" w:rsidR="005C0F2E" w:rsidRDefault="005C0F2E" w:rsidP="00D0334F">
      <w:pPr>
        <w:spacing w:line="360" w:lineRule="auto"/>
        <w:jc w:val="both"/>
      </w:pPr>
    </w:p>
    <w:p w14:paraId="0967EFE2" w14:textId="77777777" w:rsidR="005C0F2E" w:rsidRDefault="005C0F2E" w:rsidP="00D0334F">
      <w:pPr>
        <w:spacing w:line="360" w:lineRule="auto"/>
        <w:jc w:val="both"/>
      </w:pPr>
      <w:r>
        <w:t>Undertaking this study has enabled me to formalise my thinking and begin to explore child wellbeing as it continues to gain momentum in Wales; presented in the literature review.  From informal discussions that I was having with delegates during training, I knew that there was a trend emerging to indicate the inconsistency around the concept of child wellbeing linked with the accountability for it.  Although not conclusive through these results, this study goes some way to support my hypothesis and has allowed me to gain an insight into the varied perspectives of adults working with children and young people in a school setting.  As identified in the results, adults have heard of child wellbeing, do think that it is important and feel it impacts on individual learning.  However, there are inconsistencies about the characteristics that make up child wellbeing, with the most popular one; happiness, more difficult to measure as it constitutes subjective wellbeing.</w:t>
      </w:r>
    </w:p>
    <w:p w14:paraId="160B40DE" w14:textId="77777777" w:rsidR="008C3540" w:rsidRDefault="008C3540" w:rsidP="00D0334F">
      <w:pPr>
        <w:spacing w:line="360" w:lineRule="auto"/>
        <w:jc w:val="both"/>
      </w:pPr>
    </w:p>
    <w:p w14:paraId="736A6360" w14:textId="77777777" w:rsidR="005C0F2E" w:rsidRDefault="005C0F2E" w:rsidP="00D0334F">
      <w:pPr>
        <w:spacing w:line="360" w:lineRule="auto"/>
        <w:jc w:val="both"/>
      </w:pPr>
    </w:p>
    <w:p w14:paraId="53735581" w14:textId="77777777" w:rsidR="005C0F2E" w:rsidRDefault="005C0F2E" w:rsidP="00D0334F">
      <w:pPr>
        <w:spacing w:line="360" w:lineRule="auto"/>
        <w:jc w:val="both"/>
      </w:pPr>
      <w:r>
        <w:t xml:space="preserve">A further surprise in the results was the percentage of participants who didn’t feel personally accountable for child wellbeing.  The literature review presented the rapid growth and importance being placed on distributed accountability at all levels in the school system, so this result was not expected.  Related to this was the awareness of the UNCRC and whether participants could identify any link between the Convention and child wellbeing.  Given that the welsh government litter their policies with the UNCRC, and that the UK ratified this convention over two decades ago, it is fair to say that I remain perplexed at the number of professionals who work with children and young people and have no idea of the Convention’s existence.  As the results cannot be disaggregated, I am unable to conclude the job role or teaching experience of the participants that had heard of the UNCRC.  This was again a </w:t>
      </w:r>
      <w:r>
        <w:lastRenderedPageBreak/>
        <w:t>frustration and has sparked an initial thought on whether there is a need for an introductory training course solely on the UNCRC which could be offered as part of the regional training menu.</w:t>
      </w:r>
    </w:p>
    <w:p w14:paraId="0AA42AFB" w14:textId="77777777" w:rsidR="005C0F2E" w:rsidRDefault="005C0F2E" w:rsidP="00D0334F">
      <w:pPr>
        <w:spacing w:line="360" w:lineRule="auto"/>
        <w:jc w:val="both"/>
      </w:pPr>
    </w:p>
    <w:p w14:paraId="1D2B027D" w14:textId="77777777" w:rsidR="008C3540" w:rsidRDefault="008C3540" w:rsidP="00D0334F">
      <w:pPr>
        <w:spacing w:line="360" w:lineRule="auto"/>
        <w:jc w:val="both"/>
      </w:pPr>
    </w:p>
    <w:p w14:paraId="57118EFD" w14:textId="77777777" w:rsidR="005C0F2E" w:rsidRDefault="005C0F2E" w:rsidP="00D0334F">
      <w:pPr>
        <w:spacing w:line="360" w:lineRule="auto"/>
        <w:jc w:val="both"/>
      </w:pPr>
      <w:r>
        <w:t xml:space="preserve">The results have supported the aim of the research enough for it to inform my professional practice and propose changes to the content of the training I deliver across Wales.  As outlined in the introduction, the current content introduces the Convention but primarily focuses on practical ideas for delegates to understand how it can support their current practice.  A lot of time is spent explaining to delegates how articles are implicit in school life and demonstrating how through the RRS programme, articles can be made explicit both in policy and practice to bring about a whole school awareness and commitment to children`s rights.  Following on from this research, I intend to design content for future training which explores the definition of child wellbeing, supports participants to look at the characteristics that make up wellbeing, the difference between ecological and subjective wellbeing and more importantly how the values and principles of the UNCRC can be used as a shared framework to support child wellbeing. Furthermore, I aim to develop content which introduces the language of children as `rights holders` and adults as `duty bearers` for the Convention.  Linked with this, I will aim to address the accountability of children`s rights linked to wellbeing by using frameworks such as the </w:t>
      </w:r>
      <w:r w:rsidRPr="007E185C">
        <w:rPr>
          <w:i/>
        </w:rPr>
        <w:t>Common Inspection Framework</w:t>
      </w:r>
      <w:r>
        <w:rPr>
          <w:i/>
        </w:rPr>
        <w:t xml:space="preserve"> </w:t>
      </w:r>
      <w:r w:rsidRPr="00B016AF">
        <w:t>(Estyn, 2017),</w:t>
      </w:r>
      <w:r>
        <w:rPr>
          <w:i/>
        </w:rPr>
        <w:t xml:space="preserve"> Successful Futures </w:t>
      </w:r>
      <w:r w:rsidRPr="00B016AF">
        <w:t>(Donaldson, 2015)</w:t>
      </w:r>
      <w:r>
        <w:rPr>
          <w:i/>
        </w:rPr>
        <w:t xml:space="preserve"> </w:t>
      </w:r>
      <w:r>
        <w:t xml:space="preserve">curriculum and the revised </w:t>
      </w:r>
      <w:r>
        <w:rPr>
          <w:i/>
        </w:rPr>
        <w:t xml:space="preserve">Professional Standards for Teaching and Leadership </w:t>
      </w:r>
      <w:r w:rsidRPr="00B016AF">
        <w:t>(DCELLS, 2017)</w:t>
      </w:r>
      <w:r>
        <w:rPr>
          <w:i/>
        </w:rPr>
        <w:t xml:space="preserve"> </w:t>
      </w:r>
      <w:r>
        <w:t>to address distributed accountability.</w:t>
      </w:r>
    </w:p>
    <w:p w14:paraId="57A75567" w14:textId="77777777" w:rsidR="005C0F2E" w:rsidRDefault="005C0F2E" w:rsidP="00D0334F">
      <w:pPr>
        <w:spacing w:line="360" w:lineRule="auto"/>
        <w:jc w:val="both"/>
      </w:pPr>
    </w:p>
    <w:p w14:paraId="0C1BAFBA" w14:textId="77777777" w:rsidR="005C0F2E" w:rsidRDefault="005C0F2E" w:rsidP="00D0334F">
      <w:pPr>
        <w:spacing w:line="360" w:lineRule="auto"/>
        <w:jc w:val="both"/>
      </w:pPr>
    </w:p>
    <w:p w14:paraId="498433EC" w14:textId="77777777" w:rsidR="005C0F2E" w:rsidRDefault="005C0F2E" w:rsidP="00D0334F">
      <w:pPr>
        <w:spacing w:line="360" w:lineRule="auto"/>
        <w:jc w:val="both"/>
      </w:pPr>
      <w:r>
        <w:t xml:space="preserve">Although these frameworks are specific to Wales, I will be sharing them with the Unicef UK team as the RRS programme has presence across all four jurisdictions of the UK.  It would be interesting for the RRS team to explore the similarities and differences in perceptions of adults in their region to determine if the need for extended content is required.  Furthermore, this research has promoted me to begin to explore the need for an introductory child rights training course which could be offered universally to all schools in the UK.  Whilst, this thought is in its infancy, this research has taken me out of my professional world and allowed me to gain an insight into the lack of understanding by professionals on how the Convention can be </w:t>
      </w:r>
      <w:r>
        <w:lastRenderedPageBreak/>
        <w:t>used as a framework to support who school development beyond school`s who are already engaged with RRS.</w:t>
      </w:r>
    </w:p>
    <w:p w14:paraId="6FC8C6F6" w14:textId="77777777" w:rsidR="005C0F2E" w:rsidRDefault="005C0F2E" w:rsidP="00D0334F">
      <w:pPr>
        <w:spacing w:line="360" w:lineRule="auto"/>
        <w:jc w:val="both"/>
      </w:pPr>
    </w:p>
    <w:p w14:paraId="7E974414" w14:textId="77777777" w:rsidR="005C0F2E" w:rsidRDefault="005C0F2E" w:rsidP="00D0334F">
      <w:pPr>
        <w:spacing w:line="360" w:lineRule="auto"/>
        <w:jc w:val="both"/>
      </w:pPr>
    </w:p>
    <w:p w14:paraId="0485D098" w14:textId="77777777" w:rsidR="005C0F2E" w:rsidRDefault="005C0F2E" w:rsidP="00D0334F">
      <w:pPr>
        <w:spacing w:line="360" w:lineRule="auto"/>
        <w:jc w:val="both"/>
        <w:outlineLvl w:val="0"/>
        <w:rPr>
          <w:b/>
          <w:u w:val="single"/>
        </w:rPr>
      </w:pPr>
      <w:r>
        <w:rPr>
          <w:b/>
          <w:u w:val="single"/>
        </w:rPr>
        <w:t>Recommendations</w:t>
      </w:r>
    </w:p>
    <w:p w14:paraId="1CA00933" w14:textId="77777777" w:rsidR="005C0F2E" w:rsidRDefault="005C0F2E" w:rsidP="00D0334F">
      <w:pPr>
        <w:spacing w:line="360" w:lineRule="auto"/>
        <w:jc w:val="both"/>
        <w:rPr>
          <w:b/>
          <w:u w:val="single"/>
        </w:rPr>
      </w:pPr>
    </w:p>
    <w:p w14:paraId="428DA2EC" w14:textId="77777777" w:rsidR="005C0F2E" w:rsidRDefault="005C0F2E" w:rsidP="00D0334F">
      <w:pPr>
        <w:spacing w:line="360" w:lineRule="auto"/>
        <w:jc w:val="both"/>
      </w:pPr>
      <w:r>
        <w:t>Following on from the findings and discussions, there are several recommendations that I propose to develop this research:</w:t>
      </w:r>
    </w:p>
    <w:p w14:paraId="1D311ACF" w14:textId="77777777" w:rsidR="005C0F2E" w:rsidRDefault="005C0F2E" w:rsidP="00D0334F">
      <w:pPr>
        <w:spacing w:line="360" w:lineRule="auto"/>
        <w:jc w:val="both"/>
      </w:pPr>
    </w:p>
    <w:p w14:paraId="4EB016D1" w14:textId="77777777" w:rsidR="005C0F2E" w:rsidRDefault="005C0F2E" w:rsidP="00D0334F">
      <w:pPr>
        <w:spacing w:line="360" w:lineRule="auto"/>
        <w:jc w:val="both"/>
      </w:pPr>
    </w:p>
    <w:p w14:paraId="54683D05" w14:textId="77777777" w:rsidR="005C0F2E" w:rsidRDefault="005C0F2E" w:rsidP="00D0334F">
      <w:pPr>
        <w:pStyle w:val="ListParagraph"/>
        <w:numPr>
          <w:ilvl w:val="0"/>
          <w:numId w:val="5"/>
        </w:numPr>
        <w:spacing w:after="160" w:line="360" w:lineRule="auto"/>
        <w:ind w:left="643" w:right="283"/>
        <w:jc w:val="both"/>
      </w:pPr>
      <w:r>
        <w:t xml:space="preserve">Referring to the work of Yin (2009), there are limitations when working with a single-case study which limits the strength of the conclusion.  Adopting a multi-case study could add validity to the initial results of this research.  Replicating this single-case study with more than one school would allow me to provide analytical conclusions drawn from more than one source.  If the findings form a replicated multiple-case study contradicts this research, then that would be a powerful conclusion and would allow for further research opportunities.  </w:t>
      </w:r>
    </w:p>
    <w:p w14:paraId="3DF9D4A3" w14:textId="7B02CFD5" w:rsidR="005C0F2E" w:rsidRDefault="005C0F2E" w:rsidP="00D0334F">
      <w:pPr>
        <w:pStyle w:val="ListParagraph"/>
        <w:numPr>
          <w:ilvl w:val="0"/>
          <w:numId w:val="5"/>
        </w:numPr>
        <w:spacing w:after="160" w:line="360" w:lineRule="auto"/>
        <w:ind w:left="643" w:right="283"/>
        <w:jc w:val="both"/>
      </w:pPr>
      <w:r>
        <w:t xml:space="preserve">Moving away from exploratory research, a recommendation is to undertake a comparative study where adults’ perceptions could be gathered using participants from a range of schools at different progression stages of the RRS programme.  This would enable the research to explore if perceptions change or develop as the UNCRC becomes embedded into a </w:t>
      </w:r>
      <w:r w:rsidR="00E86726">
        <w:t>school’s</w:t>
      </w:r>
      <w:r>
        <w:t xml:space="preserve"> ethos and culture; in policy and practice.</w:t>
      </w:r>
    </w:p>
    <w:p w14:paraId="345F59AA" w14:textId="77777777" w:rsidR="005C0F2E" w:rsidRDefault="005C0F2E" w:rsidP="00D0334F">
      <w:pPr>
        <w:pStyle w:val="ListParagraph"/>
        <w:numPr>
          <w:ilvl w:val="0"/>
          <w:numId w:val="5"/>
        </w:numPr>
        <w:spacing w:after="160" w:line="360" w:lineRule="auto"/>
        <w:ind w:left="643" w:right="283"/>
        <w:jc w:val="both"/>
      </w:pPr>
      <w:r>
        <w:t>Whilst there were many strengths in the data collection methods used, I recommend reviewing the questionnaire to carefully re-word some of the questions to allow for less subjective interpretation.  The questions also need to be reviewed to ensure they capture what is intended i.e. gaining participants general awareness or to what extent they understand.  Furthermore, I would recommend asking some of the questions twice, in two different ways, so comparative data could be drawn from the results.</w:t>
      </w:r>
    </w:p>
    <w:p w14:paraId="48FFB08A" w14:textId="77777777" w:rsidR="005C0F2E" w:rsidRDefault="005C0F2E" w:rsidP="00D0334F">
      <w:pPr>
        <w:pStyle w:val="ListParagraph"/>
        <w:numPr>
          <w:ilvl w:val="0"/>
          <w:numId w:val="5"/>
        </w:numPr>
        <w:spacing w:after="160" w:line="360" w:lineRule="auto"/>
        <w:ind w:left="643" w:right="283"/>
        <w:jc w:val="both"/>
      </w:pPr>
      <w:r>
        <w:t xml:space="preserve">Purposive sampling was somewhat effective in this study as the research aim was to explore adults’ perception.  However, there is a scope to disaggregate this and </w:t>
      </w:r>
      <w:r>
        <w:lastRenderedPageBreak/>
        <w:t>look at the perceptions of adult`s in different hierarchal positions in the school system.  By doing this, the results would be more reliable, and the content of future training could be tailored to suit the role of the delegates i.e. the accountability on headteacher`s, teachers, governors and support staff.</w:t>
      </w:r>
    </w:p>
    <w:p w14:paraId="1424798C" w14:textId="77777777" w:rsidR="005C0F2E" w:rsidRDefault="005C0F2E" w:rsidP="00D0334F">
      <w:pPr>
        <w:spacing w:line="360" w:lineRule="auto"/>
        <w:jc w:val="both"/>
      </w:pPr>
    </w:p>
    <w:p w14:paraId="23BB80C0" w14:textId="77777777" w:rsidR="00022E97" w:rsidRDefault="00022E97" w:rsidP="00D0334F">
      <w:pPr>
        <w:spacing w:line="360" w:lineRule="auto"/>
        <w:jc w:val="both"/>
      </w:pPr>
    </w:p>
    <w:p w14:paraId="41A44F68" w14:textId="672F22E6" w:rsidR="00C7090A" w:rsidRDefault="005C0F2E" w:rsidP="00D0334F">
      <w:pPr>
        <w:spacing w:line="360" w:lineRule="auto"/>
        <w:jc w:val="both"/>
      </w:pPr>
      <w:r>
        <w:t>With the imminent curriculum reform, the recent review of Estyn, the ever-changing policy arena and the heightened awareness of child wellbeing, this is an exciting time for Wales.  If the change in my training content is evaluated and successfully meets the developmental needs of teachers, it could prove transformational.  If linked successfully to some of the priority frameworks noted above, the appetite for this training could be extended much further than just RRS schools.  If this research is the start to such a potential change, I am forever grateful</w:t>
      </w:r>
      <w:r w:rsidR="00633B52">
        <w:t>.</w:t>
      </w:r>
    </w:p>
    <w:p w14:paraId="79025A5D" w14:textId="77777777" w:rsidR="00383420" w:rsidRDefault="00383420" w:rsidP="00D0334F">
      <w:pPr>
        <w:spacing w:line="360" w:lineRule="auto"/>
        <w:jc w:val="both"/>
      </w:pPr>
    </w:p>
    <w:p w14:paraId="6A519027" w14:textId="77777777" w:rsidR="00383420" w:rsidRDefault="00383420" w:rsidP="00D0334F">
      <w:pPr>
        <w:spacing w:line="360" w:lineRule="auto"/>
        <w:jc w:val="both"/>
      </w:pPr>
    </w:p>
    <w:p w14:paraId="5614176F" w14:textId="77777777" w:rsidR="00383420" w:rsidRDefault="00383420" w:rsidP="00D0334F">
      <w:pPr>
        <w:spacing w:line="360" w:lineRule="auto"/>
        <w:jc w:val="both"/>
      </w:pPr>
    </w:p>
    <w:p w14:paraId="5BD3F369" w14:textId="77777777" w:rsidR="00383420" w:rsidRDefault="00383420" w:rsidP="00D0334F">
      <w:pPr>
        <w:spacing w:line="360" w:lineRule="auto"/>
        <w:jc w:val="both"/>
      </w:pPr>
    </w:p>
    <w:p w14:paraId="6D2DE72C" w14:textId="77777777" w:rsidR="00383420" w:rsidRDefault="00383420" w:rsidP="00D0334F">
      <w:pPr>
        <w:spacing w:line="360" w:lineRule="auto"/>
        <w:jc w:val="both"/>
      </w:pPr>
    </w:p>
    <w:p w14:paraId="150A6FA2" w14:textId="77777777" w:rsidR="00383420" w:rsidRDefault="00383420" w:rsidP="00D0334F">
      <w:pPr>
        <w:spacing w:line="360" w:lineRule="auto"/>
        <w:jc w:val="both"/>
      </w:pPr>
    </w:p>
    <w:p w14:paraId="4C695C03" w14:textId="77777777" w:rsidR="00383420" w:rsidRDefault="00383420" w:rsidP="00D0334F">
      <w:pPr>
        <w:spacing w:line="360" w:lineRule="auto"/>
        <w:jc w:val="both"/>
      </w:pPr>
    </w:p>
    <w:p w14:paraId="00FBC7D8" w14:textId="77777777" w:rsidR="00383420" w:rsidRDefault="00383420" w:rsidP="00D0334F">
      <w:pPr>
        <w:spacing w:line="360" w:lineRule="auto"/>
        <w:jc w:val="both"/>
      </w:pPr>
    </w:p>
    <w:p w14:paraId="562E5A65" w14:textId="77777777" w:rsidR="00383420" w:rsidRDefault="00383420" w:rsidP="00D0334F">
      <w:pPr>
        <w:spacing w:line="360" w:lineRule="auto"/>
        <w:jc w:val="both"/>
      </w:pPr>
    </w:p>
    <w:p w14:paraId="4B4EC5FC" w14:textId="77777777" w:rsidR="00383420" w:rsidRDefault="00383420" w:rsidP="00D0334F">
      <w:pPr>
        <w:spacing w:line="360" w:lineRule="auto"/>
        <w:jc w:val="both"/>
      </w:pPr>
    </w:p>
    <w:p w14:paraId="280E2C11" w14:textId="77777777" w:rsidR="00383420" w:rsidRDefault="00383420" w:rsidP="00D0334F">
      <w:pPr>
        <w:spacing w:line="360" w:lineRule="auto"/>
        <w:jc w:val="both"/>
      </w:pPr>
    </w:p>
    <w:p w14:paraId="42BD41A5" w14:textId="77777777" w:rsidR="00383420" w:rsidRDefault="00383420" w:rsidP="00D0334F">
      <w:pPr>
        <w:spacing w:line="360" w:lineRule="auto"/>
        <w:jc w:val="both"/>
      </w:pPr>
    </w:p>
    <w:p w14:paraId="718C3CFE" w14:textId="77777777" w:rsidR="00383420" w:rsidRDefault="00383420" w:rsidP="00D0334F">
      <w:pPr>
        <w:spacing w:line="360" w:lineRule="auto"/>
        <w:jc w:val="both"/>
      </w:pPr>
    </w:p>
    <w:p w14:paraId="2C0CC540" w14:textId="77777777" w:rsidR="00383420" w:rsidRDefault="00383420" w:rsidP="00D0334F">
      <w:pPr>
        <w:spacing w:line="360" w:lineRule="auto"/>
        <w:jc w:val="both"/>
      </w:pPr>
    </w:p>
    <w:p w14:paraId="00F7EE2A" w14:textId="77777777" w:rsidR="00383420" w:rsidRDefault="00383420" w:rsidP="00D0334F">
      <w:pPr>
        <w:spacing w:line="360" w:lineRule="auto"/>
        <w:jc w:val="both"/>
      </w:pPr>
    </w:p>
    <w:p w14:paraId="4278606E" w14:textId="77777777" w:rsidR="00383420" w:rsidRDefault="00383420" w:rsidP="00D0334F">
      <w:pPr>
        <w:spacing w:line="360" w:lineRule="auto"/>
        <w:jc w:val="both"/>
      </w:pPr>
    </w:p>
    <w:p w14:paraId="1F182505" w14:textId="77777777" w:rsidR="00383420" w:rsidRDefault="00383420" w:rsidP="00D0334F">
      <w:pPr>
        <w:spacing w:line="360" w:lineRule="auto"/>
        <w:jc w:val="both"/>
      </w:pPr>
    </w:p>
    <w:p w14:paraId="7C50F393" w14:textId="77777777" w:rsidR="00383420" w:rsidRDefault="00383420" w:rsidP="00D0334F">
      <w:pPr>
        <w:spacing w:line="360" w:lineRule="auto"/>
        <w:jc w:val="both"/>
      </w:pPr>
    </w:p>
    <w:p w14:paraId="54F48C9B" w14:textId="77777777" w:rsidR="00383420" w:rsidRPr="004B4A20" w:rsidRDefault="00383420" w:rsidP="00383420">
      <w:pPr>
        <w:rPr>
          <w:b/>
        </w:rPr>
      </w:pPr>
      <w:r w:rsidRPr="004B4A20">
        <w:rPr>
          <w:b/>
        </w:rPr>
        <w:lastRenderedPageBreak/>
        <w:t>Chapter 6.</w:t>
      </w:r>
      <w:r w:rsidRPr="004B4A20">
        <w:rPr>
          <w:b/>
        </w:rPr>
        <w:tab/>
        <w:t xml:space="preserve">Reference List </w:t>
      </w:r>
    </w:p>
    <w:p w14:paraId="44C2F22C" w14:textId="77777777" w:rsidR="00383420" w:rsidRDefault="00383420" w:rsidP="00383420"/>
    <w:p w14:paraId="05D14FFD" w14:textId="77777777" w:rsidR="00383420" w:rsidRPr="002E2091" w:rsidRDefault="00383420" w:rsidP="00383420">
      <w:pPr>
        <w:pStyle w:val="ListParagraph"/>
      </w:pPr>
    </w:p>
    <w:p w14:paraId="49F653C2" w14:textId="77777777" w:rsidR="00383420" w:rsidRDefault="00383420" w:rsidP="00383420">
      <w:pPr>
        <w:pStyle w:val="ListParagraph"/>
        <w:numPr>
          <w:ilvl w:val="0"/>
          <w:numId w:val="6"/>
        </w:numPr>
      </w:pPr>
      <w:r>
        <w:t xml:space="preserve">Action for Children. (2009) </w:t>
      </w:r>
      <w:r w:rsidRPr="00B75C9A">
        <w:rPr>
          <w:i/>
        </w:rPr>
        <w:t>A guide to measuring children’s wellbeing</w:t>
      </w:r>
      <w:r>
        <w:t xml:space="preserve"> [Online].  Available from: </w:t>
      </w:r>
      <w:hyperlink r:id="rId12" w:history="1">
        <w:r w:rsidRPr="00A53EF6">
          <w:rPr>
            <w:rStyle w:val="Hyperlink"/>
          </w:rPr>
          <w:t>https://b.3cdn.net/nefoundation/094c9bd92c79f7129f_w5m6i2zzh.pdf</w:t>
        </w:r>
      </w:hyperlink>
      <w:r>
        <w:t xml:space="preserve"> (Accessed: 13 March 2019). </w:t>
      </w:r>
    </w:p>
    <w:p w14:paraId="09F811D2" w14:textId="77777777" w:rsidR="00383420" w:rsidRDefault="00383420" w:rsidP="00383420">
      <w:pPr>
        <w:pStyle w:val="ListParagraph"/>
        <w:numPr>
          <w:ilvl w:val="0"/>
          <w:numId w:val="6"/>
        </w:numPr>
      </w:pPr>
      <w:r>
        <w:t xml:space="preserve">Alliance for Useful Evidence. (2016) </w:t>
      </w:r>
      <w:r w:rsidRPr="00E25A5B">
        <w:rPr>
          <w:i/>
        </w:rPr>
        <w:t>Using Research Evidence: A Practical Guide</w:t>
      </w:r>
      <w:r>
        <w:t xml:space="preserve"> [Online].  Available from:  </w:t>
      </w:r>
      <w:hyperlink r:id="rId13" w:history="1">
        <w:r w:rsidRPr="00A53EF6">
          <w:rPr>
            <w:rStyle w:val="Hyperlink"/>
          </w:rPr>
          <w:t>https://www.alliance4usefulevidence.org/assets/Using-Research-Evidence-for-Success-A-Practice-Guide-v6-web.pdf</w:t>
        </w:r>
      </w:hyperlink>
      <w:r>
        <w:t xml:space="preserve"> (Accessed: 03 February 2019).</w:t>
      </w:r>
    </w:p>
    <w:p w14:paraId="0CD05EB0" w14:textId="77777777" w:rsidR="00383420" w:rsidRDefault="00383420" w:rsidP="00383420">
      <w:pPr>
        <w:pStyle w:val="ListParagraph"/>
        <w:numPr>
          <w:ilvl w:val="0"/>
          <w:numId w:val="6"/>
        </w:numPr>
      </w:pPr>
      <w:r>
        <w:t xml:space="preserve">Anderson, J. (2005) Accountability in Education [Online].  Available from: </w:t>
      </w:r>
      <w:hyperlink r:id="rId14" w:history="1">
        <w:r w:rsidRPr="00A53EF6">
          <w:rPr>
            <w:rStyle w:val="Hyperlink"/>
          </w:rPr>
          <w:t>http://www.iaoed.org/downloads/Edpol1.pdf</w:t>
        </w:r>
      </w:hyperlink>
      <w:r>
        <w:t xml:space="preserve"> (Accessed: 01 March 2019).</w:t>
      </w:r>
    </w:p>
    <w:p w14:paraId="30CD3EA9" w14:textId="77777777" w:rsidR="00383420" w:rsidRDefault="00383420" w:rsidP="00383420">
      <w:pPr>
        <w:pStyle w:val="ListParagraph"/>
        <w:numPr>
          <w:ilvl w:val="0"/>
          <w:numId w:val="6"/>
        </w:numPr>
      </w:pPr>
      <w:r>
        <w:t>Andrew, L. (2011) ‘</w:t>
      </w:r>
      <w:r w:rsidRPr="00202BBD">
        <w:rPr>
          <w:i/>
        </w:rPr>
        <w:t>teaching makes a difference’</w:t>
      </w:r>
      <w:r>
        <w:t>.  Speech by Wales Education Minister, Leighton Andrews; 2</w:t>
      </w:r>
      <w:r w:rsidRPr="00B04BE7">
        <w:rPr>
          <w:vertAlign w:val="superscript"/>
        </w:rPr>
        <w:t>nd</w:t>
      </w:r>
      <w:r>
        <w:t xml:space="preserve"> February 2011 [Online].  Available from: </w:t>
      </w:r>
      <w:hyperlink r:id="rId15" w:history="1">
        <w:r w:rsidRPr="00A53EF6">
          <w:rPr>
            <w:rStyle w:val="Hyperlink"/>
          </w:rPr>
          <w:t>https://www.iwa.wales/click/2011/02/teaching-makes-a-difference/</w:t>
        </w:r>
      </w:hyperlink>
      <w:r>
        <w:t xml:space="preserve"> (Accessed: 10 March 2019).</w:t>
      </w:r>
    </w:p>
    <w:p w14:paraId="4CE9A020" w14:textId="77777777" w:rsidR="00383420" w:rsidRDefault="00383420" w:rsidP="00383420">
      <w:pPr>
        <w:pStyle w:val="ListParagraph"/>
        <w:numPr>
          <w:ilvl w:val="0"/>
          <w:numId w:val="6"/>
        </w:numPr>
      </w:pPr>
      <w:r>
        <w:t>Andrew, L. (2012) ‘</w:t>
      </w:r>
      <w:r w:rsidRPr="00202BBD">
        <w:rPr>
          <w:i/>
        </w:rPr>
        <w:t>school performance’</w:t>
      </w:r>
      <w:r>
        <w:t>.  Speech by Wales Education Minister, Leighton Andrews; 7</w:t>
      </w:r>
      <w:r w:rsidRPr="00202BBD">
        <w:rPr>
          <w:vertAlign w:val="superscript"/>
        </w:rPr>
        <w:t>th</w:t>
      </w:r>
      <w:r>
        <w:t xml:space="preserve"> February 2012 [Online]. Available from: </w:t>
      </w:r>
      <w:hyperlink r:id="rId16" w:history="1">
        <w:r w:rsidRPr="00A53EF6">
          <w:rPr>
            <w:rStyle w:val="Hyperlink"/>
          </w:rPr>
          <w:t>https://gov.wales/written-statement-school-performance</w:t>
        </w:r>
      </w:hyperlink>
      <w:r>
        <w:t xml:space="preserve"> (Accessed: 10 March 2019). </w:t>
      </w:r>
    </w:p>
    <w:p w14:paraId="39B0D773" w14:textId="77777777" w:rsidR="00383420" w:rsidRDefault="00383420" w:rsidP="00383420">
      <w:pPr>
        <w:pStyle w:val="ListParagraph"/>
        <w:numPr>
          <w:ilvl w:val="0"/>
          <w:numId w:val="6"/>
        </w:numPr>
      </w:pPr>
      <w:r>
        <w:t>Bell, J. (1999) (3</w:t>
      </w:r>
      <w:r w:rsidRPr="00C93C41">
        <w:rPr>
          <w:vertAlign w:val="superscript"/>
        </w:rPr>
        <w:t>rd</w:t>
      </w:r>
      <w:r>
        <w:t xml:space="preserve"> ed) </w:t>
      </w:r>
      <w:r w:rsidRPr="00C93C41">
        <w:rPr>
          <w:i/>
        </w:rPr>
        <w:t>Doing Your Research Project</w:t>
      </w:r>
      <w:r>
        <w:t>.  Buckingham: Open University Press.</w:t>
      </w:r>
    </w:p>
    <w:p w14:paraId="504618DD" w14:textId="77777777" w:rsidR="00383420" w:rsidRDefault="00383420" w:rsidP="00383420">
      <w:pPr>
        <w:pStyle w:val="ListParagraph"/>
        <w:numPr>
          <w:ilvl w:val="0"/>
          <w:numId w:val="6"/>
        </w:numPr>
      </w:pPr>
      <w:r>
        <w:t>BERA (2018) (4</w:t>
      </w:r>
      <w:r w:rsidRPr="00FD0DC2">
        <w:rPr>
          <w:vertAlign w:val="superscript"/>
        </w:rPr>
        <w:t>th</w:t>
      </w:r>
      <w:r>
        <w:t xml:space="preserve"> ed) </w:t>
      </w:r>
      <w:r w:rsidRPr="00FD0DC2">
        <w:rPr>
          <w:i/>
        </w:rPr>
        <w:t>Ethical Guidelines for Educational Research</w:t>
      </w:r>
      <w:r>
        <w:t xml:space="preserve"> [Online].  Available from: </w:t>
      </w:r>
      <w:hyperlink r:id="rId17" w:history="1">
        <w:r w:rsidRPr="00A53EF6">
          <w:rPr>
            <w:rStyle w:val="Hyperlink"/>
          </w:rPr>
          <w:t>https://www.bera.ac.uk/wp-content/uploads/2018/06/BERA-Ethical-Guidelines-for-Educational-Research_4thEdn_2018.pdf?noredirect=1</w:t>
        </w:r>
      </w:hyperlink>
      <w:r>
        <w:t xml:space="preserve"> (Accessed: 05 April 2019). </w:t>
      </w:r>
    </w:p>
    <w:p w14:paraId="2C34B811" w14:textId="77777777" w:rsidR="00383420" w:rsidRDefault="00383420" w:rsidP="00383420">
      <w:pPr>
        <w:pStyle w:val="ListParagraph"/>
        <w:numPr>
          <w:ilvl w:val="0"/>
          <w:numId w:val="6"/>
        </w:numPr>
      </w:pPr>
      <w:r>
        <w:t xml:space="preserve">Brofenbrenner, U. (1979) </w:t>
      </w:r>
      <w:r w:rsidRPr="00D613A7">
        <w:rPr>
          <w:i/>
        </w:rPr>
        <w:t>The Ecology of Human Development: Experiences by Nature and Design</w:t>
      </w:r>
      <w:r>
        <w:t xml:space="preserve">.  Cambridge: Havard University Press.   </w:t>
      </w:r>
    </w:p>
    <w:p w14:paraId="7D863F96" w14:textId="77777777" w:rsidR="00383420" w:rsidRPr="000B2C0B" w:rsidRDefault="00383420" w:rsidP="00383420">
      <w:pPr>
        <w:pStyle w:val="NormalWeb"/>
        <w:numPr>
          <w:ilvl w:val="0"/>
          <w:numId w:val="6"/>
        </w:numPr>
        <w:rPr>
          <w:rFonts w:asciiTheme="minorHAnsi" w:eastAsia="Times New Roman" w:hAnsiTheme="minorHAnsi"/>
        </w:rPr>
      </w:pPr>
      <w:r w:rsidRPr="000B2C0B">
        <w:rPr>
          <w:rFonts w:asciiTheme="minorHAnsi" w:eastAsia="Times New Roman" w:hAnsiTheme="minorHAnsi"/>
          <w:spacing w:val="4"/>
          <w:shd w:val="clear" w:color="auto" w:fill="FCFCFC"/>
        </w:rPr>
        <w:t xml:space="preserve">Burgess, S., Wilson, D. &amp; Worth, J. (2010) </w:t>
      </w:r>
      <w:r w:rsidRPr="00203825">
        <w:rPr>
          <w:rFonts w:asciiTheme="minorHAnsi" w:eastAsia="Times New Roman" w:hAnsiTheme="minorHAnsi"/>
          <w:i/>
          <w:spacing w:val="4"/>
          <w:shd w:val="clear" w:color="auto" w:fill="FCFCFC"/>
        </w:rPr>
        <w:t xml:space="preserve">A Natural Experiment in School Accountability; the impact of school performance on pupil progress and sorting. </w:t>
      </w:r>
      <w:r w:rsidRPr="000B2C0B">
        <w:rPr>
          <w:rFonts w:asciiTheme="minorHAnsi" w:eastAsia="Times New Roman" w:hAnsiTheme="minorHAnsi"/>
          <w:spacing w:val="4"/>
          <w:shd w:val="clear" w:color="auto" w:fill="FCFCFC"/>
        </w:rPr>
        <w:t>The Centre for Market and Public Organisation</w:t>
      </w:r>
      <w:r>
        <w:rPr>
          <w:rFonts w:asciiTheme="minorHAnsi" w:eastAsia="Times New Roman" w:hAnsiTheme="minorHAnsi"/>
          <w:spacing w:val="4"/>
          <w:shd w:val="clear" w:color="auto" w:fill="FCFCFC"/>
        </w:rPr>
        <w:t xml:space="preserve">; Bristol University [Online].  Available from: </w:t>
      </w:r>
      <w:hyperlink r:id="rId18" w:history="1">
        <w:r w:rsidRPr="00A53EF6">
          <w:rPr>
            <w:rStyle w:val="Hyperlink"/>
            <w:rFonts w:asciiTheme="minorHAnsi" w:eastAsia="Times New Roman" w:hAnsiTheme="minorHAnsi"/>
            <w:spacing w:val="4"/>
            <w:shd w:val="clear" w:color="auto" w:fill="FCFCFC"/>
          </w:rPr>
          <w:t>http://www.bristol.ac.uk/media-library/sites/cmpo/migrated/documents/wp246.pdf</w:t>
        </w:r>
      </w:hyperlink>
      <w:r>
        <w:rPr>
          <w:rFonts w:asciiTheme="minorHAnsi" w:eastAsia="Times New Roman" w:hAnsiTheme="minorHAnsi"/>
          <w:spacing w:val="4"/>
          <w:shd w:val="clear" w:color="auto" w:fill="FCFCFC"/>
        </w:rPr>
        <w:t xml:space="preserve"> (Accessed: 12 January 2019). </w:t>
      </w:r>
    </w:p>
    <w:p w14:paraId="22424E69" w14:textId="77777777" w:rsidR="00383420" w:rsidRDefault="00383420" w:rsidP="00383420">
      <w:pPr>
        <w:pStyle w:val="ListParagraph"/>
        <w:numPr>
          <w:ilvl w:val="0"/>
          <w:numId w:val="6"/>
        </w:numPr>
      </w:pPr>
      <w:r>
        <w:t xml:space="preserve">Callaghan, J. (1976) </w:t>
      </w:r>
      <w:r w:rsidRPr="00B55622">
        <w:rPr>
          <w:i/>
        </w:rPr>
        <w:t>The Great Debate</w:t>
      </w:r>
      <w:r>
        <w:t xml:space="preserve"> [Online].  Available from: </w:t>
      </w:r>
      <w:hyperlink r:id="rId19" w:history="1">
        <w:r w:rsidRPr="00A53EF6">
          <w:rPr>
            <w:rStyle w:val="Hyperlink"/>
          </w:rPr>
          <w:t>http://www.educationengland.org.uk/documents/speeches/1976ruskin.html</w:t>
        </w:r>
      </w:hyperlink>
      <w:r>
        <w:t xml:space="preserve"> (Accessed 01 April 2019).</w:t>
      </w:r>
    </w:p>
    <w:p w14:paraId="64C6E1CB" w14:textId="77777777" w:rsidR="00383420" w:rsidRDefault="00383420" w:rsidP="00383420">
      <w:pPr>
        <w:pStyle w:val="ListParagraph"/>
        <w:numPr>
          <w:ilvl w:val="0"/>
          <w:numId w:val="6"/>
        </w:numPr>
      </w:pPr>
      <w:r>
        <w:t>Chapman, C., Armstrong, P., Harris, A. Mujis, D. &amp; Sammons, P. (2010) (1</w:t>
      </w:r>
      <w:r w:rsidRPr="0077126F">
        <w:rPr>
          <w:vertAlign w:val="superscript"/>
        </w:rPr>
        <w:t>st</w:t>
      </w:r>
      <w:r>
        <w:t xml:space="preserve"> ed) </w:t>
      </w:r>
      <w:r w:rsidRPr="00F846AC">
        <w:rPr>
          <w:i/>
        </w:rPr>
        <w:t>School Effectiveness and Improv</w:t>
      </w:r>
      <w:r>
        <w:rPr>
          <w:i/>
        </w:rPr>
        <w:t>ed Research, Policy and Practice</w:t>
      </w:r>
      <w:r>
        <w:t xml:space="preserve">.  London: Routledge. </w:t>
      </w:r>
    </w:p>
    <w:p w14:paraId="3CD105CF" w14:textId="77777777" w:rsidR="00383420" w:rsidRDefault="00383420" w:rsidP="00383420">
      <w:pPr>
        <w:pStyle w:val="ListParagraph"/>
        <w:numPr>
          <w:ilvl w:val="0"/>
          <w:numId w:val="6"/>
        </w:numPr>
      </w:pPr>
      <w:r>
        <w:t>Chitty, C. (201</w:t>
      </w:r>
      <w:r w:rsidRPr="00B55622">
        <w:t>4)</w:t>
      </w:r>
      <w:r>
        <w:t xml:space="preserve"> (3</w:t>
      </w:r>
      <w:r w:rsidRPr="00B55622">
        <w:rPr>
          <w:vertAlign w:val="superscript"/>
        </w:rPr>
        <w:t>rd</w:t>
      </w:r>
      <w:r>
        <w:t xml:space="preserve"> ed)</w:t>
      </w:r>
      <w:r w:rsidRPr="00B55622">
        <w:rPr>
          <w:i/>
        </w:rPr>
        <w:t xml:space="preserve"> Education Policy in Britain</w:t>
      </w:r>
      <w:r>
        <w:t>. Hampshire:  Palgrave MacMillan.</w:t>
      </w:r>
    </w:p>
    <w:p w14:paraId="39D8A09B" w14:textId="77777777" w:rsidR="00383420" w:rsidRDefault="00383420" w:rsidP="00383420">
      <w:pPr>
        <w:pStyle w:val="ListParagraph"/>
        <w:numPr>
          <w:ilvl w:val="0"/>
          <w:numId w:val="6"/>
        </w:numPr>
      </w:pPr>
      <w:r>
        <w:t>Cohen, L., Manion, L. &amp; Morrison, K. (2011) (7</w:t>
      </w:r>
      <w:r w:rsidRPr="000E1876">
        <w:rPr>
          <w:vertAlign w:val="superscript"/>
        </w:rPr>
        <w:t>TH</w:t>
      </w:r>
      <w:r>
        <w:t xml:space="preserve"> ed) Research Methods in Education.  Oxon:  Routledge.</w:t>
      </w:r>
    </w:p>
    <w:p w14:paraId="46961BF2" w14:textId="77777777" w:rsidR="00383420" w:rsidRDefault="00383420" w:rsidP="00383420">
      <w:pPr>
        <w:pStyle w:val="ListParagraph"/>
        <w:numPr>
          <w:ilvl w:val="0"/>
          <w:numId w:val="6"/>
        </w:numPr>
      </w:pPr>
      <w:r>
        <w:t>Denscombe, M. (2007) (3</w:t>
      </w:r>
      <w:r w:rsidRPr="0077126F">
        <w:rPr>
          <w:vertAlign w:val="superscript"/>
        </w:rPr>
        <w:t>rd</w:t>
      </w:r>
      <w:r>
        <w:t xml:space="preserve"> ed) </w:t>
      </w:r>
      <w:r w:rsidRPr="0077126F">
        <w:rPr>
          <w:i/>
        </w:rPr>
        <w:t>The Good Research Guide: for small-scale social research projects</w:t>
      </w:r>
      <w:r>
        <w:t xml:space="preserve">.  Buckingham: Open University Press. </w:t>
      </w:r>
    </w:p>
    <w:p w14:paraId="07BAF141" w14:textId="77777777" w:rsidR="00383420" w:rsidRDefault="00383420" w:rsidP="00383420">
      <w:pPr>
        <w:pStyle w:val="ListParagraph"/>
        <w:numPr>
          <w:ilvl w:val="0"/>
          <w:numId w:val="6"/>
        </w:numPr>
      </w:pPr>
      <w:r>
        <w:t xml:space="preserve">Donaldson, G. (2015) </w:t>
      </w:r>
      <w:r w:rsidRPr="00BE599D">
        <w:rPr>
          <w:i/>
        </w:rPr>
        <w:t>Success Futures; Independent Review of Curriculum</w:t>
      </w:r>
      <w:r w:rsidRPr="00BE599D">
        <w:rPr>
          <w:i/>
        </w:rPr>
        <w:br/>
        <w:t>and Assessment Arrangements in Wales</w:t>
      </w:r>
      <w:r>
        <w:t xml:space="preserve"> [Online].  Available from: </w:t>
      </w:r>
      <w:hyperlink r:id="rId20" w:history="1">
        <w:r w:rsidRPr="00A53EF6">
          <w:rPr>
            <w:rStyle w:val="Hyperlink"/>
          </w:rPr>
          <w:t>https://dera.ioe.ac.uk/22165/2/150225-successful-futures-en_Redacted.pdf</w:t>
        </w:r>
      </w:hyperlink>
      <w:r>
        <w:t xml:space="preserve"> (Accessed: 10 November 2018).</w:t>
      </w:r>
    </w:p>
    <w:p w14:paraId="29C5F207" w14:textId="77777777" w:rsidR="00383420" w:rsidRDefault="00383420" w:rsidP="00383420">
      <w:pPr>
        <w:pStyle w:val="ListParagraph"/>
        <w:numPr>
          <w:ilvl w:val="0"/>
          <w:numId w:val="6"/>
        </w:numPr>
      </w:pPr>
      <w:r>
        <w:t xml:space="preserve">Dyer, C. (1995) </w:t>
      </w:r>
      <w:r w:rsidRPr="00FE2848">
        <w:rPr>
          <w:i/>
        </w:rPr>
        <w:t>Beginning Research in Psychology; A Practical Guide to Research Methods.</w:t>
      </w:r>
      <w:r>
        <w:t xml:space="preserve">  USA: Blackwell Publications Ltd. </w:t>
      </w:r>
    </w:p>
    <w:p w14:paraId="29E2BEDA" w14:textId="77777777" w:rsidR="00383420" w:rsidRDefault="00383420" w:rsidP="00383420">
      <w:pPr>
        <w:pStyle w:val="ListParagraph"/>
        <w:numPr>
          <w:ilvl w:val="0"/>
          <w:numId w:val="6"/>
        </w:numPr>
      </w:pPr>
      <w:r>
        <w:t xml:space="preserve">Elmore, R. (2004) </w:t>
      </w:r>
      <w:r w:rsidRPr="00E25A5B">
        <w:rPr>
          <w:i/>
        </w:rPr>
        <w:t>School Reform from the Inside Out: Policy, Practice and Performance.</w:t>
      </w:r>
      <w:r>
        <w:t xml:space="preserve"> Cambridge: Harvard Education Press. </w:t>
      </w:r>
    </w:p>
    <w:p w14:paraId="7AC06F88" w14:textId="77777777" w:rsidR="00383420" w:rsidRDefault="00383420" w:rsidP="00383420">
      <w:pPr>
        <w:pStyle w:val="ListParagraph"/>
        <w:numPr>
          <w:ilvl w:val="0"/>
          <w:numId w:val="6"/>
        </w:numPr>
      </w:pPr>
      <w:r>
        <w:t xml:space="preserve">Estyn. (2010) </w:t>
      </w:r>
      <w:r w:rsidRPr="008944E7">
        <w:rPr>
          <w:i/>
        </w:rPr>
        <w:t>Common Inspection Framework 2010</w:t>
      </w:r>
      <w:r>
        <w:t xml:space="preserve"> [Online].  Available from: </w:t>
      </w:r>
      <w:hyperlink r:id="rId21" w:history="1">
        <w:r w:rsidRPr="00A53EF6">
          <w:rPr>
            <w:rStyle w:val="Hyperlink"/>
          </w:rPr>
          <w:t>https://www.estyn.gov.wales/sites/default/files/documents/Common%20Inspection%20Framework.pdf</w:t>
        </w:r>
      </w:hyperlink>
      <w:r>
        <w:t xml:space="preserve"> (Accessed: 04 December 2018).</w:t>
      </w:r>
    </w:p>
    <w:p w14:paraId="4383B967" w14:textId="77777777" w:rsidR="00383420" w:rsidRDefault="00383420" w:rsidP="00383420">
      <w:pPr>
        <w:pStyle w:val="ListParagraph"/>
        <w:numPr>
          <w:ilvl w:val="0"/>
          <w:numId w:val="6"/>
        </w:numPr>
      </w:pPr>
      <w:r>
        <w:t xml:space="preserve">Estyn. (2010) </w:t>
      </w:r>
      <w:r w:rsidRPr="008944E7">
        <w:rPr>
          <w:i/>
        </w:rPr>
        <w:t>Common Inspection Framework 201</w:t>
      </w:r>
      <w:r>
        <w:rPr>
          <w:i/>
        </w:rPr>
        <w:t>7</w:t>
      </w:r>
      <w:r>
        <w:t xml:space="preserve"> [Online].  Available from: </w:t>
      </w:r>
      <w:hyperlink r:id="rId22" w:history="1">
        <w:r w:rsidRPr="00A53EF6">
          <w:rPr>
            <w:rStyle w:val="Hyperlink"/>
          </w:rPr>
          <w:t>https://www.estyn.gov.wales/sites/default/files/documents/2017%20-final%20CIF.pdf</w:t>
        </w:r>
      </w:hyperlink>
      <w:r>
        <w:t xml:space="preserve"> (Accessed: 04 December 2018). </w:t>
      </w:r>
    </w:p>
    <w:p w14:paraId="2F6C8E25" w14:textId="77777777" w:rsidR="00383420" w:rsidRDefault="00383420" w:rsidP="00383420">
      <w:pPr>
        <w:pStyle w:val="ListParagraph"/>
        <w:numPr>
          <w:ilvl w:val="0"/>
          <w:numId w:val="6"/>
        </w:numPr>
      </w:pPr>
      <w:r>
        <w:t xml:space="preserve">European Commission. (2013) </w:t>
      </w:r>
      <w:r w:rsidRPr="00CD56AD">
        <w:rPr>
          <w:i/>
        </w:rPr>
        <w:t>The Structure of the European Education Systems</w:t>
      </w:r>
      <w:r>
        <w:t xml:space="preserve"> [Online].  Available from: </w:t>
      </w:r>
      <w:hyperlink r:id="rId23" w:history="1">
        <w:r w:rsidRPr="00A53EF6">
          <w:rPr>
            <w:rStyle w:val="Hyperlink"/>
          </w:rPr>
          <w:t>http://ec.europa.eu/assets/eac/education/library/publications/monitor13_en.pdf</w:t>
        </w:r>
      </w:hyperlink>
      <w:r>
        <w:t xml:space="preserve"> (Accessed: 10 August 2018).</w:t>
      </w:r>
    </w:p>
    <w:p w14:paraId="7295E03B" w14:textId="77777777" w:rsidR="00383420" w:rsidRDefault="00383420" w:rsidP="00383420">
      <w:pPr>
        <w:pStyle w:val="ListParagraph"/>
        <w:numPr>
          <w:ilvl w:val="0"/>
          <w:numId w:val="6"/>
        </w:numPr>
      </w:pPr>
      <w:r>
        <w:t xml:space="preserve">Great Britain.  </w:t>
      </w:r>
      <w:r w:rsidRPr="00D23816">
        <w:rPr>
          <w:i/>
        </w:rPr>
        <w:t>Data Protection Act; Elizabeth II.</w:t>
      </w:r>
      <w:r>
        <w:t xml:space="preserve"> (2018).  London: The Stationary Office. </w:t>
      </w:r>
    </w:p>
    <w:p w14:paraId="7AC81983" w14:textId="77777777" w:rsidR="00383420" w:rsidRDefault="00383420" w:rsidP="00383420">
      <w:pPr>
        <w:pStyle w:val="ListParagraph"/>
        <w:numPr>
          <w:ilvl w:val="0"/>
          <w:numId w:val="6"/>
        </w:numPr>
      </w:pPr>
      <w:r>
        <w:t xml:space="preserve">Great Britain.  </w:t>
      </w:r>
      <w:r>
        <w:rPr>
          <w:i/>
        </w:rPr>
        <w:t>Education (Schools) Act</w:t>
      </w:r>
      <w:r w:rsidRPr="00776523">
        <w:rPr>
          <w:i/>
        </w:rPr>
        <w:t>; Elizabeth II. Chapter 3</w:t>
      </w:r>
      <w:r>
        <w:rPr>
          <w:i/>
        </w:rPr>
        <w:t>8</w:t>
      </w:r>
      <w:r>
        <w:t xml:space="preserve"> (1992).  London: The Stationary Office.</w:t>
      </w:r>
    </w:p>
    <w:p w14:paraId="6987ADF3" w14:textId="77777777" w:rsidR="00383420" w:rsidRDefault="00383420" w:rsidP="00383420">
      <w:pPr>
        <w:pStyle w:val="ListParagraph"/>
        <w:numPr>
          <w:ilvl w:val="0"/>
          <w:numId w:val="6"/>
        </w:numPr>
      </w:pPr>
      <w:r>
        <w:t xml:space="preserve">Great Britain.  </w:t>
      </w:r>
      <w:r w:rsidRPr="00776523">
        <w:rPr>
          <w:i/>
        </w:rPr>
        <w:t>The Children’s Act; Elizabeth II. Chapter 31</w:t>
      </w:r>
      <w:r>
        <w:t xml:space="preserve"> (2004).  London: The Stationary Office.</w:t>
      </w:r>
    </w:p>
    <w:p w14:paraId="15292AC2" w14:textId="77777777" w:rsidR="00383420" w:rsidRPr="000F00C0" w:rsidRDefault="00383420" w:rsidP="00383420">
      <w:pPr>
        <w:pStyle w:val="ListParagraph"/>
        <w:numPr>
          <w:ilvl w:val="0"/>
          <w:numId w:val="6"/>
        </w:numPr>
      </w:pPr>
      <w:r>
        <w:t xml:space="preserve">Great Britain. </w:t>
      </w:r>
      <w:r w:rsidRPr="0065209E">
        <w:rPr>
          <w:rFonts w:eastAsia="Times New Roman" w:cs="Arial"/>
          <w:i/>
          <w:shd w:val="clear" w:color="auto" w:fill="FFFFFF"/>
        </w:rPr>
        <w:t>Education (School Performance Information) (England) Regulations 1992</w:t>
      </w:r>
      <w:r>
        <w:rPr>
          <w:rFonts w:eastAsia="Times New Roman" w:cs="Arial"/>
          <w:shd w:val="clear" w:color="auto" w:fill="FFFFFF"/>
        </w:rPr>
        <w:t xml:space="preserve">; </w:t>
      </w:r>
      <w:r w:rsidRPr="0065209E">
        <w:rPr>
          <w:rFonts w:eastAsia="Times New Roman" w:cs="Arial"/>
          <w:i/>
          <w:shd w:val="clear" w:color="auto" w:fill="FFFFFF"/>
        </w:rPr>
        <w:t>Elizabeth II</w:t>
      </w:r>
      <w:r>
        <w:rPr>
          <w:rFonts w:eastAsia="Times New Roman" w:cs="Arial"/>
          <w:shd w:val="clear" w:color="auto" w:fill="FFFFFF"/>
        </w:rPr>
        <w:t xml:space="preserve">. (No. 1385) (1992).  [Online].  Available from: </w:t>
      </w:r>
      <w:hyperlink r:id="rId24" w:history="1">
        <w:r w:rsidRPr="00A53EF6">
          <w:rPr>
            <w:rStyle w:val="Hyperlink"/>
            <w:rFonts w:eastAsia="Times New Roman" w:cs="Arial"/>
            <w:shd w:val="clear" w:color="auto" w:fill="FFFFFF"/>
          </w:rPr>
          <w:t>http://www.legislation.gov.uk/uksi/1992/1385/made</w:t>
        </w:r>
      </w:hyperlink>
      <w:r>
        <w:rPr>
          <w:rFonts w:eastAsia="Times New Roman" w:cs="Arial"/>
          <w:shd w:val="clear" w:color="auto" w:fill="FFFFFF"/>
        </w:rPr>
        <w:t xml:space="preserve"> (Accessed: 02 April 2019). </w:t>
      </w:r>
    </w:p>
    <w:p w14:paraId="675A0208" w14:textId="77777777" w:rsidR="00383420" w:rsidRDefault="00383420" w:rsidP="00383420">
      <w:pPr>
        <w:pStyle w:val="ListParagraph"/>
        <w:numPr>
          <w:ilvl w:val="0"/>
          <w:numId w:val="6"/>
        </w:numPr>
      </w:pPr>
      <w:r>
        <w:t xml:space="preserve">Great Britain. </w:t>
      </w:r>
      <w:r>
        <w:rPr>
          <w:i/>
        </w:rPr>
        <w:t>Education Act</w:t>
      </w:r>
      <w:r w:rsidRPr="00776523">
        <w:rPr>
          <w:i/>
        </w:rPr>
        <w:t>; Elizabeth II.</w:t>
      </w:r>
      <w:r>
        <w:t xml:space="preserve"> </w:t>
      </w:r>
      <w:r w:rsidRPr="00511E44">
        <w:rPr>
          <w:i/>
        </w:rPr>
        <w:t>Chapter 18</w:t>
      </w:r>
      <w:r>
        <w:t xml:space="preserve"> (2005).  London:  The Stationary Office.</w:t>
      </w:r>
    </w:p>
    <w:p w14:paraId="030CD789" w14:textId="77777777" w:rsidR="00383420" w:rsidRDefault="00383420" w:rsidP="00383420">
      <w:pPr>
        <w:pStyle w:val="ListParagraph"/>
        <w:numPr>
          <w:ilvl w:val="0"/>
          <w:numId w:val="6"/>
        </w:numPr>
      </w:pPr>
      <w:r>
        <w:t xml:space="preserve">Great Britain. </w:t>
      </w:r>
      <w:r w:rsidRPr="00776523">
        <w:rPr>
          <w:i/>
        </w:rPr>
        <w:t>Every Child Matters; Elizabeth II.</w:t>
      </w:r>
      <w:r>
        <w:t xml:space="preserve"> (2003).  London:  The Stationary Office.</w:t>
      </w:r>
    </w:p>
    <w:p w14:paraId="1EB54218" w14:textId="77777777" w:rsidR="00383420" w:rsidRDefault="00383420" w:rsidP="00383420">
      <w:pPr>
        <w:pStyle w:val="ListParagraph"/>
        <w:numPr>
          <w:ilvl w:val="0"/>
          <w:numId w:val="6"/>
        </w:numPr>
      </w:pPr>
      <w:r>
        <w:t xml:space="preserve">Hill, R. (2013) </w:t>
      </w:r>
      <w:r w:rsidRPr="00060699">
        <w:rPr>
          <w:i/>
        </w:rPr>
        <w:t>The Future Delivery of Education Services in Wales</w:t>
      </w:r>
      <w:r>
        <w:t xml:space="preserve"> [Online].  Available at: </w:t>
      </w:r>
      <w:hyperlink r:id="rId25" w:history="1">
        <w:r w:rsidRPr="00A53EF6">
          <w:rPr>
            <w:rStyle w:val="Hyperlink"/>
          </w:rPr>
          <w:t>https://gov.wales/sites/default/files/consultations/2018-01/130621-delivery-of-education-report-en.pdf</w:t>
        </w:r>
      </w:hyperlink>
      <w:r>
        <w:t xml:space="preserve"> (Accessed: 10 March 2019).</w:t>
      </w:r>
    </w:p>
    <w:p w14:paraId="2AB5435A" w14:textId="77777777" w:rsidR="00383420" w:rsidRDefault="00383420" w:rsidP="00383420">
      <w:pPr>
        <w:pStyle w:val="ListParagraph"/>
        <w:numPr>
          <w:ilvl w:val="0"/>
          <w:numId w:val="6"/>
        </w:numPr>
      </w:pPr>
      <w:r>
        <w:t xml:space="preserve">House of commons.  Children, Schools and Families Committee (2010) </w:t>
      </w:r>
      <w:r w:rsidRPr="004D2311">
        <w:rPr>
          <w:i/>
        </w:rPr>
        <w:t>Volume 1; School Accountability</w:t>
      </w:r>
      <w:r>
        <w:t xml:space="preserve"> [Online].  Available from: </w:t>
      </w:r>
      <w:hyperlink r:id="rId26" w:history="1">
        <w:r w:rsidRPr="00A53EF6">
          <w:rPr>
            <w:rStyle w:val="Hyperlink"/>
          </w:rPr>
          <w:t>https://publications.parliament.uk/pa/cm200910/cmselect/cmchilsch/88/88i.pdf</w:t>
        </w:r>
      </w:hyperlink>
      <w:r>
        <w:t xml:space="preserve"> (Accessed: 20 November 2018). </w:t>
      </w:r>
    </w:p>
    <w:p w14:paraId="06E599C2" w14:textId="77777777" w:rsidR="00383420" w:rsidRDefault="00383420" w:rsidP="00383420">
      <w:pPr>
        <w:pStyle w:val="ListParagraph"/>
        <w:numPr>
          <w:ilvl w:val="0"/>
          <w:numId w:val="6"/>
        </w:numPr>
      </w:pPr>
      <w:hyperlink r:id="rId27" w:history="1">
        <w:r w:rsidRPr="00A53EF6">
          <w:rPr>
            <w:rStyle w:val="Hyperlink"/>
          </w:rPr>
          <w:t>https://learning.gov.wales/docs/learningwales/publications/170901-professional-standards-for-teaching-and-leadership-en.pdf</w:t>
        </w:r>
      </w:hyperlink>
      <w:r>
        <w:t xml:space="preserve"> (Accessed: 01 April 2019). </w:t>
      </w:r>
    </w:p>
    <w:p w14:paraId="31485496" w14:textId="77777777" w:rsidR="00383420" w:rsidRPr="005F7BFA" w:rsidRDefault="00383420" w:rsidP="00383420">
      <w:pPr>
        <w:pStyle w:val="NormalWeb"/>
        <w:numPr>
          <w:ilvl w:val="0"/>
          <w:numId w:val="6"/>
        </w:numPr>
        <w:rPr>
          <w:rFonts w:asciiTheme="minorHAnsi" w:hAnsiTheme="minorHAnsi"/>
        </w:rPr>
      </w:pPr>
      <w:r w:rsidRPr="005F7BFA">
        <w:rPr>
          <w:rFonts w:asciiTheme="minorHAnsi" w:hAnsiTheme="minorHAnsi"/>
        </w:rPr>
        <w:t xml:space="preserve">Johnson, R. &amp; Onwuegbuzie, A. (2004) </w:t>
      </w:r>
      <w:r>
        <w:rPr>
          <w:rFonts w:asciiTheme="minorHAnsi" w:hAnsiTheme="minorHAnsi"/>
          <w:i/>
        </w:rPr>
        <w:t>Mixed Methods Research;</w:t>
      </w:r>
      <w:r w:rsidRPr="00572D55">
        <w:rPr>
          <w:rFonts w:asciiTheme="minorHAnsi" w:hAnsiTheme="minorHAnsi"/>
          <w:i/>
        </w:rPr>
        <w:t xml:space="preserve"> A Research Paradigm Whose Time Has Come</w:t>
      </w:r>
      <w:r>
        <w:rPr>
          <w:rFonts w:asciiTheme="minorHAnsi" w:hAnsiTheme="minorHAnsi"/>
        </w:rPr>
        <w:t xml:space="preserve">:  Educational Researcher. </w:t>
      </w:r>
      <w:r w:rsidRPr="005F7BFA">
        <w:rPr>
          <w:rFonts w:asciiTheme="minorHAnsi" w:hAnsiTheme="minorHAnsi"/>
        </w:rPr>
        <w:t xml:space="preserve"> </w:t>
      </w:r>
      <w:r>
        <w:rPr>
          <w:rFonts w:asciiTheme="minorHAnsi" w:hAnsiTheme="minorHAnsi"/>
        </w:rPr>
        <w:t>(</w:t>
      </w:r>
      <w:r w:rsidRPr="005F7BFA">
        <w:rPr>
          <w:rFonts w:asciiTheme="minorHAnsi" w:hAnsiTheme="minorHAnsi"/>
        </w:rPr>
        <w:t>Vol. 33</w:t>
      </w:r>
      <w:r>
        <w:rPr>
          <w:rFonts w:asciiTheme="minorHAnsi" w:hAnsiTheme="minorHAnsi"/>
        </w:rPr>
        <w:t xml:space="preserve">, No. 7, p. 14-26) [Online].  Available from: </w:t>
      </w:r>
      <w:hyperlink r:id="rId28" w:history="1">
        <w:r w:rsidRPr="00A53EF6">
          <w:rPr>
            <w:rStyle w:val="Hyperlink"/>
            <w:rFonts w:asciiTheme="minorHAnsi" w:hAnsiTheme="minorHAnsi"/>
          </w:rPr>
          <w:t>http://mintlinz.pbworks.com/w/file/fetch/83256376/Johnson%20Mixed%20methods%202004.pdf</w:t>
        </w:r>
      </w:hyperlink>
      <w:r>
        <w:rPr>
          <w:rFonts w:asciiTheme="minorHAnsi" w:hAnsiTheme="minorHAnsi"/>
        </w:rPr>
        <w:t xml:space="preserve"> (Accessed: 03 April 2019).</w:t>
      </w:r>
    </w:p>
    <w:p w14:paraId="3EE1BF4E" w14:textId="77777777" w:rsidR="00383420" w:rsidRDefault="00383420" w:rsidP="00383420">
      <w:pPr>
        <w:pStyle w:val="ListParagraph"/>
        <w:numPr>
          <w:ilvl w:val="0"/>
          <w:numId w:val="6"/>
        </w:numPr>
      </w:pPr>
      <w:r>
        <w:t xml:space="preserve">Jones, G. &amp; Roderick, G. (2003) </w:t>
      </w:r>
      <w:r w:rsidRPr="00CC5C1B">
        <w:rPr>
          <w:i/>
        </w:rPr>
        <w:t>A History of Education in Wales</w:t>
      </w:r>
      <w:r>
        <w:t>.  Cardiff: University of Wales Press.</w:t>
      </w:r>
    </w:p>
    <w:p w14:paraId="7574F1BE" w14:textId="77777777" w:rsidR="00383420" w:rsidRDefault="00383420" w:rsidP="00383420">
      <w:pPr>
        <w:pStyle w:val="ListParagraph"/>
        <w:numPr>
          <w:ilvl w:val="0"/>
          <w:numId w:val="6"/>
        </w:numPr>
      </w:pPr>
      <w:r>
        <w:lastRenderedPageBreak/>
        <w:t xml:space="preserve">Lewis, H. (2014) </w:t>
      </w:r>
      <w:r w:rsidRPr="006163FF">
        <w:rPr>
          <w:i/>
        </w:rPr>
        <w:t>‘national school’s categorisation system’</w:t>
      </w:r>
      <w:r>
        <w:t>.  Written statement by Wales Education Minister, Huw Lewis; 25</w:t>
      </w:r>
      <w:r w:rsidRPr="006163FF">
        <w:rPr>
          <w:vertAlign w:val="superscript"/>
        </w:rPr>
        <w:t>th</w:t>
      </w:r>
      <w:r>
        <w:t xml:space="preserve"> September 2014 [Online].  Available from: </w:t>
      </w:r>
      <w:hyperlink r:id="rId29" w:history="1">
        <w:r w:rsidRPr="00A53EF6">
          <w:rPr>
            <w:rStyle w:val="Hyperlink"/>
          </w:rPr>
          <w:t>https://gov.wales/written-statement-national-school-categorisation-system</w:t>
        </w:r>
      </w:hyperlink>
      <w:r>
        <w:t xml:space="preserve"> (Accessed on: 2 February 2019). </w:t>
      </w:r>
    </w:p>
    <w:p w14:paraId="226B0122" w14:textId="77777777" w:rsidR="00383420" w:rsidRDefault="00383420" w:rsidP="00383420">
      <w:pPr>
        <w:pStyle w:val="ListParagraph"/>
        <w:numPr>
          <w:ilvl w:val="0"/>
          <w:numId w:val="6"/>
        </w:numPr>
      </w:pPr>
      <w:r>
        <w:t>Lewis, H. (2014) ‘schools challenge cymru’.  Written statement by Wales Education Minister, Huw Lewis; 1</w:t>
      </w:r>
      <w:r w:rsidRPr="009F6212">
        <w:rPr>
          <w:vertAlign w:val="superscript"/>
        </w:rPr>
        <w:t>st</w:t>
      </w:r>
      <w:r>
        <w:t xml:space="preserve"> May 2014 [Online].  Available from: </w:t>
      </w:r>
      <w:hyperlink r:id="rId30" w:history="1">
        <w:r w:rsidRPr="00A53EF6">
          <w:rPr>
            <w:rStyle w:val="Hyperlink"/>
          </w:rPr>
          <w:t>https://gov.wales/written-statement-schools-challenge-cymru-pathways-success-schools</w:t>
        </w:r>
      </w:hyperlink>
      <w:r>
        <w:t xml:space="preserve"> (Accessed: 02 April 2019).</w:t>
      </w:r>
    </w:p>
    <w:p w14:paraId="7E17399C" w14:textId="77777777" w:rsidR="00383420" w:rsidRDefault="00383420" w:rsidP="00383420">
      <w:pPr>
        <w:pStyle w:val="ListParagraph"/>
        <w:numPr>
          <w:ilvl w:val="0"/>
          <w:numId w:val="6"/>
        </w:numPr>
      </w:pPr>
      <w:r>
        <w:t xml:space="preserve">Mattei, P. (2012) </w:t>
      </w:r>
      <w:r w:rsidRPr="00197390">
        <w:rPr>
          <w:i/>
        </w:rPr>
        <w:t>Raising Educational Standards;</w:t>
      </w:r>
      <w:r>
        <w:t xml:space="preserve"> National Testing of Pupils on the United Kingdom.  Policies Studies.  (Vol. 33, No. 3, p. 231-247) [Online].  Available from: </w:t>
      </w:r>
      <w:hyperlink r:id="rId31" w:history="1">
        <w:r w:rsidRPr="00A53EF6">
          <w:rPr>
            <w:rStyle w:val="Hyperlink"/>
          </w:rPr>
          <w:t>https://doi.org/10.1080/01442872.2012.658260</w:t>
        </w:r>
      </w:hyperlink>
      <w:r>
        <w:t xml:space="preserve"> (Accessed: 22 November 2018).  </w:t>
      </w:r>
    </w:p>
    <w:p w14:paraId="5C0A01B8" w14:textId="77777777" w:rsidR="00383420" w:rsidRDefault="00383420" w:rsidP="00383420">
      <w:pPr>
        <w:pStyle w:val="ListParagraph"/>
        <w:numPr>
          <w:ilvl w:val="0"/>
          <w:numId w:val="6"/>
        </w:numPr>
      </w:pPr>
      <w:r>
        <w:t xml:space="preserve">McAuley, C. &amp; Rose, R. (2010) </w:t>
      </w:r>
      <w:r w:rsidRPr="00D613A7">
        <w:rPr>
          <w:i/>
        </w:rPr>
        <w:t xml:space="preserve">Child Wellbeing; Understanding Children’s Lives. </w:t>
      </w:r>
      <w:r>
        <w:t xml:space="preserve"> London:  Jessica Kingsley Publishers.</w:t>
      </w:r>
    </w:p>
    <w:p w14:paraId="06F0C6FD" w14:textId="77777777" w:rsidR="00383420" w:rsidRDefault="00383420" w:rsidP="00383420">
      <w:pPr>
        <w:pStyle w:val="ListParagraph"/>
        <w:numPr>
          <w:ilvl w:val="0"/>
          <w:numId w:val="6"/>
        </w:numPr>
      </w:pPr>
      <w:r>
        <w:t>Miles, B., Huberman, M. &amp; Saldana, J. (2017) (4</w:t>
      </w:r>
      <w:r w:rsidRPr="00C10F76">
        <w:rPr>
          <w:vertAlign w:val="superscript"/>
        </w:rPr>
        <w:t>th</w:t>
      </w:r>
      <w:r>
        <w:t xml:space="preserve"> ed) </w:t>
      </w:r>
      <w:r w:rsidRPr="00C10F76">
        <w:rPr>
          <w:i/>
        </w:rPr>
        <w:t>Qualitative Data Analysis: A Methods Sourcebook</w:t>
      </w:r>
      <w:r>
        <w:t xml:space="preserve">.  London: SAGE Publications. </w:t>
      </w:r>
    </w:p>
    <w:p w14:paraId="5E0E94E6" w14:textId="77777777" w:rsidR="00383420" w:rsidRDefault="00383420" w:rsidP="00383420">
      <w:pPr>
        <w:pStyle w:val="ListParagraph"/>
        <w:numPr>
          <w:ilvl w:val="0"/>
          <w:numId w:val="6"/>
        </w:numPr>
      </w:pPr>
      <w:r>
        <w:t xml:space="preserve">Northern Ireland. Department for Education (2017) </w:t>
      </w:r>
      <w:r w:rsidRPr="009D67C8">
        <w:rPr>
          <w:i/>
        </w:rPr>
        <w:t>Children and Young People’s Strategy 2017 – 2027</w:t>
      </w:r>
      <w:r>
        <w:t xml:space="preserve"> [Online].  Available from: </w:t>
      </w:r>
      <w:hyperlink r:id="rId32" w:history="1">
        <w:r w:rsidRPr="00A53EF6">
          <w:rPr>
            <w:rStyle w:val="Hyperlink"/>
          </w:rPr>
          <w:t>https://www.education-ni.gov.uk/consultations/children-and-young-peoples-strategy-2017-2027</w:t>
        </w:r>
      </w:hyperlink>
      <w:r>
        <w:t xml:space="preserve"> (Accessed: 10 December 2018). </w:t>
      </w:r>
    </w:p>
    <w:p w14:paraId="70733636" w14:textId="77777777" w:rsidR="00383420" w:rsidRDefault="00383420" w:rsidP="00383420">
      <w:pPr>
        <w:pStyle w:val="ListParagraph"/>
        <w:numPr>
          <w:ilvl w:val="0"/>
          <w:numId w:val="6"/>
        </w:numPr>
      </w:pPr>
      <w:r>
        <w:t xml:space="preserve">OECD. (2010) PISA 2009 Results: Executive Summary [Online].  Available from: </w:t>
      </w:r>
      <w:hyperlink r:id="rId33" w:history="1">
        <w:r w:rsidRPr="00A53EF6">
          <w:rPr>
            <w:rStyle w:val="Hyperlink"/>
          </w:rPr>
          <w:t>https://www.oecd.org/pisa/pisaproducts/46619703.pdf</w:t>
        </w:r>
      </w:hyperlink>
      <w:r>
        <w:t xml:space="preserve"> (Accessed: 20 September 2018). </w:t>
      </w:r>
    </w:p>
    <w:p w14:paraId="0EF39CB9" w14:textId="77777777" w:rsidR="00383420" w:rsidRDefault="00383420" w:rsidP="00383420">
      <w:pPr>
        <w:pStyle w:val="ListParagraph"/>
        <w:numPr>
          <w:ilvl w:val="0"/>
          <w:numId w:val="6"/>
        </w:numPr>
      </w:pPr>
      <w:r>
        <w:t xml:space="preserve">OECD. (2014) </w:t>
      </w:r>
      <w:r w:rsidRPr="00C53F80">
        <w:rPr>
          <w:i/>
        </w:rPr>
        <w:t xml:space="preserve">Improving Schools in Wales: An OECD Perspective </w:t>
      </w:r>
      <w:r>
        <w:t xml:space="preserve">[Online].  Available from: </w:t>
      </w:r>
      <w:hyperlink r:id="rId34" w:history="1">
        <w:r w:rsidRPr="00A53EF6">
          <w:rPr>
            <w:rStyle w:val="Hyperlink"/>
          </w:rPr>
          <w:t>http://www.oecd.org/education/Improving-schools-in-Wales.pdf</w:t>
        </w:r>
      </w:hyperlink>
      <w:r>
        <w:t xml:space="preserve"> (Accessed: 02 October 2018).</w:t>
      </w:r>
    </w:p>
    <w:p w14:paraId="32D01649" w14:textId="77777777" w:rsidR="00383420" w:rsidRDefault="00383420" w:rsidP="00383420">
      <w:pPr>
        <w:pStyle w:val="ListParagraph"/>
        <w:numPr>
          <w:ilvl w:val="0"/>
          <w:numId w:val="6"/>
        </w:numPr>
      </w:pPr>
      <w:r>
        <w:t xml:space="preserve">OECD. (2016) </w:t>
      </w:r>
      <w:r>
        <w:rPr>
          <w:i/>
        </w:rPr>
        <w:t>Welsh Education Reform Journey: A Rapid Policy Assessment</w:t>
      </w:r>
      <w:r w:rsidRPr="00C53F80">
        <w:rPr>
          <w:i/>
        </w:rPr>
        <w:t xml:space="preserve"> </w:t>
      </w:r>
      <w:r>
        <w:t xml:space="preserve">[Online].  Available from: </w:t>
      </w:r>
      <w:hyperlink r:id="rId35" w:history="1">
        <w:r w:rsidRPr="00A53EF6">
          <w:rPr>
            <w:rStyle w:val="Hyperlink"/>
          </w:rPr>
          <w:t>http://www.oecd.org/education/The-Welsh-Education-Reform-Journey-FINAL.pdf</w:t>
        </w:r>
      </w:hyperlink>
      <w:r>
        <w:t xml:space="preserve"> (Accessed: 03 October 2018).</w:t>
      </w:r>
    </w:p>
    <w:p w14:paraId="73F3C762" w14:textId="77777777" w:rsidR="00383420" w:rsidRPr="005F7BFA" w:rsidRDefault="00383420" w:rsidP="00383420">
      <w:pPr>
        <w:pStyle w:val="ListParagraph"/>
        <w:numPr>
          <w:ilvl w:val="0"/>
          <w:numId w:val="6"/>
        </w:numPr>
        <w:rPr>
          <w:rFonts w:ascii="Times New Roman" w:eastAsia="Times New Roman" w:hAnsi="Times New Roman" w:cs="Times New Roman"/>
          <w:lang w:eastAsia="en-GB"/>
        </w:rPr>
      </w:pPr>
      <w:r w:rsidRPr="00EC45F7">
        <w:rPr>
          <w:rFonts w:eastAsia="Times New Roman"/>
          <w:spacing w:val="2"/>
          <w:lang w:val="en"/>
        </w:rPr>
        <w:t xml:space="preserve">Pollard, E. &amp; Lee, P. (2003) Child Well-being: </w:t>
      </w:r>
      <w:r w:rsidRPr="00EC45F7">
        <w:rPr>
          <w:rFonts w:eastAsia="Times New Roman"/>
          <w:i/>
          <w:spacing w:val="2"/>
          <w:lang w:val="en"/>
        </w:rPr>
        <w:t>A Systematic Review of the Literature</w:t>
      </w:r>
      <w:r>
        <w:rPr>
          <w:rFonts w:eastAsia="Times New Roman"/>
          <w:spacing w:val="2"/>
          <w:lang w:val="en"/>
        </w:rPr>
        <w:t>:</w:t>
      </w:r>
      <w:r w:rsidRPr="00EC45F7">
        <w:rPr>
          <w:rFonts w:eastAsia="Times New Roman"/>
          <w:spacing w:val="2"/>
          <w:lang w:val="en"/>
        </w:rPr>
        <w:t xml:space="preserve"> Social Indicators Research.  (</w:t>
      </w:r>
      <w:r>
        <w:rPr>
          <w:rFonts w:eastAsia="Times New Roman"/>
          <w:spacing w:val="2"/>
          <w:lang w:val="en"/>
        </w:rPr>
        <w:t xml:space="preserve">Vol. </w:t>
      </w:r>
      <w:r w:rsidRPr="00EC45F7">
        <w:rPr>
          <w:rFonts w:eastAsia="Times New Roman"/>
          <w:spacing w:val="2"/>
          <w:lang w:val="en"/>
        </w:rPr>
        <w:t xml:space="preserve">61, No. 59, p. 55-78) [Online].  Available from: </w:t>
      </w:r>
      <w:hyperlink r:id="rId36" w:history="1">
        <w:r w:rsidRPr="00EC45F7">
          <w:rPr>
            <w:rStyle w:val="Hyperlink"/>
            <w:rFonts w:eastAsia="Times New Roman" w:cs="Times New Roman"/>
            <w:spacing w:val="4"/>
            <w:shd w:val="clear" w:color="auto" w:fill="FCFCFC"/>
            <w:lang w:eastAsia="en-GB"/>
          </w:rPr>
          <w:t>https://doi.org/10.1023/A:102128421580</w:t>
        </w:r>
      </w:hyperlink>
      <w:r w:rsidRPr="00EC45F7">
        <w:rPr>
          <w:rFonts w:eastAsia="Times New Roman" w:cs="Times New Roman"/>
          <w:spacing w:val="4"/>
          <w:shd w:val="clear" w:color="auto" w:fill="FCFCFC"/>
          <w:lang w:eastAsia="en-GB"/>
        </w:rPr>
        <w:t xml:space="preserve"> (Accessed: 01 December 2018).</w:t>
      </w:r>
    </w:p>
    <w:p w14:paraId="6A34E4C6" w14:textId="77777777" w:rsidR="00383420" w:rsidRPr="005F7BFA" w:rsidRDefault="00383420" w:rsidP="00383420">
      <w:pPr>
        <w:pStyle w:val="ListParagraph"/>
        <w:numPr>
          <w:ilvl w:val="0"/>
          <w:numId w:val="6"/>
        </w:numPr>
      </w:pPr>
      <w:r>
        <w:t>Punch, K. and Oancea, A. (2014) (2</w:t>
      </w:r>
      <w:r w:rsidRPr="005607AA">
        <w:rPr>
          <w:vertAlign w:val="superscript"/>
        </w:rPr>
        <w:t>nd</w:t>
      </w:r>
      <w:r>
        <w:t xml:space="preserve"> ed) Introduction to research Methods in Education.  London: SAGE Publictations.</w:t>
      </w:r>
    </w:p>
    <w:p w14:paraId="0A39689C" w14:textId="77777777" w:rsidR="00383420" w:rsidRDefault="00383420" w:rsidP="00383420">
      <w:pPr>
        <w:pStyle w:val="ListParagraph"/>
        <w:numPr>
          <w:ilvl w:val="0"/>
          <w:numId w:val="6"/>
        </w:numPr>
      </w:pPr>
      <w:r>
        <w:t xml:space="preserve">Scotland.   Education Scotland (2009) </w:t>
      </w:r>
      <w:r w:rsidRPr="00761454">
        <w:rPr>
          <w:i/>
        </w:rPr>
        <w:t>Curriculum for Excellence</w:t>
      </w:r>
      <w:r>
        <w:t xml:space="preserve"> [Online].  Available from: </w:t>
      </w:r>
      <w:hyperlink r:id="rId37" w:history="1">
        <w:r w:rsidRPr="00A53EF6">
          <w:rPr>
            <w:rStyle w:val="Hyperlink"/>
          </w:rPr>
          <w:t>https://education.gov.scot/scottish-education-system/policy-for-scottish-education/policy-drivers/cfe-(building-from-the-statement-appendix-incl-btc1-5)/What%20is%20Curriculum%20for%20Excellence</w:t>
        </w:r>
      </w:hyperlink>
      <w:r w:rsidRPr="00761454">
        <w:t>?</w:t>
      </w:r>
      <w:r>
        <w:t xml:space="preserve"> (Accessed 01 March 2019).</w:t>
      </w:r>
    </w:p>
    <w:p w14:paraId="576ED2A1" w14:textId="77777777" w:rsidR="00383420" w:rsidRDefault="00383420" w:rsidP="00383420">
      <w:pPr>
        <w:pStyle w:val="ListParagraph"/>
        <w:numPr>
          <w:ilvl w:val="0"/>
          <w:numId w:val="6"/>
        </w:numPr>
      </w:pPr>
      <w:r>
        <w:t xml:space="preserve">Scotland. Children’s and Families Directorate (2005) </w:t>
      </w:r>
      <w:r w:rsidRPr="00CC5B7E">
        <w:rPr>
          <w:i/>
        </w:rPr>
        <w:t>Getting it Right for Every Child</w:t>
      </w:r>
      <w:r>
        <w:t xml:space="preserve"> [Online].  Available from: </w:t>
      </w:r>
      <w:hyperlink r:id="rId38" w:history="1">
        <w:r w:rsidRPr="00A53EF6">
          <w:rPr>
            <w:rStyle w:val="Hyperlink"/>
          </w:rPr>
          <w:t>https://www.gov.scot/policies/girfec/</w:t>
        </w:r>
      </w:hyperlink>
      <w:r>
        <w:t xml:space="preserve"> (Accessed: 16 November 2018). </w:t>
      </w:r>
    </w:p>
    <w:p w14:paraId="51935FE6" w14:textId="77777777" w:rsidR="00383420" w:rsidRDefault="00383420" w:rsidP="00383420">
      <w:pPr>
        <w:pStyle w:val="ListParagraph"/>
        <w:numPr>
          <w:ilvl w:val="0"/>
          <w:numId w:val="6"/>
        </w:numPr>
      </w:pPr>
      <w:r>
        <w:t xml:space="preserve">Sharp, J. (2009) </w:t>
      </w:r>
      <w:r w:rsidRPr="00280A14">
        <w:rPr>
          <w:i/>
        </w:rPr>
        <w:t>Success with you Education Research Project</w:t>
      </w:r>
      <w:r>
        <w:t xml:space="preserve">. Exeter: Learning Matters Ltd.  </w:t>
      </w:r>
    </w:p>
    <w:p w14:paraId="1DD2EC99" w14:textId="77777777" w:rsidR="00383420" w:rsidRDefault="00383420" w:rsidP="00383420">
      <w:pPr>
        <w:pStyle w:val="ListParagraph"/>
        <w:numPr>
          <w:ilvl w:val="0"/>
          <w:numId w:val="6"/>
        </w:numPr>
      </w:pPr>
      <w:r>
        <w:t xml:space="preserve">Sharp, P. &amp; Dunford, J. (1990) </w:t>
      </w:r>
      <w:r w:rsidRPr="00927421">
        <w:rPr>
          <w:i/>
        </w:rPr>
        <w:t>The Education System in England and Wales</w:t>
      </w:r>
      <w:r>
        <w:t>.  Essex: Longman Group UK.</w:t>
      </w:r>
    </w:p>
    <w:p w14:paraId="3FCB6E97" w14:textId="77777777" w:rsidR="00383420" w:rsidRPr="00BE599D" w:rsidRDefault="00383420" w:rsidP="00383420">
      <w:pPr>
        <w:pStyle w:val="ListParagraph"/>
        <w:numPr>
          <w:ilvl w:val="0"/>
          <w:numId w:val="6"/>
        </w:numPr>
      </w:pPr>
      <w:r w:rsidRPr="00BE599D">
        <w:lastRenderedPageBreak/>
        <w:t xml:space="preserve"> </w:t>
      </w:r>
      <w:r>
        <w:t xml:space="preserve">Stobart, G. (2007) Testing Times: </w:t>
      </w:r>
      <w:r w:rsidRPr="002B6F4A">
        <w:rPr>
          <w:i/>
        </w:rPr>
        <w:t>The Uses and Abuses of Assessment</w:t>
      </w:r>
      <w:r>
        <w:t>.  London: Routledge.</w:t>
      </w:r>
    </w:p>
    <w:p w14:paraId="7A5E7BDB" w14:textId="77777777" w:rsidR="00383420" w:rsidRDefault="00383420" w:rsidP="00383420">
      <w:pPr>
        <w:pStyle w:val="ListParagraph"/>
        <w:numPr>
          <w:ilvl w:val="0"/>
          <w:numId w:val="6"/>
        </w:numPr>
      </w:pPr>
      <w:r>
        <w:t xml:space="preserve">The Children’s Society. (2016) </w:t>
      </w:r>
      <w:r w:rsidRPr="00C96647">
        <w:rPr>
          <w:i/>
        </w:rPr>
        <w:t xml:space="preserve">The Good Childhood Report </w:t>
      </w:r>
      <w:r>
        <w:t xml:space="preserve">[Online].  Available from: </w:t>
      </w:r>
      <w:hyperlink r:id="rId39" w:history="1">
        <w:r w:rsidRPr="00A53EF6">
          <w:rPr>
            <w:rStyle w:val="Hyperlink"/>
          </w:rPr>
          <w:t>https://www.childrenssociety.org.uk/sites/default/files/pcr090_mainreport_web.pdf</w:t>
        </w:r>
      </w:hyperlink>
      <w:r>
        <w:t xml:space="preserve"> (Accessed: 13 November 2018). </w:t>
      </w:r>
    </w:p>
    <w:p w14:paraId="15C27B12" w14:textId="77777777" w:rsidR="00383420" w:rsidRDefault="00383420" w:rsidP="00383420">
      <w:pPr>
        <w:pStyle w:val="ListParagraph"/>
        <w:numPr>
          <w:ilvl w:val="0"/>
          <w:numId w:val="6"/>
        </w:numPr>
      </w:pPr>
      <w:r>
        <w:t>Thomas, G. (2013) (2</w:t>
      </w:r>
      <w:r w:rsidRPr="00CC1C33">
        <w:rPr>
          <w:vertAlign w:val="superscript"/>
        </w:rPr>
        <w:t>nd</w:t>
      </w:r>
      <w:r>
        <w:t xml:space="preserve"> ed) </w:t>
      </w:r>
      <w:r w:rsidRPr="00495ED5">
        <w:rPr>
          <w:i/>
        </w:rPr>
        <w:t>Doing Your Research Project</w:t>
      </w:r>
      <w:r>
        <w:rPr>
          <w:i/>
        </w:rPr>
        <w:t>.</w:t>
      </w:r>
      <w:r>
        <w:t xml:space="preserve"> London:  SAGE Publications </w:t>
      </w:r>
    </w:p>
    <w:p w14:paraId="60F8146A" w14:textId="77777777" w:rsidR="00383420" w:rsidRPr="00BF1C22" w:rsidRDefault="00383420" w:rsidP="00383420">
      <w:pPr>
        <w:pStyle w:val="ListParagraph"/>
        <w:numPr>
          <w:ilvl w:val="0"/>
          <w:numId w:val="6"/>
        </w:numPr>
        <w:rPr>
          <w:rFonts w:eastAsia="Times New Roman" w:cs="Times New Roman"/>
        </w:rPr>
      </w:pPr>
      <w:r w:rsidRPr="00702058">
        <w:t>Thomas, S. (1998)</w:t>
      </w:r>
      <w:r w:rsidRPr="00702058">
        <w:rPr>
          <w:rStyle w:val="apple-converted-space"/>
          <w:rFonts w:eastAsia="Times New Roman"/>
        </w:rPr>
        <w:t> </w:t>
      </w:r>
      <w:r w:rsidRPr="00702058">
        <w:rPr>
          <w:rStyle w:val="nlmarticle-title"/>
          <w:rFonts w:eastAsia="Times New Roman"/>
          <w:i/>
        </w:rPr>
        <w:t>Value-Added Measures of School Effectiveness in the United Kingdom</w:t>
      </w:r>
      <w:r w:rsidRPr="00702058">
        <w:rPr>
          <w:rFonts w:eastAsia="Times New Roman"/>
        </w:rPr>
        <w:t>.</w:t>
      </w:r>
      <w:r w:rsidRPr="00702058">
        <w:rPr>
          <w:rStyle w:val="apple-converted-space"/>
          <w:rFonts w:eastAsia="Times New Roman"/>
        </w:rPr>
        <w:t> </w:t>
      </w:r>
      <w:r w:rsidRPr="00702058">
        <w:rPr>
          <w:rFonts w:eastAsia="Times New Roman"/>
          <w:iCs/>
        </w:rPr>
        <w:t>Prospects</w:t>
      </w:r>
      <w:r w:rsidRPr="00702058">
        <w:rPr>
          <w:rFonts w:eastAsia="Times New Roman"/>
        </w:rPr>
        <w:t>. (Vol. 28, No. 1, p.</w:t>
      </w:r>
      <w:r w:rsidRPr="00702058">
        <w:rPr>
          <w:rStyle w:val="apple-converted-space"/>
          <w:rFonts w:eastAsia="Times New Roman"/>
        </w:rPr>
        <w:t> </w:t>
      </w:r>
      <w:r w:rsidRPr="00702058">
        <w:rPr>
          <w:rStyle w:val="nlmfpage"/>
          <w:rFonts w:eastAsia="Times New Roman"/>
        </w:rPr>
        <w:t>91</w:t>
      </w:r>
      <w:r w:rsidRPr="00702058">
        <w:rPr>
          <w:rFonts w:eastAsia="Times New Roman"/>
        </w:rPr>
        <w:t>–</w:t>
      </w:r>
      <w:r w:rsidRPr="00702058">
        <w:rPr>
          <w:rStyle w:val="nlmlpage"/>
          <w:rFonts w:eastAsia="Times New Roman"/>
        </w:rPr>
        <w:t>108)</w:t>
      </w:r>
      <w:r w:rsidRPr="00702058">
        <w:rPr>
          <w:rFonts w:eastAsia="Times New Roman"/>
        </w:rPr>
        <w:t xml:space="preserve"> [Online].  Available from: </w:t>
      </w:r>
      <w:hyperlink r:id="rId40" w:history="1">
        <w:r w:rsidRPr="00A53EF6">
          <w:rPr>
            <w:rStyle w:val="Hyperlink"/>
            <w:rFonts w:eastAsia="Times New Roman"/>
            <w:spacing w:val="4"/>
            <w:shd w:val="clear" w:color="auto" w:fill="FCFCFC"/>
          </w:rPr>
          <w:t>https://doi.org/10.1007/BF02737782</w:t>
        </w:r>
      </w:hyperlink>
      <w:r>
        <w:rPr>
          <w:rFonts w:eastAsia="Times New Roman"/>
          <w:spacing w:val="4"/>
          <w:shd w:val="clear" w:color="auto" w:fill="FCFCFC"/>
        </w:rPr>
        <w:t xml:space="preserve"> (Accessed: 01 December 2018).</w:t>
      </w:r>
    </w:p>
    <w:p w14:paraId="28340D29" w14:textId="77777777" w:rsidR="00383420" w:rsidRDefault="00383420" w:rsidP="00383420">
      <w:pPr>
        <w:pStyle w:val="ListParagraph"/>
        <w:numPr>
          <w:ilvl w:val="0"/>
          <w:numId w:val="6"/>
        </w:numPr>
      </w:pPr>
      <w:r>
        <w:t xml:space="preserve">Unicef Innocenti Research Centre. (2007) Child Poverty in Perspective; an Overview of Child Wellbeing in Rich Countries [Online].  Available from: </w:t>
      </w:r>
      <w:hyperlink r:id="rId41" w:history="1">
        <w:r w:rsidRPr="00A53EF6">
          <w:rPr>
            <w:rStyle w:val="Hyperlink"/>
          </w:rPr>
          <w:t>https://www.unicef-irc.org/publications/pdf/rc7_eng.pdf</w:t>
        </w:r>
      </w:hyperlink>
      <w:r>
        <w:t xml:space="preserve"> (Accessed: 20 September 2018).</w:t>
      </w:r>
    </w:p>
    <w:p w14:paraId="6FE9B1E3" w14:textId="77777777" w:rsidR="00383420" w:rsidRDefault="00383420" w:rsidP="00383420">
      <w:pPr>
        <w:pStyle w:val="ListParagraph"/>
        <w:numPr>
          <w:ilvl w:val="0"/>
          <w:numId w:val="6"/>
        </w:numPr>
      </w:pPr>
      <w:r>
        <w:t xml:space="preserve">Unicef Innocenti Research Centre. (2013) </w:t>
      </w:r>
      <w:r w:rsidRPr="00EA27E6">
        <w:rPr>
          <w:i/>
        </w:rPr>
        <w:t>Child Wellbeing in Rich Countries; A Comparative Overview</w:t>
      </w:r>
      <w:r>
        <w:t xml:space="preserve"> [Online].  Available from: </w:t>
      </w:r>
      <w:hyperlink r:id="rId42" w:history="1">
        <w:r w:rsidRPr="00A53EF6">
          <w:rPr>
            <w:rStyle w:val="Hyperlink"/>
          </w:rPr>
          <w:t>https://www.unicef-irc.org/publications/pdf/rc11_eng.pdf</w:t>
        </w:r>
      </w:hyperlink>
      <w:r>
        <w:t xml:space="preserve"> (Accessed: 10 November 2018). </w:t>
      </w:r>
    </w:p>
    <w:p w14:paraId="735A430E" w14:textId="77777777" w:rsidR="00383420" w:rsidRDefault="00383420" w:rsidP="00383420">
      <w:pPr>
        <w:pStyle w:val="ListParagraph"/>
        <w:numPr>
          <w:ilvl w:val="0"/>
          <w:numId w:val="6"/>
        </w:numPr>
      </w:pPr>
      <w:r>
        <w:t xml:space="preserve">Unicef. (2019) </w:t>
      </w:r>
      <w:r w:rsidRPr="00284D28">
        <w:rPr>
          <w:i/>
        </w:rPr>
        <w:t>Unicef’s Rights Respecting School’s Award</w:t>
      </w:r>
      <w:r>
        <w:t xml:space="preserve"> [Online].  Available from: </w:t>
      </w:r>
      <w:hyperlink r:id="rId43" w:history="1">
        <w:r w:rsidRPr="00A53EF6">
          <w:rPr>
            <w:rStyle w:val="Hyperlink"/>
          </w:rPr>
          <w:t>https://www.unicef.org.uk/rights-respecting-schools/the-rrsa/about-the-rrsa/</w:t>
        </w:r>
      </w:hyperlink>
      <w:r>
        <w:t xml:space="preserve"> (Accessed 02 February 2019).  </w:t>
      </w:r>
    </w:p>
    <w:p w14:paraId="68CB5802" w14:textId="77777777" w:rsidR="00383420" w:rsidRDefault="00383420" w:rsidP="00383420">
      <w:pPr>
        <w:pStyle w:val="ListParagraph"/>
        <w:numPr>
          <w:ilvl w:val="0"/>
          <w:numId w:val="6"/>
        </w:numPr>
      </w:pPr>
      <w:r>
        <w:t xml:space="preserve">Unicef. (2019) </w:t>
      </w:r>
      <w:r w:rsidRPr="00495ED5">
        <w:rPr>
          <w:i/>
        </w:rPr>
        <w:t>We’re Working Here in the UK</w:t>
      </w:r>
      <w:r>
        <w:t xml:space="preserve"> [Online].  Available from: </w:t>
      </w:r>
      <w:hyperlink r:id="rId44" w:history="1">
        <w:r w:rsidRPr="00A53EF6">
          <w:rPr>
            <w:rStyle w:val="Hyperlink"/>
          </w:rPr>
          <w:t>https://www.unicef.org.uk/what-we-do/our-uk-work/</w:t>
        </w:r>
      </w:hyperlink>
      <w:r>
        <w:t xml:space="preserve"> (Accessed 01 March 2019).</w:t>
      </w:r>
    </w:p>
    <w:p w14:paraId="5BFC4288" w14:textId="77777777" w:rsidR="00383420" w:rsidRDefault="00383420" w:rsidP="00383420">
      <w:pPr>
        <w:pStyle w:val="ListParagraph"/>
        <w:numPr>
          <w:ilvl w:val="0"/>
          <w:numId w:val="6"/>
        </w:numPr>
      </w:pPr>
      <w:r>
        <w:t xml:space="preserve">Unicef. </w:t>
      </w:r>
      <w:r w:rsidRPr="00CD6B66">
        <w:rPr>
          <w:i/>
        </w:rPr>
        <w:t>How We Protect Children’s Rights; the UNCRC</w:t>
      </w:r>
      <w:r>
        <w:t xml:space="preserve"> [Online].  Available from: </w:t>
      </w:r>
      <w:hyperlink r:id="rId45" w:history="1">
        <w:r w:rsidRPr="00A53EF6">
          <w:rPr>
            <w:rStyle w:val="Hyperlink"/>
          </w:rPr>
          <w:t>https://www.unicef.org.uk/what-we-do/un-convention-child-rights/</w:t>
        </w:r>
      </w:hyperlink>
      <w:r>
        <w:t xml:space="preserve"> (Accessed 02 February 2019).</w:t>
      </w:r>
    </w:p>
    <w:p w14:paraId="77913445" w14:textId="77777777" w:rsidR="00383420" w:rsidRDefault="00383420" w:rsidP="00383420">
      <w:pPr>
        <w:pStyle w:val="ListParagraph"/>
        <w:numPr>
          <w:ilvl w:val="0"/>
          <w:numId w:val="6"/>
        </w:numPr>
      </w:pPr>
      <w:r>
        <w:t xml:space="preserve">Unicef. </w:t>
      </w:r>
      <w:r w:rsidRPr="00A41E42">
        <w:rPr>
          <w:i/>
        </w:rPr>
        <w:t>The United Nations Convention on the Rights of the Child</w:t>
      </w:r>
      <w:r>
        <w:t xml:space="preserve"> [Online].  Available from: </w:t>
      </w:r>
      <w:hyperlink r:id="rId46" w:history="1">
        <w:r w:rsidRPr="00A53EF6">
          <w:rPr>
            <w:rStyle w:val="Hyperlink"/>
          </w:rPr>
          <w:t>https://www.unicef.org.uk/wp-content/uploads/2010/05/UNCRC_united_nations_convention_on_the_rights_of_the_child.pdf</w:t>
        </w:r>
      </w:hyperlink>
      <w:r>
        <w:t xml:space="preserve"> (Accessed 02 February 2019). </w:t>
      </w:r>
    </w:p>
    <w:p w14:paraId="188F253E" w14:textId="77777777" w:rsidR="00383420" w:rsidRPr="00BD2675" w:rsidRDefault="00383420" w:rsidP="00383420">
      <w:pPr>
        <w:pStyle w:val="ListParagraph"/>
        <w:numPr>
          <w:ilvl w:val="0"/>
          <w:numId w:val="6"/>
        </w:numPr>
      </w:pPr>
      <w:r>
        <w:rPr>
          <w:rFonts w:eastAsia="Times New Roman" w:cs="Arial"/>
          <w:shd w:val="clear" w:color="auto" w:fill="FFFFFF"/>
        </w:rPr>
        <w:t xml:space="preserve">Wales.  DCELLS (2001) </w:t>
      </w:r>
      <w:r w:rsidRPr="00BD2675">
        <w:rPr>
          <w:rFonts w:eastAsia="Times New Roman" w:cs="Arial"/>
          <w:i/>
          <w:shd w:val="clear" w:color="auto" w:fill="FFFFFF"/>
        </w:rPr>
        <w:t>The Learning Country: A Comprehensive Education and Lifelong Learning Programme</w:t>
      </w:r>
      <w:r>
        <w:rPr>
          <w:rFonts w:eastAsia="Times New Roman" w:cs="Arial"/>
          <w:shd w:val="clear" w:color="auto" w:fill="FFFFFF"/>
        </w:rPr>
        <w:t xml:space="preserve"> [Online].  Available from: </w:t>
      </w:r>
      <w:hyperlink r:id="rId47" w:history="1">
        <w:r w:rsidRPr="00A53EF6">
          <w:rPr>
            <w:rStyle w:val="Hyperlink"/>
            <w:rFonts w:eastAsia="Times New Roman" w:cs="Arial"/>
            <w:shd w:val="clear" w:color="auto" w:fill="FFFFFF"/>
          </w:rPr>
          <w:t>http://www.educationengland.org.uk/documents/pdfs/2001-learning-country-wales.pdf</w:t>
        </w:r>
      </w:hyperlink>
      <w:r>
        <w:rPr>
          <w:rFonts w:eastAsia="Times New Roman" w:cs="Arial"/>
          <w:shd w:val="clear" w:color="auto" w:fill="FFFFFF"/>
        </w:rPr>
        <w:t xml:space="preserve"> (Accessed: 20 September 2018). </w:t>
      </w:r>
    </w:p>
    <w:p w14:paraId="46947DD6" w14:textId="77777777" w:rsidR="00383420" w:rsidRPr="00031753" w:rsidRDefault="00383420" w:rsidP="00383420">
      <w:pPr>
        <w:pStyle w:val="ListParagraph"/>
        <w:numPr>
          <w:ilvl w:val="0"/>
          <w:numId w:val="6"/>
        </w:numPr>
      </w:pPr>
      <w:r>
        <w:rPr>
          <w:rFonts w:eastAsia="Times New Roman" w:cs="Arial"/>
          <w:shd w:val="clear" w:color="auto" w:fill="FFFFFF"/>
        </w:rPr>
        <w:t xml:space="preserve">Wales.  DCELLS (2008) </w:t>
      </w:r>
      <w:r>
        <w:rPr>
          <w:rFonts w:eastAsia="Times New Roman" w:cs="Arial"/>
          <w:i/>
          <w:shd w:val="clear" w:color="auto" w:fill="FFFFFF"/>
        </w:rPr>
        <w:t xml:space="preserve">Framework for Children’s Learning for 3 to 7-year-olds in Wales </w:t>
      </w:r>
      <w:r>
        <w:rPr>
          <w:rFonts w:eastAsia="Times New Roman" w:cs="Arial"/>
          <w:shd w:val="clear" w:color="auto" w:fill="FFFFFF"/>
        </w:rPr>
        <w:t xml:space="preserve">[Online].  Available from: </w:t>
      </w:r>
      <w:hyperlink r:id="rId48" w:history="1">
        <w:r w:rsidRPr="00A53EF6">
          <w:rPr>
            <w:rStyle w:val="Hyperlink"/>
            <w:rFonts w:eastAsia="Times New Roman" w:cs="Arial"/>
            <w:shd w:val="clear" w:color="auto" w:fill="FFFFFF"/>
          </w:rPr>
          <w:t>https://learning.gov.wales/docs/learningwales/publications/130424-framework-for-childrens-learning-en.pdf</w:t>
        </w:r>
      </w:hyperlink>
      <w:r>
        <w:rPr>
          <w:rFonts w:eastAsia="Times New Roman" w:cs="Arial"/>
          <w:shd w:val="clear" w:color="auto" w:fill="FFFFFF"/>
        </w:rPr>
        <w:t xml:space="preserve"> (Accessed: 26 September 2018). </w:t>
      </w:r>
    </w:p>
    <w:p w14:paraId="49AC4B11" w14:textId="77777777" w:rsidR="00383420" w:rsidRPr="005F4C1C" w:rsidRDefault="00383420" w:rsidP="00383420">
      <w:pPr>
        <w:pStyle w:val="ListParagraph"/>
        <w:numPr>
          <w:ilvl w:val="0"/>
          <w:numId w:val="6"/>
        </w:numPr>
      </w:pPr>
      <w:r>
        <w:rPr>
          <w:rFonts w:eastAsia="Times New Roman" w:cs="Arial"/>
          <w:shd w:val="clear" w:color="auto" w:fill="FFFFFF"/>
        </w:rPr>
        <w:t xml:space="preserve">Wales.  DCELLS (2008) </w:t>
      </w:r>
      <w:r>
        <w:rPr>
          <w:rFonts w:eastAsia="Times New Roman" w:cs="Arial"/>
          <w:i/>
          <w:shd w:val="clear" w:color="auto" w:fill="FFFFFF"/>
        </w:rPr>
        <w:t xml:space="preserve">School Effectiveness Framework: Building Effective Learning Communities Together </w:t>
      </w:r>
      <w:r>
        <w:rPr>
          <w:rFonts w:eastAsia="Times New Roman" w:cs="Arial"/>
          <w:shd w:val="clear" w:color="auto" w:fill="FFFFFF"/>
        </w:rPr>
        <w:t xml:space="preserve">[Online].  Available from: </w:t>
      </w:r>
      <w:hyperlink r:id="rId49" w:history="1">
        <w:r w:rsidRPr="00A53EF6">
          <w:rPr>
            <w:rStyle w:val="Hyperlink"/>
            <w:rFonts w:eastAsia="Times New Roman" w:cs="Arial"/>
            <w:shd w:val="clear" w:color="auto" w:fill="FFFFFF"/>
          </w:rPr>
          <w:t>https://dera.ioe.ac.uk/7732/7/1331_Redacted.pdf</w:t>
        </w:r>
      </w:hyperlink>
      <w:r>
        <w:rPr>
          <w:rFonts w:eastAsia="Times New Roman" w:cs="Arial"/>
          <w:shd w:val="clear" w:color="auto" w:fill="FFFFFF"/>
        </w:rPr>
        <w:t xml:space="preserve"> (Accessed: 20 March 2019).</w:t>
      </w:r>
    </w:p>
    <w:p w14:paraId="71C89A39" w14:textId="77777777" w:rsidR="00383420" w:rsidRDefault="00383420" w:rsidP="00383420">
      <w:pPr>
        <w:pStyle w:val="ListParagraph"/>
        <w:numPr>
          <w:ilvl w:val="0"/>
          <w:numId w:val="6"/>
        </w:numPr>
      </w:pPr>
      <w:r>
        <w:rPr>
          <w:rFonts w:eastAsia="Times New Roman" w:cs="Arial"/>
          <w:shd w:val="clear" w:color="auto" w:fill="FFFFFF"/>
        </w:rPr>
        <w:t xml:space="preserve">Wales.  DCELLS (2008) </w:t>
      </w:r>
      <w:r>
        <w:rPr>
          <w:rFonts w:eastAsia="Times New Roman" w:cs="Arial"/>
          <w:i/>
          <w:shd w:val="clear" w:color="auto" w:fill="FFFFFF"/>
        </w:rPr>
        <w:t xml:space="preserve">Skills Framework for 3 to 19-year-olds in Wales </w:t>
      </w:r>
      <w:r>
        <w:rPr>
          <w:rFonts w:eastAsia="Times New Roman" w:cs="Arial"/>
          <w:shd w:val="clear" w:color="auto" w:fill="FFFFFF"/>
        </w:rPr>
        <w:t xml:space="preserve">[Online].  Available from: </w:t>
      </w:r>
      <w:hyperlink r:id="rId50" w:history="1">
        <w:r w:rsidRPr="00A53EF6">
          <w:rPr>
            <w:rStyle w:val="Hyperlink"/>
          </w:rPr>
          <w:t>https://learning.gov.wales/docs/learningwales/publications/140626-skills-framework-for-3-19-year-olds-en.pdf</w:t>
        </w:r>
      </w:hyperlink>
      <w:r>
        <w:t xml:space="preserve"> (Accessed: 26 September 2018). </w:t>
      </w:r>
    </w:p>
    <w:p w14:paraId="37D16EC0" w14:textId="77777777" w:rsidR="00383420" w:rsidRPr="00905764" w:rsidRDefault="00383420" w:rsidP="00383420">
      <w:pPr>
        <w:pStyle w:val="ListParagraph"/>
        <w:numPr>
          <w:ilvl w:val="0"/>
          <w:numId w:val="6"/>
        </w:numPr>
      </w:pPr>
      <w:r w:rsidRPr="006B1EB8">
        <w:rPr>
          <w:rFonts w:eastAsia="Times New Roman" w:cs="Arial"/>
          <w:shd w:val="clear" w:color="auto" w:fill="FFFFFF"/>
        </w:rPr>
        <w:t>Wales.  DCELLS (</w:t>
      </w:r>
      <w:r>
        <w:rPr>
          <w:rFonts w:eastAsia="Times New Roman" w:cs="Arial"/>
          <w:shd w:val="clear" w:color="auto" w:fill="FFFFFF"/>
        </w:rPr>
        <w:t>2011</w:t>
      </w:r>
      <w:r w:rsidRPr="006B1EB8">
        <w:rPr>
          <w:rFonts w:eastAsia="Times New Roman" w:cs="Arial"/>
          <w:shd w:val="clear" w:color="auto" w:fill="FFFFFF"/>
        </w:rPr>
        <w:t xml:space="preserve">) </w:t>
      </w:r>
      <w:r>
        <w:rPr>
          <w:rFonts w:eastAsia="Times New Roman" w:cs="Arial"/>
          <w:i/>
          <w:shd w:val="clear" w:color="auto" w:fill="FFFFFF"/>
        </w:rPr>
        <w:t xml:space="preserve">Revised Professional Standards for Education Practitioners in Wales </w:t>
      </w:r>
      <w:r w:rsidRPr="006B1EB8">
        <w:rPr>
          <w:rFonts w:eastAsia="Times New Roman" w:cs="Arial"/>
          <w:shd w:val="clear" w:color="auto" w:fill="FFFFFF"/>
        </w:rPr>
        <w:t>[Online].  Available from</w:t>
      </w:r>
      <w:r>
        <w:rPr>
          <w:rFonts w:eastAsia="Times New Roman" w:cs="Arial"/>
          <w:shd w:val="clear" w:color="auto" w:fill="FFFFFF"/>
        </w:rPr>
        <w:t xml:space="preserve">: </w:t>
      </w:r>
      <w:hyperlink r:id="rId51" w:history="1">
        <w:r w:rsidRPr="00A53EF6">
          <w:rPr>
            <w:rStyle w:val="Hyperlink"/>
            <w:rFonts w:eastAsia="Times New Roman" w:cs="Arial"/>
            <w:shd w:val="clear" w:color="auto" w:fill="FFFFFF"/>
          </w:rPr>
          <w:t>https://learning.gov.wales/docs/learningwales/publications/140630-revised-professional-standards-en.pdf</w:t>
        </w:r>
      </w:hyperlink>
      <w:r>
        <w:rPr>
          <w:rFonts w:eastAsia="Times New Roman" w:cs="Arial"/>
          <w:shd w:val="clear" w:color="auto" w:fill="FFFFFF"/>
        </w:rPr>
        <w:t xml:space="preserve"> (Accessed: 12 December 2018).</w:t>
      </w:r>
    </w:p>
    <w:p w14:paraId="789280E8" w14:textId="77777777" w:rsidR="00383420" w:rsidRDefault="00383420" w:rsidP="00383420">
      <w:pPr>
        <w:pStyle w:val="ListParagraph"/>
        <w:numPr>
          <w:ilvl w:val="0"/>
          <w:numId w:val="6"/>
        </w:numPr>
      </w:pPr>
      <w:r>
        <w:rPr>
          <w:rFonts w:eastAsia="Times New Roman" w:cs="Arial"/>
          <w:shd w:val="clear" w:color="auto" w:fill="FFFFFF"/>
        </w:rPr>
        <w:lastRenderedPageBreak/>
        <w:t xml:space="preserve">Wales.  DCELLS (2012) </w:t>
      </w:r>
      <w:r>
        <w:rPr>
          <w:rFonts w:eastAsia="Times New Roman" w:cs="Arial"/>
          <w:i/>
          <w:shd w:val="clear" w:color="auto" w:fill="FFFFFF"/>
        </w:rPr>
        <w:t xml:space="preserve">Improving Schools Plan </w:t>
      </w:r>
      <w:r>
        <w:rPr>
          <w:rFonts w:eastAsia="Times New Roman" w:cs="Arial"/>
          <w:shd w:val="clear" w:color="auto" w:fill="FFFFFF"/>
        </w:rPr>
        <w:t xml:space="preserve">[Online].  Available from: </w:t>
      </w:r>
      <w:hyperlink r:id="rId52" w:history="1">
        <w:r w:rsidRPr="00A53EF6">
          <w:rPr>
            <w:rStyle w:val="Hyperlink"/>
          </w:rPr>
          <w:t>https://learning.gov.wales/docs/learningwales/news/121025improvingschoolsen.pdf</w:t>
        </w:r>
      </w:hyperlink>
      <w:r>
        <w:t xml:space="preserve"> (Accessed: 10 October 2018).</w:t>
      </w:r>
    </w:p>
    <w:p w14:paraId="27683739" w14:textId="77777777" w:rsidR="00383420" w:rsidRPr="00532DB0" w:rsidRDefault="00383420" w:rsidP="00383420">
      <w:pPr>
        <w:pStyle w:val="ListParagraph"/>
        <w:numPr>
          <w:ilvl w:val="0"/>
          <w:numId w:val="6"/>
        </w:numPr>
      </w:pPr>
      <w:r w:rsidRPr="006B1EB8">
        <w:rPr>
          <w:rFonts w:eastAsia="Times New Roman" w:cs="Arial"/>
          <w:shd w:val="clear" w:color="auto" w:fill="FFFFFF"/>
        </w:rPr>
        <w:t>Wales.  DCELLS (</w:t>
      </w:r>
      <w:r>
        <w:rPr>
          <w:rFonts w:eastAsia="Times New Roman" w:cs="Arial"/>
          <w:shd w:val="clear" w:color="auto" w:fill="FFFFFF"/>
        </w:rPr>
        <w:t>2012</w:t>
      </w:r>
      <w:r w:rsidRPr="006B1EB8">
        <w:rPr>
          <w:rFonts w:eastAsia="Times New Roman" w:cs="Arial"/>
          <w:shd w:val="clear" w:color="auto" w:fill="FFFFFF"/>
        </w:rPr>
        <w:t xml:space="preserve">) </w:t>
      </w:r>
      <w:r>
        <w:rPr>
          <w:rFonts w:eastAsia="Times New Roman" w:cs="Arial"/>
          <w:i/>
          <w:shd w:val="clear" w:color="auto" w:fill="FFFFFF"/>
        </w:rPr>
        <w:t xml:space="preserve">Improving Schools, Raising Schools Standards </w:t>
      </w:r>
      <w:r w:rsidRPr="006B1EB8">
        <w:rPr>
          <w:rFonts w:eastAsia="Times New Roman" w:cs="Arial"/>
          <w:shd w:val="clear" w:color="auto" w:fill="FFFFFF"/>
        </w:rPr>
        <w:t>[Online].  Available from</w:t>
      </w:r>
      <w:r>
        <w:rPr>
          <w:rFonts w:eastAsia="Times New Roman" w:cs="Arial"/>
          <w:shd w:val="clear" w:color="auto" w:fill="FFFFFF"/>
        </w:rPr>
        <w:t xml:space="preserve">: </w:t>
      </w:r>
      <w:hyperlink r:id="rId53" w:history="1">
        <w:r w:rsidRPr="00A53EF6">
          <w:rPr>
            <w:rStyle w:val="Hyperlink"/>
            <w:rFonts w:eastAsia="Times New Roman" w:cs="Arial"/>
            <w:shd w:val="clear" w:color="auto" w:fill="FFFFFF"/>
          </w:rPr>
          <w:t>https://learning.gov.wales/docs/learningwales/news/121025improvingschoolsen.pdf</w:t>
        </w:r>
      </w:hyperlink>
      <w:r>
        <w:rPr>
          <w:rFonts w:eastAsia="Times New Roman" w:cs="Arial"/>
          <w:shd w:val="clear" w:color="auto" w:fill="FFFFFF"/>
        </w:rPr>
        <w:t xml:space="preserve"> (Accessed: 10 November 2018).</w:t>
      </w:r>
    </w:p>
    <w:p w14:paraId="641B51C2" w14:textId="77777777" w:rsidR="00383420" w:rsidRPr="00192B34" w:rsidRDefault="00383420" w:rsidP="00383420">
      <w:pPr>
        <w:pStyle w:val="ListParagraph"/>
        <w:numPr>
          <w:ilvl w:val="0"/>
          <w:numId w:val="6"/>
        </w:numPr>
      </w:pPr>
      <w:r w:rsidRPr="006B1EB8">
        <w:rPr>
          <w:rFonts w:eastAsia="Times New Roman" w:cs="Arial"/>
          <w:shd w:val="clear" w:color="auto" w:fill="FFFFFF"/>
        </w:rPr>
        <w:t xml:space="preserve">Wales.  DCELLS (2012) </w:t>
      </w:r>
      <w:r>
        <w:rPr>
          <w:rFonts w:eastAsia="Times New Roman" w:cs="Arial"/>
          <w:i/>
          <w:shd w:val="clear" w:color="auto" w:fill="FFFFFF"/>
        </w:rPr>
        <w:t xml:space="preserve">Making the most of assessment: 7 – 14 </w:t>
      </w:r>
      <w:r w:rsidRPr="006B1EB8">
        <w:rPr>
          <w:rFonts w:eastAsia="Times New Roman" w:cs="Arial"/>
          <w:shd w:val="clear" w:color="auto" w:fill="FFFFFF"/>
        </w:rPr>
        <w:t>[Online].  Available from</w:t>
      </w:r>
      <w:r>
        <w:rPr>
          <w:rFonts w:eastAsia="Times New Roman" w:cs="Arial"/>
          <w:shd w:val="clear" w:color="auto" w:fill="FFFFFF"/>
        </w:rPr>
        <w:t xml:space="preserve">: </w:t>
      </w:r>
      <w:hyperlink r:id="rId54" w:history="1">
        <w:r w:rsidRPr="00A53EF6">
          <w:rPr>
            <w:rStyle w:val="Hyperlink"/>
            <w:rFonts w:eastAsia="Times New Roman" w:cs="Arial"/>
            <w:shd w:val="clear" w:color="auto" w:fill="FFFFFF"/>
          </w:rPr>
          <w:t>https://learning.gov.wales/docs/learningwales/publications/130425-making-the-most-en.pdf</w:t>
        </w:r>
      </w:hyperlink>
      <w:r>
        <w:rPr>
          <w:rFonts w:eastAsia="Times New Roman" w:cs="Arial"/>
          <w:shd w:val="clear" w:color="auto" w:fill="FFFFFF"/>
        </w:rPr>
        <w:t xml:space="preserve"> (Accessed: 10 March 2019). </w:t>
      </w:r>
    </w:p>
    <w:p w14:paraId="071C6755" w14:textId="77777777" w:rsidR="00383420" w:rsidRPr="006651BB" w:rsidRDefault="00383420" w:rsidP="00383420">
      <w:pPr>
        <w:pStyle w:val="ListParagraph"/>
        <w:numPr>
          <w:ilvl w:val="0"/>
          <w:numId w:val="6"/>
        </w:numPr>
      </w:pPr>
      <w:r w:rsidRPr="006B1EB8">
        <w:rPr>
          <w:rFonts w:eastAsia="Times New Roman" w:cs="Arial"/>
          <w:shd w:val="clear" w:color="auto" w:fill="FFFFFF"/>
        </w:rPr>
        <w:t xml:space="preserve">Wales.  DCELLS (2012) </w:t>
      </w:r>
      <w:r>
        <w:rPr>
          <w:rFonts w:eastAsia="Times New Roman" w:cs="Arial"/>
          <w:i/>
          <w:shd w:val="clear" w:color="auto" w:fill="FFFFFF"/>
        </w:rPr>
        <w:t xml:space="preserve">National Literacy and Numeracy Framework </w:t>
      </w:r>
      <w:r w:rsidRPr="006B1EB8">
        <w:rPr>
          <w:rFonts w:eastAsia="Times New Roman" w:cs="Arial"/>
          <w:shd w:val="clear" w:color="auto" w:fill="FFFFFF"/>
        </w:rPr>
        <w:t>[Online].  Available from:</w:t>
      </w:r>
      <w:r>
        <w:rPr>
          <w:rFonts w:eastAsia="Times New Roman" w:cs="Arial"/>
          <w:shd w:val="clear" w:color="auto" w:fill="FFFFFF"/>
        </w:rPr>
        <w:t xml:space="preserve"> </w:t>
      </w:r>
      <w:hyperlink r:id="rId55" w:history="1">
        <w:r w:rsidRPr="00A53EF6">
          <w:rPr>
            <w:rStyle w:val="Hyperlink"/>
            <w:rFonts w:eastAsia="Times New Roman" w:cs="Arial"/>
            <w:shd w:val="clear" w:color="auto" w:fill="FFFFFF"/>
          </w:rPr>
          <w:t>https://learning.gov.wales/docs/learningwales/publications/130415-lnf-guidance-en.pdf</w:t>
        </w:r>
      </w:hyperlink>
      <w:r>
        <w:rPr>
          <w:rFonts w:eastAsia="Times New Roman" w:cs="Arial"/>
          <w:shd w:val="clear" w:color="auto" w:fill="FFFFFF"/>
        </w:rPr>
        <w:t xml:space="preserve"> (Accessed: 01 December 2019).</w:t>
      </w:r>
    </w:p>
    <w:p w14:paraId="67B4D1E9" w14:textId="77777777" w:rsidR="00383420" w:rsidRDefault="00383420" w:rsidP="00383420">
      <w:pPr>
        <w:pStyle w:val="ListParagraph"/>
        <w:numPr>
          <w:ilvl w:val="0"/>
          <w:numId w:val="6"/>
        </w:numPr>
      </w:pPr>
      <w:r>
        <w:rPr>
          <w:rFonts w:eastAsia="Times New Roman" w:cs="Arial"/>
          <w:shd w:val="clear" w:color="auto" w:fill="FFFFFF"/>
        </w:rPr>
        <w:t xml:space="preserve">Wales.  DCELLS (2012) </w:t>
      </w:r>
      <w:r w:rsidRPr="001F372A">
        <w:rPr>
          <w:rFonts w:eastAsia="Times New Roman" w:cs="Arial"/>
          <w:i/>
          <w:shd w:val="clear" w:color="auto" w:fill="FFFFFF"/>
        </w:rPr>
        <w:t>Wales Education Report Card</w:t>
      </w:r>
      <w:r>
        <w:rPr>
          <w:rFonts w:eastAsia="Times New Roman" w:cs="Arial"/>
          <w:shd w:val="clear" w:color="auto" w:fill="FFFFFF"/>
        </w:rPr>
        <w:t xml:space="preserve"> [Online].  Available from: </w:t>
      </w:r>
      <w:hyperlink r:id="rId56" w:history="1">
        <w:r w:rsidRPr="00A53EF6">
          <w:rPr>
            <w:rStyle w:val="Hyperlink"/>
          </w:rPr>
          <w:t>https://dera.ioe.ac.uk/25779/1/160314-qualified-for-life-report-card-en.pdf</w:t>
        </w:r>
      </w:hyperlink>
      <w:r>
        <w:t xml:space="preserve"> (Accessed: 12 March 2019). </w:t>
      </w:r>
    </w:p>
    <w:p w14:paraId="1EE5D407" w14:textId="77777777" w:rsidR="00383420" w:rsidRPr="008E4788" w:rsidRDefault="00383420" w:rsidP="00383420">
      <w:pPr>
        <w:pStyle w:val="ListParagraph"/>
        <w:numPr>
          <w:ilvl w:val="0"/>
          <w:numId w:val="6"/>
        </w:numPr>
      </w:pPr>
      <w:r>
        <w:rPr>
          <w:rFonts w:eastAsia="Times New Roman" w:cs="Arial"/>
          <w:shd w:val="clear" w:color="auto" w:fill="FFFFFF"/>
        </w:rPr>
        <w:t xml:space="preserve">Wales.  DCELLS (2014) </w:t>
      </w:r>
      <w:r>
        <w:rPr>
          <w:rFonts w:eastAsia="Times New Roman" w:cs="Arial"/>
          <w:i/>
          <w:shd w:val="clear" w:color="auto" w:fill="FFFFFF"/>
        </w:rPr>
        <w:t xml:space="preserve">Qualified for Life: An Education Improvement Plan </w:t>
      </w:r>
      <w:r>
        <w:rPr>
          <w:rFonts w:eastAsia="Times New Roman" w:cs="Arial"/>
          <w:shd w:val="clear" w:color="auto" w:fill="FFFFFF"/>
        </w:rPr>
        <w:t xml:space="preserve">[Online].  Available from: </w:t>
      </w:r>
      <w:hyperlink r:id="rId57" w:history="1">
        <w:r w:rsidRPr="00A53EF6">
          <w:rPr>
            <w:rStyle w:val="Hyperlink"/>
            <w:rFonts w:eastAsia="Times New Roman" w:cs="Arial"/>
            <w:shd w:val="clear" w:color="auto" w:fill="FFFFFF"/>
          </w:rPr>
          <w:t>https://dera.ioe.ac.uk/21054/1/141001-qualified-for-life-en_Redacted.pdf</w:t>
        </w:r>
      </w:hyperlink>
      <w:r>
        <w:rPr>
          <w:rFonts w:eastAsia="Times New Roman" w:cs="Arial"/>
          <w:shd w:val="clear" w:color="auto" w:fill="FFFFFF"/>
        </w:rPr>
        <w:t xml:space="preserve"> (Accessed: 25 October 2019).</w:t>
      </w:r>
    </w:p>
    <w:p w14:paraId="7203D819" w14:textId="77777777" w:rsidR="00383420" w:rsidRDefault="00383420" w:rsidP="00383420">
      <w:pPr>
        <w:pStyle w:val="ListParagraph"/>
        <w:numPr>
          <w:ilvl w:val="0"/>
          <w:numId w:val="6"/>
        </w:numPr>
      </w:pPr>
      <w:r w:rsidRPr="006B1EB8">
        <w:rPr>
          <w:rFonts w:eastAsia="Times New Roman" w:cs="Arial"/>
          <w:shd w:val="clear" w:color="auto" w:fill="FFFFFF"/>
        </w:rPr>
        <w:t>Wales.  DCELLS (</w:t>
      </w:r>
      <w:r>
        <w:rPr>
          <w:rFonts w:eastAsia="Times New Roman" w:cs="Arial"/>
          <w:shd w:val="clear" w:color="auto" w:fill="FFFFFF"/>
        </w:rPr>
        <w:t>2017</w:t>
      </w:r>
      <w:r w:rsidRPr="006B1EB8">
        <w:rPr>
          <w:rFonts w:eastAsia="Times New Roman" w:cs="Arial"/>
          <w:shd w:val="clear" w:color="auto" w:fill="FFFFFF"/>
        </w:rPr>
        <w:t xml:space="preserve">) </w:t>
      </w:r>
      <w:r>
        <w:rPr>
          <w:rFonts w:eastAsia="Times New Roman" w:cs="Arial"/>
          <w:i/>
          <w:shd w:val="clear" w:color="auto" w:fill="FFFFFF"/>
        </w:rPr>
        <w:t xml:space="preserve">New Professional Standards for Teaching and Leadership in Wales </w:t>
      </w:r>
      <w:r w:rsidRPr="006B1EB8">
        <w:rPr>
          <w:rFonts w:eastAsia="Times New Roman" w:cs="Arial"/>
          <w:shd w:val="clear" w:color="auto" w:fill="FFFFFF"/>
        </w:rPr>
        <w:t>[Online].  Available from</w:t>
      </w:r>
      <w:r>
        <w:rPr>
          <w:rFonts w:eastAsia="Times New Roman" w:cs="Arial"/>
          <w:shd w:val="clear" w:color="auto" w:fill="FFFFFF"/>
        </w:rPr>
        <w:t>:</w:t>
      </w:r>
    </w:p>
    <w:p w14:paraId="188622D5" w14:textId="77777777" w:rsidR="00383420" w:rsidRDefault="00383420" w:rsidP="00383420">
      <w:pPr>
        <w:pStyle w:val="ListParagraph"/>
        <w:numPr>
          <w:ilvl w:val="0"/>
          <w:numId w:val="6"/>
        </w:numPr>
      </w:pPr>
      <w:r>
        <w:t xml:space="preserve">Wales.  </w:t>
      </w:r>
      <w:r w:rsidRPr="008120D1">
        <w:rPr>
          <w:i/>
        </w:rPr>
        <w:t>Government of Wales Act: Elizabeth II.</w:t>
      </w:r>
      <w:r>
        <w:t xml:space="preserve"> Chapter 38 (1998).  London:  The Stationary Office. </w:t>
      </w:r>
    </w:p>
    <w:p w14:paraId="6CF300A5" w14:textId="77777777" w:rsidR="00383420" w:rsidRDefault="00383420" w:rsidP="00383420">
      <w:pPr>
        <w:pStyle w:val="ListParagraph"/>
        <w:numPr>
          <w:ilvl w:val="0"/>
          <w:numId w:val="6"/>
        </w:numPr>
      </w:pPr>
      <w:r>
        <w:t xml:space="preserve">Wales.  </w:t>
      </w:r>
      <w:r w:rsidRPr="001D41C9">
        <w:rPr>
          <w:i/>
        </w:rPr>
        <w:t>Well-being of Future Generations (Wales) Act: Elizabeth II.</w:t>
      </w:r>
      <w:r>
        <w:t xml:space="preserve"> (2015).  London: The Stationary Office.  </w:t>
      </w:r>
    </w:p>
    <w:p w14:paraId="416CADC8" w14:textId="77777777" w:rsidR="00383420" w:rsidRDefault="00383420" w:rsidP="00383420">
      <w:pPr>
        <w:pStyle w:val="ListParagraph"/>
        <w:numPr>
          <w:ilvl w:val="0"/>
          <w:numId w:val="6"/>
        </w:numPr>
      </w:pPr>
      <w:r>
        <w:t xml:space="preserve">Wales. (2000) </w:t>
      </w:r>
      <w:r w:rsidRPr="00F0743F">
        <w:rPr>
          <w:i/>
        </w:rPr>
        <w:t>Implementation of Children’s Rights in Wales; 7 Core Aims</w:t>
      </w:r>
      <w:r>
        <w:t xml:space="preserve"> [Online]. Available from: </w:t>
      </w:r>
      <w:hyperlink r:id="rId58" w:history="1">
        <w:r w:rsidRPr="00A53EF6">
          <w:rPr>
            <w:rStyle w:val="Hyperlink"/>
          </w:rPr>
          <w:t>https://gweddill.gov.wales/topics/people-and-communities/</w:t>
        </w:r>
        <w:r w:rsidRPr="00A53EF6">
          <w:rPr>
            <w:rStyle w:val="Hyperlink"/>
          </w:rPr>
          <w:t>p</w:t>
        </w:r>
        <w:r w:rsidRPr="00A53EF6">
          <w:rPr>
            <w:rStyle w:val="Hyperlink"/>
          </w:rPr>
          <w:t>eople/children-and-young-people/rights/implementation-of-childrens-rights/?lang=en</w:t>
        </w:r>
      </w:hyperlink>
      <w:r>
        <w:t xml:space="preserve">  (Accessed: 10 January 2019).</w:t>
      </w:r>
    </w:p>
    <w:p w14:paraId="0153A49B" w14:textId="77777777" w:rsidR="00383420" w:rsidRDefault="00383420" w:rsidP="00383420">
      <w:pPr>
        <w:pStyle w:val="ListParagraph"/>
        <w:numPr>
          <w:ilvl w:val="0"/>
          <w:numId w:val="6"/>
        </w:numPr>
      </w:pPr>
      <w:r>
        <w:t xml:space="preserve">Wales. </w:t>
      </w:r>
      <w:r>
        <w:rPr>
          <w:i/>
        </w:rPr>
        <w:t>Education</w:t>
      </w:r>
      <w:r w:rsidRPr="002E2091">
        <w:rPr>
          <w:i/>
        </w:rPr>
        <w:t xml:space="preserve"> (Wales) Measure 2011</w:t>
      </w:r>
      <w:r>
        <w:rPr>
          <w:i/>
        </w:rPr>
        <w:t xml:space="preserve">: </w:t>
      </w:r>
      <w:r w:rsidRPr="002E2091">
        <w:rPr>
          <w:i/>
        </w:rPr>
        <w:t xml:space="preserve">Elizabeth II. Chapter </w:t>
      </w:r>
      <w:r>
        <w:rPr>
          <w:i/>
        </w:rPr>
        <w:t>1</w:t>
      </w:r>
      <w:r>
        <w:t xml:space="preserve"> </w:t>
      </w:r>
      <w:r w:rsidRPr="00776523">
        <w:t>(2011</w:t>
      </w:r>
      <w:r>
        <w:t>). London: The Stationary Office.</w:t>
      </w:r>
    </w:p>
    <w:p w14:paraId="00DE84B6" w14:textId="77777777" w:rsidR="00383420" w:rsidRDefault="00383420" w:rsidP="00383420">
      <w:pPr>
        <w:pStyle w:val="ListParagraph"/>
        <w:numPr>
          <w:ilvl w:val="0"/>
          <w:numId w:val="6"/>
        </w:numPr>
      </w:pPr>
      <w:r>
        <w:t xml:space="preserve">Wales. </w:t>
      </w:r>
      <w:r w:rsidRPr="002E2091">
        <w:rPr>
          <w:i/>
        </w:rPr>
        <w:t>Rights of Children and Young Persons (Wales) Measure 2011</w:t>
      </w:r>
      <w:r>
        <w:rPr>
          <w:i/>
        </w:rPr>
        <w:t xml:space="preserve">: </w:t>
      </w:r>
      <w:r w:rsidRPr="002E2091">
        <w:rPr>
          <w:i/>
        </w:rPr>
        <w:t xml:space="preserve">Elizabeth II. Chapter </w:t>
      </w:r>
      <w:r>
        <w:rPr>
          <w:i/>
        </w:rPr>
        <w:t>1</w:t>
      </w:r>
      <w:r>
        <w:t xml:space="preserve"> </w:t>
      </w:r>
      <w:r w:rsidRPr="00776523">
        <w:t>(2011</w:t>
      </w:r>
      <w:r>
        <w:t>). London: The Stationary Office.</w:t>
      </w:r>
    </w:p>
    <w:p w14:paraId="7395E8A5" w14:textId="77777777" w:rsidR="00383420" w:rsidRDefault="00383420" w:rsidP="00383420">
      <w:pPr>
        <w:pStyle w:val="ListParagraph"/>
        <w:numPr>
          <w:ilvl w:val="0"/>
          <w:numId w:val="6"/>
        </w:numPr>
      </w:pPr>
      <w:r>
        <w:t xml:space="preserve">Wales. School Management and Effectiveness Division (2015) </w:t>
      </w:r>
      <w:r w:rsidRPr="00DC646E">
        <w:rPr>
          <w:i/>
        </w:rPr>
        <w:t>National Model for Regional Working</w:t>
      </w:r>
      <w:r>
        <w:t xml:space="preserve"> [Online].  Available from: </w:t>
      </w:r>
      <w:hyperlink r:id="rId59" w:history="1">
        <w:r w:rsidRPr="00A53EF6">
          <w:rPr>
            <w:rStyle w:val="Hyperlink"/>
          </w:rPr>
          <w:t>https://gov.wales/sites/default/files/publications/2018-03/the-national-model-for-regional-working.pdf</w:t>
        </w:r>
      </w:hyperlink>
      <w:r>
        <w:t xml:space="preserve"> (Accessed: 24 November 2018).</w:t>
      </w:r>
    </w:p>
    <w:p w14:paraId="590B05ED" w14:textId="77777777" w:rsidR="00383420" w:rsidRPr="00642082" w:rsidRDefault="00383420" w:rsidP="00383420">
      <w:pPr>
        <w:pStyle w:val="ListParagraph"/>
        <w:numPr>
          <w:ilvl w:val="0"/>
          <w:numId w:val="6"/>
        </w:numPr>
      </w:pPr>
      <w:r>
        <w:rPr>
          <w:rFonts w:eastAsia="Times New Roman" w:cs="Arial"/>
          <w:shd w:val="clear" w:color="auto" w:fill="FFFFFF"/>
        </w:rPr>
        <w:t xml:space="preserve">Wales. School Standards Unit (2011) </w:t>
      </w:r>
      <w:r w:rsidRPr="000D3967">
        <w:rPr>
          <w:rFonts w:eastAsia="Times New Roman" w:cs="Arial"/>
          <w:i/>
          <w:shd w:val="clear" w:color="auto" w:fill="FFFFFF"/>
        </w:rPr>
        <w:t>The Model for Banding Secondary Schools</w:t>
      </w:r>
      <w:r>
        <w:rPr>
          <w:rFonts w:eastAsia="Times New Roman" w:cs="Arial"/>
          <w:shd w:val="clear" w:color="auto" w:fill="FFFFFF"/>
        </w:rPr>
        <w:t xml:space="preserve"> [Online].  Available from: </w:t>
      </w:r>
      <w:hyperlink r:id="rId60" w:history="1">
        <w:r w:rsidRPr="00A53EF6">
          <w:rPr>
            <w:rStyle w:val="Hyperlink"/>
            <w:rFonts w:eastAsia="Times New Roman" w:cs="Arial"/>
            <w:shd w:val="clear" w:color="auto" w:fill="FFFFFF"/>
          </w:rPr>
          <w:t>http://www.wrexham.gov.uk/MinutesData/ChildYoung/Reports/hll0312sa4.pdf</w:t>
        </w:r>
      </w:hyperlink>
      <w:r>
        <w:rPr>
          <w:rFonts w:eastAsia="Times New Roman" w:cs="Arial"/>
          <w:shd w:val="clear" w:color="auto" w:fill="FFFFFF"/>
        </w:rPr>
        <w:t xml:space="preserve"> (Accessed: 11 November).</w:t>
      </w:r>
    </w:p>
    <w:p w14:paraId="16EF29B2" w14:textId="77777777" w:rsidR="00383420" w:rsidRDefault="00383420" w:rsidP="00383420">
      <w:pPr>
        <w:pStyle w:val="ListParagraph"/>
        <w:numPr>
          <w:ilvl w:val="0"/>
          <w:numId w:val="6"/>
        </w:numPr>
      </w:pPr>
      <w:r>
        <w:t xml:space="preserve"> Yarcheski, A., Mahon, N. &amp; Scoloveno, M</w:t>
      </w:r>
      <w:r w:rsidRPr="00432BF4">
        <w:t xml:space="preserve">. (1994). </w:t>
      </w:r>
      <w:r>
        <w:rPr>
          <w:i/>
        </w:rPr>
        <w:t>Social Support and Well-Being i</w:t>
      </w:r>
      <w:r w:rsidRPr="008B33F7">
        <w:rPr>
          <w:i/>
        </w:rPr>
        <w:t>n Adolescents</w:t>
      </w:r>
      <w:r w:rsidRPr="00432BF4">
        <w:t xml:space="preserve">: The Mediating Role of Hopefulness. Nursing research. </w:t>
      </w:r>
      <w:r>
        <w:t>(Vol.43, No. 5,</w:t>
      </w:r>
      <w:r w:rsidRPr="00432BF4">
        <w:t xml:space="preserve"> </w:t>
      </w:r>
      <w:r>
        <w:t xml:space="preserve">p. </w:t>
      </w:r>
      <w:r w:rsidRPr="00432BF4">
        <w:t>288-92</w:t>
      </w:r>
      <w:r>
        <w:t>) [Online]</w:t>
      </w:r>
      <w:r w:rsidRPr="00432BF4">
        <w:t>.</w:t>
      </w:r>
      <w:r>
        <w:t xml:space="preserve">  Available from: </w:t>
      </w:r>
      <w:hyperlink r:id="rId61" w:history="1">
        <w:r w:rsidRPr="00A53EF6">
          <w:rPr>
            <w:rStyle w:val="Hyperlink"/>
          </w:rPr>
          <w:t>http://dx.doi.org/10.1097/00006199-199409000-00006</w:t>
        </w:r>
      </w:hyperlink>
      <w:r>
        <w:t xml:space="preserve"> (Accessed: 10 November 2018). </w:t>
      </w:r>
    </w:p>
    <w:p w14:paraId="701F47E9" w14:textId="77777777" w:rsidR="00383420" w:rsidRDefault="00383420" w:rsidP="00383420">
      <w:pPr>
        <w:pStyle w:val="ListParagraph"/>
        <w:numPr>
          <w:ilvl w:val="0"/>
          <w:numId w:val="6"/>
        </w:numPr>
      </w:pPr>
      <w:r>
        <w:lastRenderedPageBreak/>
        <w:t>Yin, R. (2009) (4</w:t>
      </w:r>
      <w:r w:rsidRPr="003301B8">
        <w:rPr>
          <w:vertAlign w:val="superscript"/>
        </w:rPr>
        <w:t>th</w:t>
      </w:r>
      <w:r>
        <w:t xml:space="preserve"> ed) </w:t>
      </w:r>
      <w:r w:rsidRPr="003301B8">
        <w:rPr>
          <w:i/>
        </w:rPr>
        <w:t>Case Study Research: Design and Methods</w:t>
      </w:r>
      <w:r>
        <w:t>.  New York: SAGE Publications.</w:t>
      </w:r>
    </w:p>
    <w:p w14:paraId="7B16A2F6" w14:textId="77777777" w:rsidR="00383420" w:rsidRDefault="00383420" w:rsidP="00383420"/>
    <w:p w14:paraId="2E76B82C" w14:textId="77777777" w:rsidR="00383420" w:rsidRDefault="00383420" w:rsidP="00383420"/>
    <w:p w14:paraId="1B842CC1" w14:textId="77777777" w:rsidR="00383420" w:rsidRDefault="00383420" w:rsidP="00383420"/>
    <w:p w14:paraId="38B5A781" w14:textId="77777777" w:rsidR="00383420" w:rsidRDefault="00383420" w:rsidP="00383420"/>
    <w:p w14:paraId="2BE7CCF7" w14:textId="77777777" w:rsidR="00383420" w:rsidRDefault="00383420" w:rsidP="00383420"/>
    <w:p w14:paraId="76AEF60B" w14:textId="77777777" w:rsidR="00383420" w:rsidRDefault="00383420" w:rsidP="00383420"/>
    <w:p w14:paraId="31220DCA" w14:textId="77777777" w:rsidR="00383420" w:rsidRDefault="00383420" w:rsidP="00383420"/>
    <w:p w14:paraId="0277D9B9" w14:textId="77777777" w:rsidR="00383420" w:rsidRDefault="00383420" w:rsidP="00383420"/>
    <w:p w14:paraId="4AE851CB" w14:textId="77777777" w:rsidR="00383420" w:rsidRDefault="00383420" w:rsidP="00383420"/>
    <w:p w14:paraId="4D96AC71" w14:textId="77777777" w:rsidR="00383420" w:rsidRDefault="00383420" w:rsidP="00383420"/>
    <w:p w14:paraId="286257C6" w14:textId="77777777" w:rsidR="00383420" w:rsidRDefault="00383420" w:rsidP="00383420"/>
    <w:p w14:paraId="5FCE0FE9" w14:textId="77777777" w:rsidR="00383420" w:rsidRDefault="00383420" w:rsidP="00383420"/>
    <w:p w14:paraId="7F453455" w14:textId="77777777" w:rsidR="00383420" w:rsidRDefault="00383420" w:rsidP="00383420"/>
    <w:p w14:paraId="1CF5A727" w14:textId="77777777" w:rsidR="00383420" w:rsidRDefault="00383420" w:rsidP="00383420"/>
    <w:p w14:paraId="171A49D4" w14:textId="77777777" w:rsidR="00383420" w:rsidRDefault="00383420" w:rsidP="00383420"/>
    <w:p w14:paraId="668F0881" w14:textId="77777777" w:rsidR="00383420" w:rsidRDefault="00383420" w:rsidP="00383420"/>
    <w:p w14:paraId="18462970" w14:textId="77777777" w:rsidR="00383420" w:rsidRDefault="00383420" w:rsidP="00383420"/>
    <w:p w14:paraId="56B068BB" w14:textId="77777777" w:rsidR="00383420" w:rsidRDefault="00383420" w:rsidP="00383420"/>
    <w:p w14:paraId="48AEACDE" w14:textId="77777777" w:rsidR="00383420" w:rsidRDefault="00383420" w:rsidP="00383420"/>
    <w:p w14:paraId="702A9FCE" w14:textId="77777777" w:rsidR="00383420" w:rsidRDefault="00383420" w:rsidP="00383420"/>
    <w:p w14:paraId="2E4195E7" w14:textId="77777777" w:rsidR="00383420" w:rsidRDefault="00383420" w:rsidP="00383420"/>
    <w:p w14:paraId="25208055" w14:textId="77777777" w:rsidR="00383420" w:rsidRDefault="00383420" w:rsidP="00383420"/>
    <w:p w14:paraId="6AE8064E" w14:textId="77777777" w:rsidR="00383420" w:rsidRDefault="00383420" w:rsidP="00383420"/>
    <w:p w14:paraId="6246DED6" w14:textId="77777777" w:rsidR="00383420" w:rsidRDefault="00383420" w:rsidP="00383420"/>
    <w:p w14:paraId="53DFA55D" w14:textId="77777777" w:rsidR="00383420" w:rsidRDefault="00383420" w:rsidP="00383420"/>
    <w:p w14:paraId="45D7B0A9" w14:textId="77777777" w:rsidR="00383420" w:rsidRDefault="00383420" w:rsidP="00383420"/>
    <w:p w14:paraId="7EA10EFE" w14:textId="77777777" w:rsidR="00383420" w:rsidRDefault="00383420" w:rsidP="00383420"/>
    <w:p w14:paraId="03C9310B" w14:textId="77777777" w:rsidR="00383420" w:rsidRDefault="00383420" w:rsidP="00383420"/>
    <w:p w14:paraId="586B35C2" w14:textId="77777777" w:rsidR="00383420" w:rsidRDefault="00383420" w:rsidP="00383420"/>
    <w:p w14:paraId="23FA2740" w14:textId="77777777" w:rsidR="00383420" w:rsidRDefault="00383420" w:rsidP="00383420"/>
    <w:p w14:paraId="4EC07893" w14:textId="77777777" w:rsidR="00383420" w:rsidRDefault="00383420" w:rsidP="00383420"/>
    <w:p w14:paraId="48DE6D54" w14:textId="77777777" w:rsidR="00383420" w:rsidRDefault="00383420" w:rsidP="00383420"/>
    <w:p w14:paraId="181505C3" w14:textId="77777777" w:rsidR="00383420" w:rsidRDefault="00383420" w:rsidP="00383420"/>
    <w:p w14:paraId="798ABFEF" w14:textId="77777777" w:rsidR="00383420" w:rsidRDefault="00383420" w:rsidP="00383420"/>
    <w:p w14:paraId="5AF23992" w14:textId="77777777" w:rsidR="00383420" w:rsidRDefault="00383420" w:rsidP="00383420"/>
    <w:p w14:paraId="199778B9" w14:textId="77777777" w:rsidR="00383420" w:rsidRDefault="00383420" w:rsidP="00383420"/>
    <w:p w14:paraId="62FF0D26" w14:textId="77777777" w:rsidR="00383420" w:rsidRDefault="00383420" w:rsidP="00383420"/>
    <w:p w14:paraId="6DA850A1" w14:textId="77777777" w:rsidR="00383420" w:rsidRDefault="00383420" w:rsidP="00383420"/>
    <w:p w14:paraId="6D2A2AEB" w14:textId="77777777" w:rsidR="00383420" w:rsidRDefault="00383420" w:rsidP="00383420"/>
    <w:p w14:paraId="05BD7216" w14:textId="77777777" w:rsidR="00383420" w:rsidRDefault="00383420" w:rsidP="00383420"/>
    <w:p w14:paraId="4FCE5B15" w14:textId="77777777" w:rsidR="00383420" w:rsidRDefault="00383420" w:rsidP="00383420"/>
    <w:p w14:paraId="3A890B19" w14:textId="77777777" w:rsidR="00383420" w:rsidRDefault="00383420" w:rsidP="00383420"/>
    <w:p w14:paraId="367B8916" w14:textId="77777777" w:rsidR="00383420" w:rsidRDefault="00383420" w:rsidP="00383420"/>
    <w:p w14:paraId="3C46E403" w14:textId="77777777" w:rsidR="00383420" w:rsidRDefault="00383420" w:rsidP="00383420"/>
    <w:p w14:paraId="06A62AD3" w14:textId="77777777" w:rsidR="00383420" w:rsidRDefault="00383420" w:rsidP="00383420"/>
    <w:p w14:paraId="34E3FFB6" w14:textId="77777777" w:rsidR="00383420" w:rsidRPr="004B4A20" w:rsidRDefault="00383420" w:rsidP="00383420">
      <w:pPr>
        <w:rPr>
          <w:b/>
        </w:rPr>
      </w:pPr>
      <w:bookmarkStart w:id="0" w:name="_GoBack"/>
      <w:bookmarkEnd w:id="0"/>
      <w:r w:rsidRPr="004B4A20">
        <w:rPr>
          <w:b/>
        </w:rPr>
        <w:lastRenderedPageBreak/>
        <w:t>Chapter 7.</w:t>
      </w:r>
      <w:r w:rsidRPr="004B4A20">
        <w:rPr>
          <w:b/>
        </w:rPr>
        <w:tab/>
        <w:t xml:space="preserve">Appendices </w:t>
      </w:r>
    </w:p>
    <w:p w14:paraId="29D5B8FE" w14:textId="77777777" w:rsidR="00383420" w:rsidRPr="004B4A20" w:rsidRDefault="00383420" w:rsidP="00383420"/>
    <w:p w14:paraId="0726B3E1" w14:textId="77777777" w:rsidR="00383420" w:rsidRPr="00C45265" w:rsidRDefault="00383420" w:rsidP="00383420"/>
    <w:p w14:paraId="72CF7CC7" w14:textId="77777777" w:rsidR="00383420" w:rsidRPr="00C45265" w:rsidRDefault="00383420" w:rsidP="00383420">
      <w:r w:rsidRPr="00C45265">
        <w:t>7.1</w:t>
      </w:r>
      <w:r w:rsidRPr="00C45265">
        <w:tab/>
        <w:t>Rights Respecting Schools Award (RRS); leaflet.</w:t>
      </w:r>
    </w:p>
    <w:p w14:paraId="1CF2C76B" w14:textId="77777777" w:rsidR="00383420" w:rsidRPr="00C45265" w:rsidRDefault="00383420" w:rsidP="00383420"/>
    <w:p w14:paraId="28D927B8" w14:textId="77777777" w:rsidR="00383420" w:rsidRPr="00C45265" w:rsidRDefault="00383420" w:rsidP="00383420">
      <w:r w:rsidRPr="00C45265">
        <w:t>7.2</w:t>
      </w:r>
      <w:r w:rsidRPr="00C45265">
        <w:tab/>
        <w:t xml:space="preserve">RRS summary sheet; adult questionnaires </w:t>
      </w:r>
    </w:p>
    <w:p w14:paraId="2DD57B23" w14:textId="77777777" w:rsidR="00383420" w:rsidRPr="00C45265" w:rsidRDefault="00383420" w:rsidP="00383420"/>
    <w:p w14:paraId="71E1B784" w14:textId="77777777" w:rsidR="00383420" w:rsidRPr="00C45265" w:rsidRDefault="00383420" w:rsidP="00383420">
      <w:r w:rsidRPr="00C45265">
        <w:t>7.3</w:t>
      </w:r>
      <w:r w:rsidRPr="00C45265">
        <w:tab/>
        <w:t xml:space="preserve">RRS school evaluation </w:t>
      </w:r>
    </w:p>
    <w:p w14:paraId="7B4A3FEE" w14:textId="77777777" w:rsidR="00383420" w:rsidRPr="00C45265" w:rsidRDefault="00383420" w:rsidP="00383420"/>
    <w:p w14:paraId="6A838CC3" w14:textId="77777777" w:rsidR="00383420" w:rsidRPr="00C45265" w:rsidRDefault="00383420" w:rsidP="00383420">
      <w:r w:rsidRPr="00C45265">
        <w:t>7.4</w:t>
      </w:r>
      <w:r w:rsidRPr="00C45265">
        <w:tab/>
        <w:t>Research questionnaire: Child Wellbeing; what does it mean to you?</w:t>
      </w:r>
    </w:p>
    <w:p w14:paraId="53BC060E" w14:textId="77777777" w:rsidR="00383420" w:rsidRPr="00C45265" w:rsidRDefault="00383420" w:rsidP="00383420"/>
    <w:p w14:paraId="6F413288" w14:textId="77777777" w:rsidR="00383420" w:rsidRPr="00C45265" w:rsidRDefault="00383420" w:rsidP="00383420">
      <w:r w:rsidRPr="00C45265">
        <w:t xml:space="preserve">7.5 </w:t>
      </w:r>
      <w:r w:rsidRPr="00C45265">
        <w:tab/>
        <w:t xml:space="preserve">UWTSD, Approved Ethics form (E1) </w:t>
      </w:r>
    </w:p>
    <w:p w14:paraId="333C7761" w14:textId="77777777" w:rsidR="00383420" w:rsidRPr="00C45265" w:rsidRDefault="00383420" w:rsidP="00383420"/>
    <w:p w14:paraId="489D4889" w14:textId="77777777" w:rsidR="00383420" w:rsidRPr="00243CDB" w:rsidRDefault="00383420" w:rsidP="00D0334F">
      <w:pPr>
        <w:spacing w:line="360" w:lineRule="auto"/>
        <w:jc w:val="both"/>
      </w:pPr>
    </w:p>
    <w:sectPr w:rsidR="00383420" w:rsidRPr="00243CDB" w:rsidSect="0085642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49080C"/>
    <w:multiLevelType w:val="hybridMultilevel"/>
    <w:tmpl w:val="6A42E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E88742F"/>
    <w:multiLevelType w:val="hybridMultilevel"/>
    <w:tmpl w:val="FBA24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F70534F"/>
    <w:multiLevelType w:val="hybridMultilevel"/>
    <w:tmpl w:val="35C2AF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C194446"/>
    <w:multiLevelType w:val="hybridMultilevel"/>
    <w:tmpl w:val="DF08D918"/>
    <w:lvl w:ilvl="0" w:tplc="0C8A69B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E3E0B6E"/>
    <w:multiLevelType w:val="hybridMultilevel"/>
    <w:tmpl w:val="67F83274"/>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5">
    <w:nsid w:val="73C762C0"/>
    <w:multiLevelType w:val="hybridMultilevel"/>
    <w:tmpl w:val="60E24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5495"/>
    <w:rsid w:val="00022E97"/>
    <w:rsid w:val="00055450"/>
    <w:rsid w:val="000D67B4"/>
    <w:rsid w:val="001B42FB"/>
    <w:rsid w:val="00234E68"/>
    <w:rsid w:val="00243CDB"/>
    <w:rsid w:val="002E6300"/>
    <w:rsid w:val="003145EA"/>
    <w:rsid w:val="0036410F"/>
    <w:rsid w:val="00376D73"/>
    <w:rsid w:val="00383420"/>
    <w:rsid w:val="00385363"/>
    <w:rsid w:val="004415FE"/>
    <w:rsid w:val="004664D7"/>
    <w:rsid w:val="005021EF"/>
    <w:rsid w:val="00504754"/>
    <w:rsid w:val="00513476"/>
    <w:rsid w:val="00547B8B"/>
    <w:rsid w:val="005C0F2E"/>
    <w:rsid w:val="00625495"/>
    <w:rsid w:val="006327A5"/>
    <w:rsid w:val="00633B52"/>
    <w:rsid w:val="006376FB"/>
    <w:rsid w:val="007425AE"/>
    <w:rsid w:val="00760177"/>
    <w:rsid w:val="007A7E82"/>
    <w:rsid w:val="00856427"/>
    <w:rsid w:val="008A4F7E"/>
    <w:rsid w:val="008C3540"/>
    <w:rsid w:val="008D7C0F"/>
    <w:rsid w:val="008E216D"/>
    <w:rsid w:val="0090427F"/>
    <w:rsid w:val="00990FB3"/>
    <w:rsid w:val="009A68BB"/>
    <w:rsid w:val="00A218D3"/>
    <w:rsid w:val="00A5637F"/>
    <w:rsid w:val="00A670D9"/>
    <w:rsid w:val="00A82133"/>
    <w:rsid w:val="00A94212"/>
    <w:rsid w:val="00AF6525"/>
    <w:rsid w:val="00B33DE0"/>
    <w:rsid w:val="00BD5173"/>
    <w:rsid w:val="00C03415"/>
    <w:rsid w:val="00C43DE6"/>
    <w:rsid w:val="00C7090A"/>
    <w:rsid w:val="00C718E1"/>
    <w:rsid w:val="00D0334F"/>
    <w:rsid w:val="00DD0C34"/>
    <w:rsid w:val="00E35BF2"/>
    <w:rsid w:val="00E81316"/>
    <w:rsid w:val="00E86726"/>
    <w:rsid w:val="00EE0F2E"/>
    <w:rsid w:val="00F2367C"/>
    <w:rsid w:val="00F64C65"/>
    <w:rsid w:val="00FB3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EC87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218D3"/>
  </w:style>
  <w:style w:type="paragraph" w:styleId="Heading1">
    <w:name w:val="heading 1"/>
    <w:next w:val="Normal"/>
    <w:link w:val="Heading1Char"/>
    <w:uiPriority w:val="9"/>
    <w:unhideWhenUsed/>
    <w:qFormat/>
    <w:rsid w:val="00A670D9"/>
    <w:pPr>
      <w:keepNext/>
      <w:keepLines/>
      <w:spacing w:after="677" w:line="259" w:lineRule="auto"/>
      <w:ind w:left="38"/>
      <w:outlineLvl w:val="0"/>
    </w:pPr>
    <w:rPr>
      <w:rFonts w:ascii="Times New Roman" w:eastAsia="Times New Roman" w:hAnsi="Times New Roman" w:cs="Times New Roman"/>
      <w:color w:val="000000"/>
      <w:sz w:val="18"/>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18D3"/>
    <w:pPr>
      <w:ind w:left="720"/>
      <w:contextualSpacing/>
    </w:pPr>
  </w:style>
  <w:style w:type="table" w:styleId="TableGrid">
    <w:name w:val="Table Grid"/>
    <w:basedOn w:val="TableNormal"/>
    <w:uiPriority w:val="39"/>
    <w:rsid w:val="00A218D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A670D9"/>
    <w:rPr>
      <w:rFonts w:ascii="Times New Roman" w:eastAsia="Times New Roman" w:hAnsi="Times New Roman" w:cs="Times New Roman"/>
      <w:color w:val="000000"/>
      <w:sz w:val="18"/>
      <w:szCs w:val="22"/>
      <w:lang w:eastAsia="en-GB"/>
    </w:rPr>
  </w:style>
  <w:style w:type="paragraph" w:customStyle="1" w:styleId="Default">
    <w:name w:val="Default"/>
    <w:rsid w:val="00A670D9"/>
    <w:pPr>
      <w:autoSpaceDE w:val="0"/>
      <w:autoSpaceDN w:val="0"/>
      <w:adjustRightInd w:val="0"/>
    </w:pPr>
    <w:rPr>
      <w:rFonts w:ascii="Arial" w:eastAsia="Times New Roman" w:hAnsi="Arial" w:cs="Arial"/>
      <w:color w:val="000000"/>
      <w:lang w:eastAsia="en-GB"/>
    </w:rPr>
  </w:style>
  <w:style w:type="paragraph" w:styleId="NoSpacing">
    <w:name w:val="No Spacing"/>
    <w:uiPriority w:val="1"/>
    <w:qFormat/>
    <w:rsid w:val="00A670D9"/>
    <w:pPr>
      <w:ind w:right="77"/>
      <w:jc w:val="both"/>
    </w:pPr>
    <w:rPr>
      <w:rFonts w:ascii="Calibri" w:eastAsia="Calibri" w:hAnsi="Calibri" w:cs="Calibri"/>
      <w:color w:val="000000"/>
      <w:sz w:val="22"/>
      <w:szCs w:val="22"/>
      <w:lang w:eastAsia="en-GB"/>
    </w:rPr>
  </w:style>
  <w:style w:type="character" w:styleId="Hyperlink">
    <w:name w:val="Hyperlink"/>
    <w:basedOn w:val="DefaultParagraphFont"/>
    <w:uiPriority w:val="99"/>
    <w:unhideWhenUsed/>
    <w:rsid w:val="00383420"/>
    <w:rPr>
      <w:color w:val="0563C1" w:themeColor="hyperlink"/>
      <w:u w:val="single"/>
    </w:rPr>
  </w:style>
  <w:style w:type="paragraph" w:styleId="NormalWeb">
    <w:name w:val="Normal (Web)"/>
    <w:basedOn w:val="Normal"/>
    <w:uiPriority w:val="99"/>
    <w:unhideWhenUsed/>
    <w:rsid w:val="00383420"/>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383420"/>
  </w:style>
  <w:style w:type="character" w:customStyle="1" w:styleId="nlmarticle-title">
    <w:name w:val="nlm_article-title"/>
    <w:basedOn w:val="DefaultParagraphFont"/>
    <w:rsid w:val="00383420"/>
  </w:style>
  <w:style w:type="character" w:customStyle="1" w:styleId="nlmfpage">
    <w:name w:val="nlm_fpage"/>
    <w:basedOn w:val="DefaultParagraphFont"/>
    <w:rsid w:val="00383420"/>
  </w:style>
  <w:style w:type="character" w:customStyle="1" w:styleId="nlmlpage">
    <w:name w:val="nlm_lpage"/>
    <w:basedOn w:val="DefaultParagraphFont"/>
    <w:rsid w:val="003834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hyperlink" Target="https://www.alliance4usefulevidence.org/assets/Using-Research-Evidence-for-Success-A-Practice-Guide-v6-web.pdf" TargetMode="External"/><Relationship Id="rId14" Type="http://schemas.openxmlformats.org/officeDocument/2006/relationships/hyperlink" Target="http://www.iaoed.org/downloads/Edpol1.pdf" TargetMode="External"/><Relationship Id="rId15" Type="http://schemas.openxmlformats.org/officeDocument/2006/relationships/hyperlink" Target="https://www.iwa.wales/click/2011/02/teaching-makes-a-difference/" TargetMode="External"/><Relationship Id="rId16" Type="http://schemas.openxmlformats.org/officeDocument/2006/relationships/hyperlink" Target="https://gov.wales/written-statement-school-performance" TargetMode="External"/><Relationship Id="rId17" Type="http://schemas.openxmlformats.org/officeDocument/2006/relationships/hyperlink" Target="https://www.bera.ac.uk/wp-content/uploads/2018/06/BERA-Ethical-Guidelines-for-Educational-Research_4thEdn_2018.pdf?noredirect=1" TargetMode="External"/><Relationship Id="rId18" Type="http://schemas.openxmlformats.org/officeDocument/2006/relationships/hyperlink" Target="http://www.bristol.ac.uk/media-library/sites/cmpo/migrated/documents/wp246.pdf" TargetMode="External"/><Relationship Id="rId19" Type="http://schemas.openxmlformats.org/officeDocument/2006/relationships/hyperlink" Target="http://www.educationengland.org.uk/documents/speeches/1976ruskin.html" TargetMode="External"/><Relationship Id="rId63" Type="http://schemas.openxmlformats.org/officeDocument/2006/relationships/theme" Target="theme/theme1.xml"/><Relationship Id="rId50" Type="http://schemas.openxmlformats.org/officeDocument/2006/relationships/hyperlink" Target="https://learning.gov.wales/docs/learningwales/publications/140626-skills-framework-for-3-19-year-olds-en.pdf" TargetMode="External"/><Relationship Id="rId51" Type="http://schemas.openxmlformats.org/officeDocument/2006/relationships/hyperlink" Target="https://learning.gov.wales/docs/learningwales/publications/140630-revised-professional-standards-en.pdf" TargetMode="External"/><Relationship Id="rId52" Type="http://schemas.openxmlformats.org/officeDocument/2006/relationships/hyperlink" Target="https://learning.gov.wales/docs/learningwales/news/121025improvingschoolsen.pdf" TargetMode="External"/><Relationship Id="rId53" Type="http://schemas.openxmlformats.org/officeDocument/2006/relationships/hyperlink" Target="https://learning.gov.wales/docs/learningwales/news/121025improvingschoolsen.pdf" TargetMode="External"/><Relationship Id="rId54" Type="http://schemas.openxmlformats.org/officeDocument/2006/relationships/hyperlink" Target="https://learning.gov.wales/docs/learningwales/publications/130425-making-the-most-en.pdf" TargetMode="External"/><Relationship Id="rId55" Type="http://schemas.openxmlformats.org/officeDocument/2006/relationships/hyperlink" Target="https://learning.gov.wales/docs/learningwales/publications/130415-lnf-guidance-en.pdf" TargetMode="External"/><Relationship Id="rId56" Type="http://schemas.openxmlformats.org/officeDocument/2006/relationships/hyperlink" Target="https://dera.ioe.ac.uk/25779/1/160314-qualified-for-life-report-card-en.pdf" TargetMode="External"/><Relationship Id="rId57" Type="http://schemas.openxmlformats.org/officeDocument/2006/relationships/hyperlink" Target="https://dera.ioe.ac.uk/21054/1/141001-qualified-for-life-en_Redacted.pdf" TargetMode="External"/><Relationship Id="rId58" Type="http://schemas.openxmlformats.org/officeDocument/2006/relationships/hyperlink" Target="https://gweddill.gov.wales/topics/people-and-communities/people/children-and-young-people/rights/implementation-of-childrens-rights/?lang=en" TargetMode="External"/><Relationship Id="rId59" Type="http://schemas.openxmlformats.org/officeDocument/2006/relationships/hyperlink" Target="https://gov.wales/sites/default/files/publications/2018-03/the-national-model-for-regional-working.pdf" TargetMode="External"/><Relationship Id="rId40" Type="http://schemas.openxmlformats.org/officeDocument/2006/relationships/hyperlink" Target="https://doi.org/10.1007/BF02737782" TargetMode="External"/><Relationship Id="rId41" Type="http://schemas.openxmlformats.org/officeDocument/2006/relationships/hyperlink" Target="https://www.unicef-irc.org/publications/pdf/rc7_eng.pdf" TargetMode="External"/><Relationship Id="rId42" Type="http://schemas.openxmlformats.org/officeDocument/2006/relationships/hyperlink" Target="https://www.unicef-irc.org/publications/pdf/rc11_eng.pdf" TargetMode="External"/><Relationship Id="rId43" Type="http://schemas.openxmlformats.org/officeDocument/2006/relationships/hyperlink" Target="https://www.unicef.org.uk/rights-respecting-schools/the-rrsa/about-the-rrsa/" TargetMode="External"/><Relationship Id="rId44" Type="http://schemas.openxmlformats.org/officeDocument/2006/relationships/hyperlink" Target="https://www.unicef.org.uk/what-we-do/our-uk-work/" TargetMode="External"/><Relationship Id="rId45" Type="http://schemas.openxmlformats.org/officeDocument/2006/relationships/hyperlink" Target="https://www.unicef.org.uk/what-we-do/un-convention-child-rights/" TargetMode="External"/><Relationship Id="rId46" Type="http://schemas.openxmlformats.org/officeDocument/2006/relationships/hyperlink" Target="https://www.unicef.org.uk/wp-content/uploads/2010/05/UNCRC_united_nations_convention_on_the_rights_of_the_child.pdf" TargetMode="External"/><Relationship Id="rId47" Type="http://schemas.openxmlformats.org/officeDocument/2006/relationships/hyperlink" Target="http://www.educationengland.org.uk/documents/pdfs/2001-learning-country-wales.pdf" TargetMode="External"/><Relationship Id="rId48" Type="http://schemas.openxmlformats.org/officeDocument/2006/relationships/hyperlink" Target="https://learning.gov.wales/docs/learningwales/publications/130424-framework-for-childrens-learning-en.pdf" TargetMode="External"/><Relationship Id="rId49" Type="http://schemas.openxmlformats.org/officeDocument/2006/relationships/hyperlink" Target="https://dera.ioe.ac.uk/7732/7/1331_Redacted.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g"/><Relationship Id="rId6" Type="http://schemas.openxmlformats.org/officeDocument/2006/relationships/image" Target="media/image2.jpg"/><Relationship Id="rId7" Type="http://schemas.openxmlformats.org/officeDocument/2006/relationships/chart" Target="charts/chart1.xml"/><Relationship Id="rId8" Type="http://schemas.openxmlformats.org/officeDocument/2006/relationships/chart" Target="charts/chart2.xml"/><Relationship Id="rId9" Type="http://schemas.openxmlformats.org/officeDocument/2006/relationships/chart" Target="charts/chart3.xml"/><Relationship Id="rId30" Type="http://schemas.openxmlformats.org/officeDocument/2006/relationships/hyperlink" Target="https://gov.wales/written-statement-schools-challenge-cymru-pathways-success-schools" TargetMode="External"/><Relationship Id="rId31" Type="http://schemas.openxmlformats.org/officeDocument/2006/relationships/hyperlink" Target="https://doi.org/10.1080/01442872.2012.658260" TargetMode="External"/><Relationship Id="rId32" Type="http://schemas.openxmlformats.org/officeDocument/2006/relationships/hyperlink" Target="https://www.education-ni.gov.uk/consultations/children-and-young-peoples-strategy-2017-2027" TargetMode="External"/><Relationship Id="rId33" Type="http://schemas.openxmlformats.org/officeDocument/2006/relationships/hyperlink" Target="https://www.oecd.org/pisa/pisaproducts/46619703.pdf" TargetMode="External"/><Relationship Id="rId34" Type="http://schemas.openxmlformats.org/officeDocument/2006/relationships/hyperlink" Target="http://www.oecd.org/education/Improving-schools-in-Wales.pdf" TargetMode="External"/><Relationship Id="rId35" Type="http://schemas.openxmlformats.org/officeDocument/2006/relationships/hyperlink" Target="http://www.oecd.org/education/The-Welsh-Education-Reform-Journey-FINAL.pdf" TargetMode="External"/><Relationship Id="rId36" Type="http://schemas.openxmlformats.org/officeDocument/2006/relationships/hyperlink" Target="https://doi.org/10.1023/A:102128421580" TargetMode="External"/><Relationship Id="rId37" Type="http://schemas.openxmlformats.org/officeDocument/2006/relationships/hyperlink" Target="https://education.gov.scot/scottish-education-system/policy-for-scottish-education/policy-drivers/cfe-(building-from-the-statement-appendix-incl-btc1-5)/What%20is%20Curriculum%20for%20Excellence" TargetMode="External"/><Relationship Id="rId38" Type="http://schemas.openxmlformats.org/officeDocument/2006/relationships/hyperlink" Target="https://www.gov.scot/policies/girfec/" TargetMode="External"/><Relationship Id="rId39" Type="http://schemas.openxmlformats.org/officeDocument/2006/relationships/hyperlink" Target="https://www.childrenssociety.org.uk/sites/default/files/pcr090_mainreport_web.pdf" TargetMode="External"/><Relationship Id="rId20" Type="http://schemas.openxmlformats.org/officeDocument/2006/relationships/hyperlink" Target="https://dera.ioe.ac.uk/22165/2/150225-successful-futures-en_Redacted.pdf" TargetMode="External"/><Relationship Id="rId21" Type="http://schemas.openxmlformats.org/officeDocument/2006/relationships/hyperlink" Target="https://www.estyn.gov.wales/sites/default/files/documents/Common%20Inspection%20Framework.pdf" TargetMode="External"/><Relationship Id="rId22" Type="http://schemas.openxmlformats.org/officeDocument/2006/relationships/hyperlink" Target="https://www.estyn.gov.wales/sites/default/files/documents/2017%20-final%20CIF.pdf" TargetMode="External"/><Relationship Id="rId23" Type="http://schemas.openxmlformats.org/officeDocument/2006/relationships/hyperlink" Target="http://ec.europa.eu/assets/eac/education/library/publications/monitor13_en.pdf" TargetMode="External"/><Relationship Id="rId24" Type="http://schemas.openxmlformats.org/officeDocument/2006/relationships/hyperlink" Target="http://www.legislation.gov.uk/uksi/1992/1385/made" TargetMode="External"/><Relationship Id="rId25" Type="http://schemas.openxmlformats.org/officeDocument/2006/relationships/hyperlink" Target="https://gov.wales/sites/default/files/consultations/2018-01/130621-delivery-of-education-report-en.pdf" TargetMode="External"/><Relationship Id="rId26" Type="http://schemas.openxmlformats.org/officeDocument/2006/relationships/hyperlink" Target="https://publications.parliament.uk/pa/cm200910/cmselect/cmchilsch/88/88i.pdf" TargetMode="External"/><Relationship Id="rId27" Type="http://schemas.openxmlformats.org/officeDocument/2006/relationships/hyperlink" Target="https://learning.gov.wales/docs/learningwales/publications/170901-professional-standards-for-teaching-and-leadership-en.pdf" TargetMode="External"/><Relationship Id="rId28" Type="http://schemas.openxmlformats.org/officeDocument/2006/relationships/hyperlink" Target="http://mintlinz.pbworks.com/w/file/fetch/83256376/Johnson%20Mixed%20methods%202004.pdf" TargetMode="External"/><Relationship Id="rId29" Type="http://schemas.openxmlformats.org/officeDocument/2006/relationships/hyperlink" Target="https://gov.wales/written-statement-national-school-categorisation-system" TargetMode="External"/><Relationship Id="rId60" Type="http://schemas.openxmlformats.org/officeDocument/2006/relationships/hyperlink" Target="http://www.wrexham.gov.uk/MinutesData/ChildYoung/Reports/hll0312sa4.pdf" TargetMode="External"/><Relationship Id="rId61" Type="http://schemas.openxmlformats.org/officeDocument/2006/relationships/hyperlink" Target="http://dx.doi.org/10.1097/00006199-199409000-00006" TargetMode="External"/><Relationship Id="rId62" Type="http://schemas.openxmlformats.org/officeDocument/2006/relationships/fontTable" Target="fontTable.xml"/><Relationship Id="rId10" Type="http://schemas.openxmlformats.org/officeDocument/2006/relationships/chart" Target="charts/chart4.xml"/><Relationship Id="rId11" Type="http://schemas.openxmlformats.org/officeDocument/2006/relationships/chart" Target="charts/chart5.xml"/><Relationship Id="rId12" Type="http://schemas.openxmlformats.org/officeDocument/2006/relationships/hyperlink" Target="https://b.3cdn.net/nefoundation/094c9bd92c79f7129f_w5m6i2zzh.pdf" TargetMode="Externa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0846001392683057"/>
          <c:y val="0.163055555555556"/>
          <c:w val="0.876527168797778"/>
          <c:h val="0.50548275215598"/>
        </c:manualLayout>
      </c:layout>
      <c:barChart>
        <c:barDir val="col"/>
        <c:grouping val="percentStacked"/>
        <c:varyColors val="0"/>
        <c:ser>
          <c:idx val="0"/>
          <c:order val="0"/>
          <c:tx>
            <c:strRef>
              <c:f>Sheet1!$B$1</c:f>
              <c:strCache>
                <c:ptCount val="1"/>
                <c:pt idx="0">
                  <c:v>Yes</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Q1.</c:v>
                </c:pt>
                <c:pt idx="1">
                  <c:v>Q3.</c:v>
                </c:pt>
                <c:pt idx="2">
                  <c:v>Q6.</c:v>
                </c:pt>
                <c:pt idx="3">
                  <c:v>Q7. </c:v>
                </c:pt>
              </c:strCache>
            </c:strRef>
          </c:cat>
          <c:val>
            <c:numRef>
              <c:f>Sheet1!$B$2:$B$5</c:f>
              <c:numCache>
                <c:formatCode>General</c:formatCode>
                <c:ptCount val="4"/>
                <c:pt idx="0">
                  <c:v>100.0</c:v>
                </c:pt>
                <c:pt idx="1">
                  <c:v>54.0</c:v>
                </c:pt>
                <c:pt idx="2">
                  <c:v>4.0</c:v>
                </c:pt>
                <c:pt idx="3">
                  <c:v>79.0</c:v>
                </c:pt>
              </c:numCache>
            </c:numRef>
          </c:val>
        </c:ser>
        <c:ser>
          <c:idx val="1"/>
          <c:order val="1"/>
          <c:tx>
            <c:strRef>
              <c:f>Sheet1!$C$1</c:f>
              <c:strCache>
                <c:ptCount val="1"/>
                <c:pt idx="0">
                  <c:v>No</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Q1.</c:v>
                </c:pt>
                <c:pt idx="1">
                  <c:v>Q3.</c:v>
                </c:pt>
                <c:pt idx="2">
                  <c:v>Q6.</c:v>
                </c:pt>
                <c:pt idx="3">
                  <c:v>Q7. </c:v>
                </c:pt>
              </c:strCache>
            </c:strRef>
          </c:cat>
          <c:val>
            <c:numRef>
              <c:f>Sheet1!$C$2:$C$5</c:f>
              <c:numCache>
                <c:formatCode>General</c:formatCode>
                <c:ptCount val="4"/>
                <c:pt idx="0">
                  <c:v>0.0</c:v>
                </c:pt>
                <c:pt idx="1">
                  <c:v>46.0</c:v>
                </c:pt>
                <c:pt idx="2">
                  <c:v>96.0</c:v>
                </c:pt>
                <c:pt idx="3">
                  <c:v>21.0</c:v>
                </c:pt>
              </c:numCache>
            </c:numRef>
          </c:val>
        </c:ser>
        <c:dLbls>
          <c:showLegendKey val="0"/>
          <c:showVal val="0"/>
          <c:showCatName val="0"/>
          <c:showSerName val="0"/>
          <c:showPercent val="0"/>
          <c:showBubbleSize val="0"/>
        </c:dLbls>
        <c:gapWidth val="150"/>
        <c:overlap val="100"/>
        <c:axId val="1889243680"/>
        <c:axId val="1820129792"/>
      </c:barChart>
      <c:catAx>
        <c:axId val="1889243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0"/>
          <a:lstStyle/>
          <a:p>
            <a:pPr>
              <a:defRPr sz="900" b="0" i="0" u="none" strike="noStrike" kern="1200" baseline="0">
                <a:solidFill>
                  <a:schemeClr val="tx1">
                    <a:lumMod val="50000"/>
                    <a:lumOff val="50000"/>
                  </a:schemeClr>
                </a:solidFill>
                <a:latin typeface="+mn-lt"/>
                <a:ea typeface="+mn-ea"/>
                <a:cs typeface="+mn-cs"/>
              </a:defRPr>
            </a:pPr>
            <a:endParaRPr lang="en-GB"/>
          </a:p>
        </c:txPr>
        <c:crossAx val="1820129792"/>
        <c:crosses val="autoZero"/>
        <c:auto val="1"/>
        <c:lblAlgn val="ctr"/>
        <c:lblOffset val="100"/>
        <c:noMultiLvlLbl val="0"/>
      </c:catAx>
      <c:valAx>
        <c:axId val="182012979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GB"/>
          </a:p>
        </c:txPr>
        <c:crossAx val="1889243680"/>
        <c:crosses val="autoZero"/>
        <c:crossBetween val="between"/>
      </c:valAx>
      <c:spPr>
        <a:noFill/>
        <a:ln>
          <a:noFill/>
        </a:ln>
        <a:effectLst/>
      </c:spPr>
    </c:plotArea>
    <c:legend>
      <c:legendPos val="b"/>
      <c:layout>
        <c:manualLayout>
          <c:xMode val="edge"/>
          <c:yMode val="edge"/>
          <c:x val="0.445392740541579"/>
          <c:y val="0.779916420425755"/>
          <c:w val="0.11808369851773"/>
          <c:h val="0.097162393746334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No. of characteristics identified by participants (%)</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GB"/>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One </c:v>
                </c:pt>
                <c:pt idx="1">
                  <c:v>Two </c:v>
                </c:pt>
                <c:pt idx="2">
                  <c:v>Three </c:v>
                </c:pt>
                <c:pt idx="3">
                  <c:v>Four </c:v>
                </c:pt>
                <c:pt idx="4">
                  <c:v>Five </c:v>
                </c:pt>
              </c:strCache>
            </c:strRef>
          </c:cat>
          <c:val>
            <c:numRef>
              <c:f>Sheet1!$B$2:$B$6</c:f>
              <c:numCache>
                <c:formatCode>General</c:formatCode>
                <c:ptCount val="5"/>
                <c:pt idx="0">
                  <c:v>100.0</c:v>
                </c:pt>
                <c:pt idx="1">
                  <c:v>100.0</c:v>
                </c:pt>
                <c:pt idx="2">
                  <c:v>96.0</c:v>
                </c:pt>
                <c:pt idx="3">
                  <c:v>44.0</c:v>
                </c:pt>
                <c:pt idx="4">
                  <c:v>4.0</c:v>
                </c:pt>
              </c:numCache>
            </c:numRef>
          </c:val>
        </c:ser>
        <c:dLbls>
          <c:dLblPos val="inEnd"/>
          <c:showLegendKey val="0"/>
          <c:showVal val="1"/>
          <c:showCatName val="0"/>
          <c:showSerName val="0"/>
          <c:showPercent val="0"/>
          <c:showBubbleSize val="0"/>
        </c:dLbls>
        <c:gapWidth val="100"/>
        <c:overlap val="-24"/>
        <c:axId val="1906639520"/>
        <c:axId val="1906411808"/>
      </c:barChart>
      <c:catAx>
        <c:axId val="1906639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GB"/>
          </a:p>
        </c:txPr>
        <c:crossAx val="1906411808"/>
        <c:crosses val="autoZero"/>
        <c:auto val="1"/>
        <c:lblAlgn val="ctr"/>
        <c:lblOffset val="100"/>
        <c:noMultiLvlLbl val="0"/>
      </c:catAx>
      <c:valAx>
        <c:axId val="1906411808"/>
        <c:scaling>
          <c:orientation val="minMax"/>
          <c:max val="100.0"/>
        </c:scaling>
        <c:delete val="0"/>
        <c:axPos val="l"/>
        <c:majorGridlines>
          <c:spPr>
            <a:ln w="9525" cap="flat" cmpd="sng" algn="ctr">
              <a:solidFill>
                <a:schemeClr val="tx1">
                  <a:lumMod val="15000"/>
                  <a:lumOff val="85000"/>
                </a:schemeClr>
              </a:solidFill>
              <a:round/>
            </a:ln>
            <a:effectLst/>
          </c:spPr>
        </c:majorGridlines>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GB"/>
          </a:p>
        </c:txPr>
        <c:crossAx val="19066395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0684622713364065"/>
          <c:y val="0.0714285714285714"/>
          <c:w val="0.915809158839978"/>
          <c:h val="0.747724659417573"/>
        </c:manualLayout>
      </c:layout>
      <c:barChart>
        <c:barDir val="col"/>
        <c:grouping val="stacked"/>
        <c:varyColors val="0"/>
        <c:ser>
          <c:idx val="0"/>
          <c:order val="0"/>
          <c:tx>
            <c:strRef>
              <c:f>Sheet1!$B$1</c:f>
              <c:strCache>
                <c:ptCount val="1"/>
                <c:pt idx="0">
                  <c:v>Happiness </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Characteristic One</c:v>
                </c:pt>
                <c:pt idx="1">
                  <c:v>Characteristic Two</c:v>
                </c:pt>
                <c:pt idx="2">
                  <c:v>Characteristic Three</c:v>
                </c:pt>
                <c:pt idx="3">
                  <c:v>Characteristic Four </c:v>
                </c:pt>
                <c:pt idx="4">
                  <c:v>Characteristic Five </c:v>
                </c:pt>
              </c:strCache>
            </c:strRef>
          </c:cat>
          <c:val>
            <c:numRef>
              <c:f>Sheet1!$B$2:$B$6</c:f>
              <c:numCache>
                <c:formatCode>General</c:formatCode>
                <c:ptCount val="5"/>
                <c:pt idx="0">
                  <c:v>42.0</c:v>
                </c:pt>
              </c:numCache>
            </c:numRef>
          </c:val>
        </c:ser>
        <c:ser>
          <c:idx val="1"/>
          <c:order val="1"/>
          <c:tx>
            <c:strRef>
              <c:f>Sheet1!$C$1</c:f>
              <c:strCache>
                <c:ptCount val="1"/>
                <c:pt idx="0">
                  <c:v>Safe</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Characteristic One</c:v>
                </c:pt>
                <c:pt idx="1">
                  <c:v>Characteristic Two</c:v>
                </c:pt>
                <c:pt idx="2">
                  <c:v>Characteristic Three</c:v>
                </c:pt>
                <c:pt idx="3">
                  <c:v>Characteristic Four </c:v>
                </c:pt>
                <c:pt idx="4">
                  <c:v>Characteristic Five </c:v>
                </c:pt>
              </c:strCache>
            </c:strRef>
          </c:cat>
          <c:val>
            <c:numRef>
              <c:f>Sheet1!$C$2:$C$6</c:f>
              <c:numCache>
                <c:formatCode>General</c:formatCode>
                <c:ptCount val="5"/>
                <c:pt idx="1">
                  <c:v>36.0</c:v>
                </c:pt>
              </c:numCache>
            </c:numRef>
          </c:val>
        </c:ser>
        <c:ser>
          <c:idx val="2"/>
          <c:order val="2"/>
          <c:tx>
            <c:strRef>
              <c:f>Sheet1!$D$1</c:f>
              <c:strCache>
                <c:ptCount val="1"/>
                <c:pt idx="0">
                  <c:v>Healthy </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Characteristic One</c:v>
                </c:pt>
                <c:pt idx="1">
                  <c:v>Characteristic Two</c:v>
                </c:pt>
                <c:pt idx="2">
                  <c:v>Characteristic Three</c:v>
                </c:pt>
                <c:pt idx="3">
                  <c:v>Characteristic Four </c:v>
                </c:pt>
                <c:pt idx="4">
                  <c:v>Characteristic Five </c:v>
                </c:pt>
              </c:strCache>
            </c:strRef>
          </c:cat>
          <c:val>
            <c:numRef>
              <c:f>Sheet1!$D$2:$D$6</c:f>
              <c:numCache>
                <c:formatCode>General</c:formatCode>
                <c:ptCount val="5"/>
                <c:pt idx="2">
                  <c:v>30.0</c:v>
                </c:pt>
              </c:numCache>
            </c:numRef>
          </c:val>
        </c:ser>
        <c:ser>
          <c:idx val="3"/>
          <c:order val="3"/>
          <c:tx>
            <c:strRef>
              <c:f>Sheet1!$E$1</c:f>
              <c:strCache>
                <c:ptCount val="1"/>
                <c:pt idx="0">
                  <c:v>Protection </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dLbls>
            <c:dLbl>
              <c:idx val="1"/>
              <c:delete val="1"/>
              <c:extLst>
                <c:ext xmlns:c15="http://schemas.microsoft.com/office/drawing/2012/chart" uri="{CE6537A1-D6FC-4f65-9D91-7224C49458BB}"/>
              </c:extLst>
            </c:dLbl>
            <c:dLbl>
              <c:idx val="2"/>
              <c:layout>
                <c:manualLayout>
                  <c:x val="0.00694444444444436"/>
                  <c:y val="0.396825396825397"/>
                </c:manualLayout>
              </c:layout>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Characteristic One</c:v>
                </c:pt>
                <c:pt idx="1">
                  <c:v>Characteristic Two</c:v>
                </c:pt>
                <c:pt idx="2">
                  <c:v>Characteristic Three</c:v>
                </c:pt>
                <c:pt idx="3">
                  <c:v>Characteristic Four </c:v>
                </c:pt>
                <c:pt idx="4">
                  <c:v>Characteristic Five </c:v>
                </c:pt>
              </c:strCache>
            </c:strRef>
          </c:cat>
          <c:val>
            <c:numRef>
              <c:f>Sheet1!$E$2:$E$6</c:f>
              <c:numCache>
                <c:formatCode>General</c:formatCode>
                <c:ptCount val="5"/>
                <c:pt idx="3">
                  <c:v>8.0</c:v>
                </c:pt>
              </c:numCache>
            </c:numRef>
          </c:val>
        </c:ser>
        <c:ser>
          <c:idx val="4"/>
          <c:order val="4"/>
          <c:tx>
            <c:strRef>
              <c:f>Sheet1!$F$1</c:f>
              <c:strCache>
                <c:ptCount val="1"/>
                <c:pt idx="0">
                  <c:v>Other </c:v>
                </c:pt>
              </c:strCache>
            </c:strRef>
          </c:tx>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Characteristic One</c:v>
                </c:pt>
                <c:pt idx="1">
                  <c:v>Characteristic Two</c:v>
                </c:pt>
                <c:pt idx="2">
                  <c:v>Characteristic Three</c:v>
                </c:pt>
                <c:pt idx="3">
                  <c:v>Characteristic Four </c:v>
                </c:pt>
                <c:pt idx="4">
                  <c:v>Characteristic Five </c:v>
                </c:pt>
              </c:strCache>
            </c:strRef>
          </c:cat>
          <c:val>
            <c:numRef>
              <c:f>Sheet1!$F$2:$F$6</c:f>
              <c:numCache>
                <c:formatCode>General</c:formatCode>
                <c:ptCount val="5"/>
                <c:pt idx="0">
                  <c:v>8.0</c:v>
                </c:pt>
                <c:pt idx="1">
                  <c:v>12.0</c:v>
                </c:pt>
                <c:pt idx="2">
                  <c:v>16.0</c:v>
                </c:pt>
                <c:pt idx="3">
                  <c:v>13.0</c:v>
                </c:pt>
                <c:pt idx="4">
                  <c:v>2.0</c:v>
                </c:pt>
              </c:numCache>
            </c:numRef>
          </c:val>
        </c:ser>
        <c:dLbls>
          <c:showLegendKey val="0"/>
          <c:showVal val="0"/>
          <c:showCatName val="0"/>
          <c:showSerName val="0"/>
          <c:showPercent val="0"/>
          <c:showBubbleSize val="0"/>
        </c:dLbls>
        <c:gapWidth val="150"/>
        <c:overlap val="100"/>
        <c:axId val="1721920800"/>
        <c:axId val="1415857392"/>
      </c:barChart>
      <c:catAx>
        <c:axId val="1721920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GB"/>
          </a:p>
        </c:txPr>
        <c:crossAx val="1415857392"/>
        <c:crosses val="autoZero"/>
        <c:auto val="1"/>
        <c:lblAlgn val="ctr"/>
        <c:lblOffset val="100"/>
        <c:noMultiLvlLbl val="0"/>
      </c:catAx>
      <c:valAx>
        <c:axId val="1415857392"/>
        <c:scaling>
          <c:orientation val="minMax"/>
          <c:max val="48.0"/>
        </c:scaling>
        <c:delete val="0"/>
        <c:axPos val="l"/>
        <c:majorGridlines>
          <c:spPr>
            <a:ln w="9525" cap="flat" cmpd="sng" algn="ctr">
              <a:solidFill>
                <a:schemeClr val="tx1">
                  <a:lumMod val="15000"/>
                  <a:lumOff val="85000"/>
                </a:schemeClr>
              </a:solidFill>
              <a:round/>
            </a:ln>
            <a:effectLst/>
          </c:spPr>
        </c:majorGridlines>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GB"/>
          </a:p>
        </c:txPr>
        <c:crossAx val="1721920800"/>
        <c:crosses val="autoZero"/>
        <c:crossBetween val="between"/>
        <c:majorUnit val="6.0"/>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explosion val="1"/>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dPt>
          <c:dPt>
            <c:idx val="4"/>
            <c:bubble3D val="0"/>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GB"/>
              </a:p>
            </c:txPr>
            <c:showLegendKey val="0"/>
            <c:showVal val="1"/>
            <c:showCatName val="0"/>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Sheet1!$A$2:$A$6</c:f>
              <c:strCache>
                <c:ptCount val="5"/>
                <c:pt idx="0">
                  <c:v>1 (not at all)</c:v>
                </c:pt>
                <c:pt idx="1">
                  <c:v>2</c:v>
                </c:pt>
                <c:pt idx="2">
                  <c:v>3</c:v>
                </c:pt>
                <c:pt idx="3">
                  <c:v>4</c:v>
                </c:pt>
                <c:pt idx="4">
                  <c:v>5 (extremely)</c:v>
                </c:pt>
              </c:strCache>
            </c:strRef>
          </c:cat>
          <c:val>
            <c:numRef>
              <c:f>Sheet1!$B$2:$B$6</c:f>
              <c:numCache>
                <c:formatCode>General</c:formatCode>
                <c:ptCount val="5"/>
                <c:pt idx="0">
                  <c:v>0.0</c:v>
                </c:pt>
                <c:pt idx="1">
                  <c:v>0.0</c:v>
                </c:pt>
                <c:pt idx="2">
                  <c:v>0.0</c:v>
                </c:pt>
                <c:pt idx="3">
                  <c:v>0.0</c:v>
                </c:pt>
                <c:pt idx="4">
                  <c:v>100.0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dPt>
          <c:dPt>
            <c:idx val="4"/>
            <c:bubble3D val="0"/>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GB"/>
              </a:p>
            </c:txPr>
            <c:showLegendKey val="0"/>
            <c:showVal val="1"/>
            <c:showCatName val="0"/>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Sheet1!$A$2:$A$6</c:f>
              <c:strCache>
                <c:ptCount val="5"/>
                <c:pt idx="0">
                  <c:v>1 (not at all)</c:v>
                </c:pt>
                <c:pt idx="1">
                  <c:v>2</c:v>
                </c:pt>
                <c:pt idx="2">
                  <c:v>3</c:v>
                </c:pt>
                <c:pt idx="3">
                  <c:v>4</c:v>
                </c:pt>
                <c:pt idx="4">
                  <c:v>5 (extremely)</c:v>
                </c:pt>
              </c:strCache>
            </c:strRef>
          </c:cat>
          <c:val>
            <c:numRef>
              <c:f>Sheet1!$B$2:$B$6</c:f>
              <c:numCache>
                <c:formatCode>General</c:formatCode>
                <c:ptCount val="5"/>
                <c:pt idx="0">
                  <c:v>0.0</c:v>
                </c:pt>
                <c:pt idx="1">
                  <c:v>0.0</c:v>
                </c:pt>
                <c:pt idx="2">
                  <c:v>0.0</c:v>
                </c:pt>
                <c:pt idx="3">
                  <c:v>6.0</c:v>
                </c:pt>
                <c:pt idx="4">
                  <c:v>94.0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1">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01">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58</Pages>
  <Words>18239</Words>
  <Characters>103966</Characters>
  <Application>Microsoft Macintosh Word</Application>
  <DocSecurity>0</DocSecurity>
  <Lines>866</Lines>
  <Paragraphs>243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121962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58</cp:revision>
  <dcterms:created xsi:type="dcterms:W3CDTF">2019-04-10T15:00:00Z</dcterms:created>
  <dcterms:modified xsi:type="dcterms:W3CDTF">2019-04-10T15:57:00Z</dcterms:modified>
</cp:coreProperties>
</file>