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5BF609" w14:textId="77777777" w:rsidR="004A4A49" w:rsidRDefault="00000000">
      <w:pPr>
        <w:spacing w:line="360" w:lineRule="auto"/>
        <w:jc w:val="center"/>
        <w:rPr>
          <w:rFonts w:ascii="Times New Roman" w:eastAsia="Times New Roman" w:hAnsi="Times New Roman" w:cs="Times New Roman"/>
          <w:b/>
          <w:sz w:val="32"/>
          <w:szCs w:val="32"/>
        </w:rPr>
      </w:pPr>
      <w:r>
        <w:rPr>
          <w:noProof/>
        </w:rPr>
        <w:drawing>
          <wp:anchor distT="114300" distB="114300" distL="114300" distR="114300" simplePos="0" relativeHeight="251658240" behindDoc="1" locked="0" layoutInCell="1" hidden="0" allowOverlap="1" wp14:anchorId="6DEC88B6" wp14:editId="26459E23">
            <wp:simplePos x="0" y="0"/>
            <wp:positionH relativeFrom="column">
              <wp:posOffset>-400049</wp:posOffset>
            </wp:positionH>
            <wp:positionV relativeFrom="paragraph">
              <wp:posOffset>114300</wp:posOffset>
            </wp:positionV>
            <wp:extent cx="2181225" cy="91440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2181225" cy="914400"/>
                    </a:xfrm>
                    <a:prstGeom prst="rect">
                      <a:avLst/>
                    </a:prstGeom>
                    <a:ln/>
                  </pic:spPr>
                </pic:pic>
              </a:graphicData>
            </a:graphic>
          </wp:anchor>
        </w:drawing>
      </w:r>
    </w:p>
    <w:p w14:paraId="67FA839F" w14:textId="77777777" w:rsidR="004A4A49" w:rsidRDefault="004A4A49">
      <w:pPr>
        <w:spacing w:line="360" w:lineRule="auto"/>
        <w:jc w:val="center"/>
        <w:rPr>
          <w:rFonts w:ascii="Times New Roman" w:eastAsia="Times New Roman" w:hAnsi="Times New Roman" w:cs="Times New Roman"/>
          <w:b/>
          <w:sz w:val="32"/>
          <w:szCs w:val="32"/>
        </w:rPr>
      </w:pPr>
    </w:p>
    <w:p w14:paraId="10984820" w14:textId="77777777" w:rsidR="004A4A49" w:rsidRDefault="004A4A49">
      <w:pPr>
        <w:spacing w:line="360" w:lineRule="auto"/>
        <w:jc w:val="center"/>
        <w:rPr>
          <w:rFonts w:ascii="Times New Roman" w:eastAsia="Times New Roman" w:hAnsi="Times New Roman" w:cs="Times New Roman"/>
          <w:b/>
          <w:sz w:val="32"/>
          <w:szCs w:val="32"/>
        </w:rPr>
      </w:pPr>
    </w:p>
    <w:p w14:paraId="3D13B38A" w14:textId="77777777" w:rsidR="004A4A49" w:rsidRDefault="004A4A49">
      <w:pPr>
        <w:spacing w:line="360" w:lineRule="auto"/>
        <w:jc w:val="center"/>
        <w:rPr>
          <w:rFonts w:ascii="Times New Roman" w:eastAsia="Times New Roman" w:hAnsi="Times New Roman" w:cs="Times New Roman"/>
          <w:b/>
          <w:sz w:val="32"/>
          <w:szCs w:val="32"/>
        </w:rPr>
      </w:pPr>
    </w:p>
    <w:p w14:paraId="37DB8CA6" w14:textId="77777777" w:rsidR="004A4A49" w:rsidRDefault="004A4A49">
      <w:pPr>
        <w:spacing w:line="360" w:lineRule="auto"/>
        <w:jc w:val="center"/>
        <w:rPr>
          <w:rFonts w:ascii="Times New Roman" w:eastAsia="Times New Roman" w:hAnsi="Times New Roman" w:cs="Times New Roman"/>
          <w:b/>
          <w:sz w:val="32"/>
          <w:szCs w:val="32"/>
        </w:rPr>
      </w:pPr>
    </w:p>
    <w:p w14:paraId="7CAF9C22" w14:textId="77777777" w:rsidR="004A4A49" w:rsidRDefault="004A4A49">
      <w:pPr>
        <w:spacing w:line="360" w:lineRule="auto"/>
        <w:jc w:val="center"/>
        <w:rPr>
          <w:rFonts w:ascii="Times New Roman" w:eastAsia="Times New Roman" w:hAnsi="Times New Roman" w:cs="Times New Roman"/>
          <w:b/>
          <w:sz w:val="32"/>
          <w:szCs w:val="32"/>
        </w:rPr>
      </w:pPr>
    </w:p>
    <w:p w14:paraId="7805D0C4" w14:textId="77777777" w:rsidR="004A4A49" w:rsidRDefault="004A4A49">
      <w:pPr>
        <w:spacing w:line="360" w:lineRule="auto"/>
        <w:jc w:val="center"/>
        <w:rPr>
          <w:rFonts w:ascii="Times New Roman" w:eastAsia="Times New Roman" w:hAnsi="Times New Roman" w:cs="Times New Roman"/>
          <w:b/>
          <w:sz w:val="32"/>
          <w:szCs w:val="32"/>
        </w:rPr>
      </w:pPr>
    </w:p>
    <w:p w14:paraId="1226D855" w14:textId="77777777" w:rsidR="004A4A49" w:rsidRDefault="004A4A49">
      <w:pPr>
        <w:spacing w:line="360" w:lineRule="auto"/>
        <w:jc w:val="center"/>
        <w:rPr>
          <w:rFonts w:ascii="Times New Roman" w:eastAsia="Times New Roman" w:hAnsi="Times New Roman" w:cs="Times New Roman"/>
          <w:b/>
          <w:sz w:val="32"/>
          <w:szCs w:val="32"/>
        </w:rPr>
      </w:pPr>
    </w:p>
    <w:p w14:paraId="7745E25B" w14:textId="130F4E6E" w:rsidR="004A4A49"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BA (</w:t>
      </w:r>
      <w:proofErr w:type="spellStart"/>
      <w:r>
        <w:rPr>
          <w:rFonts w:ascii="Times New Roman" w:eastAsia="Times New Roman" w:hAnsi="Times New Roman" w:cs="Times New Roman"/>
          <w:b/>
          <w:sz w:val="32"/>
          <w:szCs w:val="32"/>
        </w:rPr>
        <w:t>Hons</w:t>
      </w:r>
      <w:proofErr w:type="spellEnd"/>
      <w:r>
        <w:rPr>
          <w:rFonts w:ascii="Times New Roman" w:eastAsia="Times New Roman" w:hAnsi="Times New Roman" w:cs="Times New Roman"/>
          <w:b/>
          <w:sz w:val="32"/>
          <w:szCs w:val="32"/>
        </w:rPr>
        <w:t>) Leadership and Management Skills for the Workplace</w:t>
      </w:r>
    </w:p>
    <w:p w14:paraId="4F09C713" w14:textId="77777777" w:rsidR="004A4A49"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Leading and Implementing Workplace Change</w:t>
      </w:r>
    </w:p>
    <w:p w14:paraId="2BE3C75F" w14:textId="3FCA65AB" w:rsidR="00847A46"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BMSW6103</w:t>
      </w:r>
      <w:r w:rsidR="00E716E5">
        <w:rPr>
          <w:rFonts w:ascii="Times New Roman" w:eastAsia="Times New Roman" w:hAnsi="Times New Roman" w:cs="Times New Roman"/>
          <w:b/>
          <w:sz w:val="32"/>
          <w:szCs w:val="32"/>
        </w:rPr>
        <w:t xml:space="preserve"> </w:t>
      </w:r>
    </w:p>
    <w:p w14:paraId="0D62C023" w14:textId="77777777" w:rsidR="00847A46" w:rsidRDefault="00847A46">
      <w:pPr>
        <w:spacing w:line="360" w:lineRule="auto"/>
        <w:jc w:val="center"/>
        <w:rPr>
          <w:rFonts w:ascii="Times New Roman" w:eastAsia="Times New Roman" w:hAnsi="Times New Roman" w:cs="Times New Roman"/>
          <w:b/>
          <w:sz w:val="32"/>
          <w:szCs w:val="32"/>
        </w:rPr>
      </w:pPr>
    </w:p>
    <w:p w14:paraId="43BF9FA1" w14:textId="77777777" w:rsidR="00847A46" w:rsidRDefault="00847A46">
      <w:pPr>
        <w:spacing w:line="360" w:lineRule="auto"/>
        <w:jc w:val="center"/>
        <w:rPr>
          <w:rFonts w:ascii="Times New Roman" w:eastAsia="Times New Roman" w:hAnsi="Times New Roman" w:cs="Times New Roman"/>
          <w:b/>
          <w:sz w:val="32"/>
          <w:szCs w:val="32"/>
        </w:rPr>
      </w:pPr>
    </w:p>
    <w:p w14:paraId="3FF98B7F" w14:textId="77777777" w:rsidR="00847A46" w:rsidRDefault="00847A46">
      <w:pPr>
        <w:spacing w:line="360" w:lineRule="auto"/>
        <w:jc w:val="center"/>
        <w:rPr>
          <w:rFonts w:ascii="Times New Roman" w:eastAsia="Times New Roman" w:hAnsi="Times New Roman" w:cs="Times New Roman"/>
          <w:b/>
          <w:sz w:val="32"/>
          <w:szCs w:val="32"/>
        </w:rPr>
      </w:pPr>
    </w:p>
    <w:p w14:paraId="5B29BF9E" w14:textId="77777777" w:rsidR="00E716E5" w:rsidRDefault="00E716E5" w:rsidP="00E716E5">
      <w:pPr>
        <w:spacing w:line="360" w:lineRule="auto"/>
        <w:jc w:val="center"/>
      </w:pPr>
      <w:r>
        <w:t xml:space="preserve">     </w:t>
      </w:r>
    </w:p>
    <w:p w14:paraId="02C99F9A" w14:textId="77777777" w:rsidR="00397573" w:rsidRDefault="00E716E5" w:rsidP="00E716E5">
      <w:pPr>
        <w:spacing w:line="360" w:lineRule="auto"/>
        <w:rPr>
          <w:b/>
          <w:bCs/>
        </w:rPr>
      </w:pPr>
      <w:r>
        <w:t xml:space="preserve">   </w:t>
      </w:r>
      <w:r w:rsidR="00397573">
        <w:rPr>
          <w:b/>
          <w:bCs/>
        </w:rPr>
        <w:t xml:space="preserve">Student name : Radu </w:t>
      </w:r>
      <w:proofErr w:type="spellStart"/>
      <w:r w:rsidR="00397573">
        <w:rPr>
          <w:b/>
          <w:bCs/>
        </w:rPr>
        <w:t>Alexandru</w:t>
      </w:r>
      <w:proofErr w:type="spellEnd"/>
      <w:r w:rsidR="00397573">
        <w:rPr>
          <w:b/>
          <w:bCs/>
        </w:rPr>
        <w:t xml:space="preserve"> </w:t>
      </w:r>
      <w:proofErr w:type="spellStart"/>
      <w:r w:rsidR="00397573">
        <w:rPr>
          <w:b/>
          <w:bCs/>
        </w:rPr>
        <w:t>Nitu</w:t>
      </w:r>
      <w:proofErr w:type="spellEnd"/>
    </w:p>
    <w:p w14:paraId="45271438" w14:textId="6D01E3DB" w:rsidR="004A4A49" w:rsidRDefault="00397573" w:rsidP="00E716E5">
      <w:pPr>
        <w:spacing w:line="360" w:lineRule="auto"/>
      </w:pPr>
      <w:r>
        <w:rPr>
          <w:b/>
          <w:bCs/>
        </w:rPr>
        <w:t xml:space="preserve">   Student ID.      </w:t>
      </w:r>
      <w:r w:rsidR="001C5C1A">
        <w:rPr>
          <w:b/>
          <w:bCs/>
        </w:rPr>
        <w:t>: 2109427</w:t>
      </w:r>
      <w:r w:rsidR="00E716E5">
        <w:t xml:space="preserve">                                                                                                   </w:t>
      </w:r>
      <w:r w:rsidR="00000000">
        <w:br w:type="page"/>
      </w:r>
    </w:p>
    <w:p w14:paraId="073F8CE7" w14:textId="77777777" w:rsidR="004A4A4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14:paraId="2C0D2441" w14:textId="77777777" w:rsidR="004A4A49" w:rsidRDefault="00000000">
      <w:pPr>
        <w:spacing w:line="360" w:lineRule="auto"/>
        <w:jc w:val="both"/>
      </w:pPr>
      <w:r>
        <w:rPr>
          <w:rFonts w:ascii="Times New Roman" w:eastAsia="Times New Roman" w:hAnsi="Times New Roman" w:cs="Times New Roman"/>
          <w:sz w:val="24"/>
          <w:szCs w:val="24"/>
        </w:rPr>
        <w:t>This report mainly analyses the responses of Barclays to both external and internal changes thus focusing on the essence of both digital transformation as well as the economic challenges. Besides this, it also examines the way the bank has successively adapted their digital disruption and economic uncertainty using various change management models. Not only this, the leadership styles play an important role in guiding the organisation through the respective change processes. Apart from this, the ongoing change initiatives of Barclays are also associated with key challenges like that of resistance and the effective means of resource allocation measurements. Matrix organisation, in which multiple business divisions are dispersed over multiple regions. Barclays is organised at the highest level into three main business segments like investment banking, corporate banking, and personal banking</w:t>
      </w:r>
      <w:r>
        <w:br w:type="page"/>
      </w:r>
    </w:p>
    <w:p w14:paraId="0F349D25" w14:textId="77777777" w:rsidR="004A4A49"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14:paraId="707D4B83" w14:textId="77777777" w:rsidR="004A4A49" w:rsidRDefault="004A4A49">
      <w:pPr>
        <w:spacing w:line="360" w:lineRule="auto"/>
        <w:jc w:val="both"/>
        <w:rPr>
          <w:rFonts w:ascii="Times New Roman" w:eastAsia="Times New Roman" w:hAnsi="Times New Roman" w:cs="Times New Roman"/>
          <w:sz w:val="24"/>
          <w:szCs w:val="24"/>
        </w:rPr>
      </w:pPr>
    </w:p>
    <w:sdt>
      <w:sdtPr>
        <w:id w:val="1374893239"/>
        <w:docPartObj>
          <w:docPartGallery w:val="Table of Contents"/>
          <w:docPartUnique/>
        </w:docPartObj>
      </w:sdtPr>
      <w:sdtEndPr>
        <w:rPr>
          <w:rFonts w:ascii="Times New Roman" w:hAnsi="Times New Roman" w:cs="Times New Roman"/>
          <w:sz w:val="24"/>
          <w:szCs w:val="24"/>
        </w:rPr>
      </w:sdtEndPr>
      <w:sdtContent>
        <w:p w14:paraId="3D5A2C98" w14:textId="4FF1673A" w:rsidR="00CC36CD" w:rsidRPr="00CC36CD" w:rsidRDefault="00000000" w:rsidP="00CC36CD">
          <w:pPr>
            <w:pStyle w:val="Cuprins1"/>
            <w:tabs>
              <w:tab w:val="right" w:pos="9019"/>
            </w:tabs>
            <w:spacing w:line="360" w:lineRule="auto"/>
            <w:jc w:val="both"/>
            <w:rPr>
              <w:rFonts w:ascii="Times New Roman" w:hAnsi="Times New Roman" w:cs="Times New Roman"/>
              <w:noProof/>
              <w:sz w:val="24"/>
              <w:szCs w:val="24"/>
            </w:rPr>
          </w:pPr>
          <w:r w:rsidRPr="00CC36CD">
            <w:rPr>
              <w:rFonts w:ascii="Times New Roman" w:hAnsi="Times New Roman" w:cs="Times New Roman"/>
              <w:sz w:val="24"/>
              <w:szCs w:val="24"/>
            </w:rPr>
            <w:fldChar w:fldCharType="begin"/>
          </w:r>
          <w:r w:rsidRPr="00CC36CD">
            <w:rPr>
              <w:rFonts w:ascii="Times New Roman" w:hAnsi="Times New Roman" w:cs="Times New Roman"/>
              <w:sz w:val="24"/>
              <w:szCs w:val="24"/>
            </w:rPr>
            <w:instrText xml:space="preserve"> TOC \h \u \z \t "Heading 1,1,Heading 2,2,Heading 3,3,Heading 4,4,Heading 5,5,Heading 6,6,"</w:instrText>
          </w:r>
          <w:r w:rsidRPr="00CC36CD">
            <w:rPr>
              <w:rFonts w:ascii="Times New Roman" w:hAnsi="Times New Roman" w:cs="Times New Roman"/>
              <w:sz w:val="24"/>
              <w:szCs w:val="24"/>
            </w:rPr>
            <w:fldChar w:fldCharType="separate"/>
          </w:r>
          <w:hyperlink w:anchor="_Toc182071406" w:history="1">
            <w:r w:rsidR="00CC36CD" w:rsidRPr="00CC36CD">
              <w:rPr>
                <w:rStyle w:val="Hyperlink"/>
                <w:rFonts w:ascii="Times New Roman" w:hAnsi="Times New Roman" w:cs="Times New Roman"/>
                <w:noProof/>
                <w:sz w:val="24"/>
                <w:szCs w:val="24"/>
              </w:rPr>
              <w:t>Introduction</w:t>
            </w:r>
            <w:r w:rsidR="00CC36CD" w:rsidRPr="00CC36CD">
              <w:rPr>
                <w:rFonts w:ascii="Times New Roman" w:hAnsi="Times New Roman" w:cs="Times New Roman"/>
                <w:noProof/>
                <w:webHidden/>
                <w:sz w:val="24"/>
                <w:szCs w:val="24"/>
              </w:rPr>
              <w:tab/>
            </w:r>
            <w:r w:rsidR="00CC36CD" w:rsidRPr="00CC36CD">
              <w:rPr>
                <w:rFonts w:ascii="Times New Roman" w:hAnsi="Times New Roman" w:cs="Times New Roman"/>
                <w:noProof/>
                <w:webHidden/>
                <w:sz w:val="24"/>
                <w:szCs w:val="24"/>
              </w:rPr>
              <w:fldChar w:fldCharType="begin"/>
            </w:r>
            <w:r w:rsidR="00CC36CD" w:rsidRPr="00CC36CD">
              <w:rPr>
                <w:rFonts w:ascii="Times New Roman" w:hAnsi="Times New Roman" w:cs="Times New Roman"/>
                <w:noProof/>
                <w:webHidden/>
                <w:sz w:val="24"/>
                <w:szCs w:val="24"/>
              </w:rPr>
              <w:instrText xml:space="preserve"> PAGEREF _Toc182071406 \h </w:instrText>
            </w:r>
            <w:r w:rsidR="00CC36CD" w:rsidRPr="00CC36CD">
              <w:rPr>
                <w:rFonts w:ascii="Times New Roman" w:hAnsi="Times New Roman" w:cs="Times New Roman"/>
                <w:noProof/>
                <w:webHidden/>
                <w:sz w:val="24"/>
                <w:szCs w:val="24"/>
              </w:rPr>
            </w:r>
            <w:r w:rsidR="00CC36CD" w:rsidRPr="00CC36CD">
              <w:rPr>
                <w:rFonts w:ascii="Times New Roman" w:hAnsi="Times New Roman" w:cs="Times New Roman"/>
                <w:noProof/>
                <w:webHidden/>
                <w:sz w:val="24"/>
                <w:szCs w:val="24"/>
              </w:rPr>
              <w:fldChar w:fldCharType="separate"/>
            </w:r>
            <w:r w:rsidR="00CC36CD" w:rsidRPr="00CC36CD">
              <w:rPr>
                <w:rFonts w:ascii="Times New Roman" w:hAnsi="Times New Roman" w:cs="Times New Roman"/>
                <w:noProof/>
                <w:webHidden/>
                <w:sz w:val="24"/>
                <w:szCs w:val="24"/>
              </w:rPr>
              <w:t>4</w:t>
            </w:r>
            <w:r w:rsidR="00CC36CD" w:rsidRPr="00CC36CD">
              <w:rPr>
                <w:rFonts w:ascii="Times New Roman" w:hAnsi="Times New Roman" w:cs="Times New Roman"/>
                <w:noProof/>
                <w:webHidden/>
                <w:sz w:val="24"/>
                <w:szCs w:val="24"/>
              </w:rPr>
              <w:fldChar w:fldCharType="end"/>
            </w:r>
          </w:hyperlink>
        </w:p>
        <w:p w14:paraId="476D9989" w14:textId="0432FD29" w:rsidR="00CC36CD" w:rsidRPr="00CC36CD" w:rsidRDefault="00000000" w:rsidP="00CC36CD">
          <w:pPr>
            <w:pStyle w:val="Cuprins1"/>
            <w:tabs>
              <w:tab w:val="right" w:pos="9019"/>
            </w:tabs>
            <w:spacing w:line="360" w:lineRule="auto"/>
            <w:jc w:val="both"/>
            <w:rPr>
              <w:rFonts w:ascii="Times New Roman" w:hAnsi="Times New Roman" w:cs="Times New Roman"/>
              <w:noProof/>
              <w:sz w:val="24"/>
              <w:szCs w:val="24"/>
            </w:rPr>
          </w:pPr>
          <w:hyperlink w:anchor="_Toc182071407" w:history="1">
            <w:r w:rsidR="00CC36CD" w:rsidRPr="00CC36CD">
              <w:rPr>
                <w:rStyle w:val="Hyperlink"/>
                <w:rFonts w:ascii="Times New Roman" w:hAnsi="Times New Roman" w:cs="Times New Roman"/>
                <w:noProof/>
                <w:sz w:val="24"/>
                <w:szCs w:val="24"/>
              </w:rPr>
              <w:t>Overview of the Current State of the Organisation</w:t>
            </w:r>
            <w:r w:rsidR="00CC36CD" w:rsidRPr="00CC36CD">
              <w:rPr>
                <w:rFonts w:ascii="Times New Roman" w:hAnsi="Times New Roman" w:cs="Times New Roman"/>
                <w:noProof/>
                <w:webHidden/>
                <w:sz w:val="24"/>
                <w:szCs w:val="24"/>
              </w:rPr>
              <w:tab/>
            </w:r>
            <w:r w:rsidR="00CC36CD" w:rsidRPr="00CC36CD">
              <w:rPr>
                <w:rFonts w:ascii="Times New Roman" w:hAnsi="Times New Roman" w:cs="Times New Roman"/>
                <w:noProof/>
                <w:webHidden/>
                <w:sz w:val="24"/>
                <w:szCs w:val="24"/>
              </w:rPr>
              <w:fldChar w:fldCharType="begin"/>
            </w:r>
            <w:r w:rsidR="00CC36CD" w:rsidRPr="00CC36CD">
              <w:rPr>
                <w:rFonts w:ascii="Times New Roman" w:hAnsi="Times New Roman" w:cs="Times New Roman"/>
                <w:noProof/>
                <w:webHidden/>
                <w:sz w:val="24"/>
                <w:szCs w:val="24"/>
              </w:rPr>
              <w:instrText xml:space="preserve"> PAGEREF _Toc182071407 \h </w:instrText>
            </w:r>
            <w:r w:rsidR="00CC36CD" w:rsidRPr="00CC36CD">
              <w:rPr>
                <w:rFonts w:ascii="Times New Roman" w:hAnsi="Times New Roman" w:cs="Times New Roman"/>
                <w:noProof/>
                <w:webHidden/>
                <w:sz w:val="24"/>
                <w:szCs w:val="24"/>
              </w:rPr>
            </w:r>
            <w:r w:rsidR="00CC36CD" w:rsidRPr="00CC36CD">
              <w:rPr>
                <w:rFonts w:ascii="Times New Roman" w:hAnsi="Times New Roman" w:cs="Times New Roman"/>
                <w:noProof/>
                <w:webHidden/>
                <w:sz w:val="24"/>
                <w:szCs w:val="24"/>
              </w:rPr>
              <w:fldChar w:fldCharType="separate"/>
            </w:r>
            <w:r w:rsidR="00CC36CD" w:rsidRPr="00CC36CD">
              <w:rPr>
                <w:rFonts w:ascii="Times New Roman" w:hAnsi="Times New Roman" w:cs="Times New Roman"/>
                <w:noProof/>
                <w:webHidden/>
                <w:sz w:val="24"/>
                <w:szCs w:val="24"/>
              </w:rPr>
              <w:t>4</w:t>
            </w:r>
            <w:r w:rsidR="00CC36CD" w:rsidRPr="00CC36CD">
              <w:rPr>
                <w:rFonts w:ascii="Times New Roman" w:hAnsi="Times New Roman" w:cs="Times New Roman"/>
                <w:noProof/>
                <w:webHidden/>
                <w:sz w:val="24"/>
                <w:szCs w:val="24"/>
              </w:rPr>
              <w:fldChar w:fldCharType="end"/>
            </w:r>
          </w:hyperlink>
        </w:p>
        <w:p w14:paraId="52A80033" w14:textId="4E80FC77" w:rsidR="00CC36CD" w:rsidRPr="00CC36CD" w:rsidRDefault="00000000" w:rsidP="00CC36CD">
          <w:pPr>
            <w:pStyle w:val="Cuprins2"/>
            <w:tabs>
              <w:tab w:val="right" w:pos="9019"/>
            </w:tabs>
            <w:spacing w:line="360" w:lineRule="auto"/>
            <w:jc w:val="both"/>
            <w:rPr>
              <w:rFonts w:ascii="Times New Roman" w:hAnsi="Times New Roman" w:cs="Times New Roman"/>
              <w:noProof/>
              <w:sz w:val="24"/>
              <w:szCs w:val="24"/>
            </w:rPr>
          </w:pPr>
          <w:hyperlink w:anchor="_Toc182071408" w:history="1">
            <w:r w:rsidR="00CC36CD" w:rsidRPr="00CC36CD">
              <w:rPr>
                <w:rStyle w:val="Hyperlink"/>
                <w:rFonts w:ascii="Times New Roman" w:hAnsi="Times New Roman" w:cs="Times New Roman"/>
                <w:noProof/>
                <w:sz w:val="24"/>
                <w:szCs w:val="24"/>
              </w:rPr>
              <w:t>Company Profile</w:t>
            </w:r>
            <w:r w:rsidR="00CC36CD" w:rsidRPr="00CC36CD">
              <w:rPr>
                <w:rFonts w:ascii="Times New Roman" w:hAnsi="Times New Roman" w:cs="Times New Roman"/>
                <w:noProof/>
                <w:webHidden/>
                <w:sz w:val="24"/>
                <w:szCs w:val="24"/>
              </w:rPr>
              <w:tab/>
            </w:r>
            <w:r w:rsidR="00CC36CD" w:rsidRPr="00CC36CD">
              <w:rPr>
                <w:rFonts w:ascii="Times New Roman" w:hAnsi="Times New Roman" w:cs="Times New Roman"/>
                <w:noProof/>
                <w:webHidden/>
                <w:sz w:val="24"/>
                <w:szCs w:val="24"/>
              </w:rPr>
              <w:fldChar w:fldCharType="begin"/>
            </w:r>
            <w:r w:rsidR="00CC36CD" w:rsidRPr="00CC36CD">
              <w:rPr>
                <w:rFonts w:ascii="Times New Roman" w:hAnsi="Times New Roman" w:cs="Times New Roman"/>
                <w:noProof/>
                <w:webHidden/>
                <w:sz w:val="24"/>
                <w:szCs w:val="24"/>
              </w:rPr>
              <w:instrText xml:space="preserve"> PAGEREF _Toc182071408 \h </w:instrText>
            </w:r>
            <w:r w:rsidR="00CC36CD" w:rsidRPr="00CC36CD">
              <w:rPr>
                <w:rFonts w:ascii="Times New Roman" w:hAnsi="Times New Roman" w:cs="Times New Roman"/>
                <w:noProof/>
                <w:webHidden/>
                <w:sz w:val="24"/>
                <w:szCs w:val="24"/>
              </w:rPr>
            </w:r>
            <w:r w:rsidR="00CC36CD" w:rsidRPr="00CC36CD">
              <w:rPr>
                <w:rFonts w:ascii="Times New Roman" w:hAnsi="Times New Roman" w:cs="Times New Roman"/>
                <w:noProof/>
                <w:webHidden/>
                <w:sz w:val="24"/>
                <w:szCs w:val="24"/>
              </w:rPr>
              <w:fldChar w:fldCharType="separate"/>
            </w:r>
            <w:r w:rsidR="00CC36CD" w:rsidRPr="00CC36CD">
              <w:rPr>
                <w:rFonts w:ascii="Times New Roman" w:hAnsi="Times New Roman" w:cs="Times New Roman"/>
                <w:noProof/>
                <w:webHidden/>
                <w:sz w:val="24"/>
                <w:szCs w:val="24"/>
              </w:rPr>
              <w:t>4</w:t>
            </w:r>
            <w:r w:rsidR="00CC36CD" w:rsidRPr="00CC36CD">
              <w:rPr>
                <w:rFonts w:ascii="Times New Roman" w:hAnsi="Times New Roman" w:cs="Times New Roman"/>
                <w:noProof/>
                <w:webHidden/>
                <w:sz w:val="24"/>
                <w:szCs w:val="24"/>
              </w:rPr>
              <w:fldChar w:fldCharType="end"/>
            </w:r>
          </w:hyperlink>
        </w:p>
        <w:p w14:paraId="121C7FCB" w14:textId="43A7E1DB" w:rsidR="00CC36CD" w:rsidRPr="00CC36CD" w:rsidRDefault="00000000" w:rsidP="00CC36CD">
          <w:pPr>
            <w:pStyle w:val="Cuprins2"/>
            <w:tabs>
              <w:tab w:val="right" w:pos="9019"/>
            </w:tabs>
            <w:spacing w:line="360" w:lineRule="auto"/>
            <w:jc w:val="both"/>
            <w:rPr>
              <w:rFonts w:ascii="Times New Roman" w:hAnsi="Times New Roman" w:cs="Times New Roman"/>
              <w:noProof/>
              <w:sz w:val="24"/>
              <w:szCs w:val="24"/>
            </w:rPr>
          </w:pPr>
          <w:hyperlink w:anchor="_Toc182071409" w:history="1">
            <w:r w:rsidR="00CC36CD" w:rsidRPr="00CC36CD">
              <w:rPr>
                <w:rStyle w:val="Hyperlink"/>
                <w:rFonts w:ascii="Times New Roman" w:hAnsi="Times New Roman" w:cs="Times New Roman"/>
                <w:noProof/>
                <w:sz w:val="24"/>
                <w:szCs w:val="24"/>
              </w:rPr>
              <w:t>Current Challenges</w:t>
            </w:r>
            <w:r w:rsidR="00CC36CD" w:rsidRPr="00CC36CD">
              <w:rPr>
                <w:rFonts w:ascii="Times New Roman" w:hAnsi="Times New Roman" w:cs="Times New Roman"/>
                <w:noProof/>
                <w:webHidden/>
                <w:sz w:val="24"/>
                <w:szCs w:val="24"/>
              </w:rPr>
              <w:tab/>
            </w:r>
            <w:r w:rsidR="00CC36CD" w:rsidRPr="00CC36CD">
              <w:rPr>
                <w:rFonts w:ascii="Times New Roman" w:hAnsi="Times New Roman" w:cs="Times New Roman"/>
                <w:noProof/>
                <w:webHidden/>
                <w:sz w:val="24"/>
                <w:szCs w:val="24"/>
              </w:rPr>
              <w:fldChar w:fldCharType="begin"/>
            </w:r>
            <w:r w:rsidR="00CC36CD" w:rsidRPr="00CC36CD">
              <w:rPr>
                <w:rFonts w:ascii="Times New Roman" w:hAnsi="Times New Roman" w:cs="Times New Roman"/>
                <w:noProof/>
                <w:webHidden/>
                <w:sz w:val="24"/>
                <w:szCs w:val="24"/>
              </w:rPr>
              <w:instrText xml:space="preserve"> PAGEREF _Toc182071409 \h </w:instrText>
            </w:r>
            <w:r w:rsidR="00CC36CD" w:rsidRPr="00CC36CD">
              <w:rPr>
                <w:rFonts w:ascii="Times New Roman" w:hAnsi="Times New Roman" w:cs="Times New Roman"/>
                <w:noProof/>
                <w:webHidden/>
                <w:sz w:val="24"/>
                <w:szCs w:val="24"/>
              </w:rPr>
            </w:r>
            <w:r w:rsidR="00CC36CD" w:rsidRPr="00CC36CD">
              <w:rPr>
                <w:rFonts w:ascii="Times New Roman" w:hAnsi="Times New Roman" w:cs="Times New Roman"/>
                <w:noProof/>
                <w:webHidden/>
                <w:sz w:val="24"/>
                <w:szCs w:val="24"/>
              </w:rPr>
              <w:fldChar w:fldCharType="separate"/>
            </w:r>
            <w:r w:rsidR="00CC36CD" w:rsidRPr="00CC36CD">
              <w:rPr>
                <w:rFonts w:ascii="Times New Roman" w:hAnsi="Times New Roman" w:cs="Times New Roman"/>
                <w:noProof/>
                <w:webHidden/>
                <w:sz w:val="24"/>
                <w:szCs w:val="24"/>
              </w:rPr>
              <w:t>5</w:t>
            </w:r>
            <w:r w:rsidR="00CC36CD" w:rsidRPr="00CC36CD">
              <w:rPr>
                <w:rFonts w:ascii="Times New Roman" w:hAnsi="Times New Roman" w:cs="Times New Roman"/>
                <w:noProof/>
                <w:webHidden/>
                <w:sz w:val="24"/>
                <w:szCs w:val="24"/>
              </w:rPr>
              <w:fldChar w:fldCharType="end"/>
            </w:r>
          </w:hyperlink>
        </w:p>
        <w:p w14:paraId="6A5F4B5C" w14:textId="67393F23" w:rsidR="00CC36CD" w:rsidRPr="00CC36CD" w:rsidRDefault="00000000" w:rsidP="00CC36CD">
          <w:pPr>
            <w:pStyle w:val="Cuprins2"/>
            <w:tabs>
              <w:tab w:val="right" w:pos="9019"/>
            </w:tabs>
            <w:spacing w:line="360" w:lineRule="auto"/>
            <w:jc w:val="both"/>
            <w:rPr>
              <w:rFonts w:ascii="Times New Roman" w:hAnsi="Times New Roman" w:cs="Times New Roman"/>
              <w:noProof/>
              <w:sz w:val="24"/>
              <w:szCs w:val="24"/>
            </w:rPr>
          </w:pPr>
          <w:hyperlink w:anchor="_Toc182071410" w:history="1">
            <w:r w:rsidR="00CC36CD" w:rsidRPr="00CC36CD">
              <w:rPr>
                <w:rStyle w:val="Hyperlink"/>
                <w:rFonts w:ascii="Times New Roman" w:hAnsi="Times New Roman" w:cs="Times New Roman"/>
                <w:noProof/>
                <w:sz w:val="24"/>
                <w:szCs w:val="24"/>
              </w:rPr>
              <w:t>Present State of the Change Initiatives</w:t>
            </w:r>
            <w:r w:rsidR="00CC36CD" w:rsidRPr="00CC36CD">
              <w:rPr>
                <w:rFonts w:ascii="Times New Roman" w:hAnsi="Times New Roman" w:cs="Times New Roman"/>
                <w:noProof/>
                <w:webHidden/>
                <w:sz w:val="24"/>
                <w:szCs w:val="24"/>
              </w:rPr>
              <w:tab/>
            </w:r>
            <w:r w:rsidR="00CC36CD" w:rsidRPr="00CC36CD">
              <w:rPr>
                <w:rFonts w:ascii="Times New Roman" w:hAnsi="Times New Roman" w:cs="Times New Roman"/>
                <w:noProof/>
                <w:webHidden/>
                <w:sz w:val="24"/>
                <w:szCs w:val="24"/>
              </w:rPr>
              <w:fldChar w:fldCharType="begin"/>
            </w:r>
            <w:r w:rsidR="00CC36CD" w:rsidRPr="00CC36CD">
              <w:rPr>
                <w:rFonts w:ascii="Times New Roman" w:hAnsi="Times New Roman" w:cs="Times New Roman"/>
                <w:noProof/>
                <w:webHidden/>
                <w:sz w:val="24"/>
                <w:szCs w:val="24"/>
              </w:rPr>
              <w:instrText xml:space="preserve"> PAGEREF _Toc182071410 \h </w:instrText>
            </w:r>
            <w:r w:rsidR="00CC36CD" w:rsidRPr="00CC36CD">
              <w:rPr>
                <w:rFonts w:ascii="Times New Roman" w:hAnsi="Times New Roman" w:cs="Times New Roman"/>
                <w:noProof/>
                <w:webHidden/>
                <w:sz w:val="24"/>
                <w:szCs w:val="24"/>
              </w:rPr>
            </w:r>
            <w:r w:rsidR="00CC36CD" w:rsidRPr="00CC36CD">
              <w:rPr>
                <w:rFonts w:ascii="Times New Roman" w:hAnsi="Times New Roman" w:cs="Times New Roman"/>
                <w:noProof/>
                <w:webHidden/>
                <w:sz w:val="24"/>
                <w:szCs w:val="24"/>
              </w:rPr>
              <w:fldChar w:fldCharType="separate"/>
            </w:r>
            <w:r w:rsidR="00CC36CD" w:rsidRPr="00CC36CD">
              <w:rPr>
                <w:rFonts w:ascii="Times New Roman" w:hAnsi="Times New Roman" w:cs="Times New Roman"/>
                <w:noProof/>
                <w:webHidden/>
                <w:sz w:val="24"/>
                <w:szCs w:val="24"/>
              </w:rPr>
              <w:t>6</w:t>
            </w:r>
            <w:r w:rsidR="00CC36CD" w:rsidRPr="00CC36CD">
              <w:rPr>
                <w:rFonts w:ascii="Times New Roman" w:hAnsi="Times New Roman" w:cs="Times New Roman"/>
                <w:noProof/>
                <w:webHidden/>
                <w:sz w:val="24"/>
                <w:szCs w:val="24"/>
              </w:rPr>
              <w:fldChar w:fldCharType="end"/>
            </w:r>
          </w:hyperlink>
        </w:p>
        <w:p w14:paraId="64DB0699" w14:textId="76281D2E" w:rsidR="00CC36CD" w:rsidRPr="00CC36CD" w:rsidRDefault="00000000" w:rsidP="00CC36CD">
          <w:pPr>
            <w:pStyle w:val="Cuprins1"/>
            <w:tabs>
              <w:tab w:val="right" w:pos="9019"/>
            </w:tabs>
            <w:spacing w:line="360" w:lineRule="auto"/>
            <w:jc w:val="both"/>
            <w:rPr>
              <w:rFonts w:ascii="Times New Roman" w:hAnsi="Times New Roman" w:cs="Times New Roman"/>
              <w:noProof/>
              <w:sz w:val="24"/>
              <w:szCs w:val="24"/>
            </w:rPr>
          </w:pPr>
          <w:hyperlink w:anchor="_Toc182071411" w:history="1">
            <w:r w:rsidR="00CC36CD" w:rsidRPr="00CC36CD">
              <w:rPr>
                <w:rStyle w:val="Hyperlink"/>
                <w:rFonts w:ascii="Times New Roman" w:hAnsi="Times New Roman" w:cs="Times New Roman"/>
                <w:noProof/>
                <w:sz w:val="24"/>
                <w:szCs w:val="24"/>
              </w:rPr>
              <w:t>Analysis of the Recent History and External Environment</w:t>
            </w:r>
            <w:r w:rsidR="00CC36CD" w:rsidRPr="00CC36CD">
              <w:rPr>
                <w:rFonts w:ascii="Times New Roman" w:hAnsi="Times New Roman" w:cs="Times New Roman"/>
                <w:noProof/>
                <w:webHidden/>
                <w:sz w:val="24"/>
                <w:szCs w:val="24"/>
              </w:rPr>
              <w:tab/>
            </w:r>
            <w:r w:rsidR="00CC36CD" w:rsidRPr="00CC36CD">
              <w:rPr>
                <w:rFonts w:ascii="Times New Roman" w:hAnsi="Times New Roman" w:cs="Times New Roman"/>
                <w:noProof/>
                <w:webHidden/>
                <w:sz w:val="24"/>
                <w:szCs w:val="24"/>
              </w:rPr>
              <w:fldChar w:fldCharType="begin"/>
            </w:r>
            <w:r w:rsidR="00CC36CD" w:rsidRPr="00CC36CD">
              <w:rPr>
                <w:rFonts w:ascii="Times New Roman" w:hAnsi="Times New Roman" w:cs="Times New Roman"/>
                <w:noProof/>
                <w:webHidden/>
                <w:sz w:val="24"/>
                <w:szCs w:val="24"/>
              </w:rPr>
              <w:instrText xml:space="preserve"> PAGEREF _Toc182071411 \h </w:instrText>
            </w:r>
            <w:r w:rsidR="00CC36CD" w:rsidRPr="00CC36CD">
              <w:rPr>
                <w:rFonts w:ascii="Times New Roman" w:hAnsi="Times New Roman" w:cs="Times New Roman"/>
                <w:noProof/>
                <w:webHidden/>
                <w:sz w:val="24"/>
                <w:szCs w:val="24"/>
              </w:rPr>
            </w:r>
            <w:r w:rsidR="00CC36CD" w:rsidRPr="00CC36CD">
              <w:rPr>
                <w:rFonts w:ascii="Times New Roman" w:hAnsi="Times New Roman" w:cs="Times New Roman"/>
                <w:noProof/>
                <w:webHidden/>
                <w:sz w:val="24"/>
                <w:szCs w:val="24"/>
              </w:rPr>
              <w:fldChar w:fldCharType="separate"/>
            </w:r>
            <w:r w:rsidR="00CC36CD" w:rsidRPr="00CC36CD">
              <w:rPr>
                <w:rFonts w:ascii="Times New Roman" w:hAnsi="Times New Roman" w:cs="Times New Roman"/>
                <w:noProof/>
                <w:webHidden/>
                <w:sz w:val="24"/>
                <w:szCs w:val="24"/>
              </w:rPr>
              <w:t>7</w:t>
            </w:r>
            <w:r w:rsidR="00CC36CD" w:rsidRPr="00CC36CD">
              <w:rPr>
                <w:rFonts w:ascii="Times New Roman" w:hAnsi="Times New Roman" w:cs="Times New Roman"/>
                <w:noProof/>
                <w:webHidden/>
                <w:sz w:val="24"/>
                <w:szCs w:val="24"/>
              </w:rPr>
              <w:fldChar w:fldCharType="end"/>
            </w:r>
          </w:hyperlink>
        </w:p>
        <w:p w14:paraId="4199174A" w14:textId="11D81775" w:rsidR="00CC36CD" w:rsidRPr="00CC36CD" w:rsidRDefault="00000000" w:rsidP="00CC36CD">
          <w:pPr>
            <w:pStyle w:val="Cuprins2"/>
            <w:tabs>
              <w:tab w:val="right" w:pos="9019"/>
            </w:tabs>
            <w:spacing w:line="360" w:lineRule="auto"/>
            <w:jc w:val="both"/>
            <w:rPr>
              <w:rFonts w:ascii="Times New Roman" w:hAnsi="Times New Roman" w:cs="Times New Roman"/>
              <w:noProof/>
              <w:sz w:val="24"/>
              <w:szCs w:val="24"/>
            </w:rPr>
          </w:pPr>
          <w:hyperlink w:anchor="_Toc182071412" w:history="1">
            <w:r w:rsidR="00CC36CD" w:rsidRPr="00CC36CD">
              <w:rPr>
                <w:rStyle w:val="Hyperlink"/>
                <w:rFonts w:ascii="Times New Roman" w:hAnsi="Times New Roman" w:cs="Times New Roman"/>
                <w:noProof/>
                <w:sz w:val="24"/>
                <w:szCs w:val="24"/>
              </w:rPr>
              <w:t>Evaluation of the recent History of the Organisation</w:t>
            </w:r>
            <w:r w:rsidR="00CC36CD" w:rsidRPr="00CC36CD">
              <w:rPr>
                <w:rFonts w:ascii="Times New Roman" w:hAnsi="Times New Roman" w:cs="Times New Roman"/>
                <w:noProof/>
                <w:webHidden/>
                <w:sz w:val="24"/>
                <w:szCs w:val="24"/>
              </w:rPr>
              <w:tab/>
            </w:r>
            <w:r w:rsidR="00CC36CD" w:rsidRPr="00CC36CD">
              <w:rPr>
                <w:rFonts w:ascii="Times New Roman" w:hAnsi="Times New Roman" w:cs="Times New Roman"/>
                <w:noProof/>
                <w:webHidden/>
                <w:sz w:val="24"/>
                <w:szCs w:val="24"/>
              </w:rPr>
              <w:fldChar w:fldCharType="begin"/>
            </w:r>
            <w:r w:rsidR="00CC36CD" w:rsidRPr="00CC36CD">
              <w:rPr>
                <w:rFonts w:ascii="Times New Roman" w:hAnsi="Times New Roman" w:cs="Times New Roman"/>
                <w:noProof/>
                <w:webHidden/>
                <w:sz w:val="24"/>
                <w:szCs w:val="24"/>
              </w:rPr>
              <w:instrText xml:space="preserve"> PAGEREF _Toc182071412 \h </w:instrText>
            </w:r>
            <w:r w:rsidR="00CC36CD" w:rsidRPr="00CC36CD">
              <w:rPr>
                <w:rFonts w:ascii="Times New Roman" w:hAnsi="Times New Roman" w:cs="Times New Roman"/>
                <w:noProof/>
                <w:webHidden/>
                <w:sz w:val="24"/>
                <w:szCs w:val="24"/>
              </w:rPr>
            </w:r>
            <w:r w:rsidR="00CC36CD" w:rsidRPr="00CC36CD">
              <w:rPr>
                <w:rFonts w:ascii="Times New Roman" w:hAnsi="Times New Roman" w:cs="Times New Roman"/>
                <w:noProof/>
                <w:webHidden/>
                <w:sz w:val="24"/>
                <w:szCs w:val="24"/>
              </w:rPr>
              <w:fldChar w:fldCharType="separate"/>
            </w:r>
            <w:r w:rsidR="00CC36CD" w:rsidRPr="00CC36CD">
              <w:rPr>
                <w:rFonts w:ascii="Times New Roman" w:hAnsi="Times New Roman" w:cs="Times New Roman"/>
                <w:noProof/>
                <w:webHidden/>
                <w:sz w:val="24"/>
                <w:szCs w:val="24"/>
              </w:rPr>
              <w:t>7</w:t>
            </w:r>
            <w:r w:rsidR="00CC36CD" w:rsidRPr="00CC36CD">
              <w:rPr>
                <w:rFonts w:ascii="Times New Roman" w:hAnsi="Times New Roman" w:cs="Times New Roman"/>
                <w:noProof/>
                <w:webHidden/>
                <w:sz w:val="24"/>
                <w:szCs w:val="24"/>
              </w:rPr>
              <w:fldChar w:fldCharType="end"/>
            </w:r>
          </w:hyperlink>
        </w:p>
        <w:p w14:paraId="291F4774" w14:textId="242C772E" w:rsidR="00CC36CD" w:rsidRPr="00CC36CD" w:rsidRDefault="00000000" w:rsidP="00CC36CD">
          <w:pPr>
            <w:pStyle w:val="Cuprins2"/>
            <w:tabs>
              <w:tab w:val="right" w:pos="9019"/>
            </w:tabs>
            <w:spacing w:line="360" w:lineRule="auto"/>
            <w:jc w:val="both"/>
            <w:rPr>
              <w:rFonts w:ascii="Times New Roman" w:hAnsi="Times New Roman" w:cs="Times New Roman"/>
              <w:noProof/>
              <w:sz w:val="24"/>
              <w:szCs w:val="24"/>
            </w:rPr>
          </w:pPr>
          <w:hyperlink w:anchor="_Toc182071413" w:history="1">
            <w:r w:rsidR="00CC36CD" w:rsidRPr="00CC36CD">
              <w:rPr>
                <w:rStyle w:val="Hyperlink"/>
                <w:rFonts w:ascii="Times New Roman" w:hAnsi="Times New Roman" w:cs="Times New Roman"/>
                <w:noProof/>
                <w:sz w:val="24"/>
                <w:szCs w:val="24"/>
              </w:rPr>
              <w:t>Impact of External Environment Changes</w:t>
            </w:r>
            <w:r w:rsidR="00CC36CD" w:rsidRPr="00CC36CD">
              <w:rPr>
                <w:rFonts w:ascii="Times New Roman" w:hAnsi="Times New Roman" w:cs="Times New Roman"/>
                <w:noProof/>
                <w:webHidden/>
                <w:sz w:val="24"/>
                <w:szCs w:val="24"/>
              </w:rPr>
              <w:tab/>
            </w:r>
            <w:r w:rsidR="00CC36CD" w:rsidRPr="00CC36CD">
              <w:rPr>
                <w:rFonts w:ascii="Times New Roman" w:hAnsi="Times New Roman" w:cs="Times New Roman"/>
                <w:noProof/>
                <w:webHidden/>
                <w:sz w:val="24"/>
                <w:szCs w:val="24"/>
              </w:rPr>
              <w:fldChar w:fldCharType="begin"/>
            </w:r>
            <w:r w:rsidR="00CC36CD" w:rsidRPr="00CC36CD">
              <w:rPr>
                <w:rFonts w:ascii="Times New Roman" w:hAnsi="Times New Roman" w:cs="Times New Roman"/>
                <w:noProof/>
                <w:webHidden/>
                <w:sz w:val="24"/>
                <w:szCs w:val="24"/>
              </w:rPr>
              <w:instrText xml:space="preserve"> PAGEREF _Toc182071413 \h </w:instrText>
            </w:r>
            <w:r w:rsidR="00CC36CD" w:rsidRPr="00CC36CD">
              <w:rPr>
                <w:rFonts w:ascii="Times New Roman" w:hAnsi="Times New Roman" w:cs="Times New Roman"/>
                <w:noProof/>
                <w:webHidden/>
                <w:sz w:val="24"/>
                <w:szCs w:val="24"/>
              </w:rPr>
            </w:r>
            <w:r w:rsidR="00CC36CD" w:rsidRPr="00CC36CD">
              <w:rPr>
                <w:rFonts w:ascii="Times New Roman" w:hAnsi="Times New Roman" w:cs="Times New Roman"/>
                <w:noProof/>
                <w:webHidden/>
                <w:sz w:val="24"/>
                <w:szCs w:val="24"/>
              </w:rPr>
              <w:fldChar w:fldCharType="separate"/>
            </w:r>
            <w:r w:rsidR="00CC36CD" w:rsidRPr="00CC36CD">
              <w:rPr>
                <w:rFonts w:ascii="Times New Roman" w:hAnsi="Times New Roman" w:cs="Times New Roman"/>
                <w:noProof/>
                <w:webHidden/>
                <w:sz w:val="24"/>
                <w:szCs w:val="24"/>
              </w:rPr>
              <w:t>7</w:t>
            </w:r>
            <w:r w:rsidR="00CC36CD" w:rsidRPr="00CC36CD">
              <w:rPr>
                <w:rFonts w:ascii="Times New Roman" w:hAnsi="Times New Roman" w:cs="Times New Roman"/>
                <w:noProof/>
                <w:webHidden/>
                <w:sz w:val="24"/>
                <w:szCs w:val="24"/>
              </w:rPr>
              <w:fldChar w:fldCharType="end"/>
            </w:r>
          </w:hyperlink>
        </w:p>
        <w:p w14:paraId="3004F140" w14:textId="4540719D" w:rsidR="00CC36CD" w:rsidRPr="00CC36CD" w:rsidRDefault="00000000" w:rsidP="00CC36CD">
          <w:pPr>
            <w:pStyle w:val="Cuprins1"/>
            <w:tabs>
              <w:tab w:val="right" w:pos="9019"/>
            </w:tabs>
            <w:spacing w:line="360" w:lineRule="auto"/>
            <w:jc w:val="both"/>
            <w:rPr>
              <w:rFonts w:ascii="Times New Roman" w:hAnsi="Times New Roman" w:cs="Times New Roman"/>
              <w:noProof/>
              <w:sz w:val="24"/>
              <w:szCs w:val="24"/>
            </w:rPr>
          </w:pPr>
          <w:hyperlink w:anchor="_Toc182071414" w:history="1">
            <w:r w:rsidR="00CC36CD" w:rsidRPr="00CC36CD">
              <w:rPr>
                <w:rStyle w:val="Hyperlink"/>
                <w:rFonts w:ascii="Times New Roman" w:hAnsi="Times New Roman" w:cs="Times New Roman"/>
                <w:noProof/>
                <w:sz w:val="24"/>
                <w:szCs w:val="24"/>
              </w:rPr>
              <w:t>Change Management Models and Leadership Styles</w:t>
            </w:r>
            <w:r w:rsidR="00CC36CD" w:rsidRPr="00CC36CD">
              <w:rPr>
                <w:rFonts w:ascii="Times New Roman" w:hAnsi="Times New Roman" w:cs="Times New Roman"/>
                <w:noProof/>
                <w:webHidden/>
                <w:sz w:val="24"/>
                <w:szCs w:val="24"/>
              </w:rPr>
              <w:tab/>
            </w:r>
            <w:r w:rsidR="00CC36CD" w:rsidRPr="00CC36CD">
              <w:rPr>
                <w:rFonts w:ascii="Times New Roman" w:hAnsi="Times New Roman" w:cs="Times New Roman"/>
                <w:noProof/>
                <w:webHidden/>
                <w:sz w:val="24"/>
                <w:szCs w:val="24"/>
              </w:rPr>
              <w:fldChar w:fldCharType="begin"/>
            </w:r>
            <w:r w:rsidR="00CC36CD" w:rsidRPr="00CC36CD">
              <w:rPr>
                <w:rFonts w:ascii="Times New Roman" w:hAnsi="Times New Roman" w:cs="Times New Roman"/>
                <w:noProof/>
                <w:webHidden/>
                <w:sz w:val="24"/>
                <w:szCs w:val="24"/>
              </w:rPr>
              <w:instrText xml:space="preserve"> PAGEREF _Toc182071414 \h </w:instrText>
            </w:r>
            <w:r w:rsidR="00CC36CD" w:rsidRPr="00CC36CD">
              <w:rPr>
                <w:rFonts w:ascii="Times New Roman" w:hAnsi="Times New Roman" w:cs="Times New Roman"/>
                <w:noProof/>
                <w:webHidden/>
                <w:sz w:val="24"/>
                <w:szCs w:val="24"/>
              </w:rPr>
            </w:r>
            <w:r w:rsidR="00CC36CD" w:rsidRPr="00CC36CD">
              <w:rPr>
                <w:rFonts w:ascii="Times New Roman" w:hAnsi="Times New Roman" w:cs="Times New Roman"/>
                <w:noProof/>
                <w:webHidden/>
                <w:sz w:val="24"/>
                <w:szCs w:val="24"/>
              </w:rPr>
              <w:fldChar w:fldCharType="separate"/>
            </w:r>
            <w:r w:rsidR="00CC36CD" w:rsidRPr="00CC36CD">
              <w:rPr>
                <w:rFonts w:ascii="Times New Roman" w:hAnsi="Times New Roman" w:cs="Times New Roman"/>
                <w:noProof/>
                <w:webHidden/>
                <w:sz w:val="24"/>
                <w:szCs w:val="24"/>
              </w:rPr>
              <w:t>9</w:t>
            </w:r>
            <w:r w:rsidR="00CC36CD" w:rsidRPr="00CC36CD">
              <w:rPr>
                <w:rFonts w:ascii="Times New Roman" w:hAnsi="Times New Roman" w:cs="Times New Roman"/>
                <w:noProof/>
                <w:webHidden/>
                <w:sz w:val="24"/>
                <w:szCs w:val="24"/>
              </w:rPr>
              <w:fldChar w:fldCharType="end"/>
            </w:r>
          </w:hyperlink>
        </w:p>
        <w:p w14:paraId="48A8025C" w14:textId="2B4480EE" w:rsidR="00CC36CD" w:rsidRPr="00CC36CD" w:rsidRDefault="00000000" w:rsidP="00CC36CD">
          <w:pPr>
            <w:pStyle w:val="Cuprins2"/>
            <w:tabs>
              <w:tab w:val="right" w:pos="9019"/>
            </w:tabs>
            <w:spacing w:line="360" w:lineRule="auto"/>
            <w:jc w:val="both"/>
            <w:rPr>
              <w:rFonts w:ascii="Times New Roman" w:hAnsi="Times New Roman" w:cs="Times New Roman"/>
              <w:noProof/>
              <w:sz w:val="24"/>
              <w:szCs w:val="24"/>
            </w:rPr>
          </w:pPr>
          <w:hyperlink w:anchor="_Toc182071415" w:history="1">
            <w:r w:rsidR="00CC36CD" w:rsidRPr="00CC36CD">
              <w:rPr>
                <w:rStyle w:val="Hyperlink"/>
                <w:rFonts w:ascii="Times New Roman" w:hAnsi="Times New Roman" w:cs="Times New Roman"/>
                <w:noProof/>
                <w:sz w:val="24"/>
                <w:szCs w:val="24"/>
              </w:rPr>
              <w:t>Overview of the Change Management Models</w:t>
            </w:r>
            <w:r w:rsidR="00CC36CD" w:rsidRPr="00CC36CD">
              <w:rPr>
                <w:rFonts w:ascii="Times New Roman" w:hAnsi="Times New Roman" w:cs="Times New Roman"/>
                <w:noProof/>
                <w:webHidden/>
                <w:sz w:val="24"/>
                <w:szCs w:val="24"/>
              </w:rPr>
              <w:tab/>
            </w:r>
            <w:r w:rsidR="00CC36CD" w:rsidRPr="00CC36CD">
              <w:rPr>
                <w:rFonts w:ascii="Times New Roman" w:hAnsi="Times New Roman" w:cs="Times New Roman"/>
                <w:noProof/>
                <w:webHidden/>
                <w:sz w:val="24"/>
                <w:szCs w:val="24"/>
              </w:rPr>
              <w:fldChar w:fldCharType="begin"/>
            </w:r>
            <w:r w:rsidR="00CC36CD" w:rsidRPr="00CC36CD">
              <w:rPr>
                <w:rFonts w:ascii="Times New Roman" w:hAnsi="Times New Roman" w:cs="Times New Roman"/>
                <w:noProof/>
                <w:webHidden/>
                <w:sz w:val="24"/>
                <w:szCs w:val="24"/>
              </w:rPr>
              <w:instrText xml:space="preserve"> PAGEREF _Toc182071415 \h </w:instrText>
            </w:r>
            <w:r w:rsidR="00CC36CD" w:rsidRPr="00CC36CD">
              <w:rPr>
                <w:rFonts w:ascii="Times New Roman" w:hAnsi="Times New Roman" w:cs="Times New Roman"/>
                <w:noProof/>
                <w:webHidden/>
                <w:sz w:val="24"/>
                <w:szCs w:val="24"/>
              </w:rPr>
            </w:r>
            <w:r w:rsidR="00CC36CD" w:rsidRPr="00CC36CD">
              <w:rPr>
                <w:rFonts w:ascii="Times New Roman" w:hAnsi="Times New Roman" w:cs="Times New Roman"/>
                <w:noProof/>
                <w:webHidden/>
                <w:sz w:val="24"/>
                <w:szCs w:val="24"/>
              </w:rPr>
              <w:fldChar w:fldCharType="separate"/>
            </w:r>
            <w:r w:rsidR="00CC36CD" w:rsidRPr="00CC36CD">
              <w:rPr>
                <w:rFonts w:ascii="Times New Roman" w:hAnsi="Times New Roman" w:cs="Times New Roman"/>
                <w:noProof/>
                <w:webHidden/>
                <w:sz w:val="24"/>
                <w:szCs w:val="24"/>
              </w:rPr>
              <w:t>9</w:t>
            </w:r>
            <w:r w:rsidR="00CC36CD" w:rsidRPr="00CC36CD">
              <w:rPr>
                <w:rFonts w:ascii="Times New Roman" w:hAnsi="Times New Roman" w:cs="Times New Roman"/>
                <w:noProof/>
                <w:webHidden/>
                <w:sz w:val="24"/>
                <w:szCs w:val="24"/>
              </w:rPr>
              <w:fldChar w:fldCharType="end"/>
            </w:r>
          </w:hyperlink>
        </w:p>
        <w:p w14:paraId="706F62A7" w14:textId="4CD9C54A" w:rsidR="00CC36CD" w:rsidRPr="00CC36CD" w:rsidRDefault="00000000" w:rsidP="00CC36CD">
          <w:pPr>
            <w:pStyle w:val="Cuprins2"/>
            <w:tabs>
              <w:tab w:val="right" w:pos="9019"/>
            </w:tabs>
            <w:spacing w:line="360" w:lineRule="auto"/>
            <w:jc w:val="both"/>
            <w:rPr>
              <w:rFonts w:ascii="Times New Roman" w:hAnsi="Times New Roman" w:cs="Times New Roman"/>
              <w:noProof/>
              <w:sz w:val="24"/>
              <w:szCs w:val="24"/>
            </w:rPr>
          </w:pPr>
          <w:hyperlink w:anchor="_Toc182071416" w:history="1">
            <w:r w:rsidR="00CC36CD" w:rsidRPr="00CC36CD">
              <w:rPr>
                <w:rStyle w:val="Hyperlink"/>
                <w:rFonts w:ascii="Times New Roman" w:hAnsi="Times New Roman" w:cs="Times New Roman"/>
                <w:noProof/>
                <w:sz w:val="24"/>
                <w:szCs w:val="24"/>
              </w:rPr>
              <w:t>Problems related to Strategic Change in the Organisation</w:t>
            </w:r>
            <w:r w:rsidR="00CC36CD" w:rsidRPr="00CC36CD">
              <w:rPr>
                <w:rFonts w:ascii="Times New Roman" w:hAnsi="Times New Roman" w:cs="Times New Roman"/>
                <w:noProof/>
                <w:webHidden/>
                <w:sz w:val="24"/>
                <w:szCs w:val="24"/>
              </w:rPr>
              <w:tab/>
            </w:r>
            <w:r w:rsidR="00CC36CD" w:rsidRPr="00CC36CD">
              <w:rPr>
                <w:rFonts w:ascii="Times New Roman" w:hAnsi="Times New Roman" w:cs="Times New Roman"/>
                <w:noProof/>
                <w:webHidden/>
                <w:sz w:val="24"/>
                <w:szCs w:val="24"/>
              </w:rPr>
              <w:fldChar w:fldCharType="begin"/>
            </w:r>
            <w:r w:rsidR="00CC36CD" w:rsidRPr="00CC36CD">
              <w:rPr>
                <w:rFonts w:ascii="Times New Roman" w:hAnsi="Times New Roman" w:cs="Times New Roman"/>
                <w:noProof/>
                <w:webHidden/>
                <w:sz w:val="24"/>
                <w:szCs w:val="24"/>
              </w:rPr>
              <w:instrText xml:space="preserve"> PAGEREF _Toc182071416 \h </w:instrText>
            </w:r>
            <w:r w:rsidR="00CC36CD" w:rsidRPr="00CC36CD">
              <w:rPr>
                <w:rFonts w:ascii="Times New Roman" w:hAnsi="Times New Roman" w:cs="Times New Roman"/>
                <w:noProof/>
                <w:webHidden/>
                <w:sz w:val="24"/>
                <w:szCs w:val="24"/>
              </w:rPr>
            </w:r>
            <w:r w:rsidR="00CC36CD" w:rsidRPr="00CC36CD">
              <w:rPr>
                <w:rFonts w:ascii="Times New Roman" w:hAnsi="Times New Roman" w:cs="Times New Roman"/>
                <w:noProof/>
                <w:webHidden/>
                <w:sz w:val="24"/>
                <w:szCs w:val="24"/>
              </w:rPr>
              <w:fldChar w:fldCharType="separate"/>
            </w:r>
            <w:r w:rsidR="00CC36CD" w:rsidRPr="00CC36CD">
              <w:rPr>
                <w:rFonts w:ascii="Times New Roman" w:hAnsi="Times New Roman" w:cs="Times New Roman"/>
                <w:noProof/>
                <w:webHidden/>
                <w:sz w:val="24"/>
                <w:szCs w:val="24"/>
              </w:rPr>
              <w:t>10</w:t>
            </w:r>
            <w:r w:rsidR="00CC36CD" w:rsidRPr="00CC36CD">
              <w:rPr>
                <w:rFonts w:ascii="Times New Roman" w:hAnsi="Times New Roman" w:cs="Times New Roman"/>
                <w:noProof/>
                <w:webHidden/>
                <w:sz w:val="24"/>
                <w:szCs w:val="24"/>
              </w:rPr>
              <w:fldChar w:fldCharType="end"/>
            </w:r>
          </w:hyperlink>
        </w:p>
        <w:p w14:paraId="7C289BB2" w14:textId="0475E15E" w:rsidR="00CC36CD" w:rsidRPr="00CC36CD" w:rsidRDefault="00000000" w:rsidP="00CC36CD">
          <w:pPr>
            <w:pStyle w:val="Cuprins2"/>
            <w:tabs>
              <w:tab w:val="right" w:pos="9019"/>
            </w:tabs>
            <w:spacing w:line="360" w:lineRule="auto"/>
            <w:jc w:val="both"/>
            <w:rPr>
              <w:rFonts w:ascii="Times New Roman" w:hAnsi="Times New Roman" w:cs="Times New Roman"/>
              <w:noProof/>
              <w:sz w:val="24"/>
              <w:szCs w:val="24"/>
            </w:rPr>
          </w:pPr>
          <w:hyperlink w:anchor="_Toc182071417" w:history="1">
            <w:r w:rsidR="00CC36CD" w:rsidRPr="00CC36CD">
              <w:rPr>
                <w:rStyle w:val="Hyperlink"/>
                <w:rFonts w:ascii="Times New Roman" w:hAnsi="Times New Roman" w:cs="Times New Roman"/>
                <w:noProof/>
                <w:sz w:val="24"/>
                <w:szCs w:val="24"/>
              </w:rPr>
              <w:t>Leadership styles in the change process</w:t>
            </w:r>
            <w:r w:rsidR="00CC36CD" w:rsidRPr="00CC36CD">
              <w:rPr>
                <w:rFonts w:ascii="Times New Roman" w:hAnsi="Times New Roman" w:cs="Times New Roman"/>
                <w:noProof/>
                <w:webHidden/>
                <w:sz w:val="24"/>
                <w:szCs w:val="24"/>
              </w:rPr>
              <w:tab/>
            </w:r>
            <w:r w:rsidR="00CC36CD" w:rsidRPr="00CC36CD">
              <w:rPr>
                <w:rFonts w:ascii="Times New Roman" w:hAnsi="Times New Roman" w:cs="Times New Roman"/>
                <w:noProof/>
                <w:webHidden/>
                <w:sz w:val="24"/>
                <w:szCs w:val="24"/>
              </w:rPr>
              <w:fldChar w:fldCharType="begin"/>
            </w:r>
            <w:r w:rsidR="00CC36CD" w:rsidRPr="00CC36CD">
              <w:rPr>
                <w:rFonts w:ascii="Times New Roman" w:hAnsi="Times New Roman" w:cs="Times New Roman"/>
                <w:noProof/>
                <w:webHidden/>
                <w:sz w:val="24"/>
                <w:szCs w:val="24"/>
              </w:rPr>
              <w:instrText xml:space="preserve"> PAGEREF _Toc182071417 \h </w:instrText>
            </w:r>
            <w:r w:rsidR="00CC36CD" w:rsidRPr="00CC36CD">
              <w:rPr>
                <w:rFonts w:ascii="Times New Roman" w:hAnsi="Times New Roman" w:cs="Times New Roman"/>
                <w:noProof/>
                <w:webHidden/>
                <w:sz w:val="24"/>
                <w:szCs w:val="24"/>
              </w:rPr>
            </w:r>
            <w:r w:rsidR="00CC36CD" w:rsidRPr="00CC36CD">
              <w:rPr>
                <w:rFonts w:ascii="Times New Roman" w:hAnsi="Times New Roman" w:cs="Times New Roman"/>
                <w:noProof/>
                <w:webHidden/>
                <w:sz w:val="24"/>
                <w:szCs w:val="24"/>
              </w:rPr>
              <w:fldChar w:fldCharType="separate"/>
            </w:r>
            <w:r w:rsidR="00CC36CD" w:rsidRPr="00CC36CD">
              <w:rPr>
                <w:rFonts w:ascii="Times New Roman" w:hAnsi="Times New Roman" w:cs="Times New Roman"/>
                <w:noProof/>
                <w:webHidden/>
                <w:sz w:val="24"/>
                <w:szCs w:val="24"/>
              </w:rPr>
              <w:t>10</w:t>
            </w:r>
            <w:r w:rsidR="00CC36CD" w:rsidRPr="00CC36CD">
              <w:rPr>
                <w:rFonts w:ascii="Times New Roman" w:hAnsi="Times New Roman" w:cs="Times New Roman"/>
                <w:noProof/>
                <w:webHidden/>
                <w:sz w:val="24"/>
                <w:szCs w:val="24"/>
              </w:rPr>
              <w:fldChar w:fldCharType="end"/>
            </w:r>
          </w:hyperlink>
        </w:p>
        <w:p w14:paraId="3CEA05C2" w14:textId="632BBD9E" w:rsidR="00CC36CD" w:rsidRPr="00CC36CD" w:rsidRDefault="00000000" w:rsidP="00CC36CD">
          <w:pPr>
            <w:pStyle w:val="Cuprins1"/>
            <w:tabs>
              <w:tab w:val="right" w:pos="9019"/>
            </w:tabs>
            <w:spacing w:line="360" w:lineRule="auto"/>
            <w:jc w:val="both"/>
            <w:rPr>
              <w:rFonts w:ascii="Times New Roman" w:hAnsi="Times New Roman" w:cs="Times New Roman"/>
              <w:noProof/>
              <w:sz w:val="24"/>
              <w:szCs w:val="24"/>
            </w:rPr>
          </w:pPr>
          <w:hyperlink w:anchor="_Toc182071418" w:history="1">
            <w:r w:rsidR="00CC36CD" w:rsidRPr="00CC36CD">
              <w:rPr>
                <w:rStyle w:val="Hyperlink"/>
                <w:rFonts w:ascii="Times New Roman" w:hAnsi="Times New Roman" w:cs="Times New Roman"/>
                <w:noProof/>
                <w:sz w:val="24"/>
                <w:szCs w:val="24"/>
              </w:rPr>
              <w:t>Impact of Organisational Culture on Change Management</w:t>
            </w:r>
            <w:r w:rsidR="00CC36CD" w:rsidRPr="00CC36CD">
              <w:rPr>
                <w:rFonts w:ascii="Times New Roman" w:hAnsi="Times New Roman" w:cs="Times New Roman"/>
                <w:noProof/>
                <w:webHidden/>
                <w:sz w:val="24"/>
                <w:szCs w:val="24"/>
              </w:rPr>
              <w:tab/>
            </w:r>
            <w:r w:rsidR="00CC36CD" w:rsidRPr="00CC36CD">
              <w:rPr>
                <w:rFonts w:ascii="Times New Roman" w:hAnsi="Times New Roman" w:cs="Times New Roman"/>
                <w:noProof/>
                <w:webHidden/>
                <w:sz w:val="24"/>
                <w:szCs w:val="24"/>
              </w:rPr>
              <w:fldChar w:fldCharType="begin"/>
            </w:r>
            <w:r w:rsidR="00CC36CD" w:rsidRPr="00CC36CD">
              <w:rPr>
                <w:rFonts w:ascii="Times New Roman" w:hAnsi="Times New Roman" w:cs="Times New Roman"/>
                <w:noProof/>
                <w:webHidden/>
                <w:sz w:val="24"/>
                <w:szCs w:val="24"/>
              </w:rPr>
              <w:instrText xml:space="preserve"> PAGEREF _Toc182071418 \h </w:instrText>
            </w:r>
            <w:r w:rsidR="00CC36CD" w:rsidRPr="00CC36CD">
              <w:rPr>
                <w:rFonts w:ascii="Times New Roman" w:hAnsi="Times New Roman" w:cs="Times New Roman"/>
                <w:noProof/>
                <w:webHidden/>
                <w:sz w:val="24"/>
                <w:szCs w:val="24"/>
              </w:rPr>
            </w:r>
            <w:r w:rsidR="00CC36CD" w:rsidRPr="00CC36CD">
              <w:rPr>
                <w:rFonts w:ascii="Times New Roman" w:hAnsi="Times New Roman" w:cs="Times New Roman"/>
                <w:noProof/>
                <w:webHidden/>
                <w:sz w:val="24"/>
                <w:szCs w:val="24"/>
              </w:rPr>
              <w:fldChar w:fldCharType="separate"/>
            </w:r>
            <w:r w:rsidR="00CC36CD" w:rsidRPr="00CC36CD">
              <w:rPr>
                <w:rFonts w:ascii="Times New Roman" w:hAnsi="Times New Roman" w:cs="Times New Roman"/>
                <w:noProof/>
                <w:webHidden/>
                <w:sz w:val="24"/>
                <w:szCs w:val="24"/>
              </w:rPr>
              <w:t>12</w:t>
            </w:r>
            <w:r w:rsidR="00CC36CD" w:rsidRPr="00CC36CD">
              <w:rPr>
                <w:rFonts w:ascii="Times New Roman" w:hAnsi="Times New Roman" w:cs="Times New Roman"/>
                <w:noProof/>
                <w:webHidden/>
                <w:sz w:val="24"/>
                <w:szCs w:val="24"/>
              </w:rPr>
              <w:fldChar w:fldCharType="end"/>
            </w:r>
          </w:hyperlink>
        </w:p>
        <w:p w14:paraId="78EBB452" w14:textId="775DBA5B" w:rsidR="00CC36CD" w:rsidRPr="00CC36CD" w:rsidRDefault="00000000" w:rsidP="00CC36CD">
          <w:pPr>
            <w:pStyle w:val="Cuprins2"/>
            <w:tabs>
              <w:tab w:val="right" w:pos="9019"/>
            </w:tabs>
            <w:spacing w:line="360" w:lineRule="auto"/>
            <w:jc w:val="both"/>
            <w:rPr>
              <w:rFonts w:ascii="Times New Roman" w:hAnsi="Times New Roman" w:cs="Times New Roman"/>
              <w:noProof/>
              <w:sz w:val="24"/>
              <w:szCs w:val="24"/>
            </w:rPr>
          </w:pPr>
          <w:hyperlink w:anchor="_Toc182071419" w:history="1">
            <w:r w:rsidR="00CC36CD" w:rsidRPr="00CC36CD">
              <w:rPr>
                <w:rStyle w:val="Hyperlink"/>
                <w:rFonts w:ascii="Times New Roman" w:hAnsi="Times New Roman" w:cs="Times New Roman"/>
                <w:noProof/>
                <w:sz w:val="24"/>
                <w:szCs w:val="24"/>
              </w:rPr>
              <w:t>Overview of the Organisational Culture</w:t>
            </w:r>
            <w:r w:rsidR="00CC36CD" w:rsidRPr="00CC36CD">
              <w:rPr>
                <w:rFonts w:ascii="Times New Roman" w:hAnsi="Times New Roman" w:cs="Times New Roman"/>
                <w:noProof/>
                <w:webHidden/>
                <w:sz w:val="24"/>
                <w:szCs w:val="24"/>
              </w:rPr>
              <w:tab/>
            </w:r>
            <w:r w:rsidR="00CC36CD" w:rsidRPr="00CC36CD">
              <w:rPr>
                <w:rFonts w:ascii="Times New Roman" w:hAnsi="Times New Roman" w:cs="Times New Roman"/>
                <w:noProof/>
                <w:webHidden/>
                <w:sz w:val="24"/>
                <w:szCs w:val="24"/>
              </w:rPr>
              <w:fldChar w:fldCharType="begin"/>
            </w:r>
            <w:r w:rsidR="00CC36CD" w:rsidRPr="00CC36CD">
              <w:rPr>
                <w:rFonts w:ascii="Times New Roman" w:hAnsi="Times New Roman" w:cs="Times New Roman"/>
                <w:noProof/>
                <w:webHidden/>
                <w:sz w:val="24"/>
                <w:szCs w:val="24"/>
              </w:rPr>
              <w:instrText xml:space="preserve"> PAGEREF _Toc182071419 \h </w:instrText>
            </w:r>
            <w:r w:rsidR="00CC36CD" w:rsidRPr="00CC36CD">
              <w:rPr>
                <w:rFonts w:ascii="Times New Roman" w:hAnsi="Times New Roman" w:cs="Times New Roman"/>
                <w:noProof/>
                <w:webHidden/>
                <w:sz w:val="24"/>
                <w:szCs w:val="24"/>
              </w:rPr>
            </w:r>
            <w:r w:rsidR="00CC36CD" w:rsidRPr="00CC36CD">
              <w:rPr>
                <w:rFonts w:ascii="Times New Roman" w:hAnsi="Times New Roman" w:cs="Times New Roman"/>
                <w:noProof/>
                <w:webHidden/>
                <w:sz w:val="24"/>
                <w:szCs w:val="24"/>
              </w:rPr>
              <w:fldChar w:fldCharType="separate"/>
            </w:r>
            <w:r w:rsidR="00CC36CD" w:rsidRPr="00CC36CD">
              <w:rPr>
                <w:rFonts w:ascii="Times New Roman" w:hAnsi="Times New Roman" w:cs="Times New Roman"/>
                <w:noProof/>
                <w:webHidden/>
                <w:sz w:val="24"/>
                <w:szCs w:val="24"/>
              </w:rPr>
              <w:t>12</w:t>
            </w:r>
            <w:r w:rsidR="00CC36CD" w:rsidRPr="00CC36CD">
              <w:rPr>
                <w:rFonts w:ascii="Times New Roman" w:hAnsi="Times New Roman" w:cs="Times New Roman"/>
                <w:noProof/>
                <w:webHidden/>
                <w:sz w:val="24"/>
                <w:szCs w:val="24"/>
              </w:rPr>
              <w:fldChar w:fldCharType="end"/>
            </w:r>
          </w:hyperlink>
        </w:p>
        <w:p w14:paraId="0571AD9F" w14:textId="3740972E" w:rsidR="00CC36CD" w:rsidRPr="00CC36CD" w:rsidRDefault="00000000" w:rsidP="00CC36CD">
          <w:pPr>
            <w:pStyle w:val="Cuprins2"/>
            <w:tabs>
              <w:tab w:val="right" w:pos="9019"/>
            </w:tabs>
            <w:spacing w:line="360" w:lineRule="auto"/>
            <w:jc w:val="both"/>
            <w:rPr>
              <w:rFonts w:ascii="Times New Roman" w:hAnsi="Times New Roman" w:cs="Times New Roman"/>
              <w:noProof/>
              <w:sz w:val="24"/>
              <w:szCs w:val="24"/>
            </w:rPr>
          </w:pPr>
          <w:hyperlink w:anchor="_Toc182071420" w:history="1">
            <w:r w:rsidR="00CC36CD" w:rsidRPr="00CC36CD">
              <w:rPr>
                <w:rStyle w:val="Hyperlink"/>
                <w:rFonts w:ascii="Times New Roman" w:hAnsi="Times New Roman" w:cs="Times New Roman"/>
                <w:noProof/>
                <w:sz w:val="24"/>
                <w:szCs w:val="24"/>
              </w:rPr>
              <w:t>Cultural Influence on Change process</w:t>
            </w:r>
            <w:r w:rsidR="00CC36CD" w:rsidRPr="00CC36CD">
              <w:rPr>
                <w:rFonts w:ascii="Times New Roman" w:hAnsi="Times New Roman" w:cs="Times New Roman"/>
                <w:noProof/>
                <w:webHidden/>
                <w:sz w:val="24"/>
                <w:szCs w:val="24"/>
              </w:rPr>
              <w:tab/>
            </w:r>
            <w:r w:rsidR="00CC36CD" w:rsidRPr="00CC36CD">
              <w:rPr>
                <w:rFonts w:ascii="Times New Roman" w:hAnsi="Times New Roman" w:cs="Times New Roman"/>
                <w:noProof/>
                <w:webHidden/>
                <w:sz w:val="24"/>
                <w:szCs w:val="24"/>
              </w:rPr>
              <w:fldChar w:fldCharType="begin"/>
            </w:r>
            <w:r w:rsidR="00CC36CD" w:rsidRPr="00CC36CD">
              <w:rPr>
                <w:rFonts w:ascii="Times New Roman" w:hAnsi="Times New Roman" w:cs="Times New Roman"/>
                <w:noProof/>
                <w:webHidden/>
                <w:sz w:val="24"/>
                <w:szCs w:val="24"/>
              </w:rPr>
              <w:instrText xml:space="preserve"> PAGEREF _Toc182071420 \h </w:instrText>
            </w:r>
            <w:r w:rsidR="00CC36CD" w:rsidRPr="00CC36CD">
              <w:rPr>
                <w:rFonts w:ascii="Times New Roman" w:hAnsi="Times New Roman" w:cs="Times New Roman"/>
                <w:noProof/>
                <w:webHidden/>
                <w:sz w:val="24"/>
                <w:szCs w:val="24"/>
              </w:rPr>
            </w:r>
            <w:r w:rsidR="00CC36CD" w:rsidRPr="00CC36CD">
              <w:rPr>
                <w:rFonts w:ascii="Times New Roman" w:hAnsi="Times New Roman" w:cs="Times New Roman"/>
                <w:noProof/>
                <w:webHidden/>
                <w:sz w:val="24"/>
                <w:szCs w:val="24"/>
              </w:rPr>
              <w:fldChar w:fldCharType="separate"/>
            </w:r>
            <w:r w:rsidR="00CC36CD" w:rsidRPr="00CC36CD">
              <w:rPr>
                <w:rFonts w:ascii="Times New Roman" w:hAnsi="Times New Roman" w:cs="Times New Roman"/>
                <w:noProof/>
                <w:webHidden/>
                <w:sz w:val="24"/>
                <w:szCs w:val="24"/>
              </w:rPr>
              <w:t>13</w:t>
            </w:r>
            <w:r w:rsidR="00CC36CD" w:rsidRPr="00CC36CD">
              <w:rPr>
                <w:rFonts w:ascii="Times New Roman" w:hAnsi="Times New Roman" w:cs="Times New Roman"/>
                <w:noProof/>
                <w:webHidden/>
                <w:sz w:val="24"/>
                <w:szCs w:val="24"/>
              </w:rPr>
              <w:fldChar w:fldCharType="end"/>
            </w:r>
          </w:hyperlink>
        </w:p>
        <w:p w14:paraId="751E5BBD" w14:textId="1D25E1C6" w:rsidR="00CC36CD" w:rsidRPr="00CC36CD" w:rsidRDefault="00000000" w:rsidP="00CC36CD">
          <w:pPr>
            <w:pStyle w:val="Cuprins2"/>
            <w:tabs>
              <w:tab w:val="right" w:pos="9019"/>
            </w:tabs>
            <w:spacing w:line="360" w:lineRule="auto"/>
            <w:jc w:val="both"/>
            <w:rPr>
              <w:rFonts w:ascii="Times New Roman" w:hAnsi="Times New Roman" w:cs="Times New Roman"/>
              <w:noProof/>
              <w:sz w:val="24"/>
              <w:szCs w:val="24"/>
            </w:rPr>
          </w:pPr>
          <w:hyperlink w:anchor="_Toc182071421" w:history="1">
            <w:r w:rsidR="00CC36CD" w:rsidRPr="00CC36CD">
              <w:rPr>
                <w:rStyle w:val="Hyperlink"/>
                <w:rFonts w:ascii="Times New Roman" w:hAnsi="Times New Roman" w:cs="Times New Roman"/>
                <w:noProof/>
                <w:sz w:val="24"/>
                <w:szCs w:val="24"/>
              </w:rPr>
              <w:t>Cultural Challenges</w:t>
            </w:r>
            <w:r w:rsidR="00CC36CD" w:rsidRPr="00CC36CD">
              <w:rPr>
                <w:rFonts w:ascii="Times New Roman" w:hAnsi="Times New Roman" w:cs="Times New Roman"/>
                <w:noProof/>
                <w:webHidden/>
                <w:sz w:val="24"/>
                <w:szCs w:val="24"/>
              </w:rPr>
              <w:tab/>
            </w:r>
            <w:r w:rsidR="00CC36CD" w:rsidRPr="00CC36CD">
              <w:rPr>
                <w:rFonts w:ascii="Times New Roman" w:hAnsi="Times New Roman" w:cs="Times New Roman"/>
                <w:noProof/>
                <w:webHidden/>
                <w:sz w:val="24"/>
                <w:szCs w:val="24"/>
              </w:rPr>
              <w:fldChar w:fldCharType="begin"/>
            </w:r>
            <w:r w:rsidR="00CC36CD" w:rsidRPr="00CC36CD">
              <w:rPr>
                <w:rFonts w:ascii="Times New Roman" w:hAnsi="Times New Roman" w:cs="Times New Roman"/>
                <w:noProof/>
                <w:webHidden/>
                <w:sz w:val="24"/>
                <w:szCs w:val="24"/>
              </w:rPr>
              <w:instrText xml:space="preserve"> PAGEREF _Toc182071421 \h </w:instrText>
            </w:r>
            <w:r w:rsidR="00CC36CD" w:rsidRPr="00CC36CD">
              <w:rPr>
                <w:rFonts w:ascii="Times New Roman" w:hAnsi="Times New Roman" w:cs="Times New Roman"/>
                <w:noProof/>
                <w:webHidden/>
                <w:sz w:val="24"/>
                <w:szCs w:val="24"/>
              </w:rPr>
            </w:r>
            <w:r w:rsidR="00CC36CD" w:rsidRPr="00CC36CD">
              <w:rPr>
                <w:rFonts w:ascii="Times New Roman" w:hAnsi="Times New Roman" w:cs="Times New Roman"/>
                <w:noProof/>
                <w:webHidden/>
                <w:sz w:val="24"/>
                <w:szCs w:val="24"/>
              </w:rPr>
              <w:fldChar w:fldCharType="separate"/>
            </w:r>
            <w:r w:rsidR="00CC36CD" w:rsidRPr="00CC36CD">
              <w:rPr>
                <w:rFonts w:ascii="Times New Roman" w:hAnsi="Times New Roman" w:cs="Times New Roman"/>
                <w:noProof/>
                <w:webHidden/>
                <w:sz w:val="24"/>
                <w:szCs w:val="24"/>
              </w:rPr>
              <w:t>15</w:t>
            </w:r>
            <w:r w:rsidR="00CC36CD" w:rsidRPr="00CC36CD">
              <w:rPr>
                <w:rFonts w:ascii="Times New Roman" w:hAnsi="Times New Roman" w:cs="Times New Roman"/>
                <w:noProof/>
                <w:webHidden/>
                <w:sz w:val="24"/>
                <w:szCs w:val="24"/>
              </w:rPr>
              <w:fldChar w:fldCharType="end"/>
            </w:r>
          </w:hyperlink>
        </w:p>
        <w:p w14:paraId="28B25D98" w14:textId="1D8BE270" w:rsidR="00CC36CD" w:rsidRPr="00CC36CD" w:rsidRDefault="00000000" w:rsidP="00CC36CD">
          <w:pPr>
            <w:pStyle w:val="Cuprins2"/>
            <w:tabs>
              <w:tab w:val="right" w:pos="9019"/>
            </w:tabs>
            <w:spacing w:line="360" w:lineRule="auto"/>
            <w:jc w:val="both"/>
            <w:rPr>
              <w:rFonts w:ascii="Times New Roman" w:hAnsi="Times New Roman" w:cs="Times New Roman"/>
              <w:noProof/>
              <w:sz w:val="24"/>
              <w:szCs w:val="24"/>
            </w:rPr>
          </w:pPr>
          <w:hyperlink w:anchor="_Toc182071422" w:history="1">
            <w:r w:rsidR="00CC36CD" w:rsidRPr="00CC36CD">
              <w:rPr>
                <w:rStyle w:val="Hyperlink"/>
                <w:rFonts w:ascii="Times New Roman" w:hAnsi="Times New Roman" w:cs="Times New Roman"/>
                <w:noProof/>
                <w:sz w:val="24"/>
                <w:szCs w:val="24"/>
              </w:rPr>
              <w:t>Recommendations</w:t>
            </w:r>
            <w:r w:rsidR="00CC36CD" w:rsidRPr="00CC36CD">
              <w:rPr>
                <w:rFonts w:ascii="Times New Roman" w:hAnsi="Times New Roman" w:cs="Times New Roman"/>
                <w:noProof/>
                <w:webHidden/>
                <w:sz w:val="24"/>
                <w:szCs w:val="24"/>
              </w:rPr>
              <w:tab/>
            </w:r>
            <w:r w:rsidR="00CC36CD" w:rsidRPr="00CC36CD">
              <w:rPr>
                <w:rFonts w:ascii="Times New Roman" w:hAnsi="Times New Roman" w:cs="Times New Roman"/>
                <w:noProof/>
                <w:webHidden/>
                <w:sz w:val="24"/>
                <w:szCs w:val="24"/>
              </w:rPr>
              <w:fldChar w:fldCharType="begin"/>
            </w:r>
            <w:r w:rsidR="00CC36CD" w:rsidRPr="00CC36CD">
              <w:rPr>
                <w:rFonts w:ascii="Times New Roman" w:hAnsi="Times New Roman" w:cs="Times New Roman"/>
                <w:noProof/>
                <w:webHidden/>
                <w:sz w:val="24"/>
                <w:szCs w:val="24"/>
              </w:rPr>
              <w:instrText xml:space="preserve"> PAGEREF _Toc182071422 \h </w:instrText>
            </w:r>
            <w:r w:rsidR="00CC36CD" w:rsidRPr="00CC36CD">
              <w:rPr>
                <w:rFonts w:ascii="Times New Roman" w:hAnsi="Times New Roman" w:cs="Times New Roman"/>
                <w:noProof/>
                <w:webHidden/>
                <w:sz w:val="24"/>
                <w:szCs w:val="24"/>
              </w:rPr>
            </w:r>
            <w:r w:rsidR="00CC36CD" w:rsidRPr="00CC36CD">
              <w:rPr>
                <w:rFonts w:ascii="Times New Roman" w:hAnsi="Times New Roman" w:cs="Times New Roman"/>
                <w:noProof/>
                <w:webHidden/>
                <w:sz w:val="24"/>
                <w:szCs w:val="24"/>
              </w:rPr>
              <w:fldChar w:fldCharType="separate"/>
            </w:r>
            <w:r w:rsidR="00CC36CD" w:rsidRPr="00CC36CD">
              <w:rPr>
                <w:rFonts w:ascii="Times New Roman" w:hAnsi="Times New Roman" w:cs="Times New Roman"/>
                <w:noProof/>
                <w:webHidden/>
                <w:sz w:val="24"/>
                <w:szCs w:val="24"/>
              </w:rPr>
              <w:t>16</w:t>
            </w:r>
            <w:r w:rsidR="00CC36CD" w:rsidRPr="00CC36CD">
              <w:rPr>
                <w:rFonts w:ascii="Times New Roman" w:hAnsi="Times New Roman" w:cs="Times New Roman"/>
                <w:noProof/>
                <w:webHidden/>
                <w:sz w:val="24"/>
                <w:szCs w:val="24"/>
              </w:rPr>
              <w:fldChar w:fldCharType="end"/>
            </w:r>
          </w:hyperlink>
        </w:p>
        <w:p w14:paraId="5DBD547A" w14:textId="4A5D7C6A" w:rsidR="00CC36CD" w:rsidRPr="00CC36CD" w:rsidRDefault="00000000" w:rsidP="00CC36CD">
          <w:pPr>
            <w:pStyle w:val="Cuprins1"/>
            <w:tabs>
              <w:tab w:val="right" w:pos="9019"/>
            </w:tabs>
            <w:spacing w:line="360" w:lineRule="auto"/>
            <w:jc w:val="both"/>
            <w:rPr>
              <w:rFonts w:ascii="Times New Roman" w:hAnsi="Times New Roman" w:cs="Times New Roman"/>
              <w:noProof/>
              <w:sz w:val="24"/>
              <w:szCs w:val="24"/>
            </w:rPr>
          </w:pPr>
          <w:hyperlink w:anchor="_Toc182071423" w:history="1">
            <w:r w:rsidR="00CC36CD" w:rsidRPr="00CC36CD">
              <w:rPr>
                <w:rStyle w:val="Hyperlink"/>
                <w:rFonts w:ascii="Times New Roman" w:hAnsi="Times New Roman" w:cs="Times New Roman"/>
                <w:noProof/>
                <w:sz w:val="24"/>
                <w:szCs w:val="24"/>
              </w:rPr>
              <w:t>Change Management Plan for the near Future</w:t>
            </w:r>
            <w:r w:rsidR="00CC36CD" w:rsidRPr="00CC36CD">
              <w:rPr>
                <w:rFonts w:ascii="Times New Roman" w:hAnsi="Times New Roman" w:cs="Times New Roman"/>
                <w:noProof/>
                <w:webHidden/>
                <w:sz w:val="24"/>
                <w:szCs w:val="24"/>
              </w:rPr>
              <w:tab/>
            </w:r>
            <w:r w:rsidR="00CC36CD" w:rsidRPr="00CC36CD">
              <w:rPr>
                <w:rFonts w:ascii="Times New Roman" w:hAnsi="Times New Roman" w:cs="Times New Roman"/>
                <w:noProof/>
                <w:webHidden/>
                <w:sz w:val="24"/>
                <w:szCs w:val="24"/>
              </w:rPr>
              <w:fldChar w:fldCharType="begin"/>
            </w:r>
            <w:r w:rsidR="00CC36CD" w:rsidRPr="00CC36CD">
              <w:rPr>
                <w:rFonts w:ascii="Times New Roman" w:hAnsi="Times New Roman" w:cs="Times New Roman"/>
                <w:noProof/>
                <w:webHidden/>
                <w:sz w:val="24"/>
                <w:szCs w:val="24"/>
              </w:rPr>
              <w:instrText xml:space="preserve"> PAGEREF _Toc182071423 \h </w:instrText>
            </w:r>
            <w:r w:rsidR="00CC36CD" w:rsidRPr="00CC36CD">
              <w:rPr>
                <w:rFonts w:ascii="Times New Roman" w:hAnsi="Times New Roman" w:cs="Times New Roman"/>
                <w:noProof/>
                <w:webHidden/>
                <w:sz w:val="24"/>
                <w:szCs w:val="24"/>
              </w:rPr>
            </w:r>
            <w:r w:rsidR="00CC36CD" w:rsidRPr="00CC36CD">
              <w:rPr>
                <w:rFonts w:ascii="Times New Roman" w:hAnsi="Times New Roman" w:cs="Times New Roman"/>
                <w:noProof/>
                <w:webHidden/>
                <w:sz w:val="24"/>
                <w:szCs w:val="24"/>
              </w:rPr>
              <w:fldChar w:fldCharType="separate"/>
            </w:r>
            <w:r w:rsidR="00CC36CD" w:rsidRPr="00CC36CD">
              <w:rPr>
                <w:rFonts w:ascii="Times New Roman" w:hAnsi="Times New Roman" w:cs="Times New Roman"/>
                <w:noProof/>
                <w:webHidden/>
                <w:sz w:val="24"/>
                <w:szCs w:val="24"/>
              </w:rPr>
              <w:t>17</w:t>
            </w:r>
            <w:r w:rsidR="00CC36CD" w:rsidRPr="00CC36CD">
              <w:rPr>
                <w:rFonts w:ascii="Times New Roman" w:hAnsi="Times New Roman" w:cs="Times New Roman"/>
                <w:noProof/>
                <w:webHidden/>
                <w:sz w:val="24"/>
                <w:szCs w:val="24"/>
              </w:rPr>
              <w:fldChar w:fldCharType="end"/>
            </w:r>
          </w:hyperlink>
        </w:p>
        <w:p w14:paraId="435EB85E" w14:textId="6DFFBBF8" w:rsidR="00CC36CD" w:rsidRPr="00CC36CD" w:rsidRDefault="00000000" w:rsidP="00CC36CD">
          <w:pPr>
            <w:pStyle w:val="Cuprins1"/>
            <w:tabs>
              <w:tab w:val="right" w:pos="9019"/>
            </w:tabs>
            <w:spacing w:line="360" w:lineRule="auto"/>
            <w:jc w:val="both"/>
            <w:rPr>
              <w:rFonts w:ascii="Times New Roman" w:hAnsi="Times New Roman" w:cs="Times New Roman"/>
              <w:noProof/>
              <w:sz w:val="24"/>
              <w:szCs w:val="24"/>
            </w:rPr>
          </w:pPr>
          <w:hyperlink w:anchor="_Toc182071424" w:history="1">
            <w:r w:rsidR="00CC36CD" w:rsidRPr="00CC36CD">
              <w:rPr>
                <w:rStyle w:val="Hyperlink"/>
                <w:rFonts w:ascii="Times New Roman" w:hAnsi="Times New Roman" w:cs="Times New Roman"/>
                <w:noProof/>
                <w:sz w:val="24"/>
                <w:szCs w:val="24"/>
              </w:rPr>
              <w:t>Conclusion</w:t>
            </w:r>
            <w:r w:rsidR="00CC36CD" w:rsidRPr="00CC36CD">
              <w:rPr>
                <w:rFonts w:ascii="Times New Roman" w:hAnsi="Times New Roman" w:cs="Times New Roman"/>
                <w:noProof/>
                <w:webHidden/>
                <w:sz w:val="24"/>
                <w:szCs w:val="24"/>
              </w:rPr>
              <w:tab/>
            </w:r>
            <w:r w:rsidR="00CC36CD" w:rsidRPr="00CC36CD">
              <w:rPr>
                <w:rFonts w:ascii="Times New Roman" w:hAnsi="Times New Roman" w:cs="Times New Roman"/>
                <w:noProof/>
                <w:webHidden/>
                <w:sz w:val="24"/>
                <w:szCs w:val="24"/>
              </w:rPr>
              <w:fldChar w:fldCharType="begin"/>
            </w:r>
            <w:r w:rsidR="00CC36CD" w:rsidRPr="00CC36CD">
              <w:rPr>
                <w:rFonts w:ascii="Times New Roman" w:hAnsi="Times New Roman" w:cs="Times New Roman"/>
                <w:noProof/>
                <w:webHidden/>
                <w:sz w:val="24"/>
                <w:szCs w:val="24"/>
              </w:rPr>
              <w:instrText xml:space="preserve"> PAGEREF _Toc182071424 \h </w:instrText>
            </w:r>
            <w:r w:rsidR="00CC36CD" w:rsidRPr="00CC36CD">
              <w:rPr>
                <w:rFonts w:ascii="Times New Roman" w:hAnsi="Times New Roman" w:cs="Times New Roman"/>
                <w:noProof/>
                <w:webHidden/>
                <w:sz w:val="24"/>
                <w:szCs w:val="24"/>
              </w:rPr>
            </w:r>
            <w:r w:rsidR="00CC36CD" w:rsidRPr="00CC36CD">
              <w:rPr>
                <w:rFonts w:ascii="Times New Roman" w:hAnsi="Times New Roman" w:cs="Times New Roman"/>
                <w:noProof/>
                <w:webHidden/>
                <w:sz w:val="24"/>
                <w:szCs w:val="24"/>
              </w:rPr>
              <w:fldChar w:fldCharType="separate"/>
            </w:r>
            <w:r w:rsidR="00CC36CD" w:rsidRPr="00CC36CD">
              <w:rPr>
                <w:rFonts w:ascii="Times New Roman" w:hAnsi="Times New Roman" w:cs="Times New Roman"/>
                <w:noProof/>
                <w:webHidden/>
                <w:sz w:val="24"/>
                <w:szCs w:val="24"/>
              </w:rPr>
              <w:t>17</w:t>
            </w:r>
            <w:r w:rsidR="00CC36CD" w:rsidRPr="00CC36CD">
              <w:rPr>
                <w:rFonts w:ascii="Times New Roman" w:hAnsi="Times New Roman" w:cs="Times New Roman"/>
                <w:noProof/>
                <w:webHidden/>
                <w:sz w:val="24"/>
                <w:szCs w:val="24"/>
              </w:rPr>
              <w:fldChar w:fldCharType="end"/>
            </w:r>
          </w:hyperlink>
        </w:p>
        <w:p w14:paraId="23D3C524" w14:textId="41E00554" w:rsidR="00CC36CD" w:rsidRPr="00CC36CD" w:rsidRDefault="00000000" w:rsidP="00CC36CD">
          <w:pPr>
            <w:pStyle w:val="Cuprins1"/>
            <w:tabs>
              <w:tab w:val="right" w:pos="9019"/>
            </w:tabs>
            <w:spacing w:line="360" w:lineRule="auto"/>
            <w:jc w:val="both"/>
            <w:rPr>
              <w:rFonts w:ascii="Times New Roman" w:hAnsi="Times New Roman" w:cs="Times New Roman"/>
              <w:noProof/>
              <w:sz w:val="24"/>
              <w:szCs w:val="24"/>
            </w:rPr>
          </w:pPr>
          <w:hyperlink w:anchor="_Toc182071425" w:history="1">
            <w:r w:rsidR="00CC36CD" w:rsidRPr="00CC36CD">
              <w:rPr>
                <w:rStyle w:val="Hyperlink"/>
                <w:rFonts w:ascii="Times New Roman" w:hAnsi="Times New Roman" w:cs="Times New Roman"/>
                <w:noProof/>
                <w:sz w:val="24"/>
                <w:szCs w:val="24"/>
              </w:rPr>
              <w:t>References</w:t>
            </w:r>
            <w:r w:rsidR="00CC36CD" w:rsidRPr="00CC36CD">
              <w:rPr>
                <w:rFonts w:ascii="Times New Roman" w:hAnsi="Times New Roman" w:cs="Times New Roman"/>
                <w:noProof/>
                <w:webHidden/>
                <w:sz w:val="24"/>
                <w:szCs w:val="24"/>
              </w:rPr>
              <w:tab/>
            </w:r>
            <w:r w:rsidR="00CC36CD" w:rsidRPr="00CC36CD">
              <w:rPr>
                <w:rFonts w:ascii="Times New Roman" w:hAnsi="Times New Roman" w:cs="Times New Roman"/>
                <w:noProof/>
                <w:webHidden/>
                <w:sz w:val="24"/>
                <w:szCs w:val="24"/>
              </w:rPr>
              <w:fldChar w:fldCharType="begin"/>
            </w:r>
            <w:r w:rsidR="00CC36CD" w:rsidRPr="00CC36CD">
              <w:rPr>
                <w:rFonts w:ascii="Times New Roman" w:hAnsi="Times New Roman" w:cs="Times New Roman"/>
                <w:noProof/>
                <w:webHidden/>
                <w:sz w:val="24"/>
                <w:szCs w:val="24"/>
              </w:rPr>
              <w:instrText xml:space="preserve"> PAGEREF _Toc182071425 \h </w:instrText>
            </w:r>
            <w:r w:rsidR="00CC36CD" w:rsidRPr="00CC36CD">
              <w:rPr>
                <w:rFonts w:ascii="Times New Roman" w:hAnsi="Times New Roman" w:cs="Times New Roman"/>
                <w:noProof/>
                <w:webHidden/>
                <w:sz w:val="24"/>
                <w:szCs w:val="24"/>
              </w:rPr>
            </w:r>
            <w:r w:rsidR="00CC36CD" w:rsidRPr="00CC36CD">
              <w:rPr>
                <w:rFonts w:ascii="Times New Roman" w:hAnsi="Times New Roman" w:cs="Times New Roman"/>
                <w:noProof/>
                <w:webHidden/>
                <w:sz w:val="24"/>
                <w:szCs w:val="24"/>
              </w:rPr>
              <w:fldChar w:fldCharType="separate"/>
            </w:r>
            <w:r w:rsidR="00CC36CD" w:rsidRPr="00CC36CD">
              <w:rPr>
                <w:rFonts w:ascii="Times New Roman" w:hAnsi="Times New Roman" w:cs="Times New Roman"/>
                <w:noProof/>
                <w:webHidden/>
                <w:sz w:val="24"/>
                <w:szCs w:val="24"/>
              </w:rPr>
              <w:t>19</w:t>
            </w:r>
            <w:r w:rsidR="00CC36CD" w:rsidRPr="00CC36CD">
              <w:rPr>
                <w:rFonts w:ascii="Times New Roman" w:hAnsi="Times New Roman" w:cs="Times New Roman"/>
                <w:noProof/>
                <w:webHidden/>
                <w:sz w:val="24"/>
                <w:szCs w:val="24"/>
              </w:rPr>
              <w:fldChar w:fldCharType="end"/>
            </w:r>
          </w:hyperlink>
        </w:p>
        <w:p w14:paraId="1A137AFC" w14:textId="0E3ECB80" w:rsidR="004A4A49" w:rsidRPr="00CC36CD" w:rsidRDefault="00000000" w:rsidP="00CC36CD">
          <w:pPr>
            <w:widowControl w:val="0"/>
            <w:tabs>
              <w:tab w:val="right" w:pos="12000"/>
            </w:tabs>
            <w:spacing w:before="60" w:line="360" w:lineRule="auto"/>
            <w:jc w:val="both"/>
            <w:rPr>
              <w:rFonts w:ascii="Times New Roman" w:hAnsi="Times New Roman" w:cs="Times New Roman"/>
              <w:b/>
              <w:color w:val="000000"/>
              <w:sz w:val="24"/>
              <w:szCs w:val="24"/>
            </w:rPr>
          </w:pPr>
          <w:r w:rsidRPr="00CC36CD">
            <w:rPr>
              <w:rFonts w:ascii="Times New Roman" w:hAnsi="Times New Roman" w:cs="Times New Roman"/>
              <w:sz w:val="24"/>
              <w:szCs w:val="24"/>
            </w:rPr>
            <w:fldChar w:fldCharType="end"/>
          </w:r>
        </w:p>
      </w:sdtContent>
    </w:sdt>
    <w:p w14:paraId="7861D5C2" w14:textId="77777777" w:rsidR="004A4A49" w:rsidRPr="00CC36CD" w:rsidRDefault="004A4A49" w:rsidP="00CC36CD">
      <w:pPr>
        <w:spacing w:line="360" w:lineRule="auto"/>
        <w:jc w:val="both"/>
        <w:rPr>
          <w:rFonts w:ascii="Times New Roman" w:eastAsia="Times New Roman" w:hAnsi="Times New Roman" w:cs="Times New Roman"/>
          <w:sz w:val="24"/>
          <w:szCs w:val="24"/>
        </w:rPr>
      </w:pPr>
    </w:p>
    <w:p w14:paraId="5C5266DD" w14:textId="77777777" w:rsidR="004A4A49" w:rsidRPr="00CC36CD" w:rsidRDefault="004A4A49" w:rsidP="00CC36CD">
      <w:pPr>
        <w:spacing w:line="360" w:lineRule="auto"/>
        <w:jc w:val="both"/>
        <w:rPr>
          <w:rFonts w:ascii="Times New Roman" w:hAnsi="Times New Roman" w:cs="Times New Roman"/>
          <w:sz w:val="24"/>
          <w:szCs w:val="24"/>
        </w:rPr>
      </w:pPr>
    </w:p>
    <w:p w14:paraId="604121FF" w14:textId="77777777" w:rsidR="004A4A49" w:rsidRPr="00CC36CD" w:rsidRDefault="00000000" w:rsidP="00CC36CD">
      <w:pPr>
        <w:pStyle w:val="Titlu1"/>
        <w:spacing w:line="360" w:lineRule="auto"/>
        <w:jc w:val="both"/>
      </w:pPr>
      <w:bookmarkStart w:id="0" w:name="_nwqdq3s9d4x2" w:colFirst="0" w:colLast="0"/>
      <w:bookmarkEnd w:id="0"/>
      <w:r w:rsidRPr="00CC36CD">
        <w:br w:type="page"/>
      </w:r>
    </w:p>
    <w:p w14:paraId="3DC21B30" w14:textId="77777777" w:rsidR="004A4A49" w:rsidRDefault="00000000">
      <w:pPr>
        <w:pStyle w:val="Titlu1"/>
        <w:spacing w:line="360" w:lineRule="auto"/>
        <w:jc w:val="both"/>
      </w:pPr>
      <w:bookmarkStart w:id="1" w:name="_Toc182071406"/>
      <w:r>
        <w:lastRenderedPageBreak/>
        <w:t>Introduction</w:t>
      </w:r>
      <w:bookmarkEnd w:id="1"/>
      <w:r>
        <w:t xml:space="preserve"> </w:t>
      </w:r>
    </w:p>
    <w:p w14:paraId="5A99DB53"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Barclays</w:t>
      </w:r>
      <w:r>
        <w:rPr>
          <w:rFonts w:ascii="Times New Roman" w:eastAsia="Times New Roman" w:hAnsi="Times New Roman" w:cs="Times New Roman"/>
          <w:sz w:val="24"/>
          <w:szCs w:val="24"/>
        </w:rPr>
        <w:t xml:space="preserve"> is one of the leading global financial institutions having their headquarters in the UK with the prevalence of a rich history that is dating back to 1690. Besides this, it also provides a broad range of services that comprises of both retail and corporate banking along with wealth management and investment banking serving nearly millions of customers beyond more than 40 countries. Since it is considered to be one of the largest banks in the UK, Barclay faces certain constraints from the side of increasing digitisation of the financial services that is from the perspective of raising competition in terms of financial startups and period of economic uncertainty. This specially occurred in the wake of Brexit and global market fluctuations. All these external pressures that have been coupled with the changing consumer expectations for the extent of seamless banking experiences have suitably made this mode of transformation quite important for Barclays for remaining competitive in the market. </w:t>
      </w:r>
    </w:p>
    <w:p w14:paraId="5B7FE5A7"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mainly aims to evaluate the way Barclays has relatively managed the changes in response to all these external and internal factors thus assessing their leadership approaches. This report further proposes a strategic change management plan for the future that will support the future growth opportunities as well as sustainability in the context of an evolving landscape within the banking sectors. </w:t>
      </w:r>
    </w:p>
    <w:p w14:paraId="549A2417" w14:textId="77777777" w:rsidR="004A4A49" w:rsidRDefault="00000000">
      <w:pPr>
        <w:pStyle w:val="Titlu1"/>
      </w:pPr>
      <w:bookmarkStart w:id="2" w:name="_Toc182071407"/>
      <w:r>
        <w:t>Overview of the Current State of the Organisation</w:t>
      </w:r>
      <w:bookmarkEnd w:id="2"/>
    </w:p>
    <w:p w14:paraId="386759D4" w14:textId="77777777" w:rsidR="004A4A49" w:rsidRDefault="00000000">
      <w:pPr>
        <w:pStyle w:val="Titlu2"/>
      </w:pPr>
      <w:bookmarkStart w:id="3" w:name="_Toc182071408"/>
      <w:r>
        <w:t>Company Profile</w:t>
      </w:r>
      <w:bookmarkEnd w:id="3"/>
    </w:p>
    <w:p w14:paraId="6FEDDAD3"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Barclays is one of the major multinational financial services organisations in the economy of the UK. They have their headquarters in London with the prevalence of a history that has been dated back over 300 years to its founding period in the year 1690. Not only this, it is one of the largest and well-established banks in the United Kingdom that has an impressive global presence and operates in more than 40 countries (Barclays, 2024). On the other hand, Barclays generally provides a diverse range of the financial services that comprises of personal banking systems, corporate banking along with investment banking and essence of wealth management. It further offers products like that of saving accounts, loan mortgages and certain other investment solutions (Barclays, 2024). Besides this, the company generally operates through the measurement of two divisions. One is Barclays UK and the other one is Barclays International. </w:t>
      </w:r>
      <w:r>
        <w:rPr>
          <w:rFonts w:ascii="Times New Roman" w:eastAsia="Times New Roman" w:hAnsi="Times New Roman" w:cs="Times New Roman"/>
          <w:b/>
          <w:sz w:val="24"/>
          <w:szCs w:val="24"/>
        </w:rPr>
        <w:t xml:space="preserve">Barclays UK </w:t>
      </w:r>
      <w:r>
        <w:rPr>
          <w:rFonts w:ascii="Times New Roman" w:eastAsia="Times New Roman" w:hAnsi="Times New Roman" w:cs="Times New Roman"/>
          <w:sz w:val="24"/>
          <w:szCs w:val="24"/>
        </w:rPr>
        <w:t>eventually offers both retail banking and wealth management services to the individuals whereas</w:t>
      </w:r>
      <w:r>
        <w:rPr>
          <w:rFonts w:ascii="Times New Roman" w:eastAsia="Times New Roman" w:hAnsi="Times New Roman" w:cs="Times New Roman"/>
          <w:b/>
          <w:sz w:val="24"/>
          <w:szCs w:val="24"/>
        </w:rPr>
        <w:t xml:space="preserve"> Barclays International </w:t>
      </w:r>
      <w:r>
        <w:rPr>
          <w:rFonts w:ascii="Times New Roman" w:eastAsia="Times New Roman" w:hAnsi="Times New Roman" w:cs="Times New Roman"/>
          <w:sz w:val="24"/>
          <w:szCs w:val="24"/>
        </w:rPr>
        <w:t xml:space="preserve">focuses on the stream of corporate </w:t>
      </w:r>
      <w:r>
        <w:rPr>
          <w:rFonts w:ascii="Times New Roman" w:eastAsia="Times New Roman" w:hAnsi="Times New Roman" w:cs="Times New Roman"/>
          <w:sz w:val="24"/>
          <w:szCs w:val="24"/>
        </w:rPr>
        <w:lastRenderedPageBreak/>
        <w:t>banking, investment banking and certain other high-profile services for both the businesses as well as the institutional clients (</w:t>
      </w:r>
      <w:r>
        <w:rPr>
          <w:rFonts w:ascii="Times New Roman" w:eastAsia="Times New Roman" w:hAnsi="Times New Roman" w:cs="Times New Roman"/>
          <w:color w:val="222222"/>
          <w:sz w:val="24"/>
          <w:szCs w:val="24"/>
          <w:highlight w:val="white"/>
        </w:rPr>
        <w:t>Newton and Barnes, 2022)</w:t>
      </w:r>
      <w:r>
        <w:rPr>
          <w:rFonts w:ascii="Times New Roman" w:eastAsia="Times New Roman" w:hAnsi="Times New Roman" w:cs="Times New Roman"/>
          <w:sz w:val="24"/>
          <w:szCs w:val="24"/>
        </w:rPr>
        <w:t>. Since Barclays has a strong presence in both the UK and US it has positioned itself as one of the major key players within the global financial markets.</w:t>
      </w:r>
    </w:p>
    <w:p w14:paraId="12F0D56E"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Barclays has also been famous for its true commitment to the platform of technological innovation and digital banking systems. It has heavily invested in both mobile and online banking platforms for meeting the evolving requirements of the customers (</w:t>
      </w:r>
      <w:r>
        <w:rPr>
          <w:rFonts w:ascii="Times New Roman" w:eastAsia="Times New Roman" w:hAnsi="Times New Roman" w:cs="Times New Roman"/>
          <w:color w:val="222222"/>
          <w:sz w:val="24"/>
          <w:szCs w:val="24"/>
          <w:highlight w:val="white"/>
        </w:rPr>
        <w:t>Siwale, 2022)</w:t>
      </w:r>
      <w:r>
        <w:rPr>
          <w:rFonts w:ascii="Times New Roman" w:eastAsia="Times New Roman" w:hAnsi="Times New Roman" w:cs="Times New Roman"/>
          <w:sz w:val="24"/>
          <w:szCs w:val="24"/>
        </w:rPr>
        <w:t xml:space="preserve">. Apart from this, this bank has also been quite active in the context of suitably embracing the podium of the financial technological ranging from artificial intelligences and blockchain technologies for improving their financial services. Henceforth as of recent times, Barclays faces significant challenges starting from intense competition from the side of fintech disruptions and the ongoing economic uncertainty.  </w:t>
      </w:r>
    </w:p>
    <w:p w14:paraId="3C388B58" w14:textId="77777777" w:rsidR="004A4A49" w:rsidRDefault="00000000">
      <w:pPr>
        <w:pStyle w:val="Titlu2"/>
      </w:pPr>
      <w:bookmarkStart w:id="4" w:name="_Toc182071409"/>
      <w:r>
        <w:t>Current Challenges</w:t>
      </w:r>
      <w:bookmarkEnd w:id="4"/>
    </w:p>
    <w:p w14:paraId="60467327"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Barclays is facing severe challenges in the context of the current banking landscapes. The platform of Digital Disruption is one of the major pressing issues since the fintech companies and the digital first banks have been increasingly capturing the market share with the prevalence of both innovative and tech-driven solutions. These are providing the customers with relatively faster and more convenient financial services (</w:t>
      </w:r>
      <w:r>
        <w:rPr>
          <w:rFonts w:ascii="Times New Roman" w:eastAsia="Times New Roman" w:hAnsi="Times New Roman" w:cs="Times New Roman"/>
          <w:color w:val="222222"/>
          <w:sz w:val="24"/>
          <w:szCs w:val="24"/>
          <w:highlight w:val="white"/>
        </w:rPr>
        <w:t>Barclays, 2024)</w:t>
      </w:r>
      <w:r>
        <w:rPr>
          <w:rFonts w:ascii="Times New Roman" w:eastAsia="Times New Roman" w:hAnsi="Times New Roman" w:cs="Times New Roman"/>
          <w:sz w:val="24"/>
          <w:szCs w:val="24"/>
        </w:rPr>
        <w:t>. Considering all this fact, the concerned financial organisation needs to adapt to this portfolio of digital transformation thus improving their own tracks of digital offerings for remaining truly competitive. On the other hand, economic uncertainty is another significant challenge mainly during the long-term effects of the Brexit along with the essence of ongoing global market volatility (</w:t>
      </w:r>
      <w:r>
        <w:rPr>
          <w:rFonts w:ascii="Times New Roman" w:eastAsia="Times New Roman" w:hAnsi="Times New Roman" w:cs="Times New Roman"/>
          <w:color w:val="222222"/>
          <w:sz w:val="24"/>
          <w:szCs w:val="24"/>
          <w:highlight w:val="white"/>
        </w:rPr>
        <w:t>Dhanda, 2024)</w:t>
      </w:r>
      <w:r>
        <w:rPr>
          <w:rFonts w:ascii="Times New Roman" w:eastAsia="Times New Roman" w:hAnsi="Times New Roman" w:cs="Times New Roman"/>
          <w:sz w:val="24"/>
          <w:szCs w:val="24"/>
        </w:rPr>
        <w:t xml:space="preserve">. All these factors have developed a more unpredictable economic environment thus affecting the consumer behaviour along with lending practices and effective investment strategies. </w:t>
      </w:r>
    </w:p>
    <w:p w14:paraId="09BC8440"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increased regulatory pressures comprises of the adequate compliance with the GDPR and  Payment Service Directive Two mainly requires Barclays to continually adjust its financial operations thus particularly around both data privacy and security (</w:t>
      </w:r>
      <w:r>
        <w:rPr>
          <w:rFonts w:ascii="Times New Roman" w:eastAsia="Times New Roman" w:hAnsi="Times New Roman" w:cs="Times New Roman"/>
          <w:color w:val="222222"/>
          <w:sz w:val="24"/>
          <w:szCs w:val="24"/>
          <w:highlight w:val="white"/>
        </w:rPr>
        <w:t>Barclays, 2024)</w:t>
      </w:r>
      <w:r>
        <w:rPr>
          <w:rFonts w:ascii="Times New Roman" w:eastAsia="Times New Roman" w:hAnsi="Times New Roman" w:cs="Times New Roman"/>
          <w:sz w:val="24"/>
          <w:szCs w:val="24"/>
        </w:rPr>
        <w:t xml:space="preserve">. Apart from this, the level of customer expectations are genuinely shifting towards personalised and mobile-first banking experiences thus placing the detailed pressure on the concerned organisation for modernising their services and staying ahead of their competitors within the economy. </w:t>
      </w:r>
    </w:p>
    <w:p w14:paraId="202A4000" w14:textId="77777777" w:rsidR="004A4A49" w:rsidRDefault="00000000">
      <w:pPr>
        <w:pStyle w:val="Titlu2"/>
        <w:spacing w:line="360" w:lineRule="auto"/>
        <w:jc w:val="both"/>
      </w:pPr>
      <w:bookmarkStart w:id="5" w:name="_Toc182071410"/>
      <w:r>
        <w:lastRenderedPageBreak/>
        <w:t>Present State of the Change Initiatives</w:t>
      </w:r>
      <w:bookmarkEnd w:id="5"/>
    </w:p>
    <w:p w14:paraId="0FE6150C"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financial processing of Barclays has been actively engaging in certain change initiatives for adapting to the evolving financial services landscape. One of the key focuses is the digital transformation with the bank that is investing heavily in the context of the advanced technology for enhancing their customer experiences along with streamlining the financial operations. On the other hand, Barclays has updated their mobile banking and the online platforms for obtaining the evolving requirements of the consumers as well as the demand for on-the-go services. Besides this, the introduction of the mobile app of Barclays along with the adaptation of Artificial Intelligence in terms of the personalised customer support are quite central to their digital strategy (</w:t>
      </w:r>
      <w:r>
        <w:rPr>
          <w:rFonts w:ascii="Times New Roman" w:eastAsia="Times New Roman" w:hAnsi="Times New Roman" w:cs="Times New Roman"/>
          <w:color w:val="222222"/>
          <w:sz w:val="24"/>
          <w:szCs w:val="24"/>
          <w:highlight w:val="white"/>
        </w:rPr>
        <w:t>Assets.ctfassets.net</w:t>
      </w:r>
      <w:r>
        <w:rPr>
          <w:rFonts w:ascii="Times New Roman" w:eastAsia="Times New Roman" w:hAnsi="Times New Roman" w:cs="Times New Roman"/>
          <w:sz w:val="24"/>
          <w:szCs w:val="24"/>
        </w:rPr>
        <w:t>, 2024). The bank has successfully embraced their blockchain technology as well as the open banking initiatives for remaining competitive along with suitably offering innovative financial products. Considering the state of both economic uncertainty and Brexit event, Barclays has thoroughly implemented the effective cost-cutting measures along with the trends of operational efficiency for improving the region of profitability and maintaining the pathway of financial stability (</w:t>
      </w:r>
      <w:r>
        <w:rPr>
          <w:rFonts w:ascii="Times New Roman" w:eastAsia="Times New Roman" w:hAnsi="Times New Roman" w:cs="Times New Roman"/>
          <w:color w:val="222222"/>
          <w:sz w:val="24"/>
          <w:szCs w:val="24"/>
          <w:highlight w:val="white"/>
        </w:rPr>
        <w:t>Openbanking.org.uk, 2024)</w:t>
      </w:r>
      <w:r>
        <w:rPr>
          <w:rFonts w:ascii="Times New Roman" w:eastAsia="Times New Roman" w:hAnsi="Times New Roman" w:cs="Times New Roman"/>
          <w:sz w:val="24"/>
          <w:szCs w:val="24"/>
        </w:rPr>
        <w:t>. Barclays has been consolidating some of their financial operations and thereby reducing their physical footprint by closing the process of underpinning branches thus addressing more on the digital platforms. Apart from this, on the regulatory front the concerned organisation has taken successive steps for ensuring suitable compliance with both GDPR and PSD2 thus increasing their data security protocols. Although some of these change initiatives have faced significant challenges (</w:t>
      </w:r>
      <w:proofErr w:type="spellStart"/>
      <w:r>
        <w:rPr>
          <w:rFonts w:ascii="Times New Roman" w:eastAsia="Times New Roman" w:hAnsi="Times New Roman" w:cs="Times New Roman"/>
          <w:color w:val="222222"/>
          <w:sz w:val="24"/>
          <w:szCs w:val="24"/>
          <w:highlight w:val="white"/>
        </w:rPr>
        <w:t>Gounari</w:t>
      </w:r>
      <w:proofErr w:type="spellEnd"/>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2024)</w:t>
      </w:r>
      <w:r>
        <w:rPr>
          <w:rFonts w:ascii="Times New Roman" w:eastAsia="Times New Roman" w:hAnsi="Times New Roman" w:cs="Times New Roman"/>
          <w:sz w:val="24"/>
          <w:szCs w:val="24"/>
        </w:rPr>
        <w:t>. The transition to a fully digital first model has been met with a certain level of employee resistance in some areas since the traditional roles and processes evolve. Moreover, maintaining a balance between the platform of digital innovation and regulatory compliance has suitably posed the measurement of ongoing difficulties mainly since new data protection ground and financial regulations emerged.</w:t>
      </w:r>
    </w:p>
    <w:p w14:paraId="08C2270F" w14:textId="77777777" w:rsidR="004A4A49"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Inspite</w:t>
      </w:r>
      <w:proofErr w:type="spellEnd"/>
      <w:r>
        <w:rPr>
          <w:rFonts w:ascii="Times New Roman" w:eastAsia="Times New Roman" w:hAnsi="Times New Roman" w:cs="Times New Roman"/>
          <w:sz w:val="24"/>
          <w:szCs w:val="24"/>
        </w:rPr>
        <w:t xml:space="preserve"> of all these significant challenges, Barclays remains to be truly committed to the parts of transforming their financial operations and successfully position itself as a leader within the digital banking space. </w:t>
      </w:r>
    </w:p>
    <w:p w14:paraId="1B6118AF" w14:textId="77777777" w:rsidR="004A4A49" w:rsidRDefault="00000000">
      <w:pPr>
        <w:pStyle w:val="Titlu1"/>
        <w:spacing w:line="360" w:lineRule="auto"/>
        <w:jc w:val="both"/>
      </w:pPr>
      <w:bookmarkStart w:id="6" w:name="_Toc182071411"/>
      <w:r>
        <w:lastRenderedPageBreak/>
        <w:t>Analysis of the Recent History and External Environment</w:t>
      </w:r>
      <w:bookmarkEnd w:id="6"/>
    </w:p>
    <w:p w14:paraId="76FCA7D2" w14:textId="77777777" w:rsidR="004A4A49" w:rsidRDefault="00000000">
      <w:pPr>
        <w:pStyle w:val="Titlu2"/>
        <w:spacing w:line="360" w:lineRule="auto"/>
        <w:jc w:val="both"/>
      </w:pPr>
      <w:bookmarkStart w:id="7" w:name="_Toc182071412"/>
      <w:r>
        <w:t>Evaluation of the recent History of the Organisation</w:t>
      </w:r>
      <w:bookmarkEnd w:id="7"/>
    </w:p>
    <w:p w14:paraId="55BF109C"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Barclays has faced a rapidly changing financial environment that has been shaped by both external and internal factors in the recent years. One of the major changes has been the effect of digital disruption. Since both the fintech startups and the digital first banks have suitably emerged, the financial organisation like Barclays has had to adjust their business model along with adequately investing in the modes of advanced technological domain for remaining competitive within the financial landscape (</w:t>
      </w:r>
      <w:r>
        <w:rPr>
          <w:rFonts w:ascii="Times New Roman" w:eastAsia="Times New Roman" w:hAnsi="Times New Roman" w:cs="Times New Roman"/>
          <w:color w:val="222222"/>
          <w:sz w:val="24"/>
          <w:szCs w:val="24"/>
          <w:highlight w:val="white"/>
        </w:rPr>
        <w:t>Mohan, 2020)</w:t>
      </w:r>
      <w:r>
        <w:rPr>
          <w:rFonts w:ascii="Times New Roman" w:eastAsia="Times New Roman" w:hAnsi="Times New Roman" w:cs="Times New Roman"/>
          <w:sz w:val="24"/>
          <w:szCs w:val="24"/>
        </w:rPr>
        <w:t>. It has been observed that over the last five years, the bank has truly committed the substantial resources to the pathway of digital transformation having the prevalence of the initiatives like that of rapid improvement of their mobile banking app as well as the launching of new online banking features along with the profound integration of the artificial intelligence for the successive customers services (</w:t>
      </w:r>
      <w:r>
        <w:rPr>
          <w:rFonts w:ascii="Times New Roman" w:eastAsia="Times New Roman" w:hAnsi="Times New Roman" w:cs="Times New Roman"/>
          <w:color w:val="222222"/>
          <w:sz w:val="24"/>
          <w:szCs w:val="24"/>
          <w:highlight w:val="white"/>
        </w:rPr>
        <w:t>Klimenko, 2024)</w:t>
      </w:r>
      <w:r>
        <w:rPr>
          <w:rFonts w:ascii="Times New Roman" w:eastAsia="Times New Roman" w:hAnsi="Times New Roman" w:cs="Times New Roman"/>
          <w:sz w:val="24"/>
          <w:szCs w:val="24"/>
        </w:rPr>
        <w:t>. It can be acclaimed that all these efforts are intended for enhancing the customer experiences and streamlining the process of financial operations since the traditional banking methods have relatively been replaced by the portfolio of the effective digital solutions. Besides this, Barclays has faced major economic uncertainty mainly after the Brexit event. The bank had to profoundly navigate the challenges of a weakened pound and the corresponding changes in case of the consumer confidence level. With regard to this, Barclays implemented a cost-reduction initiative that comprises of the branch closures as well as the efforts regarding consolidations of their international operations. Barclays also made strategic decisions in terms of the exit of non-core markets thus refocusing on their profitable regions (</w:t>
      </w:r>
      <w:r>
        <w:rPr>
          <w:rFonts w:ascii="Times New Roman" w:eastAsia="Times New Roman" w:hAnsi="Times New Roman" w:cs="Times New Roman"/>
          <w:color w:val="222222"/>
          <w:sz w:val="24"/>
          <w:szCs w:val="24"/>
          <w:highlight w:val="white"/>
        </w:rPr>
        <w:t>Jones, 2021)</w:t>
      </w:r>
      <w:r>
        <w:rPr>
          <w:rFonts w:ascii="Times New Roman" w:eastAsia="Times New Roman" w:hAnsi="Times New Roman" w:cs="Times New Roman"/>
          <w:sz w:val="24"/>
          <w:szCs w:val="24"/>
        </w:rPr>
        <w:t xml:space="preserve">. The strategic change of the bank has ultimately been influenced by the regulatory changes that required substantial investment in both data security and compliance systems. Moreover, Barclays also embraced their sustainability goals and the relevant governance criteria. </w:t>
      </w:r>
    </w:p>
    <w:p w14:paraId="1DED0B1D" w14:textId="77777777" w:rsidR="004A4A49" w:rsidRDefault="00000000">
      <w:pPr>
        <w:pStyle w:val="Titlu2"/>
        <w:spacing w:line="360" w:lineRule="auto"/>
        <w:jc w:val="both"/>
      </w:pPr>
      <w:bookmarkStart w:id="8" w:name="_Toc182071413"/>
      <w:r>
        <w:t>Impact of External Environment Changes</w:t>
      </w:r>
      <w:bookmarkEnd w:id="8"/>
      <w:r>
        <w:t xml:space="preserve"> </w:t>
      </w:r>
    </w:p>
    <w:p w14:paraId="29D0143B" w14:textId="77777777" w:rsidR="004A4A49"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Political </w:t>
      </w:r>
    </w:p>
    <w:p w14:paraId="2EA4D3DB"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Brexit is one of the major impactful political changes for Barclays. The region of uncertainty surrounding the UK’s exit from the point of the European Union has successively created a range of volatility in the financial markets. This affects the confidence level of the consumers as well as their investment decisions (</w:t>
      </w:r>
      <w:r>
        <w:rPr>
          <w:rFonts w:ascii="Times New Roman" w:eastAsia="Times New Roman" w:hAnsi="Times New Roman" w:cs="Times New Roman"/>
          <w:color w:val="222222"/>
          <w:sz w:val="24"/>
          <w:szCs w:val="24"/>
          <w:highlight w:val="white"/>
        </w:rPr>
        <w:t>Riley, 2024)</w:t>
      </w:r>
      <w:r>
        <w:rPr>
          <w:rFonts w:ascii="Times New Roman" w:eastAsia="Times New Roman" w:hAnsi="Times New Roman" w:cs="Times New Roman"/>
          <w:sz w:val="24"/>
          <w:szCs w:val="24"/>
        </w:rPr>
        <w:t xml:space="preserve">. Barclays that is a UK-based global bank </w:t>
      </w:r>
      <w:r>
        <w:rPr>
          <w:rFonts w:ascii="Times New Roman" w:eastAsia="Times New Roman" w:hAnsi="Times New Roman" w:cs="Times New Roman"/>
          <w:sz w:val="24"/>
          <w:szCs w:val="24"/>
        </w:rPr>
        <w:lastRenderedPageBreak/>
        <w:t>need to adapt to the emergent changes in the regulatory frameworks including the potential shift in the trade agreements and access to the European markets. Not only this, the bank has taken certain steps for mitigating all these risk factors by shifting some of their financial operations to Europe thus ensuring satisfactory continued access to their EU market post-Brexit situations.</w:t>
      </w:r>
    </w:p>
    <w:p w14:paraId="046049C9" w14:textId="77777777" w:rsidR="004A4A49"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Economic</w:t>
      </w:r>
    </w:p>
    <w:p w14:paraId="7CFB5398"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situation of economic instability that has been driven by both Brexit and global market fluctuations has mainly impacted the financial strategy of Barclays. Both the changes in the interest rate and the inflation affecting the lending and borrowing cost of Barclays thus prompting their secure adjustments in case of the pricing models for both retail banking and mortgages. The current inflation rate in the UK is 3.4% in 2024 as compared to 3.9% in 2023 (</w:t>
      </w:r>
      <w:r>
        <w:rPr>
          <w:rFonts w:ascii="Times New Roman" w:eastAsia="Times New Roman" w:hAnsi="Times New Roman" w:cs="Times New Roman"/>
          <w:color w:val="222222"/>
          <w:sz w:val="24"/>
          <w:szCs w:val="24"/>
          <w:highlight w:val="white"/>
        </w:rPr>
        <w:t>Statista , 2024)</w:t>
      </w:r>
      <w:r>
        <w:rPr>
          <w:rFonts w:ascii="Times New Roman" w:eastAsia="Times New Roman" w:hAnsi="Times New Roman" w:cs="Times New Roman"/>
          <w:sz w:val="24"/>
          <w:szCs w:val="24"/>
        </w:rPr>
        <w:t xml:space="preserve">. This form of fluctuating inflation rate will affect the financial operation of Barclays. Besides this, the ongoing economic uncertainty has led to reduced the confidence level of the consumer thus influencing their overall financial decision making. </w:t>
      </w:r>
    </w:p>
    <w:p w14:paraId="50C2FB88" w14:textId="77777777" w:rsidR="004A4A49"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Social </w:t>
      </w:r>
    </w:p>
    <w:p w14:paraId="6338806C"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changing consumer expectations have forced Barclays to address the modes of digital innovation and the customer-centric services. The customers now have a greater urge for convenient, personalised and digital first banking experiences (</w:t>
      </w:r>
      <w:r>
        <w:rPr>
          <w:rFonts w:ascii="Times New Roman" w:eastAsia="Times New Roman" w:hAnsi="Times New Roman" w:cs="Times New Roman"/>
          <w:color w:val="222222"/>
          <w:sz w:val="24"/>
          <w:szCs w:val="24"/>
          <w:highlight w:val="white"/>
        </w:rPr>
        <w:t>Tahri, 2024)</w:t>
      </w:r>
      <w:r>
        <w:rPr>
          <w:rFonts w:ascii="Times New Roman" w:eastAsia="Times New Roman" w:hAnsi="Times New Roman" w:cs="Times New Roman"/>
          <w:sz w:val="24"/>
          <w:szCs w:val="24"/>
        </w:rPr>
        <w:t xml:space="preserve">. Besides this, the organisation has responded by upgrading their mobile banking platform along with offering more innovative solutions like that of AI-driven customer services. </w:t>
      </w:r>
    </w:p>
    <w:p w14:paraId="09A39E48" w14:textId="77777777" w:rsidR="004A4A49"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Technological</w:t>
      </w:r>
    </w:p>
    <w:p w14:paraId="64FBEAF9"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significant technological impacts on Barclays has been the emergence of digital disruptions. With the rise of fintech startups and the new technological frontiers like blockchain and mobile banking has challenged the traditional banking models in an effective manner (</w:t>
      </w:r>
      <w:proofErr w:type="spellStart"/>
      <w:r>
        <w:rPr>
          <w:rFonts w:ascii="Times New Roman" w:eastAsia="Times New Roman" w:hAnsi="Times New Roman" w:cs="Times New Roman"/>
          <w:color w:val="222222"/>
          <w:sz w:val="24"/>
          <w:szCs w:val="24"/>
          <w:highlight w:val="white"/>
        </w:rPr>
        <w:t>pwc</w:t>
      </w:r>
      <w:proofErr w:type="spellEnd"/>
      <w:r>
        <w:rPr>
          <w:rFonts w:ascii="Times New Roman" w:eastAsia="Times New Roman" w:hAnsi="Times New Roman" w:cs="Times New Roman"/>
          <w:color w:val="222222"/>
          <w:sz w:val="24"/>
          <w:szCs w:val="24"/>
          <w:highlight w:val="white"/>
        </w:rPr>
        <w:t>, 2024)</w:t>
      </w:r>
      <w:r>
        <w:rPr>
          <w:rFonts w:ascii="Times New Roman" w:eastAsia="Times New Roman" w:hAnsi="Times New Roman" w:cs="Times New Roman"/>
          <w:sz w:val="24"/>
          <w:szCs w:val="24"/>
        </w:rPr>
        <w:t>. With regard to this, Barclays has heavily invested in the digital infrastructure thus embracing both open banking initiatives as well as the partnerships with the fintech companies for ensuring the competitiveness within the market. Barclays also improves their cybersecurity measures for protecting their digital transactions.</w:t>
      </w:r>
    </w:p>
    <w:p w14:paraId="2F7242DA" w14:textId="77777777" w:rsidR="004A4A49"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Environmental Factors</w:t>
      </w:r>
    </w:p>
    <w:p w14:paraId="4D7B6A5B"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platform of environmental sustainability is another important factor of Barclays operations. The bank has committed to reduce their cartoon footprint and the corresponding </w:t>
      </w:r>
      <w:r>
        <w:rPr>
          <w:rFonts w:ascii="Times New Roman" w:eastAsia="Times New Roman" w:hAnsi="Times New Roman" w:cs="Times New Roman"/>
          <w:sz w:val="24"/>
          <w:szCs w:val="24"/>
        </w:rPr>
        <w:lastRenderedPageBreak/>
        <w:t>financial projects for supporting the green initiatives (</w:t>
      </w:r>
      <w:r>
        <w:rPr>
          <w:rFonts w:ascii="Times New Roman" w:eastAsia="Times New Roman" w:hAnsi="Times New Roman" w:cs="Times New Roman"/>
          <w:color w:val="222222"/>
          <w:sz w:val="24"/>
          <w:szCs w:val="24"/>
          <w:highlight w:val="white"/>
        </w:rPr>
        <w:t xml:space="preserve">Zhang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xml:space="preserve">. Barclays also responds to investors aligning with the ESG criteria. </w:t>
      </w:r>
    </w:p>
    <w:p w14:paraId="12ABF1A3" w14:textId="77777777" w:rsidR="004A4A49"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Legal Factors</w:t>
      </w:r>
    </w:p>
    <w:p w14:paraId="6961C61D"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Barclays need to make significant investments in both data protection along with ensuring that its systems heavily comply with the legal regulations (</w:t>
      </w:r>
      <w:r>
        <w:rPr>
          <w:rFonts w:ascii="Times New Roman" w:eastAsia="Times New Roman" w:hAnsi="Times New Roman" w:cs="Times New Roman"/>
          <w:color w:val="222222"/>
          <w:sz w:val="24"/>
          <w:szCs w:val="24"/>
          <w:highlight w:val="white"/>
        </w:rPr>
        <w:t>Barclays, 2024)</w:t>
      </w:r>
      <w:r>
        <w:rPr>
          <w:rFonts w:ascii="Times New Roman" w:eastAsia="Times New Roman" w:hAnsi="Times New Roman" w:cs="Times New Roman"/>
          <w:sz w:val="24"/>
          <w:szCs w:val="24"/>
        </w:rPr>
        <w:t xml:space="preserve">. Apart from this, the ongoing changes in financial regulations continue to impact the way Barclays conducts the business operations from the side of capital requirements to means of customer security. </w:t>
      </w:r>
    </w:p>
    <w:p w14:paraId="66FA46CF" w14:textId="77777777" w:rsidR="004A4A4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Digital Disruption</w:t>
      </w:r>
    </w:p>
    <w:p w14:paraId="2A7B7234"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modes of digital disruption has significantly impacted the financial operation of Barclays. With the rise of mobile banking and digital first competitors like that of Mono has forced Barclays for enhancing their digital offerings along with investing in innovative practices and improving the customer experiences (</w:t>
      </w:r>
      <w:proofErr w:type="spellStart"/>
      <w:r>
        <w:rPr>
          <w:rFonts w:ascii="Times New Roman" w:eastAsia="Times New Roman" w:hAnsi="Times New Roman" w:cs="Times New Roman"/>
          <w:color w:val="222222"/>
          <w:sz w:val="24"/>
          <w:szCs w:val="24"/>
          <w:highlight w:val="white"/>
        </w:rPr>
        <w:t>Thefinancialbrand</w:t>
      </w:r>
      <w:proofErr w:type="spellEnd"/>
      <w:r>
        <w:rPr>
          <w:rFonts w:ascii="Times New Roman" w:eastAsia="Times New Roman" w:hAnsi="Times New Roman" w:cs="Times New Roman"/>
          <w:color w:val="222222"/>
          <w:sz w:val="24"/>
          <w:szCs w:val="24"/>
          <w:highlight w:val="white"/>
        </w:rPr>
        <w:t>, 2024)</w:t>
      </w:r>
      <w:r>
        <w:rPr>
          <w:rFonts w:ascii="Times New Roman" w:eastAsia="Times New Roman" w:hAnsi="Times New Roman" w:cs="Times New Roman"/>
          <w:sz w:val="24"/>
          <w:szCs w:val="24"/>
        </w:rPr>
        <w:t xml:space="preserve">. Thus for remaining competitive Barclays has prioritised their digital transformation thus integrating the advanced technologies for securing personalised services. </w:t>
      </w:r>
    </w:p>
    <w:p w14:paraId="5CD90A28" w14:textId="77777777" w:rsidR="004A4A49" w:rsidRDefault="00000000">
      <w:pPr>
        <w:pStyle w:val="Titlu1"/>
        <w:spacing w:line="360" w:lineRule="auto"/>
        <w:jc w:val="both"/>
      </w:pPr>
      <w:bookmarkStart w:id="9" w:name="_Toc182071414"/>
      <w:r>
        <w:t>Change Management Models and Leadership Styles</w:t>
      </w:r>
      <w:bookmarkEnd w:id="9"/>
    </w:p>
    <w:p w14:paraId="0D67957F" w14:textId="77777777" w:rsidR="004A4A49" w:rsidRDefault="00000000">
      <w:pPr>
        <w:pStyle w:val="Titlu2"/>
        <w:spacing w:line="360" w:lineRule="auto"/>
        <w:jc w:val="both"/>
      </w:pPr>
      <w:bookmarkStart w:id="10" w:name="_Toc182071415"/>
      <w:r>
        <w:t>Overview of the Change Management Models</w:t>
      </w:r>
      <w:bookmarkEnd w:id="10"/>
    </w:p>
    <w:p w14:paraId="59DEF15E"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change management models usually provide a structured framework for the organisations to navigate the transitions in an effective manner. </w:t>
      </w:r>
    </w:p>
    <w:p w14:paraId="58DE80E2"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Lewin’s Change Management Model- </w:t>
      </w:r>
      <w:r>
        <w:rPr>
          <w:rFonts w:ascii="Times New Roman" w:eastAsia="Times New Roman" w:hAnsi="Times New Roman" w:cs="Times New Roman"/>
          <w:sz w:val="24"/>
          <w:szCs w:val="24"/>
        </w:rPr>
        <w:t>This model is generally based on the three stages namely unfreeze, change and refreeze (</w:t>
      </w:r>
      <w:proofErr w:type="spellStart"/>
      <w:r>
        <w:rPr>
          <w:rFonts w:ascii="Times New Roman" w:eastAsia="Times New Roman" w:hAnsi="Times New Roman" w:cs="Times New Roman"/>
          <w:color w:val="222222"/>
          <w:sz w:val="24"/>
          <w:szCs w:val="24"/>
          <w:highlight w:val="white"/>
        </w:rPr>
        <w:t>Bekmukhambetova</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This model mainly emphasises the requirement to break down the existing behaviours along with effectively establishing new practices in a secure manner. </w:t>
      </w:r>
    </w:p>
    <w:p w14:paraId="6B0340DB"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Kotter’s 8-Step Model-</w:t>
      </w:r>
      <w:r>
        <w:rPr>
          <w:rFonts w:ascii="Times New Roman" w:eastAsia="Times New Roman" w:hAnsi="Times New Roman" w:cs="Times New Roman"/>
          <w:sz w:val="24"/>
          <w:szCs w:val="24"/>
        </w:rPr>
        <w:t xml:space="preserve"> This particular model primarily outlines the eight steps that correspond to develop a sense of urgency thus forming powerful coalitions along with developing a vision for change and anchoring further new approaches in the respective organisations (</w:t>
      </w:r>
      <w:r>
        <w:rPr>
          <w:rFonts w:ascii="Times New Roman" w:eastAsia="Times New Roman" w:hAnsi="Times New Roman" w:cs="Times New Roman"/>
          <w:color w:val="222222"/>
          <w:sz w:val="24"/>
          <w:szCs w:val="24"/>
          <w:highlight w:val="white"/>
        </w:rPr>
        <w:t>Bedard, 2024)</w:t>
      </w:r>
      <w:r>
        <w:rPr>
          <w:rFonts w:ascii="Times New Roman" w:eastAsia="Times New Roman" w:hAnsi="Times New Roman" w:cs="Times New Roman"/>
          <w:sz w:val="24"/>
          <w:szCs w:val="24"/>
        </w:rPr>
        <w:t xml:space="preserve">. Besides this, it also emphasises both extents of leadership and communicating in case of driving the change streams. </w:t>
      </w:r>
    </w:p>
    <w:p w14:paraId="76DBFAD4" w14:textId="77777777" w:rsidR="004A4A49"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i/>
          <w:sz w:val="24"/>
          <w:szCs w:val="24"/>
        </w:rPr>
        <w:t>Mckinsey</w:t>
      </w:r>
      <w:proofErr w:type="spellEnd"/>
      <w:r>
        <w:rPr>
          <w:rFonts w:ascii="Times New Roman" w:eastAsia="Times New Roman" w:hAnsi="Times New Roman" w:cs="Times New Roman"/>
          <w:b/>
          <w:i/>
          <w:sz w:val="24"/>
          <w:szCs w:val="24"/>
        </w:rPr>
        <w:t xml:space="preserve"> 7-S Framework-</w:t>
      </w:r>
      <w:r>
        <w:rPr>
          <w:rFonts w:ascii="Times New Roman" w:eastAsia="Times New Roman" w:hAnsi="Times New Roman" w:cs="Times New Roman"/>
          <w:sz w:val="24"/>
          <w:szCs w:val="24"/>
        </w:rPr>
        <w:t xml:space="preserve"> This model basically addresses the seven interdependent elements. The interdependent elements align the Strategy, Structure, Systems, Shared Values and that of Skills, Style and Staff (</w:t>
      </w:r>
      <w:r>
        <w:rPr>
          <w:rFonts w:ascii="Times New Roman" w:eastAsia="Times New Roman" w:hAnsi="Times New Roman" w:cs="Times New Roman"/>
          <w:color w:val="222222"/>
          <w:sz w:val="24"/>
          <w:szCs w:val="24"/>
          <w:highlight w:val="white"/>
        </w:rPr>
        <w:t>Corporatefinanceinstitute, 2023)</w:t>
      </w:r>
      <w:r>
        <w:rPr>
          <w:rFonts w:ascii="Times New Roman" w:eastAsia="Times New Roman" w:hAnsi="Times New Roman" w:cs="Times New Roman"/>
          <w:sz w:val="24"/>
          <w:szCs w:val="24"/>
        </w:rPr>
        <w:t xml:space="preserve">. It further ensures the thorough alignment across all the areas of the organisation during the period of change processes. </w:t>
      </w:r>
    </w:p>
    <w:p w14:paraId="70329F28"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ADKAR Model-</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This particular model stands for Awareness, Desire, Knowledge, Ability and Reinforcement (</w:t>
      </w:r>
      <w:proofErr w:type="spellStart"/>
      <w:r>
        <w:rPr>
          <w:rFonts w:ascii="Times New Roman" w:eastAsia="Times New Roman" w:hAnsi="Times New Roman" w:cs="Times New Roman"/>
          <w:color w:val="222222"/>
          <w:sz w:val="24"/>
          <w:szCs w:val="24"/>
          <w:highlight w:val="white"/>
        </w:rPr>
        <w:t>Paramitha</w:t>
      </w:r>
      <w:proofErr w:type="spellEnd"/>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xml:space="preserve">. This model also enables the change at the individual level for ensuring that the employees adopt the new practices. </w:t>
      </w:r>
    </w:p>
    <w:p w14:paraId="6110C361" w14:textId="77777777" w:rsidR="004A4A49" w:rsidRDefault="00000000">
      <w:pPr>
        <w:pStyle w:val="Titlu2"/>
        <w:spacing w:line="360" w:lineRule="auto"/>
        <w:jc w:val="both"/>
      </w:pPr>
      <w:bookmarkStart w:id="11" w:name="_Toc182071416"/>
      <w:r>
        <w:t>Problems related to Strategic Change in the Organisation</w:t>
      </w:r>
      <w:bookmarkEnd w:id="11"/>
    </w:p>
    <w:p w14:paraId="5B245832"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Strategic changes can offer several challenges for the organisation like Barclays mainly in the context of the evolving financial landscape. </w:t>
      </w:r>
    </w:p>
    <w:p w14:paraId="1C586EF3"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Resistance to Change-</w:t>
      </w:r>
      <w:r>
        <w:rPr>
          <w:rFonts w:ascii="Times New Roman" w:eastAsia="Times New Roman" w:hAnsi="Times New Roman" w:cs="Times New Roman"/>
          <w:sz w:val="24"/>
          <w:szCs w:val="24"/>
        </w:rPr>
        <w:t xml:space="preserve"> The employees that are accustomed to the established ways of working may actually resist the new strategies mainly at times the change threatens the comfort job zones. Thus overcoming this form of resistance requires clear training and leadership commitments.</w:t>
      </w:r>
    </w:p>
    <w:p w14:paraId="07A532A1"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Suitable Alignment with the Organisational Goals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Any form of misalignment between the change initiative and the long-term vision of the company can derail the progress (</w:t>
      </w:r>
      <w:r>
        <w:rPr>
          <w:rFonts w:ascii="Times New Roman" w:eastAsia="Times New Roman" w:hAnsi="Times New Roman" w:cs="Times New Roman"/>
          <w:color w:val="222222"/>
          <w:sz w:val="24"/>
          <w:szCs w:val="24"/>
          <w:highlight w:val="white"/>
        </w:rPr>
        <w:t>Carreño</w:t>
      </w:r>
      <w:r>
        <w:rPr>
          <w:rFonts w:ascii="Times New Roman" w:eastAsia="Times New Roman" w:hAnsi="Times New Roman" w:cs="Times New Roman"/>
          <w:sz w:val="24"/>
          <w:szCs w:val="24"/>
        </w:rPr>
        <w:t xml:space="preserve">, 2024). If the strategic goals are not suitably communicated the initiative may lack the relevant support from the key stakeholders. </w:t>
      </w:r>
    </w:p>
    <w:p w14:paraId="6793EF80"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Resource Allocation-</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The Strategic changes often require significant resources that include the relative investments in technology and training. Insufficient resources can obstruct the implementation of the strategic changes. </w:t>
      </w:r>
    </w:p>
    <w:p w14:paraId="3157F75D"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Cultural Barriers-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organisational culture may not often support the change mainly in the context of the risk-averse environment (</w:t>
      </w:r>
      <w:r>
        <w:rPr>
          <w:rFonts w:ascii="Times New Roman" w:eastAsia="Times New Roman" w:hAnsi="Times New Roman" w:cs="Times New Roman"/>
          <w:color w:val="222222"/>
          <w:sz w:val="24"/>
          <w:szCs w:val="24"/>
          <w:highlight w:val="white"/>
        </w:rPr>
        <w:t>Harris, 2021)</w:t>
      </w:r>
      <w:r>
        <w:rPr>
          <w:rFonts w:ascii="Times New Roman" w:eastAsia="Times New Roman" w:hAnsi="Times New Roman" w:cs="Times New Roman"/>
          <w:sz w:val="24"/>
          <w:szCs w:val="24"/>
        </w:rPr>
        <w:t xml:space="preserve">. Thus a lack of cultural readiness for change can possibly impede the smooth form of transition. </w:t>
      </w:r>
    </w:p>
    <w:p w14:paraId="16B979EA" w14:textId="77777777" w:rsidR="004A4A49" w:rsidRDefault="00000000">
      <w:pPr>
        <w:pStyle w:val="Titlu2"/>
        <w:spacing w:line="360" w:lineRule="auto"/>
        <w:jc w:val="both"/>
      </w:pPr>
      <w:bookmarkStart w:id="12" w:name="_Toc182071417"/>
      <w:r>
        <w:t>Leadership styles in the change process</w:t>
      </w:r>
      <w:bookmarkEnd w:id="12"/>
    </w:p>
    <w:p w14:paraId="6486B24A"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leadership change has been quite effective in navigating the industry shifts and the digital transformation at Barclays. Not only this, the bank has employed a blend of leadership styles for managing the changes in an effective manner.</w:t>
      </w:r>
    </w:p>
    <w:p w14:paraId="1E72A823"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Transformational Leadership-</w:t>
      </w:r>
      <w:r>
        <w:rPr>
          <w:rFonts w:ascii="Times New Roman" w:eastAsia="Times New Roman" w:hAnsi="Times New Roman" w:cs="Times New Roman"/>
          <w:sz w:val="24"/>
          <w:szCs w:val="24"/>
        </w:rPr>
        <w:t xml:space="preserve"> The leadership of Barclays has embraced transformational leadership mainly during the time of digital transformation. The CEO of Barclays, Jes Staley has driven the vision of emerging to be a more agile and technology-driven bank (</w:t>
      </w:r>
      <w:proofErr w:type="spellStart"/>
      <w:r>
        <w:rPr>
          <w:rFonts w:ascii="Times New Roman" w:eastAsia="Times New Roman" w:hAnsi="Times New Roman" w:cs="Times New Roman"/>
          <w:color w:val="222222"/>
          <w:sz w:val="24"/>
          <w:szCs w:val="24"/>
          <w:highlight w:val="white"/>
        </w:rPr>
        <w:t>Livemint</w:t>
      </w:r>
      <w:proofErr w:type="spellEnd"/>
      <w:r>
        <w:rPr>
          <w:rFonts w:ascii="Times New Roman" w:eastAsia="Times New Roman" w:hAnsi="Times New Roman" w:cs="Times New Roman"/>
          <w:color w:val="222222"/>
          <w:sz w:val="24"/>
          <w:szCs w:val="24"/>
          <w:highlight w:val="white"/>
        </w:rPr>
        <w:t xml:space="preserve"> , 2023)</w:t>
      </w:r>
      <w:r>
        <w:rPr>
          <w:rFonts w:ascii="Times New Roman" w:eastAsia="Times New Roman" w:hAnsi="Times New Roman" w:cs="Times New Roman"/>
          <w:sz w:val="24"/>
          <w:szCs w:val="24"/>
        </w:rPr>
        <w:t xml:space="preserve">. Thus by creating a compelling vision for the future, transformational leadership has been key in rallying the employees in terms of the strategic goals. </w:t>
      </w:r>
    </w:p>
    <w:p w14:paraId="2FA905BB"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Transactional Leadership-</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For maintaining the operational stability mainly during times of financial uncertainty, Barclays need to apply the transactional leadership (</w:t>
      </w:r>
      <w:r>
        <w:rPr>
          <w:rFonts w:ascii="Times New Roman" w:eastAsia="Times New Roman" w:hAnsi="Times New Roman" w:cs="Times New Roman"/>
          <w:color w:val="222222"/>
          <w:sz w:val="24"/>
          <w:szCs w:val="24"/>
          <w:highlight w:val="white"/>
        </w:rPr>
        <w:t xml:space="preserve">Khairy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This approach ensures the form of clear structure and performance metrics that are quite essential for the purpose of regulatory adherences. </w:t>
      </w:r>
    </w:p>
    <w:p w14:paraId="024DA78F" w14:textId="77777777" w:rsidR="004A4A49" w:rsidRDefault="00000000">
      <w:pPr>
        <w:spacing w:line="360" w:lineRule="auto"/>
        <w:jc w:val="both"/>
      </w:pPr>
      <w:r>
        <w:rPr>
          <w:rFonts w:ascii="Times New Roman" w:eastAsia="Times New Roman" w:hAnsi="Times New Roman" w:cs="Times New Roman"/>
          <w:b/>
          <w:i/>
          <w:sz w:val="24"/>
          <w:szCs w:val="24"/>
        </w:rPr>
        <w:t>Servant Leadership-</w:t>
      </w:r>
      <w:r>
        <w:rPr>
          <w:rFonts w:ascii="Times New Roman" w:eastAsia="Times New Roman" w:hAnsi="Times New Roman" w:cs="Times New Roman"/>
          <w:sz w:val="24"/>
          <w:szCs w:val="24"/>
        </w:rPr>
        <w:t xml:space="preserve"> Barclays has successfully incorporated the servant leadership thus addressing on the level of employee engagement and relative support during the time of transitions (</w:t>
      </w:r>
      <w:r>
        <w:rPr>
          <w:rFonts w:ascii="Times New Roman" w:eastAsia="Times New Roman" w:hAnsi="Times New Roman" w:cs="Times New Roman"/>
          <w:color w:val="222222"/>
          <w:sz w:val="24"/>
          <w:szCs w:val="24"/>
          <w:highlight w:val="white"/>
        </w:rPr>
        <w:t>Barclays, 2024)</w:t>
      </w:r>
      <w:r>
        <w:rPr>
          <w:rFonts w:ascii="Times New Roman" w:eastAsia="Times New Roman" w:hAnsi="Times New Roman" w:cs="Times New Roman"/>
          <w:sz w:val="24"/>
          <w:szCs w:val="24"/>
        </w:rPr>
        <w:t xml:space="preserve">. Leaders need to actively collaborate during the change initiatives. </w:t>
      </w:r>
      <w:r>
        <w:br w:type="page"/>
      </w:r>
    </w:p>
    <w:p w14:paraId="7821DD81" w14:textId="77777777" w:rsidR="004A4A49" w:rsidRDefault="00000000">
      <w:pPr>
        <w:pStyle w:val="Titlu1"/>
        <w:spacing w:line="360" w:lineRule="auto"/>
        <w:jc w:val="both"/>
      </w:pPr>
      <w:bookmarkStart w:id="13" w:name="_Toc182071418"/>
      <w:r>
        <w:lastRenderedPageBreak/>
        <w:t>Impact of Organisational Culture on Change Management</w:t>
      </w:r>
      <w:bookmarkEnd w:id="13"/>
    </w:p>
    <w:p w14:paraId="463BA5C9" w14:textId="77777777" w:rsidR="004A4A49" w:rsidRDefault="00000000">
      <w:pPr>
        <w:pStyle w:val="Titlu2"/>
        <w:spacing w:line="360" w:lineRule="auto"/>
        <w:jc w:val="both"/>
      </w:pPr>
      <w:bookmarkStart w:id="14" w:name="_Toc182071419"/>
      <w:r>
        <w:t>Overview of the Organisational Culture</w:t>
      </w:r>
      <w:bookmarkEnd w:id="14"/>
      <w:r>
        <w:t xml:space="preserve"> </w:t>
      </w:r>
    </w:p>
    <w:p w14:paraId="7953ED9A" w14:textId="77777777" w:rsidR="004A4A49" w:rsidRDefault="00000000">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Barclay is one of the major banks in the UK. The bank follows a mixed organisational culture that blends different factors like performance-driven culture with emphasis on innovation, ethics, customer-centric services and hierarchical culture. Here are the major characteristics of the Barclay organisational culture.</w:t>
      </w:r>
    </w:p>
    <w:p w14:paraId="23CF2821" w14:textId="77777777" w:rsidR="004A4A49" w:rsidRDefault="00000000">
      <w:pPr>
        <w:spacing w:line="360" w:lineRule="auto"/>
        <w:jc w:val="both"/>
        <w:rPr>
          <w:rFonts w:ascii="Times New Roman" w:eastAsia="Times New Roman" w:hAnsi="Times New Roman" w:cs="Times New Roman"/>
          <w:b/>
          <w:color w:val="0E101A"/>
          <w:sz w:val="24"/>
          <w:szCs w:val="24"/>
          <w:highlight w:val="white"/>
        </w:rPr>
      </w:pPr>
      <w:r>
        <w:rPr>
          <w:rFonts w:ascii="Times New Roman" w:eastAsia="Times New Roman" w:hAnsi="Times New Roman" w:cs="Times New Roman"/>
          <w:b/>
          <w:color w:val="0E101A"/>
          <w:sz w:val="24"/>
          <w:szCs w:val="24"/>
          <w:highlight w:val="white"/>
        </w:rPr>
        <w:t>Hierarchy Culture</w:t>
      </w:r>
    </w:p>
    <w:p w14:paraId="5D434524" w14:textId="77777777" w:rsidR="004A4A49" w:rsidRDefault="00000000">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Matrix organisation, in which multiple business divisions are dispersed over multiple regions. Barclays is organised at the highest level into three main business segments investment banking, corporate banking, and personal banking (Barclays, 2024). Cathal Deasy and Taylor Wright will continue to serve as co-heads of banking, while Stephen Dainton was appointed president of Barclays Bank PLC and head of investment bank management. Adeel Khan was made the sole head of global markets.</w:t>
      </w:r>
    </w:p>
    <w:p w14:paraId="78C05708"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7D06D78" wp14:editId="72047CBE">
            <wp:extent cx="5731200" cy="4191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4191000"/>
                    </a:xfrm>
                    <a:prstGeom prst="rect">
                      <a:avLst/>
                    </a:prstGeom>
                    <a:ln/>
                  </pic:spPr>
                </pic:pic>
              </a:graphicData>
            </a:graphic>
          </wp:inline>
        </w:drawing>
      </w:r>
    </w:p>
    <w:p w14:paraId="05D7CFC3" w14:textId="77777777" w:rsidR="004A4A49"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Organisational structure of Barclay</w:t>
      </w:r>
    </w:p>
    <w:p w14:paraId="434A1713" w14:textId="77777777" w:rsidR="004A4A49"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0E101A"/>
          <w:sz w:val="24"/>
          <w:szCs w:val="24"/>
          <w:highlight w:val="white"/>
        </w:rPr>
        <w:t>(Barclays, 2024)</w:t>
      </w:r>
    </w:p>
    <w:p w14:paraId="0C640654" w14:textId="77777777" w:rsidR="004A4A49" w:rsidRDefault="00000000">
      <w:pPr>
        <w:spacing w:line="360" w:lineRule="auto"/>
        <w:jc w:val="both"/>
        <w:rPr>
          <w:rFonts w:ascii="Times New Roman" w:eastAsia="Times New Roman" w:hAnsi="Times New Roman" w:cs="Times New Roman"/>
          <w:b/>
          <w:color w:val="0E101A"/>
          <w:sz w:val="24"/>
          <w:szCs w:val="24"/>
          <w:highlight w:val="white"/>
        </w:rPr>
      </w:pPr>
      <w:r>
        <w:rPr>
          <w:rFonts w:ascii="Times New Roman" w:eastAsia="Times New Roman" w:hAnsi="Times New Roman" w:cs="Times New Roman"/>
          <w:b/>
          <w:color w:val="0E101A"/>
          <w:sz w:val="24"/>
          <w:szCs w:val="24"/>
          <w:highlight w:val="white"/>
        </w:rPr>
        <w:lastRenderedPageBreak/>
        <w:t>Customers and innovations</w:t>
      </w:r>
    </w:p>
    <w:p w14:paraId="7453707F" w14:textId="77777777" w:rsidR="004A4A49" w:rsidRDefault="00000000">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The Barclays Swift their cultural approaches towards customer-centric operation. It helps to deliver higher quality of the digital and innovative service of the customer's range sin across the globe. It leads to increased customer satisfaction and personal finance. Barclay Bank invests in advanced technology and innovations to improve the experience among customers and stay competitive in the financial marketplace. Barclay iPortal allows easy access to online corporate banking (The Barclays Way, 2023). The manager of Barclay provides merchant service, fins investments and many more activities. Barclay has online baking and a Barclay app to check balances and transform money as well as help to manage direct di and standing orders.</w:t>
      </w:r>
    </w:p>
    <w:p w14:paraId="400FA9E1" w14:textId="77777777" w:rsidR="004A4A49" w:rsidRDefault="00000000">
      <w:pPr>
        <w:spacing w:line="360" w:lineRule="auto"/>
        <w:jc w:val="both"/>
        <w:rPr>
          <w:rFonts w:ascii="Times New Roman" w:eastAsia="Times New Roman" w:hAnsi="Times New Roman" w:cs="Times New Roman"/>
          <w:b/>
          <w:color w:val="0E101A"/>
          <w:sz w:val="24"/>
          <w:szCs w:val="24"/>
          <w:highlight w:val="white"/>
        </w:rPr>
      </w:pPr>
      <w:r>
        <w:rPr>
          <w:rFonts w:ascii="Times New Roman" w:eastAsia="Times New Roman" w:hAnsi="Times New Roman" w:cs="Times New Roman"/>
          <w:b/>
          <w:color w:val="0E101A"/>
          <w:sz w:val="24"/>
          <w:szCs w:val="24"/>
          <w:highlight w:val="white"/>
        </w:rPr>
        <w:t>Ethical policies in Barclay</w:t>
      </w:r>
    </w:p>
    <w:p w14:paraId="33F4EC63" w14:textId="77777777" w:rsidR="004A4A49" w:rsidRDefault="00000000">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Barclay faced different regulatory challenges for the organisation to develop strong policies on ethical conduct and compliance with financial regulations.  Barclay values and respects employees staff and customers who are from different backgrounds. They promote a diverse and inclusive working culture (Barclays, 2024). Barclay will not tolerate harassment, bullying, or discrimination of any employees customers, clients, suppliers, contractors and visitors with their office premises. </w:t>
      </w:r>
    </w:p>
    <w:p w14:paraId="561D6F06" w14:textId="77777777" w:rsidR="004A4A49" w:rsidRDefault="00000000">
      <w:pPr>
        <w:spacing w:line="360" w:lineRule="auto"/>
        <w:jc w:val="both"/>
        <w:rPr>
          <w:rFonts w:ascii="Times New Roman" w:eastAsia="Times New Roman" w:hAnsi="Times New Roman" w:cs="Times New Roman"/>
          <w:b/>
          <w:color w:val="0E101A"/>
          <w:sz w:val="24"/>
          <w:szCs w:val="24"/>
          <w:highlight w:val="white"/>
        </w:rPr>
      </w:pPr>
      <w:r>
        <w:rPr>
          <w:rFonts w:ascii="Times New Roman" w:eastAsia="Times New Roman" w:hAnsi="Times New Roman" w:cs="Times New Roman"/>
          <w:b/>
          <w:color w:val="0E101A"/>
          <w:sz w:val="24"/>
          <w:szCs w:val="24"/>
          <w:highlight w:val="white"/>
        </w:rPr>
        <w:t>Performance driven culture</w:t>
      </w:r>
    </w:p>
    <w:p w14:paraId="423929F2" w14:textId="77777777" w:rsidR="004A4A49" w:rsidRDefault="00000000">
      <w:pPr>
        <w:spacing w:line="360" w:lineRule="auto"/>
        <w:jc w:val="both"/>
      </w:pPr>
      <w:r>
        <w:rPr>
          <w:rFonts w:ascii="Times New Roman" w:eastAsia="Times New Roman" w:hAnsi="Times New Roman" w:cs="Times New Roman"/>
          <w:color w:val="0E101A"/>
          <w:sz w:val="24"/>
          <w:szCs w:val="24"/>
          <w:highlight w:val="white"/>
        </w:rPr>
        <w:t xml:space="preserve">Barclay has a strong focus on employee performance and results. The organisation encourages their employees to meet ambitious goals. This bank offers incentives regarding high performance, provides career growth opportunities, and compensation and promotes performance-oriented rewards. The organisation for a culture of excellence that helps to meet targets among the employees (Barclay, 2023). The procedures encourage efficiency, and innovations and maintain competitiveness in the financial industry. Barclay access to evaluation of the performances through Net promoter score, lending volume, digital engagements, compliments performances, consumers indicator etc. It impacts on customers and society. </w:t>
      </w:r>
    </w:p>
    <w:p w14:paraId="260B10EB" w14:textId="77777777" w:rsidR="004A4A49" w:rsidRDefault="00000000">
      <w:pPr>
        <w:pStyle w:val="Titlu2"/>
        <w:spacing w:line="360" w:lineRule="auto"/>
        <w:jc w:val="both"/>
      </w:pPr>
      <w:bookmarkStart w:id="15" w:name="_Toc182071420"/>
      <w:r>
        <w:t>Cultural Influence on Change process</w:t>
      </w:r>
      <w:bookmarkEnd w:id="15"/>
      <w:r>
        <w:t xml:space="preserve"> </w:t>
      </w:r>
    </w:p>
    <w:p w14:paraId="1194BF58" w14:textId="77777777" w:rsidR="004A4A49" w:rsidRDefault="00000000">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Cultural influences impact the changes in the banking sector in several ways.</w:t>
      </w:r>
    </w:p>
    <w:p w14:paraId="127D60BF" w14:textId="77777777" w:rsidR="004A4A49" w:rsidRDefault="00000000">
      <w:pPr>
        <w:spacing w:line="360" w:lineRule="auto"/>
        <w:jc w:val="both"/>
        <w:rPr>
          <w:rFonts w:ascii="Times New Roman" w:eastAsia="Times New Roman" w:hAnsi="Times New Roman" w:cs="Times New Roman"/>
          <w:b/>
          <w:color w:val="0E101A"/>
          <w:sz w:val="24"/>
          <w:szCs w:val="24"/>
          <w:highlight w:val="white"/>
        </w:rPr>
      </w:pPr>
      <w:r>
        <w:rPr>
          <w:rFonts w:ascii="Times New Roman" w:eastAsia="Times New Roman" w:hAnsi="Times New Roman" w:cs="Times New Roman"/>
          <w:b/>
          <w:color w:val="0E101A"/>
          <w:sz w:val="24"/>
          <w:szCs w:val="24"/>
          <w:highlight w:val="white"/>
        </w:rPr>
        <w:t>The transformation programme in Barclay</w:t>
      </w:r>
    </w:p>
    <w:p w14:paraId="6EF547B1" w14:textId="77777777" w:rsidR="004A4A49" w:rsidRDefault="00000000">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The changing culture in Barclay helps to restore trust among ethical customers through a transformation programme. The promotional videos, integrity, stewardship, trust, integrity, and </w:t>
      </w:r>
      <w:r>
        <w:rPr>
          <w:rFonts w:ascii="Times New Roman" w:eastAsia="Times New Roman" w:hAnsi="Times New Roman" w:cs="Times New Roman"/>
          <w:color w:val="0E101A"/>
          <w:sz w:val="24"/>
          <w:szCs w:val="24"/>
          <w:highlight w:val="white"/>
        </w:rPr>
        <w:lastRenderedPageBreak/>
        <w:t xml:space="preserve">emotional conventions emphasise sustainability. </w:t>
      </w:r>
      <w:proofErr w:type="spellStart"/>
      <w:r>
        <w:rPr>
          <w:rFonts w:ascii="Times New Roman" w:eastAsia="Times New Roman" w:hAnsi="Times New Roman" w:cs="Times New Roman"/>
          <w:color w:val="0E101A"/>
          <w:sz w:val="24"/>
          <w:szCs w:val="24"/>
          <w:highlight w:val="white"/>
        </w:rPr>
        <w:t>Trnaforationsla</w:t>
      </w:r>
      <w:proofErr w:type="spellEnd"/>
      <w:r>
        <w:rPr>
          <w:rFonts w:ascii="Times New Roman" w:eastAsia="Times New Roman" w:hAnsi="Times New Roman" w:cs="Times New Roman"/>
          <w:color w:val="0E101A"/>
          <w:sz w:val="24"/>
          <w:szCs w:val="24"/>
          <w:highlight w:val="white"/>
        </w:rPr>
        <w:t xml:space="preserve"> programme meets the financial targets. The Barclays renovate their corporations. It improves the corporate greenwashing strategies for that organisation to spend more efforts on sustainability to improve the brand image. It helps to bite against commercial reality and human reality. Employees of the Barclay training on the nervous and values. The banking executives join the financial industry to become more prosperous (Greenham, 2024). Transformations programme change company culture. As well as Because Barclays has not cut the salary of its investment bankers and senior managers, you can be sure that the staff at the branches will be listening as well. Shareholders will get maximum profits that helps to earn a sufficient return on capital and leads to delivering better social and environmental outcomes.</w:t>
      </w:r>
    </w:p>
    <w:p w14:paraId="52CC3601" w14:textId="77777777" w:rsidR="004A4A49" w:rsidRDefault="00000000">
      <w:pPr>
        <w:spacing w:line="360" w:lineRule="auto"/>
        <w:jc w:val="both"/>
        <w:rPr>
          <w:rFonts w:ascii="Times New Roman" w:eastAsia="Times New Roman" w:hAnsi="Times New Roman" w:cs="Times New Roman"/>
          <w:b/>
          <w:color w:val="0E101A"/>
          <w:sz w:val="24"/>
          <w:szCs w:val="24"/>
          <w:highlight w:val="white"/>
        </w:rPr>
      </w:pPr>
      <w:r>
        <w:rPr>
          <w:rFonts w:ascii="Times New Roman" w:eastAsia="Times New Roman" w:hAnsi="Times New Roman" w:cs="Times New Roman"/>
          <w:b/>
          <w:color w:val="0E101A"/>
          <w:sz w:val="24"/>
          <w:szCs w:val="24"/>
          <w:highlight w:val="white"/>
        </w:rPr>
        <w:t>Culture of innovations</w:t>
      </w:r>
    </w:p>
    <w:p w14:paraId="7F40A2FF" w14:textId="77777777" w:rsidR="004A4A49" w:rsidRDefault="00000000">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Barclay encourages staff members to come up with original ideas. Barclays supported the initial tech disruptors and has been the first to introduce technologies and services that have transformed the industry over the last few decades (Barclays, 2023). To improve decision-making, Barclays has been experimenting with practical applications of quantum computing and integrating state-of-the-art technologies like artificial intelligence (AI) and machine learning. To bring innovation to the banking sector and financial services generally, we also work with one of the largest fintech ecosystems in the world.  </w:t>
      </w:r>
    </w:p>
    <w:p w14:paraId="6DB9FA48" w14:textId="77777777" w:rsidR="004A4A49" w:rsidRDefault="00000000">
      <w:pPr>
        <w:spacing w:line="360" w:lineRule="auto"/>
        <w:jc w:val="both"/>
        <w:rPr>
          <w:rFonts w:ascii="Times New Roman" w:eastAsia="Times New Roman" w:hAnsi="Times New Roman" w:cs="Times New Roman"/>
          <w:b/>
          <w:color w:val="0E101A"/>
          <w:sz w:val="24"/>
          <w:szCs w:val="24"/>
          <w:highlight w:val="white"/>
        </w:rPr>
      </w:pPr>
      <w:r>
        <w:rPr>
          <w:rFonts w:ascii="Times New Roman" w:eastAsia="Times New Roman" w:hAnsi="Times New Roman" w:cs="Times New Roman"/>
          <w:b/>
          <w:color w:val="0E101A"/>
          <w:sz w:val="24"/>
          <w:szCs w:val="24"/>
          <w:highlight w:val="white"/>
        </w:rPr>
        <w:t>Multicultural working forces</w:t>
      </w:r>
    </w:p>
    <w:p w14:paraId="12C3A0DB" w14:textId="77777777" w:rsidR="004A4A49" w:rsidRDefault="00000000">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Barclay is the development the multicultural working forces through engaging the top talent regardless the race, or religion. Cast, crude. It leads to driving equity across the community where employees work and live. An inclusive working culture increases opportunity and represents faith, nationality and ethnicity. The reinforcement strategies build zero tolerance strategies on gender and race-oriented discrimination and drive equity across the community and workers. Barclays reduces pay gaps for colleagues who come from black, Asian and multiracial ethnic groups (Barclays, 2020). The organisation became more transparent regarding its accountability. According to the report of Barclays 2023, 5.1%  and 21%employees from other ethnicities work in the UK and the US. </w:t>
      </w:r>
    </w:p>
    <w:p w14:paraId="75FEBF68" w14:textId="77777777" w:rsidR="004A4A49" w:rsidRDefault="00000000">
      <w:pPr>
        <w:spacing w:line="360" w:lineRule="auto"/>
        <w:jc w:val="both"/>
        <w:rPr>
          <w:rFonts w:ascii="Times New Roman" w:eastAsia="Times New Roman" w:hAnsi="Times New Roman" w:cs="Times New Roman"/>
          <w:b/>
          <w:color w:val="0E101A"/>
          <w:sz w:val="24"/>
          <w:szCs w:val="24"/>
          <w:highlight w:val="white"/>
        </w:rPr>
      </w:pPr>
      <w:r>
        <w:rPr>
          <w:rFonts w:ascii="Times New Roman" w:eastAsia="Times New Roman" w:hAnsi="Times New Roman" w:cs="Times New Roman"/>
          <w:b/>
          <w:color w:val="0E101A"/>
          <w:sz w:val="24"/>
          <w:szCs w:val="24"/>
          <w:highlight w:val="white"/>
        </w:rPr>
        <w:t>Inclusion, diversity and equality in Barclay</w:t>
      </w:r>
    </w:p>
    <w:p w14:paraId="4901EE6B" w14:textId="77777777" w:rsidR="004A4A49" w:rsidRDefault="00000000">
      <w:pPr>
        <w:spacing w:line="360" w:lineRule="auto"/>
        <w:jc w:val="both"/>
      </w:pPr>
      <w:r>
        <w:rPr>
          <w:rFonts w:ascii="Times New Roman" w:eastAsia="Times New Roman" w:hAnsi="Times New Roman" w:cs="Times New Roman"/>
          <w:color w:val="0E101A"/>
          <w:sz w:val="24"/>
          <w:szCs w:val="24"/>
          <w:highlight w:val="white"/>
        </w:rPr>
        <w:t xml:space="preserve">Barclay will develop the inclusive, equitable and diverse cultural background to cataracts and retain the best talents, and develop huge performance teams. It aims to promote better services </w:t>
      </w:r>
      <w:r>
        <w:rPr>
          <w:rFonts w:ascii="Times New Roman" w:eastAsia="Times New Roman" w:hAnsi="Times New Roman" w:cs="Times New Roman"/>
          <w:color w:val="0E101A"/>
          <w:sz w:val="24"/>
          <w:szCs w:val="24"/>
          <w:highlight w:val="white"/>
        </w:rPr>
        <w:lastRenderedPageBreak/>
        <w:t xml:space="preserve">among TEG customers across the globe. It will meet the demands and expectations of the shareholders, stakeholders and regulators. Their back strengthens their working forces with different backgrounds and perspectives and experienced colleges (Barclays, 2022). The prof the </w:t>
      </w:r>
      <w:proofErr w:type="spellStart"/>
      <w:r>
        <w:rPr>
          <w:rFonts w:ascii="Times New Roman" w:eastAsia="Times New Roman" w:hAnsi="Times New Roman" w:cs="Times New Roman"/>
          <w:color w:val="0E101A"/>
          <w:sz w:val="24"/>
          <w:szCs w:val="24"/>
          <w:highlight w:val="white"/>
        </w:rPr>
        <w:t>nacks</w:t>
      </w:r>
      <w:proofErr w:type="spellEnd"/>
      <w:r>
        <w:rPr>
          <w:rFonts w:ascii="Times New Roman" w:eastAsia="Times New Roman" w:hAnsi="Times New Roman" w:cs="Times New Roman"/>
          <w:color w:val="0E101A"/>
          <w:sz w:val="24"/>
          <w:szCs w:val="24"/>
          <w:highlight w:val="white"/>
        </w:rPr>
        <w:t xml:space="preserve"> to promote transparent actions to achieve vision, hold their accounts and engineer leads, and stakeholders outside of the organisations. It will develop outstanding experiences and a friendly environment for their working forces. Leadership accountability, optimisation of e external relations and accountability guiding principles of the engine among the leaders, employees and customers. </w:t>
      </w:r>
    </w:p>
    <w:p w14:paraId="6A245F9A" w14:textId="77777777" w:rsidR="004A4A49" w:rsidRDefault="00000000">
      <w:pPr>
        <w:pStyle w:val="Titlu2"/>
        <w:spacing w:line="360" w:lineRule="auto"/>
        <w:jc w:val="both"/>
      </w:pPr>
      <w:bookmarkStart w:id="16" w:name="_Toc182071421"/>
      <w:r>
        <w:t>Cultural Challenges</w:t>
      </w:r>
      <w:bookmarkEnd w:id="16"/>
    </w:p>
    <w:p w14:paraId="107483E5" w14:textId="77777777" w:rsidR="004A4A49" w:rsidRDefault="00000000">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The baking industry went through barriers to innovation and changes as perceived by senior management. The banking industry faced a shift as innovation enabled new banking services and developed new ways of the customer's requirements. Banks strive to incorporate innovation and change systems. Therefore the backing activities face different obstacles. The high bureaucracy, lack of communications, lack of employee involvement, middle manager resistance and risk aversion a major barriers to changes and innovations (</w:t>
      </w:r>
      <w:proofErr w:type="spellStart"/>
      <w:r>
        <w:rPr>
          <w:rFonts w:ascii="Times New Roman" w:eastAsia="Times New Roman" w:hAnsi="Times New Roman" w:cs="Times New Roman"/>
          <w:color w:val="0E101A"/>
          <w:sz w:val="24"/>
          <w:szCs w:val="24"/>
          <w:highlight w:val="white"/>
        </w:rPr>
        <w:t>Alshwayat</w:t>
      </w:r>
      <w:proofErr w:type="spellEnd"/>
      <w:r>
        <w:rPr>
          <w:rFonts w:ascii="Times New Roman" w:eastAsia="Times New Roman" w:hAnsi="Times New Roman" w:cs="Times New Roman"/>
          <w:color w:val="0E101A"/>
          <w:sz w:val="24"/>
          <w:szCs w:val="24"/>
          <w:highlight w:val="white"/>
        </w:rPr>
        <w:t xml:space="preserve"> </w:t>
      </w:r>
      <w:r>
        <w:rPr>
          <w:rFonts w:ascii="Times New Roman" w:eastAsia="Times New Roman" w:hAnsi="Times New Roman" w:cs="Times New Roman"/>
          <w:i/>
          <w:color w:val="0E101A"/>
          <w:sz w:val="24"/>
          <w:szCs w:val="24"/>
          <w:highlight w:val="white"/>
        </w:rPr>
        <w:t xml:space="preserve">et al., </w:t>
      </w:r>
      <w:r>
        <w:rPr>
          <w:rFonts w:ascii="Times New Roman" w:eastAsia="Times New Roman" w:hAnsi="Times New Roman" w:cs="Times New Roman"/>
          <w:color w:val="0E101A"/>
          <w:sz w:val="24"/>
          <w:szCs w:val="24"/>
          <w:highlight w:val="white"/>
        </w:rPr>
        <w:t>2023). This innovation and change causes operational barriers due to the lack of digital efficiency among bankers. After the situation of the pandemic, the banking industry invested in online banking services. Thus the organisation faces challenges due to the changing demands of customers and globalisation, Innovation strategies are viewed as critical methods for the organisation to create a differential from rivals and its essential products for financial stability.</w:t>
      </w:r>
    </w:p>
    <w:p w14:paraId="60F49FB6" w14:textId="77777777" w:rsidR="004A4A49" w:rsidRDefault="00000000">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The bank has faced challenges like short-term management commitments and weak innovation capabilities. Constantly banks strive to adapt the business to achieve long-term sustainability and competitive advantages. This complexity involves innovation and change management. It lags due to the adoption of recent innovations. The current theory is not adjustable for the bureaucratic structure. It is critically virtual in the economy. On the other hand, senior management faces challenges during periods of innovation and change (Hooi, and Chan, 2023). The importance of communication, employee involvement, risk-taking structure and middle management were the empirical foundations of the baking system. This transformation in the banking sector where baking has to promote training to the employees and it was quite stressful to improvise new technology in the different regions. This transformation is quite stressful and sifted sets of minds who had been using the old system for a longer time. The employees were </w:t>
      </w:r>
      <w:r>
        <w:rPr>
          <w:rFonts w:ascii="Times New Roman" w:eastAsia="Times New Roman" w:hAnsi="Times New Roman" w:cs="Times New Roman"/>
          <w:color w:val="0E101A"/>
          <w:sz w:val="24"/>
          <w:szCs w:val="24"/>
          <w:highlight w:val="white"/>
        </w:rPr>
        <w:lastRenderedPageBreak/>
        <w:t xml:space="preserve">not able to work on their own. The rules and processes promote guidance for workers and understanding of their obligations. Employee involvement in the primitive stage of the changes is quite difficult. It leads to misalignment and change process and awareness of change among the workers. </w:t>
      </w:r>
    </w:p>
    <w:p w14:paraId="239FF9D0" w14:textId="77777777" w:rsidR="004A4A49" w:rsidRDefault="00000000">
      <w:pPr>
        <w:spacing w:line="360" w:lineRule="auto"/>
        <w:jc w:val="both"/>
      </w:pPr>
      <w:r>
        <w:rPr>
          <w:rFonts w:ascii="Times New Roman" w:eastAsia="Times New Roman" w:hAnsi="Times New Roman" w:cs="Times New Roman"/>
          <w:color w:val="0E101A"/>
          <w:sz w:val="24"/>
          <w:szCs w:val="24"/>
          <w:highlight w:val="white"/>
        </w:rPr>
        <w:t>The Organisational culture and values trends come down through the organisational policies and stands. Barclay has written down and communicated policies and values to perform internal and external operations. Organisational culture identifies factors of risk management. The risk culture is the beliefs, values, knowledge and determination about the risks and sharing the factors among the groups of people like leadership and employees of the organisations. The risk culture illustrates the overall culture of the organisations (ACCA Global, 2023). In financial services, stakeholders focus on culture that has been written and researched through industry commentators, rule setters and implementers.</w:t>
      </w:r>
    </w:p>
    <w:p w14:paraId="4B3F5B3B" w14:textId="77777777" w:rsidR="004A4A49" w:rsidRDefault="00000000">
      <w:pPr>
        <w:pStyle w:val="Titlu2"/>
        <w:spacing w:line="360" w:lineRule="auto"/>
        <w:jc w:val="both"/>
      </w:pPr>
      <w:bookmarkStart w:id="17" w:name="_Toc182071422"/>
      <w:r>
        <w:t>Recommendations</w:t>
      </w:r>
      <w:bookmarkEnd w:id="17"/>
    </w:p>
    <w:p w14:paraId="589BC8E3" w14:textId="77777777" w:rsidR="004A4A4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change is inevitable and it improves the baking performances and adjectives with the ever-changing demands of the customers. The organisation has to retain with rights customers to mitigate challenges in change management. HR teams in regional and community banks should ne hire an attractive top talent pool combating retention issues. The organisation should include remote working policies and show the positive impacts on the local community as they embrace new technology. It will adjust with employee benefit packages and those changes will show employee’s core values align with company policies.</w:t>
      </w:r>
    </w:p>
    <w:p w14:paraId="6B76A03A" w14:textId="77777777" w:rsidR="004A4A49" w:rsidRDefault="00000000">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On the other hand, the leaders of the company will show the value of investing in the culture change initiatives. The HR team will create meaningful changes and raise awareness among the management. The leaders will associated with different ways to navigate cultural issues and they know how to tackle problems like language barriers, communication challenges, technology cooperation and guidance on the new technological obligations. The organisation will recruit a younger generation who practises work and innovate with technological innovations. The changes in hiring and retention are crucial for cultural transformations. Employees feel connected with organisational culture and engage with work. The leaders embrace and role model the mindsets and behaviour of the desired culture. Leaders listen to their employee's views to embrace cultural changes. It makes a better meet to their cultural </w:t>
      </w:r>
      <w:r>
        <w:rPr>
          <w:rFonts w:ascii="Times New Roman" w:eastAsia="Times New Roman" w:hAnsi="Times New Roman" w:cs="Times New Roman"/>
          <w:color w:val="0E101A"/>
          <w:sz w:val="24"/>
          <w:szCs w:val="24"/>
          <w:highlight w:val="white"/>
        </w:rPr>
        <w:lastRenderedPageBreak/>
        <w:t>needs. It makes the easiest way for the community and regional tanks to demonstrate commitments to their cutlers. This leads to positive impacts on retention.</w:t>
      </w:r>
    </w:p>
    <w:p w14:paraId="40EDC343" w14:textId="77777777" w:rsidR="004A4A49" w:rsidRDefault="00000000">
      <w:pPr>
        <w:spacing w:line="360" w:lineRule="auto"/>
        <w:jc w:val="both"/>
      </w:pPr>
      <w:r>
        <w:rPr>
          <w:rFonts w:ascii="Times New Roman" w:eastAsia="Times New Roman" w:hAnsi="Times New Roman" w:cs="Times New Roman"/>
          <w:color w:val="0E101A"/>
          <w:sz w:val="24"/>
          <w:szCs w:val="24"/>
          <w:highlight w:val="white"/>
        </w:rPr>
        <w:t>Developments in technology are nearly always followed by changes in corporate culture. To succeed, banks and credit unions need to be willing to take risks, encourage the dismantling of organizational silos, and be driven by the demands of their customers. Fixing cultural issues is no longer an option in the digital age, where success depends on getting the culture right. Ultimately, the work needed to implement operational improvements must be at least as much as the work needed to implement a cultural change. The primary objectives of any cultural change must be to break down silos, take more chances, and focus more on the customer experience.</w:t>
      </w:r>
    </w:p>
    <w:p w14:paraId="7C68B448" w14:textId="77777777" w:rsidR="004A4A49" w:rsidRDefault="00000000">
      <w:pPr>
        <w:pStyle w:val="Titlu1"/>
        <w:spacing w:line="360" w:lineRule="auto"/>
        <w:jc w:val="both"/>
      </w:pPr>
      <w:bookmarkStart w:id="18" w:name="_Toc182071423"/>
      <w:r>
        <w:t>Change Management Plan for the near Future</w:t>
      </w:r>
      <w:bookmarkEnd w:id="18"/>
    </w:p>
    <w:p w14:paraId="57D93148" w14:textId="77777777" w:rsidR="004A4A49" w:rsidRDefault="00000000">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The change management model used in the banking sector is John P. Kotter’s model. This model is adopted through Backing hubs to determine challenges in the financial sector Barclay aims to change culture through the use of training and awareness initiatives (Abbas, 2023). These programs highlight how important it is to progressively reinforce culture in a consistent and well-coordinated way. Senior leaders are testing new ways to communicate continuously with a larger audience. One example of such an initiative is starting a blog where people may submit examples of appropriate and inappropriate behaviour. People who engage with such content can be commended for their positive efforts. Additionally, because internal auditors are educated to assess culture as an informal component of their work, they are ready to move to more formal evaluations.</w:t>
      </w:r>
    </w:p>
    <w:p w14:paraId="42446C33" w14:textId="77777777" w:rsidR="004A4A49" w:rsidRDefault="00000000">
      <w:pPr>
        <w:spacing w:line="360" w:lineRule="auto"/>
        <w:jc w:val="both"/>
      </w:pPr>
      <w:r>
        <w:rPr>
          <w:rFonts w:ascii="Times New Roman" w:eastAsia="Times New Roman" w:hAnsi="Times New Roman" w:cs="Times New Roman"/>
          <w:color w:val="0E101A"/>
          <w:sz w:val="24"/>
          <w:szCs w:val="24"/>
          <w:highlight w:val="white"/>
        </w:rPr>
        <w:t>The banking industry manages people and businesses using quantitative metrics like sales and profitability (Marous, 2022). However, there haven't been any challenges that merit consideration. Long-lasting cultural transformation in banks requires leadership skills that were not previously prioritised. Adopting new priorities, such as psychological safety, necessitates better management skills. To make up for lost time, most banks that previously believed that improving their management and leadership abilities was not essential are now forced to do so. Therefore, the culture needs to be improved to stay up with the changes.</w:t>
      </w:r>
    </w:p>
    <w:p w14:paraId="55F7C096" w14:textId="77777777" w:rsidR="004A4A49" w:rsidRDefault="00000000">
      <w:pPr>
        <w:pStyle w:val="Titlu1"/>
        <w:spacing w:line="360" w:lineRule="auto"/>
        <w:jc w:val="both"/>
      </w:pPr>
      <w:bookmarkStart w:id="19" w:name="_Toc182071424"/>
      <w:r>
        <w:t>Conclusion</w:t>
      </w:r>
      <w:bookmarkEnd w:id="19"/>
    </w:p>
    <w:p w14:paraId="1CA40F17" w14:textId="77777777" w:rsidR="004A4A49" w:rsidRDefault="00000000">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Barclays' culture, which blends hierarchical, performance-driven, and compliance-oriented characteristics, is based on an increasing emphasis on customer-centricity, innovation, and </w:t>
      </w:r>
      <w:r>
        <w:rPr>
          <w:rFonts w:ascii="Times New Roman" w:eastAsia="Times New Roman" w:hAnsi="Times New Roman" w:cs="Times New Roman"/>
          <w:color w:val="0E101A"/>
          <w:sz w:val="24"/>
          <w:szCs w:val="24"/>
          <w:highlight w:val="white"/>
        </w:rPr>
        <w:lastRenderedPageBreak/>
        <w:t xml:space="preserve">diversity. Barclays has a hybrid culture that aims to find a balance between stability and efficiency to meet the high standards of the financial sector and maintain flexibility. </w:t>
      </w:r>
    </w:p>
    <w:p w14:paraId="5CE39B9A" w14:textId="77777777" w:rsidR="004A4A49" w:rsidRDefault="004A4A49">
      <w:pPr>
        <w:spacing w:line="360" w:lineRule="auto"/>
        <w:jc w:val="both"/>
        <w:rPr>
          <w:rFonts w:ascii="Times New Roman" w:eastAsia="Times New Roman" w:hAnsi="Times New Roman" w:cs="Times New Roman"/>
          <w:color w:val="222222"/>
          <w:sz w:val="24"/>
          <w:szCs w:val="24"/>
          <w:highlight w:val="white"/>
        </w:rPr>
      </w:pPr>
    </w:p>
    <w:p w14:paraId="22D55045" w14:textId="77777777" w:rsidR="004A4A49" w:rsidRDefault="00000000">
      <w:r>
        <w:br w:type="page"/>
      </w:r>
    </w:p>
    <w:p w14:paraId="6C751B10" w14:textId="77777777" w:rsidR="004A4A49" w:rsidRDefault="00000000">
      <w:pPr>
        <w:pStyle w:val="Titlu1"/>
      </w:pPr>
      <w:bookmarkStart w:id="20" w:name="_Toc182071425"/>
      <w:r>
        <w:lastRenderedPageBreak/>
        <w:t>References</w:t>
      </w:r>
      <w:bookmarkEnd w:id="20"/>
    </w:p>
    <w:p w14:paraId="3F8CEB57"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Abbas, T. (2023) </w:t>
      </w:r>
      <w:r w:rsidRPr="00D04FC6">
        <w:rPr>
          <w:rFonts w:ascii="Times New Roman" w:eastAsia="Times New Roman" w:hAnsi="Times New Roman" w:cs="Times New Roman"/>
          <w:i/>
          <w:color w:val="222222"/>
          <w:sz w:val="24"/>
          <w:szCs w:val="24"/>
          <w:highlight w:val="white"/>
        </w:rPr>
        <w:t>Change management in banking - process and future trends</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CMI</w:t>
      </w:r>
      <w:r w:rsidRPr="00D04FC6">
        <w:rPr>
          <w:rFonts w:ascii="Times New Roman" w:eastAsia="Times New Roman" w:hAnsi="Times New Roman" w:cs="Times New Roman"/>
          <w:color w:val="222222"/>
          <w:sz w:val="24"/>
          <w:szCs w:val="24"/>
          <w:highlight w:val="white"/>
        </w:rPr>
        <w:t xml:space="preserve">. Available at: https://changemanagementinsight.com/change-management-in-banking/ (Accessed: 09 November 2024). </w:t>
      </w:r>
    </w:p>
    <w:p w14:paraId="1C2D34F6"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ACCA Global (2023) </w:t>
      </w:r>
      <w:r w:rsidRPr="00D04FC6">
        <w:rPr>
          <w:rFonts w:ascii="Times New Roman" w:eastAsia="Times New Roman" w:hAnsi="Times New Roman" w:cs="Times New Roman"/>
          <w:i/>
          <w:color w:val="222222"/>
          <w:sz w:val="24"/>
          <w:szCs w:val="24"/>
          <w:highlight w:val="white"/>
        </w:rPr>
        <w:t>Auditing culture - A case study by Barclays Bank</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ACCA Global</w:t>
      </w:r>
      <w:r w:rsidRPr="00D04FC6">
        <w:rPr>
          <w:rFonts w:ascii="Times New Roman" w:eastAsia="Times New Roman" w:hAnsi="Times New Roman" w:cs="Times New Roman"/>
          <w:color w:val="222222"/>
          <w:sz w:val="24"/>
          <w:szCs w:val="24"/>
          <w:highlight w:val="white"/>
        </w:rPr>
        <w:t xml:space="preserve">. Available at: https://www.accaglobal.com/in/en/member/discover/cpd-articles/audit-assurance/auditing-culture.html (Accessed: 09 November 2024). </w:t>
      </w:r>
    </w:p>
    <w:p w14:paraId="0D55785E" w14:textId="57D2E7CA" w:rsidR="00D04FC6" w:rsidRPr="00D04FC6" w:rsidRDefault="00D04FC6">
      <w:pPr>
        <w:spacing w:before="240" w:after="240" w:line="360" w:lineRule="auto"/>
        <w:jc w:val="both"/>
        <w:rPr>
          <w:rFonts w:ascii="Times New Roman" w:hAnsi="Times New Roman" w:cs="Times New Roman"/>
          <w:color w:val="222222"/>
          <w:sz w:val="24"/>
          <w:szCs w:val="24"/>
          <w:highlight w:val="white"/>
        </w:rPr>
      </w:pPr>
      <w:proofErr w:type="spellStart"/>
      <w:r w:rsidRPr="00D04FC6">
        <w:rPr>
          <w:rFonts w:ascii="Times New Roman" w:hAnsi="Times New Roman" w:cs="Times New Roman"/>
          <w:color w:val="222222"/>
          <w:sz w:val="24"/>
          <w:szCs w:val="24"/>
          <w:highlight w:val="white"/>
        </w:rPr>
        <w:t>Alshwayat</w:t>
      </w:r>
      <w:proofErr w:type="spellEnd"/>
      <w:r w:rsidRPr="00D04FC6">
        <w:rPr>
          <w:rFonts w:ascii="Times New Roman" w:hAnsi="Times New Roman" w:cs="Times New Roman"/>
          <w:color w:val="222222"/>
          <w:sz w:val="24"/>
          <w:szCs w:val="24"/>
          <w:highlight w:val="white"/>
        </w:rPr>
        <w:t xml:space="preserve">, D., </w:t>
      </w:r>
      <w:proofErr w:type="spellStart"/>
      <w:r w:rsidRPr="00D04FC6">
        <w:rPr>
          <w:rFonts w:ascii="Times New Roman" w:hAnsi="Times New Roman" w:cs="Times New Roman"/>
          <w:color w:val="222222"/>
          <w:sz w:val="24"/>
          <w:szCs w:val="24"/>
          <w:highlight w:val="white"/>
        </w:rPr>
        <w:t>Elrehail</w:t>
      </w:r>
      <w:proofErr w:type="spellEnd"/>
      <w:r w:rsidRPr="00D04FC6">
        <w:rPr>
          <w:rFonts w:ascii="Times New Roman" w:hAnsi="Times New Roman" w:cs="Times New Roman"/>
          <w:color w:val="222222"/>
          <w:sz w:val="24"/>
          <w:szCs w:val="24"/>
          <w:highlight w:val="white"/>
        </w:rPr>
        <w:t xml:space="preserve">, H., Shehadeh, E., </w:t>
      </w:r>
      <w:proofErr w:type="spellStart"/>
      <w:r w:rsidRPr="00D04FC6">
        <w:rPr>
          <w:rFonts w:ascii="Times New Roman" w:hAnsi="Times New Roman" w:cs="Times New Roman"/>
          <w:color w:val="222222"/>
          <w:sz w:val="24"/>
          <w:szCs w:val="24"/>
          <w:highlight w:val="white"/>
        </w:rPr>
        <w:t>Alsalhi</w:t>
      </w:r>
      <w:proofErr w:type="spellEnd"/>
      <w:r w:rsidRPr="00D04FC6">
        <w:rPr>
          <w:rFonts w:ascii="Times New Roman" w:hAnsi="Times New Roman" w:cs="Times New Roman"/>
          <w:color w:val="222222"/>
          <w:sz w:val="24"/>
          <w:szCs w:val="24"/>
          <w:highlight w:val="white"/>
        </w:rPr>
        <w:t xml:space="preserve">, N., </w:t>
      </w:r>
      <w:proofErr w:type="spellStart"/>
      <w:r w:rsidRPr="00D04FC6">
        <w:rPr>
          <w:rFonts w:ascii="Times New Roman" w:hAnsi="Times New Roman" w:cs="Times New Roman"/>
          <w:color w:val="222222"/>
          <w:sz w:val="24"/>
          <w:szCs w:val="24"/>
          <w:highlight w:val="white"/>
        </w:rPr>
        <w:t>Shamout</w:t>
      </w:r>
      <w:proofErr w:type="spellEnd"/>
      <w:r w:rsidRPr="00D04FC6">
        <w:rPr>
          <w:rFonts w:ascii="Times New Roman" w:hAnsi="Times New Roman" w:cs="Times New Roman"/>
          <w:color w:val="222222"/>
          <w:sz w:val="24"/>
          <w:szCs w:val="24"/>
          <w:highlight w:val="white"/>
        </w:rPr>
        <w:t xml:space="preserve">, M.D. and </w:t>
      </w:r>
      <w:proofErr w:type="spellStart"/>
      <w:r w:rsidRPr="00D04FC6">
        <w:rPr>
          <w:rFonts w:ascii="Times New Roman" w:hAnsi="Times New Roman" w:cs="Times New Roman"/>
          <w:color w:val="222222"/>
          <w:sz w:val="24"/>
          <w:szCs w:val="24"/>
          <w:highlight w:val="white"/>
        </w:rPr>
        <w:t>Rehman</w:t>
      </w:r>
      <w:proofErr w:type="spellEnd"/>
      <w:r w:rsidRPr="00D04FC6">
        <w:rPr>
          <w:rFonts w:ascii="Times New Roman" w:hAnsi="Times New Roman" w:cs="Times New Roman"/>
          <w:color w:val="222222"/>
          <w:sz w:val="24"/>
          <w:szCs w:val="24"/>
          <w:highlight w:val="white"/>
        </w:rPr>
        <w:t xml:space="preserve">, S.U., </w:t>
      </w:r>
      <w:r w:rsidR="003A6D42">
        <w:rPr>
          <w:rFonts w:ascii="Times New Roman" w:hAnsi="Times New Roman" w:cs="Times New Roman"/>
          <w:color w:val="222222"/>
          <w:sz w:val="24"/>
          <w:szCs w:val="24"/>
          <w:highlight w:val="white"/>
        </w:rPr>
        <w:t>(</w:t>
      </w:r>
      <w:r w:rsidRPr="00D04FC6">
        <w:rPr>
          <w:rFonts w:ascii="Times New Roman" w:hAnsi="Times New Roman" w:cs="Times New Roman"/>
          <w:color w:val="222222"/>
          <w:sz w:val="24"/>
          <w:szCs w:val="24"/>
          <w:highlight w:val="white"/>
        </w:rPr>
        <w:t>2023</w:t>
      </w:r>
      <w:r w:rsidR="003A6D42">
        <w:rPr>
          <w:rFonts w:ascii="Times New Roman" w:hAnsi="Times New Roman" w:cs="Times New Roman"/>
          <w:color w:val="222222"/>
          <w:sz w:val="24"/>
          <w:szCs w:val="24"/>
          <w:highlight w:val="white"/>
        </w:rPr>
        <w:t>)</w:t>
      </w:r>
      <w:r w:rsidRPr="00D04FC6">
        <w:rPr>
          <w:rFonts w:ascii="Times New Roman" w:hAnsi="Times New Roman" w:cs="Times New Roman"/>
          <w:color w:val="222222"/>
          <w:sz w:val="24"/>
          <w:szCs w:val="24"/>
          <w:highlight w:val="white"/>
        </w:rPr>
        <w:t xml:space="preserve">. An exploratory examination of the barriers to innovation and change as perceived by senior management. </w:t>
      </w:r>
      <w:r w:rsidRPr="00D04FC6">
        <w:rPr>
          <w:rFonts w:ascii="Times New Roman" w:hAnsi="Times New Roman" w:cs="Times New Roman"/>
          <w:i/>
          <w:color w:val="222222"/>
          <w:sz w:val="24"/>
          <w:szCs w:val="24"/>
          <w:highlight w:val="white"/>
        </w:rPr>
        <w:t>International Journal of Innovation Studies</w:t>
      </w:r>
      <w:r w:rsidRPr="00D04FC6">
        <w:rPr>
          <w:rFonts w:ascii="Times New Roman" w:hAnsi="Times New Roman" w:cs="Times New Roman"/>
          <w:color w:val="222222"/>
          <w:sz w:val="24"/>
          <w:szCs w:val="24"/>
          <w:highlight w:val="white"/>
        </w:rPr>
        <w:t xml:space="preserve">, </w:t>
      </w:r>
      <w:r w:rsidRPr="00D04FC6">
        <w:rPr>
          <w:rFonts w:ascii="Times New Roman" w:hAnsi="Times New Roman" w:cs="Times New Roman"/>
          <w:i/>
          <w:color w:val="222222"/>
          <w:sz w:val="24"/>
          <w:szCs w:val="24"/>
          <w:highlight w:val="white"/>
        </w:rPr>
        <w:t>7</w:t>
      </w:r>
      <w:r w:rsidRPr="00D04FC6">
        <w:rPr>
          <w:rFonts w:ascii="Times New Roman" w:hAnsi="Times New Roman" w:cs="Times New Roman"/>
          <w:color w:val="222222"/>
          <w:sz w:val="24"/>
          <w:szCs w:val="24"/>
          <w:highlight w:val="white"/>
        </w:rPr>
        <w:t>(2), pp.159-170.</w:t>
      </w:r>
      <w:hyperlink r:id="rId8">
        <w:r w:rsidRPr="00D04FC6">
          <w:rPr>
            <w:rFonts w:ascii="Times New Roman" w:hAnsi="Times New Roman" w:cs="Times New Roman"/>
            <w:color w:val="1155CC"/>
            <w:sz w:val="24"/>
            <w:szCs w:val="24"/>
            <w:highlight w:val="white"/>
            <w:u w:val="single"/>
          </w:rPr>
          <w:t>https://doi.org/10.1016/j.ijis.2022.12.005</w:t>
        </w:r>
      </w:hyperlink>
    </w:p>
    <w:p w14:paraId="22F76E10"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Assets.ctfassets.net (2024) </w:t>
      </w:r>
      <w:r w:rsidRPr="00D04FC6">
        <w:rPr>
          <w:rFonts w:ascii="Times New Roman" w:eastAsia="Times New Roman" w:hAnsi="Times New Roman" w:cs="Times New Roman"/>
          <w:i/>
          <w:color w:val="222222"/>
          <w:sz w:val="24"/>
          <w:szCs w:val="24"/>
          <w:highlight w:val="white"/>
        </w:rPr>
        <w:t>The banking landscape in the United Kingdom</w:t>
      </w:r>
      <w:r w:rsidRPr="00D04FC6">
        <w:rPr>
          <w:rFonts w:ascii="Times New Roman" w:eastAsia="Times New Roman" w:hAnsi="Times New Roman" w:cs="Times New Roman"/>
          <w:color w:val="222222"/>
          <w:sz w:val="24"/>
          <w:szCs w:val="24"/>
          <w:highlight w:val="white"/>
        </w:rPr>
        <w:t xml:space="preserve">. Available at: https://assets.ctfassets.net/pn8wbiqtnzw9/7ERJsOjCr08ktRPC5lcVYO/6343d6c4a9e65fb44824faf729b5f7c6/The_Banking_Landscape_in_the_UK.pdf (Accessed: 09 November 2024). </w:t>
      </w:r>
    </w:p>
    <w:p w14:paraId="09463355"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Barclays (2020) </w:t>
      </w:r>
      <w:r w:rsidRPr="00D04FC6">
        <w:rPr>
          <w:rFonts w:ascii="Times New Roman" w:eastAsia="Times New Roman" w:hAnsi="Times New Roman" w:cs="Times New Roman"/>
          <w:i/>
          <w:color w:val="222222"/>
          <w:sz w:val="24"/>
          <w:szCs w:val="24"/>
          <w:highlight w:val="white"/>
        </w:rPr>
        <w:t>Multicultural - race at work</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Barclays</w:t>
      </w:r>
      <w:r w:rsidRPr="00D04FC6">
        <w:rPr>
          <w:rFonts w:ascii="Times New Roman" w:eastAsia="Times New Roman" w:hAnsi="Times New Roman" w:cs="Times New Roman"/>
          <w:color w:val="222222"/>
          <w:sz w:val="24"/>
          <w:szCs w:val="24"/>
          <w:highlight w:val="white"/>
        </w:rPr>
        <w:t xml:space="preserve">. Available at: https://home.barclays/who-we-are/our-strategy/diversity-and-inclusion/multicultural/ (Accessed: 09 November 2024). </w:t>
      </w:r>
    </w:p>
    <w:p w14:paraId="652BFD59"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Barclays (2022) </w:t>
      </w:r>
      <w:r w:rsidRPr="00D04FC6">
        <w:rPr>
          <w:rFonts w:ascii="Times New Roman" w:eastAsia="Times New Roman" w:hAnsi="Times New Roman" w:cs="Times New Roman"/>
          <w:i/>
          <w:color w:val="222222"/>
          <w:sz w:val="24"/>
          <w:szCs w:val="24"/>
          <w:highlight w:val="white"/>
        </w:rPr>
        <w:t>Diversity, equity and inclusion</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Barclays</w:t>
      </w:r>
      <w:r w:rsidRPr="00D04FC6">
        <w:rPr>
          <w:rFonts w:ascii="Times New Roman" w:eastAsia="Times New Roman" w:hAnsi="Times New Roman" w:cs="Times New Roman"/>
          <w:color w:val="222222"/>
          <w:sz w:val="24"/>
          <w:szCs w:val="24"/>
          <w:highlight w:val="white"/>
        </w:rPr>
        <w:t xml:space="preserve">. Available at: https://home.barclays/who-we-are/our-strategy/diversity-and-inclusion/. (Accessed: 09 November 2024). </w:t>
      </w:r>
    </w:p>
    <w:p w14:paraId="63A32562"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Barclays (2023) </w:t>
      </w:r>
      <w:r w:rsidRPr="00D04FC6">
        <w:rPr>
          <w:rFonts w:ascii="Times New Roman" w:eastAsia="Times New Roman" w:hAnsi="Times New Roman" w:cs="Times New Roman"/>
          <w:i/>
          <w:color w:val="222222"/>
          <w:sz w:val="24"/>
          <w:szCs w:val="24"/>
          <w:highlight w:val="white"/>
        </w:rPr>
        <w:t>Innovative culture: Innovation</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Barclays</w:t>
      </w:r>
      <w:r w:rsidRPr="00D04FC6">
        <w:rPr>
          <w:rFonts w:ascii="Times New Roman" w:eastAsia="Times New Roman" w:hAnsi="Times New Roman" w:cs="Times New Roman"/>
          <w:color w:val="222222"/>
          <w:sz w:val="24"/>
          <w:szCs w:val="24"/>
          <w:highlight w:val="white"/>
        </w:rPr>
        <w:t xml:space="preserve">. Available at: https://home.barclays/news/2020/07/Insights-growing-a-culture-of-innovation/ (Accessed: 09 November 2024). </w:t>
      </w:r>
    </w:p>
    <w:p w14:paraId="04DE0994"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Barclays (2023) </w:t>
      </w:r>
      <w:r w:rsidRPr="00D04FC6">
        <w:rPr>
          <w:rFonts w:ascii="Times New Roman" w:eastAsia="Times New Roman" w:hAnsi="Times New Roman" w:cs="Times New Roman"/>
          <w:i/>
          <w:color w:val="222222"/>
          <w:sz w:val="24"/>
          <w:szCs w:val="24"/>
          <w:highlight w:val="white"/>
        </w:rPr>
        <w:t>Performance measures</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Barclays</w:t>
      </w:r>
      <w:r w:rsidRPr="00D04FC6">
        <w:rPr>
          <w:rFonts w:ascii="Times New Roman" w:eastAsia="Times New Roman" w:hAnsi="Times New Roman" w:cs="Times New Roman"/>
          <w:color w:val="222222"/>
          <w:sz w:val="24"/>
          <w:szCs w:val="24"/>
          <w:highlight w:val="white"/>
        </w:rPr>
        <w:t xml:space="preserve">. Available at: https://home.barclays/who-we-are/our-strategy/performance-measures/ (Accessed: 09 November 2024). </w:t>
      </w:r>
    </w:p>
    <w:p w14:paraId="55223899"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lastRenderedPageBreak/>
        <w:t xml:space="preserve">Barclays (2024) </w:t>
      </w:r>
      <w:r w:rsidRPr="00D04FC6">
        <w:rPr>
          <w:rFonts w:ascii="Times New Roman" w:eastAsia="Times New Roman" w:hAnsi="Times New Roman" w:cs="Times New Roman"/>
          <w:i/>
          <w:color w:val="222222"/>
          <w:sz w:val="24"/>
          <w:szCs w:val="24"/>
          <w:highlight w:val="white"/>
        </w:rPr>
        <w:t>20 February 2024</w:t>
      </w:r>
      <w:r w:rsidRPr="00D04FC6">
        <w:rPr>
          <w:rFonts w:ascii="Times New Roman" w:eastAsia="Times New Roman" w:hAnsi="Times New Roman" w:cs="Times New Roman"/>
          <w:color w:val="222222"/>
          <w:sz w:val="24"/>
          <w:szCs w:val="24"/>
          <w:highlight w:val="white"/>
        </w:rPr>
        <w:t xml:space="preserve">. Available at: https://home.barclays/content/dam/home-barclays/documents/investor-relations/ResultAnnouncements/FullYear2023Results/20240220-Barclays-FY2023-Resegmentation-RNS.pdf (Accessed: 09 November 2024). </w:t>
      </w:r>
    </w:p>
    <w:p w14:paraId="1CE22A83" w14:textId="77777777" w:rsidR="00D04FC6" w:rsidRPr="00D04FC6" w:rsidRDefault="00D04FC6">
      <w:pPr>
        <w:spacing w:before="240" w:after="240" w:line="360" w:lineRule="auto"/>
        <w:jc w:val="both"/>
        <w:rPr>
          <w:rFonts w:ascii="Times New Roman" w:eastAsia="Times New Roman" w:hAnsi="Times New Roman" w:cs="Times New Roman"/>
          <w:sz w:val="24"/>
          <w:szCs w:val="24"/>
        </w:rPr>
      </w:pPr>
      <w:r w:rsidRPr="00D04FC6">
        <w:rPr>
          <w:rFonts w:ascii="Times New Roman" w:eastAsia="Times New Roman" w:hAnsi="Times New Roman" w:cs="Times New Roman"/>
          <w:sz w:val="24"/>
          <w:szCs w:val="24"/>
        </w:rPr>
        <w:t xml:space="preserve">Barclays (2024) </w:t>
      </w:r>
      <w:r w:rsidRPr="00D04FC6">
        <w:rPr>
          <w:rFonts w:ascii="Times New Roman" w:eastAsia="Times New Roman" w:hAnsi="Times New Roman" w:cs="Times New Roman"/>
          <w:i/>
          <w:sz w:val="24"/>
          <w:szCs w:val="24"/>
        </w:rPr>
        <w:t>Annual Report - 2023</w:t>
      </w:r>
      <w:r w:rsidRPr="00D04FC6">
        <w:rPr>
          <w:rFonts w:ascii="Times New Roman" w:eastAsia="Times New Roman" w:hAnsi="Times New Roman" w:cs="Times New Roman"/>
          <w:sz w:val="24"/>
          <w:szCs w:val="24"/>
        </w:rPr>
        <w:t xml:space="preserve">. Available at: https://home.barclays/content/dam/home-barclays/documents/investor-relations/reports-and-events/annual-reports/2023/Barclays-PLC-Annual-Report-2023.pdf (Accessed: 09 November 2024). </w:t>
      </w:r>
    </w:p>
    <w:p w14:paraId="2B85B0C4" w14:textId="77777777" w:rsidR="00D04FC6" w:rsidRPr="00D04FC6" w:rsidRDefault="00D04FC6">
      <w:pPr>
        <w:spacing w:before="240" w:after="240" w:line="360" w:lineRule="auto"/>
        <w:jc w:val="both"/>
        <w:rPr>
          <w:rFonts w:ascii="Times New Roman" w:eastAsia="Times New Roman" w:hAnsi="Times New Roman" w:cs="Times New Roman"/>
          <w:sz w:val="24"/>
          <w:szCs w:val="24"/>
        </w:rPr>
      </w:pPr>
      <w:r w:rsidRPr="00D04FC6">
        <w:rPr>
          <w:rFonts w:ascii="Times New Roman" w:eastAsia="Times New Roman" w:hAnsi="Times New Roman" w:cs="Times New Roman"/>
          <w:sz w:val="24"/>
          <w:szCs w:val="24"/>
        </w:rPr>
        <w:t xml:space="preserve">Barclays (2024) </w:t>
      </w:r>
      <w:r w:rsidRPr="00D04FC6">
        <w:rPr>
          <w:rFonts w:ascii="Times New Roman" w:eastAsia="Times New Roman" w:hAnsi="Times New Roman" w:cs="Times New Roman"/>
          <w:i/>
          <w:sz w:val="24"/>
          <w:szCs w:val="24"/>
        </w:rPr>
        <w:t>Barclays Our Story and History</w:t>
      </w:r>
      <w:r w:rsidRPr="00D04FC6">
        <w:rPr>
          <w:rFonts w:ascii="Times New Roman" w:eastAsia="Times New Roman" w:hAnsi="Times New Roman" w:cs="Times New Roman"/>
          <w:sz w:val="24"/>
          <w:szCs w:val="24"/>
        </w:rPr>
        <w:t xml:space="preserve"> (2024) </w:t>
      </w:r>
      <w:r w:rsidRPr="00D04FC6">
        <w:rPr>
          <w:rFonts w:ascii="Times New Roman" w:eastAsia="Times New Roman" w:hAnsi="Times New Roman" w:cs="Times New Roman"/>
          <w:i/>
          <w:sz w:val="24"/>
          <w:szCs w:val="24"/>
        </w:rPr>
        <w:t>Barclays</w:t>
      </w:r>
      <w:r w:rsidRPr="00D04FC6">
        <w:rPr>
          <w:rFonts w:ascii="Times New Roman" w:eastAsia="Times New Roman" w:hAnsi="Times New Roman" w:cs="Times New Roman"/>
          <w:sz w:val="24"/>
          <w:szCs w:val="24"/>
        </w:rPr>
        <w:t xml:space="preserve">. Available at: https://home.barclays/who-we-are/our-history/ (Accessed: 09 November 2024). </w:t>
      </w:r>
    </w:p>
    <w:p w14:paraId="42DB2C7D"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Barclays (2024) </w:t>
      </w:r>
      <w:r w:rsidRPr="00D04FC6">
        <w:rPr>
          <w:rFonts w:ascii="Times New Roman" w:eastAsia="Times New Roman" w:hAnsi="Times New Roman" w:cs="Times New Roman"/>
          <w:i/>
          <w:color w:val="222222"/>
          <w:sz w:val="24"/>
          <w:szCs w:val="24"/>
          <w:highlight w:val="white"/>
        </w:rPr>
        <w:t>From intelligence to ability: How Barclays is harnessing AI</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Barclays</w:t>
      </w:r>
      <w:r w:rsidRPr="00D04FC6">
        <w:rPr>
          <w:rFonts w:ascii="Times New Roman" w:eastAsia="Times New Roman" w:hAnsi="Times New Roman" w:cs="Times New Roman"/>
          <w:color w:val="222222"/>
          <w:sz w:val="24"/>
          <w:szCs w:val="24"/>
          <w:highlight w:val="white"/>
        </w:rPr>
        <w:t xml:space="preserve">. Available at: https://home.barclays/news/2024/01/how-Barclays-is-harnessing-AI/ (Accessed: 09 November 2024). </w:t>
      </w:r>
    </w:p>
    <w:p w14:paraId="6D4696B7"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Barclays (2024) </w:t>
      </w:r>
      <w:r w:rsidRPr="00D04FC6">
        <w:rPr>
          <w:rFonts w:ascii="Times New Roman" w:eastAsia="Times New Roman" w:hAnsi="Times New Roman" w:cs="Times New Roman"/>
          <w:i/>
          <w:color w:val="222222"/>
          <w:sz w:val="24"/>
          <w:szCs w:val="24"/>
          <w:highlight w:val="white"/>
        </w:rPr>
        <w:t>PSD2</w:t>
      </w:r>
      <w:r w:rsidRPr="00D04FC6">
        <w:rPr>
          <w:rFonts w:ascii="Times New Roman" w:eastAsia="Times New Roman" w:hAnsi="Times New Roman" w:cs="Times New Roman"/>
          <w:color w:val="222222"/>
          <w:sz w:val="24"/>
          <w:szCs w:val="24"/>
          <w:highlight w:val="white"/>
        </w:rPr>
        <w:t xml:space="preserve">. Available at: https://home.barclays/content/dam/home-barclays/documents/citizenship/our-reporting-and-policy-positions/policy-positions/European-Commission-targeted-consultation-on-PDS2-Barclays-response.pdf (Accessed: 09 November 2024). </w:t>
      </w:r>
    </w:p>
    <w:p w14:paraId="4810EC7B"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Barclays (2024) </w:t>
      </w:r>
      <w:r w:rsidRPr="00D04FC6">
        <w:rPr>
          <w:rFonts w:ascii="Times New Roman" w:eastAsia="Times New Roman" w:hAnsi="Times New Roman" w:cs="Times New Roman"/>
          <w:i/>
          <w:color w:val="222222"/>
          <w:sz w:val="24"/>
          <w:szCs w:val="24"/>
          <w:highlight w:val="white"/>
        </w:rPr>
        <w:t xml:space="preserve">The </w:t>
      </w:r>
      <w:proofErr w:type="spellStart"/>
      <w:r w:rsidRPr="00D04FC6">
        <w:rPr>
          <w:rFonts w:ascii="Times New Roman" w:eastAsia="Times New Roman" w:hAnsi="Times New Roman" w:cs="Times New Roman"/>
          <w:i/>
          <w:color w:val="222222"/>
          <w:sz w:val="24"/>
          <w:szCs w:val="24"/>
          <w:highlight w:val="white"/>
        </w:rPr>
        <w:t>barclays</w:t>
      </w:r>
      <w:proofErr w:type="spellEnd"/>
      <w:r w:rsidRPr="00D04FC6">
        <w:rPr>
          <w:rFonts w:ascii="Times New Roman" w:eastAsia="Times New Roman" w:hAnsi="Times New Roman" w:cs="Times New Roman"/>
          <w:i/>
          <w:color w:val="222222"/>
          <w:sz w:val="24"/>
          <w:szCs w:val="24"/>
          <w:highlight w:val="white"/>
        </w:rPr>
        <w:t xml:space="preserve"> way</w:t>
      </w:r>
      <w:r w:rsidRPr="00D04FC6">
        <w:rPr>
          <w:rFonts w:ascii="Times New Roman" w:eastAsia="Times New Roman" w:hAnsi="Times New Roman" w:cs="Times New Roman"/>
          <w:color w:val="222222"/>
          <w:sz w:val="24"/>
          <w:szCs w:val="24"/>
          <w:highlight w:val="white"/>
        </w:rPr>
        <w:t xml:space="preserve">. Available at: https://home.barclays/content/dam/home-barclays/documents/citizenship/the-way-we-do-business/The_Barclays_Way.pdf (Accessed: 09 November 2024). </w:t>
      </w:r>
    </w:p>
    <w:p w14:paraId="4C4D0A37"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Barclays (2024) </w:t>
      </w:r>
      <w:r w:rsidRPr="00D04FC6">
        <w:rPr>
          <w:rFonts w:ascii="Times New Roman" w:eastAsia="Times New Roman" w:hAnsi="Times New Roman" w:cs="Times New Roman"/>
          <w:i/>
          <w:color w:val="222222"/>
          <w:sz w:val="24"/>
          <w:szCs w:val="24"/>
          <w:highlight w:val="white"/>
        </w:rPr>
        <w:t xml:space="preserve">The </w:t>
      </w:r>
      <w:proofErr w:type="spellStart"/>
      <w:r w:rsidRPr="00D04FC6">
        <w:rPr>
          <w:rFonts w:ascii="Times New Roman" w:eastAsia="Times New Roman" w:hAnsi="Times New Roman" w:cs="Times New Roman"/>
          <w:i/>
          <w:color w:val="222222"/>
          <w:sz w:val="24"/>
          <w:szCs w:val="24"/>
          <w:highlight w:val="white"/>
        </w:rPr>
        <w:t>barclays</w:t>
      </w:r>
      <w:proofErr w:type="spellEnd"/>
      <w:r w:rsidRPr="00D04FC6">
        <w:rPr>
          <w:rFonts w:ascii="Times New Roman" w:eastAsia="Times New Roman" w:hAnsi="Times New Roman" w:cs="Times New Roman"/>
          <w:i/>
          <w:color w:val="222222"/>
          <w:sz w:val="24"/>
          <w:szCs w:val="24"/>
          <w:highlight w:val="white"/>
        </w:rPr>
        <w:t xml:space="preserve"> way</w:t>
      </w:r>
      <w:r w:rsidRPr="00D04FC6">
        <w:rPr>
          <w:rFonts w:ascii="Times New Roman" w:eastAsia="Times New Roman" w:hAnsi="Times New Roman" w:cs="Times New Roman"/>
          <w:color w:val="222222"/>
          <w:sz w:val="24"/>
          <w:szCs w:val="24"/>
          <w:highlight w:val="white"/>
        </w:rPr>
        <w:t xml:space="preserve">. Available at: https://home.barclays/content/dam/home-barclays/documents/citizenship/the-way-we-do-business/The_Barclays_Way.pdf (Accessed: 09 November 2024). </w:t>
      </w:r>
    </w:p>
    <w:p w14:paraId="428DD086"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Barclays (2024) </w:t>
      </w:r>
      <w:r w:rsidRPr="00D04FC6">
        <w:rPr>
          <w:rFonts w:ascii="Times New Roman" w:eastAsia="Times New Roman" w:hAnsi="Times New Roman" w:cs="Times New Roman"/>
          <w:i/>
          <w:color w:val="222222"/>
          <w:sz w:val="24"/>
          <w:szCs w:val="24"/>
          <w:highlight w:val="white"/>
        </w:rPr>
        <w:t>The General Data Protection Regulation</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Barclays</w:t>
      </w:r>
      <w:r w:rsidRPr="00D04FC6">
        <w:rPr>
          <w:rFonts w:ascii="Times New Roman" w:eastAsia="Times New Roman" w:hAnsi="Times New Roman" w:cs="Times New Roman"/>
          <w:color w:val="222222"/>
          <w:sz w:val="24"/>
          <w:szCs w:val="24"/>
          <w:highlight w:val="white"/>
        </w:rPr>
        <w:t xml:space="preserve">. Available at: https://home.barclays/important-information/the-general-data-protection-regulation/ (Accessed: 09 November 2024). </w:t>
      </w:r>
    </w:p>
    <w:p w14:paraId="558577C6"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lastRenderedPageBreak/>
        <w:t xml:space="preserve">Bedard, A. (2024) </w:t>
      </w:r>
      <w:r w:rsidRPr="00D04FC6">
        <w:rPr>
          <w:rFonts w:ascii="Times New Roman" w:eastAsia="Times New Roman" w:hAnsi="Times New Roman" w:cs="Times New Roman"/>
          <w:i/>
          <w:color w:val="222222"/>
          <w:sz w:val="24"/>
          <w:szCs w:val="24"/>
          <w:highlight w:val="white"/>
        </w:rPr>
        <w:t>The 8-step process for leading change: Dr. John Kotter</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Kotter International Inc</w:t>
      </w:r>
      <w:r w:rsidRPr="00D04FC6">
        <w:rPr>
          <w:rFonts w:ascii="Times New Roman" w:eastAsia="Times New Roman" w:hAnsi="Times New Roman" w:cs="Times New Roman"/>
          <w:color w:val="222222"/>
          <w:sz w:val="24"/>
          <w:szCs w:val="24"/>
          <w:highlight w:val="white"/>
        </w:rPr>
        <w:t xml:space="preserve">. Available at: https://www.kotterinc.com/methodology/8-steps/ (Accessed: 09 November 2024). </w:t>
      </w:r>
    </w:p>
    <w:p w14:paraId="7C50D1A0"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D04FC6">
        <w:rPr>
          <w:rFonts w:ascii="Times New Roman" w:eastAsia="Times New Roman" w:hAnsi="Times New Roman" w:cs="Times New Roman"/>
          <w:color w:val="222222"/>
          <w:sz w:val="24"/>
          <w:szCs w:val="24"/>
          <w:highlight w:val="white"/>
        </w:rPr>
        <w:t>Bekmukhambetova</w:t>
      </w:r>
      <w:proofErr w:type="spellEnd"/>
      <w:r w:rsidRPr="00D04FC6">
        <w:rPr>
          <w:rFonts w:ascii="Times New Roman" w:eastAsia="Times New Roman" w:hAnsi="Times New Roman" w:cs="Times New Roman"/>
          <w:color w:val="222222"/>
          <w:sz w:val="24"/>
          <w:szCs w:val="24"/>
          <w:highlight w:val="white"/>
        </w:rPr>
        <w:t xml:space="preserve">, A., (2021). Comparative analysis of change management models based on an exploratory literature review. </w:t>
      </w:r>
      <w:hyperlink r:id="rId9">
        <w:r w:rsidRPr="00D04FC6">
          <w:rPr>
            <w:rFonts w:ascii="Times New Roman" w:eastAsia="Times New Roman" w:hAnsi="Times New Roman" w:cs="Times New Roman"/>
            <w:color w:val="1155CC"/>
            <w:sz w:val="24"/>
            <w:szCs w:val="24"/>
            <w:highlight w:val="white"/>
            <w:u w:val="single"/>
          </w:rPr>
          <w:t>http://unipub.lib.uni-corvinus.hu/6443/</w:t>
        </w:r>
      </w:hyperlink>
    </w:p>
    <w:p w14:paraId="4386DA24"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Carreño, A.M., (2024). Strategic Alignment in Program Management: A Framework for Sustainable Business Transformation. </w:t>
      </w:r>
      <w:hyperlink r:id="rId10">
        <w:r w:rsidRPr="00D04FC6">
          <w:rPr>
            <w:rFonts w:ascii="Times New Roman" w:eastAsia="Times New Roman" w:hAnsi="Times New Roman" w:cs="Times New Roman"/>
            <w:color w:val="1155CC"/>
            <w:sz w:val="24"/>
            <w:szCs w:val="24"/>
            <w:highlight w:val="white"/>
            <w:u w:val="single"/>
          </w:rPr>
          <w:t>https://www.researchgate.net/profile/Adolfo-Carreno/publication/384843798_Strategic_Alignment_in_Program_Management_A_Framework_for_Sustainable_Business_Transformation/links/6709949468e0f20a610d7dc8/Strategic-Alignment-in-Program-Management-A-Framework-for-Sustainable-Business-Transformation.pdf</w:t>
        </w:r>
      </w:hyperlink>
    </w:p>
    <w:p w14:paraId="276B6A07"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Corporatefinanceinstitute (2023) </w:t>
      </w:r>
      <w:r w:rsidRPr="00D04FC6">
        <w:rPr>
          <w:rFonts w:ascii="Times New Roman" w:eastAsia="Times New Roman" w:hAnsi="Times New Roman" w:cs="Times New Roman"/>
          <w:i/>
          <w:color w:val="222222"/>
          <w:sz w:val="24"/>
          <w:szCs w:val="24"/>
          <w:highlight w:val="white"/>
        </w:rPr>
        <w:t>McKinsey 7s model</w:t>
      </w:r>
      <w:r w:rsidRPr="00D04FC6">
        <w:rPr>
          <w:rFonts w:ascii="Times New Roman" w:eastAsia="Times New Roman" w:hAnsi="Times New Roman" w:cs="Times New Roman"/>
          <w:color w:val="222222"/>
          <w:sz w:val="24"/>
          <w:szCs w:val="24"/>
          <w:highlight w:val="white"/>
        </w:rPr>
        <w:t xml:space="preserve"> ( </w:t>
      </w:r>
      <w:r w:rsidRPr="00D04FC6">
        <w:rPr>
          <w:rFonts w:ascii="Times New Roman" w:eastAsia="Times New Roman" w:hAnsi="Times New Roman" w:cs="Times New Roman"/>
          <w:i/>
          <w:color w:val="222222"/>
          <w:sz w:val="24"/>
          <w:szCs w:val="24"/>
          <w:highlight w:val="white"/>
        </w:rPr>
        <w:t>Corporate Finance Institute</w:t>
      </w:r>
      <w:r w:rsidRPr="00D04FC6">
        <w:rPr>
          <w:rFonts w:ascii="Times New Roman" w:eastAsia="Times New Roman" w:hAnsi="Times New Roman" w:cs="Times New Roman"/>
          <w:color w:val="222222"/>
          <w:sz w:val="24"/>
          <w:szCs w:val="24"/>
          <w:highlight w:val="white"/>
        </w:rPr>
        <w:t xml:space="preserve">. Available at: https://corporatefinanceinstitute.com/resources/management/mckinsey-7s-model/ (Accessed: 09 November 2024). </w:t>
      </w:r>
    </w:p>
    <w:p w14:paraId="5ECF44F0"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i/>
          <w:color w:val="222222"/>
          <w:sz w:val="24"/>
          <w:szCs w:val="24"/>
          <w:highlight w:val="white"/>
        </w:rPr>
        <w:t>Customers in the spotlight: How fintech is reshaping banking</w:t>
      </w:r>
      <w:r w:rsidRPr="00D04FC6">
        <w:rPr>
          <w:rFonts w:ascii="Times New Roman" w:eastAsia="Times New Roman" w:hAnsi="Times New Roman" w:cs="Times New Roman"/>
          <w:color w:val="222222"/>
          <w:sz w:val="24"/>
          <w:szCs w:val="24"/>
          <w:highlight w:val="white"/>
        </w:rPr>
        <w:t xml:space="preserve"> (2024) </w:t>
      </w:r>
      <w:r w:rsidRPr="00D04FC6">
        <w:rPr>
          <w:rFonts w:ascii="Times New Roman" w:eastAsia="Times New Roman" w:hAnsi="Times New Roman" w:cs="Times New Roman"/>
          <w:i/>
          <w:color w:val="222222"/>
          <w:sz w:val="24"/>
          <w:szCs w:val="24"/>
          <w:highlight w:val="white"/>
        </w:rPr>
        <w:t>PwC</w:t>
      </w:r>
      <w:r w:rsidRPr="00D04FC6">
        <w:rPr>
          <w:rFonts w:ascii="Times New Roman" w:eastAsia="Times New Roman" w:hAnsi="Times New Roman" w:cs="Times New Roman"/>
          <w:color w:val="222222"/>
          <w:sz w:val="24"/>
          <w:szCs w:val="24"/>
          <w:highlight w:val="white"/>
        </w:rPr>
        <w:t xml:space="preserve">. Available at: https://www.pwc.com/gx/en/industries/financial-services/publications/fintech-is-reshaping-banking.html (Accessed: 09 November 2024). </w:t>
      </w:r>
    </w:p>
    <w:p w14:paraId="5094A672"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Dhanda, S.S., (2024). </w:t>
      </w:r>
      <w:r w:rsidRPr="00D04FC6">
        <w:rPr>
          <w:rFonts w:ascii="Times New Roman" w:eastAsia="Times New Roman" w:hAnsi="Times New Roman" w:cs="Times New Roman"/>
          <w:i/>
          <w:color w:val="222222"/>
          <w:sz w:val="24"/>
          <w:szCs w:val="24"/>
          <w:highlight w:val="white"/>
        </w:rPr>
        <w:t>Economic fluctuations and policy uncertainty</w:t>
      </w:r>
      <w:r w:rsidRPr="00D04FC6">
        <w:rPr>
          <w:rFonts w:ascii="Times New Roman" w:eastAsia="Times New Roman" w:hAnsi="Times New Roman" w:cs="Times New Roman"/>
          <w:color w:val="222222"/>
          <w:sz w:val="24"/>
          <w:szCs w:val="24"/>
          <w:highlight w:val="white"/>
        </w:rPr>
        <w:t xml:space="preserve"> (Doctoral dissertation, University of Southampton). </w:t>
      </w:r>
      <w:hyperlink r:id="rId11">
        <w:r w:rsidRPr="00D04FC6">
          <w:rPr>
            <w:rFonts w:ascii="Times New Roman" w:eastAsia="Times New Roman" w:hAnsi="Times New Roman" w:cs="Times New Roman"/>
            <w:color w:val="1155CC"/>
            <w:sz w:val="24"/>
            <w:szCs w:val="24"/>
            <w:highlight w:val="white"/>
            <w:u w:val="single"/>
          </w:rPr>
          <w:t>https://eprints.soton.ac.uk/490813/</w:t>
        </w:r>
      </w:hyperlink>
    </w:p>
    <w:p w14:paraId="71C23588"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D04FC6">
        <w:rPr>
          <w:rFonts w:ascii="Times New Roman" w:eastAsia="Times New Roman" w:hAnsi="Times New Roman" w:cs="Times New Roman"/>
          <w:color w:val="222222"/>
          <w:sz w:val="24"/>
          <w:szCs w:val="24"/>
          <w:highlight w:val="white"/>
        </w:rPr>
        <w:t>Gounari</w:t>
      </w:r>
      <w:proofErr w:type="spellEnd"/>
      <w:r w:rsidRPr="00D04FC6">
        <w:rPr>
          <w:rFonts w:ascii="Times New Roman" w:eastAsia="Times New Roman" w:hAnsi="Times New Roman" w:cs="Times New Roman"/>
          <w:color w:val="222222"/>
          <w:sz w:val="24"/>
          <w:szCs w:val="24"/>
          <w:highlight w:val="white"/>
        </w:rPr>
        <w:t xml:space="preserve">, M., Stergiopoulos, G., </w:t>
      </w:r>
      <w:proofErr w:type="spellStart"/>
      <w:r w:rsidRPr="00D04FC6">
        <w:rPr>
          <w:rFonts w:ascii="Times New Roman" w:eastAsia="Times New Roman" w:hAnsi="Times New Roman" w:cs="Times New Roman"/>
          <w:color w:val="222222"/>
          <w:sz w:val="24"/>
          <w:szCs w:val="24"/>
          <w:highlight w:val="white"/>
        </w:rPr>
        <w:t>Pipyros</w:t>
      </w:r>
      <w:proofErr w:type="spellEnd"/>
      <w:r w:rsidRPr="00D04FC6">
        <w:rPr>
          <w:rFonts w:ascii="Times New Roman" w:eastAsia="Times New Roman" w:hAnsi="Times New Roman" w:cs="Times New Roman"/>
          <w:color w:val="222222"/>
          <w:sz w:val="24"/>
          <w:szCs w:val="24"/>
          <w:highlight w:val="white"/>
        </w:rPr>
        <w:t xml:space="preserve">, K. and </w:t>
      </w:r>
      <w:proofErr w:type="spellStart"/>
      <w:r w:rsidRPr="00D04FC6">
        <w:rPr>
          <w:rFonts w:ascii="Times New Roman" w:eastAsia="Times New Roman" w:hAnsi="Times New Roman" w:cs="Times New Roman"/>
          <w:color w:val="222222"/>
          <w:sz w:val="24"/>
          <w:szCs w:val="24"/>
          <w:highlight w:val="white"/>
        </w:rPr>
        <w:t>Gritzalis</w:t>
      </w:r>
      <w:proofErr w:type="spellEnd"/>
      <w:r w:rsidRPr="00D04FC6">
        <w:rPr>
          <w:rFonts w:ascii="Times New Roman" w:eastAsia="Times New Roman" w:hAnsi="Times New Roman" w:cs="Times New Roman"/>
          <w:color w:val="222222"/>
          <w:sz w:val="24"/>
          <w:szCs w:val="24"/>
          <w:highlight w:val="white"/>
        </w:rPr>
        <w:t xml:space="preserve">, D., (2024). Harmonizing open banking in the European Union: an analysis of PSD2 compliance and interrelation with cybersecurity frameworks and standards. </w:t>
      </w:r>
      <w:r w:rsidRPr="00D04FC6">
        <w:rPr>
          <w:rFonts w:ascii="Times New Roman" w:eastAsia="Times New Roman" w:hAnsi="Times New Roman" w:cs="Times New Roman"/>
          <w:i/>
          <w:color w:val="222222"/>
          <w:sz w:val="24"/>
          <w:szCs w:val="24"/>
          <w:highlight w:val="white"/>
        </w:rPr>
        <w:t>International Cybersecurity Law Review</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5</w:t>
      </w:r>
      <w:r w:rsidRPr="00D04FC6">
        <w:rPr>
          <w:rFonts w:ascii="Times New Roman" w:eastAsia="Times New Roman" w:hAnsi="Times New Roman" w:cs="Times New Roman"/>
          <w:color w:val="222222"/>
          <w:sz w:val="24"/>
          <w:szCs w:val="24"/>
          <w:highlight w:val="white"/>
        </w:rPr>
        <w:t xml:space="preserve">(1), pp.79-120. </w:t>
      </w:r>
      <w:hyperlink r:id="rId12">
        <w:r w:rsidRPr="00D04FC6">
          <w:rPr>
            <w:rFonts w:ascii="Times New Roman" w:eastAsia="Times New Roman" w:hAnsi="Times New Roman" w:cs="Times New Roman"/>
            <w:color w:val="1155CC"/>
            <w:sz w:val="24"/>
            <w:szCs w:val="24"/>
            <w:highlight w:val="white"/>
            <w:u w:val="single"/>
          </w:rPr>
          <w:t>https://link.springer.com/article/10.1365/s43439-023-00108-8</w:t>
        </w:r>
      </w:hyperlink>
    </w:p>
    <w:p w14:paraId="428CA59B"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Greenham, T. (2024) </w:t>
      </w:r>
      <w:r w:rsidRPr="00D04FC6">
        <w:rPr>
          <w:rFonts w:ascii="Times New Roman" w:eastAsia="Times New Roman" w:hAnsi="Times New Roman" w:cs="Times New Roman"/>
          <w:i/>
          <w:color w:val="222222"/>
          <w:sz w:val="24"/>
          <w:szCs w:val="24"/>
          <w:highlight w:val="white"/>
        </w:rPr>
        <w:t>Barclays’ Transform Programme: Culture Change or window dressing?</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The Guardian</w:t>
      </w:r>
      <w:r w:rsidRPr="00D04FC6">
        <w:rPr>
          <w:rFonts w:ascii="Times New Roman" w:eastAsia="Times New Roman" w:hAnsi="Times New Roman" w:cs="Times New Roman"/>
          <w:color w:val="222222"/>
          <w:sz w:val="24"/>
          <w:szCs w:val="24"/>
          <w:highlight w:val="white"/>
        </w:rPr>
        <w:t xml:space="preserve">. Available at: https://www.theguardian.com/sustainable-business/barclays-transform-programme-culture-change-window-dressing (Accessed: 09 November 2024). </w:t>
      </w:r>
    </w:p>
    <w:p w14:paraId="28BA073F"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lastRenderedPageBreak/>
        <w:t xml:space="preserve">Harris, R., (2021). Risk aversion in a performativity culture–what can we learn from teachers’ curriculum decision making in history?. </w:t>
      </w:r>
      <w:r w:rsidRPr="00D04FC6">
        <w:rPr>
          <w:rFonts w:ascii="Times New Roman" w:eastAsia="Times New Roman" w:hAnsi="Times New Roman" w:cs="Times New Roman"/>
          <w:i/>
          <w:color w:val="222222"/>
          <w:sz w:val="24"/>
          <w:szCs w:val="24"/>
          <w:highlight w:val="white"/>
        </w:rPr>
        <w:t>Journal of Curriculum Studies</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53</w:t>
      </w:r>
      <w:r w:rsidRPr="00D04FC6">
        <w:rPr>
          <w:rFonts w:ascii="Times New Roman" w:eastAsia="Times New Roman" w:hAnsi="Times New Roman" w:cs="Times New Roman"/>
          <w:color w:val="222222"/>
          <w:sz w:val="24"/>
          <w:szCs w:val="24"/>
          <w:highlight w:val="white"/>
        </w:rPr>
        <w:t xml:space="preserve">(5), pp.659-674. </w:t>
      </w:r>
      <w:hyperlink r:id="rId13">
        <w:r w:rsidRPr="00D04FC6">
          <w:rPr>
            <w:rFonts w:ascii="Times New Roman" w:eastAsia="Times New Roman" w:hAnsi="Times New Roman" w:cs="Times New Roman"/>
            <w:color w:val="1155CC"/>
            <w:sz w:val="24"/>
            <w:szCs w:val="24"/>
            <w:highlight w:val="white"/>
            <w:u w:val="single"/>
          </w:rPr>
          <w:t>https://www.tandfonline.com/doi/abs/10.1080/00220272.2021.1884294</w:t>
        </w:r>
      </w:hyperlink>
    </w:p>
    <w:p w14:paraId="03B4D0DC"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hAnsi="Times New Roman" w:cs="Times New Roman"/>
          <w:color w:val="222222"/>
          <w:sz w:val="24"/>
          <w:szCs w:val="24"/>
          <w:highlight w:val="white"/>
        </w:rPr>
        <w:t xml:space="preserve">Hooi, L.W. and Chan, A.J., (2023). Does workplace digitalization matter in linking transformational leadership and innovative culture to employee engagement?. </w:t>
      </w:r>
      <w:r w:rsidRPr="00D04FC6">
        <w:rPr>
          <w:rFonts w:ascii="Times New Roman" w:hAnsi="Times New Roman" w:cs="Times New Roman"/>
          <w:i/>
          <w:color w:val="222222"/>
          <w:sz w:val="24"/>
          <w:szCs w:val="24"/>
          <w:highlight w:val="white"/>
        </w:rPr>
        <w:t>Journal of Organizational Change Management</w:t>
      </w:r>
      <w:r w:rsidRPr="00D04FC6">
        <w:rPr>
          <w:rFonts w:ascii="Times New Roman" w:hAnsi="Times New Roman" w:cs="Times New Roman"/>
          <w:color w:val="222222"/>
          <w:sz w:val="24"/>
          <w:szCs w:val="24"/>
          <w:highlight w:val="white"/>
        </w:rPr>
        <w:t xml:space="preserve">, </w:t>
      </w:r>
      <w:r w:rsidRPr="00D04FC6">
        <w:rPr>
          <w:rFonts w:ascii="Times New Roman" w:hAnsi="Times New Roman" w:cs="Times New Roman"/>
          <w:i/>
          <w:color w:val="222222"/>
          <w:sz w:val="24"/>
          <w:szCs w:val="24"/>
          <w:highlight w:val="white"/>
        </w:rPr>
        <w:t>36</w:t>
      </w:r>
      <w:r w:rsidRPr="00D04FC6">
        <w:rPr>
          <w:rFonts w:ascii="Times New Roman" w:hAnsi="Times New Roman" w:cs="Times New Roman"/>
          <w:color w:val="222222"/>
          <w:sz w:val="24"/>
          <w:szCs w:val="24"/>
          <w:highlight w:val="white"/>
        </w:rPr>
        <w:t>(2), pp.197-216.https://www.emerald.com/insight/content/doi/10.1108/jocm-06-2022-0184/full/htm</w:t>
      </w:r>
    </w:p>
    <w:p w14:paraId="4ABD3AA6"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Jones, I., (2021). </w:t>
      </w:r>
      <w:r w:rsidRPr="00D04FC6">
        <w:rPr>
          <w:rFonts w:ascii="Times New Roman" w:eastAsia="Times New Roman" w:hAnsi="Times New Roman" w:cs="Times New Roman"/>
          <w:i/>
          <w:color w:val="222222"/>
          <w:sz w:val="24"/>
          <w:szCs w:val="24"/>
          <w:highlight w:val="white"/>
        </w:rPr>
        <w:t>Using the Past: Authenticity, Reliability, and the Role of Archives in Barclays Plc's Use of the Past Strategies</w:t>
      </w:r>
      <w:r w:rsidRPr="00D04FC6">
        <w:rPr>
          <w:rFonts w:ascii="Times New Roman" w:eastAsia="Times New Roman" w:hAnsi="Times New Roman" w:cs="Times New Roman"/>
          <w:color w:val="222222"/>
          <w:sz w:val="24"/>
          <w:szCs w:val="24"/>
          <w:highlight w:val="white"/>
        </w:rPr>
        <w:t>. The University of Liverpool (United Kingdom).</w:t>
      </w:r>
    </w:p>
    <w:p w14:paraId="587FCB05"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Khairy, H.A., Baquero, A. and </w:t>
      </w:r>
      <w:proofErr w:type="spellStart"/>
      <w:r w:rsidRPr="00D04FC6">
        <w:rPr>
          <w:rFonts w:ascii="Times New Roman" w:eastAsia="Times New Roman" w:hAnsi="Times New Roman" w:cs="Times New Roman"/>
          <w:color w:val="222222"/>
          <w:sz w:val="24"/>
          <w:szCs w:val="24"/>
          <w:highlight w:val="white"/>
        </w:rPr>
        <w:t>Al-Romeedy</w:t>
      </w:r>
      <w:proofErr w:type="spellEnd"/>
      <w:r w:rsidRPr="00D04FC6">
        <w:rPr>
          <w:rFonts w:ascii="Times New Roman" w:eastAsia="Times New Roman" w:hAnsi="Times New Roman" w:cs="Times New Roman"/>
          <w:color w:val="222222"/>
          <w:sz w:val="24"/>
          <w:szCs w:val="24"/>
          <w:highlight w:val="white"/>
        </w:rPr>
        <w:t xml:space="preserve">, B.S., (2023). The effect of transactional leadership on organizational agility in tourism and hospitality businesses: The mediating roles of Organizational Trust and Ambidexterity. </w:t>
      </w:r>
      <w:r w:rsidRPr="00D04FC6">
        <w:rPr>
          <w:rFonts w:ascii="Times New Roman" w:eastAsia="Times New Roman" w:hAnsi="Times New Roman" w:cs="Times New Roman"/>
          <w:i/>
          <w:color w:val="222222"/>
          <w:sz w:val="24"/>
          <w:szCs w:val="24"/>
          <w:highlight w:val="white"/>
        </w:rPr>
        <w:t>Sustainability</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15</w:t>
      </w:r>
      <w:r w:rsidRPr="00D04FC6">
        <w:rPr>
          <w:rFonts w:ascii="Times New Roman" w:eastAsia="Times New Roman" w:hAnsi="Times New Roman" w:cs="Times New Roman"/>
          <w:color w:val="222222"/>
          <w:sz w:val="24"/>
          <w:szCs w:val="24"/>
          <w:highlight w:val="white"/>
        </w:rPr>
        <w:t xml:space="preserve">(19), p.14337. </w:t>
      </w:r>
      <w:hyperlink r:id="rId14">
        <w:r w:rsidRPr="00D04FC6">
          <w:rPr>
            <w:rFonts w:ascii="Times New Roman" w:eastAsia="Times New Roman" w:hAnsi="Times New Roman" w:cs="Times New Roman"/>
            <w:color w:val="1155CC"/>
            <w:sz w:val="24"/>
            <w:szCs w:val="24"/>
            <w:highlight w:val="white"/>
            <w:u w:val="single"/>
          </w:rPr>
          <w:t>https://www.mdpi.com/2071-1050/15/19/14337</w:t>
        </w:r>
      </w:hyperlink>
    </w:p>
    <w:p w14:paraId="399C5B0E"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Klimenko, A. (2024) </w:t>
      </w:r>
      <w:r w:rsidRPr="00D04FC6">
        <w:rPr>
          <w:rFonts w:ascii="Times New Roman" w:eastAsia="Times New Roman" w:hAnsi="Times New Roman" w:cs="Times New Roman"/>
          <w:i/>
          <w:color w:val="222222"/>
          <w:sz w:val="24"/>
          <w:szCs w:val="24"/>
          <w:highlight w:val="white"/>
        </w:rPr>
        <w:t>Fintech: Digital Transformation in banking and Financial Services</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Custom Software Development Company</w:t>
      </w:r>
      <w:r w:rsidRPr="00D04FC6">
        <w:rPr>
          <w:rFonts w:ascii="Times New Roman" w:eastAsia="Times New Roman" w:hAnsi="Times New Roman" w:cs="Times New Roman"/>
          <w:color w:val="222222"/>
          <w:sz w:val="24"/>
          <w:szCs w:val="24"/>
          <w:highlight w:val="white"/>
        </w:rPr>
        <w:t xml:space="preserve">. Available at: https://maddevs.io/blog/digital-transformation-in-banking-and-financial-services/ (Accessed: 09 November 2024). </w:t>
      </w:r>
    </w:p>
    <w:p w14:paraId="3E5DF291"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D04FC6">
        <w:rPr>
          <w:rFonts w:ascii="Times New Roman" w:eastAsia="Times New Roman" w:hAnsi="Times New Roman" w:cs="Times New Roman"/>
          <w:color w:val="222222"/>
          <w:sz w:val="24"/>
          <w:szCs w:val="24"/>
          <w:highlight w:val="white"/>
        </w:rPr>
        <w:t>Livemint</w:t>
      </w:r>
      <w:proofErr w:type="spellEnd"/>
      <w:r w:rsidRPr="00D04FC6">
        <w:rPr>
          <w:rFonts w:ascii="Times New Roman" w:eastAsia="Times New Roman" w:hAnsi="Times New Roman" w:cs="Times New Roman"/>
          <w:color w:val="222222"/>
          <w:sz w:val="24"/>
          <w:szCs w:val="24"/>
          <w:highlight w:val="white"/>
        </w:rPr>
        <w:t xml:space="preserve"> (2023) </w:t>
      </w:r>
      <w:r w:rsidRPr="00D04FC6">
        <w:rPr>
          <w:rFonts w:ascii="Times New Roman" w:eastAsia="Times New Roman" w:hAnsi="Times New Roman" w:cs="Times New Roman"/>
          <w:i/>
          <w:color w:val="222222"/>
          <w:sz w:val="24"/>
          <w:szCs w:val="24"/>
          <w:highlight w:val="white"/>
        </w:rPr>
        <w:t xml:space="preserve">Ex-Barclays Bank CEO Jes Staley fined $2.2 </w:t>
      </w:r>
      <w:proofErr w:type="spellStart"/>
      <w:r w:rsidRPr="00D04FC6">
        <w:rPr>
          <w:rFonts w:ascii="Times New Roman" w:eastAsia="Times New Roman" w:hAnsi="Times New Roman" w:cs="Times New Roman"/>
          <w:i/>
          <w:color w:val="222222"/>
          <w:sz w:val="24"/>
          <w:szCs w:val="24"/>
          <w:highlight w:val="white"/>
        </w:rPr>
        <w:t>mn</w:t>
      </w:r>
      <w:proofErr w:type="spellEnd"/>
      <w:r w:rsidRPr="00D04FC6">
        <w:rPr>
          <w:rFonts w:ascii="Times New Roman" w:eastAsia="Times New Roman" w:hAnsi="Times New Roman" w:cs="Times New Roman"/>
          <w:i/>
          <w:color w:val="222222"/>
          <w:sz w:val="24"/>
          <w:szCs w:val="24"/>
          <w:highlight w:val="white"/>
        </w:rPr>
        <w:t>, banned from senior UK financial roles after Epstein Probe</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mint</w:t>
      </w:r>
      <w:r w:rsidRPr="00D04FC6">
        <w:rPr>
          <w:rFonts w:ascii="Times New Roman" w:eastAsia="Times New Roman" w:hAnsi="Times New Roman" w:cs="Times New Roman"/>
          <w:color w:val="222222"/>
          <w:sz w:val="24"/>
          <w:szCs w:val="24"/>
          <w:highlight w:val="white"/>
        </w:rPr>
        <w:t xml:space="preserve">. Available at: https://www.livemint.com/industry/banking/jes-staley-fined-2-2-mn-banned-from-senior-uk-financial-roles-after-epstein-probe-11697111816272.html (Accessed: 09 November 2024). </w:t>
      </w:r>
    </w:p>
    <w:p w14:paraId="352F6D48"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Marous, J. (2022) </w:t>
      </w:r>
      <w:r w:rsidRPr="00D04FC6">
        <w:rPr>
          <w:rFonts w:ascii="Times New Roman" w:eastAsia="Times New Roman" w:hAnsi="Times New Roman" w:cs="Times New Roman"/>
          <w:i/>
          <w:color w:val="222222"/>
          <w:sz w:val="24"/>
          <w:szCs w:val="24"/>
          <w:highlight w:val="white"/>
        </w:rPr>
        <w:t>Digital Transformation in banking requires Big Cultural Shakeups</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The Financial Brand</w:t>
      </w:r>
      <w:r w:rsidRPr="00D04FC6">
        <w:rPr>
          <w:rFonts w:ascii="Times New Roman" w:eastAsia="Times New Roman" w:hAnsi="Times New Roman" w:cs="Times New Roman"/>
          <w:color w:val="222222"/>
          <w:sz w:val="24"/>
          <w:szCs w:val="24"/>
          <w:highlight w:val="white"/>
        </w:rPr>
        <w:t xml:space="preserve">. Available at: https://thefinancialbrand.com/news/bank-culture/banking-culture-change-digital-transformation-cx-risk-73953/ (Accessed: 09 November 2024). </w:t>
      </w:r>
    </w:p>
    <w:p w14:paraId="77803D5E"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Mohan, D., (2020). </w:t>
      </w:r>
      <w:r w:rsidRPr="00D04FC6">
        <w:rPr>
          <w:rFonts w:ascii="Times New Roman" w:eastAsia="Times New Roman" w:hAnsi="Times New Roman" w:cs="Times New Roman"/>
          <w:i/>
          <w:color w:val="222222"/>
          <w:sz w:val="24"/>
          <w:szCs w:val="24"/>
          <w:highlight w:val="white"/>
        </w:rPr>
        <w:t>The financial services guide to Fintech: Driving banking innovation through effective partnerships</w:t>
      </w:r>
      <w:r w:rsidRPr="00D04FC6">
        <w:rPr>
          <w:rFonts w:ascii="Times New Roman" w:eastAsia="Times New Roman" w:hAnsi="Times New Roman" w:cs="Times New Roman"/>
          <w:color w:val="222222"/>
          <w:sz w:val="24"/>
          <w:szCs w:val="24"/>
          <w:highlight w:val="white"/>
        </w:rPr>
        <w:t>. Kogan Page Publishers.</w:t>
      </w:r>
    </w:p>
    <w:p w14:paraId="0DBF33AA"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lastRenderedPageBreak/>
        <w:t xml:space="preserve">Newton, L. and Barnes, V., (2022). Women, uniforms and brand identity in Barclays bank. </w:t>
      </w:r>
      <w:r w:rsidRPr="00D04FC6">
        <w:rPr>
          <w:rFonts w:ascii="Times New Roman" w:eastAsia="Times New Roman" w:hAnsi="Times New Roman" w:cs="Times New Roman"/>
          <w:i/>
          <w:color w:val="222222"/>
          <w:sz w:val="24"/>
          <w:szCs w:val="24"/>
          <w:highlight w:val="white"/>
        </w:rPr>
        <w:t>Business History</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64</w:t>
      </w:r>
      <w:r w:rsidRPr="00D04FC6">
        <w:rPr>
          <w:rFonts w:ascii="Times New Roman" w:eastAsia="Times New Roman" w:hAnsi="Times New Roman" w:cs="Times New Roman"/>
          <w:color w:val="222222"/>
          <w:sz w:val="24"/>
          <w:szCs w:val="24"/>
          <w:highlight w:val="white"/>
        </w:rPr>
        <w:t xml:space="preserve">(4), pp.801-830. </w:t>
      </w:r>
      <w:hyperlink r:id="rId15">
        <w:r w:rsidRPr="00D04FC6">
          <w:rPr>
            <w:rFonts w:ascii="Times New Roman" w:eastAsia="Times New Roman" w:hAnsi="Times New Roman" w:cs="Times New Roman"/>
            <w:color w:val="1155CC"/>
            <w:sz w:val="24"/>
            <w:szCs w:val="24"/>
            <w:highlight w:val="white"/>
            <w:u w:val="single"/>
          </w:rPr>
          <w:t>https://centaur.reading.ac.uk/id/eprint/91026</w:t>
        </w:r>
      </w:hyperlink>
    </w:p>
    <w:p w14:paraId="7B2DC59D"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Openbanking.org.uk (2024) </w:t>
      </w:r>
      <w:r w:rsidRPr="00D04FC6">
        <w:rPr>
          <w:rFonts w:ascii="Times New Roman" w:eastAsia="Times New Roman" w:hAnsi="Times New Roman" w:cs="Times New Roman"/>
          <w:i/>
          <w:color w:val="222222"/>
          <w:sz w:val="24"/>
          <w:szCs w:val="24"/>
          <w:highlight w:val="white"/>
        </w:rPr>
        <w:t>The future development of open banking in the UK</w:t>
      </w:r>
      <w:r w:rsidRPr="00D04FC6">
        <w:rPr>
          <w:rFonts w:ascii="Times New Roman" w:eastAsia="Times New Roman" w:hAnsi="Times New Roman" w:cs="Times New Roman"/>
          <w:color w:val="222222"/>
          <w:sz w:val="24"/>
          <w:szCs w:val="24"/>
          <w:highlight w:val="white"/>
        </w:rPr>
        <w:t xml:space="preserve">. Available at: https://www.openbanking.org.uk/wp-content/uploads/SWG-Report-The-Future-Development-of-Open-Banking-in-the-UK-Feb-2023.pdf (Accessed: 09 November 2024). </w:t>
      </w:r>
    </w:p>
    <w:p w14:paraId="26031578"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D04FC6">
        <w:rPr>
          <w:rFonts w:ascii="Times New Roman" w:eastAsia="Times New Roman" w:hAnsi="Times New Roman" w:cs="Times New Roman"/>
          <w:color w:val="222222"/>
          <w:sz w:val="24"/>
          <w:szCs w:val="24"/>
          <w:highlight w:val="white"/>
        </w:rPr>
        <w:t>Paramitha</w:t>
      </w:r>
      <w:proofErr w:type="spellEnd"/>
      <w:r w:rsidRPr="00D04FC6">
        <w:rPr>
          <w:rFonts w:ascii="Times New Roman" w:eastAsia="Times New Roman" w:hAnsi="Times New Roman" w:cs="Times New Roman"/>
          <w:color w:val="222222"/>
          <w:sz w:val="24"/>
          <w:szCs w:val="24"/>
          <w:highlight w:val="white"/>
        </w:rPr>
        <w:t xml:space="preserve">, T.A., </w:t>
      </w:r>
      <w:proofErr w:type="spellStart"/>
      <w:r w:rsidRPr="00D04FC6">
        <w:rPr>
          <w:rFonts w:ascii="Times New Roman" w:eastAsia="Times New Roman" w:hAnsi="Times New Roman" w:cs="Times New Roman"/>
          <w:color w:val="222222"/>
          <w:sz w:val="24"/>
          <w:szCs w:val="24"/>
          <w:highlight w:val="white"/>
        </w:rPr>
        <w:t>Tobing</w:t>
      </w:r>
      <w:proofErr w:type="spellEnd"/>
      <w:r w:rsidRPr="00D04FC6">
        <w:rPr>
          <w:rFonts w:ascii="Times New Roman" w:eastAsia="Times New Roman" w:hAnsi="Times New Roman" w:cs="Times New Roman"/>
          <w:color w:val="222222"/>
          <w:sz w:val="24"/>
          <w:szCs w:val="24"/>
          <w:highlight w:val="white"/>
        </w:rPr>
        <w:t xml:space="preserve">, D.K. and Suroso, I., (2020). ADKAR Model to Manage Organizational Change. </w:t>
      </w:r>
      <w:r w:rsidRPr="00D04FC6">
        <w:rPr>
          <w:rFonts w:ascii="Times New Roman" w:eastAsia="Times New Roman" w:hAnsi="Times New Roman" w:cs="Times New Roman"/>
          <w:i/>
          <w:color w:val="222222"/>
          <w:sz w:val="24"/>
          <w:szCs w:val="24"/>
          <w:highlight w:val="white"/>
        </w:rPr>
        <w:t>International Journal of Research Science and Management</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7</w:t>
      </w:r>
      <w:r w:rsidRPr="00D04FC6">
        <w:rPr>
          <w:rFonts w:ascii="Times New Roman" w:eastAsia="Times New Roman" w:hAnsi="Times New Roman" w:cs="Times New Roman"/>
          <w:color w:val="222222"/>
          <w:sz w:val="24"/>
          <w:szCs w:val="24"/>
          <w:highlight w:val="white"/>
        </w:rPr>
        <w:t xml:space="preserve">(1), pp.141-149. </w:t>
      </w:r>
      <w:hyperlink r:id="rId16">
        <w:r w:rsidRPr="00D04FC6">
          <w:rPr>
            <w:rFonts w:ascii="Times New Roman" w:eastAsia="Times New Roman" w:hAnsi="Times New Roman" w:cs="Times New Roman"/>
            <w:color w:val="1155CC"/>
            <w:sz w:val="24"/>
            <w:szCs w:val="24"/>
            <w:highlight w:val="white"/>
            <w:u w:val="single"/>
          </w:rPr>
          <w:t>http://ijrsm.com/index.php/journal-ijrsm/article/view/80</w:t>
        </w:r>
      </w:hyperlink>
    </w:p>
    <w:p w14:paraId="5F5B52C4"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Riley, A. (2024) </w:t>
      </w:r>
      <w:r w:rsidRPr="00D04FC6">
        <w:rPr>
          <w:rFonts w:ascii="Times New Roman" w:eastAsia="Times New Roman" w:hAnsi="Times New Roman" w:cs="Times New Roman"/>
          <w:i/>
          <w:color w:val="222222"/>
          <w:sz w:val="24"/>
          <w:szCs w:val="24"/>
          <w:highlight w:val="white"/>
        </w:rPr>
        <w:t>Brexit: Causes and consequences</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CIDOB</w:t>
      </w:r>
      <w:r w:rsidRPr="00D04FC6">
        <w:rPr>
          <w:rFonts w:ascii="Times New Roman" w:eastAsia="Times New Roman" w:hAnsi="Times New Roman" w:cs="Times New Roman"/>
          <w:color w:val="222222"/>
          <w:sz w:val="24"/>
          <w:szCs w:val="24"/>
          <w:highlight w:val="white"/>
        </w:rPr>
        <w:t xml:space="preserve">. Available at: https://www.cidob.org/en/publications/brexit-causes-and-consequences (Accessed: 09 November 2024). </w:t>
      </w:r>
    </w:p>
    <w:p w14:paraId="4D830F8E"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Siwale, L., (2022). </w:t>
      </w:r>
      <w:r w:rsidRPr="00D04FC6">
        <w:rPr>
          <w:rFonts w:ascii="Times New Roman" w:eastAsia="Times New Roman" w:hAnsi="Times New Roman" w:cs="Times New Roman"/>
          <w:i/>
          <w:color w:val="222222"/>
          <w:sz w:val="24"/>
          <w:szCs w:val="24"/>
          <w:highlight w:val="white"/>
        </w:rPr>
        <w:t>Effects of electronic banking on service delivery: a case of Barclays bank plc</w:t>
      </w:r>
      <w:r w:rsidRPr="00D04FC6">
        <w:rPr>
          <w:rFonts w:ascii="Times New Roman" w:eastAsia="Times New Roman" w:hAnsi="Times New Roman" w:cs="Times New Roman"/>
          <w:color w:val="222222"/>
          <w:sz w:val="24"/>
          <w:szCs w:val="24"/>
          <w:highlight w:val="white"/>
        </w:rPr>
        <w:t xml:space="preserve"> (Doctoral dissertation, The University of Zambia). </w:t>
      </w:r>
      <w:hyperlink r:id="rId17">
        <w:r w:rsidRPr="00D04FC6">
          <w:rPr>
            <w:rFonts w:ascii="Times New Roman" w:eastAsia="Times New Roman" w:hAnsi="Times New Roman" w:cs="Times New Roman"/>
            <w:color w:val="1155CC"/>
            <w:sz w:val="24"/>
            <w:szCs w:val="24"/>
            <w:highlight w:val="white"/>
            <w:u w:val="single"/>
          </w:rPr>
          <w:t>https://dspace.unza.zm/handle/123456789/7527</w:t>
        </w:r>
      </w:hyperlink>
    </w:p>
    <w:p w14:paraId="37F89912"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Statista (2024) </w:t>
      </w:r>
      <w:r w:rsidRPr="00D04FC6">
        <w:rPr>
          <w:rFonts w:ascii="Times New Roman" w:eastAsia="Times New Roman" w:hAnsi="Times New Roman" w:cs="Times New Roman"/>
          <w:i/>
          <w:color w:val="222222"/>
          <w:sz w:val="24"/>
          <w:szCs w:val="24"/>
          <w:highlight w:val="white"/>
        </w:rPr>
        <w:t>UK inflation rate 2024</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Statista</w:t>
      </w:r>
      <w:r w:rsidRPr="00D04FC6">
        <w:rPr>
          <w:rFonts w:ascii="Times New Roman" w:eastAsia="Times New Roman" w:hAnsi="Times New Roman" w:cs="Times New Roman"/>
          <w:color w:val="222222"/>
          <w:sz w:val="24"/>
          <w:szCs w:val="24"/>
          <w:highlight w:val="white"/>
        </w:rPr>
        <w:t xml:space="preserve">. Available at: https://www.statista.com/statistics/306648/inflation-rate-consumer-price-index-cpi-united-kingdom-uk/ (Accessed: 09 November 2024). </w:t>
      </w:r>
    </w:p>
    <w:p w14:paraId="57152340"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Tahri, A., (2023). </w:t>
      </w:r>
      <w:r w:rsidRPr="00D04FC6">
        <w:rPr>
          <w:rFonts w:ascii="Times New Roman" w:eastAsia="Times New Roman" w:hAnsi="Times New Roman" w:cs="Times New Roman"/>
          <w:i/>
          <w:color w:val="222222"/>
          <w:sz w:val="24"/>
          <w:szCs w:val="24"/>
          <w:highlight w:val="white"/>
        </w:rPr>
        <w:t>Consumer based brand equity in retail banking industry: a cross analysis of a domestic and global bank operating in the UK (HSBC vs Barclays)</w:t>
      </w:r>
      <w:r w:rsidRPr="00D04FC6">
        <w:rPr>
          <w:rFonts w:ascii="Times New Roman" w:eastAsia="Times New Roman" w:hAnsi="Times New Roman" w:cs="Times New Roman"/>
          <w:color w:val="222222"/>
          <w:sz w:val="24"/>
          <w:szCs w:val="24"/>
          <w:highlight w:val="white"/>
        </w:rPr>
        <w:t xml:space="preserve"> (Doctoral dissertation, Anglia Ruskin Research Online (ARRO)). </w:t>
      </w:r>
      <w:hyperlink r:id="rId18">
        <w:r w:rsidRPr="00D04FC6">
          <w:rPr>
            <w:rFonts w:ascii="Times New Roman" w:eastAsia="Times New Roman" w:hAnsi="Times New Roman" w:cs="Times New Roman"/>
            <w:color w:val="1155CC"/>
            <w:sz w:val="24"/>
            <w:szCs w:val="24"/>
            <w:highlight w:val="white"/>
            <w:u w:val="single"/>
          </w:rPr>
          <w:t>https://aru.figshare.com/articles/thesis/Consumer_based_brand_equity_in_retail_banking_industry_a_cross_analysis_of_a_domestic_and_global_bank_operating_in_the_UK_HSBC_vs_Barclays_/23763126</w:t>
        </w:r>
      </w:hyperlink>
    </w:p>
    <w:p w14:paraId="60F634AD"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The </w:t>
      </w:r>
      <w:proofErr w:type="spellStart"/>
      <w:r w:rsidRPr="00D04FC6">
        <w:rPr>
          <w:rFonts w:ascii="Times New Roman" w:eastAsia="Times New Roman" w:hAnsi="Times New Roman" w:cs="Times New Roman"/>
          <w:color w:val="222222"/>
          <w:sz w:val="24"/>
          <w:szCs w:val="24"/>
          <w:highlight w:val="white"/>
        </w:rPr>
        <w:t>barclays</w:t>
      </w:r>
      <w:proofErr w:type="spellEnd"/>
      <w:r w:rsidRPr="00D04FC6">
        <w:rPr>
          <w:rFonts w:ascii="Times New Roman" w:eastAsia="Times New Roman" w:hAnsi="Times New Roman" w:cs="Times New Roman"/>
          <w:color w:val="222222"/>
          <w:sz w:val="24"/>
          <w:szCs w:val="24"/>
          <w:highlight w:val="white"/>
        </w:rPr>
        <w:t xml:space="preserve"> way (2023) </w:t>
      </w:r>
      <w:r w:rsidRPr="00D04FC6">
        <w:rPr>
          <w:rFonts w:ascii="Times New Roman" w:eastAsia="Times New Roman" w:hAnsi="Times New Roman" w:cs="Times New Roman"/>
          <w:i/>
          <w:color w:val="222222"/>
          <w:sz w:val="24"/>
          <w:szCs w:val="24"/>
          <w:highlight w:val="white"/>
        </w:rPr>
        <w:t xml:space="preserve">The </w:t>
      </w:r>
      <w:proofErr w:type="spellStart"/>
      <w:r w:rsidRPr="00D04FC6">
        <w:rPr>
          <w:rFonts w:ascii="Times New Roman" w:eastAsia="Times New Roman" w:hAnsi="Times New Roman" w:cs="Times New Roman"/>
          <w:i/>
          <w:color w:val="222222"/>
          <w:sz w:val="24"/>
          <w:szCs w:val="24"/>
          <w:highlight w:val="white"/>
        </w:rPr>
        <w:t>barclays</w:t>
      </w:r>
      <w:proofErr w:type="spellEnd"/>
      <w:r w:rsidRPr="00D04FC6">
        <w:rPr>
          <w:rFonts w:ascii="Times New Roman" w:eastAsia="Times New Roman" w:hAnsi="Times New Roman" w:cs="Times New Roman"/>
          <w:i/>
          <w:color w:val="222222"/>
          <w:sz w:val="24"/>
          <w:szCs w:val="24"/>
          <w:highlight w:val="white"/>
        </w:rPr>
        <w:t xml:space="preserve"> way</w:t>
      </w:r>
      <w:r w:rsidRPr="00D04FC6">
        <w:rPr>
          <w:rFonts w:ascii="Times New Roman" w:eastAsia="Times New Roman" w:hAnsi="Times New Roman" w:cs="Times New Roman"/>
          <w:color w:val="222222"/>
          <w:sz w:val="24"/>
          <w:szCs w:val="24"/>
          <w:highlight w:val="white"/>
        </w:rPr>
        <w:t xml:space="preserve">. Available at: https://www.barclays.it/content/dam/barclays-it/modello231/TheBarclaysWay.pdf (Accessed: 09 November 2024). </w:t>
      </w:r>
    </w:p>
    <w:p w14:paraId="604FB64D"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D04FC6">
        <w:rPr>
          <w:rFonts w:ascii="Times New Roman" w:eastAsia="Times New Roman" w:hAnsi="Times New Roman" w:cs="Times New Roman"/>
          <w:color w:val="222222"/>
          <w:sz w:val="24"/>
          <w:szCs w:val="24"/>
          <w:highlight w:val="white"/>
        </w:rPr>
        <w:lastRenderedPageBreak/>
        <w:t>Thefinancialbrand</w:t>
      </w:r>
      <w:proofErr w:type="spellEnd"/>
      <w:r w:rsidRPr="00D04FC6">
        <w:rPr>
          <w:rFonts w:ascii="Times New Roman" w:eastAsia="Times New Roman" w:hAnsi="Times New Roman" w:cs="Times New Roman"/>
          <w:color w:val="222222"/>
          <w:sz w:val="24"/>
          <w:szCs w:val="24"/>
          <w:highlight w:val="white"/>
        </w:rPr>
        <w:t xml:space="preserve"> (2024) </w:t>
      </w:r>
      <w:r w:rsidRPr="00D04FC6">
        <w:rPr>
          <w:rFonts w:ascii="Times New Roman" w:eastAsia="Times New Roman" w:hAnsi="Times New Roman" w:cs="Times New Roman"/>
          <w:i/>
          <w:color w:val="222222"/>
          <w:sz w:val="24"/>
          <w:szCs w:val="24"/>
          <w:highlight w:val="white"/>
        </w:rPr>
        <w:t>6 innovative app features pushing the mobile app experience beyond transactions</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The Financial Brand</w:t>
      </w:r>
      <w:r w:rsidRPr="00D04FC6">
        <w:rPr>
          <w:rFonts w:ascii="Times New Roman" w:eastAsia="Times New Roman" w:hAnsi="Times New Roman" w:cs="Times New Roman"/>
          <w:color w:val="222222"/>
          <w:sz w:val="24"/>
          <w:szCs w:val="24"/>
          <w:highlight w:val="white"/>
        </w:rPr>
        <w:t xml:space="preserve">. Available at: https://thefinancialbrand.com/news/digital-banking/mobile-banking-trends/6-innovative-app-features-pushing-the-mobile-app-experience-beyond-transactions-181894/ (Accessed: 09 November 2024). </w:t>
      </w:r>
    </w:p>
    <w:p w14:paraId="6D117F90" w14:textId="77777777" w:rsidR="00D04FC6" w:rsidRPr="00D04FC6" w:rsidRDefault="00D04FC6">
      <w:pPr>
        <w:spacing w:before="240" w:after="240" w:line="360" w:lineRule="auto"/>
        <w:jc w:val="both"/>
        <w:rPr>
          <w:rFonts w:ascii="Times New Roman" w:eastAsia="Times New Roman" w:hAnsi="Times New Roman" w:cs="Times New Roman"/>
          <w:color w:val="222222"/>
          <w:sz w:val="24"/>
          <w:szCs w:val="24"/>
          <w:highlight w:val="white"/>
        </w:rPr>
      </w:pPr>
      <w:r w:rsidRPr="00D04FC6">
        <w:rPr>
          <w:rFonts w:ascii="Times New Roman" w:eastAsia="Times New Roman" w:hAnsi="Times New Roman" w:cs="Times New Roman"/>
          <w:color w:val="222222"/>
          <w:sz w:val="24"/>
          <w:szCs w:val="24"/>
          <w:highlight w:val="white"/>
        </w:rPr>
        <w:t xml:space="preserve">Zhang, X., Wang, Z., Zhong, X., Yang, S. and </w:t>
      </w:r>
      <w:proofErr w:type="spellStart"/>
      <w:r w:rsidRPr="00D04FC6">
        <w:rPr>
          <w:rFonts w:ascii="Times New Roman" w:eastAsia="Times New Roman" w:hAnsi="Times New Roman" w:cs="Times New Roman"/>
          <w:color w:val="222222"/>
          <w:sz w:val="24"/>
          <w:szCs w:val="24"/>
          <w:highlight w:val="white"/>
        </w:rPr>
        <w:t>Siddik</w:t>
      </w:r>
      <w:proofErr w:type="spellEnd"/>
      <w:r w:rsidRPr="00D04FC6">
        <w:rPr>
          <w:rFonts w:ascii="Times New Roman" w:eastAsia="Times New Roman" w:hAnsi="Times New Roman" w:cs="Times New Roman"/>
          <w:color w:val="222222"/>
          <w:sz w:val="24"/>
          <w:szCs w:val="24"/>
          <w:highlight w:val="white"/>
        </w:rPr>
        <w:t xml:space="preserve">, A.B., (2022). Do green banking activities improve the banks’ environmental performance? The mediating effect of green financing. </w:t>
      </w:r>
      <w:r w:rsidRPr="00D04FC6">
        <w:rPr>
          <w:rFonts w:ascii="Times New Roman" w:eastAsia="Times New Roman" w:hAnsi="Times New Roman" w:cs="Times New Roman"/>
          <w:i/>
          <w:color w:val="222222"/>
          <w:sz w:val="24"/>
          <w:szCs w:val="24"/>
          <w:highlight w:val="white"/>
        </w:rPr>
        <w:t>Sustainability</w:t>
      </w:r>
      <w:r w:rsidRPr="00D04FC6">
        <w:rPr>
          <w:rFonts w:ascii="Times New Roman" w:eastAsia="Times New Roman" w:hAnsi="Times New Roman" w:cs="Times New Roman"/>
          <w:color w:val="222222"/>
          <w:sz w:val="24"/>
          <w:szCs w:val="24"/>
          <w:highlight w:val="white"/>
        </w:rPr>
        <w:t xml:space="preserve">, </w:t>
      </w:r>
      <w:r w:rsidRPr="00D04FC6">
        <w:rPr>
          <w:rFonts w:ascii="Times New Roman" w:eastAsia="Times New Roman" w:hAnsi="Times New Roman" w:cs="Times New Roman"/>
          <w:i/>
          <w:color w:val="222222"/>
          <w:sz w:val="24"/>
          <w:szCs w:val="24"/>
          <w:highlight w:val="white"/>
        </w:rPr>
        <w:t>14</w:t>
      </w:r>
      <w:r w:rsidRPr="00D04FC6">
        <w:rPr>
          <w:rFonts w:ascii="Times New Roman" w:eastAsia="Times New Roman" w:hAnsi="Times New Roman" w:cs="Times New Roman"/>
          <w:color w:val="222222"/>
          <w:sz w:val="24"/>
          <w:szCs w:val="24"/>
          <w:highlight w:val="white"/>
        </w:rPr>
        <w:t xml:space="preserve">(2), p.989. </w:t>
      </w:r>
      <w:hyperlink r:id="rId19">
        <w:r w:rsidRPr="00D04FC6">
          <w:rPr>
            <w:rFonts w:ascii="Times New Roman" w:eastAsia="Times New Roman" w:hAnsi="Times New Roman" w:cs="Times New Roman"/>
            <w:color w:val="1155CC"/>
            <w:sz w:val="24"/>
            <w:szCs w:val="24"/>
            <w:highlight w:val="white"/>
            <w:u w:val="single"/>
          </w:rPr>
          <w:t>https://www.mdpi.com/2071-1050/14/2/989</w:t>
        </w:r>
      </w:hyperlink>
    </w:p>
    <w:p w14:paraId="67FC7431" w14:textId="77777777" w:rsidR="004A4A49" w:rsidRDefault="004A4A49">
      <w:pPr>
        <w:spacing w:before="240" w:after="240" w:line="360" w:lineRule="auto"/>
        <w:jc w:val="both"/>
        <w:rPr>
          <w:rFonts w:ascii="Times New Roman" w:eastAsia="Times New Roman" w:hAnsi="Times New Roman" w:cs="Times New Roman"/>
          <w:color w:val="222222"/>
          <w:sz w:val="24"/>
          <w:szCs w:val="24"/>
          <w:highlight w:val="white"/>
        </w:rPr>
      </w:pPr>
    </w:p>
    <w:p w14:paraId="5B0264D9" w14:textId="77777777" w:rsidR="004A4A49" w:rsidRDefault="004A4A49">
      <w:pPr>
        <w:spacing w:before="240" w:after="240" w:line="360" w:lineRule="auto"/>
        <w:jc w:val="both"/>
        <w:rPr>
          <w:rFonts w:ascii="Times New Roman" w:eastAsia="Times New Roman" w:hAnsi="Times New Roman" w:cs="Times New Roman"/>
          <w:color w:val="222222"/>
          <w:sz w:val="24"/>
          <w:szCs w:val="24"/>
          <w:highlight w:val="white"/>
        </w:rPr>
      </w:pPr>
    </w:p>
    <w:p w14:paraId="05E3CC00" w14:textId="77777777" w:rsidR="004A4A49" w:rsidRDefault="004A4A49">
      <w:pPr>
        <w:spacing w:before="240" w:after="240" w:line="360" w:lineRule="auto"/>
        <w:jc w:val="both"/>
        <w:rPr>
          <w:rFonts w:ascii="Times New Roman" w:eastAsia="Times New Roman" w:hAnsi="Times New Roman" w:cs="Times New Roman"/>
          <w:color w:val="222222"/>
          <w:sz w:val="24"/>
          <w:szCs w:val="24"/>
          <w:highlight w:val="white"/>
        </w:rPr>
      </w:pPr>
    </w:p>
    <w:p w14:paraId="0F15D673" w14:textId="77777777" w:rsidR="004A4A49" w:rsidRDefault="004A4A49">
      <w:pPr>
        <w:spacing w:before="240" w:after="240" w:line="360" w:lineRule="auto"/>
        <w:jc w:val="both"/>
        <w:rPr>
          <w:rFonts w:ascii="Times New Roman" w:eastAsia="Times New Roman" w:hAnsi="Times New Roman" w:cs="Times New Roman"/>
          <w:color w:val="222222"/>
          <w:sz w:val="24"/>
          <w:szCs w:val="24"/>
          <w:highlight w:val="white"/>
        </w:rPr>
      </w:pPr>
    </w:p>
    <w:p w14:paraId="53D0A0F7" w14:textId="77777777" w:rsidR="004A4A49" w:rsidRDefault="004A4A49">
      <w:pPr>
        <w:spacing w:before="240" w:after="240" w:line="360" w:lineRule="auto"/>
        <w:jc w:val="both"/>
        <w:rPr>
          <w:rFonts w:ascii="Times New Roman" w:eastAsia="Times New Roman" w:hAnsi="Times New Roman" w:cs="Times New Roman"/>
          <w:color w:val="222222"/>
          <w:sz w:val="24"/>
          <w:szCs w:val="24"/>
          <w:highlight w:val="white"/>
        </w:rPr>
      </w:pPr>
    </w:p>
    <w:p w14:paraId="05BBFD80" w14:textId="77777777" w:rsidR="004A4A49" w:rsidRDefault="004A4A49">
      <w:pPr>
        <w:spacing w:before="240" w:after="240" w:line="360" w:lineRule="auto"/>
        <w:jc w:val="both"/>
        <w:rPr>
          <w:rFonts w:ascii="Times New Roman" w:eastAsia="Times New Roman" w:hAnsi="Times New Roman" w:cs="Times New Roman"/>
          <w:color w:val="222222"/>
          <w:sz w:val="24"/>
          <w:szCs w:val="24"/>
          <w:highlight w:val="white"/>
        </w:rPr>
      </w:pPr>
    </w:p>
    <w:p w14:paraId="17F8BBD8" w14:textId="77777777" w:rsidR="004A4A49" w:rsidRDefault="004A4A49">
      <w:pPr>
        <w:spacing w:before="240" w:after="240" w:line="360" w:lineRule="auto"/>
        <w:jc w:val="both"/>
        <w:rPr>
          <w:rFonts w:ascii="Times New Roman" w:eastAsia="Times New Roman" w:hAnsi="Times New Roman" w:cs="Times New Roman"/>
          <w:color w:val="222222"/>
          <w:sz w:val="24"/>
          <w:szCs w:val="24"/>
          <w:highlight w:val="white"/>
        </w:rPr>
      </w:pPr>
    </w:p>
    <w:p w14:paraId="3C4B049E" w14:textId="77777777" w:rsidR="004A4A49" w:rsidRDefault="004A4A49">
      <w:pPr>
        <w:spacing w:before="240" w:after="240" w:line="360" w:lineRule="auto"/>
        <w:jc w:val="both"/>
        <w:rPr>
          <w:rFonts w:ascii="Times New Roman" w:eastAsia="Times New Roman" w:hAnsi="Times New Roman" w:cs="Times New Roman"/>
          <w:color w:val="222222"/>
          <w:sz w:val="24"/>
          <w:szCs w:val="24"/>
          <w:highlight w:val="white"/>
        </w:rPr>
      </w:pPr>
    </w:p>
    <w:p w14:paraId="24FCEF40" w14:textId="77777777" w:rsidR="004A4A49" w:rsidRDefault="004A4A49">
      <w:pPr>
        <w:spacing w:before="240" w:after="240" w:line="360" w:lineRule="auto"/>
        <w:jc w:val="both"/>
        <w:rPr>
          <w:rFonts w:ascii="Times New Roman" w:eastAsia="Times New Roman" w:hAnsi="Times New Roman" w:cs="Times New Roman"/>
          <w:color w:val="222222"/>
          <w:sz w:val="24"/>
          <w:szCs w:val="24"/>
          <w:highlight w:val="white"/>
        </w:rPr>
      </w:pPr>
    </w:p>
    <w:p w14:paraId="16733987" w14:textId="77777777" w:rsidR="004A4A49" w:rsidRDefault="004A4A49">
      <w:pPr>
        <w:spacing w:before="240" w:after="240" w:line="360" w:lineRule="auto"/>
        <w:jc w:val="both"/>
        <w:rPr>
          <w:rFonts w:ascii="Times New Roman" w:eastAsia="Times New Roman" w:hAnsi="Times New Roman" w:cs="Times New Roman"/>
          <w:color w:val="222222"/>
          <w:sz w:val="24"/>
          <w:szCs w:val="24"/>
          <w:highlight w:val="white"/>
        </w:rPr>
      </w:pPr>
    </w:p>
    <w:p w14:paraId="5D72AA43" w14:textId="77777777" w:rsidR="004A4A49" w:rsidRDefault="004A4A49">
      <w:pPr>
        <w:spacing w:before="240" w:after="240" w:line="360" w:lineRule="auto"/>
        <w:jc w:val="both"/>
        <w:rPr>
          <w:rFonts w:ascii="Times New Roman" w:eastAsia="Times New Roman" w:hAnsi="Times New Roman" w:cs="Times New Roman"/>
          <w:color w:val="222222"/>
          <w:sz w:val="24"/>
          <w:szCs w:val="24"/>
          <w:highlight w:val="white"/>
        </w:rPr>
      </w:pPr>
    </w:p>
    <w:p w14:paraId="12FAAB5A" w14:textId="77777777" w:rsidR="004A4A49" w:rsidRDefault="004A4A49">
      <w:pPr>
        <w:spacing w:before="240" w:after="240" w:line="360" w:lineRule="auto"/>
        <w:jc w:val="both"/>
        <w:rPr>
          <w:rFonts w:ascii="Times New Roman" w:eastAsia="Times New Roman" w:hAnsi="Times New Roman" w:cs="Times New Roman"/>
          <w:color w:val="222222"/>
          <w:sz w:val="24"/>
          <w:szCs w:val="24"/>
          <w:highlight w:val="white"/>
        </w:rPr>
      </w:pPr>
    </w:p>
    <w:p w14:paraId="358C5B76" w14:textId="77777777" w:rsidR="004A4A49" w:rsidRDefault="004A4A49">
      <w:pPr>
        <w:spacing w:before="240" w:after="240" w:line="360" w:lineRule="auto"/>
        <w:jc w:val="both"/>
        <w:rPr>
          <w:rFonts w:ascii="Times New Roman" w:eastAsia="Times New Roman" w:hAnsi="Times New Roman" w:cs="Times New Roman"/>
          <w:sz w:val="24"/>
          <w:szCs w:val="24"/>
        </w:rPr>
      </w:pPr>
    </w:p>
    <w:p w14:paraId="649D8772" w14:textId="77777777" w:rsidR="004A4A49" w:rsidRDefault="004A4A49"/>
    <w:p w14:paraId="0A62087E" w14:textId="77777777" w:rsidR="004A4A49" w:rsidRDefault="004A4A49">
      <w:pPr>
        <w:spacing w:line="360" w:lineRule="auto"/>
        <w:jc w:val="both"/>
        <w:rPr>
          <w:rFonts w:ascii="Times New Roman" w:eastAsia="Times New Roman" w:hAnsi="Times New Roman" w:cs="Times New Roman"/>
          <w:sz w:val="24"/>
          <w:szCs w:val="24"/>
        </w:rPr>
      </w:pPr>
    </w:p>
    <w:sectPr w:rsidR="004A4A49" w:rsidSect="00D04FC6">
      <w:headerReference w:type="default" r:id="rId20"/>
      <w:footerReference w:type="default" r:id="rId2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9ED56E" w14:textId="77777777" w:rsidR="007C720F" w:rsidRDefault="007C720F">
      <w:pPr>
        <w:spacing w:line="240" w:lineRule="auto"/>
      </w:pPr>
      <w:r>
        <w:separator/>
      </w:r>
    </w:p>
  </w:endnote>
  <w:endnote w:type="continuationSeparator" w:id="0">
    <w:p w14:paraId="25629672" w14:textId="77777777" w:rsidR="007C720F" w:rsidRDefault="007C72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9AD02B" w14:textId="77777777" w:rsidR="004A4A49" w:rsidRDefault="00000000">
    <w:pPr>
      <w:jc w:val="right"/>
    </w:pPr>
    <w:r>
      <w:fldChar w:fldCharType="begin"/>
    </w:r>
    <w:r>
      <w:instrText>PAGE</w:instrText>
    </w:r>
    <w:r>
      <w:fldChar w:fldCharType="separate"/>
    </w:r>
    <w:r w:rsidR="00D04FC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3E55DD" w14:textId="77777777" w:rsidR="007C720F" w:rsidRDefault="007C720F">
      <w:pPr>
        <w:spacing w:line="240" w:lineRule="auto"/>
      </w:pPr>
      <w:r>
        <w:separator/>
      </w:r>
    </w:p>
  </w:footnote>
  <w:footnote w:type="continuationSeparator" w:id="0">
    <w:p w14:paraId="1CFA065C" w14:textId="77777777" w:rsidR="007C720F" w:rsidRDefault="007C72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E8213A" w14:textId="043B794A" w:rsidR="0055485E" w:rsidRDefault="0055485E" w:rsidP="0055485E">
    <w:pPr>
      <w:pStyle w:val="Antet"/>
      <w:jc w:val="right"/>
    </w:pPr>
    <w:r w:rsidRPr="0055485E">
      <w:rPr>
        <w:noProof/>
      </w:rPr>
      <w:drawing>
        <wp:inline distT="0" distB="0" distL="0" distR="0" wp14:anchorId="78A8B311" wp14:editId="7AEA934D">
          <wp:extent cx="2187130" cy="1181202"/>
          <wp:effectExtent l="0" t="0" r="3810" b="0"/>
          <wp:docPr id="534376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376035" name=""/>
                  <pic:cNvPicPr/>
                </pic:nvPicPr>
                <pic:blipFill>
                  <a:blip r:embed="rId1"/>
                  <a:stretch>
                    <a:fillRect/>
                  </a:stretch>
                </pic:blipFill>
                <pic:spPr>
                  <a:xfrm>
                    <a:off x="0" y="0"/>
                    <a:ext cx="2187130" cy="118120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A49"/>
    <w:rsid w:val="001C5C1A"/>
    <w:rsid w:val="00201614"/>
    <w:rsid w:val="00397573"/>
    <w:rsid w:val="003A6D42"/>
    <w:rsid w:val="004A4A49"/>
    <w:rsid w:val="0055485E"/>
    <w:rsid w:val="007C720F"/>
    <w:rsid w:val="00847A46"/>
    <w:rsid w:val="00A04890"/>
    <w:rsid w:val="00CB7A2D"/>
    <w:rsid w:val="00CC36CD"/>
    <w:rsid w:val="00D03AF9"/>
    <w:rsid w:val="00D04FC6"/>
    <w:rsid w:val="00E716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0394E"/>
  <w15:docId w15:val="{64BE7DF5-65AE-416B-9531-568A2BC3F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outlineLvl w:val="0"/>
    </w:pPr>
    <w:rPr>
      <w:rFonts w:ascii="Times New Roman" w:eastAsia="Times New Roman" w:hAnsi="Times New Roman" w:cs="Times New Roman"/>
      <w:b/>
      <w:sz w:val="24"/>
      <w:szCs w:val="24"/>
    </w:rPr>
  </w:style>
  <w:style w:type="paragraph" w:styleId="Titlu2">
    <w:name w:val="heading 2"/>
    <w:basedOn w:val="Normal"/>
    <w:next w:val="Normal"/>
    <w:uiPriority w:val="9"/>
    <w:unhideWhenUsed/>
    <w:qFormat/>
    <w:pPr>
      <w:keepNext/>
      <w:keepLines/>
      <w:outlineLvl w:val="1"/>
    </w:pPr>
    <w:rPr>
      <w:rFonts w:ascii="Times New Roman" w:eastAsia="Times New Roman" w:hAnsi="Times New Roman" w:cs="Times New Roman"/>
      <w:b/>
      <w:sz w:val="24"/>
      <w:szCs w:val="24"/>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Antet">
    <w:name w:val="header"/>
    <w:basedOn w:val="Normal"/>
    <w:link w:val="AntetCaracter"/>
    <w:uiPriority w:val="99"/>
    <w:unhideWhenUsed/>
    <w:rsid w:val="00D04FC6"/>
    <w:pPr>
      <w:tabs>
        <w:tab w:val="center" w:pos="4513"/>
        <w:tab w:val="right" w:pos="9026"/>
      </w:tabs>
      <w:spacing w:line="240" w:lineRule="auto"/>
    </w:pPr>
  </w:style>
  <w:style w:type="character" w:customStyle="1" w:styleId="AntetCaracter">
    <w:name w:val="Antet Caracter"/>
    <w:basedOn w:val="Fontdeparagrafimplicit"/>
    <w:link w:val="Antet"/>
    <w:uiPriority w:val="99"/>
    <w:rsid w:val="00D04FC6"/>
  </w:style>
  <w:style w:type="paragraph" w:styleId="Subsol">
    <w:name w:val="footer"/>
    <w:basedOn w:val="Normal"/>
    <w:link w:val="SubsolCaracter"/>
    <w:uiPriority w:val="99"/>
    <w:unhideWhenUsed/>
    <w:rsid w:val="00D04FC6"/>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D04FC6"/>
  </w:style>
  <w:style w:type="paragraph" w:styleId="Cuprins1">
    <w:name w:val="toc 1"/>
    <w:basedOn w:val="Normal"/>
    <w:next w:val="Normal"/>
    <w:autoRedefine/>
    <w:uiPriority w:val="39"/>
    <w:unhideWhenUsed/>
    <w:rsid w:val="00CC36CD"/>
    <w:pPr>
      <w:spacing w:after="100"/>
    </w:pPr>
  </w:style>
  <w:style w:type="paragraph" w:styleId="Cuprins2">
    <w:name w:val="toc 2"/>
    <w:basedOn w:val="Normal"/>
    <w:next w:val="Normal"/>
    <w:autoRedefine/>
    <w:uiPriority w:val="39"/>
    <w:unhideWhenUsed/>
    <w:rsid w:val="00CC36CD"/>
    <w:pPr>
      <w:spacing w:after="100"/>
      <w:ind w:left="220"/>
    </w:pPr>
  </w:style>
  <w:style w:type="character" w:styleId="Hyperlink">
    <w:name w:val="Hyperlink"/>
    <w:basedOn w:val="Fontdeparagrafimplicit"/>
    <w:uiPriority w:val="99"/>
    <w:unhideWhenUsed/>
    <w:rsid w:val="00CC36C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doi.org/10.1016/j.ijis.2022.12.005" TargetMode="External"/><Relationship Id="rId13" Type="http://schemas.openxmlformats.org/officeDocument/2006/relationships/hyperlink" Target="https://www.tandfonline.com/doi/abs/10.1080/00220272.2021.1884294" TargetMode="External"/><Relationship Id="rId18" Type="http://schemas.openxmlformats.org/officeDocument/2006/relationships/hyperlink" Target="https://aru.figshare.com/articles/thesis/Consumer_based_brand_equity_in_retail_banking_industry_a_cross_analysis_of_a_domestic_and_global_bank_operating_in_the_UK_HSBC_vs_Barclays_/23763126"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hyperlink" Target="https://link.springer.com/article/10.1365/s43439-023-00108-8" TargetMode="External"/><Relationship Id="rId17" Type="http://schemas.openxmlformats.org/officeDocument/2006/relationships/hyperlink" Target="https://dspace.unza.zm/handle/123456789/7527" TargetMode="External"/><Relationship Id="rId2" Type="http://schemas.openxmlformats.org/officeDocument/2006/relationships/settings" Target="settings.xml"/><Relationship Id="rId16" Type="http://schemas.openxmlformats.org/officeDocument/2006/relationships/hyperlink" Target="http://ijrsm.com/index.php/journal-ijrsm/article/view/80"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eprints.soton.ac.uk/490813/" TargetMode="External"/><Relationship Id="rId5" Type="http://schemas.openxmlformats.org/officeDocument/2006/relationships/endnotes" Target="endnotes.xml"/><Relationship Id="rId15" Type="http://schemas.openxmlformats.org/officeDocument/2006/relationships/hyperlink" Target="https://centaur.reading.ac.uk/id/eprint/91026" TargetMode="External"/><Relationship Id="rId23" Type="http://schemas.openxmlformats.org/officeDocument/2006/relationships/theme" Target="theme/theme1.xml"/><Relationship Id="rId10" Type="http://schemas.openxmlformats.org/officeDocument/2006/relationships/hyperlink" Target="https://www.researchgate.net/profile/Adolfo-Carreno/publication/384843798_Strategic_Alignment_in_Program_Management_A_Framework_for_Sustainable_Business_Transformation/links/6709949468e0f20a610d7dc8/Strategic-Alignment-in-Program-Management-A-Framework-for-Sustainable-Business-Transformation.pdf" TargetMode="External"/><Relationship Id="rId19" Type="http://schemas.openxmlformats.org/officeDocument/2006/relationships/hyperlink" Target="https://www.mdpi.com/2071-1050/14/2/989" TargetMode="External"/><Relationship Id="rId4" Type="http://schemas.openxmlformats.org/officeDocument/2006/relationships/footnotes" Target="footnotes.xml"/><Relationship Id="rId9" Type="http://schemas.openxmlformats.org/officeDocument/2006/relationships/hyperlink" Target="http://unipub.lib.uni-corvinus.hu/6443/" TargetMode="External"/><Relationship Id="rId14" Type="http://schemas.openxmlformats.org/officeDocument/2006/relationships/hyperlink" Target="https://www.mdpi.com/2071-1050/15/19/14337"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24</Pages>
  <Words>6749</Words>
  <Characters>39146</Characters>
  <Application>Microsoft Office Word</Application>
  <DocSecurity>0</DocSecurity>
  <Lines>326</Lines>
  <Paragraphs>91</Paragraphs>
  <ScaleCrop>false</ScaleCrop>
  <Company/>
  <LinksUpToDate>false</LinksUpToDate>
  <CharactersWithSpaces>45804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Radu Nitu (2109427)</cp:lastModifiedBy>
  <cp:revision>10</cp:revision>
  <dcterms:created xsi:type="dcterms:W3CDTF">2024-11-09T13:28:00Z</dcterms:created>
  <dcterms:modified xsi:type="dcterms:W3CDTF">2024-11-20T08:34:00Z</dcterms:modified>
</cp:coreProperties>
</file>