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60C8FF" w14:textId="77777777" w:rsidR="00C632A4" w:rsidRDefault="00C632A4" w:rsidP="003C1841">
      <w:pPr>
        <w:tabs>
          <w:tab w:val="left" w:pos="6540"/>
        </w:tabs>
        <w:spacing w:after="160" w:line="360" w:lineRule="auto"/>
        <w:rPr>
          <w:rFonts w:eastAsiaTheme="minorHAnsi"/>
          <w:b/>
          <w:bCs/>
          <w:sz w:val="28"/>
          <w:szCs w:val="28"/>
          <w:lang w:val="en-GB" w:eastAsia="en-US"/>
        </w:rPr>
      </w:pPr>
      <w:r>
        <w:rPr>
          <w:rFonts w:eastAsiaTheme="minorHAnsi"/>
          <w:b/>
          <w:bCs/>
          <w:sz w:val="28"/>
          <w:szCs w:val="28"/>
          <w:lang w:val="en-GB" w:eastAsia="en-US"/>
        </w:rPr>
        <w:t xml:space="preserve">       </w:t>
      </w:r>
    </w:p>
    <w:p w14:paraId="6A5B0CE4" w14:textId="77777777" w:rsidR="00C632A4" w:rsidRDefault="00C632A4" w:rsidP="003C1841">
      <w:pPr>
        <w:tabs>
          <w:tab w:val="left" w:pos="6540"/>
        </w:tabs>
        <w:spacing w:after="160" w:line="360" w:lineRule="auto"/>
        <w:rPr>
          <w:rFonts w:eastAsiaTheme="minorHAnsi"/>
          <w:b/>
          <w:bCs/>
          <w:sz w:val="28"/>
          <w:szCs w:val="28"/>
          <w:lang w:val="en-GB" w:eastAsia="en-US"/>
        </w:rPr>
      </w:pPr>
    </w:p>
    <w:p w14:paraId="2513FBCF" w14:textId="7DD3267E" w:rsidR="00C632A4" w:rsidRDefault="00301602" w:rsidP="003C1841">
      <w:pPr>
        <w:tabs>
          <w:tab w:val="left" w:pos="6540"/>
        </w:tabs>
        <w:spacing w:after="160" w:line="360" w:lineRule="auto"/>
        <w:rPr>
          <w:rFonts w:eastAsiaTheme="minorHAnsi"/>
          <w:b/>
          <w:bCs/>
          <w:sz w:val="28"/>
          <w:szCs w:val="28"/>
          <w:lang w:val="en-GB" w:eastAsia="en-US"/>
        </w:rPr>
      </w:pPr>
      <w:r>
        <w:rPr>
          <w:rFonts w:eastAsiaTheme="minorHAnsi"/>
          <w:b/>
          <w:bCs/>
          <w:sz w:val="28"/>
          <w:szCs w:val="28"/>
          <w:lang w:val="en-GB" w:eastAsia="en-US"/>
        </w:rPr>
        <w:t xml:space="preserve">   </w:t>
      </w:r>
      <w:r w:rsidR="00D20745">
        <w:rPr>
          <w:rFonts w:eastAsiaTheme="minorHAnsi"/>
          <w:b/>
          <w:bCs/>
          <w:sz w:val="28"/>
          <w:szCs w:val="28"/>
          <w:lang w:val="en-GB" w:eastAsia="en-US"/>
        </w:rPr>
        <w:t xml:space="preserve">  </w:t>
      </w:r>
    </w:p>
    <w:p w14:paraId="2A47D4AA" w14:textId="71EEC464" w:rsidR="003C1841" w:rsidRPr="003C1841" w:rsidRDefault="00C632A4" w:rsidP="003C1841">
      <w:pPr>
        <w:tabs>
          <w:tab w:val="left" w:pos="6540"/>
        </w:tabs>
        <w:spacing w:after="160" w:line="360" w:lineRule="auto"/>
        <w:rPr>
          <w:rFonts w:eastAsiaTheme="minorHAnsi"/>
          <w:sz w:val="28"/>
          <w:szCs w:val="28"/>
          <w:lang w:val="en-GB" w:eastAsia="en-US"/>
        </w:rPr>
      </w:pPr>
      <w:r>
        <w:rPr>
          <w:rFonts w:eastAsiaTheme="minorHAnsi"/>
          <w:b/>
          <w:bCs/>
          <w:sz w:val="28"/>
          <w:szCs w:val="28"/>
          <w:lang w:val="en-GB" w:eastAsia="en-US"/>
        </w:rPr>
        <w:t xml:space="preserve">      </w:t>
      </w:r>
      <w:r w:rsidR="00301602">
        <w:rPr>
          <w:rFonts w:eastAsiaTheme="minorHAnsi"/>
          <w:b/>
          <w:bCs/>
          <w:sz w:val="28"/>
          <w:szCs w:val="28"/>
          <w:lang w:val="en-GB" w:eastAsia="en-US"/>
        </w:rPr>
        <w:t xml:space="preserve">      </w:t>
      </w:r>
      <w:r>
        <w:rPr>
          <w:rFonts w:eastAsiaTheme="minorHAnsi"/>
          <w:b/>
          <w:bCs/>
          <w:sz w:val="28"/>
          <w:szCs w:val="28"/>
          <w:lang w:val="en-GB" w:eastAsia="en-US"/>
        </w:rPr>
        <w:t xml:space="preserve"> </w:t>
      </w:r>
      <w:r w:rsidR="00D20745">
        <w:rPr>
          <w:rFonts w:eastAsiaTheme="minorHAnsi"/>
          <w:b/>
          <w:bCs/>
          <w:sz w:val="28"/>
          <w:szCs w:val="28"/>
          <w:lang w:val="en-GB" w:eastAsia="en-US"/>
        </w:rPr>
        <w:t xml:space="preserve">      </w:t>
      </w:r>
      <w:r>
        <w:rPr>
          <w:rFonts w:eastAsiaTheme="minorHAnsi"/>
          <w:b/>
          <w:bCs/>
          <w:sz w:val="28"/>
          <w:szCs w:val="28"/>
          <w:lang w:val="en-GB" w:eastAsia="en-US"/>
        </w:rPr>
        <w:t xml:space="preserve"> </w:t>
      </w:r>
      <w:r w:rsidR="00D20745">
        <w:rPr>
          <w:rFonts w:eastAsiaTheme="minorHAnsi"/>
          <w:b/>
          <w:bCs/>
          <w:sz w:val="28"/>
          <w:szCs w:val="28"/>
          <w:lang w:val="en-GB" w:eastAsia="en-US"/>
        </w:rPr>
        <w:t xml:space="preserve">   </w:t>
      </w:r>
      <w:r>
        <w:rPr>
          <w:rFonts w:eastAsiaTheme="minorHAnsi"/>
          <w:b/>
          <w:bCs/>
          <w:sz w:val="28"/>
          <w:szCs w:val="28"/>
          <w:lang w:val="en-GB" w:eastAsia="en-US"/>
        </w:rPr>
        <w:t xml:space="preserve">     </w:t>
      </w:r>
      <w:r w:rsidR="003C1841" w:rsidRPr="003C1841">
        <w:rPr>
          <w:rFonts w:eastAsiaTheme="minorHAnsi"/>
          <w:b/>
          <w:bCs/>
          <w:sz w:val="28"/>
          <w:szCs w:val="28"/>
          <w:lang w:val="en-GB" w:eastAsia="en-US"/>
        </w:rPr>
        <w:t xml:space="preserve">Student </w:t>
      </w:r>
      <w:proofErr w:type="spellStart"/>
      <w:r w:rsidR="003C1841" w:rsidRPr="003C1841">
        <w:rPr>
          <w:rFonts w:eastAsiaTheme="minorHAnsi"/>
          <w:b/>
          <w:bCs/>
          <w:sz w:val="28"/>
          <w:szCs w:val="28"/>
          <w:lang w:val="en-GB" w:eastAsia="en-US"/>
        </w:rPr>
        <w:t>name</w:t>
      </w:r>
      <w:r w:rsidR="003C1841" w:rsidRPr="003C1841">
        <w:rPr>
          <w:rFonts w:eastAsiaTheme="minorHAnsi"/>
          <w:sz w:val="28"/>
          <w:szCs w:val="28"/>
          <w:lang w:val="en-GB" w:eastAsia="en-US"/>
        </w:rPr>
        <w:t>:</w:t>
      </w:r>
      <w:r w:rsidR="003C1841">
        <w:rPr>
          <w:rFonts w:eastAsiaTheme="minorHAnsi"/>
          <w:sz w:val="28"/>
          <w:szCs w:val="28"/>
          <w:lang w:val="en-GB" w:eastAsia="en-US"/>
        </w:rPr>
        <w:t>Marinela</w:t>
      </w:r>
      <w:proofErr w:type="spellEnd"/>
      <w:r w:rsidR="003C1841">
        <w:rPr>
          <w:rFonts w:eastAsiaTheme="minorHAnsi"/>
          <w:sz w:val="28"/>
          <w:szCs w:val="28"/>
          <w:lang w:val="en-GB" w:eastAsia="en-US"/>
        </w:rPr>
        <w:t xml:space="preserve">- </w:t>
      </w:r>
      <w:proofErr w:type="spellStart"/>
      <w:r w:rsidR="003C1841">
        <w:rPr>
          <w:rFonts w:eastAsiaTheme="minorHAnsi"/>
          <w:sz w:val="28"/>
          <w:szCs w:val="28"/>
          <w:lang w:val="en-GB" w:eastAsia="en-US"/>
        </w:rPr>
        <w:t>Ancuta</w:t>
      </w:r>
      <w:proofErr w:type="spellEnd"/>
      <w:r w:rsidR="003C1841">
        <w:rPr>
          <w:rFonts w:eastAsiaTheme="minorHAnsi"/>
          <w:sz w:val="28"/>
          <w:szCs w:val="28"/>
          <w:lang w:val="en-GB" w:eastAsia="en-US"/>
        </w:rPr>
        <w:t xml:space="preserve"> Szeri </w:t>
      </w:r>
    </w:p>
    <w:p w14:paraId="20B653ED" w14:textId="3C92E5AC" w:rsidR="003C1841" w:rsidRPr="003C1841" w:rsidRDefault="004921EA" w:rsidP="003C1841">
      <w:pPr>
        <w:tabs>
          <w:tab w:val="left" w:pos="6540"/>
        </w:tabs>
        <w:spacing w:after="160" w:line="360" w:lineRule="auto"/>
        <w:rPr>
          <w:rFonts w:eastAsiaTheme="minorHAnsi"/>
          <w:sz w:val="28"/>
          <w:szCs w:val="28"/>
          <w:lang w:val="en-GB" w:eastAsia="en-US"/>
        </w:rPr>
      </w:pPr>
      <w:r>
        <w:rPr>
          <w:rFonts w:eastAsiaTheme="minorHAnsi"/>
          <w:b/>
          <w:bCs/>
          <w:sz w:val="28"/>
          <w:szCs w:val="28"/>
          <w:lang w:val="en-GB" w:eastAsia="en-US"/>
        </w:rPr>
        <w:t xml:space="preserve">                   </w:t>
      </w:r>
      <w:r w:rsidR="00301602">
        <w:rPr>
          <w:rFonts w:eastAsiaTheme="minorHAnsi"/>
          <w:b/>
          <w:bCs/>
          <w:sz w:val="28"/>
          <w:szCs w:val="28"/>
          <w:lang w:val="en-GB" w:eastAsia="en-US"/>
        </w:rPr>
        <w:t xml:space="preserve">           </w:t>
      </w:r>
      <w:r>
        <w:rPr>
          <w:rFonts w:eastAsiaTheme="minorHAnsi"/>
          <w:b/>
          <w:bCs/>
          <w:sz w:val="28"/>
          <w:szCs w:val="28"/>
          <w:lang w:val="en-GB" w:eastAsia="en-US"/>
        </w:rPr>
        <w:t xml:space="preserve">    </w:t>
      </w:r>
      <w:r w:rsidR="00D20745">
        <w:rPr>
          <w:rFonts w:eastAsiaTheme="minorHAnsi"/>
          <w:b/>
          <w:bCs/>
          <w:sz w:val="28"/>
          <w:szCs w:val="28"/>
          <w:lang w:val="en-GB" w:eastAsia="en-US"/>
        </w:rPr>
        <w:t xml:space="preserve">       </w:t>
      </w:r>
      <w:r w:rsidR="003C1841" w:rsidRPr="003C1841">
        <w:rPr>
          <w:rFonts w:eastAsiaTheme="minorHAnsi"/>
          <w:b/>
          <w:bCs/>
          <w:sz w:val="28"/>
          <w:szCs w:val="28"/>
          <w:lang w:val="en-GB" w:eastAsia="en-US"/>
        </w:rPr>
        <w:t>Student ID</w:t>
      </w:r>
      <w:r w:rsidR="003C1841" w:rsidRPr="003C1841">
        <w:rPr>
          <w:rFonts w:eastAsiaTheme="minorHAnsi"/>
          <w:sz w:val="28"/>
          <w:szCs w:val="28"/>
          <w:lang w:val="en-GB" w:eastAsia="en-US"/>
        </w:rPr>
        <w:t>:</w:t>
      </w:r>
      <w:r w:rsidR="00901F8F">
        <w:rPr>
          <w:rFonts w:eastAsiaTheme="minorHAnsi"/>
          <w:sz w:val="28"/>
          <w:szCs w:val="28"/>
          <w:lang w:val="en-GB" w:eastAsia="en-US"/>
        </w:rPr>
        <w:t>1917613</w:t>
      </w:r>
      <w:r w:rsidR="00301602">
        <w:rPr>
          <w:rFonts w:eastAsiaTheme="minorHAnsi"/>
          <w:sz w:val="28"/>
          <w:szCs w:val="28"/>
          <w:lang w:val="en-GB" w:eastAsia="en-US"/>
        </w:rPr>
        <w:t xml:space="preserve"> </w:t>
      </w:r>
    </w:p>
    <w:p w14:paraId="0DBE8098" w14:textId="5615C683" w:rsidR="003C1841" w:rsidRDefault="003C1841" w:rsidP="003C1841">
      <w:pPr>
        <w:tabs>
          <w:tab w:val="left" w:pos="6540"/>
        </w:tabs>
        <w:spacing w:after="160" w:line="360" w:lineRule="auto"/>
        <w:rPr>
          <w:rFonts w:eastAsiaTheme="minorHAnsi"/>
          <w:sz w:val="28"/>
          <w:szCs w:val="28"/>
          <w:lang w:val="en-GB" w:eastAsia="en-US"/>
        </w:rPr>
      </w:pPr>
    </w:p>
    <w:p w14:paraId="1C6D81EF" w14:textId="77777777" w:rsidR="00301602" w:rsidRPr="003C1841" w:rsidRDefault="00301602" w:rsidP="003C1841">
      <w:pPr>
        <w:tabs>
          <w:tab w:val="left" w:pos="6540"/>
        </w:tabs>
        <w:spacing w:after="160" w:line="360" w:lineRule="auto"/>
        <w:rPr>
          <w:rFonts w:eastAsiaTheme="minorHAnsi"/>
          <w:sz w:val="28"/>
          <w:szCs w:val="28"/>
          <w:lang w:val="en-GB" w:eastAsia="en-US"/>
        </w:rPr>
      </w:pPr>
    </w:p>
    <w:p w14:paraId="6058045C" w14:textId="2FDF5F8B" w:rsidR="003C1841" w:rsidRPr="003C1841" w:rsidRDefault="00DE5184" w:rsidP="003C1841">
      <w:pPr>
        <w:tabs>
          <w:tab w:val="left" w:pos="6540"/>
        </w:tabs>
        <w:spacing w:after="160" w:line="360" w:lineRule="auto"/>
        <w:rPr>
          <w:rFonts w:eastAsiaTheme="minorHAnsi"/>
          <w:sz w:val="28"/>
          <w:szCs w:val="28"/>
          <w:lang w:val="en-GB" w:eastAsia="en-US"/>
        </w:rPr>
      </w:pPr>
      <w:r>
        <w:rPr>
          <w:rFonts w:eastAsiaTheme="minorHAnsi"/>
          <w:b/>
          <w:bCs/>
          <w:sz w:val="28"/>
          <w:szCs w:val="28"/>
          <w:lang w:val="en-GB" w:eastAsia="en-US"/>
        </w:rPr>
        <w:t xml:space="preserve">                 </w:t>
      </w:r>
      <w:r w:rsidR="003C1841" w:rsidRPr="003C1841">
        <w:rPr>
          <w:rFonts w:eastAsiaTheme="minorHAnsi"/>
          <w:b/>
          <w:bCs/>
          <w:sz w:val="28"/>
          <w:szCs w:val="28"/>
          <w:lang w:val="en-GB" w:eastAsia="en-US"/>
        </w:rPr>
        <w:t>Module name</w:t>
      </w:r>
      <w:r w:rsidR="003C1841" w:rsidRPr="003C1841">
        <w:rPr>
          <w:rFonts w:eastAsiaTheme="minorHAnsi"/>
          <w:sz w:val="28"/>
          <w:szCs w:val="28"/>
          <w:lang w:val="en-GB" w:eastAsia="en-US"/>
        </w:rPr>
        <w:t>: Children, Young People and Families</w:t>
      </w:r>
    </w:p>
    <w:p w14:paraId="2BAC1FA8" w14:textId="6F2183CA" w:rsidR="003C1841" w:rsidRPr="003C1841" w:rsidRDefault="00DE5184" w:rsidP="003C1841">
      <w:pPr>
        <w:tabs>
          <w:tab w:val="left" w:pos="6540"/>
        </w:tabs>
        <w:spacing w:after="160" w:line="360" w:lineRule="auto"/>
        <w:rPr>
          <w:rFonts w:eastAsiaTheme="minorHAnsi"/>
          <w:sz w:val="28"/>
          <w:szCs w:val="28"/>
          <w:lang w:val="en-GB" w:eastAsia="en-US"/>
        </w:rPr>
      </w:pPr>
      <w:r>
        <w:rPr>
          <w:rFonts w:eastAsiaTheme="minorHAnsi"/>
          <w:b/>
          <w:bCs/>
          <w:sz w:val="28"/>
          <w:szCs w:val="28"/>
          <w:lang w:val="en-GB" w:eastAsia="en-US"/>
        </w:rPr>
        <w:t xml:space="preserve">                             </w:t>
      </w:r>
      <w:r w:rsidR="003C1841" w:rsidRPr="003C1841">
        <w:rPr>
          <w:rFonts w:eastAsiaTheme="minorHAnsi"/>
          <w:b/>
          <w:bCs/>
          <w:sz w:val="28"/>
          <w:szCs w:val="28"/>
          <w:lang w:val="en-GB" w:eastAsia="en-US"/>
        </w:rPr>
        <w:t>Module code</w:t>
      </w:r>
      <w:r w:rsidR="003C1841" w:rsidRPr="003C1841">
        <w:rPr>
          <w:rFonts w:eastAsiaTheme="minorHAnsi"/>
          <w:sz w:val="28"/>
          <w:szCs w:val="28"/>
          <w:lang w:val="en-GB" w:eastAsia="en-US"/>
        </w:rPr>
        <w:t>:</w:t>
      </w:r>
      <w:r w:rsidR="003C1841" w:rsidRPr="003C1841">
        <w:rPr>
          <w:rFonts w:ascii="Times New Roman" w:eastAsiaTheme="minorHAnsi" w:hAnsi="Times New Roman" w:cstheme="minorBidi"/>
          <w:sz w:val="24"/>
          <w:lang w:val="en-GB" w:eastAsia="en-US"/>
        </w:rPr>
        <w:t xml:space="preserve"> </w:t>
      </w:r>
      <w:r w:rsidR="003C1841" w:rsidRPr="003C1841">
        <w:rPr>
          <w:rFonts w:eastAsiaTheme="minorHAnsi"/>
          <w:sz w:val="28"/>
          <w:szCs w:val="28"/>
          <w:lang w:val="en-GB" w:eastAsia="en-US"/>
        </w:rPr>
        <w:t>(BMHP5004_LON)</w:t>
      </w:r>
    </w:p>
    <w:p w14:paraId="05472888" w14:textId="43F5F1FE" w:rsidR="003C1841" w:rsidRPr="003C1841" w:rsidRDefault="00DE5184" w:rsidP="003C1841">
      <w:pPr>
        <w:tabs>
          <w:tab w:val="left" w:pos="6540"/>
        </w:tabs>
        <w:spacing w:after="160" w:line="360" w:lineRule="auto"/>
        <w:rPr>
          <w:rFonts w:eastAsiaTheme="minorHAnsi"/>
          <w:sz w:val="28"/>
          <w:szCs w:val="28"/>
          <w:lang w:val="en-GB" w:eastAsia="en-US"/>
        </w:rPr>
      </w:pPr>
      <w:r>
        <w:rPr>
          <w:rFonts w:eastAsiaTheme="minorHAnsi"/>
          <w:b/>
          <w:bCs/>
          <w:sz w:val="28"/>
          <w:szCs w:val="28"/>
          <w:lang w:val="en-GB" w:eastAsia="en-US"/>
        </w:rPr>
        <w:t xml:space="preserve">                             </w:t>
      </w:r>
      <w:r w:rsidR="003C1841" w:rsidRPr="003C1841">
        <w:rPr>
          <w:rFonts w:eastAsiaTheme="minorHAnsi"/>
          <w:b/>
          <w:bCs/>
          <w:sz w:val="28"/>
          <w:szCs w:val="28"/>
          <w:lang w:val="en-GB" w:eastAsia="en-US"/>
        </w:rPr>
        <w:t>Lecturer name</w:t>
      </w:r>
      <w:r w:rsidR="003C1841" w:rsidRPr="003C1841">
        <w:rPr>
          <w:rFonts w:eastAsiaTheme="minorHAnsi"/>
          <w:sz w:val="28"/>
          <w:szCs w:val="28"/>
          <w:lang w:val="en-GB" w:eastAsia="en-US"/>
        </w:rPr>
        <w:t xml:space="preserve">: </w:t>
      </w:r>
      <w:r w:rsidR="00BD6CFD">
        <w:rPr>
          <w:rFonts w:eastAsiaTheme="minorHAnsi"/>
          <w:sz w:val="28"/>
          <w:szCs w:val="28"/>
          <w:lang w:val="en-GB" w:eastAsia="en-US"/>
        </w:rPr>
        <w:t xml:space="preserve">Bianca </w:t>
      </w:r>
      <w:proofErr w:type="spellStart"/>
      <w:r w:rsidR="00BD6CFD">
        <w:rPr>
          <w:rFonts w:eastAsiaTheme="minorHAnsi"/>
          <w:sz w:val="28"/>
          <w:szCs w:val="28"/>
          <w:lang w:val="en-GB" w:eastAsia="en-US"/>
        </w:rPr>
        <w:t>Sanfilippo</w:t>
      </w:r>
      <w:proofErr w:type="spellEnd"/>
    </w:p>
    <w:p w14:paraId="15EA9B3D" w14:textId="23CBB241" w:rsidR="003C1841" w:rsidRPr="003C1841" w:rsidRDefault="003C1841" w:rsidP="003C1841">
      <w:pPr>
        <w:tabs>
          <w:tab w:val="left" w:pos="6540"/>
        </w:tabs>
        <w:spacing w:after="160" w:line="360" w:lineRule="auto"/>
        <w:rPr>
          <w:rFonts w:eastAsiaTheme="minorHAnsi"/>
          <w:b/>
          <w:bCs/>
          <w:sz w:val="28"/>
          <w:szCs w:val="28"/>
          <w:lang w:val="en-GB" w:eastAsia="en-US"/>
        </w:rPr>
      </w:pPr>
    </w:p>
    <w:p w14:paraId="64521E9E" w14:textId="0A8F4970" w:rsidR="003C1841" w:rsidRDefault="003C1841" w:rsidP="003C1841">
      <w:pPr>
        <w:tabs>
          <w:tab w:val="left" w:pos="6540"/>
        </w:tabs>
        <w:spacing w:after="160" w:line="360" w:lineRule="auto"/>
        <w:rPr>
          <w:rFonts w:eastAsiaTheme="minorHAnsi"/>
          <w:sz w:val="28"/>
          <w:szCs w:val="28"/>
          <w:lang w:val="en-GB" w:eastAsia="en-US"/>
        </w:rPr>
      </w:pPr>
    </w:p>
    <w:p w14:paraId="36011219" w14:textId="62201CB3" w:rsidR="00C632A4" w:rsidRDefault="00C632A4" w:rsidP="003C1841">
      <w:pPr>
        <w:tabs>
          <w:tab w:val="left" w:pos="6540"/>
        </w:tabs>
        <w:spacing w:after="160" w:line="360" w:lineRule="auto"/>
        <w:rPr>
          <w:rFonts w:eastAsiaTheme="minorHAnsi"/>
          <w:sz w:val="28"/>
          <w:szCs w:val="28"/>
          <w:lang w:val="en-GB" w:eastAsia="en-US"/>
        </w:rPr>
      </w:pPr>
    </w:p>
    <w:p w14:paraId="04F9F425" w14:textId="0417DF40" w:rsidR="00C632A4" w:rsidRDefault="00C632A4" w:rsidP="003C1841">
      <w:pPr>
        <w:tabs>
          <w:tab w:val="left" w:pos="6540"/>
        </w:tabs>
        <w:spacing w:after="160" w:line="360" w:lineRule="auto"/>
        <w:rPr>
          <w:rFonts w:eastAsiaTheme="minorHAnsi"/>
          <w:sz w:val="28"/>
          <w:szCs w:val="28"/>
          <w:lang w:val="en-GB" w:eastAsia="en-US"/>
        </w:rPr>
      </w:pPr>
    </w:p>
    <w:p w14:paraId="22DC4962" w14:textId="77F7F1BD" w:rsidR="00C632A4" w:rsidRDefault="00C632A4" w:rsidP="003C1841">
      <w:pPr>
        <w:tabs>
          <w:tab w:val="left" w:pos="6540"/>
        </w:tabs>
        <w:spacing w:after="160" w:line="360" w:lineRule="auto"/>
        <w:rPr>
          <w:rFonts w:eastAsiaTheme="minorHAnsi"/>
          <w:sz w:val="28"/>
          <w:szCs w:val="28"/>
          <w:lang w:val="en-GB" w:eastAsia="en-US"/>
        </w:rPr>
      </w:pPr>
    </w:p>
    <w:p w14:paraId="7E01E840" w14:textId="2A37E48D" w:rsidR="00C632A4" w:rsidRDefault="00C632A4" w:rsidP="003C1841">
      <w:pPr>
        <w:tabs>
          <w:tab w:val="left" w:pos="6540"/>
        </w:tabs>
        <w:spacing w:after="160" w:line="360" w:lineRule="auto"/>
        <w:rPr>
          <w:rFonts w:eastAsiaTheme="minorHAnsi"/>
          <w:sz w:val="28"/>
          <w:szCs w:val="28"/>
          <w:lang w:val="en-GB" w:eastAsia="en-US"/>
        </w:rPr>
      </w:pPr>
    </w:p>
    <w:p w14:paraId="3D47AE18" w14:textId="01EEA364" w:rsidR="00C632A4" w:rsidRDefault="00C632A4" w:rsidP="003C1841">
      <w:pPr>
        <w:tabs>
          <w:tab w:val="left" w:pos="6540"/>
        </w:tabs>
        <w:spacing w:after="160" w:line="360" w:lineRule="auto"/>
        <w:rPr>
          <w:rFonts w:eastAsiaTheme="minorHAnsi"/>
          <w:sz w:val="28"/>
          <w:szCs w:val="28"/>
          <w:lang w:val="en-GB" w:eastAsia="en-US"/>
        </w:rPr>
      </w:pPr>
    </w:p>
    <w:p w14:paraId="3AFEF08C" w14:textId="615EEDB2" w:rsidR="00C632A4" w:rsidRDefault="00C632A4" w:rsidP="003C1841">
      <w:pPr>
        <w:tabs>
          <w:tab w:val="left" w:pos="6540"/>
        </w:tabs>
        <w:spacing w:after="160" w:line="360" w:lineRule="auto"/>
        <w:rPr>
          <w:rFonts w:eastAsiaTheme="minorHAnsi"/>
          <w:sz w:val="28"/>
          <w:szCs w:val="28"/>
          <w:lang w:val="en-GB" w:eastAsia="en-US"/>
        </w:rPr>
      </w:pPr>
    </w:p>
    <w:p w14:paraId="11D1B769" w14:textId="3575E048" w:rsidR="00C632A4" w:rsidRDefault="00C632A4" w:rsidP="003C1841">
      <w:pPr>
        <w:tabs>
          <w:tab w:val="left" w:pos="6540"/>
        </w:tabs>
        <w:spacing w:after="160" w:line="360" w:lineRule="auto"/>
        <w:rPr>
          <w:rFonts w:eastAsiaTheme="minorHAnsi"/>
          <w:sz w:val="28"/>
          <w:szCs w:val="28"/>
          <w:lang w:val="en-GB" w:eastAsia="en-US"/>
        </w:rPr>
      </w:pPr>
    </w:p>
    <w:p w14:paraId="0629F949" w14:textId="134D11CE" w:rsidR="00C632A4" w:rsidRDefault="00C632A4" w:rsidP="003C1841">
      <w:pPr>
        <w:tabs>
          <w:tab w:val="left" w:pos="6540"/>
        </w:tabs>
        <w:spacing w:after="160" w:line="360" w:lineRule="auto"/>
        <w:rPr>
          <w:rFonts w:eastAsiaTheme="minorHAnsi"/>
          <w:sz w:val="28"/>
          <w:szCs w:val="28"/>
          <w:lang w:val="en-GB" w:eastAsia="en-US"/>
        </w:rPr>
      </w:pPr>
    </w:p>
    <w:p w14:paraId="0EB0CCBA" w14:textId="2FAABA96" w:rsidR="00C632A4" w:rsidRDefault="00C632A4" w:rsidP="003C1841">
      <w:pPr>
        <w:tabs>
          <w:tab w:val="left" w:pos="6540"/>
        </w:tabs>
        <w:spacing w:after="160" w:line="360" w:lineRule="auto"/>
        <w:rPr>
          <w:rFonts w:eastAsiaTheme="minorHAnsi"/>
          <w:sz w:val="28"/>
          <w:szCs w:val="28"/>
          <w:lang w:val="en-GB" w:eastAsia="en-US"/>
        </w:rPr>
      </w:pPr>
    </w:p>
    <w:p w14:paraId="43C4DD1D" w14:textId="77777777" w:rsidR="00C632A4" w:rsidRPr="003C1841" w:rsidRDefault="00C632A4" w:rsidP="003C1841">
      <w:pPr>
        <w:tabs>
          <w:tab w:val="left" w:pos="6540"/>
        </w:tabs>
        <w:spacing w:after="160" w:line="360" w:lineRule="auto"/>
        <w:rPr>
          <w:rFonts w:eastAsiaTheme="minorHAnsi"/>
          <w:sz w:val="28"/>
          <w:szCs w:val="28"/>
          <w:lang w:val="en-GB" w:eastAsia="en-US"/>
        </w:rPr>
      </w:pPr>
    </w:p>
    <w:p w14:paraId="00000001" w14:textId="77777777" w:rsidR="00EB1ABF" w:rsidRDefault="00EB1ABF">
      <w:pPr>
        <w:pStyle w:val="Titlu1"/>
        <w:rPr>
          <w:rFonts w:ascii="Times New Roman" w:eastAsia="Times New Roman" w:hAnsi="Times New Roman" w:cs="Times New Roman"/>
        </w:rPr>
      </w:pPr>
    </w:p>
    <w:sdt>
      <w:sdtPr>
        <w:rPr>
          <w:rFonts w:ascii="Arial" w:eastAsia="Arial" w:hAnsi="Arial" w:cs="Arial"/>
          <w:color w:val="auto"/>
          <w:sz w:val="22"/>
          <w:szCs w:val="22"/>
          <w:lang w:val="en" w:eastAsia="en-IN"/>
        </w:rPr>
        <w:id w:val="1777977254"/>
        <w:docPartObj>
          <w:docPartGallery w:val="Table of Contents"/>
          <w:docPartUnique/>
        </w:docPartObj>
      </w:sdtPr>
      <w:sdtEndPr>
        <w:rPr>
          <w:b/>
          <w:bCs/>
          <w:noProof/>
        </w:rPr>
      </w:sdtEndPr>
      <w:sdtContent>
        <w:p w14:paraId="7959B8A5" w14:textId="116A459A" w:rsidR="00510C82" w:rsidRDefault="00510C82">
          <w:pPr>
            <w:pStyle w:val="Titlucuprins"/>
          </w:pPr>
          <w:r>
            <w:t>Contents</w:t>
          </w:r>
        </w:p>
        <w:p w14:paraId="7B30E5C7" w14:textId="1A4317F9" w:rsidR="00510C82" w:rsidRDefault="00510C82">
          <w:pPr>
            <w:pStyle w:val="Cuprins1"/>
            <w:tabs>
              <w:tab w:val="right" w:leader="dot" w:pos="9350"/>
            </w:tabs>
            <w:rPr>
              <w:noProof/>
            </w:rPr>
          </w:pPr>
          <w:r>
            <w:fldChar w:fldCharType="begin"/>
          </w:r>
          <w:r>
            <w:instrText xml:space="preserve"> TOC \o "1-3" \h \z \u </w:instrText>
          </w:r>
          <w:r>
            <w:fldChar w:fldCharType="separate"/>
          </w:r>
          <w:hyperlink w:anchor="_Toc78207541" w:history="1">
            <w:r w:rsidRPr="00FA43A6">
              <w:rPr>
                <w:rStyle w:val="Hyperlink"/>
                <w:rFonts w:ascii="Times New Roman" w:eastAsia="Times New Roman" w:hAnsi="Times New Roman" w:cs="Times New Roman"/>
                <w:noProof/>
              </w:rPr>
              <w:t>Introduction</w:t>
            </w:r>
            <w:r>
              <w:rPr>
                <w:noProof/>
                <w:webHidden/>
              </w:rPr>
              <w:tab/>
            </w:r>
            <w:r>
              <w:rPr>
                <w:noProof/>
                <w:webHidden/>
              </w:rPr>
              <w:fldChar w:fldCharType="begin"/>
            </w:r>
            <w:r>
              <w:rPr>
                <w:noProof/>
                <w:webHidden/>
              </w:rPr>
              <w:instrText xml:space="preserve"> PAGEREF _Toc78207541 \h </w:instrText>
            </w:r>
            <w:r>
              <w:rPr>
                <w:noProof/>
                <w:webHidden/>
              </w:rPr>
            </w:r>
            <w:r>
              <w:rPr>
                <w:noProof/>
                <w:webHidden/>
              </w:rPr>
              <w:fldChar w:fldCharType="separate"/>
            </w:r>
            <w:r>
              <w:rPr>
                <w:noProof/>
                <w:webHidden/>
              </w:rPr>
              <w:t>1</w:t>
            </w:r>
            <w:r>
              <w:rPr>
                <w:noProof/>
                <w:webHidden/>
              </w:rPr>
              <w:fldChar w:fldCharType="end"/>
            </w:r>
          </w:hyperlink>
        </w:p>
        <w:p w14:paraId="1DEBEA2C" w14:textId="793E117E" w:rsidR="00510C82" w:rsidRDefault="00DE5184" w:rsidP="00510C82">
          <w:pPr>
            <w:pStyle w:val="Cuprins2"/>
            <w:tabs>
              <w:tab w:val="right" w:leader="dot" w:pos="9350"/>
            </w:tabs>
            <w:ind w:left="0"/>
            <w:rPr>
              <w:noProof/>
            </w:rPr>
          </w:pPr>
          <w:hyperlink w:anchor="_Toc78207542" w:history="1">
            <w:r w:rsidR="00510C82" w:rsidRPr="00FA43A6">
              <w:rPr>
                <w:rStyle w:val="Hyperlink"/>
                <w:rFonts w:ascii="Times New Roman" w:eastAsia="Times New Roman" w:hAnsi="Times New Roman" w:cs="Times New Roman"/>
                <w:noProof/>
              </w:rPr>
              <w:t>Conclusion</w:t>
            </w:r>
            <w:r w:rsidR="00510C82">
              <w:rPr>
                <w:noProof/>
                <w:webHidden/>
              </w:rPr>
              <w:tab/>
            </w:r>
            <w:r w:rsidR="00510C82">
              <w:rPr>
                <w:noProof/>
                <w:webHidden/>
              </w:rPr>
              <w:fldChar w:fldCharType="begin"/>
            </w:r>
            <w:r w:rsidR="00510C82">
              <w:rPr>
                <w:noProof/>
                <w:webHidden/>
              </w:rPr>
              <w:instrText xml:space="preserve"> PAGEREF _Toc78207542 \h </w:instrText>
            </w:r>
            <w:r w:rsidR="00510C82">
              <w:rPr>
                <w:noProof/>
                <w:webHidden/>
              </w:rPr>
            </w:r>
            <w:r w:rsidR="00510C82">
              <w:rPr>
                <w:noProof/>
                <w:webHidden/>
              </w:rPr>
              <w:fldChar w:fldCharType="separate"/>
            </w:r>
            <w:r w:rsidR="00510C82">
              <w:rPr>
                <w:noProof/>
                <w:webHidden/>
              </w:rPr>
              <w:t>2</w:t>
            </w:r>
            <w:r w:rsidR="00510C82">
              <w:rPr>
                <w:noProof/>
                <w:webHidden/>
              </w:rPr>
              <w:fldChar w:fldCharType="end"/>
            </w:r>
          </w:hyperlink>
        </w:p>
        <w:p w14:paraId="7E835C98" w14:textId="1E6FCF3C" w:rsidR="00510C82" w:rsidRDefault="00DE5184" w:rsidP="00510C82">
          <w:pPr>
            <w:pStyle w:val="Cuprins2"/>
            <w:tabs>
              <w:tab w:val="right" w:leader="dot" w:pos="9350"/>
            </w:tabs>
            <w:ind w:left="0"/>
            <w:rPr>
              <w:noProof/>
            </w:rPr>
          </w:pPr>
          <w:hyperlink w:anchor="_Toc78207543" w:history="1">
            <w:r w:rsidR="00510C82" w:rsidRPr="00FA43A6">
              <w:rPr>
                <w:rStyle w:val="Hyperlink"/>
                <w:rFonts w:ascii="Times New Roman" w:eastAsia="Times New Roman" w:hAnsi="Times New Roman" w:cs="Times New Roman"/>
                <w:noProof/>
              </w:rPr>
              <w:t>Reference</w:t>
            </w:r>
            <w:r w:rsidR="00510C82">
              <w:rPr>
                <w:noProof/>
                <w:webHidden/>
              </w:rPr>
              <w:tab/>
            </w:r>
            <w:r w:rsidR="00510C82">
              <w:rPr>
                <w:noProof/>
                <w:webHidden/>
              </w:rPr>
              <w:fldChar w:fldCharType="begin"/>
            </w:r>
            <w:r w:rsidR="00510C82">
              <w:rPr>
                <w:noProof/>
                <w:webHidden/>
              </w:rPr>
              <w:instrText xml:space="preserve"> PAGEREF _Toc78207543 \h </w:instrText>
            </w:r>
            <w:r w:rsidR="00510C82">
              <w:rPr>
                <w:noProof/>
                <w:webHidden/>
              </w:rPr>
            </w:r>
            <w:r w:rsidR="00510C82">
              <w:rPr>
                <w:noProof/>
                <w:webHidden/>
              </w:rPr>
              <w:fldChar w:fldCharType="separate"/>
            </w:r>
            <w:r w:rsidR="00510C82">
              <w:rPr>
                <w:noProof/>
                <w:webHidden/>
              </w:rPr>
              <w:t>2</w:t>
            </w:r>
            <w:r w:rsidR="00510C82">
              <w:rPr>
                <w:noProof/>
                <w:webHidden/>
              </w:rPr>
              <w:fldChar w:fldCharType="end"/>
            </w:r>
          </w:hyperlink>
        </w:p>
        <w:p w14:paraId="020D82B6" w14:textId="426E02B2" w:rsidR="00510C82" w:rsidRDefault="00510C82">
          <w:r>
            <w:rPr>
              <w:b/>
              <w:bCs/>
              <w:noProof/>
            </w:rPr>
            <w:fldChar w:fldCharType="end"/>
          </w:r>
        </w:p>
      </w:sdtContent>
    </w:sdt>
    <w:p w14:paraId="00000005" w14:textId="77777777" w:rsidR="00EB1ABF" w:rsidRDefault="00EB1ABF">
      <w:pPr>
        <w:rPr>
          <w:rFonts w:ascii="Times New Roman" w:eastAsia="Times New Roman" w:hAnsi="Times New Roman" w:cs="Times New Roman"/>
        </w:rPr>
      </w:pPr>
    </w:p>
    <w:p w14:paraId="00000006" w14:textId="77777777" w:rsidR="00EB1ABF" w:rsidRDefault="00EB1ABF">
      <w:pPr>
        <w:pStyle w:val="Titlu1"/>
        <w:rPr>
          <w:rFonts w:ascii="Times New Roman" w:eastAsia="Times New Roman" w:hAnsi="Times New Roman" w:cs="Times New Roman"/>
        </w:rPr>
      </w:pPr>
      <w:bookmarkStart w:id="0" w:name="_hszr6i2p7lhu" w:colFirst="0" w:colLast="0"/>
      <w:bookmarkEnd w:id="0"/>
    </w:p>
    <w:p w14:paraId="57F02E11" w14:textId="77777777" w:rsidR="00510C82" w:rsidRDefault="00510C82">
      <w:pPr>
        <w:rPr>
          <w:rFonts w:ascii="Times New Roman" w:eastAsia="Times New Roman" w:hAnsi="Times New Roman" w:cs="Times New Roman"/>
          <w:sz w:val="40"/>
          <w:szCs w:val="40"/>
        </w:rPr>
      </w:pPr>
      <w:bookmarkStart w:id="1" w:name="_Toc78207541"/>
      <w:r>
        <w:rPr>
          <w:rFonts w:ascii="Times New Roman" w:eastAsia="Times New Roman" w:hAnsi="Times New Roman" w:cs="Times New Roman"/>
        </w:rPr>
        <w:br w:type="page"/>
      </w:r>
    </w:p>
    <w:p w14:paraId="00000007" w14:textId="4360141B" w:rsidR="00EB1ABF" w:rsidRDefault="00510C82">
      <w:pPr>
        <w:pStyle w:val="Titlu1"/>
        <w:rPr>
          <w:rFonts w:ascii="Times New Roman" w:eastAsia="Times New Roman" w:hAnsi="Times New Roman" w:cs="Times New Roman"/>
        </w:rPr>
      </w:pPr>
      <w:r>
        <w:rPr>
          <w:rFonts w:ascii="Times New Roman" w:eastAsia="Times New Roman" w:hAnsi="Times New Roman" w:cs="Times New Roman"/>
        </w:rPr>
        <w:lastRenderedPageBreak/>
        <w:t>Introduction</w:t>
      </w:r>
      <w:bookmarkEnd w:id="1"/>
      <w:r>
        <w:rPr>
          <w:rFonts w:ascii="Times New Roman" w:eastAsia="Times New Roman" w:hAnsi="Times New Roman" w:cs="Times New Roman"/>
        </w:rPr>
        <w:t xml:space="preserve"> </w:t>
      </w:r>
    </w:p>
    <w:p w14:paraId="00000008" w14:textId="77777777" w:rsidR="00EB1ABF" w:rsidRDefault="00510C82">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Childhood is defined as the period of time between birth and adolescence. According to Piaget's theory of cognitive development, childhood is divided into two phases: the pre-operational and concrete operational stages. In developmental psychology, infancy is split into the phases of childhood, early childhood, mid-age and adolescence of development. A variety of earlier events can influence a child’s attitude formation (</w:t>
      </w:r>
      <w:proofErr w:type="spellStart"/>
      <w:r>
        <w:rPr>
          <w:rFonts w:ascii="Times New Roman" w:eastAsia="Times New Roman" w:hAnsi="Times New Roman" w:cs="Times New Roman"/>
          <w:color w:val="222222"/>
          <w:sz w:val="24"/>
          <w:szCs w:val="24"/>
          <w:highlight w:val="white"/>
        </w:rPr>
        <w:t>Masten</w:t>
      </w:r>
      <w:proofErr w:type="spellEnd"/>
      <w:r>
        <w:rPr>
          <w:rFonts w:ascii="Times New Roman" w:eastAsia="Times New Roman" w:hAnsi="Times New Roman" w:cs="Times New Roman"/>
          <w:color w:val="222222"/>
          <w:sz w:val="24"/>
          <w:szCs w:val="24"/>
          <w:highlight w:val="white"/>
        </w:rPr>
        <w:t xml:space="preserve"> and </w:t>
      </w:r>
      <w:proofErr w:type="spellStart"/>
      <w:r>
        <w:rPr>
          <w:rFonts w:ascii="Times New Roman" w:eastAsia="Times New Roman" w:hAnsi="Times New Roman" w:cs="Times New Roman"/>
          <w:color w:val="222222"/>
          <w:sz w:val="24"/>
          <w:szCs w:val="24"/>
          <w:highlight w:val="white"/>
        </w:rPr>
        <w:t>Barnes,2018</w:t>
      </w:r>
      <w:proofErr w:type="spellEnd"/>
      <w:r>
        <w:rPr>
          <w:rFonts w:ascii="Times New Roman" w:eastAsia="Times New Roman" w:hAnsi="Times New Roman" w:cs="Times New Roman"/>
          <w:sz w:val="24"/>
          <w:szCs w:val="24"/>
        </w:rPr>
        <w:t>). The legal definition of childhood is that of a minority time from childhood to maturity. The maturity age depends on the location and function. Childhood is defined biologically as the stage of a human organism between birth and puberty (</w:t>
      </w:r>
      <w:r>
        <w:rPr>
          <w:rFonts w:ascii="Times New Roman" w:eastAsia="Times New Roman" w:hAnsi="Times New Roman" w:cs="Times New Roman"/>
          <w:color w:val="222222"/>
          <w:sz w:val="24"/>
          <w:szCs w:val="24"/>
          <w:highlight w:val="white"/>
        </w:rPr>
        <w:t>Chetty et al,2018</w:t>
      </w:r>
      <w:r>
        <w:rPr>
          <w:rFonts w:ascii="Times New Roman" w:eastAsia="Times New Roman" w:hAnsi="Times New Roman" w:cs="Times New Roman"/>
          <w:sz w:val="24"/>
          <w:szCs w:val="24"/>
        </w:rPr>
        <w:t>). The first year of life is referred to as infancy, and it is the subject of the term Infancy. The remaining years until adolescence are classified into three categories: early childhood (1–5), middle childhood (6–10), and pre-adolescence (11–12 years). This essay will discuss the relationship between family and child from a very young age to adolescence, policies and aspects (</w:t>
      </w:r>
      <w:r>
        <w:rPr>
          <w:rFonts w:ascii="Times New Roman" w:eastAsia="Times New Roman" w:hAnsi="Times New Roman" w:cs="Times New Roman"/>
          <w:color w:val="222222"/>
          <w:sz w:val="24"/>
          <w:szCs w:val="24"/>
          <w:highlight w:val="white"/>
        </w:rPr>
        <w:t>Bell,2020</w:t>
      </w:r>
      <w:r>
        <w:rPr>
          <w:rFonts w:ascii="Times New Roman" w:eastAsia="Times New Roman" w:hAnsi="Times New Roman" w:cs="Times New Roman"/>
          <w:sz w:val="24"/>
          <w:szCs w:val="24"/>
        </w:rPr>
        <w:t>).</w:t>
      </w:r>
    </w:p>
    <w:p w14:paraId="00000009" w14:textId="77777777" w:rsidR="00EB1ABF" w:rsidRDefault="00510C82">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Humans rely significantly on children's development learning. Since we don't come to life knowing how to act in society, we have to learn a lot about the </w:t>
      </w:r>
      <w:proofErr w:type="spellStart"/>
      <w:r>
        <w:rPr>
          <w:rFonts w:ascii="Times New Roman" w:eastAsia="Times New Roman" w:hAnsi="Times New Roman" w:cs="Times New Roman"/>
          <w:sz w:val="24"/>
          <w:szCs w:val="24"/>
        </w:rPr>
        <w:t>behaviours</w:t>
      </w:r>
      <w:proofErr w:type="spellEnd"/>
      <w:r>
        <w:rPr>
          <w:rFonts w:ascii="Times New Roman" w:eastAsia="Times New Roman" w:hAnsi="Times New Roman" w:cs="Times New Roman"/>
          <w:sz w:val="24"/>
          <w:szCs w:val="24"/>
        </w:rPr>
        <w:t xml:space="preserve"> from our surroundings. This education starts with the family at home for most of us. There are numerous ways of learning. Sometimes children learn something immediately by being told. The most frequent approach for youngsters to remember, however, is via daily observation (</w:t>
      </w:r>
      <w:proofErr w:type="spellStart"/>
      <w:r>
        <w:rPr>
          <w:rFonts w:ascii="Times New Roman" w:eastAsia="Times New Roman" w:hAnsi="Times New Roman" w:cs="Times New Roman"/>
          <w:color w:val="222222"/>
          <w:sz w:val="24"/>
          <w:szCs w:val="24"/>
          <w:highlight w:val="white"/>
        </w:rPr>
        <w:t>Tinanoff</w:t>
      </w:r>
      <w:proofErr w:type="spellEnd"/>
      <w:r>
        <w:rPr>
          <w:rFonts w:ascii="Times New Roman" w:eastAsia="Times New Roman" w:hAnsi="Times New Roman" w:cs="Times New Roman"/>
          <w:color w:val="222222"/>
          <w:sz w:val="24"/>
          <w:szCs w:val="24"/>
          <w:highlight w:val="white"/>
        </w:rPr>
        <w:t xml:space="preserve"> et al,2019</w:t>
      </w:r>
      <w:r>
        <w:rPr>
          <w:rFonts w:ascii="Times New Roman" w:eastAsia="Times New Roman" w:hAnsi="Times New Roman" w:cs="Times New Roman"/>
          <w:sz w:val="24"/>
          <w:szCs w:val="24"/>
        </w:rPr>
        <w:t xml:space="preserve">). Their families mainly impact the learning and </w:t>
      </w:r>
      <w:proofErr w:type="spellStart"/>
      <w:r>
        <w:rPr>
          <w:rFonts w:ascii="Times New Roman" w:eastAsia="Times New Roman" w:hAnsi="Times New Roman" w:cs="Times New Roman"/>
          <w:sz w:val="24"/>
          <w:szCs w:val="24"/>
        </w:rPr>
        <w:t>socialisation</w:t>
      </w:r>
      <w:proofErr w:type="spellEnd"/>
      <w:r>
        <w:rPr>
          <w:rFonts w:ascii="Times New Roman" w:eastAsia="Times New Roman" w:hAnsi="Times New Roman" w:cs="Times New Roman"/>
          <w:sz w:val="24"/>
          <w:szCs w:val="24"/>
        </w:rPr>
        <w:t xml:space="preserve"> of children as the family is the primary social group of children. The physical, emotional, social and intellectual growth of the child unfolds during this period. To create an analogy, one must make sure that the structure has a strong foundation if they build a huge one so that for many years the remainder of the building may be enormous and intense (</w:t>
      </w:r>
      <w:r>
        <w:rPr>
          <w:rFonts w:ascii="Times New Roman" w:eastAsia="Times New Roman" w:hAnsi="Times New Roman" w:cs="Times New Roman"/>
          <w:color w:val="222222"/>
          <w:sz w:val="24"/>
          <w:szCs w:val="24"/>
          <w:highlight w:val="white"/>
        </w:rPr>
        <w:t>García et al,2017</w:t>
      </w:r>
      <w:r>
        <w:rPr>
          <w:rFonts w:ascii="Times New Roman" w:eastAsia="Times New Roman" w:hAnsi="Times New Roman" w:cs="Times New Roman"/>
          <w:sz w:val="24"/>
          <w:szCs w:val="24"/>
        </w:rPr>
        <w:t xml:space="preserve">). The building will have problems standing alone if the foundation isn't solid. Just as with individuals, it is harder to be successful in relationships, jobs, health and ourselves if the foundations are not strong. So, the importance of the family in a child's growth can not be </w:t>
      </w:r>
      <w:proofErr w:type="spellStart"/>
      <w:r>
        <w:rPr>
          <w:rFonts w:ascii="Times New Roman" w:eastAsia="Times New Roman" w:hAnsi="Times New Roman" w:cs="Times New Roman"/>
          <w:sz w:val="24"/>
          <w:szCs w:val="24"/>
        </w:rPr>
        <w:t>emphasised</w:t>
      </w:r>
      <w:proofErr w:type="spellEnd"/>
      <w:r>
        <w:rPr>
          <w:rFonts w:ascii="Times New Roman" w:eastAsia="Times New Roman" w:hAnsi="Times New Roman" w:cs="Times New Roman"/>
          <w:sz w:val="24"/>
          <w:szCs w:val="24"/>
        </w:rPr>
        <w:t xml:space="preserve"> enough. Throughout the end, the family will be responsible for moulding a child in such early development phases and will influence their beliefs, capabilities, </w:t>
      </w:r>
      <w:proofErr w:type="spellStart"/>
      <w:r>
        <w:rPr>
          <w:rFonts w:ascii="Times New Roman" w:eastAsia="Times New Roman" w:hAnsi="Times New Roman" w:cs="Times New Roman"/>
          <w:sz w:val="24"/>
          <w:szCs w:val="24"/>
        </w:rPr>
        <w:t>socialisation</w:t>
      </w:r>
      <w:proofErr w:type="spellEnd"/>
      <w:r>
        <w:rPr>
          <w:rFonts w:ascii="Times New Roman" w:eastAsia="Times New Roman" w:hAnsi="Times New Roman" w:cs="Times New Roman"/>
          <w:sz w:val="24"/>
          <w:szCs w:val="24"/>
        </w:rPr>
        <w:t xml:space="preserve"> and security.</w:t>
      </w:r>
    </w:p>
    <w:p w14:paraId="0000000A" w14:textId="77777777" w:rsidR="00EB1ABF" w:rsidRDefault="00510C82">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Childhood is thought to be a recent phenomenon, according to certain historians of childhood. As a result, it is a contemporary invention that has given children a unique place in society (</w:t>
      </w:r>
      <w:r>
        <w:rPr>
          <w:rFonts w:ascii="Times New Roman" w:eastAsia="Times New Roman" w:hAnsi="Times New Roman" w:cs="Times New Roman"/>
          <w:color w:val="222222"/>
          <w:sz w:val="24"/>
          <w:szCs w:val="24"/>
          <w:highlight w:val="white"/>
        </w:rPr>
        <w:t xml:space="preserve">Almond, </w:t>
      </w:r>
      <w:r>
        <w:rPr>
          <w:rFonts w:ascii="Times New Roman" w:eastAsia="Times New Roman" w:hAnsi="Times New Roman" w:cs="Times New Roman"/>
          <w:color w:val="222222"/>
          <w:sz w:val="24"/>
          <w:szCs w:val="24"/>
          <w:highlight w:val="white"/>
        </w:rPr>
        <w:lastRenderedPageBreak/>
        <w:t>Currie and Duque,2018</w:t>
      </w:r>
      <w:r>
        <w:rPr>
          <w:rFonts w:ascii="Times New Roman" w:eastAsia="Times New Roman" w:hAnsi="Times New Roman" w:cs="Times New Roman"/>
          <w:sz w:val="24"/>
          <w:szCs w:val="24"/>
        </w:rPr>
        <w:t>). Indeed, some historians believe that the concept of childhood as a separate stage of life did not emerge until the 16th century. A child was regarded as an adult in mediaeval culture when they could survive without the constant supervision of a mother or caretaker. In the 1970s and 1980s, there was a movement in attitudes or a paradigm shift concerning children and childhood known as the "break with tradition (</w:t>
      </w:r>
      <w:r>
        <w:rPr>
          <w:rFonts w:ascii="Times New Roman" w:eastAsia="Times New Roman" w:hAnsi="Times New Roman" w:cs="Times New Roman"/>
          <w:color w:val="222222"/>
          <w:sz w:val="24"/>
          <w:szCs w:val="24"/>
          <w:highlight w:val="white"/>
        </w:rPr>
        <w:t>Ogundele,2018</w:t>
      </w:r>
      <w:r>
        <w:rPr>
          <w:rFonts w:ascii="Times New Roman" w:eastAsia="Times New Roman" w:hAnsi="Times New Roman" w:cs="Times New Roman"/>
          <w:sz w:val="24"/>
          <w:szCs w:val="24"/>
        </w:rPr>
        <w:t xml:space="preserve">)." Many initiatives </w:t>
      </w:r>
      <w:proofErr w:type="spellStart"/>
      <w:r>
        <w:rPr>
          <w:rFonts w:ascii="Times New Roman" w:eastAsia="Times New Roman" w:hAnsi="Times New Roman" w:cs="Times New Roman"/>
          <w:sz w:val="24"/>
          <w:szCs w:val="24"/>
        </w:rPr>
        <w:t>centred</w:t>
      </w:r>
      <w:proofErr w:type="spellEnd"/>
      <w:r>
        <w:rPr>
          <w:rFonts w:ascii="Times New Roman" w:eastAsia="Times New Roman" w:hAnsi="Times New Roman" w:cs="Times New Roman"/>
          <w:sz w:val="24"/>
          <w:szCs w:val="24"/>
        </w:rPr>
        <w:t xml:space="preserve"> on a child's place in society, such as the inauguration of the International Year of the Child in 1979, the creation of concepts such as "world's children," "child abuse," and "pleasant, safe, safeguarded, innocent childhood." Traditional conceptions of a kid and childhood have also begun to be challenged in academia who ventured to question Piaget's acclaimed child development study. Vygotsky, a Russian psychologist who lived about the same time as Jean Piaget, questioned and </w:t>
      </w:r>
      <w:proofErr w:type="spellStart"/>
      <w:r>
        <w:rPr>
          <w:rFonts w:ascii="Times New Roman" w:eastAsia="Times New Roman" w:hAnsi="Times New Roman" w:cs="Times New Roman"/>
          <w:sz w:val="24"/>
          <w:szCs w:val="24"/>
        </w:rPr>
        <w:t>criticised</w:t>
      </w:r>
      <w:proofErr w:type="spellEnd"/>
      <w:r>
        <w:rPr>
          <w:rFonts w:ascii="Times New Roman" w:eastAsia="Times New Roman" w:hAnsi="Times New Roman" w:cs="Times New Roman"/>
          <w:sz w:val="24"/>
          <w:szCs w:val="24"/>
        </w:rPr>
        <w:t xml:space="preserve"> the idea of development as a universal and natural process ( ). He proposed that social and cultural settings influence a child's growth, thinking, and social interactions. With the advent of the modern school and the bourgeoisie nuclear family, which assigned different responsibilities to children, a current perspective of children and childhood evolved. The present idea of “childhood” is the outcome of a massive educational and </w:t>
      </w:r>
      <w:proofErr w:type="spellStart"/>
      <w:r>
        <w:rPr>
          <w:rFonts w:ascii="Times New Roman" w:eastAsia="Times New Roman" w:hAnsi="Times New Roman" w:cs="Times New Roman"/>
          <w:sz w:val="24"/>
          <w:szCs w:val="24"/>
        </w:rPr>
        <w:t>institutionalisation</w:t>
      </w:r>
      <w:proofErr w:type="spellEnd"/>
      <w:r>
        <w:rPr>
          <w:rFonts w:ascii="Times New Roman" w:eastAsia="Times New Roman" w:hAnsi="Times New Roman" w:cs="Times New Roman"/>
          <w:sz w:val="24"/>
          <w:szCs w:val="24"/>
        </w:rPr>
        <w:t xml:space="preserve"> effort to ensure that children grow up to be helpful, well-behaved adults. The focus was on creating and executing legislation that </w:t>
      </w:r>
      <w:proofErr w:type="spellStart"/>
      <w:r>
        <w:rPr>
          <w:rFonts w:ascii="Times New Roman" w:eastAsia="Times New Roman" w:hAnsi="Times New Roman" w:cs="Times New Roman"/>
          <w:sz w:val="24"/>
          <w:szCs w:val="24"/>
        </w:rPr>
        <w:t>emphasises</w:t>
      </w:r>
      <w:proofErr w:type="spellEnd"/>
      <w:r>
        <w:rPr>
          <w:rFonts w:ascii="Times New Roman" w:eastAsia="Times New Roman" w:hAnsi="Times New Roman" w:cs="Times New Roman"/>
          <w:sz w:val="24"/>
          <w:szCs w:val="24"/>
        </w:rPr>
        <w:t xml:space="preserve"> the need for children to remain in school for a set amount of time to gain the necessary skills. The law was crafted with input from parents and teachers, believing that education is an essential investment in the country's future (</w:t>
      </w:r>
      <w:proofErr w:type="spellStart"/>
      <w:r>
        <w:rPr>
          <w:rFonts w:ascii="Times New Roman" w:eastAsia="Times New Roman" w:hAnsi="Times New Roman" w:cs="Times New Roman"/>
          <w:color w:val="222222"/>
          <w:sz w:val="24"/>
          <w:szCs w:val="24"/>
          <w:highlight w:val="white"/>
        </w:rPr>
        <w:t>Quennerstedt</w:t>
      </w:r>
      <w:proofErr w:type="spellEnd"/>
      <w:r>
        <w:rPr>
          <w:rFonts w:ascii="Times New Roman" w:eastAsia="Times New Roman" w:hAnsi="Times New Roman" w:cs="Times New Roman"/>
          <w:color w:val="222222"/>
          <w:sz w:val="24"/>
          <w:szCs w:val="24"/>
          <w:highlight w:val="white"/>
        </w:rPr>
        <w:t xml:space="preserve">, Robinson and </w:t>
      </w:r>
      <w:proofErr w:type="spellStart"/>
      <w:r>
        <w:rPr>
          <w:rFonts w:ascii="Times New Roman" w:eastAsia="Times New Roman" w:hAnsi="Times New Roman" w:cs="Times New Roman"/>
          <w:color w:val="222222"/>
          <w:sz w:val="24"/>
          <w:szCs w:val="24"/>
          <w:highlight w:val="white"/>
        </w:rPr>
        <w:t>I’Anson,2018</w:t>
      </w:r>
      <w:proofErr w:type="spellEnd"/>
      <w:r>
        <w:rPr>
          <w:rFonts w:ascii="Times New Roman" w:eastAsia="Times New Roman" w:hAnsi="Times New Roman" w:cs="Times New Roman"/>
          <w:sz w:val="24"/>
          <w:szCs w:val="24"/>
        </w:rPr>
        <w:t>). Children are expected to attend school after the industrial revolution. As a result, children are seen as financially reliant on their parents, and in most modern countries, this era of reliance moulds the concept of childhood.</w:t>
      </w:r>
    </w:p>
    <w:p w14:paraId="0000000B" w14:textId="77777777" w:rsidR="00EB1ABF" w:rsidRDefault="00510C82">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modern </w:t>
      </w:r>
      <w:proofErr w:type="spellStart"/>
      <w:r>
        <w:rPr>
          <w:rFonts w:ascii="Times New Roman" w:eastAsia="Times New Roman" w:hAnsi="Times New Roman" w:cs="Times New Roman"/>
          <w:sz w:val="24"/>
          <w:szCs w:val="24"/>
        </w:rPr>
        <w:t>industrialised</w:t>
      </w:r>
      <w:proofErr w:type="spellEnd"/>
      <w:r>
        <w:rPr>
          <w:rFonts w:ascii="Times New Roman" w:eastAsia="Times New Roman" w:hAnsi="Times New Roman" w:cs="Times New Roman"/>
          <w:sz w:val="24"/>
          <w:szCs w:val="24"/>
        </w:rPr>
        <w:t xml:space="preserve"> nations, many laws have been enacted to support the concept of childhood. In particular, how ‘child labour' regulations were enforced. These developments resulted in a </w:t>
      </w:r>
      <w:proofErr w:type="spellStart"/>
      <w:r>
        <w:rPr>
          <w:rFonts w:ascii="Times New Roman" w:eastAsia="Times New Roman" w:hAnsi="Times New Roman" w:cs="Times New Roman"/>
          <w:sz w:val="24"/>
          <w:szCs w:val="24"/>
        </w:rPr>
        <w:t>sentimentalised</w:t>
      </w:r>
      <w:proofErr w:type="spellEnd"/>
      <w:r>
        <w:rPr>
          <w:rFonts w:ascii="Times New Roman" w:eastAsia="Times New Roman" w:hAnsi="Times New Roman" w:cs="Times New Roman"/>
          <w:sz w:val="24"/>
          <w:szCs w:val="24"/>
        </w:rPr>
        <w:t xml:space="preserve"> view of childhood, in which children should be cherished and safeguarded. Nonetheless, in particular modern countries, children are expected to work from an early age and are seen as economically responsible family and community members. As a result, implementing the United Nations Convention on the Rights of the Child in all nations with equal focus is difficult (</w:t>
      </w:r>
      <w:proofErr w:type="spellStart"/>
      <w:r>
        <w:rPr>
          <w:rFonts w:ascii="Times New Roman" w:eastAsia="Times New Roman" w:hAnsi="Times New Roman" w:cs="Times New Roman"/>
          <w:color w:val="222222"/>
          <w:sz w:val="24"/>
          <w:szCs w:val="24"/>
          <w:highlight w:val="white"/>
        </w:rPr>
        <w:t>Quennerstedt</w:t>
      </w:r>
      <w:proofErr w:type="spellEnd"/>
      <w:r>
        <w:rPr>
          <w:rFonts w:ascii="Times New Roman" w:eastAsia="Times New Roman" w:hAnsi="Times New Roman" w:cs="Times New Roman"/>
          <w:color w:val="222222"/>
          <w:sz w:val="24"/>
          <w:szCs w:val="24"/>
          <w:highlight w:val="white"/>
        </w:rPr>
        <w:t xml:space="preserve">, Robinson and </w:t>
      </w:r>
      <w:proofErr w:type="spellStart"/>
      <w:r>
        <w:rPr>
          <w:rFonts w:ascii="Times New Roman" w:eastAsia="Times New Roman" w:hAnsi="Times New Roman" w:cs="Times New Roman"/>
          <w:color w:val="222222"/>
          <w:sz w:val="24"/>
          <w:szCs w:val="24"/>
          <w:highlight w:val="white"/>
        </w:rPr>
        <w:t>I’Anson,2018</w:t>
      </w:r>
      <w:proofErr w:type="spellEnd"/>
      <w:r>
        <w:rPr>
          <w:rFonts w:ascii="Times New Roman" w:eastAsia="Times New Roman" w:hAnsi="Times New Roman" w:cs="Times New Roman"/>
          <w:sz w:val="24"/>
          <w:szCs w:val="24"/>
        </w:rPr>
        <w:t xml:space="preserve">). Childhood is seen as a very different notion in these </w:t>
      </w:r>
      <w:proofErr w:type="spellStart"/>
      <w:r>
        <w:rPr>
          <w:rFonts w:ascii="Times New Roman" w:eastAsia="Times New Roman" w:hAnsi="Times New Roman" w:cs="Times New Roman"/>
          <w:sz w:val="24"/>
          <w:szCs w:val="24"/>
        </w:rPr>
        <w:t>civilisations</w:t>
      </w:r>
      <w:proofErr w:type="spellEnd"/>
      <w:r>
        <w:rPr>
          <w:rFonts w:ascii="Times New Roman" w:eastAsia="Times New Roman" w:hAnsi="Times New Roman" w:cs="Times New Roman"/>
          <w:sz w:val="24"/>
          <w:szCs w:val="24"/>
        </w:rPr>
        <w:t xml:space="preserve"> than it is in our </w:t>
      </w:r>
      <w:proofErr w:type="spellStart"/>
      <w:r>
        <w:rPr>
          <w:rFonts w:ascii="Times New Roman" w:eastAsia="Times New Roman" w:hAnsi="Times New Roman" w:cs="Times New Roman"/>
          <w:sz w:val="24"/>
          <w:szCs w:val="24"/>
        </w:rPr>
        <w:t>industrialised</w:t>
      </w:r>
      <w:proofErr w:type="spellEnd"/>
      <w:r>
        <w:rPr>
          <w:rFonts w:ascii="Times New Roman" w:eastAsia="Times New Roman" w:hAnsi="Times New Roman" w:cs="Times New Roman"/>
          <w:sz w:val="24"/>
          <w:szCs w:val="24"/>
        </w:rPr>
        <w:t xml:space="preserve"> countries. Childhood is now seen as being influenced not just by the environment, culture, and time but also by circumstances. While </w:t>
      </w:r>
      <w:r>
        <w:rPr>
          <w:rFonts w:ascii="Times New Roman" w:eastAsia="Times New Roman" w:hAnsi="Times New Roman" w:cs="Times New Roman"/>
          <w:sz w:val="24"/>
          <w:szCs w:val="24"/>
        </w:rPr>
        <w:lastRenderedPageBreak/>
        <w:t xml:space="preserve">the relevance of children's rights perspectives in emergencies is increasingly </w:t>
      </w:r>
      <w:proofErr w:type="spellStart"/>
      <w:r>
        <w:rPr>
          <w:rFonts w:ascii="Times New Roman" w:eastAsia="Times New Roman" w:hAnsi="Times New Roman" w:cs="Times New Roman"/>
          <w:sz w:val="24"/>
          <w:szCs w:val="24"/>
        </w:rPr>
        <w:t>recognised</w:t>
      </w:r>
      <w:proofErr w:type="spellEnd"/>
      <w:r>
        <w:rPr>
          <w:rFonts w:ascii="Times New Roman" w:eastAsia="Times New Roman" w:hAnsi="Times New Roman" w:cs="Times New Roman"/>
          <w:sz w:val="24"/>
          <w:szCs w:val="24"/>
        </w:rPr>
        <w:t>, the integration of child development knowledge into the curriculum is significant (</w:t>
      </w:r>
      <w:proofErr w:type="spellStart"/>
      <w:r>
        <w:rPr>
          <w:rFonts w:ascii="Times New Roman" w:eastAsia="Times New Roman" w:hAnsi="Times New Roman" w:cs="Times New Roman"/>
          <w:color w:val="222222"/>
          <w:sz w:val="24"/>
          <w:szCs w:val="24"/>
          <w:highlight w:val="white"/>
        </w:rPr>
        <w:t>Felfe</w:t>
      </w:r>
      <w:proofErr w:type="spellEnd"/>
      <w:r>
        <w:rPr>
          <w:rFonts w:ascii="Times New Roman" w:eastAsia="Times New Roman" w:hAnsi="Times New Roman" w:cs="Times New Roman"/>
          <w:color w:val="222222"/>
          <w:sz w:val="24"/>
          <w:szCs w:val="24"/>
          <w:highlight w:val="white"/>
        </w:rPr>
        <w:t xml:space="preserve"> and </w:t>
      </w:r>
      <w:proofErr w:type="spellStart"/>
      <w:r>
        <w:rPr>
          <w:rFonts w:ascii="Times New Roman" w:eastAsia="Times New Roman" w:hAnsi="Times New Roman" w:cs="Times New Roman"/>
          <w:color w:val="222222"/>
          <w:sz w:val="24"/>
          <w:szCs w:val="24"/>
          <w:highlight w:val="white"/>
        </w:rPr>
        <w:t>Lalive,2018</w:t>
      </w:r>
      <w:proofErr w:type="spellEnd"/>
      <w:r>
        <w:rPr>
          <w:rFonts w:ascii="Times New Roman" w:eastAsia="Times New Roman" w:hAnsi="Times New Roman" w:cs="Times New Roman"/>
          <w:sz w:val="24"/>
          <w:szCs w:val="24"/>
        </w:rPr>
        <w:t xml:space="preserve">). </w:t>
      </w:r>
    </w:p>
    <w:p w14:paraId="0000000C" w14:textId="77777777" w:rsidR="00EB1ABF" w:rsidRDefault="00510C82">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Individuals benefit from lifelong networks of supporting human relationships, both in families and communities and through affiliations with social, political, cultural, educational and religious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that are official and informal. Families contributing to and supporting such resources and networks in social capital are considered to be strong. In families of pre-school children, whose social capital levels are more significant, youngsters exhibit more substantial positive developments in emotions and conduct (</w:t>
      </w:r>
      <w:proofErr w:type="spellStart"/>
      <w:r>
        <w:rPr>
          <w:rFonts w:ascii="Times New Roman" w:eastAsia="Times New Roman" w:hAnsi="Times New Roman" w:cs="Times New Roman"/>
          <w:color w:val="222222"/>
          <w:sz w:val="24"/>
          <w:szCs w:val="24"/>
          <w:highlight w:val="white"/>
        </w:rPr>
        <w:t>Masten</w:t>
      </w:r>
      <w:proofErr w:type="spellEnd"/>
      <w:r>
        <w:rPr>
          <w:rFonts w:ascii="Times New Roman" w:eastAsia="Times New Roman" w:hAnsi="Times New Roman" w:cs="Times New Roman"/>
          <w:color w:val="222222"/>
          <w:sz w:val="24"/>
          <w:szCs w:val="24"/>
          <w:highlight w:val="white"/>
        </w:rPr>
        <w:t xml:space="preserve"> and </w:t>
      </w:r>
      <w:proofErr w:type="spellStart"/>
      <w:r>
        <w:rPr>
          <w:rFonts w:ascii="Times New Roman" w:eastAsia="Times New Roman" w:hAnsi="Times New Roman" w:cs="Times New Roman"/>
          <w:color w:val="222222"/>
          <w:sz w:val="24"/>
          <w:szCs w:val="24"/>
          <w:highlight w:val="white"/>
        </w:rPr>
        <w:t>Barnes,2018</w:t>
      </w:r>
      <w:proofErr w:type="spellEnd"/>
      <w:r>
        <w:rPr>
          <w:rFonts w:ascii="Times New Roman" w:eastAsia="Times New Roman" w:hAnsi="Times New Roman" w:cs="Times New Roman"/>
          <w:sz w:val="24"/>
          <w:szCs w:val="24"/>
        </w:rPr>
        <w:t xml:space="preserve">). Mutual support and strong </w:t>
      </w:r>
      <w:proofErr w:type="spellStart"/>
      <w:r>
        <w:rPr>
          <w:rFonts w:ascii="Times New Roman" w:eastAsia="Times New Roman" w:hAnsi="Times New Roman" w:cs="Times New Roman"/>
          <w:sz w:val="24"/>
          <w:szCs w:val="24"/>
        </w:rPr>
        <w:t>neighbourliness</w:t>
      </w:r>
      <w:proofErr w:type="spellEnd"/>
      <w:r>
        <w:rPr>
          <w:rFonts w:ascii="Times New Roman" w:eastAsia="Times New Roman" w:hAnsi="Times New Roman" w:cs="Times New Roman"/>
          <w:sz w:val="24"/>
          <w:szCs w:val="24"/>
        </w:rPr>
        <w:t xml:space="preserve">, especially under </w:t>
      </w:r>
      <w:proofErr w:type="spellStart"/>
      <w:r>
        <w:rPr>
          <w:rFonts w:ascii="Times New Roman" w:eastAsia="Times New Roman" w:hAnsi="Times New Roman" w:cs="Times New Roman"/>
          <w:sz w:val="24"/>
          <w:szCs w:val="24"/>
        </w:rPr>
        <w:t>unfavourable</w:t>
      </w:r>
      <w:proofErr w:type="spellEnd"/>
      <w:r>
        <w:rPr>
          <w:rFonts w:ascii="Times New Roman" w:eastAsia="Times New Roman" w:hAnsi="Times New Roman" w:cs="Times New Roman"/>
          <w:sz w:val="24"/>
          <w:szCs w:val="24"/>
        </w:rPr>
        <w:t xml:space="preserve"> situations, promote health. Where social status is abundant, the chance of children acquiring resilient qualities is considerably boosted in even negative settings. A child is more suited to manage everyday problems when protecting by supportive connections with adults. The support of a family member or from elsewhere in the community can demonstrate the essential difference between unpleasant children's experiences that push a person to a destructive track or discover ways to maintain one that delivers superior social and economic performance (</w:t>
      </w:r>
      <w:r>
        <w:rPr>
          <w:rFonts w:ascii="Times New Roman" w:eastAsia="Times New Roman" w:hAnsi="Times New Roman" w:cs="Times New Roman"/>
          <w:color w:val="222222"/>
          <w:sz w:val="24"/>
          <w:szCs w:val="24"/>
          <w:highlight w:val="white"/>
        </w:rPr>
        <w:t>Parkes, Green and Mitchell,2019</w:t>
      </w:r>
      <w:r>
        <w:rPr>
          <w:rFonts w:ascii="Times New Roman" w:eastAsia="Times New Roman" w:hAnsi="Times New Roman" w:cs="Times New Roman"/>
          <w:sz w:val="24"/>
          <w:szCs w:val="24"/>
        </w:rPr>
        <w:t xml:space="preserve">). As a result, children who are more at risk of adversity from less advantaged families can still thrive when protected from a supportive environment. </w:t>
      </w:r>
    </w:p>
    <w:p w14:paraId="0000000D" w14:textId="77777777" w:rsidR="00EB1ABF" w:rsidRDefault="00510C82">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unequal distribution of resilience and adversity among the populations and its link to wider socio-economic disparities must be considered. Risk factors are frequently interlinked. For example, children who live in an impoverished </w:t>
      </w:r>
      <w:proofErr w:type="spellStart"/>
      <w:r>
        <w:rPr>
          <w:rFonts w:ascii="Times New Roman" w:eastAsia="Times New Roman" w:hAnsi="Times New Roman" w:cs="Times New Roman"/>
          <w:sz w:val="24"/>
          <w:szCs w:val="24"/>
        </w:rPr>
        <w:t>neighbourhood</w:t>
      </w:r>
      <w:proofErr w:type="spellEnd"/>
      <w:r>
        <w:rPr>
          <w:rFonts w:ascii="Times New Roman" w:eastAsia="Times New Roman" w:hAnsi="Times New Roman" w:cs="Times New Roman"/>
          <w:sz w:val="24"/>
          <w:szCs w:val="24"/>
        </w:rPr>
        <w:t xml:space="preserve"> may be under-educated and harmful to their health, such as alcohol and drug abuse, leading to regional ambitions and possibilities for work. The risk factors existing in children's lives are exacerbated in this setting where poverty, prejudice and inadequate social capital are more substantial (</w:t>
      </w:r>
      <w:r>
        <w:rPr>
          <w:rFonts w:ascii="Times New Roman" w:eastAsia="Times New Roman" w:hAnsi="Times New Roman" w:cs="Times New Roman"/>
          <w:color w:val="222222"/>
          <w:sz w:val="24"/>
          <w:szCs w:val="24"/>
          <w:highlight w:val="white"/>
        </w:rPr>
        <w:t>Straus,2017</w:t>
      </w:r>
      <w:r>
        <w:rPr>
          <w:rFonts w:ascii="Times New Roman" w:eastAsia="Times New Roman" w:hAnsi="Times New Roman" w:cs="Times New Roman"/>
          <w:sz w:val="24"/>
          <w:szCs w:val="24"/>
        </w:rPr>
        <w:t xml:space="preserve">). Risk factors accumulation may also indicate children surmounting and even learning from single or modest threats when they increase their ability to thrive fast. The best start in life for every child is one of the strategic goals of Public Health England, </w:t>
      </w:r>
      <w:proofErr w:type="spellStart"/>
      <w:r>
        <w:rPr>
          <w:rFonts w:ascii="Times New Roman" w:eastAsia="Times New Roman" w:hAnsi="Times New Roman" w:cs="Times New Roman"/>
          <w:sz w:val="24"/>
          <w:szCs w:val="24"/>
        </w:rPr>
        <w:t>recognising</w:t>
      </w:r>
      <w:proofErr w:type="spellEnd"/>
      <w:r>
        <w:rPr>
          <w:rFonts w:ascii="Times New Roman" w:eastAsia="Times New Roman" w:hAnsi="Times New Roman" w:cs="Times New Roman"/>
          <w:sz w:val="24"/>
          <w:szCs w:val="24"/>
        </w:rPr>
        <w:t xml:space="preserve"> the essential bases for life in early years and the severe disparities experienced by different societal groups. A multiagency preventive strategy also targets several risk factors that impact a child's physical, social and emotional development and ensures that all children have the highest degree of health protection </w:t>
      </w:r>
      <w:r>
        <w:rPr>
          <w:rFonts w:ascii="Times New Roman" w:eastAsia="Times New Roman" w:hAnsi="Times New Roman" w:cs="Times New Roman"/>
          <w:sz w:val="24"/>
          <w:szCs w:val="24"/>
        </w:rPr>
        <w:lastRenderedPageBreak/>
        <w:t>(</w:t>
      </w:r>
      <w:r>
        <w:rPr>
          <w:rFonts w:ascii="Times New Roman" w:eastAsia="Times New Roman" w:hAnsi="Times New Roman" w:cs="Times New Roman"/>
          <w:color w:val="222222"/>
          <w:sz w:val="24"/>
          <w:szCs w:val="24"/>
          <w:highlight w:val="white"/>
        </w:rPr>
        <w:t>Mulder et al,2018</w:t>
      </w:r>
      <w:r>
        <w:rPr>
          <w:rFonts w:ascii="Times New Roman" w:eastAsia="Times New Roman" w:hAnsi="Times New Roman" w:cs="Times New Roman"/>
          <w:sz w:val="24"/>
          <w:szCs w:val="24"/>
        </w:rPr>
        <w:t xml:space="preserve">). As health care providers, nurse practitioners are a leader in both services and design locally, collaborating with other healthcare experts and social service workers. Health visitors conduct a holistic evaluation, together with the family, based on the strengths of the family and the identification of any difficulty, including the ability of parents to meet the needs of their child and the impact and influence of broader family, community and environmental conditions. This promotes </w:t>
      </w:r>
      <w:proofErr w:type="spellStart"/>
      <w:r>
        <w:rPr>
          <w:rFonts w:ascii="Times New Roman" w:eastAsia="Times New Roman" w:hAnsi="Times New Roman" w:cs="Times New Roman"/>
          <w:sz w:val="24"/>
          <w:szCs w:val="24"/>
        </w:rPr>
        <w:t>behavioural</w:t>
      </w:r>
      <w:proofErr w:type="spellEnd"/>
      <w:r>
        <w:rPr>
          <w:rFonts w:ascii="Times New Roman" w:eastAsia="Times New Roman" w:hAnsi="Times New Roman" w:cs="Times New Roman"/>
          <w:sz w:val="24"/>
          <w:szCs w:val="24"/>
        </w:rPr>
        <w:t xml:space="preserve"> modification, encourages the preservation of health and helps children to be safe. Early years are an excellent chance for healthcare promotion, prevention and early intervention for incredible physical and mental health in families through health visiting services (</w:t>
      </w:r>
      <w:proofErr w:type="spellStart"/>
      <w:r>
        <w:rPr>
          <w:rFonts w:ascii="Times New Roman" w:eastAsia="Times New Roman" w:hAnsi="Times New Roman" w:cs="Times New Roman"/>
          <w:color w:val="222222"/>
          <w:sz w:val="24"/>
          <w:szCs w:val="24"/>
          <w:highlight w:val="white"/>
        </w:rPr>
        <w:t>Felfe</w:t>
      </w:r>
      <w:proofErr w:type="spellEnd"/>
      <w:r>
        <w:rPr>
          <w:rFonts w:ascii="Times New Roman" w:eastAsia="Times New Roman" w:hAnsi="Times New Roman" w:cs="Times New Roman"/>
          <w:color w:val="222222"/>
          <w:sz w:val="24"/>
          <w:szCs w:val="24"/>
          <w:highlight w:val="white"/>
        </w:rPr>
        <w:t>, C. and Lalive,2018</w:t>
      </w:r>
      <w:r>
        <w:rPr>
          <w:rFonts w:ascii="Times New Roman" w:eastAsia="Times New Roman" w:hAnsi="Times New Roman" w:cs="Times New Roman"/>
          <w:sz w:val="24"/>
          <w:szCs w:val="24"/>
        </w:rPr>
        <w:t xml:space="preserve">). Early support and assistance is an essential aspect of a whole system strategy. School nurses play an indispensable role in providing a Universal Confidential Service, trusting children, young people, and family. School nurses The interaction between schools, families and </w:t>
      </w:r>
      <w:proofErr w:type="spellStart"/>
      <w:r>
        <w:rPr>
          <w:rFonts w:ascii="Times New Roman" w:eastAsia="Times New Roman" w:hAnsi="Times New Roman" w:cs="Times New Roman"/>
          <w:sz w:val="24"/>
          <w:szCs w:val="24"/>
        </w:rPr>
        <w:t>specialised</w:t>
      </w:r>
      <w:proofErr w:type="spellEnd"/>
      <w:r>
        <w:rPr>
          <w:rFonts w:ascii="Times New Roman" w:eastAsia="Times New Roman" w:hAnsi="Times New Roman" w:cs="Times New Roman"/>
          <w:sz w:val="24"/>
          <w:szCs w:val="24"/>
        </w:rPr>
        <w:t xml:space="preserve"> services may be linked, early identification can be provided, and reference systems and routes can be navigated. School conduct regulations that examine the conditions under which children live might also form part of the strategy for building a good school environment, tackling the underlying challenges to reduce harm and promote the general well-being of the student body (</w:t>
      </w:r>
      <w:r>
        <w:rPr>
          <w:rFonts w:ascii="Times New Roman" w:eastAsia="Times New Roman" w:hAnsi="Times New Roman" w:cs="Times New Roman"/>
          <w:color w:val="222222"/>
          <w:sz w:val="24"/>
          <w:szCs w:val="24"/>
          <w:highlight w:val="white"/>
        </w:rPr>
        <w:t>Samuel, Acharya and Rao,2020</w:t>
      </w:r>
      <w:r>
        <w:rPr>
          <w:rFonts w:ascii="Times New Roman" w:eastAsia="Times New Roman" w:hAnsi="Times New Roman" w:cs="Times New Roman"/>
          <w:sz w:val="24"/>
          <w:szCs w:val="24"/>
        </w:rPr>
        <w:t xml:space="preserve">). The immaturity of children and adults’ dependence on their care and protection might make them particularly vulnerable. However, it should also be remembered that the growing human organism is </w:t>
      </w:r>
      <w:proofErr w:type="spellStart"/>
      <w:r>
        <w:rPr>
          <w:rFonts w:ascii="Times New Roman" w:eastAsia="Times New Roman" w:hAnsi="Times New Roman" w:cs="Times New Roman"/>
          <w:sz w:val="24"/>
          <w:szCs w:val="24"/>
        </w:rPr>
        <w:t>characterised</w:t>
      </w:r>
      <w:proofErr w:type="spellEnd"/>
      <w:r>
        <w:rPr>
          <w:rFonts w:ascii="Times New Roman" w:eastAsia="Times New Roman" w:hAnsi="Times New Roman" w:cs="Times New Roman"/>
          <w:sz w:val="24"/>
          <w:szCs w:val="24"/>
        </w:rPr>
        <w:t xml:space="preserve"> by resilience and susceptibility. Many variables related to each child, the family, the current social environment, and a broader cultural background might put children at risk of threats to their welfare, development, and rights. For the successful protection of children, the ability to foresee, identify and evaluate such situations is crucial (</w:t>
      </w:r>
      <w:r>
        <w:rPr>
          <w:rFonts w:ascii="Times New Roman" w:eastAsia="Times New Roman" w:hAnsi="Times New Roman" w:cs="Times New Roman"/>
          <w:color w:val="222222"/>
          <w:sz w:val="24"/>
          <w:szCs w:val="24"/>
          <w:highlight w:val="white"/>
        </w:rPr>
        <w:t>Mulder et al,2018</w:t>
      </w:r>
      <w:r>
        <w:rPr>
          <w:rFonts w:ascii="Times New Roman" w:eastAsia="Times New Roman" w:hAnsi="Times New Roman" w:cs="Times New Roman"/>
          <w:sz w:val="24"/>
          <w:szCs w:val="24"/>
        </w:rPr>
        <w:t>). Intervention answers highlight elementary school children, often the most visible group of children, in several refugee settings. The relative obscurity of other groups of children, such as pre-school children and teenagers, occasionally leads to comparative programming negligence. The limited visibility of disabled children can lead to a small number of youngsters becoming disabled or shut off from sights and perhaps from human contact and stimulation in a given group. Risk factors may not always exist in isolation from others, and one may increase the vulnerability of specific children. There can be several examples. A mistreated kid might decide to leave their home and become exposed to exploitative employment or commercial sexual exploitation (</w:t>
      </w:r>
      <w:r>
        <w:rPr>
          <w:rFonts w:ascii="Times New Roman" w:eastAsia="Times New Roman" w:hAnsi="Times New Roman" w:cs="Times New Roman"/>
          <w:color w:val="222222"/>
          <w:sz w:val="24"/>
          <w:szCs w:val="24"/>
          <w:highlight w:val="white"/>
        </w:rPr>
        <w:t>Whiting,2017</w:t>
      </w:r>
      <w:r>
        <w:rPr>
          <w:rFonts w:ascii="Times New Roman" w:eastAsia="Times New Roman" w:hAnsi="Times New Roman" w:cs="Times New Roman"/>
          <w:sz w:val="24"/>
          <w:szCs w:val="24"/>
        </w:rPr>
        <w:t xml:space="preserve">). Combat forces might recruit separate children who lack adequate care and protection at increased risk. A kid with learning disabilities can both </w:t>
      </w:r>
      <w:r>
        <w:rPr>
          <w:rFonts w:ascii="Times New Roman" w:eastAsia="Times New Roman" w:hAnsi="Times New Roman" w:cs="Times New Roman"/>
          <w:sz w:val="24"/>
          <w:szCs w:val="24"/>
        </w:rPr>
        <w:lastRenderedPageBreak/>
        <w:t>be more vulnerable and less capable of dealing with sexual exploitation than a youngster without this kind of impairment. Lastly, lack of education might expose children to increased hazards of the exploitation of children's work while at the same time limiting the learning possibilities they can use to protect themselves (</w:t>
      </w:r>
      <w:r>
        <w:rPr>
          <w:rFonts w:ascii="Times New Roman" w:eastAsia="Times New Roman" w:hAnsi="Times New Roman" w:cs="Times New Roman"/>
          <w:color w:val="222222"/>
          <w:sz w:val="24"/>
          <w:szCs w:val="24"/>
          <w:highlight w:val="white"/>
        </w:rPr>
        <w:t>Samuel, Acharya and Rao,2020</w:t>
      </w:r>
      <w:r>
        <w:rPr>
          <w:rFonts w:ascii="Times New Roman" w:eastAsia="Times New Roman" w:hAnsi="Times New Roman" w:cs="Times New Roman"/>
          <w:sz w:val="24"/>
          <w:szCs w:val="24"/>
        </w:rPr>
        <w:t>).</w:t>
      </w:r>
    </w:p>
    <w:p w14:paraId="0000000E" w14:textId="77777777" w:rsidR="00EB1ABF" w:rsidRDefault="00510C82">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trust, objective and meaning that emerge out of continuous interaction with the same individuals, from the regular routines and the continuity of cultural traditions enable predictability for children and adolescents. Structured daily activities – including play and relaxation, informal and formal schools and, when suitable, children of all ages are particularly essential in their work (</w:t>
      </w:r>
      <w:r>
        <w:rPr>
          <w:rFonts w:ascii="Times New Roman" w:eastAsia="Times New Roman" w:hAnsi="Times New Roman" w:cs="Times New Roman"/>
          <w:color w:val="222222"/>
          <w:sz w:val="24"/>
          <w:szCs w:val="24"/>
          <w:highlight w:val="white"/>
        </w:rPr>
        <w:t>Masten,2018</w:t>
      </w:r>
      <w:r>
        <w:rPr>
          <w:rFonts w:ascii="Times New Roman" w:eastAsia="Times New Roman" w:hAnsi="Times New Roman" w:cs="Times New Roman"/>
          <w:sz w:val="24"/>
          <w:szCs w:val="24"/>
        </w:rPr>
        <w:t xml:space="preserve">). Structure in everyday life gives the whole community and its children a feeling of purpose and reliability that may be a relaxing and </w:t>
      </w:r>
      <w:proofErr w:type="spellStart"/>
      <w:r>
        <w:rPr>
          <w:rFonts w:ascii="Times New Roman" w:eastAsia="Times New Roman" w:hAnsi="Times New Roman" w:cs="Times New Roman"/>
          <w:sz w:val="24"/>
          <w:szCs w:val="24"/>
        </w:rPr>
        <w:t>stabilising</w:t>
      </w:r>
      <w:proofErr w:type="spellEnd"/>
      <w:r>
        <w:rPr>
          <w:rFonts w:ascii="Times New Roman" w:eastAsia="Times New Roman" w:hAnsi="Times New Roman" w:cs="Times New Roman"/>
          <w:sz w:val="24"/>
          <w:szCs w:val="24"/>
        </w:rPr>
        <w:t xml:space="preserve"> factor. It also contributes to a sense of duty and respect for others. Gender concerns must be </w:t>
      </w:r>
      <w:proofErr w:type="spellStart"/>
      <w:r>
        <w:rPr>
          <w:rFonts w:ascii="Times New Roman" w:eastAsia="Times New Roman" w:hAnsi="Times New Roman" w:cs="Times New Roman"/>
          <w:sz w:val="24"/>
          <w:szCs w:val="24"/>
        </w:rPr>
        <w:t>recognised</w:t>
      </w:r>
      <w:proofErr w:type="spellEnd"/>
      <w:r>
        <w:rPr>
          <w:rFonts w:ascii="Times New Roman" w:eastAsia="Times New Roman" w:hAnsi="Times New Roman" w:cs="Times New Roman"/>
          <w:sz w:val="24"/>
          <w:szCs w:val="24"/>
        </w:rPr>
        <w:t>: in some instances, for example, it may be simpler for females to continue to perform conventional prescribed roles than for children – especially when children cannot do activities connected to farming and other labour sectors (</w:t>
      </w:r>
      <w:r>
        <w:rPr>
          <w:rFonts w:ascii="Times New Roman" w:eastAsia="Times New Roman" w:hAnsi="Times New Roman" w:cs="Times New Roman"/>
          <w:color w:val="222222"/>
          <w:sz w:val="24"/>
          <w:szCs w:val="24"/>
          <w:highlight w:val="white"/>
        </w:rPr>
        <w:t>Whiting,2017</w:t>
      </w:r>
      <w:r>
        <w:rPr>
          <w:rFonts w:ascii="Times New Roman" w:eastAsia="Times New Roman" w:hAnsi="Times New Roman" w:cs="Times New Roman"/>
          <w:sz w:val="24"/>
          <w:szCs w:val="24"/>
        </w:rPr>
        <w:t xml:space="preserve">). </w:t>
      </w:r>
    </w:p>
    <w:p w14:paraId="0000000F" w14:textId="77777777" w:rsidR="00EB1ABF" w:rsidRDefault="00510C82">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On the other hand, girls have far smaller chances of attending school or participating in other social activities in various situations. One of the main contributions to better the well-being of children is to enable adults in the family to re-establish their feelings of efficiency as parents. Parental skills are often influenced by parents' reactions to stressful situations – sadness, anxiety, and others, which can help to restrict their response to the child when combined with the additional obligations imposed on them, particularly in the setting of the refugee (</w:t>
      </w:r>
      <w:r>
        <w:rPr>
          <w:rFonts w:ascii="Times New Roman" w:eastAsia="Times New Roman" w:hAnsi="Times New Roman" w:cs="Times New Roman"/>
          <w:color w:val="222222"/>
          <w:sz w:val="24"/>
          <w:szCs w:val="24"/>
          <w:highlight w:val="white"/>
        </w:rPr>
        <w:t>Lanier et al,2018</w:t>
      </w:r>
      <w:r>
        <w:rPr>
          <w:rFonts w:ascii="Times New Roman" w:eastAsia="Times New Roman" w:hAnsi="Times New Roman" w:cs="Times New Roman"/>
          <w:sz w:val="24"/>
          <w:szCs w:val="24"/>
        </w:rPr>
        <w:t>). Various ways may affect parents’ welfare - particularly mothers: from adequate and accessible health care to business pursuits from educational possibilities to cultural and leisure activities. Some initiatives may explicitly seek to enhance parenting skills. Others may aim to improve the quality of life and development chances for both men and women in more general terms. A particular focus may be placed on empowering women. It is particularly crucial for children who have been separated from their parents or prior caregivers to encourage family care and Family track (</w:t>
      </w:r>
      <w:r>
        <w:rPr>
          <w:rFonts w:ascii="Times New Roman" w:eastAsia="Times New Roman" w:hAnsi="Times New Roman" w:cs="Times New Roman"/>
          <w:color w:val="222222"/>
          <w:sz w:val="24"/>
          <w:szCs w:val="24"/>
          <w:highlight w:val="white"/>
        </w:rPr>
        <w:t>Masten,2018</w:t>
      </w:r>
      <w:r>
        <w:rPr>
          <w:rFonts w:ascii="Times New Roman" w:eastAsia="Times New Roman" w:hAnsi="Times New Roman" w:cs="Times New Roman"/>
          <w:sz w:val="24"/>
          <w:szCs w:val="24"/>
        </w:rPr>
        <w:t xml:space="preserve">). Although children may indeed be vulnerable, they mustn’t ignore their potential to participate actively in their problems. To promote the development of children and young people, it is necessary to examine carefully how crucial child protection and child development are linked to critical legal and policy concerns. An approach to resilience may be viewed in two ways: first, a </w:t>
      </w:r>
      <w:r>
        <w:rPr>
          <w:rFonts w:ascii="Times New Roman" w:eastAsia="Times New Roman" w:hAnsi="Times New Roman" w:cs="Times New Roman"/>
          <w:sz w:val="24"/>
          <w:szCs w:val="24"/>
        </w:rPr>
        <w:lastRenderedPageBreak/>
        <w:t>risk approach where intervention is based on determining certain actual or prospective risk factors (</w:t>
      </w:r>
      <w:r>
        <w:rPr>
          <w:rFonts w:ascii="Times New Roman" w:eastAsia="Times New Roman" w:hAnsi="Times New Roman" w:cs="Times New Roman"/>
          <w:color w:val="222222"/>
          <w:sz w:val="24"/>
          <w:szCs w:val="24"/>
          <w:highlight w:val="white"/>
        </w:rPr>
        <w:t>Crawley et al,2020</w:t>
      </w:r>
      <w:r>
        <w:rPr>
          <w:rFonts w:ascii="Times New Roman" w:eastAsia="Times New Roman" w:hAnsi="Times New Roman" w:cs="Times New Roman"/>
          <w:sz w:val="24"/>
          <w:szCs w:val="24"/>
        </w:rPr>
        <w:t>). The strategy includes: preventing or neglecting child abuse through parents' and community education; preventing the segregation campaign in mass movements; reducing drinking in adolescents, smoking or misusing drugs through community and youth-to-young initiatives; supplementary feeding initiatives’ food status is unsatisfactory. A second method may be defined as a resource-oriented approach to prevent and reduce risks to the general community by increasing its resources to help children and their families (</w:t>
      </w:r>
      <w:r>
        <w:rPr>
          <w:rFonts w:ascii="Times New Roman" w:eastAsia="Times New Roman" w:hAnsi="Times New Roman" w:cs="Times New Roman"/>
          <w:color w:val="222222"/>
          <w:sz w:val="24"/>
          <w:szCs w:val="24"/>
          <w:highlight w:val="white"/>
        </w:rPr>
        <w:t>Weisz et al,2019</w:t>
      </w:r>
      <w:r>
        <w:rPr>
          <w:rFonts w:ascii="Times New Roman" w:eastAsia="Times New Roman" w:hAnsi="Times New Roman" w:cs="Times New Roman"/>
          <w:sz w:val="24"/>
          <w:szCs w:val="24"/>
        </w:rPr>
        <w:t xml:space="preserve">). In other instances, additional resources such as kinder grounds or parent's facilities may be necessary to enhance existing community resources and perhaps to strengthen cultural standards and </w:t>
      </w:r>
      <w:proofErr w:type="spellStart"/>
      <w:r>
        <w:rPr>
          <w:rFonts w:ascii="Times New Roman" w:eastAsia="Times New Roman" w:hAnsi="Times New Roman" w:cs="Times New Roman"/>
          <w:sz w:val="24"/>
          <w:szCs w:val="24"/>
        </w:rPr>
        <w:t>behaviours</w:t>
      </w:r>
      <w:proofErr w:type="spellEnd"/>
      <w:r>
        <w:rPr>
          <w:rFonts w:ascii="Times New Roman" w:eastAsia="Times New Roman" w:hAnsi="Times New Roman" w:cs="Times New Roman"/>
          <w:sz w:val="24"/>
          <w:szCs w:val="24"/>
        </w:rPr>
        <w:t>, which appear to make resilience easier.</w:t>
      </w:r>
    </w:p>
    <w:p w14:paraId="63FB8B68" w14:textId="77777777" w:rsidR="00510C82" w:rsidRDefault="00510C82">
      <w:pPr>
        <w:rPr>
          <w:rFonts w:ascii="Times New Roman" w:eastAsia="Times New Roman" w:hAnsi="Times New Roman" w:cs="Times New Roman"/>
          <w:sz w:val="32"/>
          <w:szCs w:val="32"/>
        </w:rPr>
      </w:pPr>
      <w:bookmarkStart w:id="2" w:name="_Toc78207542"/>
      <w:r>
        <w:rPr>
          <w:rFonts w:ascii="Times New Roman" w:eastAsia="Times New Roman" w:hAnsi="Times New Roman" w:cs="Times New Roman"/>
        </w:rPr>
        <w:br w:type="page"/>
      </w:r>
    </w:p>
    <w:p w14:paraId="00000010" w14:textId="409D0CA9" w:rsidR="00EB1ABF" w:rsidRDefault="00510C82">
      <w:pPr>
        <w:pStyle w:val="Titlu2"/>
        <w:spacing w:after="200" w:line="360" w:lineRule="auto"/>
        <w:jc w:val="both"/>
        <w:rPr>
          <w:rFonts w:ascii="Times New Roman" w:eastAsia="Times New Roman" w:hAnsi="Times New Roman" w:cs="Times New Roman"/>
        </w:rPr>
      </w:pPr>
      <w:r>
        <w:rPr>
          <w:rFonts w:ascii="Times New Roman" w:eastAsia="Times New Roman" w:hAnsi="Times New Roman" w:cs="Times New Roman"/>
        </w:rPr>
        <w:lastRenderedPageBreak/>
        <w:t>Conclusion</w:t>
      </w:r>
      <w:bookmarkEnd w:id="2"/>
      <w:r>
        <w:rPr>
          <w:rFonts w:ascii="Times New Roman" w:eastAsia="Times New Roman" w:hAnsi="Times New Roman" w:cs="Times New Roman"/>
        </w:rPr>
        <w:t xml:space="preserve"> </w:t>
      </w:r>
    </w:p>
    <w:p w14:paraId="186297D1" w14:textId="77777777" w:rsidR="00510C82" w:rsidRDefault="00510C82">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Adopting a public health-informed strategy to tackle vulnerability can significantly reduce disparities and enhance the health and well-being of the most disadvantaged children. Two fundamental ideas underpin this approach: intervention should be focused on location, and improving outcomes for poor children must involve tackling socioeconomic variables that cause health disparities. The strategy advocates for cross-organizational action to decrease vulnerability, based on work at many levels, including preventing such events, acting early when issues develop and establishing a life-course environment that mitigates the adverse effects (</w:t>
      </w:r>
      <w:r>
        <w:rPr>
          <w:rFonts w:ascii="Times New Roman" w:eastAsia="Times New Roman" w:hAnsi="Times New Roman" w:cs="Times New Roman"/>
          <w:color w:val="222222"/>
          <w:sz w:val="24"/>
          <w:szCs w:val="24"/>
          <w:highlight w:val="white"/>
        </w:rPr>
        <w:t>Jones et al,2019</w:t>
      </w:r>
      <w:r>
        <w:rPr>
          <w:rFonts w:ascii="Times New Roman" w:eastAsia="Times New Roman" w:hAnsi="Times New Roman" w:cs="Times New Roman"/>
          <w:sz w:val="24"/>
          <w:szCs w:val="24"/>
        </w:rPr>
        <w:t xml:space="preserve">). The concept </w:t>
      </w:r>
      <w:proofErr w:type="spellStart"/>
      <w:r>
        <w:rPr>
          <w:rFonts w:ascii="Times New Roman" w:eastAsia="Times New Roman" w:hAnsi="Times New Roman" w:cs="Times New Roman"/>
          <w:sz w:val="24"/>
          <w:szCs w:val="24"/>
        </w:rPr>
        <w:t>emphasises</w:t>
      </w:r>
      <w:proofErr w:type="spellEnd"/>
      <w:r>
        <w:rPr>
          <w:rFonts w:ascii="Times New Roman" w:eastAsia="Times New Roman" w:hAnsi="Times New Roman" w:cs="Times New Roman"/>
          <w:sz w:val="24"/>
          <w:szCs w:val="24"/>
        </w:rPr>
        <w:t xml:space="preserve"> that worse conditions and negative childhood experiences in the early years do not always result in inferior chances and results later on but make children more vulnerable. Family and other care facilities that provide a safe environment constitute an essential protective factor, which allows a child and young people to become more robust and therefore reduce the potential detrimental impact, even if circumstances lead to a more significant likelihood of inferior outcomes (</w:t>
      </w:r>
      <w:r>
        <w:rPr>
          <w:rFonts w:ascii="Times New Roman" w:eastAsia="Times New Roman" w:hAnsi="Times New Roman" w:cs="Times New Roman"/>
          <w:color w:val="222222"/>
          <w:sz w:val="24"/>
          <w:szCs w:val="24"/>
          <w:highlight w:val="white"/>
        </w:rPr>
        <w:t>Almond, Currie and Duque,2018</w:t>
      </w:r>
      <w:r>
        <w:rPr>
          <w:rFonts w:ascii="Times New Roman" w:eastAsia="Times New Roman" w:hAnsi="Times New Roman" w:cs="Times New Roman"/>
          <w:sz w:val="24"/>
          <w:szCs w:val="24"/>
        </w:rPr>
        <w:t xml:space="preserve">). </w:t>
      </w:r>
    </w:p>
    <w:p w14:paraId="00000011" w14:textId="441FF0B8" w:rsidR="00EB1ABF" w:rsidRDefault="00510C82">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preventive approach to public health </w:t>
      </w:r>
      <w:proofErr w:type="spellStart"/>
      <w:r>
        <w:rPr>
          <w:rFonts w:ascii="Times New Roman" w:eastAsia="Times New Roman" w:hAnsi="Times New Roman" w:cs="Times New Roman"/>
          <w:sz w:val="24"/>
          <w:szCs w:val="24"/>
        </w:rPr>
        <w:t>emphasises</w:t>
      </w:r>
      <w:proofErr w:type="spellEnd"/>
      <w:r>
        <w:rPr>
          <w:rFonts w:ascii="Times New Roman" w:eastAsia="Times New Roman" w:hAnsi="Times New Roman" w:cs="Times New Roman"/>
          <w:sz w:val="24"/>
          <w:szCs w:val="24"/>
        </w:rPr>
        <w:t xml:space="preserve"> the community's responsibility in establishing settings where there are the proper circumstances to promote children's prosperity. Public Health England plans to enhance actions with partner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across sectors to ensure that every child grows up healthy, safe, and capable of achieving their full potential, regardless of where they live or their family circumstances, by using a public health informed approach to primary prevention, early intervention, and mitigation. In addition to this essay, each upper-tier local authority's narrative report on improving health outcomes for vulnerable children and young people provides an overview of relevant local data on risk and protective variables for children and young people to influence local </w:t>
      </w:r>
      <w:proofErr w:type="spellStart"/>
      <w:r>
        <w:rPr>
          <w:rFonts w:ascii="Times New Roman" w:eastAsia="Times New Roman" w:hAnsi="Times New Roman" w:cs="Times New Roman"/>
          <w:sz w:val="24"/>
          <w:szCs w:val="24"/>
        </w:rPr>
        <w:t>prioritisation</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color w:val="222222"/>
          <w:sz w:val="24"/>
          <w:szCs w:val="24"/>
          <w:highlight w:val="white"/>
        </w:rPr>
        <w:t>Parkes, Green and Mitchell,2019</w:t>
      </w:r>
      <w:r>
        <w:rPr>
          <w:rFonts w:ascii="Times New Roman" w:eastAsia="Times New Roman" w:hAnsi="Times New Roman" w:cs="Times New Roman"/>
          <w:sz w:val="24"/>
          <w:szCs w:val="24"/>
        </w:rPr>
        <w:t xml:space="preserve">). </w:t>
      </w:r>
    </w:p>
    <w:p w14:paraId="240DCDCE" w14:textId="77777777" w:rsidR="00510C82" w:rsidRDefault="00510C82">
      <w:pPr>
        <w:rPr>
          <w:rFonts w:ascii="Times New Roman" w:eastAsia="Times New Roman" w:hAnsi="Times New Roman" w:cs="Times New Roman"/>
          <w:sz w:val="32"/>
          <w:szCs w:val="32"/>
        </w:rPr>
      </w:pPr>
      <w:bookmarkStart w:id="3" w:name="_Toc78207543"/>
      <w:r>
        <w:rPr>
          <w:rFonts w:ascii="Times New Roman" w:eastAsia="Times New Roman" w:hAnsi="Times New Roman" w:cs="Times New Roman"/>
        </w:rPr>
        <w:br w:type="page"/>
      </w:r>
    </w:p>
    <w:p w14:paraId="00000012" w14:textId="0F895EFD" w:rsidR="00EB1ABF" w:rsidRDefault="00510C82">
      <w:pPr>
        <w:pStyle w:val="Titlu2"/>
        <w:rPr>
          <w:rFonts w:ascii="Times New Roman" w:eastAsia="Times New Roman" w:hAnsi="Times New Roman" w:cs="Times New Roman"/>
        </w:rPr>
      </w:pPr>
      <w:r>
        <w:rPr>
          <w:rFonts w:ascii="Times New Roman" w:eastAsia="Times New Roman" w:hAnsi="Times New Roman" w:cs="Times New Roman"/>
        </w:rPr>
        <w:lastRenderedPageBreak/>
        <w:t>Reference</w:t>
      </w:r>
      <w:bookmarkEnd w:id="3"/>
      <w:r>
        <w:rPr>
          <w:rFonts w:ascii="Times New Roman" w:eastAsia="Times New Roman" w:hAnsi="Times New Roman" w:cs="Times New Roman"/>
        </w:rPr>
        <w:t xml:space="preserve"> </w:t>
      </w:r>
    </w:p>
    <w:p w14:paraId="00000013" w14:textId="77777777" w:rsidR="00EB1ABF" w:rsidRDefault="00510C82">
      <w:pPr>
        <w:spacing w:after="20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Masten</w:t>
      </w:r>
      <w:proofErr w:type="spellEnd"/>
      <w:r>
        <w:rPr>
          <w:rFonts w:ascii="Times New Roman" w:eastAsia="Times New Roman" w:hAnsi="Times New Roman" w:cs="Times New Roman"/>
          <w:color w:val="222222"/>
          <w:sz w:val="24"/>
          <w:szCs w:val="24"/>
          <w:highlight w:val="white"/>
        </w:rPr>
        <w:t xml:space="preserve">, A.S. and Barnes, A.J., 2018. Resilience in children: Developmental perspectives. </w:t>
      </w:r>
      <w:r>
        <w:rPr>
          <w:rFonts w:ascii="Times New Roman" w:eastAsia="Times New Roman" w:hAnsi="Times New Roman" w:cs="Times New Roman"/>
          <w:i/>
          <w:color w:val="222222"/>
          <w:sz w:val="24"/>
          <w:szCs w:val="24"/>
          <w:highlight w:val="white"/>
        </w:rPr>
        <w:t>Children</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5</w:t>
      </w:r>
      <w:r>
        <w:rPr>
          <w:rFonts w:ascii="Times New Roman" w:eastAsia="Times New Roman" w:hAnsi="Times New Roman" w:cs="Times New Roman"/>
          <w:color w:val="222222"/>
          <w:sz w:val="24"/>
          <w:szCs w:val="24"/>
          <w:highlight w:val="white"/>
        </w:rPr>
        <w:t>(7), p.98.</w:t>
      </w:r>
    </w:p>
    <w:p w14:paraId="00000014" w14:textId="77777777" w:rsidR="00EB1ABF" w:rsidRDefault="00510C82">
      <w:pPr>
        <w:spacing w:after="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Chetty, R., Friedman, J.N., Hendren, N., Jones, M.R. and Porter, S.R., 2018. </w:t>
      </w:r>
      <w:r>
        <w:rPr>
          <w:rFonts w:ascii="Times New Roman" w:eastAsia="Times New Roman" w:hAnsi="Times New Roman" w:cs="Times New Roman"/>
          <w:i/>
          <w:color w:val="222222"/>
          <w:sz w:val="24"/>
          <w:szCs w:val="24"/>
          <w:highlight w:val="white"/>
        </w:rPr>
        <w:t>The opportunity atlas: Mapping the childhood roots of social mobility</w:t>
      </w:r>
      <w:r>
        <w:rPr>
          <w:rFonts w:ascii="Times New Roman" w:eastAsia="Times New Roman" w:hAnsi="Times New Roman" w:cs="Times New Roman"/>
          <w:color w:val="222222"/>
          <w:sz w:val="24"/>
          <w:szCs w:val="24"/>
          <w:highlight w:val="white"/>
        </w:rPr>
        <w:t xml:space="preserve"> (No. w25147). National Bureau of Economic Research.</w:t>
      </w:r>
    </w:p>
    <w:p w14:paraId="00000015" w14:textId="77777777" w:rsidR="00EB1ABF" w:rsidRDefault="00510C82">
      <w:pPr>
        <w:spacing w:after="20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Tinanoff</w:t>
      </w:r>
      <w:proofErr w:type="spellEnd"/>
      <w:r>
        <w:rPr>
          <w:rFonts w:ascii="Times New Roman" w:eastAsia="Times New Roman" w:hAnsi="Times New Roman" w:cs="Times New Roman"/>
          <w:color w:val="222222"/>
          <w:sz w:val="24"/>
          <w:szCs w:val="24"/>
          <w:highlight w:val="white"/>
        </w:rPr>
        <w:t xml:space="preserve">, N., Baez, R.J., Diaz Guillory, C., </w:t>
      </w:r>
      <w:proofErr w:type="spellStart"/>
      <w:r>
        <w:rPr>
          <w:rFonts w:ascii="Times New Roman" w:eastAsia="Times New Roman" w:hAnsi="Times New Roman" w:cs="Times New Roman"/>
          <w:color w:val="222222"/>
          <w:sz w:val="24"/>
          <w:szCs w:val="24"/>
          <w:highlight w:val="white"/>
        </w:rPr>
        <w:t>Donly</w:t>
      </w:r>
      <w:proofErr w:type="spellEnd"/>
      <w:r>
        <w:rPr>
          <w:rFonts w:ascii="Times New Roman" w:eastAsia="Times New Roman" w:hAnsi="Times New Roman" w:cs="Times New Roman"/>
          <w:color w:val="222222"/>
          <w:sz w:val="24"/>
          <w:szCs w:val="24"/>
          <w:highlight w:val="white"/>
        </w:rPr>
        <w:t xml:space="preserve">, K.J., </w:t>
      </w:r>
      <w:proofErr w:type="spellStart"/>
      <w:r>
        <w:rPr>
          <w:rFonts w:ascii="Times New Roman" w:eastAsia="Times New Roman" w:hAnsi="Times New Roman" w:cs="Times New Roman"/>
          <w:color w:val="222222"/>
          <w:sz w:val="24"/>
          <w:szCs w:val="24"/>
          <w:highlight w:val="white"/>
        </w:rPr>
        <w:t>Feldens</w:t>
      </w:r>
      <w:proofErr w:type="spellEnd"/>
      <w:r>
        <w:rPr>
          <w:rFonts w:ascii="Times New Roman" w:eastAsia="Times New Roman" w:hAnsi="Times New Roman" w:cs="Times New Roman"/>
          <w:color w:val="222222"/>
          <w:sz w:val="24"/>
          <w:szCs w:val="24"/>
          <w:highlight w:val="white"/>
        </w:rPr>
        <w:t xml:space="preserve">, C.A., McGrath, C., </w:t>
      </w:r>
      <w:proofErr w:type="spellStart"/>
      <w:r>
        <w:rPr>
          <w:rFonts w:ascii="Times New Roman" w:eastAsia="Times New Roman" w:hAnsi="Times New Roman" w:cs="Times New Roman"/>
          <w:color w:val="222222"/>
          <w:sz w:val="24"/>
          <w:szCs w:val="24"/>
          <w:highlight w:val="white"/>
        </w:rPr>
        <w:t>Phantumvanit</w:t>
      </w:r>
      <w:proofErr w:type="spellEnd"/>
      <w:r>
        <w:rPr>
          <w:rFonts w:ascii="Times New Roman" w:eastAsia="Times New Roman" w:hAnsi="Times New Roman" w:cs="Times New Roman"/>
          <w:color w:val="222222"/>
          <w:sz w:val="24"/>
          <w:szCs w:val="24"/>
          <w:highlight w:val="white"/>
        </w:rPr>
        <w:t xml:space="preserve">, P., Pitts, N.B., </w:t>
      </w:r>
      <w:proofErr w:type="spellStart"/>
      <w:r>
        <w:rPr>
          <w:rFonts w:ascii="Times New Roman" w:eastAsia="Times New Roman" w:hAnsi="Times New Roman" w:cs="Times New Roman"/>
          <w:color w:val="222222"/>
          <w:sz w:val="24"/>
          <w:szCs w:val="24"/>
          <w:highlight w:val="white"/>
        </w:rPr>
        <w:t>Seow</w:t>
      </w:r>
      <w:proofErr w:type="spellEnd"/>
      <w:r>
        <w:rPr>
          <w:rFonts w:ascii="Times New Roman" w:eastAsia="Times New Roman" w:hAnsi="Times New Roman" w:cs="Times New Roman"/>
          <w:color w:val="222222"/>
          <w:sz w:val="24"/>
          <w:szCs w:val="24"/>
          <w:highlight w:val="white"/>
        </w:rPr>
        <w:t xml:space="preserve">, W.K., </w:t>
      </w:r>
      <w:proofErr w:type="spellStart"/>
      <w:r>
        <w:rPr>
          <w:rFonts w:ascii="Times New Roman" w:eastAsia="Times New Roman" w:hAnsi="Times New Roman" w:cs="Times New Roman"/>
          <w:color w:val="222222"/>
          <w:sz w:val="24"/>
          <w:szCs w:val="24"/>
          <w:highlight w:val="white"/>
        </w:rPr>
        <w:t>Sharkov</w:t>
      </w:r>
      <w:proofErr w:type="spellEnd"/>
      <w:r>
        <w:rPr>
          <w:rFonts w:ascii="Times New Roman" w:eastAsia="Times New Roman" w:hAnsi="Times New Roman" w:cs="Times New Roman"/>
          <w:color w:val="222222"/>
          <w:sz w:val="24"/>
          <w:szCs w:val="24"/>
          <w:highlight w:val="white"/>
        </w:rPr>
        <w:t xml:space="preserve">, N. and </w:t>
      </w:r>
      <w:proofErr w:type="spellStart"/>
      <w:r>
        <w:rPr>
          <w:rFonts w:ascii="Times New Roman" w:eastAsia="Times New Roman" w:hAnsi="Times New Roman" w:cs="Times New Roman"/>
          <w:color w:val="222222"/>
          <w:sz w:val="24"/>
          <w:szCs w:val="24"/>
          <w:highlight w:val="white"/>
        </w:rPr>
        <w:t>Songpaisan</w:t>
      </w:r>
      <w:proofErr w:type="spellEnd"/>
      <w:r>
        <w:rPr>
          <w:rFonts w:ascii="Times New Roman" w:eastAsia="Times New Roman" w:hAnsi="Times New Roman" w:cs="Times New Roman"/>
          <w:color w:val="222222"/>
          <w:sz w:val="24"/>
          <w:szCs w:val="24"/>
          <w:highlight w:val="white"/>
        </w:rPr>
        <w:t xml:space="preserve">, Y., 2019. Early childhood caries epidemiology, </w:t>
      </w:r>
      <w:proofErr w:type="spellStart"/>
      <w:r>
        <w:rPr>
          <w:rFonts w:ascii="Times New Roman" w:eastAsia="Times New Roman" w:hAnsi="Times New Roman" w:cs="Times New Roman"/>
          <w:color w:val="222222"/>
          <w:sz w:val="24"/>
          <w:szCs w:val="24"/>
          <w:highlight w:val="white"/>
        </w:rPr>
        <w:t>aetiology</w:t>
      </w:r>
      <w:proofErr w:type="spellEnd"/>
      <w:r>
        <w:rPr>
          <w:rFonts w:ascii="Times New Roman" w:eastAsia="Times New Roman" w:hAnsi="Times New Roman" w:cs="Times New Roman"/>
          <w:color w:val="222222"/>
          <w:sz w:val="24"/>
          <w:szCs w:val="24"/>
          <w:highlight w:val="white"/>
        </w:rPr>
        <w:t xml:space="preserve">, risk assessment, societal burden, management, education, and policy: Global perspective. </w:t>
      </w:r>
      <w:r>
        <w:rPr>
          <w:rFonts w:ascii="Times New Roman" w:eastAsia="Times New Roman" w:hAnsi="Times New Roman" w:cs="Times New Roman"/>
          <w:i/>
          <w:color w:val="222222"/>
          <w:sz w:val="24"/>
          <w:szCs w:val="24"/>
          <w:highlight w:val="white"/>
        </w:rPr>
        <w:t xml:space="preserve">International journal of </w:t>
      </w:r>
      <w:proofErr w:type="spellStart"/>
      <w:r>
        <w:rPr>
          <w:rFonts w:ascii="Times New Roman" w:eastAsia="Times New Roman" w:hAnsi="Times New Roman" w:cs="Times New Roman"/>
          <w:i/>
          <w:color w:val="222222"/>
          <w:sz w:val="24"/>
          <w:szCs w:val="24"/>
          <w:highlight w:val="white"/>
        </w:rPr>
        <w:t>paediatric</w:t>
      </w:r>
      <w:proofErr w:type="spellEnd"/>
      <w:r>
        <w:rPr>
          <w:rFonts w:ascii="Times New Roman" w:eastAsia="Times New Roman" w:hAnsi="Times New Roman" w:cs="Times New Roman"/>
          <w:i/>
          <w:color w:val="222222"/>
          <w:sz w:val="24"/>
          <w:szCs w:val="24"/>
          <w:highlight w:val="white"/>
        </w:rPr>
        <w:t xml:space="preserve"> dentistry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29</w:t>
      </w:r>
      <w:r>
        <w:rPr>
          <w:rFonts w:ascii="Times New Roman" w:eastAsia="Times New Roman" w:hAnsi="Times New Roman" w:cs="Times New Roman"/>
          <w:color w:val="222222"/>
          <w:sz w:val="24"/>
          <w:szCs w:val="24"/>
          <w:highlight w:val="white"/>
        </w:rPr>
        <w:t>(3), pp.238-248.</w:t>
      </w:r>
    </w:p>
    <w:p w14:paraId="00000016" w14:textId="77777777" w:rsidR="00EB1ABF" w:rsidRDefault="00510C82">
      <w:pPr>
        <w:spacing w:after="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Mulder, T.M., Kuiper, K.C., van </w:t>
      </w:r>
      <w:proofErr w:type="spellStart"/>
      <w:r>
        <w:rPr>
          <w:rFonts w:ascii="Times New Roman" w:eastAsia="Times New Roman" w:hAnsi="Times New Roman" w:cs="Times New Roman"/>
          <w:color w:val="222222"/>
          <w:sz w:val="24"/>
          <w:szCs w:val="24"/>
          <w:highlight w:val="white"/>
        </w:rPr>
        <w:t>der</w:t>
      </w:r>
      <w:proofErr w:type="spellEnd"/>
      <w:r>
        <w:rPr>
          <w:rFonts w:ascii="Times New Roman" w:eastAsia="Times New Roman" w:hAnsi="Times New Roman" w:cs="Times New Roman"/>
          <w:color w:val="222222"/>
          <w:sz w:val="24"/>
          <w:szCs w:val="24"/>
          <w:highlight w:val="white"/>
        </w:rPr>
        <w:t xml:space="preserve"> Put, C.E., </w:t>
      </w:r>
      <w:proofErr w:type="spellStart"/>
      <w:r>
        <w:rPr>
          <w:rFonts w:ascii="Times New Roman" w:eastAsia="Times New Roman" w:hAnsi="Times New Roman" w:cs="Times New Roman"/>
          <w:color w:val="222222"/>
          <w:sz w:val="24"/>
          <w:szCs w:val="24"/>
          <w:highlight w:val="white"/>
        </w:rPr>
        <w:t>Stams</w:t>
      </w:r>
      <w:proofErr w:type="spellEnd"/>
      <w:r>
        <w:rPr>
          <w:rFonts w:ascii="Times New Roman" w:eastAsia="Times New Roman" w:hAnsi="Times New Roman" w:cs="Times New Roman"/>
          <w:color w:val="222222"/>
          <w:sz w:val="24"/>
          <w:szCs w:val="24"/>
          <w:highlight w:val="white"/>
        </w:rPr>
        <w:t xml:space="preserve">, G.J.J. and </w:t>
      </w:r>
      <w:proofErr w:type="spellStart"/>
      <w:r>
        <w:rPr>
          <w:rFonts w:ascii="Times New Roman" w:eastAsia="Times New Roman" w:hAnsi="Times New Roman" w:cs="Times New Roman"/>
          <w:color w:val="222222"/>
          <w:sz w:val="24"/>
          <w:szCs w:val="24"/>
          <w:highlight w:val="white"/>
        </w:rPr>
        <w:t>Assink</w:t>
      </w:r>
      <w:proofErr w:type="spellEnd"/>
      <w:r>
        <w:rPr>
          <w:rFonts w:ascii="Times New Roman" w:eastAsia="Times New Roman" w:hAnsi="Times New Roman" w:cs="Times New Roman"/>
          <w:color w:val="222222"/>
          <w:sz w:val="24"/>
          <w:szCs w:val="24"/>
          <w:highlight w:val="white"/>
        </w:rPr>
        <w:t xml:space="preserve">, M., 2018. Risk factors for child neglect: A meta-analytic review. </w:t>
      </w:r>
      <w:r>
        <w:rPr>
          <w:rFonts w:ascii="Times New Roman" w:eastAsia="Times New Roman" w:hAnsi="Times New Roman" w:cs="Times New Roman"/>
          <w:i/>
          <w:color w:val="222222"/>
          <w:sz w:val="24"/>
          <w:szCs w:val="24"/>
          <w:highlight w:val="white"/>
        </w:rPr>
        <w:t>Child abuse &amp; neglect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77</w:t>
      </w:r>
      <w:r>
        <w:rPr>
          <w:rFonts w:ascii="Times New Roman" w:eastAsia="Times New Roman" w:hAnsi="Times New Roman" w:cs="Times New Roman"/>
          <w:color w:val="222222"/>
          <w:sz w:val="24"/>
          <w:szCs w:val="24"/>
          <w:highlight w:val="white"/>
        </w:rPr>
        <w:t>, pp.198-210.</w:t>
      </w:r>
    </w:p>
    <w:p w14:paraId="00000017" w14:textId="77777777" w:rsidR="00EB1ABF" w:rsidRDefault="00510C82">
      <w:pPr>
        <w:spacing w:after="20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Felfe</w:t>
      </w:r>
      <w:proofErr w:type="spellEnd"/>
      <w:r>
        <w:rPr>
          <w:rFonts w:ascii="Times New Roman" w:eastAsia="Times New Roman" w:hAnsi="Times New Roman" w:cs="Times New Roman"/>
          <w:color w:val="222222"/>
          <w:sz w:val="24"/>
          <w:szCs w:val="24"/>
          <w:highlight w:val="white"/>
        </w:rPr>
        <w:t xml:space="preserve">, C. and </w:t>
      </w:r>
      <w:proofErr w:type="spellStart"/>
      <w:r>
        <w:rPr>
          <w:rFonts w:ascii="Times New Roman" w:eastAsia="Times New Roman" w:hAnsi="Times New Roman" w:cs="Times New Roman"/>
          <w:color w:val="222222"/>
          <w:sz w:val="24"/>
          <w:szCs w:val="24"/>
          <w:highlight w:val="white"/>
        </w:rPr>
        <w:t>Lalive</w:t>
      </w:r>
      <w:proofErr w:type="spellEnd"/>
      <w:r>
        <w:rPr>
          <w:rFonts w:ascii="Times New Roman" w:eastAsia="Times New Roman" w:hAnsi="Times New Roman" w:cs="Times New Roman"/>
          <w:color w:val="222222"/>
          <w:sz w:val="24"/>
          <w:szCs w:val="24"/>
          <w:highlight w:val="white"/>
        </w:rPr>
        <w:t xml:space="preserve">, R., 2018. Does early child care affect children's development?. </w:t>
      </w:r>
      <w:r>
        <w:rPr>
          <w:rFonts w:ascii="Times New Roman" w:eastAsia="Times New Roman" w:hAnsi="Times New Roman" w:cs="Times New Roman"/>
          <w:i/>
          <w:color w:val="222222"/>
          <w:sz w:val="24"/>
          <w:szCs w:val="24"/>
          <w:highlight w:val="white"/>
        </w:rPr>
        <w:t>Journal of Public Economics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159</w:t>
      </w:r>
      <w:r>
        <w:rPr>
          <w:rFonts w:ascii="Times New Roman" w:eastAsia="Times New Roman" w:hAnsi="Times New Roman" w:cs="Times New Roman"/>
          <w:color w:val="222222"/>
          <w:sz w:val="24"/>
          <w:szCs w:val="24"/>
          <w:highlight w:val="white"/>
        </w:rPr>
        <w:t>, pp.33-53.</w:t>
      </w:r>
    </w:p>
    <w:p w14:paraId="00000018" w14:textId="77777777" w:rsidR="00EB1ABF" w:rsidRDefault="00510C82">
      <w:pPr>
        <w:spacing w:after="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Straus, M.A., 2017. Ordinary violence, child abuse, and wife beating: What do they have in common?. In </w:t>
      </w:r>
      <w:r>
        <w:rPr>
          <w:rFonts w:ascii="Times New Roman" w:eastAsia="Times New Roman" w:hAnsi="Times New Roman" w:cs="Times New Roman"/>
          <w:i/>
          <w:color w:val="222222"/>
          <w:sz w:val="24"/>
          <w:szCs w:val="24"/>
          <w:highlight w:val="white"/>
        </w:rPr>
        <w:t>Physical violence in American families</w:t>
      </w:r>
      <w:r>
        <w:rPr>
          <w:rFonts w:ascii="Times New Roman" w:eastAsia="Times New Roman" w:hAnsi="Times New Roman" w:cs="Times New Roman"/>
          <w:color w:val="222222"/>
          <w:sz w:val="24"/>
          <w:szCs w:val="24"/>
          <w:highlight w:val="white"/>
        </w:rPr>
        <w:t xml:space="preserve"> (pp. 403-424). Routledge.</w:t>
      </w:r>
    </w:p>
    <w:p w14:paraId="00000019" w14:textId="77777777" w:rsidR="00EB1ABF" w:rsidRDefault="00510C82">
      <w:pPr>
        <w:spacing w:after="20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Masten</w:t>
      </w:r>
      <w:proofErr w:type="spellEnd"/>
      <w:r>
        <w:rPr>
          <w:rFonts w:ascii="Times New Roman" w:eastAsia="Times New Roman" w:hAnsi="Times New Roman" w:cs="Times New Roman"/>
          <w:color w:val="222222"/>
          <w:sz w:val="24"/>
          <w:szCs w:val="24"/>
          <w:highlight w:val="white"/>
        </w:rPr>
        <w:t xml:space="preserve">, A.S., 2018. Resilience theory and research on children and families: Past, present, and promise. </w:t>
      </w:r>
      <w:r>
        <w:rPr>
          <w:rFonts w:ascii="Times New Roman" w:eastAsia="Times New Roman" w:hAnsi="Times New Roman" w:cs="Times New Roman"/>
          <w:i/>
          <w:color w:val="222222"/>
          <w:sz w:val="24"/>
          <w:szCs w:val="24"/>
          <w:highlight w:val="white"/>
        </w:rPr>
        <w:t>Journal of Family Theory &amp; Review</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10</w:t>
      </w:r>
      <w:r>
        <w:rPr>
          <w:rFonts w:ascii="Times New Roman" w:eastAsia="Times New Roman" w:hAnsi="Times New Roman" w:cs="Times New Roman"/>
          <w:color w:val="222222"/>
          <w:sz w:val="24"/>
          <w:szCs w:val="24"/>
          <w:highlight w:val="white"/>
        </w:rPr>
        <w:t>(1), pp.12-31.</w:t>
      </w:r>
    </w:p>
    <w:p w14:paraId="0000001A" w14:textId="77777777" w:rsidR="00EB1ABF" w:rsidRDefault="00510C82">
      <w:pPr>
        <w:spacing w:after="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García, J.L., Heckman, J.J., Leaf, D.E. and </w:t>
      </w:r>
      <w:proofErr w:type="spellStart"/>
      <w:r>
        <w:rPr>
          <w:rFonts w:ascii="Times New Roman" w:eastAsia="Times New Roman" w:hAnsi="Times New Roman" w:cs="Times New Roman"/>
          <w:color w:val="222222"/>
          <w:sz w:val="24"/>
          <w:szCs w:val="24"/>
          <w:highlight w:val="white"/>
        </w:rPr>
        <w:t>Prados</w:t>
      </w:r>
      <w:proofErr w:type="spellEnd"/>
      <w:r>
        <w:rPr>
          <w:rFonts w:ascii="Times New Roman" w:eastAsia="Times New Roman" w:hAnsi="Times New Roman" w:cs="Times New Roman"/>
          <w:color w:val="222222"/>
          <w:sz w:val="24"/>
          <w:szCs w:val="24"/>
          <w:highlight w:val="white"/>
        </w:rPr>
        <w:t xml:space="preserve">, M.J., 2017. </w:t>
      </w:r>
      <w:r>
        <w:rPr>
          <w:rFonts w:ascii="Times New Roman" w:eastAsia="Times New Roman" w:hAnsi="Times New Roman" w:cs="Times New Roman"/>
          <w:i/>
          <w:color w:val="222222"/>
          <w:sz w:val="24"/>
          <w:szCs w:val="24"/>
          <w:highlight w:val="white"/>
        </w:rPr>
        <w:t>Quantifying the life-cycle benefits of a prototypical early childhood program</w:t>
      </w:r>
      <w:r>
        <w:rPr>
          <w:rFonts w:ascii="Times New Roman" w:eastAsia="Times New Roman" w:hAnsi="Times New Roman" w:cs="Times New Roman"/>
          <w:color w:val="222222"/>
          <w:sz w:val="24"/>
          <w:szCs w:val="24"/>
          <w:highlight w:val="white"/>
        </w:rPr>
        <w:t xml:space="preserve"> (No. w23479). National bureau of economic research.</w:t>
      </w:r>
    </w:p>
    <w:p w14:paraId="0000001B" w14:textId="77777777" w:rsidR="00EB1ABF" w:rsidRDefault="00510C82">
      <w:pPr>
        <w:spacing w:after="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Parkes, A., Green, M. and Mitchell, K., 2019. Coparenting and parenting pathways from the couple relationship to children’s behavior problems. </w:t>
      </w:r>
      <w:r>
        <w:rPr>
          <w:rFonts w:ascii="Times New Roman" w:eastAsia="Times New Roman" w:hAnsi="Times New Roman" w:cs="Times New Roman"/>
          <w:i/>
          <w:color w:val="222222"/>
          <w:sz w:val="24"/>
          <w:szCs w:val="24"/>
          <w:highlight w:val="white"/>
        </w:rPr>
        <w:t>Journal of Family Psychology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33</w:t>
      </w:r>
      <w:r>
        <w:rPr>
          <w:rFonts w:ascii="Times New Roman" w:eastAsia="Times New Roman" w:hAnsi="Times New Roman" w:cs="Times New Roman"/>
          <w:color w:val="222222"/>
          <w:sz w:val="24"/>
          <w:szCs w:val="24"/>
          <w:highlight w:val="white"/>
        </w:rPr>
        <w:t>(2), p.215.</w:t>
      </w:r>
    </w:p>
    <w:p w14:paraId="0000001C" w14:textId="77777777" w:rsidR="00EB1ABF" w:rsidRDefault="00510C82">
      <w:pPr>
        <w:spacing w:after="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Bell, R.Q., 2020. Socialization findings reexamined. In </w:t>
      </w:r>
      <w:r>
        <w:rPr>
          <w:rFonts w:ascii="Times New Roman" w:eastAsia="Times New Roman" w:hAnsi="Times New Roman" w:cs="Times New Roman"/>
          <w:i/>
          <w:color w:val="222222"/>
          <w:sz w:val="24"/>
          <w:szCs w:val="24"/>
          <w:highlight w:val="white"/>
        </w:rPr>
        <w:t>Child effects on adults</w:t>
      </w:r>
      <w:r>
        <w:rPr>
          <w:rFonts w:ascii="Times New Roman" w:eastAsia="Times New Roman" w:hAnsi="Times New Roman" w:cs="Times New Roman"/>
          <w:color w:val="222222"/>
          <w:sz w:val="24"/>
          <w:szCs w:val="24"/>
          <w:highlight w:val="white"/>
        </w:rPr>
        <w:t xml:space="preserve"> (pp. 53-84). Routledge.</w:t>
      </w:r>
    </w:p>
    <w:p w14:paraId="0000001D" w14:textId="77777777" w:rsidR="00EB1ABF" w:rsidRDefault="00510C82">
      <w:pPr>
        <w:spacing w:after="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Whiting, B., 2017. The problem of the packaged variable. In </w:t>
      </w:r>
      <w:r>
        <w:rPr>
          <w:rFonts w:ascii="Times New Roman" w:eastAsia="Times New Roman" w:hAnsi="Times New Roman" w:cs="Times New Roman"/>
          <w:i/>
          <w:color w:val="222222"/>
          <w:sz w:val="24"/>
          <w:szCs w:val="24"/>
          <w:highlight w:val="white"/>
        </w:rPr>
        <w:t>The developing individual in a changing world</w:t>
      </w:r>
      <w:r>
        <w:rPr>
          <w:rFonts w:ascii="Times New Roman" w:eastAsia="Times New Roman" w:hAnsi="Times New Roman" w:cs="Times New Roman"/>
          <w:color w:val="222222"/>
          <w:sz w:val="24"/>
          <w:szCs w:val="24"/>
          <w:highlight w:val="white"/>
        </w:rPr>
        <w:t xml:space="preserve"> (pp. 303-309). Routledge.</w:t>
      </w:r>
    </w:p>
    <w:p w14:paraId="0000001E" w14:textId="77777777" w:rsidR="00EB1ABF" w:rsidRDefault="00510C82">
      <w:pPr>
        <w:spacing w:after="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lastRenderedPageBreak/>
        <w:t xml:space="preserve">Lanier, P., Maguire-Jack, K., Lombardi, B., Frey, J. and Rose, R.A., 2018. Adverse childhood experiences and child health outcomes: comparing cumulative risk and latent class approaches. </w:t>
      </w:r>
      <w:r>
        <w:rPr>
          <w:rFonts w:ascii="Times New Roman" w:eastAsia="Times New Roman" w:hAnsi="Times New Roman" w:cs="Times New Roman"/>
          <w:i/>
          <w:color w:val="222222"/>
          <w:sz w:val="24"/>
          <w:szCs w:val="24"/>
          <w:highlight w:val="white"/>
        </w:rPr>
        <w:t>Maternal and child health journal</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22</w:t>
      </w:r>
      <w:r>
        <w:rPr>
          <w:rFonts w:ascii="Times New Roman" w:eastAsia="Times New Roman" w:hAnsi="Times New Roman" w:cs="Times New Roman"/>
          <w:color w:val="222222"/>
          <w:sz w:val="24"/>
          <w:szCs w:val="24"/>
          <w:highlight w:val="white"/>
        </w:rPr>
        <w:t>(3), pp.288-297.</w:t>
      </w:r>
    </w:p>
    <w:p w14:paraId="0000001F" w14:textId="77777777" w:rsidR="00EB1ABF" w:rsidRDefault="00510C82">
      <w:pPr>
        <w:spacing w:after="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Almond, D., Currie, J. and Duque, V., 2018. Childhood circumstances and adult outcomes: Act II. </w:t>
      </w:r>
      <w:r>
        <w:rPr>
          <w:rFonts w:ascii="Times New Roman" w:eastAsia="Times New Roman" w:hAnsi="Times New Roman" w:cs="Times New Roman"/>
          <w:i/>
          <w:color w:val="222222"/>
          <w:sz w:val="24"/>
          <w:szCs w:val="24"/>
          <w:highlight w:val="white"/>
        </w:rPr>
        <w:t>Journal of Economic Literature</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56</w:t>
      </w:r>
      <w:r>
        <w:rPr>
          <w:rFonts w:ascii="Times New Roman" w:eastAsia="Times New Roman" w:hAnsi="Times New Roman" w:cs="Times New Roman"/>
          <w:color w:val="222222"/>
          <w:sz w:val="24"/>
          <w:szCs w:val="24"/>
          <w:highlight w:val="white"/>
        </w:rPr>
        <w:t>(4), pp.1360-1446.</w:t>
      </w:r>
    </w:p>
    <w:p w14:paraId="00000020" w14:textId="77777777" w:rsidR="00EB1ABF" w:rsidRDefault="00510C82">
      <w:pPr>
        <w:spacing w:after="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Samuel, S.R., Acharya, S. and Rao, J.C., 2020. School Interventions–based Prevention of Early‐Childhood Caries among 3–5‐year‐old children from very low socioeconomic status: Two‐year randomized trial. </w:t>
      </w:r>
      <w:r>
        <w:rPr>
          <w:rFonts w:ascii="Times New Roman" w:eastAsia="Times New Roman" w:hAnsi="Times New Roman" w:cs="Times New Roman"/>
          <w:i/>
          <w:color w:val="222222"/>
          <w:sz w:val="24"/>
          <w:szCs w:val="24"/>
          <w:highlight w:val="white"/>
        </w:rPr>
        <w:t>Journal of public health dentistry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80</w:t>
      </w:r>
      <w:r>
        <w:rPr>
          <w:rFonts w:ascii="Times New Roman" w:eastAsia="Times New Roman" w:hAnsi="Times New Roman" w:cs="Times New Roman"/>
          <w:color w:val="222222"/>
          <w:sz w:val="24"/>
          <w:szCs w:val="24"/>
          <w:highlight w:val="white"/>
        </w:rPr>
        <w:t>(1), pp.51-60.</w:t>
      </w:r>
    </w:p>
    <w:p w14:paraId="00000021" w14:textId="77777777" w:rsidR="00EB1ABF" w:rsidRDefault="00510C82">
      <w:pPr>
        <w:spacing w:after="20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Ogundele</w:t>
      </w:r>
      <w:proofErr w:type="spellEnd"/>
      <w:r>
        <w:rPr>
          <w:rFonts w:ascii="Times New Roman" w:eastAsia="Times New Roman" w:hAnsi="Times New Roman" w:cs="Times New Roman"/>
          <w:color w:val="222222"/>
          <w:sz w:val="24"/>
          <w:szCs w:val="24"/>
          <w:highlight w:val="white"/>
        </w:rPr>
        <w:t xml:space="preserve">, M.O., 2018. </w:t>
      </w:r>
      <w:proofErr w:type="spellStart"/>
      <w:r>
        <w:rPr>
          <w:rFonts w:ascii="Times New Roman" w:eastAsia="Times New Roman" w:hAnsi="Times New Roman" w:cs="Times New Roman"/>
          <w:color w:val="222222"/>
          <w:sz w:val="24"/>
          <w:szCs w:val="24"/>
          <w:highlight w:val="white"/>
        </w:rPr>
        <w:t>Behavioural</w:t>
      </w:r>
      <w:proofErr w:type="spellEnd"/>
      <w:r>
        <w:rPr>
          <w:rFonts w:ascii="Times New Roman" w:eastAsia="Times New Roman" w:hAnsi="Times New Roman" w:cs="Times New Roman"/>
          <w:color w:val="222222"/>
          <w:sz w:val="24"/>
          <w:szCs w:val="24"/>
          <w:highlight w:val="white"/>
        </w:rPr>
        <w:t xml:space="preserve"> and emotional disorders in childhood: A brief overview for </w:t>
      </w:r>
      <w:proofErr w:type="spellStart"/>
      <w:r>
        <w:rPr>
          <w:rFonts w:ascii="Times New Roman" w:eastAsia="Times New Roman" w:hAnsi="Times New Roman" w:cs="Times New Roman"/>
          <w:color w:val="222222"/>
          <w:sz w:val="24"/>
          <w:szCs w:val="24"/>
          <w:highlight w:val="white"/>
        </w:rPr>
        <w:t>paediatricians</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World journal of clinical pediatrics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7</w:t>
      </w:r>
      <w:r>
        <w:rPr>
          <w:rFonts w:ascii="Times New Roman" w:eastAsia="Times New Roman" w:hAnsi="Times New Roman" w:cs="Times New Roman"/>
          <w:color w:val="222222"/>
          <w:sz w:val="24"/>
          <w:szCs w:val="24"/>
          <w:highlight w:val="white"/>
        </w:rPr>
        <w:t>(1), p.9.</w:t>
      </w:r>
    </w:p>
    <w:p w14:paraId="00000022" w14:textId="77777777" w:rsidR="00EB1ABF" w:rsidRDefault="00510C82">
      <w:pPr>
        <w:spacing w:after="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Crawley, E., Loades, M., Feder, G., Logan, S., Redwood, S. and Macleod, J., 2020. Wider collateral damage to children in the UK because of the social distancing measures designed to reduce the impact of COVID-19 in adults. </w:t>
      </w:r>
      <w:r>
        <w:rPr>
          <w:rFonts w:ascii="Times New Roman" w:eastAsia="Times New Roman" w:hAnsi="Times New Roman" w:cs="Times New Roman"/>
          <w:i/>
          <w:color w:val="222222"/>
          <w:sz w:val="24"/>
          <w:szCs w:val="24"/>
          <w:highlight w:val="white"/>
        </w:rPr>
        <w:t xml:space="preserve">BMJ </w:t>
      </w:r>
      <w:proofErr w:type="spellStart"/>
      <w:r>
        <w:rPr>
          <w:rFonts w:ascii="Times New Roman" w:eastAsia="Times New Roman" w:hAnsi="Times New Roman" w:cs="Times New Roman"/>
          <w:i/>
          <w:color w:val="222222"/>
          <w:sz w:val="24"/>
          <w:szCs w:val="24"/>
          <w:highlight w:val="white"/>
        </w:rPr>
        <w:t>Paediatrics</w:t>
      </w:r>
      <w:proofErr w:type="spellEnd"/>
      <w:r>
        <w:rPr>
          <w:rFonts w:ascii="Times New Roman" w:eastAsia="Times New Roman" w:hAnsi="Times New Roman" w:cs="Times New Roman"/>
          <w:i/>
          <w:color w:val="222222"/>
          <w:sz w:val="24"/>
          <w:szCs w:val="24"/>
          <w:highlight w:val="white"/>
        </w:rPr>
        <w:t xml:space="preserve"> Open</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4</w:t>
      </w:r>
      <w:r>
        <w:rPr>
          <w:rFonts w:ascii="Times New Roman" w:eastAsia="Times New Roman" w:hAnsi="Times New Roman" w:cs="Times New Roman"/>
          <w:color w:val="222222"/>
          <w:sz w:val="24"/>
          <w:szCs w:val="24"/>
          <w:highlight w:val="white"/>
        </w:rPr>
        <w:t>(1).</w:t>
      </w:r>
    </w:p>
    <w:p w14:paraId="00000023" w14:textId="77777777" w:rsidR="00EB1ABF" w:rsidRDefault="00510C82">
      <w:pPr>
        <w:spacing w:after="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Weisz, J.R., </w:t>
      </w:r>
      <w:proofErr w:type="spellStart"/>
      <w:r>
        <w:rPr>
          <w:rFonts w:ascii="Times New Roman" w:eastAsia="Times New Roman" w:hAnsi="Times New Roman" w:cs="Times New Roman"/>
          <w:color w:val="222222"/>
          <w:sz w:val="24"/>
          <w:szCs w:val="24"/>
          <w:highlight w:val="white"/>
        </w:rPr>
        <w:t>Kuppens</w:t>
      </w:r>
      <w:proofErr w:type="spellEnd"/>
      <w:r>
        <w:rPr>
          <w:rFonts w:ascii="Times New Roman" w:eastAsia="Times New Roman" w:hAnsi="Times New Roman" w:cs="Times New Roman"/>
          <w:color w:val="222222"/>
          <w:sz w:val="24"/>
          <w:szCs w:val="24"/>
          <w:highlight w:val="white"/>
        </w:rPr>
        <w:t xml:space="preserve">, S., Ng, M.Y., </w:t>
      </w:r>
      <w:proofErr w:type="spellStart"/>
      <w:r>
        <w:rPr>
          <w:rFonts w:ascii="Times New Roman" w:eastAsia="Times New Roman" w:hAnsi="Times New Roman" w:cs="Times New Roman"/>
          <w:color w:val="222222"/>
          <w:sz w:val="24"/>
          <w:szCs w:val="24"/>
          <w:highlight w:val="white"/>
        </w:rPr>
        <w:t>Vaughn-Coaxum</w:t>
      </w:r>
      <w:proofErr w:type="spellEnd"/>
      <w:r>
        <w:rPr>
          <w:rFonts w:ascii="Times New Roman" w:eastAsia="Times New Roman" w:hAnsi="Times New Roman" w:cs="Times New Roman"/>
          <w:color w:val="222222"/>
          <w:sz w:val="24"/>
          <w:szCs w:val="24"/>
          <w:highlight w:val="white"/>
        </w:rPr>
        <w:t xml:space="preserve">, R.A., </w:t>
      </w:r>
      <w:proofErr w:type="spellStart"/>
      <w:r>
        <w:rPr>
          <w:rFonts w:ascii="Times New Roman" w:eastAsia="Times New Roman" w:hAnsi="Times New Roman" w:cs="Times New Roman"/>
          <w:color w:val="222222"/>
          <w:sz w:val="24"/>
          <w:szCs w:val="24"/>
          <w:highlight w:val="white"/>
        </w:rPr>
        <w:t>Ugueto</w:t>
      </w:r>
      <w:proofErr w:type="spellEnd"/>
      <w:r>
        <w:rPr>
          <w:rFonts w:ascii="Times New Roman" w:eastAsia="Times New Roman" w:hAnsi="Times New Roman" w:cs="Times New Roman"/>
          <w:color w:val="222222"/>
          <w:sz w:val="24"/>
          <w:szCs w:val="24"/>
          <w:highlight w:val="white"/>
        </w:rPr>
        <w:t xml:space="preserve">, A.M., </w:t>
      </w:r>
      <w:proofErr w:type="spellStart"/>
      <w:r>
        <w:rPr>
          <w:rFonts w:ascii="Times New Roman" w:eastAsia="Times New Roman" w:hAnsi="Times New Roman" w:cs="Times New Roman"/>
          <w:color w:val="222222"/>
          <w:sz w:val="24"/>
          <w:szCs w:val="24"/>
          <w:highlight w:val="white"/>
        </w:rPr>
        <w:t>Eckshtain</w:t>
      </w:r>
      <w:proofErr w:type="spellEnd"/>
      <w:r>
        <w:rPr>
          <w:rFonts w:ascii="Times New Roman" w:eastAsia="Times New Roman" w:hAnsi="Times New Roman" w:cs="Times New Roman"/>
          <w:color w:val="222222"/>
          <w:sz w:val="24"/>
          <w:szCs w:val="24"/>
          <w:highlight w:val="white"/>
        </w:rPr>
        <w:t xml:space="preserve">, D. and </w:t>
      </w:r>
      <w:proofErr w:type="spellStart"/>
      <w:r>
        <w:rPr>
          <w:rFonts w:ascii="Times New Roman" w:eastAsia="Times New Roman" w:hAnsi="Times New Roman" w:cs="Times New Roman"/>
          <w:color w:val="222222"/>
          <w:sz w:val="24"/>
          <w:szCs w:val="24"/>
          <w:highlight w:val="white"/>
        </w:rPr>
        <w:t>Corteselli</w:t>
      </w:r>
      <w:proofErr w:type="spellEnd"/>
      <w:r>
        <w:rPr>
          <w:rFonts w:ascii="Times New Roman" w:eastAsia="Times New Roman" w:hAnsi="Times New Roman" w:cs="Times New Roman"/>
          <w:color w:val="222222"/>
          <w:sz w:val="24"/>
          <w:szCs w:val="24"/>
          <w:highlight w:val="white"/>
        </w:rPr>
        <w:t xml:space="preserve">, K.A., 2019. Are psychotherapies for young people growing stronger? Tracking trends over time for youth anxiety, depression, attention-deficit/hyperactivity disorder, and conduct problems. </w:t>
      </w:r>
      <w:r>
        <w:rPr>
          <w:rFonts w:ascii="Times New Roman" w:eastAsia="Times New Roman" w:hAnsi="Times New Roman" w:cs="Times New Roman"/>
          <w:i/>
          <w:color w:val="222222"/>
          <w:sz w:val="24"/>
          <w:szCs w:val="24"/>
          <w:highlight w:val="white"/>
        </w:rPr>
        <w:t>Perspectives on Psychological Science</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14</w:t>
      </w:r>
      <w:r>
        <w:rPr>
          <w:rFonts w:ascii="Times New Roman" w:eastAsia="Times New Roman" w:hAnsi="Times New Roman" w:cs="Times New Roman"/>
          <w:color w:val="222222"/>
          <w:sz w:val="24"/>
          <w:szCs w:val="24"/>
          <w:highlight w:val="white"/>
        </w:rPr>
        <w:t>(2), pp.216-237.</w:t>
      </w:r>
    </w:p>
    <w:p w14:paraId="00000024" w14:textId="77777777" w:rsidR="00EB1ABF" w:rsidRDefault="00510C82">
      <w:pPr>
        <w:spacing w:after="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Jones, N.L., Gilman, S.E., Cheng, T.L., Drury, S.S., Hill, C.V. and </w:t>
      </w:r>
      <w:proofErr w:type="spellStart"/>
      <w:r>
        <w:rPr>
          <w:rFonts w:ascii="Times New Roman" w:eastAsia="Times New Roman" w:hAnsi="Times New Roman" w:cs="Times New Roman"/>
          <w:color w:val="222222"/>
          <w:sz w:val="24"/>
          <w:szCs w:val="24"/>
          <w:highlight w:val="white"/>
        </w:rPr>
        <w:t>Geronimus</w:t>
      </w:r>
      <w:proofErr w:type="spellEnd"/>
      <w:r>
        <w:rPr>
          <w:rFonts w:ascii="Times New Roman" w:eastAsia="Times New Roman" w:hAnsi="Times New Roman" w:cs="Times New Roman"/>
          <w:color w:val="222222"/>
          <w:sz w:val="24"/>
          <w:szCs w:val="24"/>
          <w:highlight w:val="white"/>
        </w:rPr>
        <w:t xml:space="preserve">, A.T., 2019. Life course approaches to the causes of health disparities. </w:t>
      </w:r>
      <w:r>
        <w:rPr>
          <w:rFonts w:ascii="Times New Roman" w:eastAsia="Times New Roman" w:hAnsi="Times New Roman" w:cs="Times New Roman"/>
          <w:i/>
          <w:color w:val="222222"/>
          <w:sz w:val="24"/>
          <w:szCs w:val="24"/>
          <w:highlight w:val="white"/>
        </w:rPr>
        <w:t>American journal of public health</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109</w:t>
      </w:r>
      <w:r>
        <w:rPr>
          <w:rFonts w:ascii="Times New Roman" w:eastAsia="Times New Roman" w:hAnsi="Times New Roman" w:cs="Times New Roman"/>
          <w:color w:val="222222"/>
          <w:sz w:val="24"/>
          <w:szCs w:val="24"/>
          <w:highlight w:val="white"/>
        </w:rPr>
        <w:t>(S1), pp.S48-S55.</w:t>
      </w:r>
    </w:p>
    <w:p w14:paraId="00000025" w14:textId="77777777" w:rsidR="00EB1ABF" w:rsidRDefault="00510C82">
      <w:pPr>
        <w:spacing w:after="20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Quennerstedt</w:t>
      </w:r>
      <w:proofErr w:type="spellEnd"/>
      <w:r>
        <w:rPr>
          <w:rFonts w:ascii="Times New Roman" w:eastAsia="Times New Roman" w:hAnsi="Times New Roman" w:cs="Times New Roman"/>
          <w:color w:val="222222"/>
          <w:sz w:val="24"/>
          <w:szCs w:val="24"/>
          <w:highlight w:val="white"/>
        </w:rPr>
        <w:t xml:space="preserve">, A., Robinson, C. and </w:t>
      </w:r>
      <w:proofErr w:type="spellStart"/>
      <w:r>
        <w:rPr>
          <w:rFonts w:ascii="Times New Roman" w:eastAsia="Times New Roman" w:hAnsi="Times New Roman" w:cs="Times New Roman"/>
          <w:color w:val="222222"/>
          <w:sz w:val="24"/>
          <w:szCs w:val="24"/>
          <w:highlight w:val="white"/>
        </w:rPr>
        <w:t>I’Anson</w:t>
      </w:r>
      <w:proofErr w:type="spellEnd"/>
      <w:r>
        <w:rPr>
          <w:rFonts w:ascii="Times New Roman" w:eastAsia="Times New Roman" w:hAnsi="Times New Roman" w:cs="Times New Roman"/>
          <w:color w:val="222222"/>
          <w:sz w:val="24"/>
          <w:szCs w:val="24"/>
          <w:highlight w:val="white"/>
        </w:rPr>
        <w:t>, J., 2018. The UNCRC: The voice of global consensus on children’s rights?. Nordic Journal of Human Rights, 36(1), pp.38-54.</w:t>
      </w:r>
    </w:p>
    <w:sectPr w:rsidR="00EB1ABF">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3"/>
  <w:proofState w:spelling="clean"/>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B1ABF"/>
    <w:rsid w:val="00301602"/>
    <w:rsid w:val="003C1841"/>
    <w:rsid w:val="004921EA"/>
    <w:rsid w:val="00510C82"/>
    <w:rsid w:val="00901F8F"/>
    <w:rsid w:val="00B06294"/>
    <w:rsid w:val="00BD6CFD"/>
    <w:rsid w:val="00C632A4"/>
    <w:rsid w:val="00D20745"/>
    <w:rsid w:val="00DE5184"/>
    <w:rsid w:val="00EB1AB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3D93E8"/>
  <w15:docId w15:val="{9D288C56-19FD-4C73-BB9E-F4EA527075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uiPriority w:val="9"/>
    <w:qFormat/>
    <w:pPr>
      <w:keepNext/>
      <w:keepLines/>
      <w:spacing w:before="400" w:after="120"/>
      <w:outlineLvl w:val="0"/>
    </w:pPr>
    <w:rPr>
      <w:sz w:val="40"/>
      <w:szCs w:val="40"/>
    </w:rPr>
  </w:style>
  <w:style w:type="paragraph" w:styleId="Titlu2">
    <w:name w:val="heading 2"/>
    <w:basedOn w:val="Normal"/>
    <w:next w:val="Normal"/>
    <w:uiPriority w:val="9"/>
    <w:unhideWhenUsed/>
    <w:qFormat/>
    <w:pPr>
      <w:keepNext/>
      <w:keepLines/>
      <w:spacing w:before="360" w:after="120"/>
      <w:outlineLvl w:val="1"/>
    </w:pPr>
    <w:rPr>
      <w:sz w:val="32"/>
      <w:szCs w:val="32"/>
    </w:rPr>
  </w:style>
  <w:style w:type="paragraph" w:styleId="Titlu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Titlu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Titlu5">
    <w:name w:val="heading 5"/>
    <w:basedOn w:val="Normal"/>
    <w:next w:val="Normal"/>
    <w:uiPriority w:val="9"/>
    <w:semiHidden/>
    <w:unhideWhenUsed/>
    <w:qFormat/>
    <w:pPr>
      <w:keepNext/>
      <w:keepLines/>
      <w:spacing w:before="240" w:after="80"/>
      <w:outlineLvl w:val="4"/>
    </w:pPr>
    <w:rPr>
      <w:color w:val="666666"/>
    </w:rPr>
  </w:style>
  <w:style w:type="paragraph" w:styleId="Titlu6">
    <w:name w:val="heading 6"/>
    <w:basedOn w:val="Normal"/>
    <w:next w:val="Normal"/>
    <w:uiPriority w:val="9"/>
    <w:semiHidden/>
    <w:unhideWhenUsed/>
    <w:qFormat/>
    <w:pPr>
      <w:keepNext/>
      <w:keepLines/>
      <w:spacing w:before="240" w:after="80"/>
      <w:outlineLvl w:val="5"/>
    </w:pPr>
    <w:rPr>
      <w:i/>
      <w:color w:val="66666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itlu">
    <w:name w:val="Title"/>
    <w:basedOn w:val="Normal"/>
    <w:next w:val="Normal"/>
    <w:uiPriority w:val="10"/>
    <w:qFormat/>
    <w:pPr>
      <w:keepNext/>
      <w:keepLines/>
      <w:spacing w:after="60"/>
    </w:pPr>
    <w:rPr>
      <w:sz w:val="52"/>
      <w:szCs w:val="52"/>
    </w:rPr>
  </w:style>
  <w:style w:type="paragraph" w:styleId="Subtitlu">
    <w:name w:val="Subtitle"/>
    <w:basedOn w:val="Normal"/>
    <w:next w:val="Normal"/>
    <w:uiPriority w:val="11"/>
    <w:qFormat/>
    <w:pPr>
      <w:keepNext/>
      <w:keepLines/>
      <w:spacing w:after="320"/>
    </w:pPr>
    <w:rPr>
      <w:color w:val="666666"/>
      <w:sz w:val="30"/>
      <w:szCs w:val="30"/>
    </w:rPr>
  </w:style>
  <w:style w:type="paragraph" w:styleId="Titlucuprins">
    <w:name w:val="TOC Heading"/>
    <w:basedOn w:val="Titlu1"/>
    <w:next w:val="Normal"/>
    <w:uiPriority w:val="39"/>
    <w:unhideWhenUsed/>
    <w:qFormat/>
    <w:rsid w:val="00510C82"/>
    <w:pPr>
      <w:spacing w:before="240" w:after="0" w:line="259" w:lineRule="auto"/>
      <w:outlineLvl w:val="9"/>
    </w:pPr>
    <w:rPr>
      <w:rFonts w:asciiTheme="majorHAnsi" w:eastAsiaTheme="majorEastAsia" w:hAnsiTheme="majorHAnsi" w:cstheme="majorBidi"/>
      <w:color w:val="365F91" w:themeColor="accent1" w:themeShade="BF"/>
      <w:sz w:val="32"/>
      <w:szCs w:val="32"/>
      <w:lang w:val="en-US" w:eastAsia="en-US"/>
    </w:rPr>
  </w:style>
  <w:style w:type="paragraph" w:styleId="Cuprins1">
    <w:name w:val="toc 1"/>
    <w:basedOn w:val="Normal"/>
    <w:next w:val="Normal"/>
    <w:autoRedefine/>
    <w:uiPriority w:val="39"/>
    <w:unhideWhenUsed/>
    <w:rsid w:val="00510C82"/>
    <w:pPr>
      <w:spacing w:after="100"/>
    </w:pPr>
  </w:style>
  <w:style w:type="paragraph" w:styleId="Cuprins2">
    <w:name w:val="toc 2"/>
    <w:basedOn w:val="Normal"/>
    <w:next w:val="Normal"/>
    <w:autoRedefine/>
    <w:uiPriority w:val="39"/>
    <w:unhideWhenUsed/>
    <w:rsid w:val="00510C82"/>
    <w:pPr>
      <w:spacing w:after="100"/>
      <w:ind w:left="220"/>
    </w:pPr>
  </w:style>
  <w:style w:type="character" w:styleId="Hyperlink">
    <w:name w:val="Hyperlink"/>
    <w:basedOn w:val="Fontdeparagrafimplicit"/>
    <w:uiPriority w:val="99"/>
    <w:unhideWhenUsed/>
    <w:rsid w:val="00510C82"/>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TotalTime>
  <Pages>11</Pages>
  <Words>3151</Words>
  <Characters>18282</Characters>
  <Application>Microsoft Office Word</Application>
  <DocSecurity>0</DocSecurity>
  <Lines>152</Lines>
  <Paragraphs>42</Paragraphs>
  <ScaleCrop>false</ScaleCrop>
  <Company/>
  <LinksUpToDate>false</LinksUpToDate>
  <CharactersWithSpaces>21391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Marinela Ancuta Szeri</cp:lastModifiedBy>
  <cp:revision>10</cp:revision>
  <dcterms:created xsi:type="dcterms:W3CDTF">2021-09-03T07:19:00Z</dcterms:created>
  <dcterms:modified xsi:type="dcterms:W3CDTF">2021-09-03T07:25:00Z</dcterms:modified>
</cp:coreProperties>
</file>