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5A68B7">
      <w:pPr>
        <w:ind w:firstLine="720"/>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5F030AA" w14:textId="181A207D" w:rsidR="00301299" w:rsidRPr="00301299" w:rsidRDefault="00301299" w:rsidP="490CE315">
      <w:pPr>
        <w:jc w:val="center"/>
        <w:rPr>
          <w:sz w:val="96"/>
          <w:szCs w:val="96"/>
        </w:rPr>
      </w:pPr>
    </w:p>
    <w:p w14:paraId="485AF3C1" w14:textId="77777777" w:rsidR="00350128" w:rsidRDefault="00350128" w:rsidP="00301299">
      <w:pPr>
        <w:jc w:val="center"/>
        <w:rPr>
          <w:sz w:val="36"/>
          <w:szCs w:val="36"/>
        </w:rPr>
      </w:pPr>
    </w:p>
    <w:p w14:paraId="0B3EC33A" w14:textId="4C82B9C8" w:rsidR="002B7502" w:rsidRDefault="00D645AF" w:rsidP="00301299">
      <w:pPr>
        <w:jc w:val="center"/>
        <w:rPr>
          <w:sz w:val="36"/>
          <w:szCs w:val="36"/>
        </w:rPr>
      </w:pPr>
      <w:r>
        <w:rPr>
          <w:sz w:val="36"/>
          <w:szCs w:val="36"/>
        </w:rPr>
        <w:t xml:space="preserve">Analytical Assessment </w:t>
      </w:r>
      <w:r w:rsidR="00684B6A">
        <w:rPr>
          <w:sz w:val="36"/>
          <w:szCs w:val="36"/>
        </w:rPr>
        <w:t>of Engine Internal Components</w:t>
      </w:r>
    </w:p>
    <w:p w14:paraId="30770E5D" w14:textId="050232AC" w:rsidR="002630C9" w:rsidRPr="002630C9" w:rsidRDefault="002F0A1F" w:rsidP="002630C9">
      <w:pPr>
        <w:jc w:val="center"/>
        <w:rPr>
          <w:sz w:val="36"/>
          <w:szCs w:val="36"/>
        </w:rPr>
      </w:pPr>
      <w:r>
        <w:rPr>
          <w:sz w:val="36"/>
          <w:szCs w:val="36"/>
        </w:rPr>
        <w:t>Contemporary Powertrains</w:t>
      </w:r>
    </w:p>
    <w:p w14:paraId="50046D85" w14:textId="16C93149" w:rsidR="00301299" w:rsidRDefault="00F568CE" w:rsidP="00301299">
      <w:pPr>
        <w:jc w:val="center"/>
        <w:rPr>
          <w:sz w:val="32"/>
          <w:szCs w:val="32"/>
        </w:rPr>
      </w:pPr>
      <w:r>
        <w:rPr>
          <w:sz w:val="36"/>
          <w:szCs w:val="36"/>
        </w:rPr>
        <w:t>ACHA6</w:t>
      </w:r>
      <w:r w:rsidR="005A4CD9">
        <w:rPr>
          <w:sz w:val="36"/>
          <w:szCs w:val="36"/>
        </w:rPr>
        <w:t>006</w:t>
      </w:r>
    </w:p>
    <w:p w14:paraId="69F4B541" w14:textId="77777777" w:rsidR="002E297F" w:rsidRDefault="002E297F" w:rsidP="00301299">
      <w:pPr>
        <w:jc w:val="center"/>
        <w:rPr>
          <w:sz w:val="32"/>
          <w:szCs w:val="32"/>
        </w:rPr>
      </w:pPr>
    </w:p>
    <w:p w14:paraId="7348AB54" w14:textId="77777777" w:rsidR="00684B6A" w:rsidRDefault="00684B6A" w:rsidP="00301299">
      <w:pPr>
        <w:jc w:val="center"/>
        <w:rPr>
          <w:sz w:val="32"/>
          <w:szCs w:val="32"/>
        </w:rPr>
      </w:pPr>
    </w:p>
    <w:p w14:paraId="7E05512C" w14:textId="77777777" w:rsidR="00684B6A" w:rsidRDefault="00684B6A" w:rsidP="00301299">
      <w:pPr>
        <w:jc w:val="center"/>
        <w:rPr>
          <w:sz w:val="32"/>
          <w:szCs w:val="32"/>
        </w:rPr>
      </w:pPr>
    </w:p>
    <w:p w14:paraId="273A7A15" w14:textId="77777777" w:rsidR="00684B6A" w:rsidRDefault="00684B6A" w:rsidP="00301299">
      <w:pPr>
        <w:jc w:val="center"/>
        <w:rPr>
          <w:sz w:val="32"/>
          <w:szCs w:val="32"/>
        </w:rPr>
      </w:pPr>
    </w:p>
    <w:p w14:paraId="2B7AE667" w14:textId="3B211A69" w:rsidR="008F4480" w:rsidRDefault="00985EA7" w:rsidP="00301299">
      <w:pPr>
        <w:jc w:val="center"/>
        <w:rPr>
          <w:sz w:val="32"/>
          <w:szCs w:val="32"/>
        </w:rPr>
      </w:pPr>
      <w:r>
        <w:rPr>
          <w:sz w:val="32"/>
          <w:szCs w:val="32"/>
        </w:rPr>
        <w:t>Oliver Wilson 2203893</w:t>
      </w:r>
    </w:p>
    <w:p w14:paraId="5E3CE57E" w14:textId="36188426" w:rsidR="00301299" w:rsidRDefault="00DF3091" w:rsidP="00301299">
      <w:pPr>
        <w:jc w:val="center"/>
        <w:sectPr w:rsidR="00301299" w:rsidSect="007A189A">
          <w:headerReference w:type="default" r:id="rId12"/>
          <w:footerReference w:type="default" r:id="rId13"/>
          <w:pgSz w:w="11906" w:h="16838"/>
          <w:pgMar w:top="1440" w:right="1440" w:bottom="1440" w:left="1440" w:header="708" w:footer="708" w:gutter="0"/>
          <w:cols w:space="708"/>
          <w:titlePg/>
          <w:docGrid w:linePitch="360"/>
        </w:sectPr>
      </w:pPr>
      <w:r>
        <w:t>March 2026</w:t>
      </w:r>
    </w:p>
    <w:sdt>
      <w:sdtPr>
        <w:rPr>
          <w:rFonts w:asciiTheme="minorHAnsi" w:eastAsiaTheme="minorHAnsi" w:hAnsiTheme="minorHAnsi" w:cstheme="minorBidi"/>
          <w:color w:val="auto"/>
          <w:sz w:val="22"/>
          <w:szCs w:val="22"/>
          <w:lang w:val="en-GB"/>
        </w:rPr>
        <w:id w:val="1015034083"/>
        <w:docPartObj>
          <w:docPartGallery w:val="Table of Contents"/>
          <w:docPartUnique/>
        </w:docPartObj>
      </w:sdtPr>
      <w:sdtEndPr/>
      <w:sdtContent>
        <w:p w14:paraId="50721EAD" w14:textId="26566536" w:rsidR="00B25D24" w:rsidRDefault="634609F6" w:rsidP="5B98426D">
          <w:pPr>
            <w:pStyle w:val="TOCHeading"/>
          </w:pPr>
          <w:r>
            <w:t>Contents</w:t>
          </w:r>
        </w:p>
        <w:p w14:paraId="7D2E19BC" w14:textId="7CBCCE03" w:rsidR="00693F8C" w:rsidRDefault="000A0752">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rsidR="00C102CE">
            <w:instrText>TOC \o "1-3" \h \z \u</w:instrText>
          </w:r>
          <w:r>
            <w:fldChar w:fldCharType="separate"/>
          </w:r>
          <w:hyperlink w:anchor="_Toc225108559" w:history="1">
            <w:r w:rsidR="00693F8C" w:rsidRPr="00903F10">
              <w:rPr>
                <w:rStyle w:val="Hyperlink"/>
                <w:noProof/>
              </w:rPr>
              <w:t>1</w:t>
            </w:r>
            <w:r w:rsidR="00693F8C">
              <w:rPr>
                <w:rFonts w:eastAsiaTheme="minorEastAsia"/>
                <w:noProof/>
                <w:kern w:val="2"/>
                <w:sz w:val="24"/>
                <w:szCs w:val="24"/>
                <w:lang w:eastAsia="en-GB"/>
                <w14:ligatures w14:val="standardContextual"/>
              </w:rPr>
              <w:tab/>
            </w:r>
            <w:r w:rsidR="00693F8C" w:rsidRPr="00903F10">
              <w:rPr>
                <w:rStyle w:val="Hyperlink"/>
                <w:noProof/>
              </w:rPr>
              <w:t>Introduction</w:t>
            </w:r>
            <w:r w:rsidR="00693F8C">
              <w:rPr>
                <w:noProof/>
                <w:webHidden/>
              </w:rPr>
              <w:tab/>
            </w:r>
            <w:r w:rsidR="00693F8C">
              <w:rPr>
                <w:noProof/>
                <w:webHidden/>
              </w:rPr>
              <w:fldChar w:fldCharType="begin"/>
            </w:r>
            <w:r w:rsidR="00693F8C">
              <w:rPr>
                <w:noProof/>
                <w:webHidden/>
              </w:rPr>
              <w:instrText xml:space="preserve"> PAGEREF _Toc225108559 \h </w:instrText>
            </w:r>
            <w:r w:rsidR="00693F8C">
              <w:rPr>
                <w:noProof/>
                <w:webHidden/>
              </w:rPr>
            </w:r>
            <w:r w:rsidR="00693F8C">
              <w:rPr>
                <w:noProof/>
                <w:webHidden/>
              </w:rPr>
              <w:fldChar w:fldCharType="separate"/>
            </w:r>
            <w:r w:rsidR="00693F8C">
              <w:rPr>
                <w:noProof/>
                <w:webHidden/>
              </w:rPr>
              <w:t>1</w:t>
            </w:r>
            <w:r w:rsidR="00693F8C">
              <w:rPr>
                <w:noProof/>
                <w:webHidden/>
              </w:rPr>
              <w:fldChar w:fldCharType="end"/>
            </w:r>
          </w:hyperlink>
        </w:p>
        <w:p w14:paraId="6C9E37D5" w14:textId="70C74D7A" w:rsidR="00693F8C" w:rsidRDefault="00693F8C">
          <w:pPr>
            <w:pStyle w:val="TOC2"/>
            <w:tabs>
              <w:tab w:val="left" w:pos="960"/>
              <w:tab w:val="right" w:leader="dot" w:pos="9016"/>
            </w:tabs>
            <w:rPr>
              <w:rFonts w:eastAsiaTheme="minorEastAsia"/>
              <w:noProof/>
              <w:kern w:val="2"/>
              <w:sz w:val="24"/>
              <w:szCs w:val="24"/>
              <w:lang w:eastAsia="en-GB"/>
              <w14:ligatures w14:val="standardContextual"/>
            </w:rPr>
          </w:pPr>
          <w:hyperlink w:anchor="_Toc225108560" w:history="1">
            <w:r w:rsidRPr="00903F10">
              <w:rPr>
                <w:rStyle w:val="Hyperlink"/>
                <w:noProof/>
              </w:rPr>
              <w:t>1.1</w:t>
            </w:r>
            <w:r>
              <w:rPr>
                <w:rFonts w:eastAsiaTheme="minorEastAsia"/>
                <w:noProof/>
                <w:kern w:val="2"/>
                <w:sz w:val="24"/>
                <w:szCs w:val="24"/>
                <w:lang w:eastAsia="en-GB"/>
                <w14:ligatures w14:val="standardContextual"/>
              </w:rPr>
              <w:tab/>
            </w:r>
            <w:r w:rsidRPr="00903F10">
              <w:rPr>
                <w:rStyle w:val="Hyperlink"/>
                <w:noProof/>
              </w:rPr>
              <w:t>Aims</w:t>
            </w:r>
            <w:r>
              <w:rPr>
                <w:noProof/>
                <w:webHidden/>
              </w:rPr>
              <w:tab/>
            </w:r>
            <w:r>
              <w:rPr>
                <w:noProof/>
                <w:webHidden/>
              </w:rPr>
              <w:fldChar w:fldCharType="begin"/>
            </w:r>
            <w:r>
              <w:rPr>
                <w:noProof/>
                <w:webHidden/>
              </w:rPr>
              <w:instrText xml:space="preserve"> PAGEREF _Toc225108560 \h </w:instrText>
            </w:r>
            <w:r>
              <w:rPr>
                <w:noProof/>
                <w:webHidden/>
              </w:rPr>
            </w:r>
            <w:r>
              <w:rPr>
                <w:noProof/>
                <w:webHidden/>
              </w:rPr>
              <w:fldChar w:fldCharType="separate"/>
            </w:r>
            <w:r>
              <w:rPr>
                <w:noProof/>
                <w:webHidden/>
              </w:rPr>
              <w:t>1</w:t>
            </w:r>
            <w:r>
              <w:rPr>
                <w:noProof/>
                <w:webHidden/>
              </w:rPr>
              <w:fldChar w:fldCharType="end"/>
            </w:r>
          </w:hyperlink>
        </w:p>
        <w:p w14:paraId="0CD0CE02" w14:textId="3BBC57DC" w:rsidR="00693F8C" w:rsidRDefault="00693F8C">
          <w:pPr>
            <w:pStyle w:val="TOC2"/>
            <w:tabs>
              <w:tab w:val="left" w:pos="960"/>
              <w:tab w:val="right" w:leader="dot" w:pos="9016"/>
            </w:tabs>
            <w:rPr>
              <w:rFonts w:eastAsiaTheme="minorEastAsia"/>
              <w:noProof/>
              <w:kern w:val="2"/>
              <w:sz w:val="24"/>
              <w:szCs w:val="24"/>
              <w:lang w:eastAsia="en-GB"/>
              <w14:ligatures w14:val="standardContextual"/>
            </w:rPr>
          </w:pPr>
          <w:hyperlink w:anchor="_Toc225108561" w:history="1">
            <w:r w:rsidRPr="00903F10">
              <w:rPr>
                <w:rStyle w:val="Hyperlink"/>
                <w:noProof/>
              </w:rPr>
              <w:t>1.2</w:t>
            </w:r>
            <w:r>
              <w:rPr>
                <w:rFonts w:eastAsiaTheme="minorEastAsia"/>
                <w:noProof/>
                <w:kern w:val="2"/>
                <w:sz w:val="24"/>
                <w:szCs w:val="24"/>
                <w:lang w:eastAsia="en-GB"/>
                <w14:ligatures w14:val="standardContextual"/>
              </w:rPr>
              <w:tab/>
            </w:r>
            <w:r w:rsidRPr="00903F10">
              <w:rPr>
                <w:rStyle w:val="Hyperlink"/>
                <w:noProof/>
              </w:rPr>
              <w:t>Objective</w:t>
            </w:r>
            <w:r>
              <w:rPr>
                <w:noProof/>
                <w:webHidden/>
              </w:rPr>
              <w:tab/>
            </w:r>
            <w:r>
              <w:rPr>
                <w:noProof/>
                <w:webHidden/>
              </w:rPr>
              <w:fldChar w:fldCharType="begin"/>
            </w:r>
            <w:r>
              <w:rPr>
                <w:noProof/>
                <w:webHidden/>
              </w:rPr>
              <w:instrText xml:space="preserve"> PAGEREF _Toc225108561 \h </w:instrText>
            </w:r>
            <w:r>
              <w:rPr>
                <w:noProof/>
                <w:webHidden/>
              </w:rPr>
            </w:r>
            <w:r>
              <w:rPr>
                <w:noProof/>
                <w:webHidden/>
              </w:rPr>
              <w:fldChar w:fldCharType="separate"/>
            </w:r>
            <w:r>
              <w:rPr>
                <w:noProof/>
                <w:webHidden/>
              </w:rPr>
              <w:t>1</w:t>
            </w:r>
            <w:r>
              <w:rPr>
                <w:noProof/>
                <w:webHidden/>
              </w:rPr>
              <w:fldChar w:fldCharType="end"/>
            </w:r>
          </w:hyperlink>
        </w:p>
        <w:p w14:paraId="417BDE4B" w14:textId="24C21D13" w:rsidR="00693F8C" w:rsidRDefault="00693F8C">
          <w:pPr>
            <w:pStyle w:val="TOC1"/>
            <w:tabs>
              <w:tab w:val="left" w:pos="440"/>
              <w:tab w:val="right" w:leader="dot" w:pos="9016"/>
            </w:tabs>
            <w:rPr>
              <w:rFonts w:eastAsiaTheme="minorEastAsia"/>
              <w:noProof/>
              <w:kern w:val="2"/>
              <w:sz w:val="24"/>
              <w:szCs w:val="24"/>
              <w:lang w:eastAsia="en-GB"/>
              <w14:ligatures w14:val="standardContextual"/>
            </w:rPr>
          </w:pPr>
          <w:hyperlink w:anchor="_Toc225108562" w:history="1">
            <w:r w:rsidRPr="00903F10">
              <w:rPr>
                <w:rStyle w:val="Hyperlink"/>
                <w:noProof/>
              </w:rPr>
              <w:t>2</w:t>
            </w:r>
            <w:r>
              <w:rPr>
                <w:rFonts w:eastAsiaTheme="minorEastAsia"/>
                <w:noProof/>
                <w:kern w:val="2"/>
                <w:sz w:val="24"/>
                <w:szCs w:val="24"/>
                <w:lang w:eastAsia="en-GB"/>
                <w14:ligatures w14:val="standardContextual"/>
              </w:rPr>
              <w:tab/>
            </w:r>
            <w:r w:rsidRPr="00903F10">
              <w:rPr>
                <w:rStyle w:val="Hyperlink"/>
                <w:noProof/>
              </w:rPr>
              <w:t>Connecting Rod Midpoint</w:t>
            </w:r>
            <w:r>
              <w:rPr>
                <w:noProof/>
                <w:webHidden/>
              </w:rPr>
              <w:tab/>
            </w:r>
            <w:r>
              <w:rPr>
                <w:noProof/>
                <w:webHidden/>
              </w:rPr>
              <w:fldChar w:fldCharType="begin"/>
            </w:r>
            <w:r>
              <w:rPr>
                <w:noProof/>
                <w:webHidden/>
              </w:rPr>
              <w:instrText xml:space="preserve"> PAGEREF _Toc225108562 \h </w:instrText>
            </w:r>
            <w:r>
              <w:rPr>
                <w:noProof/>
                <w:webHidden/>
              </w:rPr>
            </w:r>
            <w:r>
              <w:rPr>
                <w:noProof/>
                <w:webHidden/>
              </w:rPr>
              <w:fldChar w:fldCharType="separate"/>
            </w:r>
            <w:r>
              <w:rPr>
                <w:noProof/>
                <w:webHidden/>
              </w:rPr>
              <w:t>2</w:t>
            </w:r>
            <w:r>
              <w:rPr>
                <w:noProof/>
                <w:webHidden/>
              </w:rPr>
              <w:fldChar w:fldCharType="end"/>
            </w:r>
          </w:hyperlink>
        </w:p>
        <w:p w14:paraId="480BCC98" w14:textId="0E329237" w:rsidR="00693F8C" w:rsidRDefault="00693F8C">
          <w:pPr>
            <w:pStyle w:val="TOC1"/>
            <w:tabs>
              <w:tab w:val="left" w:pos="440"/>
              <w:tab w:val="right" w:leader="dot" w:pos="9016"/>
            </w:tabs>
            <w:rPr>
              <w:rFonts w:eastAsiaTheme="minorEastAsia"/>
              <w:noProof/>
              <w:kern w:val="2"/>
              <w:sz w:val="24"/>
              <w:szCs w:val="24"/>
              <w:lang w:eastAsia="en-GB"/>
              <w14:ligatures w14:val="standardContextual"/>
            </w:rPr>
          </w:pPr>
          <w:hyperlink w:anchor="_Toc225108563" w:history="1">
            <w:r w:rsidRPr="00903F10">
              <w:rPr>
                <w:rStyle w:val="Hyperlink"/>
                <w:noProof/>
              </w:rPr>
              <w:t>3</w:t>
            </w:r>
            <w:r>
              <w:rPr>
                <w:rFonts w:eastAsiaTheme="minorEastAsia"/>
                <w:noProof/>
                <w:kern w:val="2"/>
                <w:sz w:val="24"/>
                <w:szCs w:val="24"/>
                <w:lang w:eastAsia="en-GB"/>
                <w14:ligatures w14:val="standardContextual"/>
              </w:rPr>
              <w:tab/>
            </w:r>
            <w:r w:rsidRPr="00903F10">
              <w:rPr>
                <w:rStyle w:val="Hyperlink"/>
                <w:noProof/>
              </w:rPr>
              <w:t>Gudgeon Pin</w:t>
            </w:r>
            <w:r>
              <w:rPr>
                <w:noProof/>
                <w:webHidden/>
              </w:rPr>
              <w:tab/>
            </w:r>
            <w:r>
              <w:rPr>
                <w:noProof/>
                <w:webHidden/>
              </w:rPr>
              <w:fldChar w:fldCharType="begin"/>
            </w:r>
            <w:r>
              <w:rPr>
                <w:noProof/>
                <w:webHidden/>
              </w:rPr>
              <w:instrText xml:space="preserve"> PAGEREF _Toc225108563 \h </w:instrText>
            </w:r>
            <w:r>
              <w:rPr>
                <w:noProof/>
                <w:webHidden/>
              </w:rPr>
            </w:r>
            <w:r>
              <w:rPr>
                <w:noProof/>
                <w:webHidden/>
              </w:rPr>
              <w:fldChar w:fldCharType="separate"/>
            </w:r>
            <w:r>
              <w:rPr>
                <w:noProof/>
                <w:webHidden/>
              </w:rPr>
              <w:t>4</w:t>
            </w:r>
            <w:r>
              <w:rPr>
                <w:noProof/>
                <w:webHidden/>
              </w:rPr>
              <w:fldChar w:fldCharType="end"/>
            </w:r>
          </w:hyperlink>
        </w:p>
        <w:p w14:paraId="07B4CBE6" w14:textId="7699EDB3" w:rsidR="00693F8C" w:rsidRDefault="00693F8C">
          <w:pPr>
            <w:pStyle w:val="TOC1"/>
            <w:tabs>
              <w:tab w:val="left" w:pos="440"/>
              <w:tab w:val="right" w:leader="dot" w:pos="9016"/>
            </w:tabs>
            <w:rPr>
              <w:rFonts w:eastAsiaTheme="minorEastAsia"/>
              <w:noProof/>
              <w:kern w:val="2"/>
              <w:sz w:val="24"/>
              <w:szCs w:val="24"/>
              <w:lang w:eastAsia="en-GB"/>
              <w14:ligatures w14:val="standardContextual"/>
            </w:rPr>
          </w:pPr>
          <w:hyperlink w:anchor="_Toc225108564" w:history="1">
            <w:r w:rsidRPr="00903F10">
              <w:rPr>
                <w:rStyle w:val="Hyperlink"/>
                <w:noProof/>
              </w:rPr>
              <w:t>4</w:t>
            </w:r>
            <w:r>
              <w:rPr>
                <w:rFonts w:eastAsiaTheme="minorEastAsia"/>
                <w:noProof/>
                <w:kern w:val="2"/>
                <w:sz w:val="24"/>
                <w:szCs w:val="24"/>
                <w:lang w:eastAsia="en-GB"/>
                <w14:ligatures w14:val="standardContextual"/>
              </w:rPr>
              <w:tab/>
            </w:r>
            <w:r w:rsidRPr="00903F10">
              <w:rPr>
                <w:rStyle w:val="Hyperlink"/>
                <w:noProof/>
              </w:rPr>
              <w:t>Connecting Rod Bolt Fatigue Analysis and Redesign</w:t>
            </w:r>
            <w:r>
              <w:rPr>
                <w:noProof/>
                <w:webHidden/>
              </w:rPr>
              <w:tab/>
            </w:r>
            <w:r>
              <w:rPr>
                <w:noProof/>
                <w:webHidden/>
              </w:rPr>
              <w:fldChar w:fldCharType="begin"/>
            </w:r>
            <w:r>
              <w:rPr>
                <w:noProof/>
                <w:webHidden/>
              </w:rPr>
              <w:instrText xml:space="preserve"> PAGEREF _Toc225108564 \h </w:instrText>
            </w:r>
            <w:r>
              <w:rPr>
                <w:noProof/>
                <w:webHidden/>
              </w:rPr>
            </w:r>
            <w:r>
              <w:rPr>
                <w:noProof/>
                <w:webHidden/>
              </w:rPr>
              <w:fldChar w:fldCharType="separate"/>
            </w:r>
            <w:r>
              <w:rPr>
                <w:noProof/>
                <w:webHidden/>
              </w:rPr>
              <w:t>6</w:t>
            </w:r>
            <w:r>
              <w:rPr>
                <w:noProof/>
                <w:webHidden/>
              </w:rPr>
              <w:fldChar w:fldCharType="end"/>
            </w:r>
          </w:hyperlink>
        </w:p>
        <w:p w14:paraId="3DFEE084" w14:textId="764095EF" w:rsidR="00693F8C" w:rsidRDefault="00693F8C">
          <w:pPr>
            <w:pStyle w:val="TOC2"/>
            <w:tabs>
              <w:tab w:val="left" w:pos="960"/>
              <w:tab w:val="right" w:leader="dot" w:pos="9016"/>
            </w:tabs>
            <w:rPr>
              <w:rFonts w:eastAsiaTheme="minorEastAsia"/>
              <w:noProof/>
              <w:kern w:val="2"/>
              <w:sz w:val="24"/>
              <w:szCs w:val="24"/>
              <w:lang w:eastAsia="en-GB"/>
              <w14:ligatures w14:val="standardContextual"/>
            </w:rPr>
          </w:pPr>
          <w:hyperlink w:anchor="_Toc225108565" w:history="1">
            <w:r w:rsidRPr="00903F10">
              <w:rPr>
                <w:rStyle w:val="Hyperlink"/>
                <w:noProof/>
              </w:rPr>
              <w:t>4.1</w:t>
            </w:r>
            <w:r>
              <w:rPr>
                <w:rFonts w:eastAsiaTheme="minorEastAsia"/>
                <w:noProof/>
                <w:kern w:val="2"/>
                <w:sz w:val="24"/>
                <w:szCs w:val="24"/>
                <w:lang w:eastAsia="en-GB"/>
                <w14:ligatures w14:val="standardContextual"/>
              </w:rPr>
              <w:tab/>
            </w:r>
            <w:r w:rsidRPr="00903F10">
              <w:rPr>
                <w:rStyle w:val="Hyperlink"/>
                <w:noProof/>
              </w:rPr>
              <w:t>Wasted Shank Redesign</w:t>
            </w:r>
            <w:r>
              <w:rPr>
                <w:noProof/>
                <w:webHidden/>
              </w:rPr>
              <w:tab/>
            </w:r>
            <w:r>
              <w:rPr>
                <w:noProof/>
                <w:webHidden/>
              </w:rPr>
              <w:fldChar w:fldCharType="begin"/>
            </w:r>
            <w:r>
              <w:rPr>
                <w:noProof/>
                <w:webHidden/>
              </w:rPr>
              <w:instrText xml:space="preserve"> PAGEREF _Toc225108565 \h </w:instrText>
            </w:r>
            <w:r>
              <w:rPr>
                <w:noProof/>
                <w:webHidden/>
              </w:rPr>
            </w:r>
            <w:r>
              <w:rPr>
                <w:noProof/>
                <w:webHidden/>
              </w:rPr>
              <w:fldChar w:fldCharType="separate"/>
            </w:r>
            <w:r>
              <w:rPr>
                <w:noProof/>
                <w:webHidden/>
              </w:rPr>
              <w:t>7</w:t>
            </w:r>
            <w:r>
              <w:rPr>
                <w:noProof/>
                <w:webHidden/>
              </w:rPr>
              <w:fldChar w:fldCharType="end"/>
            </w:r>
          </w:hyperlink>
        </w:p>
        <w:p w14:paraId="75F7F700" w14:textId="6DB95A86" w:rsidR="00693F8C" w:rsidRDefault="00693F8C">
          <w:pPr>
            <w:pStyle w:val="TOC1"/>
            <w:tabs>
              <w:tab w:val="left" w:pos="440"/>
              <w:tab w:val="right" w:leader="dot" w:pos="9016"/>
            </w:tabs>
            <w:rPr>
              <w:rFonts w:eastAsiaTheme="minorEastAsia"/>
              <w:noProof/>
              <w:kern w:val="2"/>
              <w:sz w:val="24"/>
              <w:szCs w:val="24"/>
              <w:lang w:eastAsia="en-GB"/>
              <w14:ligatures w14:val="standardContextual"/>
            </w:rPr>
          </w:pPr>
          <w:hyperlink w:anchor="_Toc225108566" w:history="1">
            <w:r w:rsidRPr="00903F10">
              <w:rPr>
                <w:rStyle w:val="Hyperlink"/>
                <w:noProof/>
              </w:rPr>
              <w:t>5</w:t>
            </w:r>
            <w:r>
              <w:rPr>
                <w:rFonts w:eastAsiaTheme="minorEastAsia"/>
                <w:noProof/>
                <w:kern w:val="2"/>
                <w:sz w:val="24"/>
                <w:szCs w:val="24"/>
                <w:lang w:eastAsia="en-GB"/>
                <w14:ligatures w14:val="standardContextual"/>
              </w:rPr>
              <w:tab/>
            </w:r>
            <w:r w:rsidRPr="00903F10">
              <w:rPr>
                <w:rStyle w:val="Hyperlink"/>
                <w:noProof/>
              </w:rPr>
              <w:t>Single cylinder Torque</w:t>
            </w:r>
            <w:r>
              <w:rPr>
                <w:noProof/>
                <w:webHidden/>
              </w:rPr>
              <w:tab/>
            </w:r>
            <w:r>
              <w:rPr>
                <w:noProof/>
                <w:webHidden/>
              </w:rPr>
              <w:fldChar w:fldCharType="begin"/>
            </w:r>
            <w:r>
              <w:rPr>
                <w:noProof/>
                <w:webHidden/>
              </w:rPr>
              <w:instrText xml:space="preserve"> PAGEREF _Toc225108566 \h </w:instrText>
            </w:r>
            <w:r>
              <w:rPr>
                <w:noProof/>
                <w:webHidden/>
              </w:rPr>
            </w:r>
            <w:r>
              <w:rPr>
                <w:noProof/>
                <w:webHidden/>
              </w:rPr>
              <w:fldChar w:fldCharType="separate"/>
            </w:r>
            <w:r>
              <w:rPr>
                <w:noProof/>
                <w:webHidden/>
              </w:rPr>
              <w:t>13</w:t>
            </w:r>
            <w:r>
              <w:rPr>
                <w:noProof/>
                <w:webHidden/>
              </w:rPr>
              <w:fldChar w:fldCharType="end"/>
            </w:r>
          </w:hyperlink>
        </w:p>
        <w:p w14:paraId="44CBAD0A" w14:textId="0252C75E" w:rsidR="00693F8C" w:rsidRDefault="00693F8C">
          <w:pPr>
            <w:pStyle w:val="TOC1"/>
            <w:tabs>
              <w:tab w:val="left" w:pos="440"/>
              <w:tab w:val="right" w:leader="dot" w:pos="9016"/>
            </w:tabs>
            <w:rPr>
              <w:rFonts w:eastAsiaTheme="minorEastAsia"/>
              <w:noProof/>
              <w:kern w:val="2"/>
              <w:sz w:val="24"/>
              <w:szCs w:val="24"/>
              <w:lang w:eastAsia="en-GB"/>
              <w14:ligatures w14:val="standardContextual"/>
            </w:rPr>
          </w:pPr>
          <w:hyperlink w:anchor="_Toc225108567" w:history="1">
            <w:r w:rsidRPr="00903F10">
              <w:rPr>
                <w:rStyle w:val="Hyperlink"/>
                <w:noProof/>
              </w:rPr>
              <w:t>6</w:t>
            </w:r>
            <w:r>
              <w:rPr>
                <w:rFonts w:eastAsiaTheme="minorEastAsia"/>
                <w:noProof/>
                <w:kern w:val="2"/>
                <w:sz w:val="24"/>
                <w:szCs w:val="24"/>
                <w:lang w:eastAsia="en-GB"/>
                <w14:ligatures w14:val="standardContextual"/>
              </w:rPr>
              <w:tab/>
            </w:r>
            <w:r w:rsidRPr="00903F10">
              <w:rPr>
                <w:rStyle w:val="Hyperlink"/>
                <w:noProof/>
              </w:rPr>
              <w:t>Engine balancing</w:t>
            </w:r>
            <w:r>
              <w:rPr>
                <w:noProof/>
                <w:webHidden/>
              </w:rPr>
              <w:tab/>
            </w:r>
            <w:r>
              <w:rPr>
                <w:noProof/>
                <w:webHidden/>
              </w:rPr>
              <w:fldChar w:fldCharType="begin"/>
            </w:r>
            <w:r>
              <w:rPr>
                <w:noProof/>
                <w:webHidden/>
              </w:rPr>
              <w:instrText xml:space="preserve"> PAGEREF _Toc225108567 \h </w:instrText>
            </w:r>
            <w:r>
              <w:rPr>
                <w:noProof/>
                <w:webHidden/>
              </w:rPr>
            </w:r>
            <w:r>
              <w:rPr>
                <w:noProof/>
                <w:webHidden/>
              </w:rPr>
              <w:fldChar w:fldCharType="separate"/>
            </w:r>
            <w:r>
              <w:rPr>
                <w:noProof/>
                <w:webHidden/>
              </w:rPr>
              <w:t>15</w:t>
            </w:r>
            <w:r>
              <w:rPr>
                <w:noProof/>
                <w:webHidden/>
              </w:rPr>
              <w:fldChar w:fldCharType="end"/>
            </w:r>
          </w:hyperlink>
        </w:p>
        <w:p w14:paraId="54BA4427" w14:textId="57BE82DE" w:rsidR="00693F8C" w:rsidRDefault="00693F8C">
          <w:pPr>
            <w:pStyle w:val="TOC1"/>
            <w:tabs>
              <w:tab w:val="left" w:pos="440"/>
              <w:tab w:val="right" w:leader="dot" w:pos="9016"/>
            </w:tabs>
            <w:rPr>
              <w:rFonts w:eastAsiaTheme="minorEastAsia"/>
              <w:noProof/>
              <w:kern w:val="2"/>
              <w:sz w:val="24"/>
              <w:szCs w:val="24"/>
              <w:lang w:eastAsia="en-GB"/>
              <w14:ligatures w14:val="standardContextual"/>
            </w:rPr>
          </w:pPr>
          <w:hyperlink w:anchor="_Toc225108568" w:history="1">
            <w:r w:rsidRPr="00903F10">
              <w:rPr>
                <w:rStyle w:val="Hyperlink"/>
                <w:noProof/>
              </w:rPr>
              <w:t>7</w:t>
            </w:r>
            <w:r>
              <w:rPr>
                <w:rFonts w:eastAsiaTheme="minorEastAsia"/>
                <w:noProof/>
                <w:kern w:val="2"/>
                <w:sz w:val="24"/>
                <w:szCs w:val="24"/>
                <w:lang w:eastAsia="en-GB"/>
                <w14:ligatures w14:val="standardContextual"/>
              </w:rPr>
              <w:tab/>
            </w:r>
            <w:r w:rsidRPr="00903F10">
              <w:rPr>
                <w:rStyle w:val="Hyperlink"/>
                <w:noProof/>
              </w:rPr>
              <w:t>Limitation</w:t>
            </w:r>
            <w:r>
              <w:rPr>
                <w:noProof/>
                <w:webHidden/>
              </w:rPr>
              <w:tab/>
            </w:r>
            <w:r>
              <w:rPr>
                <w:noProof/>
                <w:webHidden/>
              </w:rPr>
              <w:fldChar w:fldCharType="begin"/>
            </w:r>
            <w:r>
              <w:rPr>
                <w:noProof/>
                <w:webHidden/>
              </w:rPr>
              <w:instrText xml:space="preserve"> PAGEREF _Toc225108568 \h </w:instrText>
            </w:r>
            <w:r>
              <w:rPr>
                <w:noProof/>
                <w:webHidden/>
              </w:rPr>
            </w:r>
            <w:r>
              <w:rPr>
                <w:noProof/>
                <w:webHidden/>
              </w:rPr>
              <w:fldChar w:fldCharType="separate"/>
            </w:r>
            <w:r>
              <w:rPr>
                <w:noProof/>
                <w:webHidden/>
              </w:rPr>
              <w:t>18</w:t>
            </w:r>
            <w:r>
              <w:rPr>
                <w:noProof/>
                <w:webHidden/>
              </w:rPr>
              <w:fldChar w:fldCharType="end"/>
            </w:r>
          </w:hyperlink>
        </w:p>
        <w:p w14:paraId="08D57F1D" w14:textId="5AFF6F4C" w:rsidR="00693F8C" w:rsidRDefault="00693F8C">
          <w:pPr>
            <w:pStyle w:val="TOC1"/>
            <w:tabs>
              <w:tab w:val="left" w:pos="440"/>
              <w:tab w:val="right" w:leader="dot" w:pos="9016"/>
            </w:tabs>
            <w:rPr>
              <w:rFonts w:eastAsiaTheme="minorEastAsia"/>
              <w:noProof/>
              <w:kern w:val="2"/>
              <w:sz w:val="24"/>
              <w:szCs w:val="24"/>
              <w:lang w:eastAsia="en-GB"/>
              <w14:ligatures w14:val="standardContextual"/>
            </w:rPr>
          </w:pPr>
          <w:hyperlink w:anchor="_Toc225108569" w:history="1">
            <w:r w:rsidRPr="00903F10">
              <w:rPr>
                <w:rStyle w:val="Hyperlink"/>
                <w:noProof/>
              </w:rPr>
              <w:t>8</w:t>
            </w:r>
            <w:r>
              <w:rPr>
                <w:rFonts w:eastAsiaTheme="minorEastAsia"/>
                <w:noProof/>
                <w:kern w:val="2"/>
                <w:sz w:val="24"/>
                <w:szCs w:val="24"/>
                <w:lang w:eastAsia="en-GB"/>
                <w14:ligatures w14:val="standardContextual"/>
              </w:rPr>
              <w:tab/>
            </w:r>
            <w:r w:rsidRPr="00903F10">
              <w:rPr>
                <w:rStyle w:val="Hyperlink"/>
                <w:noProof/>
              </w:rPr>
              <w:t>Conclusion</w:t>
            </w:r>
            <w:r>
              <w:rPr>
                <w:noProof/>
                <w:webHidden/>
              </w:rPr>
              <w:tab/>
            </w:r>
            <w:r>
              <w:rPr>
                <w:noProof/>
                <w:webHidden/>
              </w:rPr>
              <w:fldChar w:fldCharType="begin"/>
            </w:r>
            <w:r>
              <w:rPr>
                <w:noProof/>
                <w:webHidden/>
              </w:rPr>
              <w:instrText xml:space="preserve"> PAGEREF _Toc225108569 \h </w:instrText>
            </w:r>
            <w:r>
              <w:rPr>
                <w:noProof/>
                <w:webHidden/>
              </w:rPr>
            </w:r>
            <w:r>
              <w:rPr>
                <w:noProof/>
                <w:webHidden/>
              </w:rPr>
              <w:fldChar w:fldCharType="separate"/>
            </w:r>
            <w:r>
              <w:rPr>
                <w:noProof/>
                <w:webHidden/>
              </w:rPr>
              <w:t>19</w:t>
            </w:r>
            <w:r>
              <w:rPr>
                <w:noProof/>
                <w:webHidden/>
              </w:rPr>
              <w:fldChar w:fldCharType="end"/>
            </w:r>
          </w:hyperlink>
        </w:p>
        <w:p w14:paraId="017A2114" w14:textId="6735DE05" w:rsidR="00693F8C" w:rsidRDefault="00693F8C">
          <w:pPr>
            <w:pStyle w:val="TOC1"/>
            <w:tabs>
              <w:tab w:val="left" w:pos="440"/>
              <w:tab w:val="right" w:leader="dot" w:pos="9016"/>
            </w:tabs>
            <w:rPr>
              <w:rFonts w:eastAsiaTheme="minorEastAsia"/>
              <w:noProof/>
              <w:kern w:val="2"/>
              <w:sz w:val="24"/>
              <w:szCs w:val="24"/>
              <w:lang w:eastAsia="en-GB"/>
              <w14:ligatures w14:val="standardContextual"/>
            </w:rPr>
          </w:pPr>
          <w:hyperlink w:anchor="_Toc225108570" w:history="1">
            <w:r w:rsidRPr="00903F10">
              <w:rPr>
                <w:rStyle w:val="Hyperlink"/>
                <w:noProof/>
              </w:rPr>
              <w:t>9</w:t>
            </w:r>
            <w:r>
              <w:rPr>
                <w:rFonts w:eastAsiaTheme="minorEastAsia"/>
                <w:noProof/>
                <w:kern w:val="2"/>
                <w:sz w:val="24"/>
                <w:szCs w:val="24"/>
                <w:lang w:eastAsia="en-GB"/>
                <w14:ligatures w14:val="standardContextual"/>
              </w:rPr>
              <w:tab/>
            </w:r>
            <w:r w:rsidRPr="00903F10">
              <w:rPr>
                <w:rStyle w:val="Hyperlink"/>
                <w:noProof/>
              </w:rPr>
              <w:t>References</w:t>
            </w:r>
            <w:r>
              <w:rPr>
                <w:noProof/>
                <w:webHidden/>
              </w:rPr>
              <w:tab/>
            </w:r>
            <w:r>
              <w:rPr>
                <w:noProof/>
                <w:webHidden/>
              </w:rPr>
              <w:fldChar w:fldCharType="begin"/>
            </w:r>
            <w:r>
              <w:rPr>
                <w:noProof/>
                <w:webHidden/>
              </w:rPr>
              <w:instrText xml:space="preserve"> PAGEREF _Toc225108570 \h </w:instrText>
            </w:r>
            <w:r>
              <w:rPr>
                <w:noProof/>
                <w:webHidden/>
              </w:rPr>
            </w:r>
            <w:r>
              <w:rPr>
                <w:noProof/>
                <w:webHidden/>
              </w:rPr>
              <w:fldChar w:fldCharType="separate"/>
            </w:r>
            <w:r>
              <w:rPr>
                <w:noProof/>
                <w:webHidden/>
              </w:rPr>
              <w:t>20</w:t>
            </w:r>
            <w:r>
              <w:rPr>
                <w:noProof/>
                <w:webHidden/>
              </w:rPr>
              <w:fldChar w:fldCharType="end"/>
            </w:r>
          </w:hyperlink>
        </w:p>
        <w:p w14:paraId="4553AFD1" w14:textId="6914071E" w:rsidR="00693F8C" w:rsidRDefault="00693F8C">
          <w:pPr>
            <w:pStyle w:val="TOC1"/>
            <w:tabs>
              <w:tab w:val="left" w:pos="720"/>
              <w:tab w:val="right" w:leader="dot" w:pos="9016"/>
            </w:tabs>
            <w:rPr>
              <w:rFonts w:eastAsiaTheme="minorEastAsia"/>
              <w:noProof/>
              <w:kern w:val="2"/>
              <w:sz w:val="24"/>
              <w:szCs w:val="24"/>
              <w:lang w:eastAsia="en-GB"/>
              <w14:ligatures w14:val="standardContextual"/>
            </w:rPr>
          </w:pPr>
          <w:hyperlink w:anchor="_Toc225108571" w:history="1">
            <w:r w:rsidRPr="00903F10">
              <w:rPr>
                <w:rStyle w:val="Hyperlink"/>
                <w:noProof/>
              </w:rPr>
              <w:t>10</w:t>
            </w:r>
            <w:r>
              <w:rPr>
                <w:rFonts w:eastAsiaTheme="minorEastAsia"/>
                <w:noProof/>
                <w:kern w:val="2"/>
                <w:sz w:val="24"/>
                <w:szCs w:val="24"/>
                <w:lang w:eastAsia="en-GB"/>
                <w14:ligatures w14:val="standardContextual"/>
              </w:rPr>
              <w:tab/>
            </w:r>
            <w:r w:rsidRPr="00903F10">
              <w:rPr>
                <w:rStyle w:val="Hyperlink"/>
                <w:noProof/>
              </w:rPr>
              <w:t>Appendix</w:t>
            </w:r>
            <w:r>
              <w:rPr>
                <w:noProof/>
                <w:webHidden/>
              </w:rPr>
              <w:tab/>
            </w:r>
            <w:r>
              <w:rPr>
                <w:noProof/>
                <w:webHidden/>
              </w:rPr>
              <w:fldChar w:fldCharType="begin"/>
            </w:r>
            <w:r>
              <w:rPr>
                <w:noProof/>
                <w:webHidden/>
              </w:rPr>
              <w:instrText xml:space="preserve"> PAGEREF _Toc225108571 \h </w:instrText>
            </w:r>
            <w:r>
              <w:rPr>
                <w:noProof/>
                <w:webHidden/>
              </w:rPr>
            </w:r>
            <w:r>
              <w:rPr>
                <w:noProof/>
                <w:webHidden/>
              </w:rPr>
              <w:fldChar w:fldCharType="separate"/>
            </w:r>
            <w:r>
              <w:rPr>
                <w:noProof/>
                <w:webHidden/>
              </w:rPr>
              <w:t>21</w:t>
            </w:r>
            <w:r>
              <w:rPr>
                <w:noProof/>
                <w:webHidden/>
              </w:rPr>
              <w:fldChar w:fldCharType="end"/>
            </w:r>
          </w:hyperlink>
        </w:p>
        <w:p w14:paraId="450FA7E4" w14:textId="368CBD91" w:rsidR="00B25D24" w:rsidRPr="002A5DCC" w:rsidRDefault="000A0752" w:rsidP="002A5DCC">
          <w:pPr>
            <w:pStyle w:val="TOC1"/>
            <w:tabs>
              <w:tab w:val="left" w:pos="435"/>
              <w:tab w:val="right" w:leader="dot" w:pos="9015"/>
            </w:tabs>
            <w:rPr>
              <w:color w:val="0563C1" w:themeColor="hyperlink"/>
              <w:u w:val="single"/>
              <w:lang w:eastAsia="en-GB"/>
            </w:rPr>
          </w:pPr>
          <w:r>
            <w:fldChar w:fldCharType="end"/>
          </w:r>
        </w:p>
      </w:sdtContent>
    </w:sdt>
    <w:p w14:paraId="7B8F3670" w14:textId="210BD7FB" w:rsidR="00693F8C" w:rsidRDefault="00B25D24">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\t "Caption" \c </w:instrText>
      </w:r>
      <w:r>
        <w:fldChar w:fldCharType="separate"/>
      </w:r>
      <w:hyperlink w:anchor="_Toc225108572" w:history="1">
        <w:r w:rsidR="00693F8C" w:rsidRPr="00DF4995">
          <w:rPr>
            <w:rStyle w:val="Hyperlink"/>
            <w:noProof/>
          </w:rPr>
          <w:t>Figure 1 Shows the variation of FSF with engine speed at the conrod midpoint. Using the MATLAB extrapolate function the data was extended to 9000 RPM</w:t>
        </w:r>
        <w:r w:rsidR="00693F8C">
          <w:rPr>
            <w:noProof/>
            <w:webHidden/>
          </w:rPr>
          <w:tab/>
        </w:r>
        <w:r w:rsidR="00693F8C">
          <w:rPr>
            <w:noProof/>
            <w:webHidden/>
          </w:rPr>
          <w:fldChar w:fldCharType="begin"/>
        </w:r>
        <w:r w:rsidR="00693F8C">
          <w:rPr>
            <w:noProof/>
            <w:webHidden/>
          </w:rPr>
          <w:instrText xml:space="preserve"> PAGEREF _Toc225108572 \h </w:instrText>
        </w:r>
        <w:r w:rsidR="00693F8C">
          <w:rPr>
            <w:noProof/>
            <w:webHidden/>
          </w:rPr>
        </w:r>
        <w:r w:rsidR="00693F8C">
          <w:rPr>
            <w:noProof/>
            <w:webHidden/>
          </w:rPr>
          <w:fldChar w:fldCharType="separate"/>
        </w:r>
        <w:r w:rsidR="00693F8C">
          <w:rPr>
            <w:noProof/>
            <w:webHidden/>
          </w:rPr>
          <w:t>2</w:t>
        </w:r>
        <w:r w:rsidR="00693F8C">
          <w:rPr>
            <w:noProof/>
            <w:webHidden/>
          </w:rPr>
          <w:fldChar w:fldCharType="end"/>
        </w:r>
      </w:hyperlink>
    </w:p>
    <w:p w14:paraId="40286265" w14:textId="0F3CAE16" w:rsidR="00693F8C" w:rsidRDefault="00693F8C">
      <w:pPr>
        <w:pStyle w:val="TableofFigures"/>
        <w:tabs>
          <w:tab w:val="right" w:leader="dot" w:pos="9016"/>
        </w:tabs>
        <w:rPr>
          <w:rFonts w:eastAsiaTheme="minorEastAsia"/>
          <w:noProof/>
          <w:kern w:val="2"/>
          <w:sz w:val="24"/>
          <w:szCs w:val="24"/>
          <w:lang w:eastAsia="en-GB"/>
          <w14:ligatures w14:val="standardContextual"/>
        </w:rPr>
      </w:pPr>
      <w:hyperlink w:anchor="_Toc225108573" w:history="1">
        <w:r w:rsidRPr="00DF4995">
          <w:rPr>
            <w:rStyle w:val="Hyperlink"/>
            <w:noProof/>
          </w:rPr>
          <w:t>Figure 1 shows a consistent reduction in FSF with increasing RPM. This is supported by Table 1. The reduction in FSF is expected because increasing RPM raises piston acceleration and therefore inertia force, increasing the cyclic stress range in the conrod. Since fatigue resistance falls as alternating stress increases, the midpoint becomes progressively less tolerant to repeated loading as speed rises (Warren and Young, 2001).</w:t>
        </w:r>
        <w:r>
          <w:rPr>
            <w:noProof/>
            <w:webHidden/>
          </w:rPr>
          <w:tab/>
        </w:r>
        <w:r>
          <w:rPr>
            <w:noProof/>
            <w:webHidden/>
          </w:rPr>
          <w:fldChar w:fldCharType="begin"/>
        </w:r>
        <w:r>
          <w:rPr>
            <w:noProof/>
            <w:webHidden/>
          </w:rPr>
          <w:instrText xml:space="preserve"> PAGEREF _Toc225108573 \h </w:instrText>
        </w:r>
        <w:r>
          <w:rPr>
            <w:noProof/>
            <w:webHidden/>
          </w:rPr>
        </w:r>
        <w:r>
          <w:rPr>
            <w:noProof/>
            <w:webHidden/>
          </w:rPr>
          <w:fldChar w:fldCharType="separate"/>
        </w:r>
        <w:r>
          <w:rPr>
            <w:noProof/>
            <w:webHidden/>
          </w:rPr>
          <w:t>2</w:t>
        </w:r>
        <w:r>
          <w:rPr>
            <w:noProof/>
            <w:webHidden/>
          </w:rPr>
          <w:fldChar w:fldCharType="end"/>
        </w:r>
      </w:hyperlink>
    </w:p>
    <w:p w14:paraId="68539255" w14:textId="6350A05F" w:rsidR="00693F8C" w:rsidRDefault="00693F8C">
      <w:pPr>
        <w:pStyle w:val="TableofFigures"/>
        <w:tabs>
          <w:tab w:val="right" w:leader="dot" w:pos="9016"/>
        </w:tabs>
        <w:rPr>
          <w:rFonts w:eastAsiaTheme="minorEastAsia"/>
          <w:noProof/>
          <w:kern w:val="2"/>
          <w:sz w:val="24"/>
          <w:szCs w:val="24"/>
          <w:lang w:eastAsia="en-GB"/>
          <w14:ligatures w14:val="standardContextual"/>
        </w:rPr>
      </w:pPr>
      <w:hyperlink w:anchor="_Toc225108574" w:history="1">
        <w:r w:rsidRPr="00DF4995">
          <w:rPr>
            <w:rStyle w:val="Hyperlink"/>
            <w:noProof/>
          </w:rPr>
          <w:t>Table 1 Calculated conrod midpoint stresses and fatigue safety factors at 6000 and 9000 RPM, indicating reduced fatigue margin at higher engine speed.</w:t>
        </w:r>
        <w:r>
          <w:rPr>
            <w:noProof/>
            <w:webHidden/>
          </w:rPr>
          <w:tab/>
        </w:r>
        <w:r>
          <w:rPr>
            <w:noProof/>
            <w:webHidden/>
          </w:rPr>
          <w:fldChar w:fldCharType="begin"/>
        </w:r>
        <w:r>
          <w:rPr>
            <w:noProof/>
            <w:webHidden/>
          </w:rPr>
          <w:instrText xml:space="preserve"> PAGEREF _Toc225108574 \h </w:instrText>
        </w:r>
        <w:r>
          <w:rPr>
            <w:noProof/>
            <w:webHidden/>
          </w:rPr>
        </w:r>
        <w:r>
          <w:rPr>
            <w:noProof/>
            <w:webHidden/>
          </w:rPr>
          <w:fldChar w:fldCharType="separate"/>
        </w:r>
        <w:r>
          <w:rPr>
            <w:noProof/>
            <w:webHidden/>
          </w:rPr>
          <w:t>3</w:t>
        </w:r>
        <w:r>
          <w:rPr>
            <w:noProof/>
            <w:webHidden/>
          </w:rPr>
          <w:fldChar w:fldCharType="end"/>
        </w:r>
      </w:hyperlink>
    </w:p>
    <w:p w14:paraId="6921B851" w14:textId="59CB2A8E" w:rsidR="00693F8C" w:rsidRDefault="00693F8C">
      <w:pPr>
        <w:pStyle w:val="TableofFigures"/>
        <w:tabs>
          <w:tab w:val="right" w:leader="dot" w:pos="9016"/>
        </w:tabs>
        <w:rPr>
          <w:rFonts w:eastAsiaTheme="minorEastAsia"/>
          <w:noProof/>
          <w:kern w:val="2"/>
          <w:sz w:val="24"/>
          <w:szCs w:val="24"/>
          <w:lang w:eastAsia="en-GB"/>
          <w14:ligatures w14:val="standardContextual"/>
        </w:rPr>
      </w:pPr>
      <w:hyperlink w:anchor="_Toc225108575" w:history="1">
        <w:r w:rsidRPr="00DF4995">
          <w:rPr>
            <w:rStyle w:val="Hyperlink"/>
            <w:noProof/>
          </w:rPr>
          <w:t>Figure 2 Goodman diagram showing the conrod midpoint operating stress states at 6000 and 9000 rpm relative to the allowable fatigue boundary.</w:t>
        </w:r>
        <w:r>
          <w:rPr>
            <w:noProof/>
            <w:webHidden/>
          </w:rPr>
          <w:tab/>
        </w:r>
        <w:r>
          <w:rPr>
            <w:noProof/>
            <w:webHidden/>
          </w:rPr>
          <w:fldChar w:fldCharType="begin"/>
        </w:r>
        <w:r>
          <w:rPr>
            <w:noProof/>
            <w:webHidden/>
          </w:rPr>
          <w:instrText xml:space="preserve"> PAGEREF _Toc225108575 \h </w:instrText>
        </w:r>
        <w:r>
          <w:rPr>
            <w:noProof/>
            <w:webHidden/>
          </w:rPr>
        </w:r>
        <w:r>
          <w:rPr>
            <w:noProof/>
            <w:webHidden/>
          </w:rPr>
          <w:fldChar w:fldCharType="separate"/>
        </w:r>
        <w:r>
          <w:rPr>
            <w:noProof/>
            <w:webHidden/>
          </w:rPr>
          <w:t>3</w:t>
        </w:r>
        <w:r>
          <w:rPr>
            <w:noProof/>
            <w:webHidden/>
          </w:rPr>
          <w:fldChar w:fldCharType="end"/>
        </w:r>
      </w:hyperlink>
    </w:p>
    <w:p w14:paraId="4DA8FBC7" w14:textId="5EB7FE32" w:rsidR="00693F8C" w:rsidRDefault="00693F8C">
      <w:pPr>
        <w:pStyle w:val="TableofFigures"/>
        <w:tabs>
          <w:tab w:val="right" w:leader="dot" w:pos="9016"/>
        </w:tabs>
        <w:rPr>
          <w:rFonts w:eastAsiaTheme="minorEastAsia"/>
          <w:noProof/>
          <w:kern w:val="2"/>
          <w:sz w:val="24"/>
          <w:szCs w:val="24"/>
          <w:lang w:eastAsia="en-GB"/>
          <w14:ligatures w14:val="standardContextual"/>
        </w:rPr>
      </w:pPr>
      <w:hyperlink w:anchor="_Toc225108576" w:history="1">
        <w:r w:rsidRPr="00DF4995">
          <w:rPr>
            <w:rStyle w:val="Hyperlink"/>
            <w:noProof/>
          </w:rPr>
          <w:t>Figure 3 Calculated gudgeon pin fatigue safety factor versus engine speed, showing reduced fatigue margin with increasing RPM.</w:t>
        </w:r>
        <w:r>
          <w:rPr>
            <w:noProof/>
            <w:webHidden/>
          </w:rPr>
          <w:tab/>
        </w:r>
        <w:r>
          <w:rPr>
            <w:noProof/>
            <w:webHidden/>
          </w:rPr>
          <w:fldChar w:fldCharType="begin"/>
        </w:r>
        <w:r>
          <w:rPr>
            <w:noProof/>
            <w:webHidden/>
          </w:rPr>
          <w:instrText xml:space="preserve"> PAGEREF _Toc225108576 \h </w:instrText>
        </w:r>
        <w:r>
          <w:rPr>
            <w:noProof/>
            <w:webHidden/>
          </w:rPr>
        </w:r>
        <w:r>
          <w:rPr>
            <w:noProof/>
            <w:webHidden/>
          </w:rPr>
          <w:fldChar w:fldCharType="separate"/>
        </w:r>
        <w:r>
          <w:rPr>
            <w:noProof/>
            <w:webHidden/>
          </w:rPr>
          <w:t>4</w:t>
        </w:r>
        <w:r>
          <w:rPr>
            <w:noProof/>
            <w:webHidden/>
          </w:rPr>
          <w:fldChar w:fldCharType="end"/>
        </w:r>
      </w:hyperlink>
    </w:p>
    <w:p w14:paraId="66CFE0E6" w14:textId="2F7D0704" w:rsidR="00693F8C" w:rsidRDefault="00693F8C">
      <w:pPr>
        <w:pStyle w:val="TableofFigures"/>
        <w:tabs>
          <w:tab w:val="right" w:leader="dot" w:pos="9016"/>
        </w:tabs>
        <w:rPr>
          <w:rFonts w:eastAsiaTheme="minorEastAsia"/>
          <w:noProof/>
          <w:kern w:val="2"/>
          <w:sz w:val="24"/>
          <w:szCs w:val="24"/>
          <w:lang w:eastAsia="en-GB"/>
          <w14:ligatures w14:val="standardContextual"/>
        </w:rPr>
      </w:pPr>
      <w:hyperlink w:anchor="_Toc225108577" w:history="1">
        <w:r w:rsidRPr="00DF4995">
          <w:rPr>
            <w:rStyle w:val="Hyperlink"/>
            <w:noProof/>
          </w:rPr>
          <w:t>Figure 4 Goodman diagram showing the gudgeon pin operating stress states at 6000 and 9000 RPM relative to the allowable fatigue boundary.</w:t>
        </w:r>
        <w:r>
          <w:rPr>
            <w:noProof/>
            <w:webHidden/>
          </w:rPr>
          <w:tab/>
        </w:r>
        <w:r>
          <w:rPr>
            <w:noProof/>
            <w:webHidden/>
          </w:rPr>
          <w:fldChar w:fldCharType="begin"/>
        </w:r>
        <w:r>
          <w:rPr>
            <w:noProof/>
            <w:webHidden/>
          </w:rPr>
          <w:instrText xml:space="preserve"> PAGEREF _Toc225108577 \h </w:instrText>
        </w:r>
        <w:r>
          <w:rPr>
            <w:noProof/>
            <w:webHidden/>
          </w:rPr>
        </w:r>
        <w:r>
          <w:rPr>
            <w:noProof/>
            <w:webHidden/>
          </w:rPr>
          <w:fldChar w:fldCharType="separate"/>
        </w:r>
        <w:r>
          <w:rPr>
            <w:noProof/>
            <w:webHidden/>
          </w:rPr>
          <w:t>5</w:t>
        </w:r>
        <w:r>
          <w:rPr>
            <w:noProof/>
            <w:webHidden/>
          </w:rPr>
          <w:fldChar w:fldCharType="end"/>
        </w:r>
      </w:hyperlink>
    </w:p>
    <w:p w14:paraId="4FF3CF11" w14:textId="3D9EDDB6" w:rsidR="00693F8C" w:rsidRDefault="00693F8C">
      <w:pPr>
        <w:pStyle w:val="TableofFigures"/>
        <w:tabs>
          <w:tab w:val="right" w:leader="dot" w:pos="9016"/>
        </w:tabs>
        <w:rPr>
          <w:rFonts w:eastAsiaTheme="minorEastAsia"/>
          <w:noProof/>
          <w:kern w:val="2"/>
          <w:sz w:val="24"/>
          <w:szCs w:val="24"/>
          <w:lang w:eastAsia="en-GB"/>
          <w14:ligatures w14:val="standardContextual"/>
        </w:rPr>
      </w:pPr>
      <w:hyperlink w:anchor="_Toc225108578" w:history="1">
        <w:r w:rsidRPr="00DF4995">
          <w:rPr>
            <w:rStyle w:val="Hyperlink"/>
            <w:noProof/>
          </w:rPr>
          <w:t>Figure 8 Original connecting rod bolt fatigue safety factor versus engine speed.</w:t>
        </w:r>
        <w:r>
          <w:rPr>
            <w:noProof/>
            <w:webHidden/>
          </w:rPr>
          <w:tab/>
        </w:r>
        <w:r>
          <w:rPr>
            <w:noProof/>
            <w:webHidden/>
          </w:rPr>
          <w:fldChar w:fldCharType="begin"/>
        </w:r>
        <w:r>
          <w:rPr>
            <w:noProof/>
            <w:webHidden/>
          </w:rPr>
          <w:instrText xml:space="preserve"> PAGEREF _Toc225108578 \h </w:instrText>
        </w:r>
        <w:r>
          <w:rPr>
            <w:noProof/>
            <w:webHidden/>
          </w:rPr>
        </w:r>
        <w:r>
          <w:rPr>
            <w:noProof/>
            <w:webHidden/>
          </w:rPr>
          <w:fldChar w:fldCharType="separate"/>
        </w:r>
        <w:r>
          <w:rPr>
            <w:noProof/>
            <w:webHidden/>
          </w:rPr>
          <w:t>6</w:t>
        </w:r>
        <w:r>
          <w:rPr>
            <w:noProof/>
            <w:webHidden/>
          </w:rPr>
          <w:fldChar w:fldCharType="end"/>
        </w:r>
      </w:hyperlink>
    </w:p>
    <w:p w14:paraId="575B8E26" w14:textId="7CF27D46" w:rsidR="00693F8C" w:rsidRDefault="00693F8C">
      <w:pPr>
        <w:pStyle w:val="TableofFigures"/>
        <w:tabs>
          <w:tab w:val="right" w:leader="dot" w:pos="9016"/>
        </w:tabs>
        <w:rPr>
          <w:rFonts w:eastAsiaTheme="minorEastAsia"/>
          <w:noProof/>
          <w:kern w:val="2"/>
          <w:sz w:val="24"/>
          <w:szCs w:val="24"/>
          <w:lang w:eastAsia="en-GB"/>
          <w14:ligatures w14:val="standardContextual"/>
        </w:rPr>
      </w:pPr>
      <w:hyperlink w:anchor="_Toc225108579" w:history="1">
        <w:r w:rsidRPr="00DF4995">
          <w:rPr>
            <w:rStyle w:val="Hyperlink"/>
            <w:noProof/>
          </w:rPr>
          <w:t>Figure 9 Goodman diagram for the original connecting rod bolt at 6000 and 9000 RPM.</w:t>
        </w:r>
        <w:r>
          <w:rPr>
            <w:noProof/>
            <w:webHidden/>
          </w:rPr>
          <w:tab/>
        </w:r>
        <w:r>
          <w:rPr>
            <w:noProof/>
            <w:webHidden/>
          </w:rPr>
          <w:fldChar w:fldCharType="begin"/>
        </w:r>
        <w:r>
          <w:rPr>
            <w:noProof/>
            <w:webHidden/>
          </w:rPr>
          <w:instrText xml:space="preserve"> PAGEREF _Toc225108579 \h </w:instrText>
        </w:r>
        <w:r>
          <w:rPr>
            <w:noProof/>
            <w:webHidden/>
          </w:rPr>
        </w:r>
        <w:r>
          <w:rPr>
            <w:noProof/>
            <w:webHidden/>
          </w:rPr>
          <w:fldChar w:fldCharType="separate"/>
        </w:r>
        <w:r>
          <w:rPr>
            <w:noProof/>
            <w:webHidden/>
          </w:rPr>
          <w:t>7</w:t>
        </w:r>
        <w:r>
          <w:rPr>
            <w:noProof/>
            <w:webHidden/>
          </w:rPr>
          <w:fldChar w:fldCharType="end"/>
        </w:r>
      </w:hyperlink>
    </w:p>
    <w:p w14:paraId="6E6932E0" w14:textId="5230AEE0" w:rsidR="00693F8C" w:rsidRDefault="00693F8C">
      <w:pPr>
        <w:pStyle w:val="TableofFigures"/>
        <w:tabs>
          <w:tab w:val="right" w:leader="dot" w:pos="9016"/>
        </w:tabs>
        <w:rPr>
          <w:rFonts w:eastAsiaTheme="minorEastAsia"/>
          <w:noProof/>
          <w:kern w:val="2"/>
          <w:sz w:val="24"/>
          <w:szCs w:val="24"/>
          <w:lang w:eastAsia="en-GB"/>
          <w14:ligatures w14:val="standardContextual"/>
        </w:rPr>
      </w:pPr>
      <w:hyperlink w:anchor="_Toc225108580" w:history="1">
        <w:r w:rsidRPr="00DF4995">
          <w:rPr>
            <w:rStyle w:val="Hyperlink"/>
            <w:noProof/>
          </w:rPr>
          <w:t>Figure 10- Conrod Bolt Redesign by Wasted Shank Area</w:t>
        </w:r>
        <w:r>
          <w:rPr>
            <w:noProof/>
            <w:webHidden/>
          </w:rPr>
          <w:tab/>
        </w:r>
        <w:r>
          <w:rPr>
            <w:noProof/>
            <w:webHidden/>
          </w:rPr>
          <w:fldChar w:fldCharType="begin"/>
        </w:r>
        <w:r>
          <w:rPr>
            <w:noProof/>
            <w:webHidden/>
          </w:rPr>
          <w:instrText xml:space="preserve"> PAGEREF _Toc225108580 \h </w:instrText>
        </w:r>
        <w:r>
          <w:rPr>
            <w:noProof/>
            <w:webHidden/>
          </w:rPr>
        </w:r>
        <w:r>
          <w:rPr>
            <w:noProof/>
            <w:webHidden/>
          </w:rPr>
          <w:fldChar w:fldCharType="separate"/>
        </w:r>
        <w:r>
          <w:rPr>
            <w:noProof/>
            <w:webHidden/>
          </w:rPr>
          <w:t>7</w:t>
        </w:r>
        <w:r>
          <w:rPr>
            <w:noProof/>
            <w:webHidden/>
          </w:rPr>
          <w:fldChar w:fldCharType="end"/>
        </w:r>
      </w:hyperlink>
    </w:p>
    <w:p w14:paraId="54D1AADE" w14:textId="29C7898D" w:rsidR="00693F8C" w:rsidRDefault="00693F8C">
      <w:pPr>
        <w:pStyle w:val="TableofFigures"/>
        <w:tabs>
          <w:tab w:val="right" w:leader="dot" w:pos="9016"/>
        </w:tabs>
        <w:rPr>
          <w:rFonts w:eastAsiaTheme="minorEastAsia"/>
          <w:noProof/>
          <w:kern w:val="2"/>
          <w:sz w:val="24"/>
          <w:szCs w:val="24"/>
          <w:lang w:eastAsia="en-GB"/>
          <w14:ligatures w14:val="standardContextual"/>
        </w:rPr>
      </w:pPr>
      <w:hyperlink w:anchor="_Toc225108581" w:history="1">
        <w:r w:rsidRPr="00DF4995">
          <w:rPr>
            <w:rStyle w:val="Hyperlink"/>
            <w:noProof/>
          </w:rPr>
          <w:t>Table 2- Threaded bolt specification</w:t>
        </w:r>
        <w:r>
          <w:rPr>
            <w:noProof/>
            <w:webHidden/>
          </w:rPr>
          <w:tab/>
        </w:r>
        <w:r>
          <w:rPr>
            <w:noProof/>
            <w:webHidden/>
          </w:rPr>
          <w:fldChar w:fldCharType="begin"/>
        </w:r>
        <w:r>
          <w:rPr>
            <w:noProof/>
            <w:webHidden/>
          </w:rPr>
          <w:instrText xml:space="preserve"> PAGEREF _Toc225108581 \h </w:instrText>
        </w:r>
        <w:r>
          <w:rPr>
            <w:noProof/>
            <w:webHidden/>
          </w:rPr>
        </w:r>
        <w:r>
          <w:rPr>
            <w:noProof/>
            <w:webHidden/>
          </w:rPr>
          <w:fldChar w:fldCharType="separate"/>
        </w:r>
        <w:r>
          <w:rPr>
            <w:noProof/>
            <w:webHidden/>
          </w:rPr>
          <w:t>8</w:t>
        </w:r>
        <w:r>
          <w:rPr>
            <w:noProof/>
            <w:webHidden/>
          </w:rPr>
          <w:fldChar w:fldCharType="end"/>
        </w:r>
      </w:hyperlink>
    </w:p>
    <w:p w14:paraId="0A94EB48" w14:textId="5314DE8A" w:rsidR="00693F8C" w:rsidRDefault="00693F8C">
      <w:pPr>
        <w:pStyle w:val="TableofFigures"/>
        <w:tabs>
          <w:tab w:val="right" w:leader="dot" w:pos="9016"/>
        </w:tabs>
        <w:rPr>
          <w:rFonts w:eastAsiaTheme="minorEastAsia"/>
          <w:noProof/>
          <w:kern w:val="2"/>
          <w:sz w:val="24"/>
          <w:szCs w:val="24"/>
          <w:lang w:eastAsia="en-GB"/>
          <w14:ligatures w14:val="standardContextual"/>
        </w:rPr>
      </w:pPr>
      <w:hyperlink w:anchor="_Toc225108582" w:history="1">
        <w:r w:rsidRPr="00DF4995">
          <w:rPr>
            <w:rStyle w:val="Hyperlink"/>
            <w:noProof/>
          </w:rPr>
          <w:t>Figure 11- Connecting Rod Bolt FSF: Original v Redesign</w:t>
        </w:r>
        <w:r>
          <w:rPr>
            <w:noProof/>
            <w:webHidden/>
          </w:rPr>
          <w:tab/>
        </w:r>
        <w:r>
          <w:rPr>
            <w:noProof/>
            <w:webHidden/>
          </w:rPr>
          <w:fldChar w:fldCharType="begin"/>
        </w:r>
        <w:r>
          <w:rPr>
            <w:noProof/>
            <w:webHidden/>
          </w:rPr>
          <w:instrText xml:space="preserve"> PAGEREF _Toc225108582 \h </w:instrText>
        </w:r>
        <w:r>
          <w:rPr>
            <w:noProof/>
            <w:webHidden/>
          </w:rPr>
        </w:r>
        <w:r>
          <w:rPr>
            <w:noProof/>
            <w:webHidden/>
          </w:rPr>
          <w:fldChar w:fldCharType="separate"/>
        </w:r>
        <w:r>
          <w:rPr>
            <w:noProof/>
            <w:webHidden/>
          </w:rPr>
          <w:t>9</w:t>
        </w:r>
        <w:r>
          <w:rPr>
            <w:noProof/>
            <w:webHidden/>
          </w:rPr>
          <w:fldChar w:fldCharType="end"/>
        </w:r>
      </w:hyperlink>
    </w:p>
    <w:p w14:paraId="0E12DA76" w14:textId="382ADEAE" w:rsidR="00693F8C" w:rsidRDefault="00693F8C">
      <w:pPr>
        <w:pStyle w:val="TableofFigures"/>
        <w:tabs>
          <w:tab w:val="right" w:leader="dot" w:pos="9016"/>
        </w:tabs>
        <w:rPr>
          <w:rFonts w:eastAsiaTheme="minorEastAsia"/>
          <w:noProof/>
          <w:kern w:val="2"/>
          <w:sz w:val="24"/>
          <w:szCs w:val="24"/>
          <w:lang w:eastAsia="en-GB"/>
          <w14:ligatures w14:val="standardContextual"/>
        </w:rPr>
      </w:pPr>
      <w:hyperlink w:anchor="_Toc225108583" w:history="1">
        <w:r w:rsidRPr="00DF4995">
          <w:rPr>
            <w:rStyle w:val="Hyperlink"/>
            <w:noProof/>
          </w:rPr>
          <w:t>Table 3 Material properties used in the connecting rod bolt fatigue assessment, showing the candidate materials considered for improving FSF through changes in strength and stiffness (ARP, 2026).</w:t>
        </w:r>
        <w:r>
          <w:rPr>
            <w:noProof/>
            <w:webHidden/>
          </w:rPr>
          <w:tab/>
        </w:r>
        <w:r>
          <w:rPr>
            <w:noProof/>
            <w:webHidden/>
          </w:rPr>
          <w:fldChar w:fldCharType="begin"/>
        </w:r>
        <w:r>
          <w:rPr>
            <w:noProof/>
            <w:webHidden/>
          </w:rPr>
          <w:instrText xml:space="preserve"> PAGEREF _Toc225108583 \h </w:instrText>
        </w:r>
        <w:r>
          <w:rPr>
            <w:noProof/>
            <w:webHidden/>
          </w:rPr>
        </w:r>
        <w:r>
          <w:rPr>
            <w:noProof/>
            <w:webHidden/>
          </w:rPr>
          <w:fldChar w:fldCharType="separate"/>
        </w:r>
        <w:r>
          <w:rPr>
            <w:noProof/>
            <w:webHidden/>
          </w:rPr>
          <w:t>10</w:t>
        </w:r>
        <w:r>
          <w:rPr>
            <w:noProof/>
            <w:webHidden/>
          </w:rPr>
          <w:fldChar w:fldCharType="end"/>
        </w:r>
      </w:hyperlink>
    </w:p>
    <w:p w14:paraId="0453A847" w14:textId="1D3A9613" w:rsidR="00693F8C" w:rsidRDefault="00693F8C">
      <w:pPr>
        <w:pStyle w:val="TableofFigures"/>
        <w:tabs>
          <w:tab w:val="right" w:leader="dot" w:pos="9016"/>
        </w:tabs>
        <w:rPr>
          <w:rFonts w:eastAsiaTheme="minorEastAsia"/>
          <w:noProof/>
          <w:kern w:val="2"/>
          <w:sz w:val="24"/>
          <w:szCs w:val="24"/>
          <w:lang w:eastAsia="en-GB"/>
          <w14:ligatures w14:val="standardContextual"/>
        </w:rPr>
      </w:pPr>
      <w:hyperlink w:anchor="_Toc225108584" w:history="1">
        <w:r w:rsidRPr="00DF4995">
          <w:rPr>
            <w:rStyle w:val="Hyperlink"/>
            <w:noProof/>
          </w:rPr>
          <w:t>Figure 12- Connecting Rod Bolt FSF for Different Materials</w:t>
        </w:r>
        <w:r>
          <w:rPr>
            <w:noProof/>
            <w:webHidden/>
          </w:rPr>
          <w:tab/>
        </w:r>
        <w:r>
          <w:rPr>
            <w:noProof/>
            <w:webHidden/>
          </w:rPr>
          <w:fldChar w:fldCharType="begin"/>
        </w:r>
        <w:r>
          <w:rPr>
            <w:noProof/>
            <w:webHidden/>
          </w:rPr>
          <w:instrText xml:space="preserve"> PAGEREF _Toc225108584 \h </w:instrText>
        </w:r>
        <w:r>
          <w:rPr>
            <w:noProof/>
            <w:webHidden/>
          </w:rPr>
        </w:r>
        <w:r>
          <w:rPr>
            <w:noProof/>
            <w:webHidden/>
          </w:rPr>
          <w:fldChar w:fldCharType="separate"/>
        </w:r>
        <w:r>
          <w:rPr>
            <w:noProof/>
            <w:webHidden/>
          </w:rPr>
          <w:t>10</w:t>
        </w:r>
        <w:r>
          <w:rPr>
            <w:noProof/>
            <w:webHidden/>
          </w:rPr>
          <w:fldChar w:fldCharType="end"/>
        </w:r>
      </w:hyperlink>
    </w:p>
    <w:p w14:paraId="186B633E" w14:textId="5ECADFF1" w:rsidR="00693F8C" w:rsidRDefault="00693F8C">
      <w:pPr>
        <w:pStyle w:val="TableofFigures"/>
        <w:tabs>
          <w:tab w:val="right" w:leader="dot" w:pos="9016"/>
        </w:tabs>
        <w:rPr>
          <w:rFonts w:eastAsiaTheme="minorEastAsia"/>
          <w:noProof/>
          <w:kern w:val="2"/>
          <w:sz w:val="24"/>
          <w:szCs w:val="24"/>
          <w:lang w:eastAsia="en-GB"/>
          <w14:ligatures w14:val="standardContextual"/>
        </w:rPr>
      </w:pPr>
      <w:hyperlink w:anchor="_Toc225108585" w:history="1">
        <w:r w:rsidRPr="00DF4995">
          <w:rPr>
            <w:rStyle w:val="Hyperlink"/>
            <w:noProof/>
          </w:rPr>
          <w:t>Figure 13-Effect of Material Stiffness on Bolt load fraction</w:t>
        </w:r>
        <w:r>
          <w:rPr>
            <w:noProof/>
            <w:webHidden/>
          </w:rPr>
          <w:tab/>
        </w:r>
        <w:r>
          <w:rPr>
            <w:noProof/>
            <w:webHidden/>
          </w:rPr>
          <w:fldChar w:fldCharType="begin"/>
        </w:r>
        <w:r>
          <w:rPr>
            <w:noProof/>
            <w:webHidden/>
          </w:rPr>
          <w:instrText xml:space="preserve"> PAGEREF _Toc225108585 \h </w:instrText>
        </w:r>
        <w:r>
          <w:rPr>
            <w:noProof/>
            <w:webHidden/>
          </w:rPr>
        </w:r>
        <w:r>
          <w:rPr>
            <w:noProof/>
            <w:webHidden/>
          </w:rPr>
          <w:fldChar w:fldCharType="separate"/>
        </w:r>
        <w:r>
          <w:rPr>
            <w:noProof/>
            <w:webHidden/>
          </w:rPr>
          <w:t>11</w:t>
        </w:r>
        <w:r>
          <w:rPr>
            <w:noProof/>
            <w:webHidden/>
          </w:rPr>
          <w:fldChar w:fldCharType="end"/>
        </w:r>
      </w:hyperlink>
    </w:p>
    <w:p w14:paraId="6ACB04E2" w14:textId="551424A8" w:rsidR="00693F8C" w:rsidRDefault="00693F8C">
      <w:pPr>
        <w:pStyle w:val="TableofFigures"/>
        <w:tabs>
          <w:tab w:val="right" w:leader="dot" w:pos="9016"/>
        </w:tabs>
        <w:rPr>
          <w:rFonts w:eastAsiaTheme="minorEastAsia"/>
          <w:noProof/>
          <w:kern w:val="2"/>
          <w:sz w:val="24"/>
          <w:szCs w:val="24"/>
          <w:lang w:eastAsia="en-GB"/>
          <w14:ligatures w14:val="standardContextual"/>
        </w:rPr>
      </w:pPr>
      <w:hyperlink w:anchor="_Toc225108586" w:history="1">
        <w:r w:rsidRPr="00DF4995">
          <w:rPr>
            <w:rStyle w:val="Hyperlink"/>
            <w:noProof/>
          </w:rPr>
          <w:t>Figure 5-single-cylinder Torque Component’s</w:t>
        </w:r>
        <w:r>
          <w:rPr>
            <w:noProof/>
            <w:webHidden/>
          </w:rPr>
          <w:tab/>
        </w:r>
        <w:r>
          <w:rPr>
            <w:noProof/>
            <w:webHidden/>
          </w:rPr>
          <w:fldChar w:fldCharType="begin"/>
        </w:r>
        <w:r>
          <w:rPr>
            <w:noProof/>
            <w:webHidden/>
          </w:rPr>
          <w:instrText xml:space="preserve"> PAGEREF _Toc225108586 \h </w:instrText>
        </w:r>
        <w:r>
          <w:rPr>
            <w:noProof/>
            <w:webHidden/>
          </w:rPr>
        </w:r>
        <w:r>
          <w:rPr>
            <w:noProof/>
            <w:webHidden/>
          </w:rPr>
          <w:fldChar w:fldCharType="separate"/>
        </w:r>
        <w:r>
          <w:rPr>
            <w:noProof/>
            <w:webHidden/>
          </w:rPr>
          <w:t>13</w:t>
        </w:r>
        <w:r>
          <w:rPr>
            <w:noProof/>
            <w:webHidden/>
          </w:rPr>
          <w:fldChar w:fldCharType="end"/>
        </w:r>
      </w:hyperlink>
    </w:p>
    <w:p w14:paraId="09873742" w14:textId="2371F841" w:rsidR="00693F8C" w:rsidRDefault="00693F8C">
      <w:pPr>
        <w:pStyle w:val="TableofFigures"/>
        <w:tabs>
          <w:tab w:val="right" w:leader="dot" w:pos="9016"/>
        </w:tabs>
        <w:rPr>
          <w:rFonts w:eastAsiaTheme="minorEastAsia"/>
          <w:noProof/>
          <w:kern w:val="2"/>
          <w:sz w:val="24"/>
          <w:szCs w:val="24"/>
          <w:lang w:eastAsia="en-GB"/>
          <w14:ligatures w14:val="standardContextual"/>
        </w:rPr>
      </w:pPr>
      <w:hyperlink w:anchor="_Toc225108587" w:history="1">
        <w:r w:rsidRPr="00DF4995">
          <w:rPr>
            <w:rStyle w:val="Hyperlink"/>
            <w:noProof/>
          </w:rPr>
          <w:t>Figure 6- Combined 4-Cylinder Engine Torque</w:t>
        </w:r>
        <w:r>
          <w:rPr>
            <w:noProof/>
            <w:webHidden/>
          </w:rPr>
          <w:tab/>
        </w:r>
        <w:r>
          <w:rPr>
            <w:noProof/>
            <w:webHidden/>
          </w:rPr>
          <w:fldChar w:fldCharType="begin"/>
        </w:r>
        <w:r>
          <w:rPr>
            <w:noProof/>
            <w:webHidden/>
          </w:rPr>
          <w:instrText xml:space="preserve"> PAGEREF _Toc225108587 \h </w:instrText>
        </w:r>
        <w:r>
          <w:rPr>
            <w:noProof/>
            <w:webHidden/>
          </w:rPr>
        </w:r>
        <w:r>
          <w:rPr>
            <w:noProof/>
            <w:webHidden/>
          </w:rPr>
          <w:fldChar w:fldCharType="separate"/>
        </w:r>
        <w:r>
          <w:rPr>
            <w:noProof/>
            <w:webHidden/>
          </w:rPr>
          <w:t>13</w:t>
        </w:r>
        <w:r>
          <w:rPr>
            <w:noProof/>
            <w:webHidden/>
          </w:rPr>
          <w:fldChar w:fldCharType="end"/>
        </w:r>
      </w:hyperlink>
    </w:p>
    <w:p w14:paraId="235F9AD9" w14:textId="4CF4D674" w:rsidR="00693F8C" w:rsidRDefault="00693F8C">
      <w:pPr>
        <w:pStyle w:val="TableofFigures"/>
        <w:tabs>
          <w:tab w:val="right" w:leader="dot" w:pos="9016"/>
        </w:tabs>
        <w:rPr>
          <w:rFonts w:eastAsiaTheme="minorEastAsia"/>
          <w:noProof/>
          <w:kern w:val="2"/>
          <w:sz w:val="24"/>
          <w:szCs w:val="24"/>
          <w:lang w:eastAsia="en-GB"/>
          <w14:ligatures w14:val="standardContextual"/>
        </w:rPr>
      </w:pPr>
      <w:hyperlink w:anchor="_Toc225108588" w:history="1">
        <w:r w:rsidRPr="00DF4995">
          <w:rPr>
            <w:rStyle w:val="Hyperlink"/>
            <w:noProof/>
          </w:rPr>
          <w:t>Figure 7- Calculated power and Torque V calculated (Ford, n.d.)</w:t>
        </w:r>
        <w:r>
          <w:rPr>
            <w:noProof/>
            <w:webHidden/>
          </w:rPr>
          <w:tab/>
        </w:r>
        <w:r>
          <w:rPr>
            <w:noProof/>
            <w:webHidden/>
          </w:rPr>
          <w:fldChar w:fldCharType="begin"/>
        </w:r>
        <w:r>
          <w:rPr>
            <w:noProof/>
            <w:webHidden/>
          </w:rPr>
          <w:instrText xml:space="preserve"> PAGEREF _Toc225108588 \h </w:instrText>
        </w:r>
        <w:r>
          <w:rPr>
            <w:noProof/>
            <w:webHidden/>
          </w:rPr>
        </w:r>
        <w:r>
          <w:rPr>
            <w:noProof/>
            <w:webHidden/>
          </w:rPr>
          <w:fldChar w:fldCharType="separate"/>
        </w:r>
        <w:r>
          <w:rPr>
            <w:noProof/>
            <w:webHidden/>
          </w:rPr>
          <w:t>14</w:t>
        </w:r>
        <w:r>
          <w:rPr>
            <w:noProof/>
            <w:webHidden/>
          </w:rPr>
          <w:fldChar w:fldCharType="end"/>
        </w:r>
      </w:hyperlink>
    </w:p>
    <w:p w14:paraId="25C42F54" w14:textId="490D50A9" w:rsidR="00693F8C" w:rsidRDefault="00693F8C">
      <w:pPr>
        <w:pStyle w:val="TableofFigures"/>
        <w:tabs>
          <w:tab w:val="right" w:leader="dot" w:pos="9016"/>
        </w:tabs>
        <w:rPr>
          <w:rFonts w:eastAsiaTheme="minorEastAsia"/>
          <w:noProof/>
          <w:kern w:val="2"/>
          <w:sz w:val="24"/>
          <w:szCs w:val="24"/>
          <w:lang w:eastAsia="en-GB"/>
          <w14:ligatures w14:val="standardContextual"/>
        </w:rPr>
      </w:pPr>
      <w:hyperlink w:anchor="_Toc225108589" w:history="1">
        <w:r w:rsidRPr="00DF4995">
          <w:rPr>
            <w:rStyle w:val="Hyperlink"/>
            <w:noProof/>
          </w:rPr>
          <w:t>Figure 14- Standard Inline 4 Cylinder Inertial Torques</w:t>
        </w:r>
        <w:r>
          <w:rPr>
            <w:noProof/>
            <w:webHidden/>
          </w:rPr>
          <w:tab/>
        </w:r>
        <w:r>
          <w:rPr>
            <w:noProof/>
            <w:webHidden/>
          </w:rPr>
          <w:fldChar w:fldCharType="begin"/>
        </w:r>
        <w:r>
          <w:rPr>
            <w:noProof/>
            <w:webHidden/>
          </w:rPr>
          <w:instrText xml:space="preserve"> PAGEREF _Toc225108589 \h </w:instrText>
        </w:r>
        <w:r>
          <w:rPr>
            <w:noProof/>
            <w:webHidden/>
          </w:rPr>
        </w:r>
        <w:r>
          <w:rPr>
            <w:noProof/>
            <w:webHidden/>
          </w:rPr>
          <w:fldChar w:fldCharType="separate"/>
        </w:r>
        <w:r>
          <w:rPr>
            <w:noProof/>
            <w:webHidden/>
          </w:rPr>
          <w:t>15</w:t>
        </w:r>
        <w:r>
          <w:rPr>
            <w:noProof/>
            <w:webHidden/>
          </w:rPr>
          <w:fldChar w:fldCharType="end"/>
        </w:r>
      </w:hyperlink>
    </w:p>
    <w:p w14:paraId="725881B4" w14:textId="7FFB316D" w:rsidR="00693F8C" w:rsidRDefault="00693F8C">
      <w:pPr>
        <w:pStyle w:val="TableofFigures"/>
        <w:tabs>
          <w:tab w:val="right" w:leader="dot" w:pos="9016"/>
        </w:tabs>
        <w:rPr>
          <w:rFonts w:eastAsiaTheme="minorEastAsia"/>
          <w:noProof/>
          <w:kern w:val="2"/>
          <w:sz w:val="24"/>
          <w:szCs w:val="24"/>
          <w:lang w:eastAsia="en-GB"/>
          <w14:ligatures w14:val="standardContextual"/>
        </w:rPr>
      </w:pPr>
      <w:hyperlink w:anchor="_Toc225108590" w:history="1">
        <w:r w:rsidRPr="00DF4995">
          <w:rPr>
            <w:rStyle w:val="Hyperlink"/>
            <w:noProof/>
          </w:rPr>
          <w:t>Figure 15- Cross-Plane Inline 4 Cylinder Inertial Torque</w:t>
        </w:r>
        <w:r>
          <w:rPr>
            <w:noProof/>
            <w:webHidden/>
          </w:rPr>
          <w:tab/>
        </w:r>
        <w:r>
          <w:rPr>
            <w:noProof/>
            <w:webHidden/>
          </w:rPr>
          <w:fldChar w:fldCharType="begin"/>
        </w:r>
        <w:r>
          <w:rPr>
            <w:noProof/>
            <w:webHidden/>
          </w:rPr>
          <w:instrText xml:space="preserve"> PAGEREF _Toc225108590 \h </w:instrText>
        </w:r>
        <w:r>
          <w:rPr>
            <w:noProof/>
            <w:webHidden/>
          </w:rPr>
        </w:r>
        <w:r>
          <w:rPr>
            <w:noProof/>
            <w:webHidden/>
          </w:rPr>
          <w:fldChar w:fldCharType="separate"/>
        </w:r>
        <w:r>
          <w:rPr>
            <w:noProof/>
            <w:webHidden/>
          </w:rPr>
          <w:t>16</w:t>
        </w:r>
        <w:r>
          <w:rPr>
            <w:noProof/>
            <w:webHidden/>
          </w:rPr>
          <w:fldChar w:fldCharType="end"/>
        </w:r>
      </w:hyperlink>
    </w:p>
    <w:p w14:paraId="4874CE93" w14:textId="4C3CD6A3" w:rsidR="00693F8C" w:rsidRDefault="00693F8C">
      <w:pPr>
        <w:pStyle w:val="TableofFigures"/>
        <w:tabs>
          <w:tab w:val="right" w:leader="dot" w:pos="9016"/>
        </w:tabs>
        <w:rPr>
          <w:rFonts w:eastAsiaTheme="minorEastAsia"/>
          <w:noProof/>
          <w:kern w:val="2"/>
          <w:sz w:val="24"/>
          <w:szCs w:val="24"/>
          <w:lang w:eastAsia="en-GB"/>
          <w14:ligatures w14:val="standardContextual"/>
        </w:rPr>
      </w:pPr>
      <w:hyperlink w:anchor="_Toc225108591" w:history="1">
        <w:r w:rsidRPr="00DF4995">
          <w:rPr>
            <w:rStyle w:val="Hyperlink"/>
            <w:noProof/>
          </w:rPr>
          <w:t>Figure 16- Standard V Cross-Plane Inertial Torque</w:t>
        </w:r>
        <w:r>
          <w:rPr>
            <w:noProof/>
            <w:webHidden/>
          </w:rPr>
          <w:tab/>
        </w:r>
        <w:r>
          <w:rPr>
            <w:noProof/>
            <w:webHidden/>
          </w:rPr>
          <w:fldChar w:fldCharType="begin"/>
        </w:r>
        <w:r>
          <w:rPr>
            <w:noProof/>
            <w:webHidden/>
          </w:rPr>
          <w:instrText xml:space="preserve"> PAGEREF _Toc225108591 \h </w:instrText>
        </w:r>
        <w:r>
          <w:rPr>
            <w:noProof/>
            <w:webHidden/>
          </w:rPr>
        </w:r>
        <w:r>
          <w:rPr>
            <w:noProof/>
            <w:webHidden/>
          </w:rPr>
          <w:fldChar w:fldCharType="separate"/>
        </w:r>
        <w:r>
          <w:rPr>
            <w:noProof/>
            <w:webHidden/>
          </w:rPr>
          <w:t>17</w:t>
        </w:r>
        <w:r>
          <w:rPr>
            <w:noProof/>
            <w:webHidden/>
          </w:rPr>
          <w:fldChar w:fldCharType="end"/>
        </w:r>
      </w:hyperlink>
    </w:p>
    <w:p w14:paraId="1C2F6BBC" w14:textId="4425C4BB" w:rsidR="00B25D24" w:rsidRDefault="00B25D24" w:rsidP="00B25D24">
      <w:pPr>
        <w:sectPr w:rsidR="00B25D24" w:rsidSect="007A189A">
          <w:pgSz w:w="11906" w:h="16838"/>
          <w:pgMar w:top="1440" w:right="1440" w:bottom="1440" w:left="1440" w:header="708" w:footer="708" w:gutter="0"/>
          <w:pgNumType w:fmt="lowerRoman" w:start="1"/>
          <w:cols w:space="708"/>
          <w:docGrid w:linePitch="360"/>
        </w:sectPr>
      </w:pPr>
      <w:r>
        <w:fldChar w:fldCharType="end"/>
      </w:r>
    </w:p>
    <w:p w14:paraId="760B2317" w14:textId="44AAA280" w:rsidR="00DF3925" w:rsidRPr="00FB060D" w:rsidRDefault="00B44EA2" w:rsidP="00557CC0">
      <w:pPr>
        <w:pStyle w:val="Heading1"/>
        <w:spacing w:before="0"/>
      </w:pPr>
      <w:bookmarkStart w:id="0" w:name="_Toc225108559"/>
      <w:r>
        <w:t>Introduction</w:t>
      </w:r>
      <w:bookmarkEnd w:id="0"/>
      <w:r>
        <w:t xml:space="preserve"> </w:t>
      </w:r>
    </w:p>
    <w:p w14:paraId="2D5CA030" w14:textId="2612BFD4" w:rsidR="0064281F" w:rsidRPr="00557CC0" w:rsidRDefault="00BC293B" w:rsidP="00557CC0">
      <w:pPr>
        <w:pStyle w:val="NormalWeb"/>
        <w:spacing w:before="0" w:beforeAutospacing="0" w:line="360" w:lineRule="auto"/>
        <w:rPr>
          <w:rFonts w:asciiTheme="minorHAnsi" w:hAnsiTheme="minorHAnsi" w:cstheme="minorHAnsi"/>
        </w:rPr>
      </w:pPr>
      <w:r w:rsidRPr="00BC293B">
        <w:rPr>
          <w:rFonts w:asciiTheme="minorHAnsi" w:hAnsiTheme="minorHAnsi" w:cstheme="minorHAnsi"/>
        </w:rPr>
        <w:t xml:space="preserve">Internal combustion engine components are subjected to high cyclic loads, directional changes, and frictional effects, making fatigue failure a critical design consideration. This report analyses the kinematics of the piston–crank mechanism using provided cylinder pressure data (1000–6000 </w:t>
      </w:r>
      <w:r w:rsidR="002A5DCC">
        <w:rPr>
          <w:rFonts w:asciiTheme="minorHAnsi" w:hAnsiTheme="minorHAnsi" w:cstheme="minorHAnsi"/>
        </w:rPr>
        <w:t>RPM</w:t>
      </w:r>
      <w:r w:rsidRPr="00BC293B">
        <w:rPr>
          <w:rFonts w:asciiTheme="minorHAnsi" w:hAnsiTheme="minorHAnsi" w:cstheme="minorHAnsi"/>
        </w:rPr>
        <w:t xml:space="preserve">) to calculate the resulting forces, stresses, and fatigue safety factors for key components including the connecting rod midpoint, </w:t>
      </w:r>
      <w:proofErr w:type="spellStart"/>
      <w:r w:rsidRPr="00BC293B">
        <w:rPr>
          <w:rFonts w:asciiTheme="minorHAnsi" w:hAnsiTheme="minorHAnsi" w:cstheme="minorHAnsi"/>
        </w:rPr>
        <w:t>gudgeon</w:t>
      </w:r>
      <w:proofErr w:type="spellEnd"/>
      <w:r w:rsidRPr="00BC293B">
        <w:rPr>
          <w:rFonts w:asciiTheme="minorHAnsi" w:hAnsiTheme="minorHAnsi" w:cstheme="minorHAnsi"/>
        </w:rPr>
        <w:t xml:space="preserve"> pin, and connecting rod bolts. The results are extrapolated to 9000 </w:t>
      </w:r>
      <w:r w:rsidR="002A5DCC">
        <w:rPr>
          <w:rFonts w:asciiTheme="minorHAnsi" w:hAnsiTheme="minorHAnsi" w:cstheme="minorHAnsi"/>
        </w:rPr>
        <w:t>RPM</w:t>
      </w:r>
      <w:r w:rsidRPr="00BC293B">
        <w:rPr>
          <w:rFonts w:asciiTheme="minorHAnsi" w:hAnsiTheme="minorHAnsi" w:cstheme="minorHAnsi"/>
        </w:rPr>
        <w:t xml:space="preserve"> to assess durability beyond the intended operating range.</w:t>
      </w:r>
      <w:r w:rsidR="00557CC0">
        <w:rPr>
          <w:rFonts w:asciiTheme="minorHAnsi" w:hAnsiTheme="minorHAnsi" w:cstheme="minorHAnsi"/>
        </w:rPr>
        <w:t xml:space="preserve"> </w:t>
      </w:r>
      <w:r w:rsidRPr="00BC293B">
        <w:rPr>
          <w:rFonts w:asciiTheme="minorHAnsi" w:hAnsiTheme="minorHAnsi" w:cstheme="minorHAnsi"/>
        </w:rPr>
        <w:t>The analysis is based on simplified lecture-based models, and therefore the impact of key assumptions such as idealised loading and neglected losses is considered throughout.</w:t>
      </w:r>
    </w:p>
    <w:p w14:paraId="59144C75" w14:textId="4C1E22E7" w:rsidR="0064281F" w:rsidRDefault="00F64715" w:rsidP="00F64715">
      <w:pPr>
        <w:pStyle w:val="Heading2"/>
      </w:pPr>
      <w:bookmarkStart w:id="1" w:name="_Toc225108560"/>
      <w:r>
        <w:t>Aims</w:t>
      </w:r>
      <w:bookmarkEnd w:id="1"/>
      <w:r>
        <w:t xml:space="preserve"> </w:t>
      </w:r>
    </w:p>
    <w:p w14:paraId="660605F8" w14:textId="507BC20A" w:rsidR="00F64715" w:rsidRDefault="00DF70BC" w:rsidP="00684B6A">
      <w:pPr>
        <w:spacing w:line="360" w:lineRule="auto"/>
      </w:pPr>
      <w:r w:rsidRPr="00DF70BC">
        <w:t>The aim of this report is to analyse the forces, stresses and fatigue behaviour of key components within an internal combustion engine using lecture-based analytical methods.</w:t>
      </w:r>
    </w:p>
    <w:p w14:paraId="28AC3C09" w14:textId="08FF676C" w:rsidR="00DF70BC" w:rsidRDefault="00DF70BC" w:rsidP="00DF70BC">
      <w:pPr>
        <w:pStyle w:val="Heading2"/>
      </w:pPr>
      <w:bookmarkStart w:id="2" w:name="_Toc225108561"/>
      <w:r>
        <w:t>Objective</w:t>
      </w:r>
      <w:bookmarkEnd w:id="2"/>
    </w:p>
    <w:p w14:paraId="04906AA2" w14:textId="28EB9BE9" w:rsidR="00FB3DEE" w:rsidRDefault="00B74AC4" w:rsidP="00684B6A">
      <w:pPr>
        <w:spacing w:line="360" w:lineRule="auto"/>
      </w:pPr>
      <w:r w:rsidRPr="00B74AC4">
        <w:t xml:space="preserve">• </w:t>
      </w:r>
      <w:r w:rsidR="003F2B4A">
        <w:t>Analyse piston</w:t>
      </w:r>
      <w:r w:rsidRPr="00B74AC4">
        <w:t>–</w:t>
      </w:r>
      <w:r w:rsidR="003F2B4A">
        <w:t xml:space="preserve">crank </w:t>
      </w:r>
      <w:r w:rsidR="002F0CFA">
        <w:t>kinematics to determine displacement, velocity and acceleration</w:t>
      </w:r>
      <w:r w:rsidRPr="00B74AC4">
        <w:br/>
        <w:t xml:space="preserve">• </w:t>
      </w:r>
      <w:r w:rsidR="00647DB6">
        <w:t xml:space="preserve">Calculate inertia </w:t>
      </w:r>
      <w:r w:rsidRPr="00B74AC4">
        <w:t xml:space="preserve">and </w:t>
      </w:r>
      <w:r w:rsidR="002642A7">
        <w:t xml:space="preserve">gas forces acting on the piston </w:t>
      </w:r>
      <w:r w:rsidRPr="00B74AC4">
        <w:t xml:space="preserve">across 1000–6000 </w:t>
      </w:r>
      <w:r w:rsidR="002A5DCC">
        <w:t>RPM</w:t>
      </w:r>
      <w:r w:rsidRPr="00B74AC4">
        <w:br/>
        <w:t>• Determine resulting stresses in key components (conrod</w:t>
      </w:r>
      <w:r w:rsidR="009A397D">
        <w:t xml:space="preserve"> midpoint</w:t>
      </w:r>
      <w:r w:rsidRPr="00B74AC4">
        <w:t>,</w:t>
      </w:r>
      <w:r w:rsidR="009A397D">
        <w:t xml:space="preserve"> </w:t>
      </w:r>
      <w:proofErr w:type="spellStart"/>
      <w:r w:rsidR="009A397D">
        <w:t>gud</w:t>
      </w:r>
      <w:r w:rsidR="00AF3FA9">
        <w:t>ge</w:t>
      </w:r>
      <w:r w:rsidR="009A397D">
        <w:t>on</w:t>
      </w:r>
      <w:proofErr w:type="spellEnd"/>
      <w:r w:rsidR="009A397D">
        <w:t xml:space="preserve"> pin</w:t>
      </w:r>
      <w:r w:rsidRPr="00B74AC4">
        <w:t>,</w:t>
      </w:r>
      <w:r w:rsidR="00D87B52">
        <w:t xml:space="preserve"> bolts</w:t>
      </w:r>
      <w:r w:rsidRPr="00B74AC4">
        <w:t>)</w:t>
      </w:r>
      <w:r w:rsidRPr="00B74AC4">
        <w:br/>
        <w:t xml:space="preserve">• Evaluate fatigue safety factors </w:t>
      </w:r>
      <w:r w:rsidR="00684B6A">
        <w:t xml:space="preserve">(FSF) </w:t>
      </w:r>
      <w:r w:rsidRPr="00B74AC4">
        <w:t>and extrapolate</w:t>
      </w:r>
      <w:r w:rsidR="005E34F8">
        <w:t xml:space="preserve"> to 9000 </w:t>
      </w:r>
      <w:r w:rsidR="002A5DCC">
        <w:t>RPM</w:t>
      </w:r>
      <w:r w:rsidRPr="00B74AC4">
        <w:br/>
        <w:t xml:space="preserve">• </w:t>
      </w:r>
      <w:r w:rsidR="002F2B09">
        <w:t xml:space="preserve">Investigate </w:t>
      </w:r>
      <w:r w:rsidRPr="00B74AC4">
        <w:t>design</w:t>
      </w:r>
      <w:r w:rsidR="002F2B09">
        <w:t xml:space="preserve"> </w:t>
      </w:r>
      <w:r w:rsidR="00C22690">
        <w:t xml:space="preserve">modifications </w:t>
      </w:r>
      <w:r w:rsidRPr="00B74AC4">
        <w:t>(geometry and material) to improve fatigue performance</w:t>
      </w:r>
      <w:r w:rsidRPr="00B74AC4">
        <w:br/>
        <w:t xml:space="preserve">• Assess the effect of crank configuration on </w:t>
      </w:r>
      <w:r w:rsidR="00644FEB">
        <w:t>engine balance</w:t>
      </w:r>
    </w:p>
    <w:p w14:paraId="40127FA0" w14:textId="77777777" w:rsidR="00FB3DEE" w:rsidRDefault="00FB3DEE" w:rsidP="00FB3DEE">
      <w:pPr>
        <w:pStyle w:val="ListParagraph"/>
      </w:pPr>
    </w:p>
    <w:p w14:paraId="0BB4656C" w14:textId="4D6A8CAB" w:rsidR="008A082C" w:rsidRDefault="008A082C">
      <w:r>
        <w:br w:type="page"/>
      </w:r>
    </w:p>
    <w:p w14:paraId="78D0DA00" w14:textId="74204846" w:rsidR="008A082C" w:rsidRDefault="00B6693E" w:rsidP="008A082C">
      <w:pPr>
        <w:pStyle w:val="Heading1"/>
      </w:pPr>
      <w:bookmarkStart w:id="3" w:name="_Toc225108562"/>
      <w:r>
        <w:t>Connecting Rod</w:t>
      </w:r>
      <w:r w:rsidR="008A082C">
        <w:t xml:space="preserve"> Midpoint</w:t>
      </w:r>
      <w:bookmarkEnd w:id="3"/>
      <w:r w:rsidR="008A082C">
        <w:t xml:space="preserve"> </w:t>
      </w:r>
    </w:p>
    <w:p w14:paraId="70189681" w14:textId="3764AE9B" w:rsidR="00E44609" w:rsidRDefault="00E44609" w:rsidP="00E44609">
      <w:pPr>
        <w:spacing w:line="360" w:lineRule="auto"/>
      </w:pPr>
      <w:r w:rsidRPr="00E44609">
        <w:t>The</w:t>
      </w:r>
      <w:r w:rsidR="00D5138F">
        <w:t xml:space="preserve"> connecting rod (</w:t>
      </w:r>
      <w:r w:rsidRPr="00E44609">
        <w:t>conrod</w:t>
      </w:r>
      <w:r w:rsidR="00D5138F">
        <w:t>)</w:t>
      </w:r>
      <w:r w:rsidRPr="00E44609">
        <w:t xml:space="preserve"> midpoint was assessed as a nominally axially loaded section using the supplied engine geometry, reciprocating mass and midpoint cross-sectional area of 196.39 mm²</w:t>
      </w:r>
      <w:r w:rsidR="0067586F">
        <w:t>.</w:t>
      </w:r>
      <w:r w:rsidRPr="00E44609">
        <w:t xml:space="preserve"> The connecting rod force was obtained from the pressure-derived gas and inertia load</w:t>
      </w:r>
      <w:r w:rsidR="00D5138F">
        <w:t>s</w:t>
      </w:r>
      <w:r w:rsidRPr="00E44609">
        <w:t xml:space="preserve"> from piston kinematics, then converted to stress and assessed using a Goodman fatigue approach based on mean stress, ultimate tensile strength and endurance limit</w:t>
      </w:r>
      <w:r w:rsidR="00D5138F">
        <w:t xml:space="preserve">. </w:t>
      </w:r>
      <w:r w:rsidRPr="00E44609">
        <w:t xml:space="preserve"> </w:t>
      </w:r>
    </w:p>
    <w:p w14:paraId="7E2290B6" w14:textId="46135E61" w:rsidR="00300CE8" w:rsidRDefault="00B3110C" w:rsidP="00300CE8">
      <w:pPr>
        <w:keepNext/>
        <w:jc w:val="center"/>
      </w:pPr>
      <w:r w:rsidRPr="00B3110C">
        <w:rPr>
          <w:noProof/>
        </w:rPr>
        <w:drawing>
          <wp:inline distT="0" distB="0" distL="0" distR="0" wp14:anchorId="05BA874B" wp14:editId="119B2423">
            <wp:extent cx="5383977" cy="3240000"/>
            <wp:effectExtent l="0" t="0" r="7620" b="0"/>
            <wp:docPr id="136006394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83977" cy="3240000"/>
                    </a:xfrm>
                    <a:prstGeom prst="rect">
                      <a:avLst/>
                    </a:prstGeom>
                    <a:noFill/>
                    <a:ln>
                      <a:noFill/>
                    </a:ln>
                  </pic:spPr>
                </pic:pic>
              </a:graphicData>
            </a:graphic>
          </wp:inline>
        </w:drawing>
      </w:r>
    </w:p>
    <w:p w14:paraId="5FE4F880" w14:textId="71C8FD01" w:rsidR="00B3110C" w:rsidRDefault="00300CE8" w:rsidP="00B32721">
      <w:pPr>
        <w:pStyle w:val="Caption"/>
        <w:jc w:val="center"/>
      </w:pPr>
      <w:bookmarkStart w:id="4" w:name="_Toc225108572"/>
      <w:r>
        <w:t xml:space="preserve">Figure </w:t>
      </w:r>
      <w:r w:rsidR="005706EB">
        <w:fldChar w:fldCharType="begin"/>
      </w:r>
      <w:r w:rsidR="005706EB">
        <w:instrText xml:space="preserve"> SEQ Figure \* ARABIC </w:instrText>
      </w:r>
      <w:r w:rsidR="005706EB">
        <w:fldChar w:fldCharType="separate"/>
      </w:r>
      <w:r w:rsidR="005706EB">
        <w:rPr>
          <w:noProof/>
        </w:rPr>
        <w:t>1</w:t>
      </w:r>
      <w:r w:rsidR="005706EB">
        <w:rPr>
          <w:noProof/>
        </w:rPr>
        <w:fldChar w:fldCharType="end"/>
      </w:r>
      <w:r w:rsidR="00B32721">
        <w:rPr>
          <w:noProof/>
        </w:rPr>
        <w:t xml:space="preserve"> </w:t>
      </w:r>
      <w:r w:rsidR="00086B03">
        <w:t>S</w:t>
      </w:r>
      <w:r w:rsidR="00086B03" w:rsidRPr="00A77CEE">
        <w:t>hows the variation of FSF with engine speed at the conrod midpoint.</w:t>
      </w:r>
      <w:r w:rsidR="00BC2F2A">
        <w:t xml:space="preserve"> Using the MATLAB extrapolate</w:t>
      </w:r>
      <w:r w:rsidR="00CA0F46">
        <w:t xml:space="preserve"> function the data was extended to 9000</w:t>
      </w:r>
      <w:r w:rsidR="002A5DCC">
        <w:t xml:space="preserve"> </w:t>
      </w:r>
      <w:r w:rsidR="00CA0F46">
        <w:t>RPM</w:t>
      </w:r>
      <w:bookmarkEnd w:id="4"/>
    </w:p>
    <w:p w14:paraId="76470A5F" w14:textId="32F207A9" w:rsidR="0067586F" w:rsidRDefault="0067586F" w:rsidP="00D02849">
      <w:pPr>
        <w:pStyle w:val="Caption"/>
        <w:keepNext/>
        <w:spacing w:line="360" w:lineRule="auto"/>
        <w:rPr>
          <w:i w:val="0"/>
          <w:iCs w:val="0"/>
          <w:color w:val="auto"/>
          <w:sz w:val="22"/>
          <w:szCs w:val="22"/>
        </w:rPr>
      </w:pPr>
      <w:bookmarkStart w:id="5" w:name="_Toc225108573"/>
      <w:r w:rsidRPr="0067586F">
        <w:rPr>
          <w:i w:val="0"/>
          <w:iCs w:val="0"/>
          <w:color w:val="auto"/>
          <w:sz w:val="22"/>
          <w:szCs w:val="22"/>
        </w:rPr>
        <w:t xml:space="preserve">Figure 1 shows a consistent reduction in </w:t>
      </w:r>
      <w:r w:rsidR="00D5138F">
        <w:rPr>
          <w:i w:val="0"/>
          <w:iCs w:val="0"/>
          <w:color w:val="auto"/>
          <w:sz w:val="22"/>
          <w:szCs w:val="22"/>
        </w:rPr>
        <w:t>FSF</w:t>
      </w:r>
      <w:r w:rsidRPr="0067586F">
        <w:rPr>
          <w:i w:val="0"/>
          <w:iCs w:val="0"/>
          <w:color w:val="auto"/>
          <w:sz w:val="22"/>
          <w:szCs w:val="22"/>
        </w:rPr>
        <w:t xml:space="preserve"> with increasing </w:t>
      </w:r>
      <w:r w:rsidR="00D5138F">
        <w:rPr>
          <w:i w:val="0"/>
          <w:iCs w:val="0"/>
          <w:color w:val="auto"/>
          <w:sz w:val="22"/>
          <w:szCs w:val="22"/>
        </w:rPr>
        <w:t>RPM</w:t>
      </w:r>
      <w:r w:rsidRPr="0067586F">
        <w:rPr>
          <w:i w:val="0"/>
          <w:iCs w:val="0"/>
          <w:color w:val="auto"/>
          <w:sz w:val="22"/>
          <w:szCs w:val="22"/>
        </w:rPr>
        <w:t>. This is supported by Table 1</w:t>
      </w:r>
      <w:r w:rsidR="00C436F1">
        <w:rPr>
          <w:i w:val="0"/>
          <w:iCs w:val="0"/>
          <w:color w:val="auto"/>
          <w:sz w:val="22"/>
          <w:szCs w:val="22"/>
        </w:rPr>
        <w:t>.</w:t>
      </w:r>
      <w:r w:rsidRPr="0067586F">
        <w:rPr>
          <w:i w:val="0"/>
          <w:iCs w:val="0"/>
          <w:color w:val="auto"/>
          <w:sz w:val="22"/>
          <w:szCs w:val="22"/>
        </w:rPr>
        <w:t xml:space="preserve"> The reduction in FSF is expected because increasing </w:t>
      </w:r>
      <w:r w:rsidR="00D5138F">
        <w:rPr>
          <w:i w:val="0"/>
          <w:iCs w:val="0"/>
          <w:color w:val="auto"/>
          <w:sz w:val="22"/>
          <w:szCs w:val="22"/>
        </w:rPr>
        <w:t>RPM</w:t>
      </w:r>
      <w:r w:rsidRPr="0067586F">
        <w:rPr>
          <w:i w:val="0"/>
          <w:iCs w:val="0"/>
          <w:color w:val="auto"/>
          <w:sz w:val="22"/>
          <w:szCs w:val="22"/>
        </w:rPr>
        <w:t xml:space="preserve"> raises piston acceleration and therefore inertia force, increasing the cyclic stress range in the </w:t>
      </w:r>
      <w:r w:rsidR="00C436F1">
        <w:rPr>
          <w:i w:val="0"/>
          <w:iCs w:val="0"/>
          <w:color w:val="auto"/>
          <w:sz w:val="22"/>
          <w:szCs w:val="22"/>
        </w:rPr>
        <w:t>con</w:t>
      </w:r>
      <w:r w:rsidRPr="0067586F">
        <w:rPr>
          <w:i w:val="0"/>
          <w:iCs w:val="0"/>
          <w:color w:val="auto"/>
          <w:sz w:val="22"/>
          <w:szCs w:val="22"/>
        </w:rPr>
        <w:t>rod. Since fatigue resistance falls as alternating stress increases, the midpoint becomes progressively less tolerant to repeated loading as speed rises</w:t>
      </w:r>
      <w:r w:rsidR="0096661B">
        <w:rPr>
          <w:i w:val="0"/>
          <w:iCs w:val="0"/>
          <w:color w:val="auto"/>
          <w:sz w:val="22"/>
          <w:szCs w:val="22"/>
        </w:rPr>
        <w:t xml:space="preserve"> (</w:t>
      </w:r>
      <w:r w:rsidR="00CB221D">
        <w:rPr>
          <w:i w:val="0"/>
          <w:iCs w:val="0"/>
          <w:color w:val="auto"/>
          <w:sz w:val="22"/>
          <w:szCs w:val="22"/>
        </w:rPr>
        <w:t>Warren and Young, 2001)</w:t>
      </w:r>
      <w:r w:rsidRPr="0067586F">
        <w:rPr>
          <w:i w:val="0"/>
          <w:iCs w:val="0"/>
          <w:color w:val="auto"/>
          <w:sz w:val="22"/>
          <w:szCs w:val="22"/>
        </w:rPr>
        <w:t>.</w:t>
      </w:r>
      <w:bookmarkEnd w:id="5"/>
    </w:p>
    <w:p w14:paraId="52E6638C" w14:textId="524933B0" w:rsidR="00C436F1" w:rsidRDefault="000F6B04" w:rsidP="00D02849">
      <w:pPr>
        <w:spacing w:line="360" w:lineRule="auto"/>
      </w:pPr>
      <w:r w:rsidRPr="000F6B04">
        <w:t xml:space="preserve">The midpoint still retains </w:t>
      </w:r>
      <w:r>
        <w:t>within the</w:t>
      </w:r>
      <w:r w:rsidRPr="000F6B04">
        <w:t xml:space="preserve"> margin above failure across the analysed range, so this section is not the limiting feature of the </w:t>
      </w:r>
      <w:r>
        <w:t>assembly/component</w:t>
      </w:r>
      <w:r w:rsidRPr="000F6B04">
        <w:t xml:space="preserve">. That suggests the beam section is relatively conservative, </w:t>
      </w:r>
      <w:r w:rsidR="002A5DCC">
        <w:t>this</w:t>
      </w:r>
      <w:r w:rsidRPr="000F6B04">
        <w:t xml:space="preserve"> indicates that more severe fatigue conditions are usually associated with stress concentrations near geometry transitions rather than the uniform shank region</w:t>
      </w:r>
      <w:r w:rsidR="00D02849">
        <w:t xml:space="preserve">. </w:t>
      </w:r>
    </w:p>
    <w:p w14:paraId="48F4A707" w14:textId="51E48C04" w:rsidR="00D02849" w:rsidRPr="00C436F1" w:rsidRDefault="00D02849" w:rsidP="00EE144D">
      <w:pPr>
        <w:spacing w:line="360" w:lineRule="auto"/>
      </w:pPr>
      <w:r w:rsidRPr="00D02849">
        <w:t xml:space="preserve">The result depends on several assumptions. Stress was treated as uniform axial stress across the midpoint section, which neglects bending, local geometry effects and residual stresses. </w:t>
      </w:r>
      <w:r w:rsidR="00AC12BA">
        <w:t>The MATLAB model is</w:t>
      </w:r>
      <w:r w:rsidRPr="00D02849">
        <w:t xml:space="preserve"> likely to overpredict the true fatigue margin because fatigue behaviour is governed by local peak stress rather than nominal section stress</w:t>
      </w:r>
      <w:r w:rsidR="00C03301">
        <w:t>.</w:t>
      </w:r>
      <w:r w:rsidRPr="00D02849">
        <w:t xml:space="preserve"> The extension to 9000 </w:t>
      </w:r>
      <w:r w:rsidR="002A5DCC">
        <w:t>RPM</w:t>
      </w:r>
      <w:r w:rsidRPr="00D02849">
        <w:t xml:space="preserve"> relies on extrapolat</w:t>
      </w:r>
      <w:r w:rsidR="00AC12BA">
        <w:t>ion</w:t>
      </w:r>
      <w:r w:rsidRPr="00D02849">
        <w:t>, so the higher-speed values are better interpreted as trend indicators than exact design limits. The model is therefore suitable for comparing fatigue sensitivity to rpm, but less reliable for predicting absolute life at the extrapolated limit.</w:t>
      </w:r>
    </w:p>
    <w:p w14:paraId="0830E783" w14:textId="4D557045" w:rsidR="00FE3DAA" w:rsidRDefault="00FE3DAA" w:rsidP="00545DAD">
      <w:pPr>
        <w:pStyle w:val="Caption"/>
        <w:keepNext/>
        <w:jc w:val="center"/>
      </w:pPr>
      <w:bookmarkStart w:id="6" w:name="_Toc225108574"/>
      <w:r>
        <w:t xml:space="preserve">Table </w:t>
      </w:r>
      <w:r w:rsidR="00FA0860">
        <w:fldChar w:fldCharType="begin"/>
      </w:r>
      <w:r w:rsidR="00FA0860">
        <w:instrText xml:space="preserve"> SEQ Table \* ARABIC </w:instrText>
      </w:r>
      <w:r w:rsidR="00FA0860">
        <w:fldChar w:fldCharType="separate"/>
      </w:r>
      <w:r w:rsidR="00AA4C71">
        <w:rPr>
          <w:noProof/>
        </w:rPr>
        <w:t>1</w:t>
      </w:r>
      <w:r w:rsidR="00FA0860">
        <w:rPr>
          <w:noProof/>
        </w:rPr>
        <w:fldChar w:fldCharType="end"/>
      </w:r>
      <w:r>
        <w:t xml:space="preserve"> </w:t>
      </w:r>
      <w:r w:rsidR="00191C35" w:rsidRPr="00191C35">
        <w:t xml:space="preserve">Calculated conrod midpoint stresses and fatigue safety factors at 6000 and 9000 </w:t>
      </w:r>
      <w:r w:rsidR="002A5DCC">
        <w:t>RPM</w:t>
      </w:r>
      <w:r w:rsidR="00191C35" w:rsidRPr="00191C35">
        <w:t>, indicating reduced fatigue margin at higher engine speed.</w:t>
      </w:r>
      <w:bookmarkEnd w:id="6"/>
    </w:p>
    <w:tbl>
      <w:tblPr>
        <w:tblStyle w:val="GridTable5Dark-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
        <w:gridCol w:w="1383"/>
        <w:gridCol w:w="1453"/>
        <w:gridCol w:w="1527"/>
        <w:gridCol w:w="1548"/>
        <w:gridCol w:w="1832"/>
        <w:gridCol w:w="610"/>
      </w:tblGrid>
      <w:tr w:rsidR="00DB68D7" w:rsidRPr="00804A99" w14:paraId="0B5D77D4" w14:textId="77777777" w:rsidTr="004D36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583921" w14:textId="77777777" w:rsidR="00804A99" w:rsidRPr="00804A99" w:rsidRDefault="00804A99" w:rsidP="00804A99">
            <w:pPr>
              <w:spacing w:after="160" w:line="259" w:lineRule="auto"/>
              <w:jc w:val="center"/>
            </w:pPr>
            <w:r w:rsidRPr="00804A99">
              <w:t>RPM</w:t>
            </w:r>
          </w:p>
        </w:tc>
        <w:tc>
          <w:tcPr>
            <w:tcW w:w="0" w:type="auto"/>
            <w:hideMark/>
          </w:tcPr>
          <w:p w14:paraId="6F9497FA" w14:textId="59511ACD" w:rsidR="00804A99" w:rsidRPr="00804A99" w:rsidRDefault="004D3680" w:rsidP="00804A99">
            <w:pPr>
              <w:spacing w:after="160" w:line="259" w:lineRule="auto"/>
              <w:jc w:val="center"/>
              <w:cnfStyle w:val="100000000000" w:firstRow="1" w:lastRow="0" w:firstColumn="0" w:lastColumn="0" w:oddVBand="0" w:evenVBand="0" w:oddHBand="0" w:evenHBand="0" w:firstRowFirstColumn="0" w:firstRowLastColumn="0" w:lastRowFirstColumn="0" w:lastRowLastColumn="0"/>
            </w:pPr>
            <w:r>
              <w:t>M</w:t>
            </w:r>
            <w:r w:rsidR="00804A99" w:rsidRPr="00804A99">
              <w:t>in</w:t>
            </w:r>
            <w:r>
              <w:t xml:space="preserve"> Stress</w:t>
            </w:r>
            <w:r w:rsidR="00804A99" w:rsidRPr="00804A99">
              <w:t xml:space="preserve"> (MPa)</w:t>
            </w:r>
          </w:p>
        </w:tc>
        <w:tc>
          <w:tcPr>
            <w:tcW w:w="0" w:type="auto"/>
            <w:hideMark/>
          </w:tcPr>
          <w:p w14:paraId="32974EBA" w14:textId="125AC2E7" w:rsidR="00804A99" w:rsidRPr="00804A99" w:rsidRDefault="004D3680" w:rsidP="00804A99">
            <w:pPr>
              <w:spacing w:after="160" w:line="259" w:lineRule="auto"/>
              <w:jc w:val="center"/>
              <w:cnfStyle w:val="100000000000" w:firstRow="1" w:lastRow="0" w:firstColumn="0" w:lastColumn="0" w:oddVBand="0" w:evenVBand="0" w:oddHBand="0" w:evenHBand="0" w:firstRowFirstColumn="0" w:firstRowLastColumn="0" w:lastRowFirstColumn="0" w:lastRowLastColumn="0"/>
            </w:pPr>
            <w:r>
              <w:t>M</w:t>
            </w:r>
            <w:r w:rsidR="00804A99" w:rsidRPr="00804A99">
              <w:t>ax</w:t>
            </w:r>
            <w:r>
              <w:t xml:space="preserve"> Stress</w:t>
            </w:r>
            <w:r w:rsidR="00804A99" w:rsidRPr="00804A99">
              <w:t xml:space="preserve"> (MPa)</w:t>
            </w:r>
          </w:p>
        </w:tc>
        <w:tc>
          <w:tcPr>
            <w:tcW w:w="0" w:type="auto"/>
            <w:hideMark/>
          </w:tcPr>
          <w:p w14:paraId="71B4079D" w14:textId="6AC29121" w:rsidR="00804A99" w:rsidRPr="00804A99" w:rsidRDefault="004D3680" w:rsidP="00804A99">
            <w:pPr>
              <w:spacing w:after="160" w:line="259" w:lineRule="auto"/>
              <w:jc w:val="center"/>
              <w:cnfStyle w:val="100000000000" w:firstRow="1" w:lastRow="0" w:firstColumn="0" w:lastColumn="0" w:oddVBand="0" w:evenVBand="0" w:oddHBand="0" w:evenHBand="0" w:firstRowFirstColumn="0" w:firstRowLastColumn="0" w:lastRowFirstColumn="0" w:lastRowLastColumn="0"/>
            </w:pPr>
            <w:r>
              <w:t>M</w:t>
            </w:r>
            <w:r w:rsidR="00804A99" w:rsidRPr="00804A99">
              <w:t>ean</w:t>
            </w:r>
            <w:r>
              <w:t xml:space="preserve"> Stress</w:t>
            </w:r>
            <w:r w:rsidR="00804A99" w:rsidRPr="00804A99">
              <w:t xml:space="preserve"> (MPa)</w:t>
            </w:r>
          </w:p>
        </w:tc>
        <w:tc>
          <w:tcPr>
            <w:tcW w:w="0" w:type="auto"/>
            <w:hideMark/>
          </w:tcPr>
          <w:p w14:paraId="22950E45" w14:textId="77777777" w:rsidR="00804A99" w:rsidRPr="00804A99" w:rsidRDefault="00804A99" w:rsidP="00804A99">
            <w:pPr>
              <w:spacing w:after="160" w:line="259" w:lineRule="auto"/>
              <w:jc w:val="center"/>
              <w:cnfStyle w:val="100000000000" w:firstRow="1" w:lastRow="0" w:firstColumn="0" w:lastColumn="0" w:oddVBand="0" w:evenVBand="0" w:oddHBand="0" w:evenHBand="0" w:firstRowFirstColumn="0" w:firstRowLastColumn="0" w:lastRowFirstColumn="0" w:lastRowLastColumn="0"/>
            </w:pPr>
            <w:r w:rsidRPr="00804A99">
              <w:t>Stress Range (MPa)</w:t>
            </w:r>
          </w:p>
        </w:tc>
        <w:tc>
          <w:tcPr>
            <w:tcW w:w="0" w:type="auto"/>
            <w:hideMark/>
          </w:tcPr>
          <w:p w14:paraId="4B5126D6" w14:textId="77777777" w:rsidR="00804A99" w:rsidRPr="00804A99" w:rsidRDefault="00804A99" w:rsidP="00804A99">
            <w:pPr>
              <w:spacing w:after="160" w:line="259" w:lineRule="auto"/>
              <w:jc w:val="center"/>
              <w:cnfStyle w:val="100000000000" w:firstRow="1" w:lastRow="0" w:firstColumn="0" w:lastColumn="0" w:oddVBand="0" w:evenVBand="0" w:oddHBand="0" w:evenHBand="0" w:firstRowFirstColumn="0" w:firstRowLastColumn="0" w:lastRowFirstColumn="0" w:lastRowLastColumn="0"/>
            </w:pPr>
            <w:r w:rsidRPr="00804A99">
              <w:t>Allowable Stress (MPa)</w:t>
            </w:r>
          </w:p>
        </w:tc>
        <w:tc>
          <w:tcPr>
            <w:tcW w:w="0" w:type="auto"/>
            <w:hideMark/>
          </w:tcPr>
          <w:p w14:paraId="034BBB4F" w14:textId="77777777" w:rsidR="00804A99" w:rsidRPr="00804A99" w:rsidRDefault="00804A99" w:rsidP="00804A99">
            <w:pPr>
              <w:spacing w:after="160" w:line="259" w:lineRule="auto"/>
              <w:jc w:val="center"/>
              <w:cnfStyle w:val="100000000000" w:firstRow="1" w:lastRow="0" w:firstColumn="0" w:lastColumn="0" w:oddVBand="0" w:evenVBand="0" w:oddHBand="0" w:evenHBand="0" w:firstRowFirstColumn="0" w:firstRowLastColumn="0" w:lastRowFirstColumn="0" w:lastRowLastColumn="0"/>
            </w:pPr>
            <w:r w:rsidRPr="00804A99">
              <w:t>FSF</w:t>
            </w:r>
          </w:p>
        </w:tc>
      </w:tr>
      <w:tr w:rsidR="00DB68D7" w:rsidRPr="00804A99" w14:paraId="3F6AFD71" w14:textId="77777777" w:rsidTr="004D36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CAC75A" w14:textId="77777777" w:rsidR="00804A99" w:rsidRPr="00804A99" w:rsidRDefault="00804A99" w:rsidP="00804A99">
            <w:pPr>
              <w:spacing w:after="160" w:line="259" w:lineRule="auto"/>
              <w:jc w:val="center"/>
            </w:pPr>
            <w:r w:rsidRPr="00804A99">
              <w:t>6000</w:t>
            </w:r>
          </w:p>
        </w:tc>
        <w:tc>
          <w:tcPr>
            <w:tcW w:w="0" w:type="auto"/>
            <w:hideMark/>
          </w:tcPr>
          <w:p w14:paraId="4D4E8F2B" w14:textId="77777777" w:rsidR="00804A99" w:rsidRPr="00804A99" w:rsidRDefault="00804A99" w:rsidP="00804A99">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804A99">
              <w:t>-32.788</w:t>
            </w:r>
          </w:p>
        </w:tc>
        <w:tc>
          <w:tcPr>
            <w:tcW w:w="0" w:type="auto"/>
            <w:hideMark/>
          </w:tcPr>
          <w:p w14:paraId="59D73A27" w14:textId="77777777" w:rsidR="00804A99" w:rsidRPr="00804A99" w:rsidRDefault="00804A99" w:rsidP="00804A99">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804A99">
              <w:t>203.469</w:t>
            </w:r>
          </w:p>
        </w:tc>
        <w:tc>
          <w:tcPr>
            <w:tcW w:w="0" w:type="auto"/>
            <w:hideMark/>
          </w:tcPr>
          <w:p w14:paraId="30DEBDF0" w14:textId="77777777" w:rsidR="00804A99" w:rsidRPr="00804A99" w:rsidRDefault="00804A99" w:rsidP="00804A99">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804A99">
              <w:t>85.340</w:t>
            </w:r>
          </w:p>
        </w:tc>
        <w:tc>
          <w:tcPr>
            <w:tcW w:w="0" w:type="auto"/>
            <w:hideMark/>
          </w:tcPr>
          <w:p w14:paraId="6C297CDF" w14:textId="77777777" w:rsidR="00804A99" w:rsidRPr="00804A99" w:rsidRDefault="00804A99" w:rsidP="00804A99">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804A99">
              <w:t>236.256</w:t>
            </w:r>
          </w:p>
        </w:tc>
        <w:tc>
          <w:tcPr>
            <w:tcW w:w="0" w:type="auto"/>
            <w:hideMark/>
          </w:tcPr>
          <w:p w14:paraId="0EA86B4E" w14:textId="77777777" w:rsidR="00804A99" w:rsidRPr="00804A99" w:rsidRDefault="00804A99" w:rsidP="00804A99">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804A99">
              <w:t>823.194</w:t>
            </w:r>
          </w:p>
        </w:tc>
        <w:tc>
          <w:tcPr>
            <w:tcW w:w="0" w:type="auto"/>
            <w:hideMark/>
          </w:tcPr>
          <w:p w14:paraId="6E293F36" w14:textId="77777777" w:rsidR="00804A99" w:rsidRPr="00804A99" w:rsidRDefault="00804A99" w:rsidP="00804A99">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804A99">
              <w:rPr>
                <w:b/>
                <w:bCs/>
              </w:rPr>
              <w:t>3.48</w:t>
            </w:r>
          </w:p>
        </w:tc>
      </w:tr>
      <w:tr w:rsidR="00DB68D7" w:rsidRPr="00804A99" w14:paraId="26694EA3" w14:textId="77777777" w:rsidTr="004D3680">
        <w:tc>
          <w:tcPr>
            <w:cnfStyle w:val="001000000000" w:firstRow="0" w:lastRow="0" w:firstColumn="1" w:lastColumn="0" w:oddVBand="0" w:evenVBand="0" w:oddHBand="0" w:evenHBand="0" w:firstRowFirstColumn="0" w:firstRowLastColumn="0" w:lastRowFirstColumn="0" w:lastRowLastColumn="0"/>
            <w:tcW w:w="0" w:type="auto"/>
            <w:hideMark/>
          </w:tcPr>
          <w:p w14:paraId="0689B797" w14:textId="77777777" w:rsidR="00804A99" w:rsidRPr="00804A99" w:rsidRDefault="00804A99" w:rsidP="00804A99">
            <w:pPr>
              <w:spacing w:after="160" w:line="259" w:lineRule="auto"/>
              <w:jc w:val="center"/>
            </w:pPr>
            <w:r w:rsidRPr="00804A99">
              <w:t>9000</w:t>
            </w:r>
          </w:p>
        </w:tc>
        <w:tc>
          <w:tcPr>
            <w:tcW w:w="0" w:type="auto"/>
            <w:hideMark/>
          </w:tcPr>
          <w:p w14:paraId="6C54BFAB" w14:textId="77777777" w:rsidR="00804A99" w:rsidRPr="00804A99" w:rsidRDefault="00804A99" w:rsidP="00804A99">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804A99">
              <w:t>-66.666</w:t>
            </w:r>
          </w:p>
        </w:tc>
        <w:tc>
          <w:tcPr>
            <w:tcW w:w="0" w:type="auto"/>
            <w:hideMark/>
          </w:tcPr>
          <w:p w14:paraId="0A49FC95" w14:textId="77777777" w:rsidR="00804A99" w:rsidRPr="00804A99" w:rsidRDefault="00804A99" w:rsidP="00804A99">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804A99">
              <w:t>313.098</w:t>
            </w:r>
          </w:p>
        </w:tc>
        <w:tc>
          <w:tcPr>
            <w:tcW w:w="0" w:type="auto"/>
            <w:hideMark/>
          </w:tcPr>
          <w:p w14:paraId="536BA48A" w14:textId="77777777" w:rsidR="00804A99" w:rsidRPr="00804A99" w:rsidRDefault="00804A99" w:rsidP="00804A99">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804A99">
              <w:t>123.216</w:t>
            </w:r>
          </w:p>
        </w:tc>
        <w:tc>
          <w:tcPr>
            <w:tcW w:w="0" w:type="auto"/>
            <w:hideMark/>
          </w:tcPr>
          <w:p w14:paraId="639415C0" w14:textId="77777777" w:rsidR="00804A99" w:rsidRPr="00804A99" w:rsidRDefault="00804A99" w:rsidP="00804A99">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804A99">
              <w:t>379.764</w:t>
            </w:r>
          </w:p>
        </w:tc>
        <w:tc>
          <w:tcPr>
            <w:tcW w:w="0" w:type="auto"/>
            <w:hideMark/>
          </w:tcPr>
          <w:p w14:paraId="43135BDD" w14:textId="77777777" w:rsidR="00804A99" w:rsidRPr="00804A99" w:rsidRDefault="00804A99" w:rsidP="00804A99">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804A99">
              <w:t>789.106</w:t>
            </w:r>
          </w:p>
        </w:tc>
        <w:tc>
          <w:tcPr>
            <w:tcW w:w="0" w:type="auto"/>
            <w:hideMark/>
          </w:tcPr>
          <w:p w14:paraId="58B80374" w14:textId="77777777" w:rsidR="00804A99" w:rsidRPr="00804A99" w:rsidRDefault="00804A99" w:rsidP="00804A99">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804A99">
              <w:rPr>
                <w:b/>
                <w:bCs/>
              </w:rPr>
              <w:t>2.08</w:t>
            </w:r>
          </w:p>
        </w:tc>
      </w:tr>
    </w:tbl>
    <w:p w14:paraId="591C4D04" w14:textId="66DB3B8E" w:rsidR="00FE3DAA" w:rsidRDefault="00FE3DAA" w:rsidP="00B32721">
      <w:pPr>
        <w:keepNext/>
        <w:jc w:val="center"/>
      </w:pPr>
    </w:p>
    <w:p w14:paraId="1021A0C8" w14:textId="12A929B3" w:rsidR="00DE5E4A" w:rsidRDefault="00DE5E4A" w:rsidP="00B32721">
      <w:pPr>
        <w:keepNext/>
        <w:jc w:val="center"/>
      </w:pPr>
      <w:r>
        <w:rPr>
          <w:noProof/>
        </w:rPr>
        <w:drawing>
          <wp:inline distT="0" distB="0" distL="0" distR="0" wp14:anchorId="7EB16668" wp14:editId="7EF27C16">
            <wp:extent cx="5731510" cy="3689985"/>
            <wp:effectExtent l="0" t="0" r="2540" b="5715"/>
            <wp:docPr id="463457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457419" name=""/>
                    <pic:cNvPicPr/>
                  </pic:nvPicPr>
                  <pic:blipFill>
                    <a:blip r:embed="rId15"/>
                    <a:stretch>
                      <a:fillRect/>
                    </a:stretch>
                  </pic:blipFill>
                  <pic:spPr>
                    <a:xfrm>
                      <a:off x="0" y="0"/>
                      <a:ext cx="5731510" cy="3689985"/>
                    </a:xfrm>
                    <a:prstGeom prst="rect">
                      <a:avLst/>
                    </a:prstGeom>
                  </pic:spPr>
                </pic:pic>
              </a:graphicData>
            </a:graphic>
          </wp:inline>
        </w:drawing>
      </w:r>
    </w:p>
    <w:p w14:paraId="1FD270C7" w14:textId="25968A0B" w:rsidR="00B3110C" w:rsidRPr="00B3110C" w:rsidRDefault="00FE3DAA" w:rsidP="00DE5E4A">
      <w:pPr>
        <w:pStyle w:val="Caption"/>
        <w:jc w:val="center"/>
      </w:pPr>
      <w:bookmarkStart w:id="7" w:name="_Toc225108575"/>
      <w:r>
        <w:t xml:space="preserve">Figure </w:t>
      </w:r>
      <w:r w:rsidR="005706EB">
        <w:fldChar w:fldCharType="begin"/>
      </w:r>
      <w:r w:rsidR="005706EB">
        <w:instrText xml:space="preserve"> SEQ Figure \* ARABIC </w:instrText>
      </w:r>
      <w:r w:rsidR="005706EB">
        <w:fldChar w:fldCharType="separate"/>
      </w:r>
      <w:r w:rsidR="005706EB">
        <w:rPr>
          <w:noProof/>
        </w:rPr>
        <w:t>2</w:t>
      </w:r>
      <w:r w:rsidR="005706EB">
        <w:rPr>
          <w:noProof/>
        </w:rPr>
        <w:fldChar w:fldCharType="end"/>
      </w:r>
      <w:r>
        <w:t xml:space="preserve"> </w:t>
      </w:r>
      <w:r w:rsidR="006733F2" w:rsidRPr="006733F2">
        <w:t>Goodman diagram showing the conrod midpoint operating stress states at 6000 and 9000 rpm relative to the allowable fatigue boundary.</w:t>
      </w:r>
      <w:bookmarkEnd w:id="7"/>
    </w:p>
    <w:p w14:paraId="500AF54B" w14:textId="0EBA981F" w:rsidR="00077C05" w:rsidRDefault="00557CC0" w:rsidP="00557CC0">
      <w:pPr>
        <w:spacing w:line="360" w:lineRule="auto"/>
      </w:pPr>
      <w:r w:rsidRPr="00557CC0">
        <w:t xml:space="preserve">Figure 2 shows that the operating stress ranges at both 6000 and 9000 </w:t>
      </w:r>
      <w:r w:rsidR="002A5DCC">
        <w:t>RPM</w:t>
      </w:r>
      <w:r w:rsidRPr="00557CC0">
        <w:t xml:space="preserve"> fall within the Goodman failure boundary, so the conrod midpoint remains safe against fatigue in both cases. The 9000</w:t>
      </w:r>
      <w:r w:rsidR="002A5DCC">
        <w:t>RPM</w:t>
      </w:r>
      <w:r w:rsidRPr="00557CC0">
        <w:t xml:space="preserve"> condition lies closer to the boundary, showing that the higher mean stress and stress range reduce fatigue margin. This is consistent with the drop in FSF from 3.48 to 2.08 shown in Table 1. The diagram therefore confirms that increasing </w:t>
      </w:r>
      <w:r w:rsidR="002A5DCC">
        <w:t>RPM</w:t>
      </w:r>
      <w:r w:rsidRPr="00557CC0">
        <w:t xml:space="preserve"> makes the midpoint more fatigue-critical, although it is still not the limiting section of the component</w:t>
      </w:r>
      <w:r>
        <w:t>.</w:t>
      </w:r>
      <w:r w:rsidR="00CC19E6">
        <w:br w:type="page"/>
      </w:r>
    </w:p>
    <w:p w14:paraId="755D1E7D" w14:textId="1F1E3AC9" w:rsidR="007300D6" w:rsidRDefault="004328BD" w:rsidP="0037412A">
      <w:pPr>
        <w:pStyle w:val="Heading1"/>
      </w:pPr>
      <w:bookmarkStart w:id="8" w:name="_Toc225108563"/>
      <w:r>
        <w:t>Gudgeon Pin</w:t>
      </w:r>
      <w:bookmarkEnd w:id="8"/>
      <w:r>
        <w:t xml:space="preserve"> </w:t>
      </w:r>
    </w:p>
    <w:p w14:paraId="213F2988" w14:textId="24B5C79C" w:rsidR="00DC0897" w:rsidRDefault="00D76E8C" w:rsidP="00D76E8C">
      <w:pPr>
        <w:spacing w:line="360" w:lineRule="auto"/>
      </w:pPr>
      <w:r w:rsidRPr="00D76E8C">
        <w:t>The gudgeon pin was assessed at the outer surface, where bending stress is highest due to the offset between the applied piston load and the pin supports. Using the supplied pin geometry, exposed pin mass and section properties, the bending stress was calculated from the pin loading and moment arm, then assessed using a Goodman fatigue approach with the given material properties.</w:t>
      </w:r>
    </w:p>
    <w:p w14:paraId="10DBB0B2" w14:textId="77777777" w:rsidR="006E4895" w:rsidRDefault="002E629B" w:rsidP="006E4895">
      <w:pPr>
        <w:keepNext/>
        <w:jc w:val="center"/>
      </w:pPr>
      <w:r>
        <w:rPr>
          <w:noProof/>
        </w:rPr>
        <w:drawing>
          <wp:inline distT="0" distB="0" distL="0" distR="0" wp14:anchorId="020EA7E5" wp14:editId="5493D807">
            <wp:extent cx="5178012" cy="3408218"/>
            <wp:effectExtent l="0" t="0" r="3810" b="1905"/>
            <wp:docPr id="585111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111741" name=""/>
                    <pic:cNvPicPr/>
                  </pic:nvPicPr>
                  <pic:blipFill>
                    <a:blip r:embed="rId16"/>
                    <a:stretch>
                      <a:fillRect/>
                    </a:stretch>
                  </pic:blipFill>
                  <pic:spPr>
                    <a:xfrm>
                      <a:off x="0" y="0"/>
                      <a:ext cx="5194187" cy="3418865"/>
                    </a:xfrm>
                    <a:prstGeom prst="rect">
                      <a:avLst/>
                    </a:prstGeom>
                  </pic:spPr>
                </pic:pic>
              </a:graphicData>
            </a:graphic>
          </wp:inline>
        </w:drawing>
      </w:r>
    </w:p>
    <w:p w14:paraId="070229C7" w14:textId="5E1671AC" w:rsidR="004328BD" w:rsidRDefault="006E4895" w:rsidP="00D76E8C">
      <w:pPr>
        <w:pStyle w:val="Caption"/>
        <w:jc w:val="center"/>
      </w:pPr>
      <w:bookmarkStart w:id="9" w:name="_Toc225108576"/>
      <w:r>
        <w:t xml:space="preserve">Figure </w:t>
      </w:r>
      <w:r w:rsidR="005706EB">
        <w:fldChar w:fldCharType="begin"/>
      </w:r>
      <w:r w:rsidR="005706EB">
        <w:instrText xml:space="preserve"> SEQ Figure \* ARABIC </w:instrText>
      </w:r>
      <w:r w:rsidR="005706EB">
        <w:fldChar w:fldCharType="separate"/>
      </w:r>
      <w:r w:rsidR="005706EB">
        <w:rPr>
          <w:noProof/>
        </w:rPr>
        <w:t>3</w:t>
      </w:r>
      <w:r w:rsidR="005706EB">
        <w:rPr>
          <w:noProof/>
        </w:rPr>
        <w:fldChar w:fldCharType="end"/>
      </w:r>
      <w:r w:rsidR="00A44ECD">
        <w:t xml:space="preserve"> </w:t>
      </w:r>
      <w:r w:rsidR="00A44ECD" w:rsidRPr="00A44ECD">
        <w:t xml:space="preserve">Calculated </w:t>
      </w:r>
      <w:proofErr w:type="spellStart"/>
      <w:r w:rsidR="00A44ECD" w:rsidRPr="00A44ECD">
        <w:t>gudgeon</w:t>
      </w:r>
      <w:proofErr w:type="spellEnd"/>
      <w:r w:rsidR="00A44ECD" w:rsidRPr="00A44ECD">
        <w:t xml:space="preserve"> pin fatigue safety factor versus engine speed, showing reduced fatigue margin with increasing </w:t>
      </w:r>
      <w:r w:rsidR="002A5DCC">
        <w:t>RPM</w:t>
      </w:r>
      <w:r w:rsidR="00A44ECD" w:rsidRPr="00A44ECD">
        <w:t>.</w:t>
      </w:r>
      <w:bookmarkEnd w:id="9"/>
    </w:p>
    <w:p w14:paraId="541BC7C6" w14:textId="3FF460AD" w:rsidR="004328BD" w:rsidRDefault="00FB3642" w:rsidP="00680641">
      <w:pPr>
        <w:spacing w:line="360" w:lineRule="auto"/>
      </w:pPr>
      <w:r w:rsidRPr="00FB3642">
        <w:t xml:space="preserve">Figure 3 shows that the </w:t>
      </w:r>
      <w:proofErr w:type="spellStart"/>
      <w:r w:rsidRPr="00FB3642">
        <w:t>gudgeon</w:t>
      </w:r>
      <w:proofErr w:type="spellEnd"/>
      <w:r w:rsidRPr="00FB3642">
        <w:t xml:space="preserve"> pin </w:t>
      </w:r>
      <w:r>
        <w:t>FSF</w:t>
      </w:r>
      <w:r w:rsidRPr="00FB3642">
        <w:t xml:space="preserve"> decreases with increasing </w:t>
      </w:r>
      <w:r w:rsidR="002A5DCC">
        <w:t>RPM</w:t>
      </w:r>
      <w:r w:rsidRPr="00FB3642">
        <w:t>. This expected</w:t>
      </w:r>
      <w:r>
        <w:t xml:space="preserve"> </w:t>
      </w:r>
      <w:r w:rsidRPr="00FB3642">
        <w:t xml:space="preserve">increase </w:t>
      </w:r>
      <w:r>
        <w:t xml:space="preserve">in </w:t>
      </w:r>
      <w:r w:rsidRPr="00FB3642">
        <w:t xml:space="preserve">piston acceleration increases the alternating bending stress in the pin. However, the FSF remains above 2 at 9000 </w:t>
      </w:r>
      <w:r w:rsidR="002A5DCC">
        <w:t>RPM</w:t>
      </w:r>
      <w:r w:rsidRPr="00FB3642">
        <w:t xml:space="preserve">, indicating that the pin retains a substantial fatigue margin </w:t>
      </w:r>
      <w:r>
        <w:t>from 1000-9000</w:t>
      </w:r>
      <w:r w:rsidR="002A5DCC">
        <w:t xml:space="preserve"> </w:t>
      </w:r>
      <w:r>
        <w:t>RPM</w:t>
      </w:r>
      <w:r w:rsidRPr="00FB3642">
        <w:t xml:space="preserve"> </w:t>
      </w:r>
      <w:sdt>
        <w:sdtPr>
          <w:id w:val="502796498"/>
          <w:citation/>
        </w:sdtPr>
        <w:sdtEndPr/>
        <w:sdtContent>
          <w:r>
            <w:fldChar w:fldCharType="begin"/>
          </w:r>
          <w:r>
            <w:instrText xml:space="preserve"> CITATION Xin13 \l 2057 </w:instrText>
          </w:r>
          <w:r>
            <w:fldChar w:fldCharType="separate"/>
          </w:r>
          <w:r w:rsidRPr="00D67B47">
            <w:rPr>
              <w:noProof/>
            </w:rPr>
            <w:t>(Xin, 2013)</w:t>
          </w:r>
          <w:r>
            <w:fldChar w:fldCharType="end"/>
          </w:r>
        </w:sdtContent>
      </w:sdt>
      <w:r>
        <w:t xml:space="preserve">. </w:t>
      </w:r>
      <w:r w:rsidRPr="00FB3642">
        <w:t>Relative to the connecting rod midpoint, this suggests the pin is not operating near its fatigue limit under the loading model used.</w:t>
      </w:r>
    </w:p>
    <w:p w14:paraId="7578FC70" w14:textId="10A91015" w:rsidR="007D3C45" w:rsidRDefault="009010BE" w:rsidP="009010BE">
      <w:pPr>
        <w:spacing w:line="360" w:lineRule="auto"/>
      </w:pPr>
      <w:r w:rsidRPr="009010BE">
        <w:t>The pin was analysed using a simplified bending model with idealised loading and support conditions, so the calculated stress is nominal. Local contact stresses, misalignment and support transition stress concentrations were neglected, making the result more reliable for fatigue trend assessment than exact life prediction.</w:t>
      </w:r>
    </w:p>
    <w:p w14:paraId="1B73E0BF" w14:textId="77777777" w:rsidR="000B1D57" w:rsidRDefault="00DC0897" w:rsidP="000B1D57">
      <w:pPr>
        <w:jc w:val="center"/>
      </w:pPr>
      <w:r>
        <w:br w:type="page"/>
      </w:r>
    </w:p>
    <w:p w14:paraId="6267ECA4" w14:textId="77777777" w:rsidR="001D13C6" w:rsidRDefault="00D03DA7" w:rsidP="001D13C6">
      <w:pPr>
        <w:keepNext/>
        <w:jc w:val="center"/>
      </w:pPr>
      <w:r>
        <w:rPr>
          <w:noProof/>
        </w:rPr>
        <w:drawing>
          <wp:inline distT="0" distB="0" distL="0" distR="0" wp14:anchorId="7AA4FB54" wp14:editId="00AFF4C1">
            <wp:extent cx="5731510" cy="3761740"/>
            <wp:effectExtent l="0" t="0" r="2540" b="0"/>
            <wp:docPr id="404955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955724" name=""/>
                    <pic:cNvPicPr/>
                  </pic:nvPicPr>
                  <pic:blipFill>
                    <a:blip r:embed="rId17"/>
                    <a:stretch>
                      <a:fillRect/>
                    </a:stretch>
                  </pic:blipFill>
                  <pic:spPr>
                    <a:xfrm>
                      <a:off x="0" y="0"/>
                      <a:ext cx="5731510" cy="3761740"/>
                    </a:xfrm>
                    <a:prstGeom prst="rect">
                      <a:avLst/>
                    </a:prstGeom>
                  </pic:spPr>
                </pic:pic>
              </a:graphicData>
            </a:graphic>
          </wp:inline>
        </w:drawing>
      </w:r>
    </w:p>
    <w:p w14:paraId="37092B18" w14:textId="1D2D99A7" w:rsidR="003528BE" w:rsidRDefault="001D13C6" w:rsidP="00764C51">
      <w:pPr>
        <w:pStyle w:val="Caption"/>
        <w:jc w:val="center"/>
      </w:pPr>
      <w:bookmarkStart w:id="10" w:name="_Toc225108577"/>
      <w:r>
        <w:t xml:space="preserve">Figure </w:t>
      </w:r>
      <w:r w:rsidR="005706EB">
        <w:fldChar w:fldCharType="begin"/>
      </w:r>
      <w:r w:rsidR="005706EB">
        <w:instrText xml:space="preserve"> SEQ Figure \* ARABIC </w:instrText>
      </w:r>
      <w:r w:rsidR="005706EB">
        <w:fldChar w:fldCharType="separate"/>
      </w:r>
      <w:r w:rsidR="005706EB">
        <w:rPr>
          <w:noProof/>
        </w:rPr>
        <w:t>4</w:t>
      </w:r>
      <w:r w:rsidR="005706EB">
        <w:rPr>
          <w:noProof/>
        </w:rPr>
        <w:fldChar w:fldCharType="end"/>
      </w:r>
      <w:r w:rsidR="000922EB">
        <w:t xml:space="preserve"> </w:t>
      </w:r>
      <w:r w:rsidR="000922EB" w:rsidRPr="000922EB">
        <w:t xml:space="preserve">Goodman diagram showing the </w:t>
      </w:r>
      <w:proofErr w:type="spellStart"/>
      <w:r w:rsidR="000922EB" w:rsidRPr="000922EB">
        <w:t>gudgeon</w:t>
      </w:r>
      <w:proofErr w:type="spellEnd"/>
      <w:r w:rsidR="000922EB" w:rsidRPr="000922EB">
        <w:t xml:space="preserve"> pin operating stress states at 6000 and 9000 </w:t>
      </w:r>
      <w:r w:rsidR="002A5DCC">
        <w:t>RPM</w:t>
      </w:r>
      <w:r w:rsidR="000922EB" w:rsidRPr="000922EB">
        <w:t xml:space="preserve"> relative to the allowable fatigue boundary.</w:t>
      </w:r>
      <w:bookmarkEnd w:id="10"/>
    </w:p>
    <w:p w14:paraId="5FC5D1AC" w14:textId="4C306416" w:rsidR="000B1D57" w:rsidRDefault="00764C51" w:rsidP="00764C51">
      <w:pPr>
        <w:spacing w:line="360" w:lineRule="auto"/>
      </w:pPr>
      <w:r w:rsidRPr="00764C51">
        <w:t xml:space="preserve">Figure 4 shows that the </w:t>
      </w:r>
      <w:proofErr w:type="spellStart"/>
      <w:r w:rsidRPr="00764C51">
        <w:t>gudgeon</w:t>
      </w:r>
      <w:proofErr w:type="spellEnd"/>
      <w:r w:rsidRPr="00764C51">
        <w:t xml:space="preserve"> pin operating stress ranges at both 6000 and 9000 </w:t>
      </w:r>
      <w:r w:rsidR="002A5DCC">
        <w:t>RPM</w:t>
      </w:r>
      <w:r w:rsidRPr="00764C51">
        <w:t xml:space="preserve"> remain within the Goodman failure boundary, indicating that fatigue failure is not predicted at either condition. The 9000</w:t>
      </w:r>
      <w:r w:rsidR="002A5DCC">
        <w:t xml:space="preserve"> RPM</w:t>
      </w:r>
      <w:r w:rsidRPr="00764C51">
        <w:t xml:space="preserve"> stress range lies closer to the boundary, confirming that the increase in mean stress and alternating stress reduces the available fatigue margin. However, both operating ranges remain well inside the allowable region, which suggests that the </w:t>
      </w:r>
      <w:proofErr w:type="spellStart"/>
      <w:r w:rsidRPr="00764C51">
        <w:t>gudgeon</w:t>
      </w:r>
      <w:proofErr w:type="spellEnd"/>
      <w:r w:rsidRPr="00764C51">
        <w:t xml:space="preserve"> pin retains a comfortable fatigue margin across the analysed speed range.</w:t>
      </w:r>
    </w:p>
    <w:p w14:paraId="702E70FD" w14:textId="2D77E8A2" w:rsidR="003528BE" w:rsidRDefault="00B01F72">
      <w:r>
        <w:br w:type="page"/>
      </w:r>
    </w:p>
    <w:p w14:paraId="0927865F" w14:textId="77777777" w:rsidR="00657F04" w:rsidRDefault="00657F04" w:rsidP="00657F04">
      <w:pPr>
        <w:pStyle w:val="Heading1"/>
      </w:pPr>
      <w:bookmarkStart w:id="11" w:name="_Toc225108564"/>
      <w:r w:rsidRPr="00657F04">
        <w:t>Connecting Rod Bolt Fatigue Analysis and Redesign</w:t>
      </w:r>
      <w:bookmarkEnd w:id="11"/>
    </w:p>
    <w:p w14:paraId="28B5564A" w14:textId="25BC9B19" w:rsidR="001861BA" w:rsidRDefault="001861BA" w:rsidP="001861BA">
      <w:pPr>
        <w:spacing w:line="360" w:lineRule="auto"/>
      </w:pPr>
      <w:r w:rsidRPr="001861BA">
        <w:t>The connecting rod bolts were analysed under cyclic tensile loading caused by the inertia of the reciprocating assembly. At high engine speed, these inertia forces act to separate the rod and cap, while bolt preload maintains joint compression and reduces the alternating stress carried by the bolt. The bolt stress was evaluated using a joint stiffness approach, where the external separating load is shared between the bolt and clamped components according to their relative stiffness, and fatigue safety factor was then assessed using a Goodman relation</w:t>
      </w:r>
      <w:r>
        <w:t xml:space="preserve">. </w:t>
      </w:r>
    </w:p>
    <w:p w14:paraId="747A6213" w14:textId="6F8815B6" w:rsidR="00186733" w:rsidRDefault="00D25BE3" w:rsidP="00186733">
      <w:pPr>
        <w:keepNext/>
        <w:jc w:val="center"/>
      </w:pPr>
      <w:r>
        <w:rPr>
          <w:noProof/>
        </w:rPr>
        <w:drawing>
          <wp:inline distT="0" distB="0" distL="0" distR="0" wp14:anchorId="52B5DA6E" wp14:editId="183BCFA5">
            <wp:extent cx="5731510" cy="3702685"/>
            <wp:effectExtent l="0" t="0" r="2540" b="0"/>
            <wp:docPr id="1330333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333307" name=""/>
                    <pic:cNvPicPr/>
                  </pic:nvPicPr>
                  <pic:blipFill>
                    <a:blip r:embed="rId18"/>
                    <a:stretch>
                      <a:fillRect/>
                    </a:stretch>
                  </pic:blipFill>
                  <pic:spPr>
                    <a:xfrm>
                      <a:off x="0" y="0"/>
                      <a:ext cx="5731510" cy="3702685"/>
                    </a:xfrm>
                    <a:prstGeom prst="rect">
                      <a:avLst/>
                    </a:prstGeom>
                  </pic:spPr>
                </pic:pic>
              </a:graphicData>
            </a:graphic>
          </wp:inline>
        </w:drawing>
      </w:r>
    </w:p>
    <w:p w14:paraId="0B502BB2" w14:textId="2134B418" w:rsidR="0076446E" w:rsidRPr="0076446E" w:rsidRDefault="00186733" w:rsidP="00941B5B">
      <w:pPr>
        <w:pStyle w:val="Caption"/>
        <w:jc w:val="center"/>
      </w:pPr>
      <w:bookmarkStart w:id="12" w:name="_Toc225108578"/>
      <w:r>
        <w:t xml:space="preserve">Figure </w:t>
      </w:r>
      <w:r w:rsidR="005706EB">
        <w:fldChar w:fldCharType="begin"/>
      </w:r>
      <w:r w:rsidR="005706EB">
        <w:instrText xml:space="preserve"> SEQ Figure \* ARABIC </w:instrText>
      </w:r>
      <w:r w:rsidR="005706EB">
        <w:fldChar w:fldCharType="separate"/>
      </w:r>
      <w:r w:rsidR="005706EB">
        <w:rPr>
          <w:noProof/>
        </w:rPr>
        <w:t>8</w:t>
      </w:r>
      <w:r w:rsidR="005706EB">
        <w:rPr>
          <w:noProof/>
        </w:rPr>
        <w:fldChar w:fldCharType="end"/>
      </w:r>
      <w:r w:rsidR="009B2D82">
        <w:t xml:space="preserve"> </w:t>
      </w:r>
      <w:r w:rsidR="009B2D82" w:rsidRPr="009B2D82">
        <w:t>Original connecting rod bolt fatigue safety factor versus engine speed.</w:t>
      </w:r>
      <w:bookmarkEnd w:id="12"/>
    </w:p>
    <w:p w14:paraId="3AB9C0CA" w14:textId="0078971C" w:rsidR="00C24F53" w:rsidRDefault="00C24F53" w:rsidP="000A5177">
      <w:pPr>
        <w:spacing w:line="360" w:lineRule="auto"/>
      </w:pPr>
      <w:r w:rsidRPr="00C24F53">
        <w:t xml:space="preserve">The preload force was calculated from the tightening model and used to determine the bolt mean stress. Figure 8 shows that the original M8 connecting rod bolt provides only limited fatigue margin from around 6000 </w:t>
      </w:r>
      <w:r w:rsidR="002A5DCC">
        <w:t>RPM</w:t>
      </w:r>
      <w:r w:rsidRPr="00C24F53">
        <w:t xml:space="preserve"> and reduces to an FSF of approximately 1 at 8200 </w:t>
      </w:r>
      <w:r w:rsidR="002A5DCC">
        <w:t>RPM</w:t>
      </w:r>
      <w:r w:rsidRPr="00C24F53">
        <w:t>, indicating that the design is not suitable for sustained high-speed operation. The calculated FSF is likely to overpredict performance because it uses nominal stress, while threaded fasteners typically fail from localised thread-root stresses. The achieved preload is also sensitive to friction in the torque–preload relationship, which is known to exhibit substantial scatter, and this changes the mean stress carried by the bolt. Since preload also influences fatigue behaviour directly through mean stress, the true fatigue margin is likely to be lower than predicted</w:t>
      </w:r>
      <w:r>
        <w:t xml:space="preserve"> </w:t>
      </w:r>
      <w:r w:rsidR="000A5177" w:rsidRPr="000A5177">
        <w:t>(Curtis 2006)</w:t>
      </w:r>
      <w:r w:rsidR="000A5177">
        <w:t xml:space="preserve">. </w:t>
      </w:r>
    </w:p>
    <w:p w14:paraId="433934A6" w14:textId="77777777" w:rsidR="00A76A98" w:rsidRPr="0024075C" w:rsidRDefault="00A76A98" w:rsidP="0024075C"/>
    <w:p w14:paraId="7C044586" w14:textId="77777777" w:rsidR="001C3620" w:rsidRDefault="00BE2E1F" w:rsidP="001C3620">
      <w:pPr>
        <w:keepNext/>
        <w:jc w:val="center"/>
      </w:pPr>
      <w:r>
        <w:rPr>
          <w:noProof/>
        </w:rPr>
        <w:drawing>
          <wp:inline distT="0" distB="0" distL="0" distR="0" wp14:anchorId="30148B22" wp14:editId="70A93CB4">
            <wp:extent cx="4316819" cy="2779197"/>
            <wp:effectExtent l="0" t="0" r="7620" b="2540"/>
            <wp:docPr id="20623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3768" name=""/>
                    <pic:cNvPicPr/>
                  </pic:nvPicPr>
                  <pic:blipFill>
                    <a:blip r:embed="rId19"/>
                    <a:stretch>
                      <a:fillRect/>
                    </a:stretch>
                  </pic:blipFill>
                  <pic:spPr>
                    <a:xfrm>
                      <a:off x="0" y="0"/>
                      <a:ext cx="4322441" cy="2782817"/>
                    </a:xfrm>
                    <a:prstGeom prst="rect">
                      <a:avLst/>
                    </a:prstGeom>
                  </pic:spPr>
                </pic:pic>
              </a:graphicData>
            </a:graphic>
          </wp:inline>
        </w:drawing>
      </w:r>
    </w:p>
    <w:p w14:paraId="58D75AAD" w14:textId="2D49C080" w:rsidR="00CB4233" w:rsidRDefault="001C3620" w:rsidP="00776B7E">
      <w:pPr>
        <w:pStyle w:val="Caption"/>
        <w:jc w:val="center"/>
      </w:pPr>
      <w:bookmarkStart w:id="13" w:name="_Toc225108579"/>
      <w:r>
        <w:t xml:space="preserve">Figure </w:t>
      </w:r>
      <w:r w:rsidR="005706EB">
        <w:fldChar w:fldCharType="begin"/>
      </w:r>
      <w:r w:rsidR="005706EB">
        <w:instrText xml:space="preserve"> SEQ Figure \* ARABIC </w:instrText>
      </w:r>
      <w:r w:rsidR="005706EB">
        <w:fldChar w:fldCharType="separate"/>
      </w:r>
      <w:r w:rsidR="005706EB">
        <w:rPr>
          <w:noProof/>
        </w:rPr>
        <w:t>9</w:t>
      </w:r>
      <w:r w:rsidR="005706EB">
        <w:rPr>
          <w:noProof/>
        </w:rPr>
        <w:fldChar w:fldCharType="end"/>
      </w:r>
      <w:r w:rsidR="00F22354">
        <w:t xml:space="preserve"> </w:t>
      </w:r>
      <w:r w:rsidR="001A049F" w:rsidRPr="001A049F">
        <w:t xml:space="preserve">Goodman diagram for the original connecting rod bolt at 6000 and 9000 </w:t>
      </w:r>
      <w:r w:rsidR="002A5DCC">
        <w:t>RPM</w:t>
      </w:r>
      <w:r w:rsidR="001A049F" w:rsidRPr="001A049F">
        <w:t>.</w:t>
      </w:r>
      <w:bookmarkEnd w:id="13"/>
    </w:p>
    <w:p w14:paraId="588150FA" w14:textId="73924365" w:rsidR="00F22354" w:rsidRPr="00F22354" w:rsidRDefault="00F22354" w:rsidP="00F22354">
      <w:pPr>
        <w:spacing w:line="360" w:lineRule="auto"/>
      </w:pPr>
      <w:r w:rsidRPr="00F22354">
        <w:t>Figure 9 shows that the 9000</w:t>
      </w:r>
      <w:r w:rsidR="002A5DCC">
        <w:t xml:space="preserve"> </w:t>
      </w:r>
      <w:r>
        <w:t xml:space="preserve">RPM </w:t>
      </w:r>
      <w:r w:rsidRPr="00F22354">
        <w:t>operating stress state exceeds the Goodman limit, while the 6000</w:t>
      </w:r>
      <w:r w:rsidR="002A5DCC">
        <w:t xml:space="preserve"> </w:t>
      </w:r>
      <w:r>
        <w:t xml:space="preserve">RPM </w:t>
      </w:r>
      <w:r w:rsidRPr="00F22354">
        <w:t xml:space="preserve">condition remains within it. This indicates that the original M8 bolt loses sufficient fatigue margin as engine speed increases and is therefore unsuitable for sustained operation at 9000 </w:t>
      </w:r>
      <w:r w:rsidR="002A5DCC">
        <w:t>RPM</w:t>
      </w:r>
      <w:r w:rsidRPr="00F22354">
        <w:t>. A practical way to improve this is to reduce bolt stiffness using a wasted shank</w:t>
      </w:r>
      <w:r>
        <w:t>.</w:t>
      </w:r>
    </w:p>
    <w:p w14:paraId="359DBDDE" w14:textId="1E40FACC" w:rsidR="003011D5" w:rsidRDefault="003011D5" w:rsidP="003011D5">
      <w:pPr>
        <w:pStyle w:val="Heading2"/>
      </w:pPr>
      <w:bookmarkStart w:id="14" w:name="_Toc225108565"/>
      <w:r>
        <w:t>Wasted Shank Redesign</w:t>
      </w:r>
      <w:bookmarkEnd w:id="14"/>
      <w:r>
        <w:t xml:space="preserve"> </w:t>
      </w:r>
    </w:p>
    <w:p w14:paraId="1D3C1A78" w14:textId="77777777" w:rsidR="00CB2D01" w:rsidRPr="00CB2D01" w:rsidRDefault="00CB2D01" w:rsidP="00CB2D01"/>
    <w:p w14:paraId="6779E78F" w14:textId="77777777" w:rsidR="00CD5932" w:rsidRDefault="001566E8" w:rsidP="00CD5932">
      <w:pPr>
        <w:keepNext/>
        <w:jc w:val="center"/>
      </w:pPr>
      <w:r>
        <w:rPr>
          <w:noProof/>
        </w:rPr>
        <w:drawing>
          <wp:inline distT="0" distB="0" distL="0" distR="0" wp14:anchorId="7DBDE19F" wp14:editId="440A6317">
            <wp:extent cx="5731510" cy="3754120"/>
            <wp:effectExtent l="0" t="0" r="2540" b="0"/>
            <wp:docPr id="1091680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680348" name=""/>
                    <pic:cNvPicPr/>
                  </pic:nvPicPr>
                  <pic:blipFill>
                    <a:blip r:embed="rId20"/>
                    <a:stretch>
                      <a:fillRect/>
                    </a:stretch>
                  </pic:blipFill>
                  <pic:spPr>
                    <a:xfrm>
                      <a:off x="0" y="0"/>
                      <a:ext cx="5731510" cy="3754120"/>
                    </a:xfrm>
                    <a:prstGeom prst="rect">
                      <a:avLst/>
                    </a:prstGeom>
                  </pic:spPr>
                </pic:pic>
              </a:graphicData>
            </a:graphic>
          </wp:inline>
        </w:drawing>
      </w:r>
    </w:p>
    <w:p w14:paraId="0E8F4F37" w14:textId="46F4C68B" w:rsidR="00BE2E1F" w:rsidRDefault="00CD5932" w:rsidP="00CB2D01">
      <w:pPr>
        <w:pStyle w:val="Caption"/>
        <w:jc w:val="center"/>
      </w:pPr>
      <w:bookmarkStart w:id="15" w:name="_Toc225108580"/>
      <w:r>
        <w:t xml:space="preserve">Figure </w:t>
      </w:r>
      <w:r w:rsidR="005706EB">
        <w:fldChar w:fldCharType="begin"/>
      </w:r>
      <w:r w:rsidR="005706EB">
        <w:instrText xml:space="preserve"> SEQ Figure \* ARABIC </w:instrText>
      </w:r>
      <w:r w:rsidR="005706EB">
        <w:fldChar w:fldCharType="separate"/>
      </w:r>
      <w:r w:rsidR="005706EB">
        <w:rPr>
          <w:noProof/>
        </w:rPr>
        <w:t>10</w:t>
      </w:r>
      <w:r w:rsidR="005706EB">
        <w:rPr>
          <w:noProof/>
        </w:rPr>
        <w:fldChar w:fldCharType="end"/>
      </w:r>
      <w:r>
        <w:t>- Conrod Bolt Redesign by Wasted Shank Area</w:t>
      </w:r>
      <w:bookmarkEnd w:id="15"/>
    </w:p>
    <w:p w14:paraId="19940750" w14:textId="4D3060A4" w:rsidR="00303B22" w:rsidRDefault="00323643" w:rsidP="00303B22">
      <w:pPr>
        <w:spacing w:after="0" w:line="360" w:lineRule="auto"/>
      </w:pPr>
      <w:r w:rsidRPr="00323643">
        <w:t xml:space="preserve">Figure 10 indicates that reducing wasted shank area improves the predicted FSF at 9000 </w:t>
      </w:r>
      <w:r w:rsidR="002A5DCC">
        <w:t>RPM</w:t>
      </w:r>
      <w:r w:rsidRPr="00323643">
        <w:t xml:space="preserve"> by lowering bolt stiffness and therefore reducing the cyclic load carried by the bolt. However, the model suggests an optimum area of about 19 mm² (approximately 5 mm diameter), which is not a realistic final design for a connecting rod bolt. The graph is therefore better interpreted as a trend study showing that reduced shank stiffness is beneficial, rather than a direct design prescription. Final geometry should instead be selected using </w:t>
      </w:r>
      <w:sdt>
        <w:sdtPr>
          <w:id w:val="-67196039"/>
          <w:citation/>
        </w:sdtPr>
        <w:sdtContent>
          <w:r w:rsidR="007D29F4" w:rsidRPr="007D29F4">
            <w:fldChar w:fldCharType="begin"/>
          </w:r>
          <w:r w:rsidR="007D29F4" w:rsidRPr="007D29F4">
            <w:instrText xml:space="preserve"> CITATION ESC19 \l 2057 </w:instrText>
          </w:r>
          <w:r w:rsidR="007D29F4" w:rsidRPr="007D29F4">
            <w:fldChar w:fldCharType="separate"/>
          </w:r>
          <w:r w:rsidR="007D29F4" w:rsidRPr="007D29F4">
            <w:rPr>
              <w:noProof/>
            </w:rPr>
            <w:t>(ESCUDIER, 2019)</w:t>
          </w:r>
          <w:r w:rsidR="007D29F4" w:rsidRPr="007D29F4">
            <w:fldChar w:fldCharType="end"/>
          </w:r>
        </w:sdtContent>
      </w:sdt>
      <w:r w:rsidRPr="00323643">
        <w:t>fastener fatigue guidance together with checks for local stress concentration, preload retention and practical manufacturability.</w:t>
      </w:r>
    </w:p>
    <w:p w14:paraId="4D41A4F3" w14:textId="593951E3" w:rsidR="001566E8" w:rsidRDefault="00A56771" w:rsidP="00303B22">
      <w:pPr>
        <w:spacing w:after="0" w:line="360" w:lineRule="auto"/>
      </w:pPr>
      <w:r>
        <w:br/>
      </w:r>
      <w:r w:rsidRPr="00A56771">
        <w:t>This trend is consistent with published conrod bolt research, which found that increasing the compliant length of the bolt and reducing the thin rod diameter lowers stress concentration at the first engaged thread and improves fatigue safety factor in the most failure-prone region.</w:t>
      </w:r>
      <w:sdt>
        <w:sdtPr>
          <w:rPr>
            <w:rFonts w:ascii="Calibri" w:hAnsi="Calibri" w:cs="Calibri"/>
            <w:color w:val="000000"/>
            <w:highlight w:val="white"/>
          </w:rPr>
          <w:alias w:val="Citation"/>
          <w:tag w:val="{&quot;referencesIds&quot;:[&quot;doc:69c03838ee6e171ac1b7efc6&quot;],&quot;referencesOptions&quot;:{&quot;doc:69c03838ee6e171ac1b7ef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37940528"/>
          <w:placeholder>
            <w:docPart w:val="9E5C6CECD4E24B7DBB6C13C7EAB4A1E3"/>
          </w:placeholder>
        </w:sdtPr>
        <w:sdtEndPr/>
        <w:sdtContent>
          <w:r w:rsidR="00DE36DE">
            <w:rPr>
              <w:rFonts w:ascii="Calibri" w:eastAsia="Times New Roman" w:hAnsi="Calibri" w:cs="Calibri"/>
              <w:color w:val="000000"/>
            </w:rPr>
            <w:t>(Jia, Cai et al. 2023)</w:t>
          </w:r>
        </w:sdtContent>
      </w:sdt>
      <w:r w:rsidR="00303B22">
        <w:rPr>
          <w:rFonts w:ascii="Calibri" w:hAnsi="Calibri" w:cs="Calibri"/>
          <w:color w:val="000000"/>
        </w:rPr>
        <w:t>,</w:t>
      </w:r>
      <w:sdt>
        <w:sdtPr>
          <w:id w:val="814141199"/>
          <w:citation/>
        </w:sdtPr>
        <w:sdtEndPr/>
        <w:sdtContent>
          <w:r w:rsidR="0054573E">
            <w:fldChar w:fldCharType="begin"/>
          </w:r>
          <w:r w:rsidR="0097172D">
            <w:instrText xml:space="preserve">CITATION Dew25 \l 2057 </w:instrText>
          </w:r>
          <w:r w:rsidR="0054573E">
            <w:fldChar w:fldCharType="separate"/>
          </w:r>
          <w:r w:rsidR="0097172D">
            <w:rPr>
              <w:noProof/>
            </w:rPr>
            <w:t xml:space="preserve"> </w:t>
          </w:r>
          <w:r w:rsidR="0097172D" w:rsidRPr="0097172D">
            <w:rPr>
              <w:noProof/>
            </w:rPr>
            <w:t>(Dewen Jia, 2025)</w:t>
          </w:r>
          <w:r w:rsidR="0054573E">
            <w:fldChar w:fldCharType="end"/>
          </w:r>
        </w:sdtContent>
      </w:sdt>
      <w:r w:rsidR="00303B22">
        <w:t xml:space="preserve">. </w:t>
      </w:r>
    </w:p>
    <w:p w14:paraId="0CE77A65" w14:textId="77777777" w:rsidR="00D525E2" w:rsidRDefault="00D525E2" w:rsidP="00303B22">
      <w:pPr>
        <w:spacing w:after="0" w:line="360" w:lineRule="auto"/>
      </w:pPr>
    </w:p>
    <w:p w14:paraId="4A7C327D" w14:textId="449C581B" w:rsidR="00AA4C71" w:rsidRDefault="00AA4C71" w:rsidP="00AA4C71">
      <w:pPr>
        <w:pStyle w:val="Caption"/>
        <w:keepNext/>
      </w:pPr>
      <w:bookmarkStart w:id="16" w:name="_Toc225108581"/>
      <w:r>
        <w:t xml:space="preserve">Table </w:t>
      </w:r>
      <w:r>
        <w:fldChar w:fldCharType="begin"/>
      </w:r>
      <w:r>
        <w:instrText xml:space="preserve"> SEQ Table \* ARABIC </w:instrText>
      </w:r>
      <w:r>
        <w:fldChar w:fldCharType="separate"/>
      </w:r>
      <w:r>
        <w:rPr>
          <w:noProof/>
        </w:rPr>
        <w:t>2</w:t>
      </w:r>
      <w:r>
        <w:fldChar w:fldCharType="end"/>
      </w:r>
      <w:r>
        <w:t>- Threaded bolt specification</w:t>
      </w:r>
      <w:bookmarkEnd w:id="16"/>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0"/>
        <w:gridCol w:w="2220"/>
        <w:gridCol w:w="3824"/>
      </w:tblGrid>
      <w:tr w:rsidR="00CE7A46" w:rsidRPr="00554679" w14:paraId="2A94FB5F" w14:textId="63729884" w:rsidTr="00242089">
        <w:trPr>
          <w:trHeight w:val="288"/>
          <w:jc w:val="center"/>
        </w:trPr>
        <w:tc>
          <w:tcPr>
            <w:tcW w:w="2740" w:type="dxa"/>
            <w:vAlign w:val="center"/>
            <w:hideMark/>
          </w:tcPr>
          <w:p w14:paraId="0FF0BBF9" w14:textId="77777777" w:rsidR="00CE7A46" w:rsidRPr="00554679" w:rsidRDefault="00CE7A46" w:rsidP="00554679">
            <w:pPr>
              <w:spacing w:after="0" w:line="240" w:lineRule="auto"/>
              <w:jc w:val="center"/>
              <w:rPr>
                <w:rFonts w:ascii="Aptos Narrow" w:eastAsia="Times New Roman" w:hAnsi="Aptos Narrow" w:cs="Times New Roman"/>
                <w:b/>
                <w:bCs/>
                <w:color w:val="000000"/>
                <w:lang w:eastAsia="en-GB"/>
              </w:rPr>
            </w:pPr>
            <w:r w:rsidRPr="00554679">
              <w:rPr>
                <w:rFonts w:ascii="Aptos Narrow" w:eastAsia="Times New Roman" w:hAnsi="Aptos Narrow" w:cs="Times New Roman"/>
                <w:b/>
                <w:bCs/>
                <w:color w:val="000000"/>
                <w:lang w:eastAsia="en-GB"/>
              </w:rPr>
              <w:t>Feature</w:t>
            </w:r>
          </w:p>
        </w:tc>
        <w:tc>
          <w:tcPr>
            <w:tcW w:w="2220" w:type="dxa"/>
            <w:vAlign w:val="center"/>
            <w:hideMark/>
          </w:tcPr>
          <w:p w14:paraId="2167EA51" w14:textId="77777777" w:rsidR="00CE7A46" w:rsidRPr="00554679" w:rsidRDefault="00CE7A46" w:rsidP="00554679">
            <w:pPr>
              <w:spacing w:after="0" w:line="240" w:lineRule="auto"/>
              <w:jc w:val="center"/>
              <w:rPr>
                <w:rFonts w:ascii="Aptos Narrow" w:eastAsia="Times New Roman" w:hAnsi="Aptos Narrow" w:cs="Times New Roman"/>
                <w:b/>
                <w:bCs/>
                <w:color w:val="000000"/>
                <w:lang w:eastAsia="en-GB"/>
              </w:rPr>
            </w:pPr>
            <w:r w:rsidRPr="00554679">
              <w:rPr>
                <w:rFonts w:ascii="Aptos Narrow" w:eastAsia="Times New Roman" w:hAnsi="Aptos Narrow" w:cs="Times New Roman"/>
                <w:b/>
                <w:bCs/>
                <w:color w:val="000000"/>
                <w:lang w:eastAsia="en-GB"/>
              </w:rPr>
              <w:t>Value</w:t>
            </w:r>
          </w:p>
        </w:tc>
        <w:tc>
          <w:tcPr>
            <w:tcW w:w="3824" w:type="dxa"/>
          </w:tcPr>
          <w:p w14:paraId="3E51ECAD" w14:textId="52BDECB9" w:rsidR="00CE7A46" w:rsidRPr="00554679" w:rsidRDefault="00F80189" w:rsidP="00554679">
            <w:pPr>
              <w:spacing w:after="0" w:line="240" w:lineRule="auto"/>
              <w:jc w:val="center"/>
              <w:rPr>
                <w:rFonts w:ascii="Aptos Narrow" w:eastAsia="Times New Roman" w:hAnsi="Aptos Narrow" w:cs="Times New Roman"/>
                <w:b/>
                <w:bCs/>
                <w:color w:val="000000"/>
                <w:lang w:eastAsia="en-GB"/>
              </w:rPr>
            </w:pPr>
            <w:r>
              <w:rPr>
                <w:rFonts w:ascii="Aptos Narrow" w:eastAsia="Times New Roman" w:hAnsi="Aptos Narrow" w:cs="Times New Roman"/>
                <w:b/>
                <w:bCs/>
                <w:color w:val="000000"/>
                <w:lang w:eastAsia="en-GB"/>
              </w:rPr>
              <w:t xml:space="preserve">Notes </w:t>
            </w:r>
          </w:p>
        </w:tc>
      </w:tr>
      <w:tr w:rsidR="00F80189" w:rsidRPr="00554679" w14:paraId="2E912AFD" w14:textId="77777777" w:rsidTr="00242089">
        <w:trPr>
          <w:trHeight w:val="288"/>
          <w:jc w:val="center"/>
        </w:trPr>
        <w:tc>
          <w:tcPr>
            <w:tcW w:w="2740" w:type="dxa"/>
            <w:vAlign w:val="center"/>
          </w:tcPr>
          <w:p w14:paraId="68439532" w14:textId="72FBAA76" w:rsidR="00F80189" w:rsidRPr="00F80189" w:rsidRDefault="00F80189" w:rsidP="00F80189">
            <w:pPr>
              <w:spacing w:after="0" w:line="240" w:lineRule="auto"/>
              <w:rPr>
                <w:rFonts w:ascii="Aptos Narrow" w:eastAsia="Times New Roman" w:hAnsi="Aptos Narrow" w:cs="Times New Roman"/>
                <w:color w:val="000000"/>
                <w:lang w:eastAsia="en-GB"/>
              </w:rPr>
            </w:pPr>
            <w:r w:rsidRPr="00F80189">
              <w:rPr>
                <w:rFonts w:ascii="Aptos Narrow" w:eastAsia="Times New Roman" w:hAnsi="Aptos Narrow" w:cs="Times New Roman"/>
                <w:color w:val="000000"/>
                <w:lang w:eastAsia="en-GB"/>
              </w:rPr>
              <w:t xml:space="preserve">Thread Type </w:t>
            </w:r>
          </w:p>
        </w:tc>
        <w:tc>
          <w:tcPr>
            <w:tcW w:w="2220" w:type="dxa"/>
            <w:vAlign w:val="center"/>
          </w:tcPr>
          <w:p w14:paraId="03BF94E1" w14:textId="74030CDF" w:rsidR="00F80189" w:rsidRPr="00F80189" w:rsidRDefault="00F80189" w:rsidP="00F80189">
            <w:pPr>
              <w:spacing w:after="0" w:line="240" w:lineRule="auto"/>
              <w:jc w:val="center"/>
              <w:rPr>
                <w:rFonts w:ascii="Aptos Narrow" w:eastAsia="Times New Roman" w:hAnsi="Aptos Narrow" w:cs="Times New Roman"/>
                <w:color w:val="000000"/>
                <w:lang w:eastAsia="en-GB"/>
              </w:rPr>
            </w:pPr>
            <w:r w:rsidRPr="00F80189">
              <w:rPr>
                <w:rFonts w:ascii="Aptos Narrow" w:eastAsia="Times New Roman" w:hAnsi="Aptos Narrow" w:cs="Times New Roman"/>
                <w:color w:val="000000"/>
                <w:lang w:eastAsia="en-GB"/>
              </w:rPr>
              <w:t>M8x1.0</w:t>
            </w:r>
          </w:p>
        </w:tc>
        <w:tc>
          <w:tcPr>
            <w:tcW w:w="3824" w:type="dxa"/>
          </w:tcPr>
          <w:p w14:paraId="67BF3CEC" w14:textId="40A8C2B7" w:rsidR="00F80189" w:rsidRPr="00242089" w:rsidRDefault="00242089" w:rsidP="00CF7F4C">
            <w:pPr>
              <w:spacing w:after="0" w:line="240" w:lineRule="auto"/>
              <w:rPr>
                <w:rFonts w:ascii="Aptos Narrow" w:eastAsia="Times New Roman" w:hAnsi="Aptos Narrow" w:cs="Times New Roman"/>
                <w:color w:val="000000"/>
                <w:lang w:eastAsia="en-GB"/>
              </w:rPr>
            </w:pPr>
            <w:r w:rsidRPr="00242089">
              <w:rPr>
                <w:rFonts w:ascii="Aptos Narrow" w:eastAsia="Times New Roman" w:hAnsi="Aptos Narrow" w:cs="Times New Roman"/>
                <w:color w:val="000000"/>
                <w:lang w:eastAsia="en-GB"/>
              </w:rPr>
              <w:t xml:space="preserve">Coarse thread reduces stress concentration factor </w:t>
            </w:r>
          </w:p>
        </w:tc>
      </w:tr>
      <w:tr w:rsidR="00CE7A46" w:rsidRPr="00554679" w14:paraId="7C0F0D62" w14:textId="455D07AA" w:rsidTr="00242089">
        <w:trPr>
          <w:trHeight w:val="288"/>
          <w:jc w:val="center"/>
        </w:trPr>
        <w:tc>
          <w:tcPr>
            <w:tcW w:w="2740" w:type="dxa"/>
            <w:vAlign w:val="center"/>
            <w:hideMark/>
          </w:tcPr>
          <w:p w14:paraId="307C2C1A" w14:textId="77777777" w:rsidR="00CE7A46" w:rsidRPr="00554679" w:rsidRDefault="00CE7A46" w:rsidP="00554679">
            <w:pPr>
              <w:spacing w:after="0" w:line="240" w:lineRule="auto"/>
              <w:rPr>
                <w:rFonts w:ascii="Aptos Narrow" w:eastAsia="Times New Roman" w:hAnsi="Aptos Narrow" w:cs="Times New Roman"/>
                <w:color w:val="000000"/>
                <w:lang w:eastAsia="en-GB"/>
              </w:rPr>
            </w:pPr>
            <w:r w:rsidRPr="00554679">
              <w:rPr>
                <w:rFonts w:ascii="Aptos Narrow" w:eastAsia="Times New Roman" w:hAnsi="Aptos Narrow" w:cs="Times New Roman"/>
                <w:color w:val="000000"/>
                <w:lang w:eastAsia="en-GB"/>
              </w:rPr>
              <w:t>Under-head full-width area</w:t>
            </w:r>
          </w:p>
        </w:tc>
        <w:tc>
          <w:tcPr>
            <w:tcW w:w="2220" w:type="dxa"/>
            <w:vAlign w:val="center"/>
            <w:hideMark/>
          </w:tcPr>
          <w:p w14:paraId="26B4AAF4" w14:textId="77777777" w:rsidR="00CE7A46" w:rsidRPr="00554679" w:rsidRDefault="00CE7A46" w:rsidP="00F80189">
            <w:pPr>
              <w:spacing w:after="0" w:line="240" w:lineRule="auto"/>
              <w:jc w:val="center"/>
              <w:rPr>
                <w:rFonts w:ascii="Aptos Narrow" w:eastAsia="Times New Roman" w:hAnsi="Aptos Narrow" w:cs="Times New Roman"/>
                <w:color w:val="000000"/>
                <w:lang w:eastAsia="en-GB"/>
              </w:rPr>
            </w:pPr>
            <w:r w:rsidRPr="00554679">
              <w:rPr>
                <w:rFonts w:ascii="Aptos Narrow" w:eastAsia="Times New Roman" w:hAnsi="Aptos Narrow" w:cs="Times New Roman"/>
                <w:color w:val="000000"/>
                <w:lang w:eastAsia="en-GB"/>
              </w:rPr>
              <w:t>42.43 mm²</w:t>
            </w:r>
          </w:p>
        </w:tc>
        <w:tc>
          <w:tcPr>
            <w:tcW w:w="3824" w:type="dxa"/>
          </w:tcPr>
          <w:p w14:paraId="1CFBCB6B" w14:textId="44274A81" w:rsidR="00CE7A46" w:rsidRPr="00554679" w:rsidRDefault="00242089" w:rsidP="00242089">
            <w:pPr>
              <w:spacing w:after="0" w:line="240" w:lineRule="auto"/>
              <w:rPr>
                <w:rFonts w:ascii="Aptos Narrow" w:eastAsia="Times New Roman" w:hAnsi="Aptos Narrow" w:cs="Times New Roman"/>
                <w:color w:val="000000"/>
                <w:lang w:eastAsia="en-GB"/>
              </w:rPr>
            </w:pPr>
            <w:r w:rsidRPr="00242089">
              <w:rPr>
                <w:rFonts w:ascii="Aptos Narrow" w:eastAsia="Times New Roman" w:hAnsi="Aptos Narrow" w:cs="Times New Roman"/>
                <w:color w:val="000000"/>
                <w:lang w:eastAsia="en-GB"/>
              </w:rPr>
              <w:t>Kept unchanged to preserve head seating stiffness and local strength under preload.</w:t>
            </w:r>
          </w:p>
        </w:tc>
      </w:tr>
      <w:tr w:rsidR="00CE7A46" w:rsidRPr="00554679" w14:paraId="31E70DBA" w14:textId="04CAE8B0" w:rsidTr="00242089">
        <w:trPr>
          <w:trHeight w:val="288"/>
          <w:jc w:val="center"/>
        </w:trPr>
        <w:tc>
          <w:tcPr>
            <w:tcW w:w="2740" w:type="dxa"/>
            <w:vAlign w:val="center"/>
            <w:hideMark/>
          </w:tcPr>
          <w:p w14:paraId="68815206" w14:textId="77777777" w:rsidR="00CE7A46" w:rsidRPr="00554679" w:rsidRDefault="00CE7A46" w:rsidP="00554679">
            <w:pPr>
              <w:spacing w:after="0" w:line="240" w:lineRule="auto"/>
              <w:rPr>
                <w:rFonts w:ascii="Aptos Narrow" w:eastAsia="Times New Roman" w:hAnsi="Aptos Narrow" w:cs="Times New Roman"/>
                <w:color w:val="000000"/>
                <w:lang w:eastAsia="en-GB"/>
              </w:rPr>
            </w:pPr>
            <w:r w:rsidRPr="00554679">
              <w:rPr>
                <w:rFonts w:ascii="Aptos Narrow" w:eastAsia="Times New Roman" w:hAnsi="Aptos Narrow" w:cs="Times New Roman"/>
                <w:color w:val="000000"/>
                <w:lang w:eastAsia="en-GB"/>
              </w:rPr>
              <w:t>Wasted shank area</w:t>
            </w:r>
          </w:p>
        </w:tc>
        <w:tc>
          <w:tcPr>
            <w:tcW w:w="2220" w:type="dxa"/>
            <w:vAlign w:val="center"/>
            <w:hideMark/>
          </w:tcPr>
          <w:p w14:paraId="44349FE6" w14:textId="77777777" w:rsidR="00CE7A46" w:rsidRPr="00554679" w:rsidRDefault="00CE7A46" w:rsidP="00F80189">
            <w:pPr>
              <w:spacing w:after="0" w:line="240" w:lineRule="auto"/>
              <w:jc w:val="center"/>
              <w:rPr>
                <w:rFonts w:ascii="Aptos Narrow" w:eastAsia="Times New Roman" w:hAnsi="Aptos Narrow" w:cs="Times New Roman"/>
                <w:color w:val="000000"/>
                <w:lang w:eastAsia="en-GB"/>
              </w:rPr>
            </w:pPr>
            <w:r w:rsidRPr="00554679">
              <w:rPr>
                <w:rFonts w:ascii="Aptos Narrow" w:eastAsia="Times New Roman" w:hAnsi="Aptos Narrow" w:cs="Times New Roman"/>
                <w:color w:val="000000"/>
                <w:lang w:eastAsia="en-GB"/>
              </w:rPr>
              <w:t>28.27 mm²</w:t>
            </w:r>
          </w:p>
        </w:tc>
        <w:tc>
          <w:tcPr>
            <w:tcW w:w="3824" w:type="dxa"/>
          </w:tcPr>
          <w:p w14:paraId="774D5125" w14:textId="51BC0BC5" w:rsidR="00CE7A46" w:rsidRPr="00554679" w:rsidRDefault="00F17752" w:rsidP="00F17752">
            <w:pPr>
              <w:spacing w:after="0" w:line="240" w:lineRule="auto"/>
              <w:rPr>
                <w:rFonts w:ascii="Aptos Narrow" w:eastAsia="Times New Roman" w:hAnsi="Aptos Narrow" w:cs="Times New Roman"/>
                <w:color w:val="000000"/>
                <w:lang w:eastAsia="en-GB"/>
              </w:rPr>
            </w:pPr>
            <w:r w:rsidRPr="00F17752">
              <w:rPr>
                <w:rFonts w:ascii="Aptos Narrow" w:eastAsia="Times New Roman" w:hAnsi="Aptos Narrow" w:cs="Times New Roman"/>
                <w:color w:val="000000"/>
                <w:lang w:eastAsia="en-GB"/>
              </w:rPr>
              <w:t>Reduced to lower bolt stiffness and improve fatigue margin without becoming impractically small.</w:t>
            </w:r>
          </w:p>
        </w:tc>
      </w:tr>
      <w:tr w:rsidR="00CE7A46" w:rsidRPr="00554679" w14:paraId="3D56A787" w14:textId="26A4C8D7" w:rsidTr="00242089">
        <w:trPr>
          <w:trHeight w:val="288"/>
          <w:jc w:val="center"/>
        </w:trPr>
        <w:tc>
          <w:tcPr>
            <w:tcW w:w="2740" w:type="dxa"/>
            <w:vAlign w:val="center"/>
            <w:hideMark/>
          </w:tcPr>
          <w:p w14:paraId="080663E1" w14:textId="77777777" w:rsidR="00CE7A46" w:rsidRPr="00554679" w:rsidRDefault="00CE7A46" w:rsidP="00554679">
            <w:pPr>
              <w:spacing w:after="0" w:line="240" w:lineRule="auto"/>
              <w:rPr>
                <w:rFonts w:ascii="Aptos Narrow" w:eastAsia="Times New Roman" w:hAnsi="Aptos Narrow" w:cs="Times New Roman"/>
                <w:color w:val="000000"/>
                <w:lang w:eastAsia="en-GB"/>
              </w:rPr>
            </w:pPr>
            <w:r w:rsidRPr="00554679">
              <w:rPr>
                <w:rFonts w:ascii="Aptos Narrow" w:eastAsia="Times New Roman" w:hAnsi="Aptos Narrow" w:cs="Times New Roman"/>
                <w:color w:val="000000"/>
                <w:lang w:eastAsia="en-GB"/>
              </w:rPr>
              <w:t>Thread/root area</w:t>
            </w:r>
          </w:p>
        </w:tc>
        <w:tc>
          <w:tcPr>
            <w:tcW w:w="2220" w:type="dxa"/>
            <w:vAlign w:val="center"/>
            <w:hideMark/>
          </w:tcPr>
          <w:p w14:paraId="783250E7" w14:textId="77777777" w:rsidR="00CE7A46" w:rsidRPr="00554679" w:rsidRDefault="00CE7A46" w:rsidP="00F80189">
            <w:pPr>
              <w:spacing w:after="0" w:line="240" w:lineRule="auto"/>
              <w:jc w:val="center"/>
              <w:rPr>
                <w:rFonts w:ascii="Aptos Narrow" w:eastAsia="Times New Roman" w:hAnsi="Aptos Narrow" w:cs="Times New Roman"/>
                <w:color w:val="000000"/>
                <w:lang w:eastAsia="en-GB"/>
              </w:rPr>
            </w:pPr>
            <w:r w:rsidRPr="00554679">
              <w:rPr>
                <w:rFonts w:ascii="Aptos Narrow" w:eastAsia="Times New Roman" w:hAnsi="Aptos Narrow" w:cs="Times New Roman"/>
                <w:color w:val="000000"/>
                <w:lang w:eastAsia="en-GB"/>
              </w:rPr>
              <w:t>42.43 mm²</w:t>
            </w:r>
          </w:p>
        </w:tc>
        <w:tc>
          <w:tcPr>
            <w:tcW w:w="3824" w:type="dxa"/>
          </w:tcPr>
          <w:p w14:paraId="1AB99E73" w14:textId="2449265C" w:rsidR="00CE7A46" w:rsidRPr="00554679" w:rsidRDefault="00F17752" w:rsidP="00F17752">
            <w:pPr>
              <w:spacing w:after="0" w:line="240" w:lineRule="auto"/>
              <w:rPr>
                <w:rFonts w:ascii="Aptos Narrow" w:eastAsia="Times New Roman" w:hAnsi="Aptos Narrow" w:cs="Times New Roman"/>
                <w:color w:val="000000"/>
                <w:lang w:eastAsia="en-GB"/>
              </w:rPr>
            </w:pPr>
            <w:r w:rsidRPr="00F17752">
              <w:rPr>
                <w:rFonts w:ascii="Aptos Narrow" w:eastAsia="Times New Roman" w:hAnsi="Aptos Narrow" w:cs="Times New Roman"/>
                <w:color w:val="000000"/>
                <w:lang w:eastAsia="en-GB"/>
              </w:rPr>
              <w:t>Retained to preserve thread strength and compatibility with the original joint.</w:t>
            </w:r>
          </w:p>
        </w:tc>
      </w:tr>
      <w:tr w:rsidR="00CE7A46" w:rsidRPr="00554679" w14:paraId="047EB242" w14:textId="5521F2E9" w:rsidTr="00242089">
        <w:trPr>
          <w:trHeight w:val="576"/>
          <w:jc w:val="center"/>
        </w:trPr>
        <w:tc>
          <w:tcPr>
            <w:tcW w:w="2740" w:type="dxa"/>
            <w:vAlign w:val="center"/>
            <w:hideMark/>
          </w:tcPr>
          <w:p w14:paraId="4065B864" w14:textId="77777777" w:rsidR="00CE7A46" w:rsidRPr="00554679" w:rsidRDefault="00CE7A46" w:rsidP="00554679">
            <w:pPr>
              <w:spacing w:after="0" w:line="240" w:lineRule="auto"/>
              <w:rPr>
                <w:rFonts w:ascii="Aptos Narrow" w:eastAsia="Times New Roman" w:hAnsi="Aptos Narrow" w:cs="Times New Roman"/>
                <w:color w:val="000000"/>
                <w:lang w:eastAsia="en-GB"/>
              </w:rPr>
            </w:pPr>
            <w:r w:rsidRPr="00554679">
              <w:rPr>
                <w:rFonts w:ascii="Aptos Narrow" w:eastAsia="Times New Roman" w:hAnsi="Aptos Narrow" w:cs="Times New Roman"/>
                <w:color w:val="000000"/>
                <w:lang w:eastAsia="en-GB"/>
              </w:rPr>
              <w:t>Under-head full-width diameter</w:t>
            </w:r>
          </w:p>
        </w:tc>
        <w:tc>
          <w:tcPr>
            <w:tcW w:w="2220" w:type="dxa"/>
            <w:vAlign w:val="center"/>
            <w:hideMark/>
          </w:tcPr>
          <w:p w14:paraId="195F9FB5" w14:textId="77777777" w:rsidR="00CE7A46" w:rsidRPr="00554679" w:rsidRDefault="00CE7A46" w:rsidP="00F80189">
            <w:pPr>
              <w:spacing w:after="0" w:line="240" w:lineRule="auto"/>
              <w:jc w:val="center"/>
              <w:rPr>
                <w:rFonts w:ascii="Aptos Narrow" w:eastAsia="Times New Roman" w:hAnsi="Aptos Narrow" w:cs="Times New Roman"/>
                <w:color w:val="000000"/>
                <w:lang w:eastAsia="en-GB"/>
              </w:rPr>
            </w:pPr>
            <w:r w:rsidRPr="00554679">
              <w:rPr>
                <w:rFonts w:ascii="Aptos Narrow" w:eastAsia="Times New Roman" w:hAnsi="Aptos Narrow" w:cs="Times New Roman"/>
                <w:color w:val="000000"/>
                <w:lang w:eastAsia="en-GB"/>
              </w:rPr>
              <w:t>7.35 mm</w:t>
            </w:r>
          </w:p>
        </w:tc>
        <w:tc>
          <w:tcPr>
            <w:tcW w:w="3824" w:type="dxa"/>
          </w:tcPr>
          <w:p w14:paraId="1270BADA" w14:textId="7D9DED85" w:rsidR="00CE7A46" w:rsidRPr="00554679" w:rsidRDefault="00F17752" w:rsidP="00F17752">
            <w:pPr>
              <w:spacing w:after="0" w:line="240" w:lineRule="auto"/>
              <w:rPr>
                <w:rFonts w:ascii="Aptos Narrow" w:eastAsia="Times New Roman" w:hAnsi="Aptos Narrow" w:cs="Times New Roman"/>
                <w:color w:val="000000"/>
                <w:lang w:eastAsia="en-GB"/>
              </w:rPr>
            </w:pPr>
            <w:r w:rsidRPr="00F17752">
              <w:rPr>
                <w:rFonts w:ascii="Aptos Narrow" w:eastAsia="Times New Roman" w:hAnsi="Aptos Narrow" w:cs="Times New Roman"/>
                <w:color w:val="000000"/>
                <w:lang w:eastAsia="en-GB"/>
              </w:rPr>
              <w:t>Unchanged to maintain bearing area under the bolt head.</w:t>
            </w:r>
          </w:p>
        </w:tc>
      </w:tr>
      <w:tr w:rsidR="00CE7A46" w:rsidRPr="00554679" w14:paraId="3A226E96" w14:textId="7B15357A" w:rsidTr="00242089">
        <w:trPr>
          <w:trHeight w:val="288"/>
          <w:jc w:val="center"/>
        </w:trPr>
        <w:tc>
          <w:tcPr>
            <w:tcW w:w="2740" w:type="dxa"/>
            <w:vAlign w:val="center"/>
            <w:hideMark/>
          </w:tcPr>
          <w:p w14:paraId="0B8936BE" w14:textId="77777777" w:rsidR="00CE7A46" w:rsidRPr="00554679" w:rsidRDefault="00CE7A46" w:rsidP="00554679">
            <w:pPr>
              <w:spacing w:after="0" w:line="240" w:lineRule="auto"/>
              <w:rPr>
                <w:rFonts w:ascii="Aptos Narrow" w:eastAsia="Times New Roman" w:hAnsi="Aptos Narrow" w:cs="Times New Roman"/>
                <w:color w:val="000000"/>
                <w:lang w:eastAsia="en-GB"/>
              </w:rPr>
            </w:pPr>
            <w:r w:rsidRPr="00554679">
              <w:rPr>
                <w:rFonts w:ascii="Aptos Narrow" w:eastAsia="Times New Roman" w:hAnsi="Aptos Narrow" w:cs="Times New Roman"/>
                <w:color w:val="000000"/>
                <w:lang w:eastAsia="en-GB"/>
              </w:rPr>
              <w:t>Wasted shank diameter</w:t>
            </w:r>
          </w:p>
        </w:tc>
        <w:tc>
          <w:tcPr>
            <w:tcW w:w="2220" w:type="dxa"/>
            <w:vAlign w:val="center"/>
            <w:hideMark/>
          </w:tcPr>
          <w:p w14:paraId="2A05C34F" w14:textId="77777777" w:rsidR="00CE7A46" w:rsidRPr="00554679" w:rsidRDefault="00CE7A46" w:rsidP="00F80189">
            <w:pPr>
              <w:spacing w:after="0" w:line="240" w:lineRule="auto"/>
              <w:jc w:val="center"/>
              <w:rPr>
                <w:rFonts w:ascii="Aptos Narrow" w:eastAsia="Times New Roman" w:hAnsi="Aptos Narrow" w:cs="Times New Roman"/>
                <w:color w:val="000000"/>
                <w:lang w:eastAsia="en-GB"/>
              </w:rPr>
            </w:pPr>
            <w:r w:rsidRPr="00554679">
              <w:rPr>
                <w:rFonts w:ascii="Aptos Narrow" w:eastAsia="Times New Roman" w:hAnsi="Aptos Narrow" w:cs="Times New Roman"/>
                <w:color w:val="000000"/>
                <w:lang w:eastAsia="en-GB"/>
              </w:rPr>
              <w:t>6.00 mm</w:t>
            </w:r>
          </w:p>
        </w:tc>
        <w:tc>
          <w:tcPr>
            <w:tcW w:w="3824" w:type="dxa"/>
          </w:tcPr>
          <w:p w14:paraId="77B175D0" w14:textId="723257E2" w:rsidR="00CE7A46" w:rsidRPr="00554679" w:rsidRDefault="00F17752" w:rsidP="00F17752">
            <w:pPr>
              <w:spacing w:after="0" w:line="240" w:lineRule="auto"/>
              <w:rPr>
                <w:rFonts w:ascii="Aptos Narrow" w:eastAsia="Times New Roman" w:hAnsi="Aptos Narrow" w:cs="Times New Roman"/>
                <w:color w:val="000000"/>
                <w:lang w:eastAsia="en-GB"/>
              </w:rPr>
            </w:pPr>
            <w:r w:rsidRPr="00F17752">
              <w:rPr>
                <w:rFonts w:ascii="Aptos Narrow" w:eastAsia="Times New Roman" w:hAnsi="Aptos Narrow" w:cs="Times New Roman"/>
                <w:color w:val="000000"/>
                <w:lang w:eastAsia="en-GB"/>
              </w:rPr>
              <w:t>Selected as a practical compromise; smaller values improved FSF further but were not considered realistic.</w:t>
            </w:r>
          </w:p>
        </w:tc>
      </w:tr>
      <w:tr w:rsidR="00CE7A46" w:rsidRPr="00554679" w14:paraId="57375DC6" w14:textId="1E2415D6" w:rsidTr="00242089">
        <w:trPr>
          <w:trHeight w:val="288"/>
          <w:jc w:val="center"/>
        </w:trPr>
        <w:tc>
          <w:tcPr>
            <w:tcW w:w="2740" w:type="dxa"/>
            <w:vAlign w:val="center"/>
            <w:hideMark/>
          </w:tcPr>
          <w:p w14:paraId="55F955DF" w14:textId="77777777" w:rsidR="00CE7A46" w:rsidRPr="00554679" w:rsidRDefault="00CE7A46" w:rsidP="00554679">
            <w:pPr>
              <w:spacing w:after="0" w:line="240" w:lineRule="auto"/>
              <w:rPr>
                <w:rFonts w:ascii="Aptos Narrow" w:eastAsia="Times New Roman" w:hAnsi="Aptos Narrow" w:cs="Times New Roman"/>
                <w:color w:val="000000"/>
                <w:lang w:eastAsia="en-GB"/>
              </w:rPr>
            </w:pPr>
            <w:r w:rsidRPr="00554679">
              <w:rPr>
                <w:rFonts w:ascii="Aptos Narrow" w:eastAsia="Times New Roman" w:hAnsi="Aptos Narrow" w:cs="Times New Roman"/>
                <w:color w:val="000000"/>
                <w:lang w:eastAsia="en-GB"/>
              </w:rPr>
              <w:t>Under-head section length</w:t>
            </w:r>
          </w:p>
        </w:tc>
        <w:tc>
          <w:tcPr>
            <w:tcW w:w="2220" w:type="dxa"/>
            <w:vAlign w:val="center"/>
            <w:hideMark/>
          </w:tcPr>
          <w:p w14:paraId="59601CA2" w14:textId="77777777" w:rsidR="00CE7A46" w:rsidRPr="00554679" w:rsidRDefault="00CE7A46" w:rsidP="00F80189">
            <w:pPr>
              <w:spacing w:after="0" w:line="240" w:lineRule="auto"/>
              <w:jc w:val="center"/>
              <w:rPr>
                <w:rFonts w:ascii="Aptos Narrow" w:eastAsia="Times New Roman" w:hAnsi="Aptos Narrow" w:cs="Times New Roman"/>
                <w:color w:val="000000"/>
                <w:lang w:eastAsia="en-GB"/>
              </w:rPr>
            </w:pPr>
            <w:r w:rsidRPr="00554679">
              <w:rPr>
                <w:rFonts w:ascii="Aptos Narrow" w:eastAsia="Times New Roman" w:hAnsi="Aptos Narrow" w:cs="Times New Roman"/>
                <w:color w:val="000000"/>
                <w:lang w:eastAsia="en-GB"/>
              </w:rPr>
              <w:t>5.00 mm</w:t>
            </w:r>
          </w:p>
        </w:tc>
        <w:tc>
          <w:tcPr>
            <w:tcW w:w="3824" w:type="dxa"/>
          </w:tcPr>
          <w:p w14:paraId="696686CF" w14:textId="58DD75E2" w:rsidR="00CE7A46" w:rsidRPr="00554679" w:rsidRDefault="00ED3FCE" w:rsidP="00ED3FCE">
            <w:pPr>
              <w:spacing w:after="0" w:line="240" w:lineRule="auto"/>
              <w:rPr>
                <w:rFonts w:ascii="Aptos Narrow" w:eastAsia="Times New Roman" w:hAnsi="Aptos Narrow" w:cs="Times New Roman"/>
                <w:color w:val="000000"/>
                <w:lang w:eastAsia="en-GB"/>
              </w:rPr>
            </w:pPr>
            <w:r w:rsidRPr="00ED3FCE">
              <w:rPr>
                <w:rFonts w:ascii="Aptos Narrow" w:eastAsia="Times New Roman" w:hAnsi="Aptos Narrow" w:cs="Times New Roman"/>
                <w:color w:val="000000"/>
                <w:lang w:eastAsia="en-GB"/>
              </w:rPr>
              <w:t>Retained from the model to preserve the original load introduction region.</w:t>
            </w:r>
          </w:p>
        </w:tc>
      </w:tr>
      <w:tr w:rsidR="00CE7A46" w:rsidRPr="00554679" w14:paraId="3006714B" w14:textId="5FDD42E5" w:rsidTr="00242089">
        <w:trPr>
          <w:trHeight w:val="288"/>
          <w:jc w:val="center"/>
        </w:trPr>
        <w:tc>
          <w:tcPr>
            <w:tcW w:w="2740" w:type="dxa"/>
            <w:vAlign w:val="center"/>
            <w:hideMark/>
          </w:tcPr>
          <w:p w14:paraId="0215567E" w14:textId="77777777" w:rsidR="00CE7A46" w:rsidRPr="00554679" w:rsidRDefault="00CE7A46" w:rsidP="00554679">
            <w:pPr>
              <w:spacing w:after="0" w:line="240" w:lineRule="auto"/>
              <w:rPr>
                <w:rFonts w:ascii="Aptos Narrow" w:eastAsia="Times New Roman" w:hAnsi="Aptos Narrow" w:cs="Times New Roman"/>
                <w:color w:val="000000"/>
                <w:lang w:eastAsia="en-GB"/>
              </w:rPr>
            </w:pPr>
            <w:r w:rsidRPr="00554679">
              <w:rPr>
                <w:rFonts w:ascii="Aptos Narrow" w:eastAsia="Times New Roman" w:hAnsi="Aptos Narrow" w:cs="Times New Roman"/>
                <w:color w:val="000000"/>
                <w:lang w:eastAsia="en-GB"/>
              </w:rPr>
              <w:t>Wasted shank length</w:t>
            </w:r>
          </w:p>
        </w:tc>
        <w:tc>
          <w:tcPr>
            <w:tcW w:w="2220" w:type="dxa"/>
            <w:vAlign w:val="center"/>
            <w:hideMark/>
          </w:tcPr>
          <w:p w14:paraId="07A3BFEC" w14:textId="77777777" w:rsidR="00CE7A46" w:rsidRPr="00554679" w:rsidRDefault="00CE7A46" w:rsidP="00F80189">
            <w:pPr>
              <w:spacing w:after="0" w:line="240" w:lineRule="auto"/>
              <w:jc w:val="center"/>
              <w:rPr>
                <w:rFonts w:ascii="Aptos Narrow" w:eastAsia="Times New Roman" w:hAnsi="Aptos Narrow" w:cs="Times New Roman"/>
                <w:color w:val="000000"/>
                <w:lang w:eastAsia="en-GB"/>
              </w:rPr>
            </w:pPr>
            <w:r w:rsidRPr="00554679">
              <w:rPr>
                <w:rFonts w:ascii="Aptos Narrow" w:eastAsia="Times New Roman" w:hAnsi="Aptos Narrow" w:cs="Times New Roman"/>
                <w:color w:val="000000"/>
                <w:lang w:eastAsia="en-GB"/>
              </w:rPr>
              <w:t>15.00 mm</w:t>
            </w:r>
          </w:p>
        </w:tc>
        <w:tc>
          <w:tcPr>
            <w:tcW w:w="3824" w:type="dxa"/>
          </w:tcPr>
          <w:p w14:paraId="465C4001" w14:textId="682D4376" w:rsidR="00CE7A46" w:rsidRPr="00554679" w:rsidRDefault="00AA4FCC" w:rsidP="00ED3FCE">
            <w:pPr>
              <w:spacing w:after="0" w:line="240" w:lineRule="auto"/>
              <w:rPr>
                <w:rFonts w:ascii="Aptos Narrow" w:eastAsia="Times New Roman" w:hAnsi="Aptos Narrow" w:cs="Times New Roman"/>
                <w:color w:val="000000"/>
                <w:lang w:eastAsia="en-GB"/>
              </w:rPr>
            </w:pPr>
            <w:r w:rsidRPr="00AA4FCC">
              <w:rPr>
                <w:rFonts w:ascii="Aptos Narrow" w:eastAsia="Times New Roman" w:hAnsi="Aptos Narrow" w:cs="Times New Roman"/>
                <w:color w:val="000000"/>
                <w:lang w:eastAsia="en-GB"/>
              </w:rPr>
              <w:t>Provides the main compliant section needed to reduce bolt stiffness.</w:t>
            </w:r>
          </w:p>
        </w:tc>
      </w:tr>
      <w:tr w:rsidR="00CE7A46" w:rsidRPr="00554679" w14:paraId="51A203EE" w14:textId="3BD0FDC1" w:rsidTr="00242089">
        <w:trPr>
          <w:trHeight w:val="576"/>
          <w:jc w:val="center"/>
        </w:trPr>
        <w:tc>
          <w:tcPr>
            <w:tcW w:w="2740" w:type="dxa"/>
            <w:vAlign w:val="center"/>
            <w:hideMark/>
          </w:tcPr>
          <w:p w14:paraId="02350955" w14:textId="77777777" w:rsidR="00CE7A46" w:rsidRPr="00554679" w:rsidRDefault="00CE7A46" w:rsidP="00554679">
            <w:pPr>
              <w:spacing w:after="0" w:line="240" w:lineRule="auto"/>
              <w:rPr>
                <w:rFonts w:ascii="Aptos Narrow" w:eastAsia="Times New Roman" w:hAnsi="Aptos Narrow" w:cs="Times New Roman"/>
                <w:color w:val="000000"/>
                <w:lang w:eastAsia="en-GB"/>
              </w:rPr>
            </w:pPr>
            <w:r w:rsidRPr="00554679">
              <w:rPr>
                <w:rFonts w:ascii="Aptos Narrow" w:eastAsia="Times New Roman" w:hAnsi="Aptos Narrow" w:cs="Times New Roman"/>
                <w:color w:val="000000"/>
                <w:lang w:eastAsia="en-GB"/>
              </w:rPr>
              <w:t>Threaded end section length</w:t>
            </w:r>
          </w:p>
        </w:tc>
        <w:tc>
          <w:tcPr>
            <w:tcW w:w="2220" w:type="dxa"/>
            <w:vAlign w:val="center"/>
            <w:hideMark/>
          </w:tcPr>
          <w:p w14:paraId="47B3A3DC" w14:textId="77777777" w:rsidR="00CE7A46" w:rsidRPr="00554679" w:rsidRDefault="00CE7A46" w:rsidP="00F80189">
            <w:pPr>
              <w:spacing w:after="0" w:line="240" w:lineRule="auto"/>
              <w:jc w:val="center"/>
              <w:rPr>
                <w:rFonts w:ascii="Aptos Narrow" w:eastAsia="Times New Roman" w:hAnsi="Aptos Narrow" w:cs="Times New Roman"/>
                <w:color w:val="000000"/>
                <w:lang w:eastAsia="en-GB"/>
              </w:rPr>
            </w:pPr>
            <w:r w:rsidRPr="00554679">
              <w:rPr>
                <w:rFonts w:ascii="Aptos Narrow" w:eastAsia="Times New Roman" w:hAnsi="Aptos Narrow" w:cs="Times New Roman"/>
                <w:color w:val="000000"/>
                <w:lang w:eastAsia="en-GB"/>
              </w:rPr>
              <w:t>7.26 mm</w:t>
            </w:r>
          </w:p>
        </w:tc>
        <w:tc>
          <w:tcPr>
            <w:tcW w:w="3824" w:type="dxa"/>
          </w:tcPr>
          <w:p w14:paraId="5BA39F11" w14:textId="3AB0A388" w:rsidR="00CE7A46" w:rsidRPr="00554679" w:rsidRDefault="00AA4FCC" w:rsidP="00AA4FCC">
            <w:pPr>
              <w:spacing w:after="0" w:line="240" w:lineRule="auto"/>
              <w:rPr>
                <w:rFonts w:ascii="Aptos Narrow" w:eastAsia="Times New Roman" w:hAnsi="Aptos Narrow" w:cs="Times New Roman"/>
                <w:color w:val="000000"/>
                <w:lang w:eastAsia="en-GB"/>
              </w:rPr>
            </w:pPr>
            <w:r w:rsidRPr="00AA4FCC">
              <w:rPr>
                <w:rFonts w:ascii="Aptos Narrow" w:eastAsia="Times New Roman" w:hAnsi="Aptos Narrow" w:cs="Times New Roman"/>
                <w:color w:val="000000"/>
                <w:lang w:eastAsia="en-GB"/>
              </w:rPr>
              <w:t>Retained so the effective working length still matches the original bolt model.</w:t>
            </w:r>
          </w:p>
        </w:tc>
      </w:tr>
      <w:tr w:rsidR="00CE7A46" w:rsidRPr="00554679" w14:paraId="547C51D1" w14:textId="68F7DB61" w:rsidTr="00242089">
        <w:trPr>
          <w:trHeight w:val="288"/>
          <w:jc w:val="center"/>
        </w:trPr>
        <w:tc>
          <w:tcPr>
            <w:tcW w:w="2740" w:type="dxa"/>
            <w:vAlign w:val="center"/>
            <w:hideMark/>
          </w:tcPr>
          <w:p w14:paraId="4F7DA1D1" w14:textId="77777777" w:rsidR="00CE7A46" w:rsidRPr="00554679" w:rsidRDefault="00CE7A46" w:rsidP="00554679">
            <w:pPr>
              <w:spacing w:after="0" w:line="240" w:lineRule="auto"/>
              <w:rPr>
                <w:rFonts w:ascii="Aptos Narrow" w:eastAsia="Times New Roman" w:hAnsi="Aptos Narrow" w:cs="Times New Roman"/>
                <w:color w:val="000000"/>
                <w:lang w:eastAsia="en-GB"/>
              </w:rPr>
            </w:pPr>
            <w:r w:rsidRPr="00554679">
              <w:rPr>
                <w:rFonts w:ascii="Aptos Narrow" w:eastAsia="Times New Roman" w:hAnsi="Aptos Narrow" w:cs="Times New Roman"/>
                <w:color w:val="000000"/>
                <w:lang w:eastAsia="en-GB"/>
              </w:rPr>
              <w:t>Effective working length</w:t>
            </w:r>
          </w:p>
        </w:tc>
        <w:tc>
          <w:tcPr>
            <w:tcW w:w="2220" w:type="dxa"/>
            <w:vAlign w:val="center"/>
            <w:hideMark/>
          </w:tcPr>
          <w:p w14:paraId="21B5BF65" w14:textId="77777777" w:rsidR="00CE7A46" w:rsidRPr="00554679" w:rsidRDefault="00CE7A46" w:rsidP="00F80189">
            <w:pPr>
              <w:spacing w:after="0" w:line="240" w:lineRule="auto"/>
              <w:jc w:val="center"/>
              <w:rPr>
                <w:rFonts w:ascii="Aptos Narrow" w:eastAsia="Times New Roman" w:hAnsi="Aptos Narrow" w:cs="Times New Roman"/>
                <w:color w:val="000000"/>
                <w:lang w:eastAsia="en-GB"/>
              </w:rPr>
            </w:pPr>
            <w:r w:rsidRPr="00554679">
              <w:rPr>
                <w:rFonts w:ascii="Aptos Narrow" w:eastAsia="Times New Roman" w:hAnsi="Aptos Narrow" w:cs="Times New Roman"/>
                <w:color w:val="000000"/>
                <w:lang w:eastAsia="en-GB"/>
              </w:rPr>
              <w:t>27.26 mm</w:t>
            </w:r>
          </w:p>
        </w:tc>
        <w:tc>
          <w:tcPr>
            <w:tcW w:w="3824" w:type="dxa"/>
          </w:tcPr>
          <w:p w14:paraId="07A7F5AD" w14:textId="2999C1DB" w:rsidR="00CE7A46" w:rsidRPr="00554679" w:rsidRDefault="00AA4FCC" w:rsidP="00AA4FCC">
            <w:pPr>
              <w:tabs>
                <w:tab w:val="left" w:pos="977"/>
              </w:tabs>
              <w:spacing w:after="0" w:line="240" w:lineRule="auto"/>
              <w:rPr>
                <w:rFonts w:ascii="Aptos Narrow" w:eastAsia="Times New Roman" w:hAnsi="Aptos Narrow" w:cs="Times New Roman"/>
                <w:color w:val="000000"/>
                <w:lang w:eastAsia="en-GB"/>
              </w:rPr>
            </w:pPr>
            <w:r w:rsidRPr="00AA4FCC">
              <w:rPr>
                <w:rFonts w:ascii="Aptos Narrow" w:eastAsia="Times New Roman" w:hAnsi="Aptos Narrow" w:cs="Times New Roman"/>
                <w:color w:val="000000"/>
                <w:lang w:eastAsia="en-GB"/>
              </w:rPr>
              <w:t>Kept equal to the original specification for consistency with the stiffness calculation.</w:t>
            </w:r>
          </w:p>
        </w:tc>
      </w:tr>
    </w:tbl>
    <w:p w14:paraId="35F0BDBF" w14:textId="77777777" w:rsidR="00965F5A" w:rsidRDefault="00965F5A" w:rsidP="00554679">
      <w:pPr>
        <w:spacing w:after="0" w:line="360" w:lineRule="auto"/>
        <w:jc w:val="center"/>
      </w:pPr>
    </w:p>
    <w:p w14:paraId="3E8F03AC" w14:textId="77777777" w:rsidR="007062FA" w:rsidRDefault="007062FA" w:rsidP="00303B22">
      <w:pPr>
        <w:spacing w:after="0" w:line="360" w:lineRule="auto"/>
      </w:pPr>
    </w:p>
    <w:p w14:paraId="338AB41C" w14:textId="6AD5F9A1" w:rsidR="003560D7" w:rsidRDefault="007062FA" w:rsidP="003560D7">
      <w:pPr>
        <w:keepNext/>
        <w:jc w:val="center"/>
      </w:pPr>
      <w:r>
        <w:rPr>
          <w:noProof/>
        </w:rPr>
        <w:drawing>
          <wp:inline distT="0" distB="0" distL="0" distR="0" wp14:anchorId="2DD689C7" wp14:editId="5FCFF2E3">
            <wp:extent cx="5731510" cy="3702685"/>
            <wp:effectExtent l="0" t="0" r="2540" b="0"/>
            <wp:docPr id="1871463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463541" name=""/>
                    <pic:cNvPicPr/>
                  </pic:nvPicPr>
                  <pic:blipFill>
                    <a:blip r:embed="rId21"/>
                    <a:stretch>
                      <a:fillRect/>
                    </a:stretch>
                  </pic:blipFill>
                  <pic:spPr>
                    <a:xfrm>
                      <a:off x="0" y="0"/>
                      <a:ext cx="5731510" cy="3702685"/>
                    </a:xfrm>
                    <a:prstGeom prst="rect">
                      <a:avLst/>
                    </a:prstGeom>
                  </pic:spPr>
                </pic:pic>
              </a:graphicData>
            </a:graphic>
          </wp:inline>
        </w:drawing>
      </w:r>
    </w:p>
    <w:p w14:paraId="0E2A3934" w14:textId="09A6A037" w:rsidR="006C50FD" w:rsidRDefault="003560D7" w:rsidP="004700F9">
      <w:pPr>
        <w:pStyle w:val="Caption"/>
      </w:pPr>
      <w:bookmarkStart w:id="17" w:name="_Toc225108582"/>
      <w:r>
        <w:t xml:space="preserve">Figure </w:t>
      </w:r>
      <w:r w:rsidR="005706EB">
        <w:fldChar w:fldCharType="begin"/>
      </w:r>
      <w:r w:rsidR="005706EB">
        <w:instrText xml:space="preserve"> SEQ Figure \* ARABIC </w:instrText>
      </w:r>
      <w:r w:rsidR="005706EB">
        <w:fldChar w:fldCharType="separate"/>
      </w:r>
      <w:r w:rsidR="005706EB">
        <w:rPr>
          <w:noProof/>
        </w:rPr>
        <w:t>11</w:t>
      </w:r>
      <w:r w:rsidR="005706EB">
        <w:rPr>
          <w:noProof/>
        </w:rPr>
        <w:fldChar w:fldCharType="end"/>
      </w:r>
      <w:r>
        <w:t>- Connecting Rod Bolt FSF: Original v Redesign</w:t>
      </w:r>
      <w:bookmarkEnd w:id="17"/>
    </w:p>
    <w:p w14:paraId="3A47ABDC" w14:textId="5B6A6EB0" w:rsidR="00B47646" w:rsidRPr="00B47646" w:rsidRDefault="00B47646" w:rsidP="00B47646">
      <w:pPr>
        <w:spacing w:line="360" w:lineRule="auto"/>
      </w:pPr>
      <w:r w:rsidRPr="00B47646">
        <w:t xml:space="preserve">Figure 11 compares the original bolt with the redesigned wasted-shank bolt. The original design shows a steady reduction in FSF with increasing engine speed and falls below the critical value of 1 at high </w:t>
      </w:r>
      <w:r w:rsidR="002A5DCC">
        <w:t>RPM</w:t>
      </w:r>
      <w:r w:rsidRPr="00B47646">
        <w:t>, indicating insufficient fatigue margin for extended operation. The redesigned bolt maintains a consistently higher FSF across the full speed range because the reduced shank stiffness lowers the proportion of the separating load transferred into the bolt, reducing the alternating stress responsible for fatigue damage.</w:t>
      </w:r>
    </w:p>
    <w:p w14:paraId="6A98E4EC" w14:textId="53F86398" w:rsidR="00B47646" w:rsidRPr="00B47646" w:rsidRDefault="00B47646" w:rsidP="00B47646">
      <w:pPr>
        <w:spacing w:line="360" w:lineRule="auto"/>
      </w:pPr>
      <w:r w:rsidRPr="00B47646">
        <w:t xml:space="preserve">A practical redesign was selected using a 6.0 mm wasted shank diameter </w:t>
      </w:r>
      <m:oMath>
        <m:d>
          <m:dPr>
            <m:sepChr m:val="="/>
            <m:ctrlPr>
              <w:rPr>
                <w:rFonts w:ascii="Cambria Math" w:hAnsi="Cambria Math"/>
              </w:rPr>
            </m:ctrlPr>
          </m:dPr>
          <m:e>
            <m:sSub>
              <m:sSubPr>
                <m:ctrlPr>
                  <w:rPr>
                    <w:rFonts w:ascii="Cambria Math" w:hAnsi="Cambria Math"/>
                  </w:rPr>
                </m:ctrlPr>
              </m:sSubPr>
              <m:e>
                <m:r>
                  <w:rPr>
                    <w:rFonts w:ascii="Cambria Math" w:hAnsi="Cambria Math"/>
                  </w:rPr>
                  <m:t>A</m:t>
                </m:r>
              </m:e>
              <m:sub>
                <m:r>
                  <w:rPr>
                    <w:rFonts w:ascii="Cambria Math" w:hAnsi="Cambria Math"/>
                  </w:rPr>
                  <m:t>2</m:t>
                </m:r>
              </m:sub>
            </m:sSub>
          </m:e>
          <m:e>
            <m:r>
              <w:rPr>
                <w:rFonts w:ascii="Cambria Math" w:hAnsi="Cambria Math"/>
              </w:rPr>
              <m:t>28.27</m:t>
            </m:r>
            <m:sSup>
              <m:sSupPr>
                <m:ctrlPr>
                  <w:rPr>
                    <w:rFonts w:ascii="Cambria Math" w:hAnsi="Cambria Math"/>
                  </w:rPr>
                </m:ctrlPr>
              </m:sSupPr>
              <m:e>
                <m:r>
                  <m:rPr>
                    <m:nor/>
                  </m:rPr>
                  <m:t xml:space="preserve"> mm</m:t>
                </m:r>
              </m:e>
              <m:sup>
                <m:r>
                  <w:rPr>
                    <w:rFonts w:ascii="Cambria Math" w:hAnsi="Cambria Math"/>
                  </w:rPr>
                  <m:t>2</m:t>
                </m:r>
              </m:sup>
            </m:sSup>
          </m:e>
        </m:d>
      </m:oMath>
      <w:r w:rsidRPr="00B47646">
        <w:t>, rather than the lower-area optimum suggested by the sensitivity plot. This retains the original M8 thread and effective working length while introducing sufficient compliance to improve fatigue performance without adopting an unrealist</w:t>
      </w:r>
      <w:proofErr w:type="spellStart"/>
      <w:r w:rsidRPr="00B47646">
        <w:t>ically</w:t>
      </w:r>
      <w:proofErr w:type="spellEnd"/>
      <w:r w:rsidRPr="00B47646">
        <w:t xml:space="preserve"> small shank. The redesigned bolt remains above FSF = 1 to 9000 </w:t>
      </w:r>
      <w:r w:rsidR="002A5DCC">
        <w:t>RPM</w:t>
      </w:r>
      <w:r w:rsidRPr="00B47646">
        <w:t>, so the modification provides a usable increase in fatigue margin for higher-speed operation.</w:t>
      </w:r>
    </w:p>
    <w:p w14:paraId="422209D4" w14:textId="77777777" w:rsidR="00FA0860" w:rsidRDefault="00FA0860" w:rsidP="00960351"/>
    <w:p w14:paraId="5BE4F4DF" w14:textId="77777777" w:rsidR="00FA0860" w:rsidRDefault="00FA0860" w:rsidP="00960351"/>
    <w:p w14:paraId="14A83D1C" w14:textId="77777777" w:rsidR="00FA0860" w:rsidRDefault="00FA0860" w:rsidP="00960351"/>
    <w:p w14:paraId="658CA3C3" w14:textId="77777777" w:rsidR="00FA0860" w:rsidRDefault="00FA0860" w:rsidP="00960351"/>
    <w:p w14:paraId="6A19ED9D" w14:textId="77777777" w:rsidR="00FA0860" w:rsidRDefault="00FA0860" w:rsidP="00960351"/>
    <w:p w14:paraId="36C9C250" w14:textId="45F9EB51" w:rsidR="00FA0860" w:rsidRDefault="00FA0860" w:rsidP="00EF6935">
      <w:pPr>
        <w:pStyle w:val="Caption"/>
        <w:keepNext/>
        <w:jc w:val="center"/>
      </w:pPr>
      <w:bookmarkStart w:id="18" w:name="_Toc225108583"/>
      <w:r>
        <w:t xml:space="preserve">Table </w:t>
      </w:r>
      <w:r>
        <w:fldChar w:fldCharType="begin"/>
      </w:r>
      <w:r>
        <w:instrText xml:space="preserve"> SEQ Table \* ARABIC </w:instrText>
      </w:r>
      <w:r>
        <w:fldChar w:fldCharType="separate"/>
      </w:r>
      <w:r w:rsidR="00AA4C71">
        <w:rPr>
          <w:noProof/>
        </w:rPr>
        <w:t>3</w:t>
      </w:r>
      <w:r>
        <w:rPr>
          <w:noProof/>
        </w:rPr>
        <w:fldChar w:fldCharType="end"/>
      </w:r>
      <w:r w:rsidR="00EF6935">
        <w:t xml:space="preserve"> </w:t>
      </w:r>
      <w:r w:rsidR="00EF6935" w:rsidRPr="00EF6935">
        <w:t xml:space="preserve">Material properties used in the connecting rod bolt fatigue assessment, showing the candidate materials considered for improving FSF through changes in strength </w:t>
      </w:r>
      <w:r w:rsidR="00EF6935" w:rsidRPr="00046E69">
        <w:t xml:space="preserve">and stiffness </w:t>
      </w:r>
      <w:sdt>
        <w:sdtPr>
          <w:id w:val="-1195763526"/>
          <w:citation/>
        </w:sdtPr>
        <w:sdtContent>
          <w:r w:rsidR="00046E69" w:rsidRPr="00046E69">
            <w:fldChar w:fldCharType="begin"/>
          </w:r>
          <w:r w:rsidR="00046E69" w:rsidRPr="00046E69">
            <w:instrText xml:space="preserve"> CITATION ARP26 \l 2057 </w:instrText>
          </w:r>
          <w:r w:rsidR="00046E69" w:rsidRPr="00046E69">
            <w:fldChar w:fldCharType="separate"/>
          </w:r>
          <w:r w:rsidR="006846B5">
            <w:rPr>
              <w:noProof/>
            </w:rPr>
            <w:t>(</w:t>
          </w:r>
          <w:r w:rsidR="00046E69" w:rsidRPr="00046E69">
            <w:rPr>
              <w:noProof/>
            </w:rPr>
            <w:t>ARP, 2026)</w:t>
          </w:r>
          <w:r w:rsidR="00046E69" w:rsidRPr="00046E69">
            <w:fldChar w:fldCharType="end"/>
          </w:r>
        </w:sdtContent>
      </w:sdt>
      <w:r w:rsidR="00EF6935" w:rsidRPr="00046E69">
        <w:t>.</w:t>
      </w:r>
      <w:bookmarkEnd w:id="18"/>
    </w:p>
    <w:tbl>
      <w:tblPr>
        <w:tblW w:w="0" w:type="auto"/>
        <w:tblCellSpacing w:w="15" w:type="dxa"/>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1505"/>
        <w:gridCol w:w="2209"/>
        <w:gridCol w:w="1217"/>
        <w:gridCol w:w="2062"/>
        <w:gridCol w:w="2023"/>
      </w:tblGrid>
      <w:tr w:rsidR="00D8178E" w:rsidRPr="00A74D31" w14:paraId="4CF47E1F" w14:textId="77777777" w:rsidTr="00E4214C">
        <w:trPr>
          <w:tblHeader/>
          <w:tblCellSpacing w:w="15" w:type="dxa"/>
        </w:trPr>
        <w:tc>
          <w:tcPr>
            <w:tcW w:w="0" w:type="auto"/>
            <w:vAlign w:val="center"/>
            <w:hideMark/>
          </w:tcPr>
          <w:p w14:paraId="2478D451" w14:textId="77777777" w:rsidR="00A74D31" w:rsidRPr="00A74D31" w:rsidRDefault="00A74D31" w:rsidP="00A74D31">
            <w:pPr>
              <w:jc w:val="center"/>
              <w:rPr>
                <w:b/>
                <w:bCs/>
              </w:rPr>
            </w:pPr>
            <w:r w:rsidRPr="00A74D31">
              <w:rPr>
                <w:b/>
                <w:bCs/>
              </w:rPr>
              <w:t>Material</w:t>
            </w:r>
          </w:p>
        </w:tc>
        <w:tc>
          <w:tcPr>
            <w:tcW w:w="0" w:type="auto"/>
            <w:vAlign w:val="center"/>
            <w:hideMark/>
          </w:tcPr>
          <w:p w14:paraId="4A75FC2B" w14:textId="77777777" w:rsidR="00A74D31" w:rsidRPr="00A74D31" w:rsidRDefault="00A74D31" w:rsidP="00A74D31">
            <w:pPr>
              <w:jc w:val="center"/>
              <w:rPr>
                <w:b/>
                <w:bCs/>
              </w:rPr>
            </w:pPr>
            <w:r w:rsidRPr="00A74D31">
              <w:rPr>
                <w:b/>
                <w:bCs/>
              </w:rPr>
              <w:t>Young’s Modulus, E (N/mm²)</w:t>
            </w:r>
          </w:p>
        </w:tc>
        <w:tc>
          <w:tcPr>
            <w:tcW w:w="0" w:type="auto"/>
            <w:vAlign w:val="center"/>
            <w:hideMark/>
          </w:tcPr>
          <w:p w14:paraId="2B57E82C" w14:textId="77777777" w:rsidR="00A74D31" w:rsidRPr="00A74D31" w:rsidRDefault="00A74D31" w:rsidP="00A74D31">
            <w:pPr>
              <w:jc w:val="center"/>
              <w:rPr>
                <w:b/>
                <w:bCs/>
              </w:rPr>
            </w:pPr>
            <w:r w:rsidRPr="00A74D31">
              <w:rPr>
                <w:b/>
                <w:bCs/>
              </w:rPr>
              <w:t>UTS, Sut (MPa)</w:t>
            </w:r>
          </w:p>
        </w:tc>
        <w:tc>
          <w:tcPr>
            <w:tcW w:w="0" w:type="auto"/>
            <w:vAlign w:val="center"/>
            <w:hideMark/>
          </w:tcPr>
          <w:p w14:paraId="66729EB3" w14:textId="77777777" w:rsidR="00A74D31" w:rsidRPr="00A74D31" w:rsidRDefault="00A74D31" w:rsidP="00A74D31">
            <w:pPr>
              <w:jc w:val="center"/>
              <w:rPr>
                <w:b/>
                <w:bCs/>
              </w:rPr>
            </w:pPr>
            <w:r w:rsidRPr="00A74D31">
              <w:rPr>
                <w:b/>
                <w:bCs/>
              </w:rPr>
              <w:t>Endurance Limit, Se (MPa)</w:t>
            </w:r>
          </w:p>
        </w:tc>
        <w:tc>
          <w:tcPr>
            <w:tcW w:w="0" w:type="auto"/>
            <w:vAlign w:val="center"/>
            <w:hideMark/>
          </w:tcPr>
          <w:p w14:paraId="563F1424" w14:textId="77777777" w:rsidR="00A74D31" w:rsidRPr="00A74D31" w:rsidRDefault="00A74D31" w:rsidP="00A74D31">
            <w:pPr>
              <w:jc w:val="center"/>
              <w:rPr>
                <w:b/>
                <w:bCs/>
              </w:rPr>
            </w:pPr>
            <w:r w:rsidRPr="00A74D31">
              <w:rPr>
                <w:b/>
                <w:bCs/>
              </w:rPr>
              <w:t>Preload Stress Used (MPa)</w:t>
            </w:r>
          </w:p>
        </w:tc>
      </w:tr>
      <w:tr w:rsidR="00D8178E" w:rsidRPr="00A74D31" w14:paraId="5CFC972E" w14:textId="77777777" w:rsidTr="00E4214C">
        <w:trPr>
          <w:tblCellSpacing w:w="15" w:type="dxa"/>
        </w:trPr>
        <w:tc>
          <w:tcPr>
            <w:tcW w:w="0" w:type="auto"/>
            <w:vAlign w:val="center"/>
            <w:hideMark/>
          </w:tcPr>
          <w:p w14:paraId="5A974B52" w14:textId="77777777" w:rsidR="00A74D31" w:rsidRPr="00A74D31" w:rsidRDefault="00A74D31" w:rsidP="00A74D31">
            <w:pPr>
              <w:jc w:val="center"/>
            </w:pPr>
            <w:r w:rsidRPr="00A74D31">
              <w:t>10.9 alloy steel</w:t>
            </w:r>
          </w:p>
        </w:tc>
        <w:tc>
          <w:tcPr>
            <w:tcW w:w="0" w:type="auto"/>
            <w:vAlign w:val="center"/>
            <w:hideMark/>
          </w:tcPr>
          <w:p w14:paraId="79315D61" w14:textId="77777777" w:rsidR="00A74D31" w:rsidRPr="00A74D31" w:rsidRDefault="00A74D31" w:rsidP="00A74D31">
            <w:pPr>
              <w:jc w:val="center"/>
            </w:pPr>
            <w:r w:rsidRPr="00A74D31">
              <w:t>210000</w:t>
            </w:r>
          </w:p>
        </w:tc>
        <w:tc>
          <w:tcPr>
            <w:tcW w:w="0" w:type="auto"/>
            <w:vAlign w:val="center"/>
            <w:hideMark/>
          </w:tcPr>
          <w:p w14:paraId="75D85536" w14:textId="77777777" w:rsidR="00A74D31" w:rsidRPr="00A74D31" w:rsidRDefault="00A74D31" w:rsidP="00A74D31">
            <w:pPr>
              <w:jc w:val="center"/>
            </w:pPr>
            <w:r w:rsidRPr="00A74D31">
              <w:t>1040.0</w:t>
            </w:r>
          </w:p>
        </w:tc>
        <w:tc>
          <w:tcPr>
            <w:tcW w:w="0" w:type="auto"/>
            <w:vAlign w:val="center"/>
            <w:hideMark/>
          </w:tcPr>
          <w:p w14:paraId="0749E5F1" w14:textId="77777777" w:rsidR="00A74D31" w:rsidRPr="00A74D31" w:rsidRDefault="00A74D31" w:rsidP="00A74D31">
            <w:pPr>
              <w:jc w:val="center"/>
            </w:pPr>
            <w:r w:rsidRPr="00A74D31">
              <w:t>468.0</w:t>
            </w:r>
          </w:p>
        </w:tc>
        <w:tc>
          <w:tcPr>
            <w:tcW w:w="0" w:type="auto"/>
            <w:vAlign w:val="center"/>
            <w:hideMark/>
          </w:tcPr>
          <w:p w14:paraId="390702A0" w14:textId="77777777" w:rsidR="00A74D31" w:rsidRPr="00A74D31" w:rsidRDefault="00A74D31" w:rsidP="00A74D31">
            <w:pPr>
              <w:jc w:val="center"/>
            </w:pPr>
            <w:r w:rsidRPr="00A74D31">
              <w:t>624.0</w:t>
            </w:r>
          </w:p>
        </w:tc>
      </w:tr>
      <w:tr w:rsidR="00D8178E" w:rsidRPr="00A74D31" w14:paraId="2C20E85E" w14:textId="77777777" w:rsidTr="00E4214C">
        <w:trPr>
          <w:tblCellSpacing w:w="15" w:type="dxa"/>
        </w:trPr>
        <w:tc>
          <w:tcPr>
            <w:tcW w:w="0" w:type="auto"/>
            <w:vAlign w:val="center"/>
            <w:hideMark/>
          </w:tcPr>
          <w:p w14:paraId="61409E7E" w14:textId="77777777" w:rsidR="00A74D31" w:rsidRPr="00A74D31" w:rsidRDefault="00A74D31" w:rsidP="00A74D31">
            <w:pPr>
              <w:jc w:val="center"/>
            </w:pPr>
            <w:r w:rsidRPr="00A74D31">
              <w:t>12.9 alloy steel</w:t>
            </w:r>
          </w:p>
        </w:tc>
        <w:tc>
          <w:tcPr>
            <w:tcW w:w="0" w:type="auto"/>
            <w:vAlign w:val="center"/>
            <w:hideMark/>
          </w:tcPr>
          <w:p w14:paraId="070D3F5D" w14:textId="77777777" w:rsidR="00A74D31" w:rsidRPr="00A74D31" w:rsidRDefault="00A74D31" w:rsidP="00A74D31">
            <w:pPr>
              <w:jc w:val="center"/>
            </w:pPr>
            <w:r w:rsidRPr="00A74D31">
              <w:t>210000</w:t>
            </w:r>
          </w:p>
        </w:tc>
        <w:tc>
          <w:tcPr>
            <w:tcW w:w="0" w:type="auto"/>
            <w:vAlign w:val="center"/>
            <w:hideMark/>
          </w:tcPr>
          <w:p w14:paraId="2244825E" w14:textId="77777777" w:rsidR="00A74D31" w:rsidRPr="00A74D31" w:rsidRDefault="00A74D31" w:rsidP="00A74D31">
            <w:pPr>
              <w:jc w:val="center"/>
            </w:pPr>
            <w:r w:rsidRPr="00A74D31">
              <w:t>1220.0</w:t>
            </w:r>
          </w:p>
        </w:tc>
        <w:tc>
          <w:tcPr>
            <w:tcW w:w="0" w:type="auto"/>
            <w:vAlign w:val="center"/>
            <w:hideMark/>
          </w:tcPr>
          <w:p w14:paraId="394A10BD" w14:textId="77777777" w:rsidR="00A74D31" w:rsidRPr="00A74D31" w:rsidRDefault="00A74D31" w:rsidP="00A74D31">
            <w:pPr>
              <w:jc w:val="center"/>
            </w:pPr>
            <w:r w:rsidRPr="00A74D31">
              <w:t>549.0</w:t>
            </w:r>
          </w:p>
        </w:tc>
        <w:tc>
          <w:tcPr>
            <w:tcW w:w="0" w:type="auto"/>
            <w:vAlign w:val="center"/>
            <w:hideMark/>
          </w:tcPr>
          <w:p w14:paraId="6970EC2A" w14:textId="77777777" w:rsidR="00A74D31" w:rsidRPr="00A74D31" w:rsidRDefault="00A74D31" w:rsidP="00A74D31">
            <w:pPr>
              <w:jc w:val="center"/>
            </w:pPr>
            <w:r w:rsidRPr="00A74D31">
              <w:t>732.0</w:t>
            </w:r>
          </w:p>
        </w:tc>
      </w:tr>
      <w:tr w:rsidR="00D8178E" w:rsidRPr="00A74D31" w14:paraId="210D8C90" w14:textId="77777777" w:rsidTr="00E4214C">
        <w:trPr>
          <w:tblCellSpacing w:w="15" w:type="dxa"/>
        </w:trPr>
        <w:tc>
          <w:tcPr>
            <w:tcW w:w="0" w:type="auto"/>
            <w:vAlign w:val="center"/>
            <w:hideMark/>
          </w:tcPr>
          <w:p w14:paraId="057F2137" w14:textId="77777777" w:rsidR="00A74D31" w:rsidRPr="00A74D31" w:rsidRDefault="00A74D31" w:rsidP="00A74D31">
            <w:pPr>
              <w:jc w:val="center"/>
            </w:pPr>
            <w:r w:rsidRPr="00A74D31">
              <w:t>ARP 8740 steel</w:t>
            </w:r>
          </w:p>
        </w:tc>
        <w:tc>
          <w:tcPr>
            <w:tcW w:w="0" w:type="auto"/>
            <w:vAlign w:val="center"/>
            <w:hideMark/>
          </w:tcPr>
          <w:p w14:paraId="7929DDE5" w14:textId="77777777" w:rsidR="00A74D31" w:rsidRPr="00A74D31" w:rsidRDefault="00A74D31" w:rsidP="00A74D31">
            <w:pPr>
              <w:jc w:val="center"/>
            </w:pPr>
            <w:r w:rsidRPr="00A74D31">
              <w:t>205000</w:t>
            </w:r>
          </w:p>
        </w:tc>
        <w:tc>
          <w:tcPr>
            <w:tcW w:w="0" w:type="auto"/>
            <w:vAlign w:val="center"/>
            <w:hideMark/>
          </w:tcPr>
          <w:p w14:paraId="56328CC1" w14:textId="77777777" w:rsidR="00A74D31" w:rsidRPr="00A74D31" w:rsidRDefault="00A74D31" w:rsidP="00A74D31">
            <w:pPr>
              <w:jc w:val="center"/>
            </w:pPr>
            <w:r w:rsidRPr="00A74D31">
              <w:t>1380.0</w:t>
            </w:r>
          </w:p>
        </w:tc>
        <w:tc>
          <w:tcPr>
            <w:tcW w:w="0" w:type="auto"/>
            <w:vAlign w:val="center"/>
            <w:hideMark/>
          </w:tcPr>
          <w:p w14:paraId="6C4EBDF9" w14:textId="77777777" w:rsidR="00A74D31" w:rsidRPr="00A74D31" w:rsidRDefault="00A74D31" w:rsidP="00A74D31">
            <w:pPr>
              <w:jc w:val="center"/>
            </w:pPr>
            <w:r w:rsidRPr="00A74D31">
              <w:t>621.0</w:t>
            </w:r>
          </w:p>
        </w:tc>
        <w:tc>
          <w:tcPr>
            <w:tcW w:w="0" w:type="auto"/>
            <w:vAlign w:val="center"/>
            <w:hideMark/>
          </w:tcPr>
          <w:p w14:paraId="23DAEEF2" w14:textId="77777777" w:rsidR="00A74D31" w:rsidRPr="00A74D31" w:rsidRDefault="00A74D31" w:rsidP="00A74D31">
            <w:pPr>
              <w:jc w:val="center"/>
            </w:pPr>
            <w:r w:rsidRPr="00A74D31">
              <w:t>828.0</w:t>
            </w:r>
          </w:p>
        </w:tc>
      </w:tr>
      <w:tr w:rsidR="00D8178E" w:rsidRPr="00A74D31" w14:paraId="55B03744" w14:textId="77777777" w:rsidTr="00E4214C">
        <w:trPr>
          <w:tblCellSpacing w:w="15" w:type="dxa"/>
        </w:trPr>
        <w:tc>
          <w:tcPr>
            <w:tcW w:w="0" w:type="auto"/>
            <w:vAlign w:val="center"/>
            <w:hideMark/>
          </w:tcPr>
          <w:p w14:paraId="1FD63134" w14:textId="77777777" w:rsidR="00A74D31" w:rsidRPr="00A74D31" w:rsidRDefault="00A74D31" w:rsidP="00A74D31">
            <w:pPr>
              <w:jc w:val="center"/>
            </w:pPr>
            <w:r w:rsidRPr="00A74D31">
              <w:t>ARP 2000 steel</w:t>
            </w:r>
          </w:p>
        </w:tc>
        <w:tc>
          <w:tcPr>
            <w:tcW w:w="0" w:type="auto"/>
            <w:vAlign w:val="center"/>
            <w:hideMark/>
          </w:tcPr>
          <w:p w14:paraId="772A56E7" w14:textId="77777777" w:rsidR="00A74D31" w:rsidRPr="00A74D31" w:rsidRDefault="00A74D31" w:rsidP="00A74D31">
            <w:pPr>
              <w:jc w:val="center"/>
            </w:pPr>
            <w:r w:rsidRPr="00A74D31">
              <w:t>205000</w:t>
            </w:r>
          </w:p>
        </w:tc>
        <w:tc>
          <w:tcPr>
            <w:tcW w:w="0" w:type="auto"/>
            <w:vAlign w:val="center"/>
            <w:hideMark/>
          </w:tcPr>
          <w:p w14:paraId="2E54D2E8" w14:textId="77777777" w:rsidR="00A74D31" w:rsidRPr="00A74D31" w:rsidRDefault="00A74D31" w:rsidP="00A74D31">
            <w:pPr>
              <w:jc w:val="center"/>
            </w:pPr>
            <w:r w:rsidRPr="00A74D31">
              <w:t>1510.0</w:t>
            </w:r>
          </w:p>
        </w:tc>
        <w:tc>
          <w:tcPr>
            <w:tcW w:w="0" w:type="auto"/>
            <w:vAlign w:val="center"/>
            <w:hideMark/>
          </w:tcPr>
          <w:p w14:paraId="072BD2D8" w14:textId="77777777" w:rsidR="00A74D31" w:rsidRPr="00A74D31" w:rsidRDefault="00A74D31" w:rsidP="00A74D31">
            <w:pPr>
              <w:jc w:val="center"/>
            </w:pPr>
            <w:r w:rsidRPr="00A74D31">
              <w:t>679.5</w:t>
            </w:r>
          </w:p>
        </w:tc>
        <w:tc>
          <w:tcPr>
            <w:tcW w:w="0" w:type="auto"/>
            <w:vAlign w:val="center"/>
            <w:hideMark/>
          </w:tcPr>
          <w:p w14:paraId="374463AA" w14:textId="77777777" w:rsidR="00A74D31" w:rsidRPr="00A74D31" w:rsidRDefault="00A74D31" w:rsidP="00A74D31">
            <w:pPr>
              <w:jc w:val="center"/>
            </w:pPr>
            <w:r w:rsidRPr="00A74D31">
              <w:t>906.0</w:t>
            </w:r>
          </w:p>
        </w:tc>
      </w:tr>
      <w:tr w:rsidR="00D8178E" w:rsidRPr="00A74D31" w14:paraId="6939F956" w14:textId="77777777" w:rsidTr="00E4214C">
        <w:trPr>
          <w:tblCellSpacing w:w="15" w:type="dxa"/>
        </w:trPr>
        <w:tc>
          <w:tcPr>
            <w:tcW w:w="0" w:type="auto"/>
            <w:vAlign w:val="center"/>
            <w:hideMark/>
          </w:tcPr>
          <w:p w14:paraId="6445029E" w14:textId="77777777" w:rsidR="00A74D31" w:rsidRPr="00A74D31" w:rsidRDefault="00A74D31" w:rsidP="00A74D31">
            <w:pPr>
              <w:jc w:val="center"/>
            </w:pPr>
            <w:r w:rsidRPr="00A74D31">
              <w:t>Titanium Ti-6Al-4V</w:t>
            </w:r>
          </w:p>
        </w:tc>
        <w:tc>
          <w:tcPr>
            <w:tcW w:w="0" w:type="auto"/>
            <w:vAlign w:val="center"/>
            <w:hideMark/>
          </w:tcPr>
          <w:p w14:paraId="46825C36" w14:textId="77777777" w:rsidR="00A74D31" w:rsidRPr="00A74D31" w:rsidRDefault="00A74D31" w:rsidP="00A74D31">
            <w:pPr>
              <w:jc w:val="center"/>
            </w:pPr>
            <w:r w:rsidRPr="00A74D31">
              <w:t>110000</w:t>
            </w:r>
          </w:p>
        </w:tc>
        <w:tc>
          <w:tcPr>
            <w:tcW w:w="0" w:type="auto"/>
            <w:vAlign w:val="center"/>
            <w:hideMark/>
          </w:tcPr>
          <w:p w14:paraId="12186447" w14:textId="77777777" w:rsidR="00A74D31" w:rsidRPr="00A74D31" w:rsidRDefault="00A74D31" w:rsidP="00A74D31">
            <w:pPr>
              <w:jc w:val="center"/>
            </w:pPr>
            <w:r w:rsidRPr="00A74D31">
              <w:t>900.0</w:t>
            </w:r>
          </w:p>
        </w:tc>
        <w:tc>
          <w:tcPr>
            <w:tcW w:w="0" w:type="auto"/>
            <w:vAlign w:val="center"/>
            <w:hideMark/>
          </w:tcPr>
          <w:p w14:paraId="4CCBB768" w14:textId="77777777" w:rsidR="00A74D31" w:rsidRPr="00A74D31" w:rsidRDefault="00A74D31" w:rsidP="00A74D31">
            <w:pPr>
              <w:jc w:val="center"/>
            </w:pPr>
            <w:r w:rsidRPr="00A74D31">
              <w:t>405.0</w:t>
            </w:r>
          </w:p>
        </w:tc>
        <w:tc>
          <w:tcPr>
            <w:tcW w:w="0" w:type="auto"/>
            <w:vAlign w:val="center"/>
            <w:hideMark/>
          </w:tcPr>
          <w:p w14:paraId="3E47F2CA" w14:textId="77777777" w:rsidR="00A74D31" w:rsidRPr="00A74D31" w:rsidRDefault="00A74D31" w:rsidP="00A74D31">
            <w:pPr>
              <w:jc w:val="center"/>
            </w:pPr>
            <w:r w:rsidRPr="00A74D31">
              <w:t>540.0</w:t>
            </w:r>
          </w:p>
        </w:tc>
      </w:tr>
    </w:tbl>
    <w:p w14:paraId="04EE7506" w14:textId="77777777" w:rsidR="00FA0860" w:rsidRPr="006C50FD" w:rsidRDefault="00FA0860" w:rsidP="006C50FD">
      <w:pPr>
        <w:jc w:val="center"/>
      </w:pPr>
    </w:p>
    <w:p w14:paraId="12061AF3" w14:textId="77777777" w:rsidR="00F65C7C" w:rsidRDefault="004D30C5" w:rsidP="00F65C7C">
      <w:pPr>
        <w:keepNext/>
        <w:jc w:val="center"/>
      </w:pPr>
      <w:r>
        <w:rPr>
          <w:noProof/>
        </w:rPr>
        <w:drawing>
          <wp:inline distT="0" distB="0" distL="0" distR="0" wp14:anchorId="053DB595" wp14:editId="35E1C892">
            <wp:extent cx="5731510" cy="3694430"/>
            <wp:effectExtent l="0" t="0" r="2540" b="1270"/>
            <wp:docPr id="36275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75617" name=""/>
                    <pic:cNvPicPr/>
                  </pic:nvPicPr>
                  <pic:blipFill>
                    <a:blip r:embed="rId22"/>
                    <a:stretch>
                      <a:fillRect/>
                    </a:stretch>
                  </pic:blipFill>
                  <pic:spPr>
                    <a:xfrm>
                      <a:off x="0" y="0"/>
                      <a:ext cx="5731510" cy="3694430"/>
                    </a:xfrm>
                    <a:prstGeom prst="rect">
                      <a:avLst/>
                    </a:prstGeom>
                  </pic:spPr>
                </pic:pic>
              </a:graphicData>
            </a:graphic>
          </wp:inline>
        </w:drawing>
      </w:r>
    </w:p>
    <w:p w14:paraId="449060E2" w14:textId="32423BB3" w:rsidR="001566E8" w:rsidRDefault="00F65C7C" w:rsidP="00884214">
      <w:pPr>
        <w:pStyle w:val="Caption"/>
      </w:pPr>
      <w:bookmarkStart w:id="19" w:name="_Toc225108584"/>
      <w:r>
        <w:t xml:space="preserve">Figure </w:t>
      </w:r>
      <w:r w:rsidR="005706EB">
        <w:fldChar w:fldCharType="begin"/>
      </w:r>
      <w:r w:rsidR="005706EB">
        <w:instrText xml:space="preserve"> SEQ Figure \* ARABIC </w:instrText>
      </w:r>
      <w:r w:rsidR="005706EB">
        <w:fldChar w:fldCharType="separate"/>
      </w:r>
      <w:r w:rsidR="005706EB">
        <w:rPr>
          <w:noProof/>
        </w:rPr>
        <w:t>12</w:t>
      </w:r>
      <w:r w:rsidR="005706EB">
        <w:rPr>
          <w:noProof/>
        </w:rPr>
        <w:fldChar w:fldCharType="end"/>
      </w:r>
      <w:r>
        <w:t>- Connecting Rod Bolt FSF for Different Materials</w:t>
      </w:r>
      <w:bookmarkEnd w:id="19"/>
    </w:p>
    <w:p w14:paraId="615C9A21" w14:textId="115FEA38" w:rsidR="003921D7" w:rsidRPr="003921D7" w:rsidRDefault="003921D7" w:rsidP="00472390">
      <w:pPr>
        <w:spacing w:line="360" w:lineRule="auto"/>
      </w:pPr>
      <w:r w:rsidRPr="003921D7">
        <w:t xml:space="preserve">Figure </w:t>
      </w:r>
      <w:r w:rsidR="00884214">
        <w:t xml:space="preserve">12 </w:t>
      </w:r>
      <w:r w:rsidRPr="003921D7">
        <w:t>shows the FSF</w:t>
      </w:r>
      <w:r w:rsidR="003A6E65">
        <w:t xml:space="preserve"> </w:t>
      </w:r>
      <w:r w:rsidRPr="003921D7">
        <w:t>of the connecting rod bolt for several different material choices across the engine speed range. For all materials, the FSF decreases as engine speed increases due to the increasing inertial forces acting on the reciprocating components, which results in higher alternating stresses within the bolt.</w:t>
      </w:r>
    </w:p>
    <w:p w14:paraId="3891D50E" w14:textId="77777777" w:rsidR="003921D7" w:rsidRPr="003921D7" w:rsidRDefault="003921D7" w:rsidP="00472390">
      <w:pPr>
        <w:spacing w:line="360" w:lineRule="auto"/>
      </w:pPr>
      <w:r w:rsidRPr="003921D7">
        <w:t xml:space="preserve">Higher strength materials such as </w:t>
      </w:r>
      <w:r w:rsidRPr="00AD762D">
        <w:t>ARP 8740 steel and ARP 2000 steel</w:t>
      </w:r>
      <w:r w:rsidRPr="003921D7">
        <w:t xml:space="preserve"> provide improved fatigue safety factors compared to standard </w:t>
      </w:r>
      <w:r w:rsidRPr="00AD762D">
        <w:t>10.9 and 12.9 alloy steels</w:t>
      </w:r>
      <w:r w:rsidRPr="003921D7">
        <w:t>. This is primarily due to their higher ultimate tensile strength and endurance limits, which increase the allowable fatigue stress range. As a result, these materials maintain a higher FSF throughout the operating range.</w:t>
      </w:r>
    </w:p>
    <w:p w14:paraId="0E6D5AA3" w14:textId="6B370DAD" w:rsidR="004D30C5" w:rsidRDefault="00240E8C" w:rsidP="00472390">
      <w:pPr>
        <w:spacing w:line="360" w:lineRule="auto"/>
      </w:pPr>
      <w:r w:rsidRPr="00240E8C">
        <w:t>Although Ti-6Al-4V produced the highest fatigue safety factor due to its reduced stiffness and lower bolt load fraction, this does not automatically make it the best design choice, as the lower stiffness may reduce joint integrity and clamp retention under service loading. High-strength steel remains a more balanced solution for a highly loaded bolted joint</w:t>
      </w:r>
      <w:r w:rsidR="003921D7" w:rsidRPr="003921D7">
        <w:t>, although titanium offers improved fatigue performance, practical considerations such as cost, manufacturability and joint stiffness must also be considered when selecting a suitable bolt material.</w:t>
      </w:r>
    </w:p>
    <w:p w14:paraId="34070EFC" w14:textId="77777777" w:rsidR="00CC2205" w:rsidRDefault="00CC2205" w:rsidP="00BE2E1F">
      <w:pPr>
        <w:jc w:val="center"/>
      </w:pPr>
    </w:p>
    <w:p w14:paraId="26F69C7D" w14:textId="77777777" w:rsidR="00912A7A" w:rsidRDefault="004D30C5" w:rsidP="00912A7A">
      <w:pPr>
        <w:keepNext/>
        <w:jc w:val="center"/>
      </w:pPr>
      <w:r>
        <w:rPr>
          <w:noProof/>
        </w:rPr>
        <w:drawing>
          <wp:inline distT="0" distB="0" distL="0" distR="0" wp14:anchorId="256AA8D7" wp14:editId="54C593FA">
            <wp:extent cx="5731510" cy="3869055"/>
            <wp:effectExtent l="0" t="0" r="2540" b="0"/>
            <wp:docPr id="512967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967184" name=""/>
                    <pic:cNvPicPr/>
                  </pic:nvPicPr>
                  <pic:blipFill>
                    <a:blip r:embed="rId23"/>
                    <a:stretch>
                      <a:fillRect/>
                    </a:stretch>
                  </pic:blipFill>
                  <pic:spPr>
                    <a:xfrm>
                      <a:off x="0" y="0"/>
                      <a:ext cx="5731510" cy="3869055"/>
                    </a:xfrm>
                    <a:prstGeom prst="rect">
                      <a:avLst/>
                    </a:prstGeom>
                  </pic:spPr>
                </pic:pic>
              </a:graphicData>
            </a:graphic>
          </wp:inline>
        </w:drawing>
      </w:r>
    </w:p>
    <w:p w14:paraId="537EB89E" w14:textId="75B46AB1" w:rsidR="004D30C5" w:rsidRDefault="00912A7A" w:rsidP="00472390">
      <w:pPr>
        <w:pStyle w:val="Caption"/>
        <w:jc w:val="center"/>
      </w:pPr>
      <w:bookmarkStart w:id="20" w:name="_Toc225108585"/>
      <w:r>
        <w:t xml:space="preserve">Figure </w:t>
      </w:r>
      <w:r w:rsidR="005706EB">
        <w:fldChar w:fldCharType="begin"/>
      </w:r>
      <w:r w:rsidR="005706EB">
        <w:instrText xml:space="preserve"> SEQ Figure \* ARABIC </w:instrText>
      </w:r>
      <w:r w:rsidR="005706EB">
        <w:fldChar w:fldCharType="separate"/>
      </w:r>
      <w:r w:rsidR="005706EB">
        <w:rPr>
          <w:noProof/>
        </w:rPr>
        <w:t>13</w:t>
      </w:r>
      <w:r w:rsidR="005706EB">
        <w:rPr>
          <w:noProof/>
        </w:rPr>
        <w:fldChar w:fldCharType="end"/>
      </w:r>
      <w:r>
        <w:t>-Effect of Material Stiffness on Bolt load fraction</w:t>
      </w:r>
      <w:bookmarkEnd w:id="20"/>
    </w:p>
    <w:p w14:paraId="68AACE2F" w14:textId="0FA9C6B9" w:rsidR="00C00F80" w:rsidRPr="00C00F80" w:rsidRDefault="00C00F80" w:rsidP="00472390">
      <w:pPr>
        <w:spacing w:line="360" w:lineRule="auto"/>
      </w:pPr>
      <w:r w:rsidRPr="00C00F80">
        <w:t xml:space="preserve">Figure </w:t>
      </w:r>
      <w:r w:rsidR="00912A7A">
        <w:t>13</w:t>
      </w:r>
      <w:r w:rsidRPr="00C00F80">
        <w:t xml:space="preserve"> shows the effect of bolt material stiffness on the load fraction carried by the connecting rod bolt. The load fraction represents the proportion of the external separating force that is transmitted through the bolt rather than being absorbed by the clamped components of the joint.</w:t>
      </w:r>
    </w:p>
    <w:p w14:paraId="5888A834" w14:textId="633383B3" w:rsidR="009D630A" w:rsidRDefault="009D630A" w:rsidP="00472390">
      <w:pPr>
        <w:spacing w:line="360" w:lineRule="auto"/>
      </w:pPr>
      <w:r w:rsidRPr="009D630A">
        <w:t>The steel bolts (10.9, 12.9, ARP 8740 and ARP 2000) all show similar load fractions of approximately 0.21–0.22 because their elastic modul</w:t>
      </w:r>
      <w:r w:rsidR="009A722F">
        <w:t>us</w:t>
      </w:r>
      <w:r w:rsidRPr="009D630A">
        <w:t xml:space="preserve">, and therefore their stiffness values, are similar. In contrast, the Ti-6Al-4V bolt shows a much lower load fraction of approximately 0.13 due to its lower modulus of elasticity, which reduces bolt stiffness. As a result, a smaller proportion of the external load is transferred directly through the bolt, while more is absorbed by elastic deformation of the joint. </w:t>
      </w:r>
      <w:r w:rsidR="007C033C">
        <w:t>B</w:t>
      </w:r>
      <w:r w:rsidRPr="009D630A">
        <w:t>olt load transfer is governed by the relative stiffness of the bolt and clamped parts, and that a more elastic bolt experiences a lower additional service load</w:t>
      </w:r>
      <w:r>
        <w:t>.</w:t>
      </w:r>
      <w:sdt>
        <w:sdtPr>
          <w:rPr>
            <w:rFonts w:ascii="Calibri" w:hAnsi="Calibri" w:cs="Calibri"/>
            <w:color w:val="000000"/>
            <w:highlight w:val="white"/>
          </w:rPr>
          <w:alias w:val="Citation"/>
          <w:tag w:val="{&quot;referencesIds&quot;:[&quot;doc:69bf0433ee6e171ac1b7d7c4&quot;],&quot;referencesOptions&quot;:{&quot;doc:69bf0433ee6e171ac1b7d7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9621995"/>
          <w:placeholder>
            <w:docPart w:val="9D585B5FE94C423B8FE5F8216E9748E9"/>
          </w:placeholder>
        </w:sdtPr>
        <w:sdtEndPr/>
        <w:sdtContent>
          <w:r w:rsidR="00DE36DE">
            <w:rPr>
              <w:rFonts w:ascii="Calibri" w:eastAsia="Times New Roman" w:hAnsi="Calibri" w:cs="Calibri"/>
              <w:color w:val="000000"/>
            </w:rPr>
            <w:t>(Okorn, Nagode et al. 2021)</w:t>
          </w:r>
        </w:sdtContent>
      </w:sdt>
    </w:p>
    <w:p w14:paraId="6D36F4D0" w14:textId="36B1A80C" w:rsidR="00C00F80" w:rsidRPr="00C00F80" w:rsidRDefault="00C00F80" w:rsidP="00472390">
      <w:pPr>
        <w:spacing w:line="360" w:lineRule="auto"/>
      </w:pPr>
      <w:r w:rsidRPr="00C00F80">
        <w:t>This reduction in load fraction helps to lower the cyclic stress experienced by the bolt, which contributes to the improved fatigue safety factor observed for the titanium material in the previous analysis.</w:t>
      </w:r>
    </w:p>
    <w:p w14:paraId="1DA52195" w14:textId="0ABB0DBB" w:rsidR="007300D6" w:rsidRDefault="00A40D86" w:rsidP="001F6830">
      <w:r>
        <w:br w:type="page"/>
      </w:r>
    </w:p>
    <w:p w14:paraId="36ADA675" w14:textId="77777777" w:rsidR="00112B97" w:rsidRDefault="00112B97" w:rsidP="00112B97">
      <w:pPr>
        <w:pStyle w:val="Heading1"/>
      </w:pPr>
      <w:bookmarkStart w:id="21" w:name="_Toc225108566"/>
      <w:r>
        <w:t>Single cylinder Torque</w:t>
      </w:r>
      <w:bookmarkEnd w:id="21"/>
    </w:p>
    <w:p w14:paraId="73DB5E6F" w14:textId="58D10548" w:rsidR="00112B97" w:rsidRDefault="00112B97" w:rsidP="00472390">
      <w:pPr>
        <w:keepNext/>
        <w:spacing w:line="360" w:lineRule="auto"/>
      </w:pPr>
      <w:r w:rsidRPr="00B93CBD">
        <w:t>The single-cylinder torque plot separates the total crank torque into gas, inertia, and friction components, allowing the contribution of each source to the overall torque output to be identified.</w:t>
      </w:r>
    </w:p>
    <w:p w14:paraId="41C2AC5B" w14:textId="77777777" w:rsidR="00112B97" w:rsidRDefault="00112B97" w:rsidP="00112B97">
      <w:pPr>
        <w:keepNext/>
        <w:jc w:val="center"/>
      </w:pPr>
      <w:r w:rsidRPr="0024075C">
        <w:rPr>
          <w:noProof/>
        </w:rPr>
        <w:drawing>
          <wp:inline distT="0" distB="0" distL="0" distR="0" wp14:anchorId="259D249B" wp14:editId="3D47A69E">
            <wp:extent cx="5683086" cy="3420000"/>
            <wp:effectExtent l="0" t="0" r="0" b="9525"/>
            <wp:docPr id="176610293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83086" cy="3420000"/>
                    </a:xfrm>
                    <a:prstGeom prst="rect">
                      <a:avLst/>
                    </a:prstGeom>
                    <a:noFill/>
                    <a:ln>
                      <a:noFill/>
                    </a:ln>
                  </pic:spPr>
                </pic:pic>
              </a:graphicData>
            </a:graphic>
          </wp:inline>
        </w:drawing>
      </w:r>
    </w:p>
    <w:p w14:paraId="645AE56A" w14:textId="77777777" w:rsidR="00112B97" w:rsidRDefault="00112B97" w:rsidP="00472390">
      <w:pPr>
        <w:pStyle w:val="Caption"/>
        <w:jc w:val="center"/>
      </w:pPr>
      <w:bookmarkStart w:id="22" w:name="_Toc225108586"/>
      <w:r>
        <w:t xml:space="preserve">Figure </w:t>
      </w:r>
      <w:r>
        <w:fldChar w:fldCharType="begin"/>
      </w:r>
      <w:r>
        <w:instrText xml:space="preserve"> SEQ Figure \* ARABIC </w:instrText>
      </w:r>
      <w:r>
        <w:fldChar w:fldCharType="separate"/>
      </w:r>
      <w:r>
        <w:rPr>
          <w:noProof/>
        </w:rPr>
        <w:t>5</w:t>
      </w:r>
      <w:r>
        <w:rPr>
          <w:noProof/>
        </w:rPr>
        <w:fldChar w:fldCharType="end"/>
      </w:r>
      <w:r>
        <w:t>-single-cylinder Torque Component’s</w:t>
      </w:r>
      <w:bookmarkEnd w:id="22"/>
    </w:p>
    <w:p w14:paraId="7278535F" w14:textId="77777777" w:rsidR="00112B97" w:rsidRDefault="00112B97" w:rsidP="00112B97">
      <w:pPr>
        <w:keepNext/>
        <w:jc w:val="center"/>
      </w:pPr>
      <w:r w:rsidRPr="00B439D6">
        <w:rPr>
          <w:noProof/>
        </w:rPr>
        <w:drawing>
          <wp:inline distT="0" distB="0" distL="0" distR="0" wp14:anchorId="390717E4" wp14:editId="78725914">
            <wp:extent cx="5683086" cy="3420000"/>
            <wp:effectExtent l="0" t="0" r="0" b="9525"/>
            <wp:docPr id="26698137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83086" cy="3420000"/>
                    </a:xfrm>
                    <a:prstGeom prst="rect">
                      <a:avLst/>
                    </a:prstGeom>
                    <a:noFill/>
                    <a:ln>
                      <a:noFill/>
                    </a:ln>
                  </pic:spPr>
                </pic:pic>
              </a:graphicData>
            </a:graphic>
          </wp:inline>
        </w:drawing>
      </w:r>
    </w:p>
    <w:p w14:paraId="0D235089" w14:textId="77777777" w:rsidR="00112B97" w:rsidRPr="00B439D6" w:rsidRDefault="00112B97" w:rsidP="00472390">
      <w:pPr>
        <w:pStyle w:val="Caption"/>
        <w:jc w:val="center"/>
      </w:pPr>
      <w:bookmarkStart w:id="23" w:name="_Toc225108587"/>
      <w:r>
        <w:t xml:space="preserve">Figure </w:t>
      </w:r>
      <w:r>
        <w:fldChar w:fldCharType="begin"/>
      </w:r>
      <w:r>
        <w:instrText xml:space="preserve"> SEQ Figure \* ARABIC </w:instrText>
      </w:r>
      <w:r>
        <w:fldChar w:fldCharType="separate"/>
      </w:r>
      <w:r>
        <w:rPr>
          <w:noProof/>
        </w:rPr>
        <w:t>6</w:t>
      </w:r>
      <w:r>
        <w:rPr>
          <w:noProof/>
        </w:rPr>
        <w:fldChar w:fldCharType="end"/>
      </w:r>
      <w:r>
        <w:t>- Combined 4-Cylinder Engine Torque</w:t>
      </w:r>
      <w:bookmarkEnd w:id="23"/>
    </w:p>
    <w:p w14:paraId="742C49E9" w14:textId="77777777" w:rsidR="00112B97" w:rsidRDefault="00112B97" w:rsidP="00112B97">
      <w:pPr>
        <w:keepNext/>
        <w:jc w:val="center"/>
      </w:pPr>
      <w:r>
        <w:rPr>
          <w:noProof/>
        </w:rPr>
        <w:drawing>
          <wp:inline distT="0" distB="0" distL="0" distR="0" wp14:anchorId="2319A0E1" wp14:editId="293D9C4D">
            <wp:extent cx="5731510" cy="3575050"/>
            <wp:effectExtent l="0" t="0" r="2540" b="6350"/>
            <wp:docPr id="430931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624736" name=""/>
                    <pic:cNvPicPr/>
                  </pic:nvPicPr>
                  <pic:blipFill>
                    <a:blip r:embed="rId26"/>
                    <a:stretch>
                      <a:fillRect/>
                    </a:stretch>
                  </pic:blipFill>
                  <pic:spPr>
                    <a:xfrm>
                      <a:off x="0" y="0"/>
                      <a:ext cx="5731510" cy="3575050"/>
                    </a:xfrm>
                    <a:prstGeom prst="rect">
                      <a:avLst/>
                    </a:prstGeom>
                  </pic:spPr>
                </pic:pic>
              </a:graphicData>
            </a:graphic>
          </wp:inline>
        </w:drawing>
      </w:r>
    </w:p>
    <w:p w14:paraId="794BFA5F" w14:textId="71B7C517" w:rsidR="00112B97" w:rsidRDefault="00112B97" w:rsidP="00472390">
      <w:pPr>
        <w:pStyle w:val="Caption"/>
        <w:jc w:val="center"/>
      </w:pPr>
      <w:bookmarkStart w:id="24" w:name="_Toc225108588"/>
      <w:r>
        <w:t xml:space="preserve">Figure </w:t>
      </w:r>
      <w:r>
        <w:fldChar w:fldCharType="begin"/>
      </w:r>
      <w:r>
        <w:instrText xml:space="preserve"> SEQ Figure \* ARABIC </w:instrText>
      </w:r>
      <w:r>
        <w:fldChar w:fldCharType="separate"/>
      </w:r>
      <w:r>
        <w:rPr>
          <w:noProof/>
        </w:rPr>
        <w:t>7</w:t>
      </w:r>
      <w:r>
        <w:rPr>
          <w:noProof/>
        </w:rPr>
        <w:fldChar w:fldCharType="end"/>
      </w:r>
      <w:r>
        <w:t xml:space="preserve">- Calculated power and Torque V calculated </w:t>
      </w:r>
      <w:sdt>
        <w:sdtPr>
          <w:id w:val="1615024522"/>
          <w:citation/>
        </w:sdtPr>
        <w:sdtEndPr/>
        <w:sdtContent>
          <w:r>
            <w:fldChar w:fldCharType="begin"/>
          </w:r>
          <w:r>
            <w:instrText xml:space="preserve"> CITATION For26 \l 2057 </w:instrText>
          </w:r>
          <w:r>
            <w:fldChar w:fldCharType="separate"/>
          </w:r>
          <w:r w:rsidRPr="00D67B47">
            <w:rPr>
              <w:noProof/>
            </w:rPr>
            <w:t>(Ford, n.d.)</w:t>
          </w:r>
          <w:r>
            <w:fldChar w:fldCharType="end"/>
          </w:r>
        </w:sdtContent>
      </w:sdt>
      <w:bookmarkEnd w:id="24"/>
    </w:p>
    <w:p w14:paraId="72D0F875" w14:textId="77777777" w:rsidR="00112B97" w:rsidRPr="0080084B" w:rsidRDefault="00112B97" w:rsidP="00472390">
      <w:pPr>
        <w:spacing w:line="360" w:lineRule="auto"/>
      </w:pPr>
      <w:r>
        <w:t>T</w:t>
      </w:r>
      <w:r w:rsidRPr="0080084B">
        <w:t>he predict</w:t>
      </w:r>
      <w:r>
        <w:t>ed</w:t>
      </w:r>
      <w:r w:rsidRPr="0080084B">
        <w:t xml:space="preserve"> torque and power</w:t>
      </w:r>
      <w:r>
        <w:t xml:space="preserve"> </w:t>
      </w:r>
      <w:r w:rsidRPr="0080084B">
        <w:t xml:space="preserve">shows generally good agreement with the engine specification data. The predicted torque follows the same overall trend, although it is slightly lower around 2500 </w:t>
      </w:r>
      <w:r>
        <w:t>RPM</w:t>
      </w:r>
      <w:r w:rsidRPr="0080084B">
        <w:t xml:space="preserve"> due to the use of averaged pressure data, which smooths peak combustion effects.</w:t>
      </w:r>
    </w:p>
    <w:p w14:paraId="55D89AB6" w14:textId="77777777" w:rsidR="00112B97" w:rsidRPr="0080084B" w:rsidRDefault="00112B97" w:rsidP="00472390">
      <w:pPr>
        <w:spacing w:line="360" w:lineRule="auto"/>
      </w:pPr>
      <w:r w:rsidRPr="0080084B">
        <w:t xml:space="preserve">At higher engine speeds, some divergence is observed, likely due to simplified assumptions such as neglecting friction losses and volumetric efficiency changes. The predicted power curve shows similar agreement, as power is directly dependent on torque. Overall, the model captures the main behaviour of the engine but becomes less accurate at higher </w:t>
      </w:r>
      <w:r>
        <w:t>RPM</w:t>
      </w:r>
      <w:r w:rsidRPr="0080084B">
        <w:t xml:space="preserve"> due to increasing real-world effects not included in the analysis</w:t>
      </w:r>
      <w:r>
        <w:t>.</w:t>
      </w:r>
    </w:p>
    <w:p w14:paraId="71B41BD8" w14:textId="77777777" w:rsidR="00112B97" w:rsidRDefault="00112B97" w:rsidP="00472390">
      <w:pPr>
        <w:spacing w:line="360" w:lineRule="auto"/>
      </w:pPr>
      <w:r>
        <w:br w:type="page"/>
      </w:r>
    </w:p>
    <w:p w14:paraId="450A7555" w14:textId="105DB433" w:rsidR="007300D6" w:rsidRDefault="00112B97" w:rsidP="00A40D86">
      <w:pPr>
        <w:pStyle w:val="Heading1"/>
      </w:pPr>
      <w:bookmarkStart w:id="25" w:name="_Toc225108567"/>
      <w:r>
        <w:t>E</w:t>
      </w:r>
      <w:r w:rsidR="00973101">
        <w:t>ngine balancing</w:t>
      </w:r>
      <w:bookmarkEnd w:id="25"/>
    </w:p>
    <w:p w14:paraId="72C0DDBD" w14:textId="7B11AD42" w:rsidR="00472390" w:rsidRPr="00DF76FC" w:rsidRDefault="00472390" w:rsidP="00472390">
      <w:pPr>
        <w:spacing w:line="360" w:lineRule="auto"/>
      </w:pPr>
      <w:r w:rsidRPr="00DF76FC">
        <w:t xml:space="preserve">Figure </w:t>
      </w:r>
      <w:r>
        <w:t>14</w:t>
      </w:r>
      <w:r w:rsidRPr="00DF76FC">
        <w:t xml:space="preserve"> shows the inertia torque produced by each cylinder of a standard inline-4 engine configuration at 6000 </w:t>
      </w:r>
      <w:r w:rsidR="002A5DCC">
        <w:t>RPM</w:t>
      </w:r>
      <w:r w:rsidRPr="00DF76FC">
        <w:t>, together with the combined resultant torque. The inertia torque arises from the acceleration and deceleration of the reciprocating piston assembly during the engine cycle.</w:t>
      </w:r>
    </w:p>
    <w:p w14:paraId="43BF2C86" w14:textId="77777777" w:rsidR="00973101" w:rsidRDefault="00973101" w:rsidP="00973101"/>
    <w:p w14:paraId="6470D452" w14:textId="77777777" w:rsidR="005706EB" w:rsidRDefault="005D683D" w:rsidP="005706EB">
      <w:pPr>
        <w:keepNext/>
        <w:jc w:val="center"/>
      </w:pPr>
      <w:r>
        <w:rPr>
          <w:noProof/>
        </w:rPr>
        <w:drawing>
          <wp:inline distT="0" distB="0" distL="0" distR="0" wp14:anchorId="1ED6AAE3" wp14:editId="3678354B">
            <wp:extent cx="5731510" cy="3796665"/>
            <wp:effectExtent l="0" t="0" r="2540" b="0"/>
            <wp:docPr id="1388742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742719" name=""/>
                    <pic:cNvPicPr/>
                  </pic:nvPicPr>
                  <pic:blipFill>
                    <a:blip r:embed="rId27"/>
                    <a:stretch>
                      <a:fillRect/>
                    </a:stretch>
                  </pic:blipFill>
                  <pic:spPr>
                    <a:xfrm>
                      <a:off x="0" y="0"/>
                      <a:ext cx="5731510" cy="3796665"/>
                    </a:xfrm>
                    <a:prstGeom prst="rect">
                      <a:avLst/>
                    </a:prstGeom>
                  </pic:spPr>
                </pic:pic>
              </a:graphicData>
            </a:graphic>
          </wp:inline>
        </w:drawing>
      </w:r>
    </w:p>
    <w:p w14:paraId="305CA219" w14:textId="6FDB40E3" w:rsidR="005A2883" w:rsidRDefault="005706EB" w:rsidP="00472390">
      <w:pPr>
        <w:pStyle w:val="Caption"/>
        <w:jc w:val="center"/>
      </w:pPr>
      <w:bookmarkStart w:id="26" w:name="_Toc225108589"/>
      <w:r>
        <w:t xml:space="preserve">Figure </w:t>
      </w:r>
      <w:r>
        <w:fldChar w:fldCharType="begin"/>
      </w:r>
      <w:r>
        <w:instrText xml:space="preserve"> SEQ Figure \* ARABIC </w:instrText>
      </w:r>
      <w:r>
        <w:fldChar w:fldCharType="separate"/>
      </w:r>
      <w:r>
        <w:rPr>
          <w:noProof/>
        </w:rPr>
        <w:t>14</w:t>
      </w:r>
      <w:r>
        <w:rPr>
          <w:noProof/>
        </w:rPr>
        <w:fldChar w:fldCharType="end"/>
      </w:r>
      <w:r>
        <w:t>- Standard Inline 4 Cylinder Inertial Torques</w:t>
      </w:r>
      <w:bookmarkEnd w:id="26"/>
    </w:p>
    <w:p w14:paraId="418B04DD" w14:textId="77777777" w:rsidR="00DF76FC" w:rsidRPr="00DF76FC" w:rsidRDefault="00DF76FC" w:rsidP="00472390">
      <w:pPr>
        <w:spacing w:line="360" w:lineRule="auto"/>
      </w:pPr>
      <w:r w:rsidRPr="00DF76FC">
        <w:t>Each cylinder produces a sinusoidal-type inertia torque due to the changing piston acceleration with crank angle. Because cylinders in a standard inline-4 engine share crank throws that are 180° apart, pairs of pistons move in opposite directions simultaneously. As a result, their inertia torques partially reinforce each other rather than cancelling completely.</w:t>
      </w:r>
    </w:p>
    <w:p w14:paraId="0D465786" w14:textId="3952D3B8" w:rsidR="00DF76FC" w:rsidRPr="00DF76FC" w:rsidRDefault="00DF76FC" w:rsidP="00472390">
      <w:pPr>
        <w:spacing w:line="360" w:lineRule="auto"/>
      </w:pPr>
      <w:r w:rsidRPr="00DF76FC">
        <w:t xml:space="preserve">This behaviour leads to a </w:t>
      </w:r>
      <w:r w:rsidR="00DB1B7D" w:rsidRPr="00DF76FC">
        <w:t>large, combined</w:t>
      </w:r>
      <w:r w:rsidRPr="00DF76FC">
        <w:t xml:space="preserve"> inertia torque fluctuation, as shown by the black curve. The resulting torque variation is significant, reaching large positive and negative values throughout the cycle. This demonstrates that the standard inline-4 configuration produces substantial second-order inertial torque fluctuations that must be absorbed by the crankshaft and flywheel.</w:t>
      </w:r>
    </w:p>
    <w:p w14:paraId="7A036E76" w14:textId="77777777" w:rsidR="00DF76FC" w:rsidRDefault="00DF76FC" w:rsidP="00DF76FC"/>
    <w:p w14:paraId="0DB85617" w14:textId="77777777" w:rsidR="005706EB" w:rsidRDefault="00892E65" w:rsidP="005706EB">
      <w:pPr>
        <w:keepNext/>
        <w:jc w:val="center"/>
      </w:pPr>
      <w:r>
        <w:rPr>
          <w:noProof/>
        </w:rPr>
        <w:drawing>
          <wp:inline distT="0" distB="0" distL="0" distR="0" wp14:anchorId="3C681467" wp14:editId="1952A984">
            <wp:extent cx="5534594" cy="3600000"/>
            <wp:effectExtent l="0" t="0" r="9525" b="635"/>
            <wp:docPr id="788535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535527" name=""/>
                    <pic:cNvPicPr/>
                  </pic:nvPicPr>
                  <pic:blipFill>
                    <a:blip r:embed="rId28"/>
                    <a:stretch>
                      <a:fillRect/>
                    </a:stretch>
                  </pic:blipFill>
                  <pic:spPr>
                    <a:xfrm>
                      <a:off x="0" y="0"/>
                      <a:ext cx="5534594" cy="3600000"/>
                    </a:xfrm>
                    <a:prstGeom prst="rect">
                      <a:avLst/>
                    </a:prstGeom>
                  </pic:spPr>
                </pic:pic>
              </a:graphicData>
            </a:graphic>
          </wp:inline>
        </w:drawing>
      </w:r>
    </w:p>
    <w:p w14:paraId="200689F7" w14:textId="327DBF20" w:rsidR="00892E65" w:rsidRDefault="005706EB" w:rsidP="00472390">
      <w:pPr>
        <w:pStyle w:val="Caption"/>
        <w:jc w:val="center"/>
      </w:pPr>
      <w:bookmarkStart w:id="27" w:name="_Toc225108590"/>
      <w:r>
        <w:t xml:space="preserve">Figure </w:t>
      </w:r>
      <w:r>
        <w:fldChar w:fldCharType="begin"/>
      </w:r>
      <w:r>
        <w:instrText xml:space="preserve"> SEQ Figure \* ARABIC </w:instrText>
      </w:r>
      <w:r>
        <w:fldChar w:fldCharType="separate"/>
      </w:r>
      <w:r>
        <w:rPr>
          <w:noProof/>
        </w:rPr>
        <w:t>15</w:t>
      </w:r>
      <w:r>
        <w:rPr>
          <w:noProof/>
        </w:rPr>
        <w:fldChar w:fldCharType="end"/>
      </w:r>
      <w:r>
        <w:t>- Cross-Plane Inline 4 Cylinder Inertial Torque</w:t>
      </w:r>
      <w:bookmarkEnd w:id="27"/>
    </w:p>
    <w:p w14:paraId="58797947" w14:textId="27E43ABF" w:rsidR="000355E9" w:rsidRPr="000355E9" w:rsidRDefault="000355E9" w:rsidP="00472390">
      <w:pPr>
        <w:spacing w:line="360" w:lineRule="auto"/>
      </w:pPr>
      <w:r w:rsidRPr="000355E9">
        <w:t xml:space="preserve">Figure </w:t>
      </w:r>
      <w:r w:rsidR="005706EB">
        <w:t>15</w:t>
      </w:r>
      <w:r w:rsidRPr="000355E9">
        <w:t xml:space="preserve"> shows the inertia torque generated by each cylinder in a cross-plane inline-4 crankshaft configuration. In this design the crank throws are spaced at 90° intervals, which alters the phase relationship between the piston motions.</w:t>
      </w:r>
    </w:p>
    <w:p w14:paraId="472E8E81" w14:textId="77777777" w:rsidR="000355E9" w:rsidRPr="000355E9" w:rsidRDefault="000355E9" w:rsidP="00472390">
      <w:pPr>
        <w:spacing w:line="360" w:lineRule="auto"/>
      </w:pPr>
      <w:r w:rsidRPr="000355E9">
        <w:t>Because each cylinder now reaches peak acceleration at different crank angles, the inertia torques are distributed more evenly across the engine cycle. When these torques are summed, the combined inertia torque is significantly reduced compared with the standard inline-4 configuration.</w:t>
      </w:r>
    </w:p>
    <w:p w14:paraId="601DD26A" w14:textId="1C9C8DBB" w:rsidR="000355E9" w:rsidRPr="000355E9" w:rsidRDefault="000355E9" w:rsidP="00472390">
      <w:pPr>
        <w:spacing w:line="360" w:lineRule="auto"/>
      </w:pPr>
      <w:r w:rsidRPr="000355E9">
        <w:t>The resulting combined torque has a much smaller amplitude and exhibits smoother behaviour throughout the cycle. This demonstrates that the cross-plane crankshaft improves dynamic balance by distributing the inertial forces more evenly, reducing the magnitude of torque fluctuations acting on the crankshaft.</w:t>
      </w:r>
    </w:p>
    <w:p w14:paraId="4B17784C" w14:textId="77777777" w:rsidR="00DF76FC" w:rsidRDefault="00DF76FC" w:rsidP="00DF76FC"/>
    <w:p w14:paraId="2EFFA55D" w14:textId="77777777" w:rsidR="005706EB" w:rsidRDefault="008716AB" w:rsidP="005706EB">
      <w:pPr>
        <w:keepNext/>
        <w:jc w:val="center"/>
      </w:pPr>
      <w:r>
        <w:rPr>
          <w:noProof/>
        </w:rPr>
        <w:drawing>
          <wp:inline distT="0" distB="0" distL="0" distR="0" wp14:anchorId="26E2CD81" wp14:editId="58836C0E">
            <wp:extent cx="4981135" cy="3240000"/>
            <wp:effectExtent l="0" t="0" r="0" b="0"/>
            <wp:docPr id="612000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000153" name=""/>
                    <pic:cNvPicPr/>
                  </pic:nvPicPr>
                  <pic:blipFill>
                    <a:blip r:embed="rId29"/>
                    <a:stretch>
                      <a:fillRect/>
                    </a:stretch>
                  </pic:blipFill>
                  <pic:spPr>
                    <a:xfrm>
                      <a:off x="0" y="0"/>
                      <a:ext cx="4981135" cy="3240000"/>
                    </a:xfrm>
                    <a:prstGeom prst="rect">
                      <a:avLst/>
                    </a:prstGeom>
                  </pic:spPr>
                </pic:pic>
              </a:graphicData>
            </a:graphic>
          </wp:inline>
        </w:drawing>
      </w:r>
    </w:p>
    <w:p w14:paraId="727FA17B" w14:textId="678F501E" w:rsidR="00892E65" w:rsidRDefault="005706EB" w:rsidP="005706EB">
      <w:pPr>
        <w:pStyle w:val="Caption"/>
        <w:rPr>
          <w:b/>
          <w:bCs/>
        </w:rPr>
      </w:pPr>
      <w:bookmarkStart w:id="28" w:name="_Toc225108591"/>
      <w:r>
        <w:t xml:space="preserve">Figure </w:t>
      </w:r>
      <w:r>
        <w:fldChar w:fldCharType="begin"/>
      </w:r>
      <w:r>
        <w:instrText xml:space="preserve"> SEQ Figure \* ARABIC </w:instrText>
      </w:r>
      <w:r>
        <w:fldChar w:fldCharType="separate"/>
      </w:r>
      <w:r>
        <w:rPr>
          <w:noProof/>
        </w:rPr>
        <w:t>16</w:t>
      </w:r>
      <w:r>
        <w:rPr>
          <w:noProof/>
        </w:rPr>
        <w:fldChar w:fldCharType="end"/>
      </w:r>
      <w:r>
        <w:t>- Standard V Cross-Plane Inertial Torque</w:t>
      </w:r>
      <w:bookmarkEnd w:id="28"/>
    </w:p>
    <w:p w14:paraId="6E218F2C" w14:textId="3727352A" w:rsidR="000355E9" w:rsidRPr="000355E9" w:rsidRDefault="000355E9" w:rsidP="00472390">
      <w:pPr>
        <w:spacing w:line="360" w:lineRule="auto"/>
      </w:pPr>
      <w:r w:rsidRPr="000355E9">
        <w:t xml:space="preserve">Figure </w:t>
      </w:r>
      <w:r w:rsidR="005706EB">
        <w:t>16</w:t>
      </w:r>
      <w:r w:rsidRPr="000355E9">
        <w:t xml:space="preserve"> compares the combined inertia torque for the standard inline-4 crankshaft configuration and the cross-plane crankshaft design. The standard crank configuration produces large torque oscillations due to the synchronised motion of piston pairs, which results in significant second-order inertia effects.</w:t>
      </w:r>
    </w:p>
    <w:p w14:paraId="187E710A" w14:textId="77777777" w:rsidR="000355E9" w:rsidRPr="000355E9" w:rsidRDefault="000355E9" w:rsidP="00472390">
      <w:pPr>
        <w:spacing w:line="360" w:lineRule="auto"/>
      </w:pPr>
      <w:r w:rsidRPr="000355E9">
        <w:t>In contrast, the cross-plane configuration significantly reduces the amplitude of the combined inertia torque. By spacing the crank throws at 90°, the peak inertial loads occur at different crank angles, allowing the torque contributions from each cylinder to partially cancel each other.</w:t>
      </w:r>
    </w:p>
    <w:p w14:paraId="45C34F65" w14:textId="63C16A24" w:rsidR="000355E9" w:rsidRPr="000355E9" w:rsidRDefault="000355E9" w:rsidP="00472390">
      <w:pPr>
        <w:spacing w:line="360" w:lineRule="auto"/>
      </w:pPr>
      <w:r w:rsidRPr="000355E9">
        <w:t>As a result, the cross-plane crankshaft produces a much smoother inertia torque profile across the engine cycle. This reduction in torque fluctuation can improve engine smoothness, reduce vibration levels, and decrease dynamic loading on the crankshaft and bearings</w:t>
      </w:r>
      <w:r>
        <w:t>.</w:t>
      </w:r>
      <w:r w:rsidR="00631BA8">
        <w:t xml:space="preserve"> </w:t>
      </w:r>
      <w:sdt>
        <w:sdtPr>
          <w:id w:val="518818122"/>
          <w:citation/>
        </w:sdtPr>
        <w:sdtEndPr/>
        <w:sdtContent>
          <w:r w:rsidR="005F57BD">
            <w:fldChar w:fldCharType="begin"/>
          </w:r>
          <w:r w:rsidR="00F25C92">
            <w:instrText xml:space="preserve">CITATION Fre04 \l 2057 </w:instrText>
          </w:r>
          <w:r w:rsidR="005F57BD">
            <w:fldChar w:fldCharType="separate"/>
          </w:r>
          <w:r w:rsidR="00F25C92" w:rsidRPr="00F25C92">
            <w:rPr>
              <w:noProof/>
            </w:rPr>
            <w:t>(Fred Schafer, 2004)</w:t>
          </w:r>
          <w:r w:rsidR="005F57BD">
            <w:fldChar w:fldCharType="end"/>
          </w:r>
        </w:sdtContent>
      </w:sdt>
    </w:p>
    <w:p w14:paraId="54C4472B" w14:textId="77777777" w:rsidR="000355E9" w:rsidRPr="00892E65" w:rsidRDefault="000355E9" w:rsidP="00892E65">
      <w:pPr>
        <w:jc w:val="center"/>
        <w:rPr>
          <w:b/>
          <w:bCs/>
        </w:rPr>
      </w:pPr>
    </w:p>
    <w:p w14:paraId="6AB3D23F" w14:textId="0D7763AE" w:rsidR="00973101" w:rsidRPr="00973101" w:rsidRDefault="000355E9" w:rsidP="00973101">
      <w:r>
        <w:br w:type="page"/>
      </w:r>
    </w:p>
    <w:p w14:paraId="3A2FA63F" w14:textId="548F5D33" w:rsidR="00474E92" w:rsidRDefault="00896186" w:rsidP="00472390">
      <w:pPr>
        <w:pStyle w:val="Heading1"/>
        <w:spacing w:before="0"/>
      </w:pPr>
      <w:bookmarkStart w:id="29" w:name="_Toc225108568"/>
      <w:r>
        <w:t>Limitation</w:t>
      </w:r>
      <w:bookmarkEnd w:id="29"/>
    </w:p>
    <w:p w14:paraId="258519A5" w14:textId="7030C485" w:rsidR="00EF67FF" w:rsidRPr="00EF67FF" w:rsidRDefault="00EF67FF" w:rsidP="00472390">
      <w:pPr>
        <w:pStyle w:val="NormalWeb"/>
        <w:spacing w:before="0" w:beforeAutospacing="0" w:line="360" w:lineRule="auto"/>
        <w:rPr>
          <w:rFonts w:asciiTheme="minorHAnsi" w:hAnsiTheme="minorHAnsi" w:cstheme="minorHAnsi"/>
        </w:rPr>
      </w:pPr>
      <w:r w:rsidRPr="00EF67FF">
        <w:rPr>
          <w:rFonts w:asciiTheme="minorHAnsi" w:hAnsiTheme="minorHAnsi" w:cstheme="minorHAnsi"/>
        </w:rPr>
        <w:t xml:space="preserve">A key limitation of this analysis is that pressure and force data beyond 6000 </w:t>
      </w:r>
      <w:r w:rsidR="002A5DCC">
        <w:rPr>
          <w:rFonts w:asciiTheme="minorHAnsi" w:hAnsiTheme="minorHAnsi" w:cstheme="minorHAnsi"/>
        </w:rPr>
        <w:t>RPM</w:t>
      </w:r>
      <w:r w:rsidRPr="00EF67FF">
        <w:rPr>
          <w:rFonts w:asciiTheme="minorHAnsi" w:hAnsiTheme="minorHAnsi" w:cstheme="minorHAnsi"/>
        </w:rPr>
        <w:t xml:space="preserve"> were extrapolated using a linear method, despite inertial forces varying with the square of engine speed (ω²). This may result in inaccuracies in predicted fatigue safety factors at higher </w:t>
      </w:r>
      <w:r w:rsidR="002A5DCC">
        <w:rPr>
          <w:rFonts w:asciiTheme="minorHAnsi" w:hAnsiTheme="minorHAnsi" w:cstheme="minorHAnsi"/>
        </w:rPr>
        <w:t>RPM</w:t>
      </w:r>
      <w:r w:rsidRPr="00EF67FF">
        <w:rPr>
          <w:rFonts w:asciiTheme="minorHAnsi" w:hAnsiTheme="minorHAnsi" w:cstheme="minorHAnsi"/>
        </w:rPr>
        <w:t>.</w:t>
      </w:r>
    </w:p>
    <w:p w14:paraId="7E358CE7" w14:textId="68857C2F" w:rsidR="00EF67FF" w:rsidRDefault="00EF67FF" w:rsidP="00472390">
      <w:pPr>
        <w:pStyle w:val="NormalWeb"/>
        <w:spacing w:line="360" w:lineRule="auto"/>
        <w:rPr>
          <w:rFonts w:asciiTheme="minorHAnsi" w:hAnsiTheme="minorHAnsi" w:cstheme="minorHAnsi"/>
        </w:rPr>
      </w:pPr>
      <w:r w:rsidRPr="00EF67FF">
        <w:rPr>
          <w:rFonts w:asciiTheme="minorHAnsi" w:hAnsiTheme="minorHAnsi" w:cstheme="minorHAnsi"/>
        </w:rPr>
        <w:t>Additionally, the analysis assumes ideal loading conditions, neglecting factors such as friction losses, thermal effects, and local stress concentrations at interfaces. These simplifications mean that the calculated stresses and fatigue safety factors may differ from real engine behaviour, particularly at high engine speeds.</w:t>
      </w:r>
      <w:r w:rsidR="0025697A">
        <w:rPr>
          <w:rFonts w:asciiTheme="minorHAnsi" w:hAnsiTheme="minorHAnsi" w:cstheme="minorHAnsi"/>
        </w:rPr>
        <w:t xml:space="preserve"> </w:t>
      </w:r>
    </w:p>
    <w:p w14:paraId="265C8017" w14:textId="7D5AB20C" w:rsidR="00B7035B" w:rsidRPr="00EF67FF" w:rsidRDefault="00F90DDE" w:rsidP="00472390">
      <w:pPr>
        <w:pStyle w:val="NormalWeb"/>
        <w:spacing w:line="360" w:lineRule="auto"/>
        <w:rPr>
          <w:rFonts w:asciiTheme="minorHAnsi" w:hAnsiTheme="minorHAnsi" w:cstheme="minorHAnsi"/>
        </w:rPr>
      </w:pPr>
      <w:r>
        <w:rPr>
          <w:rFonts w:asciiTheme="minorHAnsi" w:hAnsiTheme="minorHAnsi" w:cstheme="minorHAnsi"/>
        </w:rPr>
        <w:t>The</w:t>
      </w:r>
      <w:r w:rsidR="00F12030">
        <w:rPr>
          <w:rFonts w:asciiTheme="minorHAnsi" w:hAnsiTheme="minorHAnsi" w:cstheme="minorHAnsi"/>
        </w:rPr>
        <w:t xml:space="preserve"> equations used give a global fatigue </w:t>
      </w:r>
      <w:r w:rsidR="009F0668">
        <w:rPr>
          <w:rFonts w:asciiTheme="minorHAnsi" w:hAnsiTheme="minorHAnsi" w:cstheme="minorHAnsi"/>
        </w:rPr>
        <w:t>assessment</w:t>
      </w:r>
      <w:r w:rsidR="00F12030">
        <w:rPr>
          <w:rFonts w:asciiTheme="minorHAnsi" w:hAnsiTheme="minorHAnsi" w:cstheme="minorHAnsi"/>
        </w:rPr>
        <w:t xml:space="preserve"> </w:t>
      </w:r>
      <w:r w:rsidR="003C4034">
        <w:rPr>
          <w:rFonts w:asciiTheme="minorHAnsi" w:hAnsiTheme="minorHAnsi" w:cstheme="minorHAnsi"/>
        </w:rPr>
        <w:t xml:space="preserve">and don’t resolve local stress concentrations which will likely </w:t>
      </w:r>
      <w:r w:rsidR="002A5DCC">
        <w:rPr>
          <w:rFonts w:asciiTheme="minorHAnsi" w:hAnsiTheme="minorHAnsi" w:cstheme="minorHAnsi"/>
        </w:rPr>
        <w:t>affect</w:t>
      </w:r>
      <w:r w:rsidR="003C4034">
        <w:rPr>
          <w:rFonts w:asciiTheme="minorHAnsi" w:hAnsiTheme="minorHAnsi" w:cstheme="minorHAnsi"/>
        </w:rPr>
        <w:t xml:space="preserve"> the safety factor </w:t>
      </w:r>
      <w:r w:rsidR="009F0668">
        <w:rPr>
          <w:rFonts w:asciiTheme="minorHAnsi" w:hAnsiTheme="minorHAnsi" w:cstheme="minorHAnsi"/>
        </w:rPr>
        <w:t>failure behaviour.</w:t>
      </w:r>
    </w:p>
    <w:p w14:paraId="0E4F18C2" w14:textId="77777777" w:rsidR="00896186" w:rsidRDefault="00896186" w:rsidP="00896186"/>
    <w:p w14:paraId="057D544E" w14:textId="25FAAD28" w:rsidR="00896186" w:rsidRDefault="00A34A41" w:rsidP="00896186">
      <w:r>
        <w:br w:type="page"/>
      </w:r>
    </w:p>
    <w:p w14:paraId="04AC27C3" w14:textId="1C9317BB" w:rsidR="00896186" w:rsidRPr="00896186" w:rsidRDefault="00896186" w:rsidP="00896186">
      <w:pPr>
        <w:pStyle w:val="Heading1"/>
      </w:pPr>
      <w:bookmarkStart w:id="30" w:name="_Toc225108569"/>
      <w:r>
        <w:t>Conclusion</w:t>
      </w:r>
      <w:bookmarkEnd w:id="30"/>
      <w:r>
        <w:t xml:space="preserve"> </w:t>
      </w:r>
    </w:p>
    <w:p w14:paraId="6B5E6BA2" w14:textId="56E3D019" w:rsidR="00EF67FF" w:rsidRPr="00EF67FF" w:rsidRDefault="00EF67FF" w:rsidP="00472390">
      <w:pPr>
        <w:spacing w:line="360" w:lineRule="auto"/>
      </w:pPr>
      <w:r w:rsidRPr="00EF67FF">
        <w:t xml:space="preserve">This study investigated the forces and fatigue behaviour of key engine components, with particular focus on the connecting rod bolt. The results showed that inertial forces increase significantly with engine speed and dominate loading at high </w:t>
      </w:r>
      <w:r w:rsidR="002A5DCC">
        <w:t>RPM</w:t>
      </w:r>
      <w:r w:rsidRPr="00EF67FF">
        <w:t>, leading to a reduction in fatigue safety factor.</w:t>
      </w:r>
    </w:p>
    <w:p w14:paraId="20541C51" w14:textId="6156DB21" w:rsidR="00EF67FF" w:rsidRPr="00EF67FF" w:rsidRDefault="00EF67FF" w:rsidP="00472390">
      <w:pPr>
        <w:spacing w:line="360" w:lineRule="auto"/>
      </w:pPr>
      <w:r w:rsidRPr="00EF67FF">
        <w:t xml:space="preserve">The original bolt design was sufficient for operation up to 6000 </w:t>
      </w:r>
      <w:r w:rsidR="002A5DCC">
        <w:t>RPM</w:t>
      </w:r>
      <w:r w:rsidRPr="00EF67FF">
        <w:t xml:space="preserve"> but failed to maintain a safe fatigue margin beyond approximately 8200 </w:t>
      </w:r>
      <w:r w:rsidR="002A5DCC">
        <w:t>RPM</w:t>
      </w:r>
      <w:r w:rsidRPr="00EF67FF">
        <w:t xml:space="preserve">. A redesigned bolt with reduced shank area improved fatigue performance by lowering stiffness and reducing the load fraction carried by the bolt, maintaining an FSF greater than 1 up to 9000 </w:t>
      </w:r>
      <w:r w:rsidR="002A5DCC">
        <w:t>RPM</w:t>
      </w:r>
      <w:r w:rsidRPr="00EF67FF">
        <w:t>. Material selection was also shown to significantly influence fatigue behaviour, with lower stiffness materials further improving performance.</w:t>
      </w:r>
    </w:p>
    <w:p w14:paraId="55CF09A5" w14:textId="77777777" w:rsidR="00EF67FF" w:rsidRPr="00EF67FF" w:rsidRDefault="00EF67FF" w:rsidP="00472390">
      <w:pPr>
        <w:spacing w:line="360" w:lineRule="auto"/>
      </w:pPr>
      <w:r w:rsidRPr="00EF67FF">
        <w:t>Overall, the results demonstrate that fatigue performance is strongly influenced by inertia effects, geometry, and material properties. However, the accuracy of the predictions is limited by the simplified assumptions used, particularly at higher engine speeds.</w:t>
      </w:r>
    </w:p>
    <w:p w14:paraId="33BE7384" w14:textId="77777777" w:rsidR="00AF5670" w:rsidRPr="00586C74" w:rsidRDefault="00AF5670" w:rsidP="00647DC9">
      <w:pPr>
        <w:jc w:val="center"/>
      </w:pPr>
    </w:p>
    <w:p w14:paraId="1BDA63B1" w14:textId="77777777" w:rsidR="0064281F" w:rsidRDefault="0064281F" w:rsidP="490CE315"/>
    <w:p w14:paraId="42270BB0" w14:textId="77777777" w:rsidR="0064281F" w:rsidRDefault="0064281F" w:rsidP="490CE315"/>
    <w:p w14:paraId="444DB477" w14:textId="77777777" w:rsidR="0064281F" w:rsidRDefault="0064281F" w:rsidP="490CE315"/>
    <w:p w14:paraId="4C556676" w14:textId="77777777" w:rsidR="005706EB" w:rsidRDefault="00E147A7">
      <w:r>
        <w:br w:type="page"/>
      </w:r>
    </w:p>
    <w:bookmarkStart w:id="31" w:name="_Toc225108570" w:displacedByCustomXml="next"/>
    <w:sdt>
      <w:sdtPr>
        <w:rPr>
          <w:rFonts w:asciiTheme="minorHAnsi" w:eastAsiaTheme="minorHAnsi" w:hAnsiTheme="minorHAnsi" w:cstheme="minorBidi"/>
          <w:color w:val="auto"/>
          <w:sz w:val="22"/>
          <w:szCs w:val="22"/>
        </w:rPr>
        <w:id w:val="2001383391"/>
        <w:docPartObj>
          <w:docPartGallery w:val="Bibliographies"/>
          <w:docPartUnique/>
        </w:docPartObj>
      </w:sdtPr>
      <w:sdtEndPr/>
      <w:sdtContent>
        <w:p w14:paraId="1177AC4D" w14:textId="1EA5045F" w:rsidR="00D67B47" w:rsidRDefault="00D67B47">
          <w:pPr>
            <w:pStyle w:val="Heading1"/>
          </w:pPr>
          <w:r>
            <w:t>References</w:t>
          </w:r>
          <w:bookmarkEnd w:id="31"/>
        </w:p>
        <w:sdt>
          <w:sdtPr>
            <w:id w:val="-573587230"/>
            <w:bibliography/>
          </w:sdtPr>
          <w:sdtEndPr/>
          <w:sdtContent>
            <w:p w14:paraId="561DE053" w14:textId="77777777" w:rsidR="006846B5" w:rsidRDefault="00D67B47">
              <w:pPr>
                <w:pStyle w:val="Bibliography"/>
                <w:rPr>
                  <w:noProof/>
                  <w:sz w:val="24"/>
                  <w:szCs w:val="24"/>
                </w:rPr>
              </w:pPr>
              <w:r>
                <w:fldChar w:fldCharType="begin"/>
              </w:r>
              <w:r>
                <w:instrText xml:space="preserve"> BIBLIOGRAPHY </w:instrText>
              </w:r>
              <w:r>
                <w:fldChar w:fldCharType="separate"/>
              </w:r>
              <w:r w:rsidR="006846B5">
                <w:rPr>
                  <w:noProof/>
                </w:rPr>
                <w:t xml:space="preserve">ARP, 2026. </w:t>
              </w:r>
              <w:r w:rsidR="006846B5">
                <w:rPr>
                  <w:i/>
                  <w:iCs/>
                  <w:noProof/>
                </w:rPr>
                <w:t xml:space="preserve">ARP Material Specifications. </w:t>
              </w:r>
              <w:r w:rsidR="006846B5">
                <w:rPr>
                  <w:noProof/>
                </w:rPr>
                <w:t xml:space="preserve">[Online] </w:t>
              </w:r>
              <w:r w:rsidR="006846B5">
                <w:rPr>
                  <w:noProof/>
                </w:rPr>
                <w:br/>
                <w:t xml:space="preserve">Available at: </w:t>
              </w:r>
              <w:r w:rsidR="006846B5">
                <w:rPr>
                  <w:noProof/>
                  <w:u w:val="single"/>
                </w:rPr>
                <w:t>https://www.arp-bolts.com/tech/materials</w:t>
              </w:r>
              <w:r w:rsidR="006846B5">
                <w:rPr>
                  <w:noProof/>
                </w:rPr>
                <w:br/>
                <w:t>[Accessed 22 march 2026].</w:t>
              </w:r>
            </w:p>
            <w:p w14:paraId="5333B2C2" w14:textId="77777777" w:rsidR="006846B5" w:rsidRDefault="006846B5">
              <w:pPr>
                <w:pStyle w:val="Bibliography"/>
                <w:rPr>
                  <w:noProof/>
                </w:rPr>
              </w:pPr>
              <w:r>
                <w:rPr>
                  <w:noProof/>
                </w:rPr>
                <w:t xml:space="preserve">Dewen Jia, X. S. W. D. X. D. H. J. &amp;. J. L., 2025. </w:t>
              </w:r>
              <w:r>
                <w:rPr>
                  <w:i/>
                  <w:iCs/>
                  <w:noProof/>
                </w:rPr>
                <w:t xml:space="preserve">Analysis of the influence of geometric accuracy on the preload and stress of engine connecting rod bolts, </w:t>
              </w:r>
              <w:r>
                <w:rPr>
                  <w:noProof/>
                </w:rPr>
                <w:t>s.l.: natureportfolio.</w:t>
              </w:r>
            </w:p>
            <w:p w14:paraId="015D97D1" w14:textId="77777777" w:rsidR="006846B5" w:rsidRDefault="006846B5">
              <w:pPr>
                <w:pStyle w:val="Bibliography"/>
                <w:rPr>
                  <w:noProof/>
                </w:rPr>
              </w:pPr>
              <w:r>
                <w:rPr>
                  <w:noProof/>
                </w:rPr>
                <w:t xml:space="preserve">ESCUDIER, M. a. A. T., 2019. </w:t>
              </w:r>
              <w:r>
                <w:rPr>
                  <w:i/>
                  <w:iCs/>
                  <w:noProof/>
                </w:rPr>
                <w:t xml:space="preserve">A Dictionary of Mechanical Engineering (2 ed.). </w:t>
              </w:r>
              <w:r>
                <w:rPr>
                  <w:noProof/>
                </w:rPr>
                <w:t>Oxford: Oxford University Press.</w:t>
              </w:r>
            </w:p>
            <w:p w14:paraId="7E95F082" w14:textId="77777777" w:rsidR="006846B5" w:rsidRDefault="006846B5">
              <w:pPr>
                <w:pStyle w:val="Bibliography"/>
                <w:rPr>
                  <w:noProof/>
                </w:rPr>
              </w:pPr>
              <w:r>
                <w:rPr>
                  <w:noProof/>
                </w:rPr>
                <w:t xml:space="preserve">Ford, n.d. </w:t>
              </w:r>
              <w:r>
                <w:rPr>
                  <w:i/>
                  <w:iCs/>
                  <w:noProof/>
                </w:rPr>
                <w:t xml:space="preserve">ford. </w:t>
              </w:r>
              <w:r>
                <w:rPr>
                  <w:noProof/>
                </w:rPr>
                <w:t xml:space="preserve">[Online] </w:t>
              </w:r>
              <w:r>
                <w:rPr>
                  <w:noProof/>
                </w:rPr>
                <w:br/>
                <w:t xml:space="preserve">Available at: </w:t>
              </w:r>
              <w:r>
                <w:rPr>
                  <w:noProof/>
                  <w:u w:val="single"/>
                </w:rPr>
                <w:t>https://www.ford.co.uk/content/dam/guxeu/uk/documents/home/experience-ford/about-ford/ford-component-sales/specification-details-data-sheets/16-ecoboost-np.pdf</w:t>
              </w:r>
              <w:r>
                <w:rPr>
                  <w:noProof/>
                </w:rPr>
                <w:br/>
                <w:t>[Accessed 21 March 2026].</w:t>
              </w:r>
            </w:p>
            <w:p w14:paraId="5938A549" w14:textId="77777777" w:rsidR="00D67B47" w:rsidRDefault="00D67B47">
              <w:pPr>
                <w:pStyle w:val="Bibliography"/>
                <w:rPr>
                  <w:noProof/>
                </w:rPr>
              </w:pPr>
              <w:r>
                <w:rPr>
                  <w:noProof/>
                </w:rPr>
                <w:t xml:space="preserve">Fred Schafer, R. v. </w:t>
              </w:r>
              <w:r w:rsidR="006846B5">
                <w:rPr>
                  <w:noProof/>
                </w:rPr>
                <w:t xml:space="preserve">B., </w:t>
              </w:r>
              <w:r>
                <w:rPr>
                  <w:noProof/>
                </w:rPr>
                <w:t>2004</w:t>
              </w:r>
              <w:r w:rsidR="006846B5">
                <w:rPr>
                  <w:noProof/>
                </w:rPr>
                <w:t>.</w:t>
              </w:r>
              <w:r>
                <w:rPr>
                  <w:noProof/>
                </w:rPr>
                <w:t xml:space="preserve"> </w:t>
              </w:r>
              <w:r>
                <w:rPr>
                  <w:i/>
                  <w:iCs/>
                  <w:noProof/>
                </w:rPr>
                <w:t xml:space="preserve">Modern </w:t>
              </w:r>
              <w:r w:rsidR="00CF34FE">
                <w:rPr>
                  <w:i/>
                  <w:iCs/>
                  <w:noProof/>
                </w:rPr>
                <w:t>Engine</w:t>
              </w:r>
              <w:r>
                <w:rPr>
                  <w:i/>
                  <w:iCs/>
                  <w:noProof/>
                </w:rPr>
                <w:t xml:space="preserve"> Technology from A to Z.</w:t>
              </w:r>
              <w:r>
                <w:rPr>
                  <w:i/>
                </w:rPr>
                <w:t xml:space="preserve"> </w:t>
              </w:r>
              <w:r>
                <w:rPr>
                  <w:noProof/>
                </w:rPr>
                <w:t>Wiesbaden: SAE.</w:t>
              </w:r>
            </w:p>
            <w:p w14:paraId="6D29C2D9" w14:textId="77777777" w:rsidR="00D67B47" w:rsidRDefault="00D67B47">
              <w:pPr>
                <w:pStyle w:val="Bibliography"/>
                <w:rPr>
                  <w:noProof/>
                </w:rPr>
              </w:pPr>
              <w:r>
                <w:rPr>
                  <w:noProof/>
                </w:rPr>
                <w:t xml:space="preserve">S. Griza*, F. B. </w:t>
              </w:r>
              <w:r w:rsidR="006846B5">
                <w:rPr>
                  <w:noProof/>
                </w:rPr>
                <w:t xml:space="preserve">G. Z. A. R. T. S., 2008. </w:t>
              </w:r>
              <w:r w:rsidR="006846B5">
                <w:rPr>
                  <w:i/>
                  <w:iCs/>
                  <w:noProof/>
                </w:rPr>
                <w:t xml:space="preserve">Fatigue in engine connecting rod bolt due to forming laps, </w:t>
              </w:r>
              <w:r w:rsidR="006846B5">
                <w:rPr>
                  <w:noProof/>
                </w:rPr>
                <w:t>s.l.:</w:t>
              </w:r>
              <w:r>
                <w:rPr>
                  <w:noProof/>
                </w:rPr>
                <w:t xml:space="preserve"> Elsevier.</w:t>
              </w:r>
            </w:p>
            <w:p w14:paraId="7624FD28" w14:textId="77777777" w:rsidR="006846B5" w:rsidRDefault="006846B5">
              <w:pPr>
                <w:pStyle w:val="Bibliography"/>
                <w:rPr>
                  <w:noProof/>
                </w:rPr>
              </w:pPr>
              <w:r>
                <w:rPr>
                  <w:noProof/>
                </w:rPr>
                <w:t xml:space="preserve">WARREN C. YOUNG, R. G. B., 2001. </w:t>
              </w:r>
              <w:r>
                <w:rPr>
                  <w:i/>
                  <w:iCs/>
                  <w:noProof/>
                </w:rPr>
                <w:t xml:space="preserve">Roark’s Formulas, </w:t>
              </w:r>
              <w:r>
                <w:rPr>
                  <w:noProof/>
                </w:rPr>
                <w:t>s.l.: McGraw-Hill Professional..</w:t>
              </w:r>
            </w:p>
            <w:p w14:paraId="0410F154" w14:textId="77777777" w:rsidR="006846B5" w:rsidRDefault="006846B5">
              <w:pPr>
                <w:pStyle w:val="Bibliography"/>
                <w:rPr>
                  <w:noProof/>
                </w:rPr>
              </w:pPr>
              <w:r>
                <w:rPr>
                  <w:noProof/>
                </w:rPr>
                <w:t xml:space="preserve">Xin, Q., 2013. </w:t>
              </w:r>
              <w:r>
                <w:rPr>
                  <w:i/>
                  <w:iCs/>
                  <w:noProof/>
                </w:rPr>
                <w:t xml:space="preserve">Diesel Engine System Design, </w:t>
              </w:r>
              <w:r>
                <w:rPr>
                  <w:noProof/>
                </w:rPr>
                <w:t>Cambridge: Woodhead Publishing..</w:t>
              </w:r>
            </w:p>
            <w:p w14:paraId="6FD084C4" w14:textId="77777777" w:rsidR="00561D59" w:rsidRPr="00561D59" w:rsidRDefault="00561D59" w:rsidP="00561D59">
              <w:r w:rsidRPr="00561D59">
                <w:t>JIA, D., SONG, X., DENG, W., DENG, X., JI, H. and LEI, J., 2025. Analysis of the influence of geometric accuracy on the preload and stress of engine connecting rod bolts. </w:t>
              </w:r>
              <w:r w:rsidRPr="00561D59">
                <w:rPr>
                  <w:i/>
                  <w:iCs/>
                </w:rPr>
                <w:t>Scientific reports, </w:t>
              </w:r>
              <w:r w:rsidRPr="00561D59">
                <w:rPr>
                  <w:b/>
                  <w:bCs/>
                </w:rPr>
                <w:t>15</w:t>
              </w:r>
              <w:r w:rsidRPr="00561D59">
                <w:t>(1), pp. 8606–27.</w:t>
              </w:r>
            </w:p>
            <w:p w14:paraId="2D8257C1" w14:textId="77777777" w:rsidR="00561D59" w:rsidRPr="00561D59" w:rsidRDefault="00561D59" w:rsidP="00561D59">
              <w:r w:rsidRPr="00561D59">
                <w:t>OKORN, I., NAGODE, M., KLEMENC, J. and OMAN, S., 2021. Analysis of Additional Load and Fatigue Life of Preloaded Bolts in a Flange Joint Considering a Bolt Bending Load. </w:t>
              </w:r>
              <w:r w:rsidRPr="00561D59">
                <w:rPr>
                  <w:i/>
                  <w:iCs/>
                </w:rPr>
                <w:t>Metals (</w:t>
              </w:r>
              <w:proofErr w:type="gramStart"/>
              <w:r w:rsidRPr="00561D59">
                <w:rPr>
                  <w:i/>
                  <w:iCs/>
                </w:rPr>
                <w:t>Basel )</w:t>
              </w:r>
              <w:proofErr w:type="gramEnd"/>
              <w:r w:rsidRPr="00561D59">
                <w:rPr>
                  <w:i/>
                  <w:iCs/>
                </w:rPr>
                <w:t>, </w:t>
              </w:r>
              <w:r w:rsidRPr="00561D59">
                <w:rPr>
                  <w:b/>
                  <w:bCs/>
                </w:rPr>
                <w:t>11</w:t>
              </w:r>
              <w:r w:rsidRPr="00561D59">
                <w:t>(3), pp. 449.</w:t>
              </w:r>
            </w:p>
            <w:p w14:paraId="67285282" w14:textId="77777777" w:rsidR="00561D59" w:rsidRPr="00561D59" w:rsidRDefault="00561D59" w:rsidP="00561D59"/>
            <w:p w14:paraId="3719CB5B" w14:textId="4788C0E4" w:rsidR="00D67B47" w:rsidRDefault="00D67B47" w:rsidP="00D67B47">
              <w:r>
                <w:rPr>
                  <w:b/>
                  <w:bCs/>
                  <w:noProof/>
                </w:rPr>
                <w:fldChar w:fldCharType="end"/>
              </w:r>
            </w:p>
          </w:sdtContent>
        </w:sdt>
      </w:sdtContent>
    </w:sdt>
    <w:p w14:paraId="129F515E" w14:textId="40C2EFD6" w:rsidR="005706EB" w:rsidRDefault="005706EB" w:rsidP="00D67B47"/>
    <w:p w14:paraId="65614025" w14:textId="4352E79D" w:rsidR="005706EB" w:rsidRDefault="00381F75">
      <w:r>
        <w:br w:type="page"/>
      </w:r>
      <w:r w:rsidR="00630769">
        <w:t>2380 words</w:t>
      </w:r>
    </w:p>
    <w:p w14:paraId="684D918C" w14:textId="2E8D6BDD" w:rsidR="0064281F" w:rsidRDefault="00363DFB" w:rsidP="00363DFB">
      <w:pPr>
        <w:pStyle w:val="Heading1"/>
      </w:pPr>
      <w:bookmarkStart w:id="32" w:name="_Toc225108571"/>
      <w:r>
        <w:t>Appendix</w:t>
      </w:r>
      <w:bookmarkEnd w:id="32"/>
    </w:p>
    <w:p w14:paraId="2AB54167" w14:textId="3DD4A359" w:rsidR="00363DFB" w:rsidRPr="00363DFB" w:rsidRDefault="00363DFB" w:rsidP="00363DFB">
      <w:r w:rsidRPr="007300D6">
        <w:rPr>
          <w:noProof/>
        </w:rPr>
        <w:drawing>
          <wp:inline distT="0" distB="0" distL="0" distR="0" wp14:anchorId="218B4FCC" wp14:editId="746ADB13">
            <wp:extent cx="5983785" cy="3600000"/>
            <wp:effectExtent l="0" t="0" r="0" b="635"/>
            <wp:docPr id="9610999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83785" cy="3600000"/>
                    </a:xfrm>
                    <a:prstGeom prst="rect">
                      <a:avLst/>
                    </a:prstGeom>
                    <a:noFill/>
                    <a:ln>
                      <a:noFill/>
                    </a:ln>
                  </pic:spPr>
                </pic:pic>
              </a:graphicData>
            </a:graphic>
          </wp:inline>
        </w:drawing>
      </w:r>
    </w:p>
    <w:p w14:paraId="58780CAD" w14:textId="77777777" w:rsidR="0064281F" w:rsidRDefault="0064281F" w:rsidP="490CE315"/>
    <w:p w14:paraId="446E263C" w14:textId="32DD37E0" w:rsidR="0064281F" w:rsidRDefault="00363DFB" w:rsidP="490CE315">
      <w:r w:rsidRPr="009F79A6">
        <w:rPr>
          <w:noProof/>
        </w:rPr>
        <w:drawing>
          <wp:inline distT="0" distB="0" distL="0" distR="0" wp14:anchorId="151D6CD5" wp14:editId="775ADAD5">
            <wp:extent cx="5982195" cy="3600000"/>
            <wp:effectExtent l="0" t="0" r="0" b="635"/>
            <wp:docPr id="13476838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82195" cy="3600000"/>
                    </a:xfrm>
                    <a:prstGeom prst="rect">
                      <a:avLst/>
                    </a:prstGeom>
                    <a:noFill/>
                    <a:ln>
                      <a:noFill/>
                    </a:ln>
                  </pic:spPr>
                </pic:pic>
              </a:graphicData>
            </a:graphic>
          </wp:inline>
        </w:drawing>
      </w:r>
    </w:p>
    <w:p w14:paraId="15269FCC" w14:textId="77777777" w:rsidR="0064281F" w:rsidRDefault="0064281F" w:rsidP="490CE315"/>
    <w:p w14:paraId="6666A91D" w14:textId="6BB55C65" w:rsidR="0081451D" w:rsidRDefault="00363DFB" w:rsidP="490CE315">
      <w:r w:rsidRPr="00CE74D7">
        <w:rPr>
          <w:noProof/>
        </w:rPr>
        <w:drawing>
          <wp:inline distT="0" distB="0" distL="0" distR="0" wp14:anchorId="10C85DD0" wp14:editId="39644F5F">
            <wp:extent cx="5982195" cy="3600000"/>
            <wp:effectExtent l="0" t="0" r="0" b="635"/>
            <wp:docPr id="7259612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82195" cy="3600000"/>
                    </a:xfrm>
                    <a:prstGeom prst="rect">
                      <a:avLst/>
                    </a:prstGeom>
                    <a:noFill/>
                    <a:ln>
                      <a:noFill/>
                    </a:ln>
                  </pic:spPr>
                </pic:pic>
              </a:graphicData>
            </a:graphic>
          </wp:inline>
        </w:drawing>
      </w:r>
    </w:p>
    <w:p w14:paraId="48877421" w14:textId="77777777" w:rsidR="0081451D" w:rsidRDefault="0081451D" w:rsidP="490CE315"/>
    <w:p w14:paraId="14FF9B77" w14:textId="7253688E" w:rsidR="0081451D" w:rsidRDefault="00363DFB" w:rsidP="490CE315">
      <w:pPr>
        <w:rPr>
          <w:b/>
          <w:bCs/>
        </w:rPr>
      </w:pPr>
      <w:r w:rsidRPr="004246DB">
        <w:rPr>
          <w:noProof/>
        </w:rPr>
        <w:drawing>
          <wp:inline distT="0" distB="0" distL="0" distR="0" wp14:anchorId="04B61988" wp14:editId="5DBEF724">
            <wp:extent cx="5982196" cy="3600000"/>
            <wp:effectExtent l="0" t="0" r="0" b="635"/>
            <wp:docPr id="210848815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82196" cy="3600000"/>
                    </a:xfrm>
                    <a:prstGeom prst="rect">
                      <a:avLst/>
                    </a:prstGeom>
                    <a:noFill/>
                    <a:ln>
                      <a:noFill/>
                    </a:ln>
                  </pic:spPr>
                </pic:pic>
              </a:graphicData>
            </a:graphic>
          </wp:inline>
        </w:drawing>
      </w:r>
    </w:p>
    <w:p w14:paraId="3B258C51" w14:textId="2C224B67" w:rsidR="0081451D" w:rsidRDefault="002B7CE8" w:rsidP="490CE315">
      <w:pPr>
        <w:rPr>
          <w:b/>
        </w:rPr>
      </w:pPr>
      <w:r w:rsidRPr="0058673A">
        <w:rPr>
          <w:noProof/>
        </w:rPr>
        <w:drawing>
          <wp:inline distT="0" distB="0" distL="0" distR="0" wp14:anchorId="3C645439" wp14:editId="0A9F4C63">
            <wp:extent cx="5982194" cy="3600000"/>
            <wp:effectExtent l="0" t="0" r="0" b="635"/>
            <wp:docPr id="78096807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82194" cy="3600000"/>
                    </a:xfrm>
                    <a:prstGeom prst="rect">
                      <a:avLst/>
                    </a:prstGeom>
                    <a:noFill/>
                    <a:ln>
                      <a:noFill/>
                    </a:ln>
                  </pic:spPr>
                </pic:pic>
              </a:graphicData>
            </a:graphic>
          </wp:inline>
        </w:drawing>
      </w:r>
      <w:r w:rsidRPr="002B7CE8">
        <w:rPr>
          <w:noProof/>
        </w:rPr>
        <w:t xml:space="preserve"> </w:t>
      </w:r>
      <w:r w:rsidRPr="00FB0155">
        <w:rPr>
          <w:noProof/>
        </w:rPr>
        <w:drawing>
          <wp:inline distT="0" distB="0" distL="0" distR="0" wp14:anchorId="2A8A1BC5" wp14:editId="4A4E0E92">
            <wp:extent cx="5982196" cy="3600000"/>
            <wp:effectExtent l="0" t="0" r="0" b="635"/>
            <wp:docPr id="13780841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82196" cy="3600000"/>
                    </a:xfrm>
                    <a:prstGeom prst="rect">
                      <a:avLst/>
                    </a:prstGeom>
                    <a:noFill/>
                    <a:ln>
                      <a:noFill/>
                    </a:ln>
                  </pic:spPr>
                </pic:pic>
              </a:graphicData>
            </a:graphic>
          </wp:inline>
        </w:drawing>
      </w:r>
      <w:r w:rsidRPr="002B7CE8">
        <w:rPr>
          <w:noProof/>
        </w:rPr>
        <w:t xml:space="preserve"> </w:t>
      </w:r>
      <w:r w:rsidRPr="00FB0155">
        <w:rPr>
          <w:noProof/>
        </w:rPr>
        <w:drawing>
          <wp:inline distT="0" distB="0" distL="0" distR="0" wp14:anchorId="47F2B415" wp14:editId="3AD4DA9B">
            <wp:extent cx="5982196" cy="3600000"/>
            <wp:effectExtent l="0" t="0" r="0" b="635"/>
            <wp:docPr id="141267636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82196" cy="3600000"/>
                    </a:xfrm>
                    <a:prstGeom prst="rect">
                      <a:avLst/>
                    </a:prstGeom>
                    <a:noFill/>
                    <a:ln>
                      <a:noFill/>
                    </a:ln>
                  </pic:spPr>
                </pic:pic>
              </a:graphicData>
            </a:graphic>
          </wp:inline>
        </w:drawing>
      </w:r>
      <w:r w:rsidRPr="002B7CE8">
        <w:rPr>
          <w:noProof/>
        </w:rPr>
        <w:t xml:space="preserve"> </w:t>
      </w:r>
      <w:r w:rsidRPr="00563CDE">
        <w:rPr>
          <w:noProof/>
        </w:rPr>
        <w:drawing>
          <wp:inline distT="0" distB="0" distL="0" distR="0" wp14:anchorId="1611F868" wp14:editId="4C60F5B2">
            <wp:extent cx="5982196" cy="3600000"/>
            <wp:effectExtent l="0" t="0" r="0" b="635"/>
            <wp:docPr id="24781510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82196" cy="3600000"/>
                    </a:xfrm>
                    <a:prstGeom prst="rect">
                      <a:avLst/>
                    </a:prstGeom>
                    <a:noFill/>
                    <a:ln>
                      <a:noFill/>
                    </a:ln>
                  </pic:spPr>
                </pic:pic>
              </a:graphicData>
            </a:graphic>
          </wp:inline>
        </w:drawing>
      </w:r>
      <w:r w:rsidRPr="002B7CE8">
        <w:rPr>
          <w:noProof/>
        </w:rPr>
        <w:t xml:space="preserve"> </w:t>
      </w:r>
      <w:r w:rsidR="00693F8C">
        <w:rPr>
          <w:noProof/>
        </w:rPr>
        <w:t>10</w:t>
      </w:r>
      <w:r w:rsidRPr="006C6E7B">
        <w:rPr>
          <w:noProof/>
        </w:rPr>
        <w:drawing>
          <wp:inline distT="0" distB="0" distL="0" distR="0" wp14:anchorId="4A7AAF3D" wp14:editId="1D5D9438">
            <wp:extent cx="5982196" cy="3600000"/>
            <wp:effectExtent l="0" t="0" r="0" b="635"/>
            <wp:docPr id="137902442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82196" cy="3600000"/>
                    </a:xfrm>
                    <a:prstGeom prst="rect">
                      <a:avLst/>
                    </a:prstGeom>
                    <a:noFill/>
                    <a:ln>
                      <a:noFill/>
                    </a:ln>
                  </pic:spPr>
                </pic:pic>
              </a:graphicData>
            </a:graphic>
          </wp:inline>
        </w:drawing>
      </w:r>
      <w:r w:rsidRPr="002B7CE8">
        <w:rPr>
          <w:noProof/>
        </w:rPr>
        <w:t xml:space="preserve"> </w:t>
      </w:r>
      <w:r w:rsidRPr="006C6E7B">
        <w:rPr>
          <w:noProof/>
        </w:rPr>
        <w:drawing>
          <wp:inline distT="0" distB="0" distL="0" distR="0" wp14:anchorId="7CE87B06" wp14:editId="10A3015F">
            <wp:extent cx="5982196" cy="3600000"/>
            <wp:effectExtent l="0" t="0" r="0" b="635"/>
            <wp:docPr id="171924408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82196" cy="3600000"/>
                    </a:xfrm>
                    <a:prstGeom prst="rect">
                      <a:avLst/>
                    </a:prstGeom>
                    <a:noFill/>
                    <a:ln>
                      <a:noFill/>
                    </a:ln>
                  </pic:spPr>
                </pic:pic>
              </a:graphicData>
            </a:graphic>
          </wp:inline>
        </w:drawing>
      </w:r>
    </w:p>
    <w:sectPr w:rsidR="0081451D" w:rsidSect="007A189A">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AE80E" w14:textId="77777777" w:rsidR="006846B5" w:rsidRDefault="006846B5" w:rsidP="00962E5F">
      <w:pPr>
        <w:spacing w:after="0" w:line="240" w:lineRule="auto"/>
      </w:pPr>
      <w:r>
        <w:separator/>
      </w:r>
    </w:p>
  </w:endnote>
  <w:endnote w:type="continuationSeparator" w:id="0">
    <w:p w14:paraId="1400E215" w14:textId="77777777" w:rsidR="006846B5" w:rsidRDefault="006846B5" w:rsidP="00962E5F">
      <w:pPr>
        <w:spacing w:after="0" w:line="240" w:lineRule="auto"/>
      </w:pPr>
      <w:r>
        <w:continuationSeparator/>
      </w:r>
    </w:p>
  </w:endnote>
  <w:endnote w:type="continuationNotice" w:id="1">
    <w:p w14:paraId="45155327" w14:textId="77777777" w:rsidR="006846B5" w:rsidRDefault="006846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 w:name="Aptos Narrow">
    <w:altName w:val="Calibri"/>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12B6EFFB" w:rsidR="00962E5F" w:rsidRDefault="00472390" w:rsidP="00962E5F">
    <w:pPr>
      <w:pStyle w:val="Footer"/>
      <w:tabs>
        <w:tab w:val="clear" w:pos="4513"/>
        <w:tab w:val="clear" w:pos="9026"/>
        <w:tab w:val="left" w:pos="5570"/>
      </w:tabs>
    </w:pPr>
    <w:r>
      <w:t>Word Count: 25</w:t>
    </w:r>
    <w:r w:rsidR="002A5DCC">
      <w:t>41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121A2" w14:textId="77777777" w:rsidR="006846B5" w:rsidRDefault="006846B5" w:rsidP="00962E5F">
      <w:pPr>
        <w:spacing w:after="0" w:line="240" w:lineRule="auto"/>
      </w:pPr>
      <w:r>
        <w:separator/>
      </w:r>
    </w:p>
  </w:footnote>
  <w:footnote w:type="continuationSeparator" w:id="0">
    <w:p w14:paraId="419E213B" w14:textId="77777777" w:rsidR="006846B5" w:rsidRDefault="006846B5" w:rsidP="00962E5F">
      <w:pPr>
        <w:spacing w:after="0" w:line="240" w:lineRule="auto"/>
      </w:pPr>
      <w:r>
        <w:continuationSeparator/>
      </w:r>
    </w:p>
  </w:footnote>
  <w:footnote w:type="continuationNotice" w:id="1">
    <w:p w14:paraId="0DEE77A8" w14:textId="77777777" w:rsidR="006846B5" w:rsidRDefault="006846B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4941242B" w:rsidR="000D61BC" w:rsidRDefault="0061270F" w:rsidP="006C4F21">
    <w:pPr>
      <w:pStyle w:val="Header"/>
    </w:pPr>
    <w:r>
      <w:t>Oliver Wilson</w:t>
    </w:r>
    <w:r w:rsidR="000D61BC">
      <w:ptab w:relativeTo="margin" w:alignment="center" w:leader="none"/>
    </w:r>
    <w:r w:rsidR="006C4F21">
      <w:t xml:space="preserve">                                        </w:t>
    </w:r>
    <w:r w:rsidR="00693F8C">
      <w:t>Contemporary</w:t>
    </w:r>
    <w:r w:rsidR="006C4F21">
      <w:t xml:space="preserve"> </w:t>
    </w:r>
    <w:r>
      <w:t>Powertrains</w:t>
    </w:r>
    <w:r w:rsidR="00877206">
      <w:t xml:space="preserve"> </w:t>
    </w:r>
    <w:r w:rsidR="00E5046E">
      <w:t xml:space="preserve">                                             </w:t>
    </w:r>
    <w:r w:rsidR="00693F8C">
      <w:t xml:space="preserve">     </w:t>
    </w:r>
    <w:r>
      <w:t>2203893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4542F"/>
    <w:multiLevelType w:val="hybridMultilevel"/>
    <w:tmpl w:val="8FE61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9C1AAA"/>
    <w:multiLevelType w:val="multilevel"/>
    <w:tmpl w:val="08090025"/>
    <w:lvl w:ilvl="0">
      <w:start w:val="1"/>
      <w:numFmt w:val="decimal"/>
      <w:pStyle w:val="Heading1"/>
      <w:lvlText w:val="%1"/>
      <w:lvlJc w:val="left"/>
      <w:pPr>
        <w:ind w:left="2417"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2E00014"/>
    <w:multiLevelType w:val="hybridMultilevel"/>
    <w:tmpl w:val="80A6C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C6D77"/>
    <w:multiLevelType w:val="hybridMultilevel"/>
    <w:tmpl w:val="FFFFFFFF"/>
    <w:lvl w:ilvl="0" w:tplc="7848EB50">
      <w:start w:val="1"/>
      <w:numFmt w:val="bullet"/>
      <w:lvlText w:val=""/>
      <w:lvlJc w:val="left"/>
      <w:pPr>
        <w:ind w:left="720" w:hanging="360"/>
      </w:pPr>
      <w:rPr>
        <w:rFonts w:ascii="Symbol" w:hAnsi="Symbol" w:hint="default"/>
      </w:rPr>
    </w:lvl>
    <w:lvl w:ilvl="1" w:tplc="14DEEE08">
      <w:start w:val="1"/>
      <w:numFmt w:val="bullet"/>
      <w:lvlText w:val="o"/>
      <w:lvlJc w:val="left"/>
      <w:pPr>
        <w:ind w:left="1440" w:hanging="360"/>
      </w:pPr>
      <w:rPr>
        <w:rFonts w:ascii="Courier New" w:hAnsi="Courier New" w:hint="default"/>
      </w:rPr>
    </w:lvl>
    <w:lvl w:ilvl="2" w:tplc="40AC980A">
      <w:start w:val="1"/>
      <w:numFmt w:val="bullet"/>
      <w:lvlText w:val=""/>
      <w:lvlJc w:val="left"/>
      <w:pPr>
        <w:ind w:left="2160" w:hanging="360"/>
      </w:pPr>
      <w:rPr>
        <w:rFonts w:ascii="Wingdings" w:hAnsi="Wingdings" w:hint="default"/>
      </w:rPr>
    </w:lvl>
    <w:lvl w:ilvl="3" w:tplc="3B80EF64">
      <w:start w:val="1"/>
      <w:numFmt w:val="bullet"/>
      <w:lvlText w:val=""/>
      <w:lvlJc w:val="left"/>
      <w:pPr>
        <w:ind w:left="2880" w:hanging="360"/>
      </w:pPr>
      <w:rPr>
        <w:rFonts w:ascii="Symbol" w:hAnsi="Symbol" w:hint="default"/>
      </w:rPr>
    </w:lvl>
    <w:lvl w:ilvl="4" w:tplc="56627DF2">
      <w:start w:val="1"/>
      <w:numFmt w:val="bullet"/>
      <w:lvlText w:val="o"/>
      <w:lvlJc w:val="left"/>
      <w:pPr>
        <w:ind w:left="3600" w:hanging="360"/>
      </w:pPr>
      <w:rPr>
        <w:rFonts w:ascii="Courier New" w:hAnsi="Courier New" w:hint="default"/>
      </w:rPr>
    </w:lvl>
    <w:lvl w:ilvl="5" w:tplc="3EA255CC">
      <w:start w:val="1"/>
      <w:numFmt w:val="bullet"/>
      <w:lvlText w:val=""/>
      <w:lvlJc w:val="left"/>
      <w:pPr>
        <w:ind w:left="4320" w:hanging="360"/>
      </w:pPr>
      <w:rPr>
        <w:rFonts w:ascii="Wingdings" w:hAnsi="Wingdings" w:hint="default"/>
      </w:rPr>
    </w:lvl>
    <w:lvl w:ilvl="6" w:tplc="FFAC0FDC">
      <w:start w:val="1"/>
      <w:numFmt w:val="bullet"/>
      <w:lvlText w:val=""/>
      <w:lvlJc w:val="left"/>
      <w:pPr>
        <w:ind w:left="5040" w:hanging="360"/>
      </w:pPr>
      <w:rPr>
        <w:rFonts w:ascii="Symbol" w:hAnsi="Symbol" w:hint="default"/>
      </w:rPr>
    </w:lvl>
    <w:lvl w:ilvl="7" w:tplc="BD8EA888">
      <w:start w:val="1"/>
      <w:numFmt w:val="bullet"/>
      <w:lvlText w:val="o"/>
      <w:lvlJc w:val="left"/>
      <w:pPr>
        <w:ind w:left="5760" w:hanging="360"/>
      </w:pPr>
      <w:rPr>
        <w:rFonts w:ascii="Courier New" w:hAnsi="Courier New" w:hint="default"/>
      </w:rPr>
    </w:lvl>
    <w:lvl w:ilvl="8" w:tplc="E140E7B0">
      <w:start w:val="1"/>
      <w:numFmt w:val="bullet"/>
      <w:lvlText w:val=""/>
      <w:lvlJc w:val="left"/>
      <w:pPr>
        <w:ind w:left="6480" w:hanging="360"/>
      </w:pPr>
      <w:rPr>
        <w:rFonts w:ascii="Wingdings" w:hAnsi="Wingdings" w:hint="default"/>
      </w:rPr>
    </w:lvl>
  </w:abstractNum>
  <w:abstractNum w:abstractNumId="4" w15:restartNumberingAfterBreak="0">
    <w:nsid w:val="15435B59"/>
    <w:multiLevelType w:val="hybridMultilevel"/>
    <w:tmpl w:val="45289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A165E1"/>
    <w:multiLevelType w:val="multilevel"/>
    <w:tmpl w:val="4B6C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D6689D"/>
    <w:multiLevelType w:val="hybridMultilevel"/>
    <w:tmpl w:val="52260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597FBE"/>
    <w:multiLevelType w:val="hybridMultilevel"/>
    <w:tmpl w:val="FFFFFFFF"/>
    <w:lvl w:ilvl="0" w:tplc="1B76D87A">
      <w:start w:val="1"/>
      <w:numFmt w:val="bullet"/>
      <w:lvlText w:val="-"/>
      <w:lvlJc w:val="left"/>
      <w:pPr>
        <w:ind w:left="720" w:hanging="360"/>
      </w:pPr>
      <w:rPr>
        <w:rFonts w:ascii="Calibri" w:hAnsi="Calibri" w:hint="default"/>
      </w:rPr>
    </w:lvl>
    <w:lvl w:ilvl="1" w:tplc="4744727A">
      <w:start w:val="1"/>
      <w:numFmt w:val="bullet"/>
      <w:lvlText w:val="o"/>
      <w:lvlJc w:val="left"/>
      <w:pPr>
        <w:ind w:left="1440" w:hanging="360"/>
      </w:pPr>
      <w:rPr>
        <w:rFonts w:ascii="Courier New" w:hAnsi="Courier New" w:hint="default"/>
      </w:rPr>
    </w:lvl>
    <w:lvl w:ilvl="2" w:tplc="4CD288EA">
      <w:start w:val="1"/>
      <w:numFmt w:val="bullet"/>
      <w:lvlText w:val=""/>
      <w:lvlJc w:val="left"/>
      <w:pPr>
        <w:ind w:left="2160" w:hanging="360"/>
      </w:pPr>
      <w:rPr>
        <w:rFonts w:ascii="Wingdings" w:hAnsi="Wingdings" w:hint="default"/>
      </w:rPr>
    </w:lvl>
    <w:lvl w:ilvl="3" w:tplc="1408BC80">
      <w:start w:val="1"/>
      <w:numFmt w:val="bullet"/>
      <w:lvlText w:val=""/>
      <w:lvlJc w:val="left"/>
      <w:pPr>
        <w:ind w:left="2880" w:hanging="360"/>
      </w:pPr>
      <w:rPr>
        <w:rFonts w:ascii="Symbol" w:hAnsi="Symbol" w:hint="default"/>
      </w:rPr>
    </w:lvl>
    <w:lvl w:ilvl="4" w:tplc="2248664A">
      <w:start w:val="1"/>
      <w:numFmt w:val="bullet"/>
      <w:lvlText w:val="o"/>
      <w:lvlJc w:val="left"/>
      <w:pPr>
        <w:ind w:left="3600" w:hanging="360"/>
      </w:pPr>
      <w:rPr>
        <w:rFonts w:ascii="Courier New" w:hAnsi="Courier New" w:hint="default"/>
      </w:rPr>
    </w:lvl>
    <w:lvl w:ilvl="5" w:tplc="953C8FF0">
      <w:start w:val="1"/>
      <w:numFmt w:val="bullet"/>
      <w:lvlText w:val=""/>
      <w:lvlJc w:val="left"/>
      <w:pPr>
        <w:ind w:left="4320" w:hanging="360"/>
      </w:pPr>
      <w:rPr>
        <w:rFonts w:ascii="Wingdings" w:hAnsi="Wingdings" w:hint="default"/>
      </w:rPr>
    </w:lvl>
    <w:lvl w:ilvl="6" w:tplc="8AD0D992">
      <w:start w:val="1"/>
      <w:numFmt w:val="bullet"/>
      <w:lvlText w:val=""/>
      <w:lvlJc w:val="left"/>
      <w:pPr>
        <w:ind w:left="5040" w:hanging="360"/>
      </w:pPr>
      <w:rPr>
        <w:rFonts w:ascii="Symbol" w:hAnsi="Symbol" w:hint="default"/>
      </w:rPr>
    </w:lvl>
    <w:lvl w:ilvl="7" w:tplc="6796584E">
      <w:start w:val="1"/>
      <w:numFmt w:val="bullet"/>
      <w:lvlText w:val="o"/>
      <w:lvlJc w:val="left"/>
      <w:pPr>
        <w:ind w:left="5760" w:hanging="360"/>
      </w:pPr>
      <w:rPr>
        <w:rFonts w:ascii="Courier New" w:hAnsi="Courier New" w:hint="default"/>
      </w:rPr>
    </w:lvl>
    <w:lvl w:ilvl="8" w:tplc="FEB4F62A">
      <w:start w:val="1"/>
      <w:numFmt w:val="bullet"/>
      <w:lvlText w:val=""/>
      <w:lvlJc w:val="left"/>
      <w:pPr>
        <w:ind w:left="6480" w:hanging="360"/>
      </w:pPr>
      <w:rPr>
        <w:rFonts w:ascii="Wingdings" w:hAnsi="Wingdings" w:hint="default"/>
      </w:rPr>
    </w:lvl>
  </w:abstractNum>
  <w:abstractNum w:abstractNumId="8" w15:restartNumberingAfterBreak="0">
    <w:nsid w:val="226E19CD"/>
    <w:multiLevelType w:val="hybridMultilevel"/>
    <w:tmpl w:val="EA348F48"/>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9" w15:restartNumberingAfterBreak="0">
    <w:nsid w:val="24870280"/>
    <w:multiLevelType w:val="hybridMultilevel"/>
    <w:tmpl w:val="32BE2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E14B8"/>
    <w:multiLevelType w:val="hybridMultilevel"/>
    <w:tmpl w:val="F36AE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422695"/>
    <w:multiLevelType w:val="hybridMultilevel"/>
    <w:tmpl w:val="AF328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DF31F9"/>
    <w:multiLevelType w:val="hybridMultilevel"/>
    <w:tmpl w:val="BC58F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BF7C4B"/>
    <w:multiLevelType w:val="hybridMultilevel"/>
    <w:tmpl w:val="28F6DF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2273268"/>
    <w:multiLevelType w:val="multilevel"/>
    <w:tmpl w:val="145EC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90F39A7"/>
    <w:multiLevelType w:val="hybridMultilevel"/>
    <w:tmpl w:val="F7287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3B3FF7"/>
    <w:multiLevelType w:val="hybridMultilevel"/>
    <w:tmpl w:val="4D669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A6447A"/>
    <w:multiLevelType w:val="hybridMultilevel"/>
    <w:tmpl w:val="4C780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D4C775"/>
    <w:multiLevelType w:val="hybridMultilevel"/>
    <w:tmpl w:val="FFFFFFFF"/>
    <w:lvl w:ilvl="0" w:tplc="F6D883D2">
      <w:start w:val="1"/>
      <w:numFmt w:val="bullet"/>
      <w:lvlText w:val=""/>
      <w:lvlJc w:val="left"/>
      <w:pPr>
        <w:ind w:left="720" w:hanging="360"/>
      </w:pPr>
      <w:rPr>
        <w:rFonts w:ascii="Symbol" w:hAnsi="Symbol" w:hint="default"/>
      </w:rPr>
    </w:lvl>
    <w:lvl w:ilvl="1" w:tplc="968018FC">
      <w:start w:val="1"/>
      <w:numFmt w:val="bullet"/>
      <w:lvlText w:val="o"/>
      <w:lvlJc w:val="left"/>
      <w:pPr>
        <w:ind w:left="1440" w:hanging="360"/>
      </w:pPr>
      <w:rPr>
        <w:rFonts w:ascii="Courier New" w:hAnsi="Courier New" w:hint="default"/>
      </w:rPr>
    </w:lvl>
    <w:lvl w:ilvl="2" w:tplc="E0244ADA">
      <w:start w:val="1"/>
      <w:numFmt w:val="bullet"/>
      <w:lvlText w:val=""/>
      <w:lvlJc w:val="left"/>
      <w:pPr>
        <w:ind w:left="2160" w:hanging="360"/>
      </w:pPr>
      <w:rPr>
        <w:rFonts w:ascii="Wingdings" w:hAnsi="Wingdings" w:hint="default"/>
      </w:rPr>
    </w:lvl>
    <w:lvl w:ilvl="3" w:tplc="F6E0A250">
      <w:start w:val="1"/>
      <w:numFmt w:val="bullet"/>
      <w:lvlText w:val=""/>
      <w:lvlJc w:val="left"/>
      <w:pPr>
        <w:ind w:left="2880" w:hanging="360"/>
      </w:pPr>
      <w:rPr>
        <w:rFonts w:ascii="Symbol" w:hAnsi="Symbol" w:hint="default"/>
      </w:rPr>
    </w:lvl>
    <w:lvl w:ilvl="4" w:tplc="4944486A">
      <w:start w:val="1"/>
      <w:numFmt w:val="bullet"/>
      <w:lvlText w:val="o"/>
      <w:lvlJc w:val="left"/>
      <w:pPr>
        <w:ind w:left="3600" w:hanging="360"/>
      </w:pPr>
      <w:rPr>
        <w:rFonts w:ascii="Courier New" w:hAnsi="Courier New" w:hint="default"/>
      </w:rPr>
    </w:lvl>
    <w:lvl w:ilvl="5" w:tplc="894CB740">
      <w:start w:val="1"/>
      <w:numFmt w:val="bullet"/>
      <w:lvlText w:val=""/>
      <w:lvlJc w:val="left"/>
      <w:pPr>
        <w:ind w:left="4320" w:hanging="360"/>
      </w:pPr>
      <w:rPr>
        <w:rFonts w:ascii="Wingdings" w:hAnsi="Wingdings" w:hint="default"/>
      </w:rPr>
    </w:lvl>
    <w:lvl w:ilvl="6" w:tplc="A53A0D62">
      <w:start w:val="1"/>
      <w:numFmt w:val="bullet"/>
      <w:lvlText w:val=""/>
      <w:lvlJc w:val="left"/>
      <w:pPr>
        <w:ind w:left="5040" w:hanging="360"/>
      </w:pPr>
      <w:rPr>
        <w:rFonts w:ascii="Symbol" w:hAnsi="Symbol" w:hint="default"/>
      </w:rPr>
    </w:lvl>
    <w:lvl w:ilvl="7" w:tplc="DACE9DC0">
      <w:start w:val="1"/>
      <w:numFmt w:val="bullet"/>
      <w:lvlText w:val="o"/>
      <w:lvlJc w:val="left"/>
      <w:pPr>
        <w:ind w:left="5760" w:hanging="360"/>
      </w:pPr>
      <w:rPr>
        <w:rFonts w:ascii="Courier New" w:hAnsi="Courier New" w:hint="default"/>
      </w:rPr>
    </w:lvl>
    <w:lvl w:ilvl="8" w:tplc="6ABAB920">
      <w:start w:val="1"/>
      <w:numFmt w:val="bullet"/>
      <w:lvlText w:val=""/>
      <w:lvlJc w:val="left"/>
      <w:pPr>
        <w:ind w:left="6480" w:hanging="360"/>
      </w:pPr>
      <w:rPr>
        <w:rFonts w:ascii="Wingdings" w:hAnsi="Wingdings" w:hint="default"/>
      </w:rPr>
    </w:lvl>
  </w:abstractNum>
  <w:abstractNum w:abstractNumId="19" w15:restartNumberingAfterBreak="0">
    <w:nsid w:val="45F45A7C"/>
    <w:multiLevelType w:val="hybridMultilevel"/>
    <w:tmpl w:val="055029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9BA37BE"/>
    <w:multiLevelType w:val="hybridMultilevel"/>
    <w:tmpl w:val="821CD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EA3C8B"/>
    <w:multiLevelType w:val="hybridMultilevel"/>
    <w:tmpl w:val="E0444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0B6C4E"/>
    <w:multiLevelType w:val="multilevel"/>
    <w:tmpl w:val="6038A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86029F5"/>
    <w:multiLevelType w:val="hybridMultilevel"/>
    <w:tmpl w:val="999A2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326418"/>
    <w:multiLevelType w:val="hybridMultilevel"/>
    <w:tmpl w:val="968AC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E8083B"/>
    <w:multiLevelType w:val="hybridMultilevel"/>
    <w:tmpl w:val="D1263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5C731D"/>
    <w:multiLevelType w:val="hybridMultilevel"/>
    <w:tmpl w:val="C9C084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654593">
    <w:abstractNumId w:val="3"/>
  </w:num>
  <w:num w:numId="2" w16cid:durableId="373968959">
    <w:abstractNumId w:val="18"/>
  </w:num>
  <w:num w:numId="3" w16cid:durableId="1337809959">
    <w:abstractNumId w:val="7"/>
  </w:num>
  <w:num w:numId="4" w16cid:durableId="842550569">
    <w:abstractNumId w:val="1"/>
  </w:num>
  <w:num w:numId="5" w16cid:durableId="1316567407">
    <w:abstractNumId w:val="11"/>
  </w:num>
  <w:num w:numId="6" w16cid:durableId="830877646">
    <w:abstractNumId w:val="10"/>
  </w:num>
  <w:num w:numId="7" w16cid:durableId="1475633567">
    <w:abstractNumId w:val="26"/>
  </w:num>
  <w:num w:numId="8" w16cid:durableId="319118887">
    <w:abstractNumId w:val="20"/>
  </w:num>
  <w:num w:numId="9" w16cid:durableId="2063362952">
    <w:abstractNumId w:val="4"/>
  </w:num>
  <w:num w:numId="10" w16cid:durableId="2096785597">
    <w:abstractNumId w:val="21"/>
  </w:num>
  <w:num w:numId="11" w16cid:durableId="1353914345">
    <w:abstractNumId w:val="0"/>
  </w:num>
  <w:num w:numId="12" w16cid:durableId="1794521836">
    <w:abstractNumId w:val="8"/>
  </w:num>
  <w:num w:numId="13" w16cid:durableId="2054033209">
    <w:abstractNumId w:val="15"/>
  </w:num>
  <w:num w:numId="14" w16cid:durableId="213081413">
    <w:abstractNumId w:val="23"/>
  </w:num>
  <w:num w:numId="15" w16cid:durableId="878587104">
    <w:abstractNumId w:val="19"/>
  </w:num>
  <w:num w:numId="16" w16cid:durableId="614288213">
    <w:abstractNumId w:val="16"/>
  </w:num>
  <w:num w:numId="17" w16cid:durableId="1192524698">
    <w:abstractNumId w:val="9"/>
  </w:num>
  <w:num w:numId="18" w16cid:durableId="325522801">
    <w:abstractNumId w:val="17"/>
  </w:num>
  <w:num w:numId="19" w16cid:durableId="1549606100">
    <w:abstractNumId w:val="14"/>
  </w:num>
  <w:num w:numId="20" w16cid:durableId="2047631381">
    <w:abstractNumId w:val="5"/>
  </w:num>
  <w:num w:numId="21" w16cid:durableId="1238322814">
    <w:abstractNumId w:val="22"/>
  </w:num>
  <w:num w:numId="22" w16cid:durableId="1704623824">
    <w:abstractNumId w:val="1"/>
  </w:num>
  <w:num w:numId="23" w16cid:durableId="1890066560">
    <w:abstractNumId w:val="1"/>
  </w:num>
  <w:num w:numId="24" w16cid:durableId="1280989745">
    <w:abstractNumId w:val="1"/>
  </w:num>
  <w:num w:numId="25" w16cid:durableId="335227541">
    <w:abstractNumId w:val="1"/>
  </w:num>
  <w:num w:numId="26" w16cid:durableId="2055077967">
    <w:abstractNumId w:val="1"/>
  </w:num>
  <w:num w:numId="27" w16cid:durableId="1076518572">
    <w:abstractNumId w:val="1"/>
  </w:num>
  <w:num w:numId="28" w16cid:durableId="579370447">
    <w:abstractNumId w:val="1"/>
  </w:num>
  <w:num w:numId="29" w16cid:durableId="486671253">
    <w:abstractNumId w:val="1"/>
  </w:num>
  <w:num w:numId="30" w16cid:durableId="1225684033">
    <w:abstractNumId w:val="1"/>
  </w:num>
  <w:num w:numId="31" w16cid:durableId="1324822714">
    <w:abstractNumId w:val="1"/>
  </w:num>
  <w:num w:numId="32" w16cid:durableId="1976183030">
    <w:abstractNumId w:val="6"/>
  </w:num>
  <w:num w:numId="33" w16cid:durableId="433865633">
    <w:abstractNumId w:val="12"/>
  </w:num>
  <w:num w:numId="34" w16cid:durableId="1861121102">
    <w:abstractNumId w:val="13"/>
  </w:num>
  <w:num w:numId="35" w16cid:durableId="1831632196">
    <w:abstractNumId w:val="25"/>
  </w:num>
  <w:num w:numId="36" w16cid:durableId="887258025">
    <w:abstractNumId w:val="24"/>
  </w:num>
  <w:num w:numId="37" w16cid:durableId="10753171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120A2"/>
    <w:rsid w:val="0001228B"/>
    <w:rsid w:val="00012E49"/>
    <w:rsid w:val="00013119"/>
    <w:rsid w:val="000131EF"/>
    <w:rsid w:val="00014562"/>
    <w:rsid w:val="00015286"/>
    <w:rsid w:val="00015F1C"/>
    <w:rsid w:val="00021696"/>
    <w:rsid w:val="0002358F"/>
    <w:rsid w:val="000270D6"/>
    <w:rsid w:val="0002729A"/>
    <w:rsid w:val="000322D6"/>
    <w:rsid w:val="000355E9"/>
    <w:rsid w:val="00041D37"/>
    <w:rsid w:val="000423EF"/>
    <w:rsid w:val="00044B9B"/>
    <w:rsid w:val="0004542F"/>
    <w:rsid w:val="00046E69"/>
    <w:rsid w:val="000509A1"/>
    <w:rsid w:val="0005151B"/>
    <w:rsid w:val="00051D16"/>
    <w:rsid w:val="000534AB"/>
    <w:rsid w:val="00054546"/>
    <w:rsid w:val="00054FFC"/>
    <w:rsid w:val="00060EC0"/>
    <w:rsid w:val="00064C81"/>
    <w:rsid w:val="00067D4F"/>
    <w:rsid w:val="000702C3"/>
    <w:rsid w:val="00076CE0"/>
    <w:rsid w:val="00077C05"/>
    <w:rsid w:val="00080A4A"/>
    <w:rsid w:val="00080EA1"/>
    <w:rsid w:val="000824DE"/>
    <w:rsid w:val="00086B03"/>
    <w:rsid w:val="000905DA"/>
    <w:rsid w:val="0009155B"/>
    <w:rsid w:val="000922EB"/>
    <w:rsid w:val="00094B45"/>
    <w:rsid w:val="000958D9"/>
    <w:rsid w:val="000966C1"/>
    <w:rsid w:val="000A0752"/>
    <w:rsid w:val="000A085D"/>
    <w:rsid w:val="000A1808"/>
    <w:rsid w:val="000A222C"/>
    <w:rsid w:val="000A5177"/>
    <w:rsid w:val="000B1D57"/>
    <w:rsid w:val="000B1F9A"/>
    <w:rsid w:val="000C2F53"/>
    <w:rsid w:val="000C4792"/>
    <w:rsid w:val="000D2307"/>
    <w:rsid w:val="000D575C"/>
    <w:rsid w:val="000D61BC"/>
    <w:rsid w:val="000E089D"/>
    <w:rsid w:val="000E2A37"/>
    <w:rsid w:val="000E2E7A"/>
    <w:rsid w:val="000F0D22"/>
    <w:rsid w:val="000F4169"/>
    <w:rsid w:val="000F6039"/>
    <w:rsid w:val="000F6B04"/>
    <w:rsid w:val="000F6B13"/>
    <w:rsid w:val="001005CD"/>
    <w:rsid w:val="001005EE"/>
    <w:rsid w:val="00102AF6"/>
    <w:rsid w:val="00112B97"/>
    <w:rsid w:val="0011594F"/>
    <w:rsid w:val="00121195"/>
    <w:rsid w:val="001222DA"/>
    <w:rsid w:val="00125FE2"/>
    <w:rsid w:val="00131C1B"/>
    <w:rsid w:val="0013736B"/>
    <w:rsid w:val="00140372"/>
    <w:rsid w:val="00142934"/>
    <w:rsid w:val="0014492B"/>
    <w:rsid w:val="00144B36"/>
    <w:rsid w:val="001451EB"/>
    <w:rsid w:val="00145AC3"/>
    <w:rsid w:val="001474EF"/>
    <w:rsid w:val="001526F0"/>
    <w:rsid w:val="00155C45"/>
    <w:rsid w:val="001566E8"/>
    <w:rsid w:val="001578AA"/>
    <w:rsid w:val="001607D6"/>
    <w:rsid w:val="00163CE3"/>
    <w:rsid w:val="00163E54"/>
    <w:rsid w:val="0016441E"/>
    <w:rsid w:val="00164435"/>
    <w:rsid w:val="001656A8"/>
    <w:rsid w:val="001744FE"/>
    <w:rsid w:val="0017642D"/>
    <w:rsid w:val="00176CDA"/>
    <w:rsid w:val="001801F9"/>
    <w:rsid w:val="001861BA"/>
    <w:rsid w:val="00186733"/>
    <w:rsid w:val="00191C35"/>
    <w:rsid w:val="00191ED2"/>
    <w:rsid w:val="0019332E"/>
    <w:rsid w:val="001945B6"/>
    <w:rsid w:val="00197461"/>
    <w:rsid w:val="001A049F"/>
    <w:rsid w:val="001A191E"/>
    <w:rsid w:val="001A3D8C"/>
    <w:rsid w:val="001A453C"/>
    <w:rsid w:val="001A4EB7"/>
    <w:rsid w:val="001A6D12"/>
    <w:rsid w:val="001A7D5E"/>
    <w:rsid w:val="001B0437"/>
    <w:rsid w:val="001B3AC3"/>
    <w:rsid w:val="001B46FA"/>
    <w:rsid w:val="001B5258"/>
    <w:rsid w:val="001B52BE"/>
    <w:rsid w:val="001B55BD"/>
    <w:rsid w:val="001C1755"/>
    <w:rsid w:val="001C3233"/>
    <w:rsid w:val="001C35D0"/>
    <w:rsid w:val="001C3620"/>
    <w:rsid w:val="001C559C"/>
    <w:rsid w:val="001C5BCD"/>
    <w:rsid w:val="001D13C6"/>
    <w:rsid w:val="001D1BEB"/>
    <w:rsid w:val="001D2706"/>
    <w:rsid w:val="001D53E3"/>
    <w:rsid w:val="001D7CF0"/>
    <w:rsid w:val="001E2A7C"/>
    <w:rsid w:val="001E4464"/>
    <w:rsid w:val="001F50A3"/>
    <w:rsid w:val="001F6830"/>
    <w:rsid w:val="002005EB"/>
    <w:rsid w:val="00201A61"/>
    <w:rsid w:val="00203670"/>
    <w:rsid w:val="00205141"/>
    <w:rsid w:val="00206951"/>
    <w:rsid w:val="00206DB0"/>
    <w:rsid w:val="00207CE4"/>
    <w:rsid w:val="00211530"/>
    <w:rsid w:val="00212694"/>
    <w:rsid w:val="002134CF"/>
    <w:rsid w:val="00216467"/>
    <w:rsid w:val="0022157B"/>
    <w:rsid w:val="002222DC"/>
    <w:rsid w:val="00223C54"/>
    <w:rsid w:val="0023047E"/>
    <w:rsid w:val="00234F68"/>
    <w:rsid w:val="002359BA"/>
    <w:rsid w:val="002361CB"/>
    <w:rsid w:val="0024075C"/>
    <w:rsid w:val="00240E8C"/>
    <w:rsid w:val="00242089"/>
    <w:rsid w:val="00242501"/>
    <w:rsid w:val="00243C76"/>
    <w:rsid w:val="00246845"/>
    <w:rsid w:val="002468FF"/>
    <w:rsid w:val="00246E31"/>
    <w:rsid w:val="00253027"/>
    <w:rsid w:val="002565DA"/>
    <w:rsid w:val="0025697A"/>
    <w:rsid w:val="00257246"/>
    <w:rsid w:val="00257562"/>
    <w:rsid w:val="002600B5"/>
    <w:rsid w:val="002610D0"/>
    <w:rsid w:val="002630C9"/>
    <w:rsid w:val="00263F6A"/>
    <w:rsid w:val="002642A7"/>
    <w:rsid w:val="002643AA"/>
    <w:rsid w:val="0026565A"/>
    <w:rsid w:val="00274372"/>
    <w:rsid w:val="00275D09"/>
    <w:rsid w:val="00276BF9"/>
    <w:rsid w:val="0028131B"/>
    <w:rsid w:val="00282F62"/>
    <w:rsid w:val="0028330B"/>
    <w:rsid w:val="00285B57"/>
    <w:rsid w:val="00286477"/>
    <w:rsid w:val="002868B9"/>
    <w:rsid w:val="00286B75"/>
    <w:rsid w:val="002923BB"/>
    <w:rsid w:val="002A276C"/>
    <w:rsid w:val="002A400B"/>
    <w:rsid w:val="002A5DBA"/>
    <w:rsid w:val="002A5DCC"/>
    <w:rsid w:val="002B080A"/>
    <w:rsid w:val="002B18A3"/>
    <w:rsid w:val="002B482A"/>
    <w:rsid w:val="002B7502"/>
    <w:rsid w:val="002B7CE8"/>
    <w:rsid w:val="002C211F"/>
    <w:rsid w:val="002C2808"/>
    <w:rsid w:val="002C5841"/>
    <w:rsid w:val="002D282C"/>
    <w:rsid w:val="002D4F16"/>
    <w:rsid w:val="002D6B4F"/>
    <w:rsid w:val="002E297F"/>
    <w:rsid w:val="002E4E53"/>
    <w:rsid w:val="002E6203"/>
    <w:rsid w:val="002E629B"/>
    <w:rsid w:val="002E790A"/>
    <w:rsid w:val="002F0A1F"/>
    <w:rsid w:val="002F0C6D"/>
    <w:rsid w:val="002F0CFA"/>
    <w:rsid w:val="002F2B09"/>
    <w:rsid w:val="002F3AE2"/>
    <w:rsid w:val="00300CE8"/>
    <w:rsid w:val="00300E2C"/>
    <w:rsid w:val="003011D5"/>
    <w:rsid w:val="00301299"/>
    <w:rsid w:val="00303B22"/>
    <w:rsid w:val="00304649"/>
    <w:rsid w:val="00311260"/>
    <w:rsid w:val="003118E3"/>
    <w:rsid w:val="003179BE"/>
    <w:rsid w:val="00317A91"/>
    <w:rsid w:val="00323643"/>
    <w:rsid w:val="0032381F"/>
    <w:rsid w:val="00324A7E"/>
    <w:rsid w:val="00324D41"/>
    <w:rsid w:val="00324EDD"/>
    <w:rsid w:val="003260AC"/>
    <w:rsid w:val="00326CBA"/>
    <w:rsid w:val="00326E1C"/>
    <w:rsid w:val="00327A8D"/>
    <w:rsid w:val="0033125A"/>
    <w:rsid w:val="00332DCE"/>
    <w:rsid w:val="00335C6E"/>
    <w:rsid w:val="00335D57"/>
    <w:rsid w:val="0033706B"/>
    <w:rsid w:val="00337E35"/>
    <w:rsid w:val="0034075B"/>
    <w:rsid w:val="00340EF3"/>
    <w:rsid w:val="00343F9A"/>
    <w:rsid w:val="00350128"/>
    <w:rsid w:val="00350DD2"/>
    <w:rsid w:val="00352053"/>
    <w:rsid w:val="003528BE"/>
    <w:rsid w:val="00353694"/>
    <w:rsid w:val="003560D7"/>
    <w:rsid w:val="00357CB4"/>
    <w:rsid w:val="003637C0"/>
    <w:rsid w:val="00363DFB"/>
    <w:rsid w:val="0036575C"/>
    <w:rsid w:val="003708A0"/>
    <w:rsid w:val="003726AF"/>
    <w:rsid w:val="0037412A"/>
    <w:rsid w:val="0037417D"/>
    <w:rsid w:val="00375A51"/>
    <w:rsid w:val="00381193"/>
    <w:rsid w:val="00381F75"/>
    <w:rsid w:val="003854CE"/>
    <w:rsid w:val="003875A6"/>
    <w:rsid w:val="003909CE"/>
    <w:rsid w:val="00390AC5"/>
    <w:rsid w:val="00390F02"/>
    <w:rsid w:val="00391CCE"/>
    <w:rsid w:val="00391EB8"/>
    <w:rsid w:val="003921D7"/>
    <w:rsid w:val="00395053"/>
    <w:rsid w:val="003A02C3"/>
    <w:rsid w:val="003A043F"/>
    <w:rsid w:val="003A15F9"/>
    <w:rsid w:val="003A2A25"/>
    <w:rsid w:val="003A37D7"/>
    <w:rsid w:val="003A50DC"/>
    <w:rsid w:val="003A65AE"/>
    <w:rsid w:val="003A6E65"/>
    <w:rsid w:val="003A73A2"/>
    <w:rsid w:val="003B6CF1"/>
    <w:rsid w:val="003C2DF5"/>
    <w:rsid w:val="003C4034"/>
    <w:rsid w:val="003C4772"/>
    <w:rsid w:val="003D209F"/>
    <w:rsid w:val="003D6114"/>
    <w:rsid w:val="003E5681"/>
    <w:rsid w:val="003F2A51"/>
    <w:rsid w:val="003F2B4A"/>
    <w:rsid w:val="003F6959"/>
    <w:rsid w:val="003F6E02"/>
    <w:rsid w:val="00400DC7"/>
    <w:rsid w:val="00401E2D"/>
    <w:rsid w:val="00402110"/>
    <w:rsid w:val="00405646"/>
    <w:rsid w:val="00405AA6"/>
    <w:rsid w:val="00406413"/>
    <w:rsid w:val="004115F9"/>
    <w:rsid w:val="004122E5"/>
    <w:rsid w:val="00412A81"/>
    <w:rsid w:val="00414783"/>
    <w:rsid w:val="004178D6"/>
    <w:rsid w:val="004246DB"/>
    <w:rsid w:val="004328BD"/>
    <w:rsid w:val="00435A61"/>
    <w:rsid w:val="00436383"/>
    <w:rsid w:val="00443628"/>
    <w:rsid w:val="00446900"/>
    <w:rsid w:val="00447799"/>
    <w:rsid w:val="00447E10"/>
    <w:rsid w:val="0045065B"/>
    <w:rsid w:val="004506EF"/>
    <w:rsid w:val="0045282F"/>
    <w:rsid w:val="004624D7"/>
    <w:rsid w:val="0046287C"/>
    <w:rsid w:val="004638F8"/>
    <w:rsid w:val="0046516C"/>
    <w:rsid w:val="004700F9"/>
    <w:rsid w:val="004701E0"/>
    <w:rsid w:val="00472390"/>
    <w:rsid w:val="00472D27"/>
    <w:rsid w:val="004734AC"/>
    <w:rsid w:val="00474947"/>
    <w:rsid w:val="00474E92"/>
    <w:rsid w:val="00480192"/>
    <w:rsid w:val="00480DA2"/>
    <w:rsid w:val="00482536"/>
    <w:rsid w:val="004841A6"/>
    <w:rsid w:val="00490F50"/>
    <w:rsid w:val="00494476"/>
    <w:rsid w:val="004953BF"/>
    <w:rsid w:val="004A0473"/>
    <w:rsid w:val="004A761B"/>
    <w:rsid w:val="004B152A"/>
    <w:rsid w:val="004B38E3"/>
    <w:rsid w:val="004B3E86"/>
    <w:rsid w:val="004B4613"/>
    <w:rsid w:val="004B62F4"/>
    <w:rsid w:val="004B757A"/>
    <w:rsid w:val="004C05F5"/>
    <w:rsid w:val="004C0D9C"/>
    <w:rsid w:val="004D12A1"/>
    <w:rsid w:val="004D1DC6"/>
    <w:rsid w:val="004D1E60"/>
    <w:rsid w:val="004D30C5"/>
    <w:rsid w:val="004D3680"/>
    <w:rsid w:val="004D4082"/>
    <w:rsid w:val="004E2E7C"/>
    <w:rsid w:val="004E6484"/>
    <w:rsid w:val="004E6D22"/>
    <w:rsid w:val="004F410D"/>
    <w:rsid w:val="004F6722"/>
    <w:rsid w:val="0050456F"/>
    <w:rsid w:val="00505DF8"/>
    <w:rsid w:val="00506DD6"/>
    <w:rsid w:val="005073B0"/>
    <w:rsid w:val="00512EB7"/>
    <w:rsid w:val="005131D5"/>
    <w:rsid w:val="00513E67"/>
    <w:rsid w:val="00516EB0"/>
    <w:rsid w:val="00522DA9"/>
    <w:rsid w:val="00532661"/>
    <w:rsid w:val="0053532A"/>
    <w:rsid w:val="005356C3"/>
    <w:rsid w:val="00536762"/>
    <w:rsid w:val="005370AA"/>
    <w:rsid w:val="005377D8"/>
    <w:rsid w:val="00545632"/>
    <w:rsid w:val="0054573E"/>
    <w:rsid w:val="00545DAD"/>
    <w:rsid w:val="005465A8"/>
    <w:rsid w:val="00546855"/>
    <w:rsid w:val="00554153"/>
    <w:rsid w:val="00554679"/>
    <w:rsid w:val="00557CC0"/>
    <w:rsid w:val="00561D59"/>
    <w:rsid w:val="00563CDE"/>
    <w:rsid w:val="00566C0B"/>
    <w:rsid w:val="00567771"/>
    <w:rsid w:val="00567F48"/>
    <w:rsid w:val="00570592"/>
    <w:rsid w:val="005706EB"/>
    <w:rsid w:val="00575428"/>
    <w:rsid w:val="00576DBB"/>
    <w:rsid w:val="0058204F"/>
    <w:rsid w:val="0058216D"/>
    <w:rsid w:val="005828A0"/>
    <w:rsid w:val="005858B1"/>
    <w:rsid w:val="0058673A"/>
    <w:rsid w:val="00586C74"/>
    <w:rsid w:val="00597566"/>
    <w:rsid w:val="005A2883"/>
    <w:rsid w:val="005A4CD9"/>
    <w:rsid w:val="005A68B7"/>
    <w:rsid w:val="005B1D28"/>
    <w:rsid w:val="005C3891"/>
    <w:rsid w:val="005C3B0C"/>
    <w:rsid w:val="005D24B1"/>
    <w:rsid w:val="005D62C6"/>
    <w:rsid w:val="005D630A"/>
    <w:rsid w:val="005D683D"/>
    <w:rsid w:val="005D6DDE"/>
    <w:rsid w:val="005E0E07"/>
    <w:rsid w:val="005E28D5"/>
    <w:rsid w:val="005E347D"/>
    <w:rsid w:val="005E34F8"/>
    <w:rsid w:val="005E46E1"/>
    <w:rsid w:val="005E4F7B"/>
    <w:rsid w:val="005E5B3C"/>
    <w:rsid w:val="005E6F23"/>
    <w:rsid w:val="005F57BD"/>
    <w:rsid w:val="00601E44"/>
    <w:rsid w:val="00601E6E"/>
    <w:rsid w:val="006114B3"/>
    <w:rsid w:val="0061270F"/>
    <w:rsid w:val="006144EB"/>
    <w:rsid w:val="0061476F"/>
    <w:rsid w:val="00620EB6"/>
    <w:rsid w:val="00623C93"/>
    <w:rsid w:val="00624002"/>
    <w:rsid w:val="00625F19"/>
    <w:rsid w:val="00626EBC"/>
    <w:rsid w:val="00630769"/>
    <w:rsid w:val="00631AE8"/>
    <w:rsid w:val="00631BA8"/>
    <w:rsid w:val="00631D51"/>
    <w:rsid w:val="0063212A"/>
    <w:rsid w:val="00634E2F"/>
    <w:rsid w:val="00641F77"/>
    <w:rsid w:val="0064281F"/>
    <w:rsid w:val="00643ACB"/>
    <w:rsid w:val="00644FEB"/>
    <w:rsid w:val="00646EAA"/>
    <w:rsid w:val="00647B3D"/>
    <w:rsid w:val="00647DB6"/>
    <w:rsid w:val="00647DC9"/>
    <w:rsid w:val="00652C5D"/>
    <w:rsid w:val="00655C88"/>
    <w:rsid w:val="00655CF4"/>
    <w:rsid w:val="00657F04"/>
    <w:rsid w:val="00662216"/>
    <w:rsid w:val="00662C64"/>
    <w:rsid w:val="006636B4"/>
    <w:rsid w:val="00664834"/>
    <w:rsid w:val="0066554A"/>
    <w:rsid w:val="006676BE"/>
    <w:rsid w:val="0067063A"/>
    <w:rsid w:val="006711C2"/>
    <w:rsid w:val="00672E18"/>
    <w:rsid w:val="006733F2"/>
    <w:rsid w:val="0067586F"/>
    <w:rsid w:val="00680641"/>
    <w:rsid w:val="0068285B"/>
    <w:rsid w:val="00683FBA"/>
    <w:rsid w:val="006846B5"/>
    <w:rsid w:val="00684B6A"/>
    <w:rsid w:val="0069085B"/>
    <w:rsid w:val="0069150D"/>
    <w:rsid w:val="00693F8C"/>
    <w:rsid w:val="006A0062"/>
    <w:rsid w:val="006B01B1"/>
    <w:rsid w:val="006B0D8E"/>
    <w:rsid w:val="006B1ECD"/>
    <w:rsid w:val="006B32AB"/>
    <w:rsid w:val="006B6FDC"/>
    <w:rsid w:val="006C0947"/>
    <w:rsid w:val="006C263B"/>
    <w:rsid w:val="006C3AD9"/>
    <w:rsid w:val="006C4516"/>
    <w:rsid w:val="006C4F21"/>
    <w:rsid w:val="006C50FD"/>
    <w:rsid w:val="006C6590"/>
    <w:rsid w:val="006C6E7B"/>
    <w:rsid w:val="006D344B"/>
    <w:rsid w:val="006D38DD"/>
    <w:rsid w:val="006D4BA6"/>
    <w:rsid w:val="006D651D"/>
    <w:rsid w:val="006E097B"/>
    <w:rsid w:val="006E369E"/>
    <w:rsid w:val="006E420A"/>
    <w:rsid w:val="006E4895"/>
    <w:rsid w:val="006F0662"/>
    <w:rsid w:val="006F5146"/>
    <w:rsid w:val="00701378"/>
    <w:rsid w:val="007062FA"/>
    <w:rsid w:val="00710425"/>
    <w:rsid w:val="00710EE1"/>
    <w:rsid w:val="0071210E"/>
    <w:rsid w:val="0071481A"/>
    <w:rsid w:val="00715294"/>
    <w:rsid w:val="0071781D"/>
    <w:rsid w:val="00721AF7"/>
    <w:rsid w:val="007220DA"/>
    <w:rsid w:val="00722BE9"/>
    <w:rsid w:val="007300D6"/>
    <w:rsid w:val="00730AE9"/>
    <w:rsid w:val="00733271"/>
    <w:rsid w:val="00735889"/>
    <w:rsid w:val="00742AFF"/>
    <w:rsid w:val="00746710"/>
    <w:rsid w:val="00747391"/>
    <w:rsid w:val="007476A6"/>
    <w:rsid w:val="0075047F"/>
    <w:rsid w:val="007531E1"/>
    <w:rsid w:val="00756AB5"/>
    <w:rsid w:val="007603FE"/>
    <w:rsid w:val="00763748"/>
    <w:rsid w:val="0076446E"/>
    <w:rsid w:val="00764C51"/>
    <w:rsid w:val="00766B6D"/>
    <w:rsid w:val="00771B5B"/>
    <w:rsid w:val="007734D5"/>
    <w:rsid w:val="00774AF9"/>
    <w:rsid w:val="007751A6"/>
    <w:rsid w:val="00776B7E"/>
    <w:rsid w:val="00776CD6"/>
    <w:rsid w:val="007804A5"/>
    <w:rsid w:val="00781227"/>
    <w:rsid w:val="00781994"/>
    <w:rsid w:val="00781B1F"/>
    <w:rsid w:val="00784D15"/>
    <w:rsid w:val="00785EA7"/>
    <w:rsid w:val="007861CC"/>
    <w:rsid w:val="00793DF3"/>
    <w:rsid w:val="00794427"/>
    <w:rsid w:val="00794CEB"/>
    <w:rsid w:val="007A189A"/>
    <w:rsid w:val="007A21A5"/>
    <w:rsid w:val="007A3A3F"/>
    <w:rsid w:val="007A4AE3"/>
    <w:rsid w:val="007A4F8F"/>
    <w:rsid w:val="007B0AD9"/>
    <w:rsid w:val="007B216D"/>
    <w:rsid w:val="007B2933"/>
    <w:rsid w:val="007B4278"/>
    <w:rsid w:val="007C033C"/>
    <w:rsid w:val="007C1377"/>
    <w:rsid w:val="007C65D8"/>
    <w:rsid w:val="007D020E"/>
    <w:rsid w:val="007D29F4"/>
    <w:rsid w:val="007D3C45"/>
    <w:rsid w:val="007D5760"/>
    <w:rsid w:val="007E4ADF"/>
    <w:rsid w:val="007F6854"/>
    <w:rsid w:val="007F72DA"/>
    <w:rsid w:val="008006D1"/>
    <w:rsid w:val="0080084B"/>
    <w:rsid w:val="00802667"/>
    <w:rsid w:val="0080481F"/>
    <w:rsid w:val="00804A99"/>
    <w:rsid w:val="0080722D"/>
    <w:rsid w:val="008075CF"/>
    <w:rsid w:val="0081451D"/>
    <w:rsid w:val="00817831"/>
    <w:rsid w:val="0082026A"/>
    <w:rsid w:val="008204ED"/>
    <w:rsid w:val="0082155E"/>
    <w:rsid w:val="00825CC4"/>
    <w:rsid w:val="008265BF"/>
    <w:rsid w:val="00841E2A"/>
    <w:rsid w:val="00852084"/>
    <w:rsid w:val="00855E91"/>
    <w:rsid w:val="008577F6"/>
    <w:rsid w:val="008602C2"/>
    <w:rsid w:val="00870E92"/>
    <w:rsid w:val="008716AB"/>
    <w:rsid w:val="008725B2"/>
    <w:rsid w:val="00872C18"/>
    <w:rsid w:val="008743CF"/>
    <w:rsid w:val="00874709"/>
    <w:rsid w:val="008748EC"/>
    <w:rsid w:val="00877206"/>
    <w:rsid w:val="00877EB7"/>
    <w:rsid w:val="00884214"/>
    <w:rsid w:val="00884513"/>
    <w:rsid w:val="00884BB4"/>
    <w:rsid w:val="0088542B"/>
    <w:rsid w:val="00886778"/>
    <w:rsid w:val="00892E65"/>
    <w:rsid w:val="00892FFA"/>
    <w:rsid w:val="00896186"/>
    <w:rsid w:val="00897D51"/>
    <w:rsid w:val="0089834E"/>
    <w:rsid w:val="008A082C"/>
    <w:rsid w:val="008A162D"/>
    <w:rsid w:val="008A3283"/>
    <w:rsid w:val="008A4A80"/>
    <w:rsid w:val="008A63A3"/>
    <w:rsid w:val="008C01B3"/>
    <w:rsid w:val="008C1E27"/>
    <w:rsid w:val="008C38C1"/>
    <w:rsid w:val="008C41F2"/>
    <w:rsid w:val="008C5E3D"/>
    <w:rsid w:val="008D2969"/>
    <w:rsid w:val="008D3D14"/>
    <w:rsid w:val="008D7B72"/>
    <w:rsid w:val="008E38F3"/>
    <w:rsid w:val="008E6315"/>
    <w:rsid w:val="008E68F0"/>
    <w:rsid w:val="008F174D"/>
    <w:rsid w:val="008F1BD1"/>
    <w:rsid w:val="008F36FE"/>
    <w:rsid w:val="008F4480"/>
    <w:rsid w:val="00900012"/>
    <w:rsid w:val="009010BE"/>
    <w:rsid w:val="00902677"/>
    <w:rsid w:val="00903C7D"/>
    <w:rsid w:val="00905F93"/>
    <w:rsid w:val="009066BE"/>
    <w:rsid w:val="00910FBD"/>
    <w:rsid w:val="00911301"/>
    <w:rsid w:val="00912A7A"/>
    <w:rsid w:val="009153E4"/>
    <w:rsid w:val="00921420"/>
    <w:rsid w:val="009226B4"/>
    <w:rsid w:val="009230A6"/>
    <w:rsid w:val="00925D1D"/>
    <w:rsid w:val="00930971"/>
    <w:rsid w:val="009313FB"/>
    <w:rsid w:val="00931F29"/>
    <w:rsid w:val="00941B5B"/>
    <w:rsid w:val="00945666"/>
    <w:rsid w:val="0095057A"/>
    <w:rsid w:val="0095594E"/>
    <w:rsid w:val="00956583"/>
    <w:rsid w:val="00960351"/>
    <w:rsid w:val="009622B2"/>
    <w:rsid w:val="00962E5F"/>
    <w:rsid w:val="00965F5A"/>
    <w:rsid w:val="0096661B"/>
    <w:rsid w:val="0097172D"/>
    <w:rsid w:val="00971C3A"/>
    <w:rsid w:val="00973101"/>
    <w:rsid w:val="009739ED"/>
    <w:rsid w:val="00981CD8"/>
    <w:rsid w:val="009836C0"/>
    <w:rsid w:val="00984898"/>
    <w:rsid w:val="00985EA7"/>
    <w:rsid w:val="0099185A"/>
    <w:rsid w:val="009A166C"/>
    <w:rsid w:val="009A2842"/>
    <w:rsid w:val="009A397D"/>
    <w:rsid w:val="009A46A0"/>
    <w:rsid w:val="009A722F"/>
    <w:rsid w:val="009A7CBA"/>
    <w:rsid w:val="009B11B4"/>
    <w:rsid w:val="009B2D82"/>
    <w:rsid w:val="009B756D"/>
    <w:rsid w:val="009C293E"/>
    <w:rsid w:val="009C42FA"/>
    <w:rsid w:val="009C58B7"/>
    <w:rsid w:val="009C7FE6"/>
    <w:rsid w:val="009D0E80"/>
    <w:rsid w:val="009D0FAE"/>
    <w:rsid w:val="009D1163"/>
    <w:rsid w:val="009D630A"/>
    <w:rsid w:val="009D77A9"/>
    <w:rsid w:val="009E0F94"/>
    <w:rsid w:val="009E574D"/>
    <w:rsid w:val="009E60AC"/>
    <w:rsid w:val="009F0668"/>
    <w:rsid w:val="009F4DB4"/>
    <w:rsid w:val="009F64BA"/>
    <w:rsid w:val="009F79A6"/>
    <w:rsid w:val="00A030AA"/>
    <w:rsid w:val="00A04A8C"/>
    <w:rsid w:val="00A05A31"/>
    <w:rsid w:val="00A06F71"/>
    <w:rsid w:val="00A10CF0"/>
    <w:rsid w:val="00A12D78"/>
    <w:rsid w:val="00A13372"/>
    <w:rsid w:val="00A133DC"/>
    <w:rsid w:val="00A1583F"/>
    <w:rsid w:val="00A15DBC"/>
    <w:rsid w:val="00A2731C"/>
    <w:rsid w:val="00A274CC"/>
    <w:rsid w:val="00A27AE5"/>
    <w:rsid w:val="00A33F35"/>
    <w:rsid w:val="00A34A41"/>
    <w:rsid w:val="00A40D86"/>
    <w:rsid w:val="00A416AE"/>
    <w:rsid w:val="00A42366"/>
    <w:rsid w:val="00A44ECD"/>
    <w:rsid w:val="00A47084"/>
    <w:rsid w:val="00A50CE2"/>
    <w:rsid w:val="00A51AA6"/>
    <w:rsid w:val="00A53B1F"/>
    <w:rsid w:val="00A56771"/>
    <w:rsid w:val="00A567C8"/>
    <w:rsid w:val="00A60438"/>
    <w:rsid w:val="00A62BEA"/>
    <w:rsid w:val="00A649BF"/>
    <w:rsid w:val="00A710CC"/>
    <w:rsid w:val="00A72691"/>
    <w:rsid w:val="00A74692"/>
    <w:rsid w:val="00A74D31"/>
    <w:rsid w:val="00A75076"/>
    <w:rsid w:val="00A76A98"/>
    <w:rsid w:val="00A77CEE"/>
    <w:rsid w:val="00A806F0"/>
    <w:rsid w:val="00A80C27"/>
    <w:rsid w:val="00A876C4"/>
    <w:rsid w:val="00A93B40"/>
    <w:rsid w:val="00A94803"/>
    <w:rsid w:val="00A9698A"/>
    <w:rsid w:val="00AA0B90"/>
    <w:rsid w:val="00AA1CE1"/>
    <w:rsid w:val="00AA4A86"/>
    <w:rsid w:val="00AA4C71"/>
    <w:rsid w:val="00AA4FCC"/>
    <w:rsid w:val="00AB2009"/>
    <w:rsid w:val="00AC01E1"/>
    <w:rsid w:val="00AC0E58"/>
    <w:rsid w:val="00AC12BA"/>
    <w:rsid w:val="00AC1B9D"/>
    <w:rsid w:val="00AC2672"/>
    <w:rsid w:val="00AC5FD3"/>
    <w:rsid w:val="00AC6B4D"/>
    <w:rsid w:val="00AC7920"/>
    <w:rsid w:val="00AD692B"/>
    <w:rsid w:val="00AD6A79"/>
    <w:rsid w:val="00AD762D"/>
    <w:rsid w:val="00AE054D"/>
    <w:rsid w:val="00AE0F5E"/>
    <w:rsid w:val="00AF343B"/>
    <w:rsid w:val="00AF3937"/>
    <w:rsid w:val="00AF3FA9"/>
    <w:rsid w:val="00AF5670"/>
    <w:rsid w:val="00AF5980"/>
    <w:rsid w:val="00B00A66"/>
    <w:rsid w:val="00B01F72"/>
    <w:rsid w:val="00B04FDD"/>
    <w:rsid w:val="00B106B0"/>
    <w:rsid w:val="00B135DB"/>
    <w:rsid w:val="00B14A9D"/>
    <w:rsid w:val="00B14C99"/>
    <w:rsid w:val="00B16B41"/>
    <w:rsid w:val="00B20D4D"/>
    <w:rsid w:val="00B20EF1"/>
    <w:rsid w:val="00B245DD"/>
    <w:rsid w:val="00B25D24"/>
    <w:rsid w:val="00B27C59"/>
    <w:rsid w:val="00B27F3D"/>
    <w:rsid w:val="00B3110C"/>
    <w:rsid w:val="00B32721"/>
    <w:rsid w:val="00B34438"/>
    <w:rsid w:val="00B3493B"/>
    <w:rsid w:val="00B36946"/>
    <w:rsid w:val="00B439D6"/>
    <w:rsid w:val="00B44170"/>
    <w:rsid w:val="00B446BE"/>
    <w:rsid w:val="00B44EA2"/>
    <w:rsid w:val="00B47646"/>
    <w:rsid w:val="00B50C14"/>
    <w:rsid w:val="00B569BC"/>
    <w:rsid w:val="00B56BD2"/>
    <w:rsid w:val="00B60875"/>
    <w:rsid w:val="00B615BC"/>
    <w:rsid w:val="00B63D5A"/>
    <w:rsid w:val="00B649D1"/>
    <w:rsid w:val="00B667FD"/>
    <w:rsid w:val="00B6693E"/>
    <w:rsid w:val="00B66F3D"/>
    <w:rsid w:val="00B7035B"/>
    <w:rsid w:val="00B71DC1"/>
    <w:rsid w:val="00B74AC4"/>
    <w:rsid w:val="00B82C51"/>
    <w:rsid w:val="00B846DB"/>
    <w:rsid w:val="00B87C48"/>
    <w:rsid w:val="00B91346"/>
    <w:rsid w:val="00B92322"/>
    <w:rsid w:val="00B9325C"/>
    <w:rsid w:val="00B93CBD"/>
    <w:rsid w:val="00BA4DAA"/>
    <w:rsid w:val="00BB20E9"/>
    <w:rsid w:val="00BB39CA"/>
    <w:rsid w:val="00BB699E"/>
    <w:rsid w:val="00BC293B"/>
    <w:rsid w:val="00BC2F2A"/>
    <w:rsid w:val="00BD1EAC"/>
    <w:rsid w:val="00BD1F75"/>
    <w:rsid w:val="00BE2228"/>
    <w:rsid w:val="00BE26AF"/>
    <w:rsid w:val="00BE2E1F"/>
    <w:rsid w:val="00BE58FE"/>
    <w:rsid w:val="00BE59A7"/>
    <w:rsid w:val="00BE5FF0"/>
    <w:rsid w:val="00BE665B"/>
    <w:rsid w:val="00BE6C80"/>
    <w:rsid w:val="00BF5D73"/>
    <w:rsid w:val="00BF7419"/>
    <w:rsid w:val="00C00F80"/>
    <w:rsid w:val="00C012CC"/>
    <w:rsid w:val="00C03301"/>
    <w:rsid w:val="00C056AA"/>
    <w:rsid w:val="00C079EC"/>
    <w:rsid w:val="00C102CE"/>
    <w:rsid w:val="00C15455"/>
    <w:rsid w:val="00C15A08"/>
    <w:rsid w:val="00C21B14"/>
    <w:rsid w:val="00C22032"/>
    <w:rsid w:val="00C22690"/>
    <w:rsid w:val="00C2326C"/>
    <w:rsid w:val="00C24F53"/>
    <w:rsid w:val="00C30ACB"/>
    <w:rsid w:val="00C37F64"/>
    <w:rsid w:val="00C4059E"/>
    <w:rsid w:val="00C409C0"/>
    <w:rsid w:val="00C42DC1"/>
    <w:rsid w:val="00C436F1"/>
    <w:rsid w:val="00C44639"/>
    <w:rsid w:val="00C450C3"/>
    <w:rsid w:val="00C47D8D"/>
    <w:rsid w:val="00C53FE5"/>
    <w:rsid w:val="00C54B43"/>
    <w:rsid w:val="00C55227"/>
    <w:rsid w:val="00C675BB"/>
    <w:rsid w:val="00C7029D"/>
    <w:rsid w:val="00C718D3"/>
    <w:rsid w:val="00C7437C"/>
    <w:rsid w:val="00C7453E"/>
    <w:rsid w:val="00C745EC"/>
    <w:rsid w:val="00C8557D"/>
    <w:rsid w:val="00C86D7C"/>
    <w:rsid w:val="00C87BC3"/>
    <w:rsid w:val="00C87BF4"/>
    <w:rsid w:val="00C905E1"/>
    <w:rsid w:val="00C93792"/>
    <w:rsid w:val="00CA0F46"/>
    <w:rsid w:val="00CA1958"/>
    <w:rsid w:val="00CA2BF7"/>
    <w:rsid w:val="00CA5662"/>
    <w:rsid w:val="00CA5F1C"/>
    <w:rsid w:val="00CB117B"/>
    <w:rsid w:val="00CB221D"/>
    <w:rsid w:val="00CB2D01"/>
    <w:rsid w:val="00CB2DC9"/>
    <w:rsid w:val="00CB4233"/>
    <w:rsid w:val="00CB7435"/>
    <w:rsid w:val="00CC19E6"/>
    <w:rsid w:val="00CC2205"/>
    <w:rsid w:val="00CC628D"/>
    <w:rsid w:val="00CD2B40"/>
    <w:rsid w:val="00CD36F4"/>
    <w:rsid w:val="00CD3812"/>
    <w:rsid w:val="00CD532B"/>
    <w:rsid w:val="00CD5932"/>
    <w:rsid w:val="00CD63BF"/>
    <w:rsid w:val="00CE11ED"/>
    <w:rsid w:val="00CE51D4"/>
    <w:rsid w:val="00CE593C"/>
    <w:rsid w:val="00CE74D7"/>
    <w:rsid w:val="00CE7A46"/>
    <w:rsid w:val="00CF34FE"/>
    <w:rsid w:val="00CF5C9E"/>
    <w:rsid w:val="00CF7F4C"/>
    <w:rsid w:val="00D000D0"/>
    <w:rsid w:val="00D02557"/>
    <w:rsid w:val="00D02849"/>
    <w:rsid w:val="00D03DA7"/>
    <w:rsid w:val="00D060D0"/>
    <w:rsid w:val="00D14790"/>
    <w:rsid w:val="00D148E7"/>
    <w:rsid w:val="00D15B27"/>
    <w:rsid w:val="00D21410"/>
    <w:rsid w:val="00D25BE3"/>
    <w:rsid w:val="00D2646F"/>
    <w:rsid w:val="00D309BD"/>
    <w:rsid w:val="00D322E1"/>
    <w:rsid w:val="00D32A94"/>
    <w:rsid w:val="00D3333F"/>
    <w:rsid w:val="00D3364E"/>
    <w:rsid w:val="00D33C5D"/>
    <w:rsid w:val="00D35E4F"/>
    <w:rsid w:val="00D360F7"/>
    <w:rsid w:val="00D3612F"/>
    <w:rsid w:val="00D36F1C"/>
    <w:rsid w:val="00D37DBB"/>
    <w:rsid w:val="00D41D14"/>
    <w:rsid w:val="00D41F1B"/>
    <w:rsid w:val="00D43F70"/>
    <w:rsid w:val="00D4638C"/>
    <w:rsid w:val="00D5138F"/>
    <w:rsid w:val="00D525E2"/>
    <w:rsid w:val="00D55CEB"/>
    <w:rsid w:val="00D6334B"/>
    <w:rsid w:val="00D645AF"/>
    <w:rsid w:val="00D64C43"/>
    <w:rsid w:val="00D65D1E"/>
    <w:rsid w:val="00D6793B"/>
    <w:rsid w:val="00D67B47"/>
    <w:rsid w:val="00D71127"/>
    <w:rsid w:val="00D72C82"/>
    <w:rsid w:val="00D73A30"/>
    <w:rsid w:val="00D76E8C"/>
    <w:rsid w:val="00D8178E"/>
    <w:rsid w:val="00D846A7"/>
    <w:rsid w:val="00D86342"/>
    <w:rsid w:val="00D87B52"/>
    <w:rsid w:val="00D90550"/>
    <w:rsid w:val="00D91D76"/>
    <w:rsid w:val="00D954CF"/>
    <w:rsid w:val="00D95D78"/>
    <w:rsid w:val="00D97C95"/>
    <w:rsid w:val="00DA38A3"/>
    <w:rsid w:val="00DB1B7D"/>
    <w:rsid w:val="00DB68D7"/>
    <w:rsid w:val="00DC0897"/>
    <w:rsid w:val="00DC1ED9"/>
    <w:rsid w:val="00DC41A3"/>
    <w:rsid w:val="00DC5BD5"/>
    <w:rsid w:val="00DC6C3E"/>
    <w:rsid w:val="00DD1CFF"/>
    <w:rsid w:val="00DD3F14"/>
    <w:rsid w:val="00DD64AD"/>
    <w:rsid w:val="00DE36DE"/>
    <w:rsid w:val="00DE5E4A"/>
    <w:rsid w:val="00DF1B99"/>
    <w:rsid w:val="00DF3091"/>
    <w:rsid w:val="00DF33D3"/>
    <w:rsid w:val="00DF3925"/>
    <w:rsid w:val="00DF70BC"/>
    <w:rsid w:val="00DF76FC"/>
    <w:rsid w:val="00DF7CC9"/>
    <w:rsid w:val="00E005E6"/>
    <w:rsid w:val="00E079EB"/>
    <w:rsid w:val="00E102B9"/>
    <w:rsid w:val="00E11D5C"/>
    <w:rsid w:val="00E147A7"/>
    <w:rsid w:val="00E1610F"/>
    <w:rsid w:val="00E21390"/>
    <w:rsid w:val="00E24B94"/>
    <w:rsid w:val="00E25C32"/>
    <w:rsid w:val="00E274E8"/>
    <w:rsid w:val="00E353B6"/>
    <w:rsid w:val="00E36507"/>
    <w:rsid w:val="00E41513"/>
    <w:rsid w:val="00E4214C"/>
    <w:rsid w:val="00E43DE2"/>
    <w:rsid w:val="00E44609"/>
    <w:rsid w:val="00E44755"/>
    <w:rsid w:val="00E44D60"/>
    <w:rsid w:val="00E45ABF"/>
    <w:rsid w:val="00E46CEF"/>
    <w:rsid w:val="00E502C4"/>
    <w:rsid w:val="00E5046E"/>
    <w:rsid w:val="00E50E9C"/>
    <w:rsid w:val="00E51B4F"/>
    <w:rsid w:val="00E56A3B"/>
    <w:rsid w:val="00E57FE5"/>
    <w:rsid w:val="00E63A65"/>
    <w:rsid w:val="00E64BA3"/>
    <w:rsid w:val="00E64FF0"/>
    <w:rsid w:val="00E65397"/>
    <w:rsid w:val="00E66544"/>
    <w:rsid w:val="00E73601"/>
    <w:rsid w:val="00E73A1B"/>
    <w:rsid w:val="00E73C38"/>
    <w:rsid w:val="00E73D12"/>
    <w:rsid w:val="00E7658C"/>
    <w:rsid w:val="00E77047"/>
    <w:rsid w:val="00E80D9A"/>
    <w:rsid w:val="00E92C71"/>
    <w:rsid w:val="00E96759"/>
    <w:rsid w:val="00EA4787"/>
    <w:rsid w:val="00EA6F83"/>
    <w:rsid w:val="00EA78DB"/>
    <w:rsid w:val="00EA7E36"/>
    <w:rsid w:val="00EB78FA"/>
    <w:rsid w:val="00EC0B92"/>
    <w:rsid w:val="00EC1FBA"/>
    <w:rsid w:val="00ED3FCE"/>
    <w:rsid w:val="00ED44DA"/>
    <w:rsid w:val="00ED50C4"/>
    <w:rsid w:val="00ED69D7"/>
    <w:rsid w:val="00ED70E3"/>
    <w:rsid w:val="00ED7BFB"/>
    <w:rsid w:val="00EE144D"/>
    <w:rsid w:val="00EE22C4"/>
    <w:rsid w:val="00EE5883"/>
    <w:rsid w:val="00EE6E7F"/>
    <w:rsid w:val="00EE727C"/>
    <w:rsid w:val="00EF049D"/>
    <w:rsid w:val="00EF67FF"/>
    <w:rsid w:val="00EF6935"/>
    <w:rsid w:val="00EF7F5D"/>
    <w:rsid w:val="00F04204"/>
    <w:rsid w:val="00F078D9"/>
    <w:rsid w:val="00F107A5"/>
    <w:rsid w:val="00F11F80"/>
    <w:rsid w:val="00F12030"/>
    <w:rsid w:val="00F136C5"/>
    <w:rsid w:val="00F13FB9"/>
    <w:rsid w:val="00F17752"/>
    <w:rsid w:val="00F200D9"/>
    <w:rsid w:val="00F212EC"/>
    <w:rsid w:val="00F21C12"/>
    <w:rsid w:val="00F22354"/>
    <w:rsid w:val="00F2433A"/>
    <w:rsid w:val="00F25C92"/>
    <w:rsid w:val="00F27C9E"/>
    <w:rsid w:val="00F27F5A"/>
    <w:rsid w:val="00F314B5"/>
    <w:rsid w:val="00F32D0B"/>
    <w:rsid w:val="00F3461C"/>
    <w:rsid w:val="00F35A01"/>
    <w:rsid w:val="00F36215"/>
    <w:rsid w:val="00F402BE"/>
    <w:rsid w:val="00F47BD6"/>
    <w:rsid w:val="00F51343"/>
    <w:rsid w:val="00F540EC"/>
    <w:rsid w:val="00F54435"/>
    <w:rsid w:val="00F54A2B"/>
    <w:rsid w:val="00F5503B"/>
    <w:rsid w:val="00F56241"/>
    <w:rsid w:val="00F568CE"/>
    <w:rsid w:val="00F63948"/>
    <w:rsid w:val="00F64715"/>
    <w:rsid w:val="00F65C7C"/>
    <w:rsid w:val="00F65F84"/>
    <w:rsid w:val="00F66729"/>
    <w:rsid w:val="00F67D69"/>
    <w:rsid w:val="00F71686"/>
    <w:rsid w:val="00F728AD"/>
    <w:rsid w:val="00F7542A"/>
    <w:rsid w:val="00F80189"/>
    <w:rsid w:val="00F8019C"/>
    <w:rsid w:val="00F801FB"/>
    <w:rsid w:val="00F810B7"/>
    <w:rsid w:val="00F90DDE"/>
    <w:rsid w:val="00F91EC9"/>
    <w:rsid w:val="00F93B31"/>
    <w:rsid w:val="00F941C8"/>
    <w:rsid w:val="00F96F70"/>
    <w:rsid w:val="00F96FE5"/>
    <w:rsid w:val="00FA0860"/>
    <w:rsid w:val="00FA11A3"/>
    <w:rsid w:val="00FA2D20"/>
    <w:rsid w:val="00FA31DA"/>
    <w:rsid w:val="00FA68E9"/>
    <w:rsid w:val="00FB0155"/>
    <w:rsid w:val="00FB2295"/>
    <w:rsid w:val="00FB27BA"/>
    <w:rsid w:val="00FB3642"/>
    <w:rsid w:val="00FB376F"/>
    <w:rsid w:val="00FB3DEE"/>
    <w:rsid w:val="00FC0ECE"/>
    <w:rsid w:val="00FC1010"/>
    <w:rsid w:val="00FC17E5"/>
    <w:rsid w:val="00FD03E3"/>
    <w:rsid w:val="00FD04C5"/>
    <w:rsid w:val="00FD16B0"/>
    <w:rsid w:val="00FD3900"/>
    <w:rsid w:val="00FD7379"/>
    <w:rsid w:val="00FE1772"/>
    <w:rsid w:val="00FE3D2F"/>
    <w:rsid w:val="00FE3DAA"/>
    <w:rsid w:val="00FE4007"/>
    <w:rsid w:val="00FF14EC"/>
    <w:rsid w:val="00FF269F"/>
    <w:rsid w:val="04B908E2"/>
    <w:rsid w:val="063E7A11"/>
    <w:rsid w:val="085DF1C7"/>
    <w:rsid w:val="0B0994CC"/>
    <w:rsid w:val="0B5B15BF"/>
    <w:rsid w:val="0C7BC0AF"/>
    <w:rsid w:val="0DB2445F"/>
    <w:rsid w:val="0F019ED9"/>
    <w:rsid w:val="110DE601"/>
    <w:rsid w:val="11B4E39A"/>
    <w:rsid w:val="11F0B6D0"/>
    <w:rsid w:val="132C9F23"/>
    <w:rsid w:val="136B0A4D"/>
    <w:rsid w:val="13D0576E"/>
    <w:rsid w:val="143EC940"/>
    <w:rsid w:val="144E8E88"/>
    <w:rsid w:val="1506DAAE"/>
    <w:rsid w:val="16139DC5"/>
    <w:rsid w:val="18437E88"/>
    <w:rsid w:val="18AF425F"/>
    <w:rsid w:val="1A212D82"/>
    <w:rsid w:val="1B2AD6E7"/>
    <w:rsid w:val="1CBCF455"/>
    <w:rsid w:val="1CE0CBC4"/>
    <w:rsid w:val="1D6CEF49"/>
    <w:rsid w:val="1F2FD434"/>
    <w:rsid w:val="1F6789B6"/>
    <w:rsid w:val="22291140"/>
    <w:rsid w:val="232C35D9"/>
    <w:rsid w:val="2441725B"/>
    <w:rsid w:val="24F8635C"/>
    <w:rsid w:val="2581B421"/>
    <w:rsid w:val="283CD9F5"/>
    <w:rsid w:val="2B0C5A9E"/>
    <w:rsid w:val="2C4C8440"/>
    <w:rsid w:val="2EC6C9FD"/>
    <w:rsid w:val="2FE27908"/>
    <w:rsid w:val="3012A667"/>
    <w:rsid w:val="315B331C"/>
    <w:rsid w:val="318B8E76"/>
    <w:rsid w:val="329E4437"/>
    <w:rsid w:val="334A4729"/>
    <w:rsid w:val="336F93A9"/>
    <w:rsid w:val="33B9A051"/>
    <w:rsid w:val="348123EF"/>
    <w:rsid w:val="34ACE790"/>
    <w:rsid w:val="34E6178A"/>
    <w:rsid w:val="357572AB"/>
    <w:rsid w:val="363AD652"/>
    <w:rsid w:val="373172A5"/>
    <w:rsid w:val="3739A311"/>
    <w:rsid w:val="376DF2B8"/>
    <w:rsid w:val="37A3F5D7"/>
    <w:rsid w:val="37F8CA57"/>
    <w:rsid w:val="390768E7"/>
    <w:rsid w:val="39B988AD"/>
    <w:rsid w:val="39D62A0D"/>
    <w:rsid w:val="3BD0D655"/>
    <w:rsid w:val="3C08DFD7"/>
    <w:rsid w:val="3D567EBE"/>
    <w:rsid w:val="3F408099"/>
    <w:rsid w:val="3F7E217A"/>
    <w:rsid w:val="4284A16D"/>
    <w:rsid w:val="44BE34D1"/>
    <w:rsid w:val="46826F2D"/>
    <w:rsid w:val="47B52090"/>
    <w:rsid w:val="490CE315"/>
    <w:rsid w:val="4AE616EE"/>
    <w:rsid w:val="4B848731"/>
    <w:rsid w:val="4BD28579"/>
    <w:rsid w:val="4CDF709D"/>
    <w:rsid w:val="4CF61262"/>
    <w:rsid w:val="4E03615E"/>
    <w:rsid w:val="4E917289"/>
    <w:rsid w:val="4F013BEB"/>
    <w:rsid w:val="4F7DB830"/>
    <w:rsid w:val="5092F4B2"/>
    <w:rsid w:val="50AA7A98"/>
    <w:rsid w:val="51C9134B"/>
    <w:rsid w:val="52729F4B"/>
    <w:rsid w:val="52A5E388"/>
    <w:rsid w:val="535661D7"/>
    <w:rsid w:val="54322E1C"/>
    <w:rsid w:val="556665D5"/>
    <w:rsid w:val="56E863B9"/>
    <w:rsid w:val="571110FC"/>
    <w:rsid w:val="5B6769B9"/>
    <w:rsid w:val="5B98426D"/>
    <w:rsid w:val="5BB19281"/>
    <w:rsid w:val="5C60F76B"/>
    <w:rsid w:val="5CDA291B"/>
    <w:rsid w:val="5E31B06E"/>
    <w:rsid w:val="5E3BC900"/>
    <w:rsid w:val="5E6907DE"/>
    <w:rsid w:val="5EF41FBE"/>
    <w:rsid w:val="60F6D946"/>
    <w:rsid w:val="614139BB"/>
    <w:rsid w:val="634609F6"/>
    <w:rsid w:val="644209E6"/>
    <w:rsid w:val="65A9281B"/>
    <w:rsid w:val="65ADACD6"/>
    <w:rsid w:val="65CCFCCD"/>
    <w:rsid w:val="667511EF"/>
    <w:rsid w:val="6699F015"/>
    <w:rsid w:val="68204959"/>
    <w:rsid w:val="6820C7D5"/>
    <w:rsid w:val="68F7ACD9"/>
    <w:rsid w:val="6B34ACF2"/>
    <w:rsid w:val="6B8715ED"/>
    <w:rsid w:val="6E0EA99F"/>
    <w:rsid w:val="6F812FAC"/>
    <w:rsid w:val="6F93DA43"/>
    <w:rsid w:val="6FFE067B"/>
    <w:rsid w:val="7069F715"/>
    <w:rsid w:val="70D463A2"/>
    <w:rsid w:val="72456666"/>
    <w:rsid w:val="724EDB4A"/>
    <w:rsid w:val="72D3F184"/>
    <w:rsid w:val="74EE4514"/>
    <w:rsid w:val="75768617"/>
    <w:rsid w:val="759BC8E4"/>
    <w:rsid w:val="76493327"/>
    <w:rsid w:val="76BB8D3A"/>
    <w:rsid w:val="7E5D7380"/>
    <w:rsid w:val="7E8A5F04"/>
    <w:rsid w:val="7F04400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FCAA7"/>
  <w15:chartTrackingRefBased/>
  <w15:docId w15:val="{8DFCA463-213B-472B-8BB4-7D3A9E3DE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4"/>
      </w:numPr>
      <w:spacing w:before="240" w:after="0"/>
      <w:ind w:left="432"/>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4"/>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4"/>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ListParagraph">
    <w:name w:val="List Paragraph"/>
    <w:basedOn w:val="Normal"/>
    <w:uiPriority w:val="34"/>
    <w:qFormat/>
    <w:rsid w:val="00164435"/>
    <w:pPr>
      <w:ind w:left="720"/>
      <w:contextualSpacing/>
    </w:pPr>
  </w:style>
  <w:style w:type="character" w:customStyle="1" w:styleId="normaltextrun">
    <w:name w:val="normaltextrun"/>
    <w:basedOn w:val="DefaultParagraphFont"/>
    <w:rsid w:val="00145AC3"/>
  </w:style>
  <w:style w:type="character" w:customStyle="1" w:styleId="eop">
    <w:name w:val="eop"/>
    <w:basedOn w:val="DefaultParagraphFont"/>
    <w:rsid w:val="00145AC3"/>
  </w:style>
  <w:style w:type="paragraph" w:customStyle="1" w:styleId="paragraph">
    <w:name w:val="paragraph"/>
    <w:basedOn w:val="Normal"/>
    <w:rsid w:val="00634E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ubtleEmphasis">
    <w:name w:val="Subtle Emphasis"/>
    <w:basedOn w:val="DefaultParagraphFont"/>
    <w:uiPriority w:val="19"/>
    <w:qFormat/>
    <w:rsid w:val="00414783"/>
    <w:rPr>
      <w:i/>
      <w:iCs/>
      <w:color w:val="404040" w:themeColor="text1" w:themeTint="BF"/>
    </w:rPr>
  </w:style>
  <w:style w:type="table" w:styleId="GridTable5Dark">
    <w:name w:val="Grid Table 5 Dark"/>
    <w:basedOn w:val="TableNormal"/>
    <w:uiPriority w:val="50"/>
    <w:rsid w:val="00E6654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Accent6">
    <w:name w:val="Grid Table 4 Accent 6"/>
    <w:basedOn w:val="TableNormal"/>
    <w:uiPriority w:val="49"/>
    <w:rsid w:val="00E6654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E6654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3">
    <w:name w:val="Grid Table 5 Dark Accent 3"/>
    <w:basedOn w:val="TableNormal"/>
    <w:uiPriority w:val="50"/>
    <w:rsid w:val="00E6654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5">
    <w:name w:val="Grid Table 5 Dark Accent 5"/>
    <w:basedOn w:val="TableNormal"/>
    <w:uiPriority w:val="50"/>
    <w:rsid w:val="00E6654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PlaceholderText">
    <w:name w:val="Placeholder Text"/>
    <w:basedOn w:val="DefaultParagraphFont"/>
    <w:uiPriority w:val="99"/>
    <w:semiHidden/>
    <w:rsid w:val="00E66544"/>
    <w:rPr>
      <w:color w:val="666666"/>
    </w:rPr>
  </w:style>
  <w:style w:type="paragraph" w:styleId="NormalWeb">
    <w:name w:val="Normal (Web)"/>
    <w:basedOn w:val="Normal"/>
    <w:uiPriority w:val="99"/>
    <w:unhideWhenUsed/>
    <w:rsid w:val="00E45ABF"/>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Bibliography">
    <w:name w:val="Bibliography"/>
    <w:basedOn w:val="Normal"/>
    <w:next w:val="Normal"/>
    <w:uiPriority w:val="37"/>
    <w:unhideWhenUsed/>
    <w:rsid w:val="00570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07208">
      <w:bodyDiv w:val="1"/>
      <w:marLeft w:val="0"/>
      <w:marRight w:val="0"/>
      <w:marTop w:val="0"/>
      <w:marBottom w:val="0"/>
      <w:divBdr>
        <w:top w:val="none" w:sz="0" w:space="0" w:color="auto"/>
        <w:left w:val="none" w:sz="0" w:space="0" w:color="auto"/>
        <w:bottom w:val="none" w:sz="0" w:space="0" w:color="auto"/>
        <w:right w:val="none" w:sz="0" w:space="0" w:color="auto"/>
      </w:divBdr>
    </w:div>
    <w:div w:id="25259501">
      <w:bodyDiv w:val="1"/>
      <w:marLeft w:val="0"/>
      <w:marRight w:val="0"/>
      <w:marTop w:val="0"/>
      <w:marBottom w:val="0"/>
      <w:divBdr>
        <w:top w:val="none" w:sz="0" w:space="0" w:color="auto"/>
        <w:left w:val="none" w:sz="0" w:space="0" w:color="auto"/>
        <w:bottom w:val="none" w:sz="0" w:space="0" w:color="auto"/>
        <w:right w:val="none" w:sz="0" w:space="0" w:color="auto"/>
      </w:divBdr>
    </w:div>
    <w:div w:id="31348701">
      <w:bodyDiv w:val="1"/>
      <w:marLeft w:val="0"/>
      <w:marRight w:val="0"/>
      <w:marTop w:val="0"/>
      <w:marBottom w:val="0"/>
      <w:divBdr>
        <w:top w:val="none" w:sz="0" w:space="0" w:color="auto"/>
        <w:left w:val="none" w:sz="0" w:space="0" w:color="auto"/>
        <w:bottom w:val="none" w:sz="0" w:space="0" w:color="auto"/>
        <w:right w:val="none" w:sz="0" w:space="0" w:color="auto"/>
      </w:divBdr>
    </w:div>
    <w:div w:id="32848483">
      <w:bodyDiv w:val="1"/>
      <w:marLeft w:val="0"/>
      <w:marRight w:val="0"/>
      <w:marTop w:val="0"/>
      <w:marBottom w:val="0"/>
      <w:divBdr>
        <w:top w:val="none" w:sz="0" w:space="0" w:color="auto"/>
        <w:left w:val="none" w:sz="0" w:space="0" w:color="auto"/>
        <w:bottom w:val="none" w:sz="0" w:space="0" w:color="auto"/>
        <w:right w:val="none" w:sz="0" w:space="0" w:color="auto"/>
      </w:divBdr>
    </w:div>
    <w:div w:id="37170780">
      <w:bodyDiv w:val="1"/>
      <w:marLeft w:val="0"/>
      <w:marRight w:val="0"/>
      <w:marTop w:val="0"/>
      <w:marBottom w:val="0"/>
      <w:divBdr>
        <w:top w:val="none" w:sz="0" w:space="0" w:color="auto"/>
        <w:left w:val="none" w:sz="0" w:space="0" w:color="auto"/>
        <w:bottom w:val="none" w:sz="0" w:space="0" w:color="auto"/>
        <w:right w:val="none" w:sz="0" w:space="0" w:color="auto"/>
      </w:divBdr>
    </w:div>
    <w:div w:id="39718060">
      <w:bodyDiv w:val="1"/>
      <w:marLeft w:val="0"/>
      <w:marRight w:val="0"/>
      <w:marTop w:val="0"/>
      <w:marBottom w:val="0"/>
      <w:divBdr>
        <w:top w:val="none" w:sz="0" w:space="0" w:color="auto"/>
        <w:left w:val="none" w:sz="0" w:space="0" w:color="auto"/>
        <w:bottom w:val="none" w:sz="0" w:space="0" w:color="auto"/>
        <w:right w:val="none" w:sz="0" w:space="0" w:color="auto"/>
      </w:divBdr>
    </w:div>
    <w:div w:id="48773119">
      <w:bodyDiv w:val="1"/>
      <w:marLeft w:val="0"/>
      <w:marRight w:val="0"/>
      <w:marTop w:val="0"/>
      <w:marBottom w:val="0"/>
      <w:divBdr>
        <w:top w:val="none" w:sz="0" w:space="0" w:color="auto"/>
        <w:left w:val="none" w:sz="0" w:space="0" w:color="auto"/>
        <w:bottom w:val="none" w:sz="0" w:space="0" w:color="auto"/>
        <w:right w:val="none" w:sz="0" w:space="0" w:color="auto"/>
      </w:divBdr>
    </w:div>
    <w:div w:id="50464122">
      <w:bodyDiv w:val="1"/>
      <w:marLeft w:val="0"/>
      <w:marRight w:val="0"/>
      <w:marTop w:val="0"/>
      <w:marBottom w:val="0"/>
      <w:divBdr>
        <w:top w:val="none" w:sz="0" w:space="0" w:color="auto"/>
        <w:left w:val="none" w:sz="0" w:space="0" w:color="auto"/>
        <w:bottom w:val="none" w:sz="0" w:space="0" w:color="auto"/>
        <w:right w:val="none" w:sz="0" w:space="0" w:color="auto"/>
      </w:divBdr>
    </w:div>
    <w:div w:id="67775463">
      <w:bodyDiv w:val="1"/>
      <w:marLeft w:val="0"/>
      <w:marRight w:val="0"/>
      <w:marTop w:val="0"/>
      <w:marBottom w:val="0"/>
      <w:divBdr>
        <w:top w:val="none" w:sz="0" w:space="0" w:color="auto"/>
        <w:left w:val="none" w:sz="0" w:space="0" w:color="auto"/>
        <w:bottom w:val="none" w:sz="0" w:space="0" w:color="auto"/>
        <w:right w:val="none" w:sz="0" w:space="0" w:color="auto"/>
      </w:divBdr>
    </w:div>
    <w:div w:id="76683144">
      <w:bodyDiv w:val="1"/>
      <w:marLeft w:val="0"/>
      <w:marRight w:val="0"/>
      <w:marTop w:val="0"/>
      <w:marBottom w:val="0"/>
      <w:divBdr>
        <w:top w:val="none" w:sz="0" w:space="0" w:color="auto"/>
        <w:left w:val="none" w:sz="0" w:space="0" w:color="auto"/>
        <w:bottom w:val="none" w:sz="0" w:space="0" w:color="auto"/>
        <w:right w:val="none" w:sz="0" w:space="0" w:color="auto"/>
      </w:divBdr>
    </w:div>
    <w:div w:id="83916634">
      <w:bodyDiv w:val="1"/>
      <w:marLeft w:val="0"/>
      <w:marRight w:val="0"/>
      <w:marTop w:val="0"/>
      <w:marBottom w:val="0"/>
      <w:divBdr>
        <w:top w:val="none" w:sz="0" w:space="0" w:color="auto"/>
        <w:left w:val="none" w:sz="0" w:space="0" w:color="auto"/>
        <w:bottom w:val="none" w:sz="0" w:space="0" w:color="auto"/>
        <w:right w:val="none" w:sz="0" w:space="0" w:color="auto"/>
      </w:divBdr>
    </w:div>
    <w:div w:id="90593696">
      <w:bodyDiv w:val="1"/>
      <w:marLeft w:val="0"/>
      <w:marRight w:val="0"/>
      <w:marTop w:val="0"/>
      <w:marBottom w:val="0"/>
      <w:divBdr>
        <w:top w:val="none" w:sz="0" w:space="0" w:color="auto"/>
        <w:left w:val="none" w:sz="0" w:space="0" w:color="auto"/>
        <w:bottom w:val="none" w:sz="0" w:space="0" w:color="auto"/>
        <w:right w:val="none" w:sz="0" w:space="0" w:color="auto"/>
      </w:divBdr>
    </w:div>
    <w:div w:id="109664307">
      <w:bodyDiv w:val="1"/>
      <w:marLeft w:val="0"/>
      <w:marRight w:val="0"/>
      <w:marTop w:val="0"/>
      <w:marBottom w:val="0"/>
      <w:divBdr>
        <w:top w:val="none" w:sz="0" w:space="0" w:color="auto"/>
        <w:left w:val="none" w:sz="0" w:space="0" w:color="auto"/>
        <w:bottom w:val="none" w:sz="0" w:space="0" w:color="auto"/>
        <w:right w:val="none" w:sz="0" w:space="0" w:color="auto"/>
      </w:divBdr>
    </w:div>
    <w:div w:id="124855047">
      <w:bodyDiv w:val="1"/>
      <w:marLeft w:val="0"/>
      <w:marRight w:val="0"/>
      <w:marTop w:val="0"/>
      <w:marBottom w:val="0"/>
      <w:divBdr>
        <w:top w:val="none" w:sz="0" w:space="0" w:color="auto"/>
        <w:left w:val="none" w:sz="0" w:space="0" w:color="auto"/>
        <w:bottom w:val="none" w:sz="0" w:space="0" w:color="auto"/>
        <w:right w:val="none" w:sz="0" w:space="0" w:color="auto"/>
      </w:divBdr>
    </w:div>
    <w:div w:id="139199840">
      <w:bodyDiv w:val="1"/>
      <w:marLeft w:val="0"/>
      <w:marRight w:val="0"/>
      <w:marTop w:val="0"/>
      <w:marBottom w:val="0"/>
      <w:divBdr>
        <w:top w:val="none" w:sz="0" w:space="0" w:color="auto"/>
        <w:left w:val="none" w:sz="0" w:space="0" w:color="auto"/>
        <w:bottom w:val="none" w:sz="0" w:space="0" w:color="auto"/>
        <w:right w:val="none" w:sz="0" w:space="0" w:color="auto"/>
      </w:divBdr>
    </w:div>
    <w:div w:id="144048827">
      <w:bodyDiv w:val="1"/>
      <w:marLeft w:val="0"/>
      <w:marRight w:val="0"/>
      <w:marTop w:val="0"/>
      <w:marBottom w:val="0"/>
      <w:divBdr>
        <w:top w:val="none" w:sz="0" w:space="0" w:color="auto"/>
        <w:left w:val="none" w:sz="0" w:space="0" w:color="auto"/>
        <w:bottom w:val="none" w:sz="0" w:space="0" w:color="auto"/>
        <w:right w:val="none" w:sz="0" w:space="0" w:color="auto"/>
      </w:divBdr>
    </w:div>
    <w:div w:id="159734720">
      <w:bodyDiv w:val="1"/>
      <w:marLeft w:val="0"/>
      <w:marRight w:val="0"/>
      <w:marTop w:val="0"/>
      <w:marBottom w:val="0"/>
      <w:divBdr>
        <w:top w:val="none" w:sz="0" w:space="0" w:color="auto"/>
        <w:left w:val="none" w:sz="0" w:space="0" w:color="auto"/>
        <w:bottom w:val="none" w:sz="0" w:space="0" w:color="auto"/>
        <w:right w:val="none" w:sz="0" w:space="0" w:color="auto"/>
      </w:divBdr>
    </w:div>
    <w:div w:id="186801115">
      <w:bodyDiv w:val="1"/>
      <w:marLeft w:val="0"/>
      <w:marRight w:val="0"/>
      <w:marTop w:val="0"/>
      <w:marBottom w:val="0"/>
      <w:divBdr>
        <w:top w:val="none" w:sz="0" w:space="0" w:color="auto"/>
        <w:left w:val="none" w:sz="0" w:space="0" w:color="auto"/>
        <w:bottom w:val="none" w:sz="0" w:space="0" w:color="auto"/>
        <w:right w:val="none" w:sz="0" w:space="0" w:color="auto"/>
      </w:divBdr>
    </w:div>
    <w:div w:id="194776103">
      <w:bodyDiv w:val="1"/>
      <w:marLeft w:val="0"/>
      <w:marRight w:val="0"/>
      <w:marTop w:val="0"/>
      <w:marBottom w:val="0"/>
      <w:divBdr>
        <w:top w:val="none" w:sz="0" w:space="0" w:color="auto"/>
        <w:left w:val="none" w:sz="0" w:space="0" w:color="auto"/>
        <w:bottom w:val="none" w:sz="0" w:space="0" w:color="auto"/>
        <w:right w:val="none" w:sz="0" w:space="0" w:color="auto"/>
      </w:divBdr>
      <w:divsChild>
        <w:div w:id="82335500">
          <w:marLeft w:val="0"/>
          <w:marRight w:val="0"/>
          <w:marTop w:val="0"/>
          <w:marBottom w:val="0"/>
          <w:divBdr>
            <w:top w:val="none" w:sz="0" w:space="0" w:color="auto"/>
            <w:left w:val="none" w:sz="0" w:space="0" w:color="auto"/>
            <w:bottom w:val="none" w:sz="0" w:space="0" w:color="auto"/>
            <w:right w:val="none" w:sz="0" w:space="0" w:color="auto"/>
          </w:divBdr>
          <w:divsChild>
            <w:div w:id="2135171101">
              <w:marLeft w:val="0"/>
              <w:marRight w:val="0"/>
              <w:marTop w:val="0"/>
              <w:marBottom w:val="0"/>
              <w:divBdr>
                <w:top w:val="none" w:sz="0" w:space="0" w:color="auto"/>
                <w:left w:val="none" w:sz="0" w:space="0" w:color="auto"/>
                <w:bottom w:val="none" w:sz="0" w:space="0" w:color="auto"/>
                <w:right w:val="none" w:sz="0" w:space="0" w:color="auto"/>
              </w:divBdr>
            </w:div>
          </w:divsChild>
        </w:div>
        <w:div w:id="308024048">
          <w:marLeft w:val="0"/>
          <w:marRight w:val="0"/>
          <w:marTop w:val="0"/>
          <w:marBottom w:val="0"/>
          <w:divBdr>
            <w:top w:val="none" w:sz="0" w:space="0" w:color="auto"/>
            <w:left w:val="none" w:sz="0" w:space="0" w:color="auto"/>
            <w:bottom w:val="none" w:sz="0" w:space="0" w:color="auto"/>
            <w:right w:val="none" w:sz="0" w:space="0" w:color="auto"/>
          </w:divBdr>
          <w:divsChild>
            <w:div w:id="274607111">
              <w:marLeft w:val="0"/>
              <w:marRight w:val="0"/>
              <w:marTop w:val="0"/>
              <w:marBottom w:val="0"/>
              <w:divBdr>
                <w:top w:val="none" w:sz="0" w:space="0" w:color="auto"/>
                <w:left w:val="none" w:sz="0" w:space="0" w:color="auto"/>
                <w:bottom w:val="none" w:sz="0" w:space="0" w:color="auto"/>
                <w:right w:val="none" w:sz="0" w:space="0" w:color="auto"/>
              </w:divBdr>
            </w:div>
          </w:divsChild>
        </w:div>
        <w:div w:id="701246552">
          <w:marLeft w:val="0"/>
          <w:marRight w:val="0"/>
          <w:marTop w:val="0"/>
          <w:marBottom w:val="0"/>
          <w:divBdr>
            <w:top w:val="none" w:sz="0" w:space="0" w:color="auto"/>
            <w:left w:val="none" w:sz="0" w:space="0" w:color="auto"/>
            <w:bottom w:val="none" w:sz="0" w:space="0" w:color="auto"/>
            <w:right w:val="none" w:sz="0" w:space="0" w:color="auto"/>
          </w:divBdr>
          <w:divsChild>
            <w:div w:id="192959745">
              <w:marLeft w:val="0"/>
              <w:marRight w:val="0"/>
              <w:marTop w:val="0"/>
              <w:marBottom w:val="0"/>
              <w:divBdr>
                <w:top w:val="none" w:sz="0" w:space="0" w:color="auto"/>
                <w:left w:val="none" w:sz="0" w:space="0" w:color="auto"/>
                <w:bottom w:val="none" w:sz="0" w:space="0" w:color="auto"/>
                <w:right w:val="none" w:sz="0" w:space="0" w:color="auto"/>
              </w:divBdr>
            </w:div>
          </w:divsChild>
        </w:div>
        <w:div w:id="905341529">
          <w:marLeft w:val="0"/>
          <w:marRight w:val="0"/>
          <w:marTop w:val="0"/>
          <w:marBottom w:val="0"/>
          <w:divBdr>
            <w:top w:val="none" w:sz="0" w:space="0" w:color="auto"/>
            <w:left w:val="none" w:sz="0" w:space="0" w:color="auto"/>
            <w:bottom w:val="none" w:sz="0" w:space="0" w:color="auto"/>
            <w:right w:val="none" w:sz="0" w:space="0" w:color="auto"/>
          </w:divBdr>
          <w:divsChild>
            <w:div w:id="1887527814">
              <w:marLeft w:val="0"/>
              <w:marRight w:val="0"/>
              <w:marTop w:val="0"/>
              <w:marBottom w:val="0"/>
              <w:divBdr>
                <w:top w:val="none" w:sz="0" w:space="0" w:color="auto"/>
                <w:left w:val="none" w:sz="0" w:space="0" w:color="auto"/>
                <w:bottom w:val="none" w:sz="0" w:space="0" w:color="auto"/>
                <w:right w:val="none" w:sz="0" w:space="0" w:color="auto"/>
              </w:divBdr>
            </w:div>
          </w:divsChild>
        </w:div>
        <w:div w:id="1075515883">
          <w:marLeft w:val="0"/>
          <w:marRight w:val="0"/>
          <w:marTop w:val="0"/>
          <w:marBottom w:val="0"/>
          <w:divBdr>
            <w:top w:val="none" w:sz="0" w:space="0" w:color="auto"/>
            <w:left w:val="none" w:sz="0" w:space="0" w:color="auto"/>
            <w:bottom w:val="none" w:sz="0" w:space="0" w:color="auto"/>
            <w:right w:val="none" w:sz="0" w:space="0" w:color="auto"/>
          </w:divBdr>
          <w:divsChild>
            <w:div w:id="2018071643">
              <w:marLeft w:val="0"/>
              <w:marRight w:val="0"/>
              <w:marTop w:val="0"/>
              <w:marBottom w:val="0"/>
              <w:divBdr>
                <w:top w:val="none" w:sz="0" w:space="0" w:color="auto"/>
                <w:left w:val="none" w:sz="0" w:space="0" w:color="auto"/>
                <w:bottom w:val="none" w:sz="0" w:space="0" w:color="auto"/>
                <w:right w:val="none" w:sz="0" w:space="0" w:color="auto"/>
              </w:divBdr>
            </w:div>
          </w:divsChild>
        </w:div>
        <w:div w:id="1268729528">
          <w:marLeft w:val="0"/>
          <w:marRight w:val="0"/>
          <w:marTop w:val="0"/>
          <w:marBottom w:val="0"/>
          <w:divBdr>
            <w:top w:val="none" w:sz="0" w:space="0" w:color="auto"/>
            <w:left w:val="none" w:sz="0" w:space="0" w:color="auto"/>
            <w:bottom w:val="none" w:sz="0" w:space="0" w:color="auto"/>
            <w:right w:val="none" w:sz="0" w:space="0" w:color="auto"/>
          </w:divBdr>
          <w:divsChild>
            <w:div w:id="1876774793">
              <w:marLeft w:val="0"/>
              <w:marRight w:val="0"/>
              <w:marTop w:val="0"/>
              <w:marBottom w:val="0"/>
              <w:divBdr>
                <w:top w:val="none" w:sz="0" w:space="0" w:color="auto"/>
                <w:left w:val="none" w:sz="0" w:space="0" w:color="auto"/>
                <w:bottom w:val="none" w:sz="0" w:space="0" w:color="auto"/>
                <w:right w:val="none" w:sz="0" w:space="0" w:color="auto"/>
              </w:divBdr>
            </w:div>
          </w:divsChild>
        </w:div>
        <w:div w:id="1590118421">
          <w:marLeft w:val="0"/>
          <w:marRight w:val="0"/>
          <w:marTop w:val="0"/>
          <w:marBottom w:val="0"/>
          <w:divBdr>
            <w:top w:val="none" w:sz="0" w:space="0" w:color="auto"/>
            <w:left w:val="none" w:sz="0" w:space="0" w:color="auto"/>
            <w:bottom w:val="none" w:sz="0" w:space="0" w:color="auto"/>
            <w:right w:val="none" w:sz="0" w:space="0" w:color="auto"/>
          </w:divBdr>
          <w:divsChild>
            <w:div w:id="1386877762">
              <w:marLeft w:val="0"/>
              <w:marRight w:val="0"/>
              <w:marTop w:val="0"/>
              <w:marBottom w:val="0"/>
              <w:divBdr>
                <w:top w:val="none" w:sz="0" w:space="0" w:color="auto"/>
                <w:left w:val="none" w:sz="0" w:space="0" w:color="auto"/>
                <w:bottom w:val="none" w:sz="0" w:space="0" w:color="auto"/>
                <w:right w:val="none" w:sz="0" w:space="0" w:color="auto"/>
              </w:divBdr>
            </w:div>
          </w:divsChild>
        </w:div>
        <w:div w:id="1923681086">
          <w:marLeft w:val="0"/>
          <w:marRight w:val="0"/>
          <w:marTop w:val="0"/>
          <w:marBottom w:val="0"/>
          <w:divBdr>
            <w:top w:val="none" w:sz="0" w:space="0" w:color="auto"/>
            <w:left w:val="none" w:sz="0" w:space="0" w:color="auto"/>
            <w:bottom w:val="none" w:sz="0" w:space="0" w:color="auto"/>
            <w:right w:val="none" w:sz="0" w:space="0" w:color="auto"/>
          </w:divBdr>
          <w:divsChild>
            <w:div w:id="51046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31283">
      <w:bodyDiv w:val="1"/>
      <w:marLeft w:val="0"/>
      <w:marRight w:val="0"/>
      <w:marTop w:val="0"/>
      <w:marBottom w:val="0"/>
      <w:divBdr>
        <w:top w:val="none" w:sz="0" w:space="0" w:color="auto"/>
        <w:left w:val="none" w:sz="0" w:space="0" w:color="auto"/>
        <w:bottom w:val="none" w:sz="0" w:space="0" w:color="auto"/>
        <w:right w:val="none" w:sz="0" w:space="0" w:color="auto"/>
      </w:divBdr>
    </w:div>
    <w:div w:id="219177353">
      <w:bodyDiv w:val="1"/>
      <w:marLeft w:val="0"/>
      <w:marRight w:val="0"/>
      <w:marTop w:val="0"/>
      <w:marBottom w:val="0"/>
      <w:divBdr>
        <w:top w:val="none" w:sz="0" w:space="0" w:color="auto"/>
        <w:left w:val="none" w:sz="0" w:space="0" w:color="auto"/>
        <w:bottom w:val="none" w:sz="0" w:space="0" w:color="auto"/>
        <w:right w:val="none" w:sz="0" w:space="0" w:color="auto"/>
      </w:divBdr>
    </w:div>
    <w:div w:id="225267568">
      <w:bodyDiv w:val="1"/>
      <w:marLeft w:val="0"/>
      <w:marRight w:val="0"/>
      <w:marTop w:val="0"/>
      <w:marBottom w:val="0"/>
      <w:divBdr>
        <w:top w:val="none" w:sz="0" w:space="0" w:color="auto"/>
        <w:left w:val="none" w:sz="0" w:space="0" w:color="auto"/>
        <w:bottom w:val="none" w:sz="0" w:space="0" w:color="auto"/>
        <w:right w:val="none" w:sz="0" w:space="0" w:color="auto"/>
      </w:divBdr>
    </w:div>
    <w:div w:id="268777944">
      <w:bodyDiv w:val="1"/>
      <w:marLeft w:val="0"/>
      <w:marRight w:val="0"/>
      <w:marTop w:val="0"/>
      <w:marBottom w:val="0"/>
      <w:divBdr>
        <w:top w:val="none" w:sz="0" w:space="0" w:color="auto"/>
        <w:left w:val="none" w:sz="0" w:space="0" w:color="auto"/>
        <w:bottom w:val="none" w:sz="0" w:space="0" w:color="auto"/>
        <w:right w:val="none" w:sz="0" w:space="0" w:color="auto"/>
      </w:divBdr>
    </w:div>
    <w:div w:id="289827434">
      <w:bodyDiv w:val="1"/>
      <w:marLeft w:val="0"/>
      <w:marRight w:val="0"/>
      <w:marTop w:val="0"/>
      <w:marBottom w:val="0"/>
      <w:divBdr>
        <w:top w:val="none" w:sz="0" w:space="0" w:color="auto"/>
        <w:left w:val="none" w:sz="0" w:space="0" w:color="auto"/>
        <w:bottom w:val="none" w:sz="0" w:space="0" w:color="auto"/>
        <w:right w:val="none" w:sz="0" w:space="0" w:color="auto"/>
      </w:divBdr>
    </w:div>
    <w:div w:id="290405811">
      <w:bodyDiv w:val="1"/>
      <w:marLeft w:val="0"/>
      <w:marRight w:val="0"/>
      <w:marTop w:val="0"/>
      <w:marBottom w:val="0"/>
      <w:divBdr>
        <w:top w:val="none" w:sz="0" w:space="0" w:color="auto"/>
        <w:left w:val="none" w:sz="0" w:space="0" w:color="auto"/>
        <w:bottom w:val="none" w:sz="0" w:space="0" w:color="auto"/>
        <w:right w:val="none" w:sz="0" w:space="0" w:color="auto"/>
      </w:divBdr>
    </w:div>
    <w:div w:id="302395825">
      <w:bodyDiv w:val="1"/>
      <w:marLeft w:val="0"/>
      <w:marRight w:val="0"/>
      <w:marTop w:val="0"/>
      <w:marBottom w:val="0"/>
      <w:divBdr>
        <w:top w:val="none" w:sz="0" w:space="0" w:color="auto"/>
        <w:left w:val="none" w:sz="0" w:space="0" w:color="auto"/>
        <w:bottom w:val="none" w:sz="0" w:space="0" w:color="auto"/>
        <w:right w:val="none" w:sz="0" w:space="0" w:color="auto"/>
      </w:divBdr>
    </w:div>
    <w:div w:id="305011024">
      <w:bodyDiv w:val="1"/>
      <w:marLeft w:val="0"/>
      <w:marRight w:val="0"/>
      <w:marTop w:val="0"/>
      <w:marBottom w:val="0"/>
      <w:divBdr>
        <w:top w:val="none" w:sz="0" w:space="0" w:color="auto"/>
        <w:left w:val="none" w:sz="0" w:space="0" w:color="auto"/>
        <w:bottom w:val="none" w:sz="0" w:space="0" w:color="auto"/>
        <w:right w:val="none" w:sz="0" w:space="0" w:color="auto"/>
      </w:divBdr>
    </w:div>
    <w:div w:id="309485599">
      <w:bodyDiv w:val="1"/>
      <w:marLeft w:val="0"/>
      <w:marRight w:val="0"/>
      <w:marTop w:val="0"/>
      <w:marBottom w:val="0"/>
      <w:divBdr>
        <w:top w:val="none" w:sz="0" w:space="0" w:color="auto"/>
        <w:left w:val="none" w:sz="0" w:space="0" w:color="auto"/>
        <w:bottom w:val="none" w:sz="0" w:space="0" w:color="auto"/>
        <w:right w:val="none" w:sz="0" w:space="0" w:color="auto"/>
      </w:divBdr>
    </w:div>
    <w:div w:id="341518797">
      <w:bodyDiv w:val="1"/>
      <w:marLeft w:val="0"/>
      <w:marRight w:val="0"/>
      <w:marTop w:val="0"/>
      <w:marBottom w:val="0"/>
      <w:divBdr>
        <w:top w:val="none" w:sz="0" w:space="0" w:color="auto"/>
        <w:left w:val="none" w:sz="0" w:space="0" w:color="auto"/>
        <w:bottom w:val="none" w:sz="0" w:space="0" w:color="auto"/>
        <w:right w:val="none" w:sz="0" w:space="0" w:color="auto"/>
      </w:divBdr>
    </w:div>
    <w:div w:id="376471109">
      <w:bodyDiv w:val="1"/>
      <w:marLeft w:val="0"/>
      <w:marRight w:val="0"/>
      <w:marTop w:val="0"/>
      <w:marBottom w:val="0"/>
      <w:divBdr>
        <w:top w:val="none" w:sz="0" w:space="0" w:color="auto"/>
        <w:left w:val="none" w:sz="0" w:space="0" w:color="auto"/>
        <w:bottom w:val="none" w:sz="0" w:space="0" w:color="auto"/>
        <w:right w:val="none" w:sz="0" w:space="0" w:color="auto"/>
      </w:divBdr>
    </w:div>
    <w:div w:id="389037570">
      <w:bodyDiv w:val="1"/>
      <w:marLeft w:val="0"/>
      <w:marRight w:val="0"/>
      <w:marTop w:val="0"/>
      <w:marBottom w:val="0"/>
      <w:divBdr>
        <w:top w:val="none" w:sz="0" w:space="0" w:color="auto"/>
        <w:left w:val="none" w:sz="0" w:space="0" w:color="auto"/>
        <w:bottom w:val="none" w:sz="0" w:space="0" w:color="auto"/>
        <w:right w:val="none" w:sz="0" w:space="0" w:color="auto"/>
      </w:divBdr>
    </w:div>
    <w:div w:id="461266943">
      <w:bodyDiv w:val="1"/>
      <w:marLeft w:val="0"/>
      <w:marRight w:val="0"/>
      <w:marTop w:val="0"/>
      <w:marBottom w:val="0"/>
      <w:divBdr>
        <w:top w:val="none" w:sz="0" w:space="0" w:color="auto"/>
        <w:left w:val="none" w:sz="0" w:space="0" w:color="auto"/>
        <w:bottom w:val="none" w:sz="0" w:space="0" w:color="auto"/>
        <w:right w:val="none" w:sz="0" w:space="0" w:color="auto"/>
      </w:divBdr>
    </w:div>
    <w:div w:id="469783014">
      <w:bodyDiv w:val="1"/>
      <w:marLeft w:val="0"/>
      <w:marRight w:val="0"/>
      <w:marTop w:val="0"/>
      <w:marBottom w:val="0"/>
      <w:divBdr>
        <w:top w:val="none" w:sz="0" w:space="0" w:color="auto"/>
        <w:left w:val="none" w:sz="0" w:space="0" w:color="auto"/>
        <w:bottom w:val="none" w:sz="0" w:space="0" w:color="auto"/>
        <w:right w:val="none" w:sz="0" w:space="0" w:color="auto"/>
      </w:divBdr>
    </w:div>
    <w:div w:id="471101883">
      <w:bodyDiv w:val="1"/>
      <w:marLeft w:val="0"/>
      <w:marRight w:val="0"/>
      <w:marTop w:val="0"/>
      <w:marBottom w:val="0"/>
      <w:divBdr>
        <w:top w:val="none" w:sz="0" w:space="0" w:color="auto"/>
        <w:left w:val="none" w:sz="0" w:space="0" w:color="auto"/>
        <w:bottom w:val="none" w:sz="0" w:space="0" w:color="auto"/>
        <w:right w:val="none" w:sz="0" w:space="0" w:color="auto"/>
      </w:divBdr>
    </w:div>
    <w:div w:id="500655577">
      <w:bodyDiv w:val="1"/>
      <w:marLeft w:val="0"/>
      <w:marRight w:val="0"/>
      <w:marTop w:val="0"/>
      <w:marBottom w:val="0"/>
      <w:divBdr>
        <w:top w:val="none" w:sz="0" w:space="0" w:color="auto"/>
        <w:left w:val="none" w:sz="0" w:space="0" w:color="auto"/>
        <w:bottom w:val="none" w:sz="0" w:space="0" w:color="auto"/>
        <w:right w:val="none" w:sz="0" w:space="0" w:color="auto"/>
      </w:divBdr>
    </w:div>
    <w:div w:id="538737196">
      <w:bodyDiv w:val="1"/>
      <w:marLeft w:val="0"/>
      <w:marRight w:val="0"/>
      <w:marTop w:val="0"/>
      <w:marBottom w:val="0"/>
      <w:divBdr>
        <w:top w:val="none" w:sz="0" w:space="0" w:color="auto"/>
        <w:left w:val="none" w:sz="0" w:space="0" w:color="auto"/>
        <w:bottom w:val="none" w:sz="0" w:space="0" w:color="auto"/>
        <w:right w:val="none" w:sz="0" w:space="0" w:color="auto"/>
      </w:divBdr>
    </w:div>
    <w:div w:id="544221203">
      <w:bodyDiv w:val="1"/>
      <w:marLeft w:val="0"/>
      <w:marRight w:val="0"/>
      <w:marTop w:val="0"/>
      <w:marBottom w:val="0"/>
      <w:divBdr>
        <w:top w:val="none" w:sz="0" w:space="0" w:color="auto"/>
        <w:left w:val="none" w:sz="0" w:space="0" w:color="auto"/>
        <w:bottom w:val="none" w:sz="0" w:space="0" w:color="auto"/>
        <w:right w:val="none" w:sz="0" w:space="0" w:color="auto"/>
      </w:divBdr>
    </w:div>
    <w:div w:id="550118635">
      <w:bodyDiv w:val="1"/>
      <w:marLeft w:val="0"/>
      <w:marRight w:val="0"/>
      <w:marTop w:val="0"/>
      <w:marBottom w:val="0"/>
      <w:divBdr>
        <w:top w:val="none" w:sz="0" w:space="0" w:color="auto"/>
        <w:left w:val="none" w:sz="0" w:space="0" w:color="auto"/>
        <w:bottom w:val="none" w:sz="0" w:space="0" w:color="auto"/>
        <w:right w:val="none" w:sz="0" w:space="0" w:color="auto"/>
      </w:divBdr>
    </w:div>
    <w:div w:id="592477937">
      <w:bodyDiv w:val="1"/>
      <w:marLeft w:val="0"/>
      <w:marRight w:val="0"/>
      <w:marTop w:val="0"/>
      <w:marBottom w:val="0"/>
      <w:divBdr>
        <w:top w:val="none" w:sz="0" w:space="0" w:color="auto"/>
        <w:left w:val="none" w:sz="0" w:space="0" w:color="auto"/>
        <w:bottom w:val="none" w:sz="0" w:space="0" w:color="auto"/>
        <w:right w:val="none" w:sz="0" w:space="0" w:color="auto"/>
      </w:divBdr>
    </w:div>
    <w:div w:id="649217822">
      <w:bodyDiv w:val="1"/>
      <w:marLeft w:val="0"/>
      <w:marRight w:val="0"/>
      <w:marTop w:val="0"/>
      <w:marBottom w:val="0"/>
      <w:divBdr>
        <w:top w:val="none" w:sz="0" w:space="0" w:color="auto"/>
        <w:left w:val="none" w:sz="0" w:space="0" w:color="auto"/>
        <w:bottom w:val="none" w:sz="0" w:space="0" w:color="auto"/>
        <w:right w:val="none" w:sz="0" w:space="0" w:color="auto"/>
      </w:divBdr>
    </w:div>
    <w:div w:id="658845474">
      <w:bodyDiv w:val="1"/>
      <w:marLeft w:val="0"/>
      <w:marRight w:val="0"/>
      <w:marTop w:val="0"/>
      <w:marBottom w:val="0"/>
      <w:divBdr>
        <w:top w:val="none" w:sz="0" w:space="0" w:color="auto"/>
        <w:left w:val="none" w:sz="0" w:space="0" w:color="auto"/>
        <w:bottom w:val="none" w:sz="0" w:space="0" w:color="auto"/>
        <w:right w:val="none" w:sz="0" w:space="0" w:color="auto"/>
      </w:divBdr>
    </w:div>
    <w:div w:id="704137176">
      <w:bodyDiv w:val="1"/>
      <w:marLeft w:val="0"/>
      <w:marRight w:val="0"/>
      <w:marTop w:val="0"/>
      <w:marBottom w:val="0"/>
      <w:divBdr>
        <w:top w:val="none" w:sz="0" w:space="0" w:color="auto"/>
        <w:left w:val="none" w:sz="0" w:space="0" w:color="auto"/>
        <w:bottom w:val="none" w:sz="0" w:space="0" w:color="auto"/>
        <w:right w:val="none" w:sz="0" w:space="0" w:color="auto"/>
      </w:divBdr>
    </w:div>
    <w:div w:id="740297738">
      <w:bodyDiv w:val="1"/>
      <w:marLeft w:val="0"/>
      <w:marRight w:val="0"/>
      <w:marTop w:val="0"/>
      <w:marBottom w:val="0"/>
      <w:divBdr>
        <w:top w:val="none" w:sz="0" w:space="0" w:color="auto"/>
        <w:left w:val="none" w:sz="0" w:space="0" w:color="auto"/>
        <w:bottom w:val="none" w:sz="0" w:space="0" w:color="auto"/>
        <w:right w:val="none" w:sz="0" w:space="0" w:color="auto"/>
      </w:divBdr>
    </w:div>
    <w:div w:id="740836610">
      <w:bodyDiv w:val="1"/>
      <w:marLeft w:val="0"/>
      <w:marRight w:val="0"/>
      <w:marTop w:val="0"/>
      <w:marBottom w:val="0"/>
      <w:divBdr>
        <w:top w:val="none" w:sz="0" w:space="0" w:color="auto"/>
        <w:left w:val="none" w:sz="0" w:space="0" w:color="auto"/>
        <w:bottom w:val="none" w:sz="0" w:space="0" w:color="auto"/>
        <w:right w:val="none" w:sz="0" w:space="0" w:color="auto"/>
      </w:divBdr>
    </w:div>
    <w:div w:id="759528324">
      <w:bodyDiv w:val="1"/>
      <w:marLeft w:val="0"/>
      <w:marRight w:val="0"/>
      <w:marTop w:val="0"/>
      <w:marBottom w:val="0"/>
      <w:divBdr>
        <w:top w:val="none" w:sz="0" w:space="0" w:color="auto"/>
        <w:left w:val="none" w:sz="0" w:space="0" w:color="auto"/>
        <w:bottom w:val="none" w:sz="0" w:space="0" w:color="auto"/>
        <w:right w:val="none" w:sz="0" w:space="0" w:color="auto"/>
      </w:divBdr>
    </w:div>
    <w:div w:id="760834397">
      <w:bodyDiv w:val="1"/>
      <w:marLeft w:val="0"/>
      <w:marRight w:val="0"/>
      <w:marTop w:val="0"/>
      <w:marBottom w:val="0"/>
      <w:divBdr>
        <w:top w:val="none" w:sz="0" w:space="0" w:color="auto"/>
        <w:left w:val="none" w:sz="0" w:space="0" w:color="auto"/>
        <w:bottom w:val="none" w:sz="0" w:space="0" w:color="auto"/>
        <w:right w:val="none" w:sz="0" w:space="0" w:color="auto"/>
      </w:divBdr>
    </w:div>
    <w:div w:id="777337638">
      <w:bodyDiv w:val="1"/>
      <w:marLeft w:val="0"/>
      <w:marRight w:val="0"/>
      <w:marTop w:val="0"/>
      <w:marBottom w:val="0"/>
      <w:divBdr>
        <w:top w:val="none" w:sz="0" w:space="0" w:color="auto"/>
        <w:left w:val="none" w:sz="0" w:space="0" w:color="auto"/>
        <w:bottom w:val="none" w:sz="0" w:space="0" w:color="auto"/>
        <w:right w:val="none" w:sz="0" w:space="0" w:color="auto"/>
      </w:divBdr>
    </w:div>
    <w:div w:id="822507981">
      <w:bodyDiv w:val="1"/>
      <w:marLeft w:val="0"/>
      <w:marRight w:val="0"/>
      <w:marTop w:val="0"/>
      <w:marBottom w:val="0"/>
      <w:divBdr>
        <w:top w:val="none" w:sz="0" w:space="0" w:color="auto"/>
        <w:left w:val="none" w:sz="0" w:space="0" w:color="auto"/>
        <w:bottom w:val="none" w:sz="0" w:space="0" w:color="auto"/>
        <w:right w:val="none" w:sz="0" w:space="0" w:color="auto"/>
      </w:divBdr>
    </w:div>
    <w:div w:id="860314195">
      <w:bodyDiv w:val="1"/>
      <w:marLeft w:val="0"/>
      <w:marRight w:val="0"/>
      <w:marTop w:val="0"/>
      <w:marBottom w:val="0"/>
      <w:divBdr>
        <w:top w:val="none" w:sz="0" w:space="0" w:color="auto"/>
        <w:left w:val="none" w:sz="0" w:space="0" w:color="auto"/>
        <w:bottom w:val="none" w:sz="0" w:space="0" w:color="auto"/>
        <w:right w:val="none" w:sz="0" w:space="0" w:color="auto"/>
      </w:divBdr>
    </w:div>
    <w:div w:id="863399135">
      <w:bodyDiv w:val="1"/>
      <w:marLeft w:val="0"/>
      <w:marRight w:val="0"/>
      <w:marTop w:val="0"/>
      <w:marBottom w:val="0"/>
      <w:divBdr>
        <w:top w:val="none" w:sz="0" w:space="0" w:color="auto"/>
        <w:left w:val="none" w:sz="0" w:space="0" w:color="auto"/>
        <w:bottom w:val="none" w:sz="0" w:space="0" w:color="auto"/>
        <w:right w:val="none" w:sz="0" w:space="0" w:color="auto"/>
      </w:divBdr>
    </w:div>
    <w:div w:id="880946688">
      <w:bodyDiv w:val="1"/>
      <w:marLeft w:val="0"/>
      <w:marRight w:val="0"/>
      <w:marTop w:val="0"/>
      <w:marBottom w:val="0"/>
      <w:divBdr>
        <w:top w:val="none" w:sz="0" w:space="0" w:color="auto"/>
        <w:left w:val="none" w:sz="0" w:space="0" w:color="auto"/>
        <w:bottom w:val="none" w:sz="0" w:space="0" w:color="auto"/>
        <w:right w:val="none" w:sz="0" w:space="0" w:color="auto"/>
      </w:divBdr>
    </w:div>
    <w:div w:id="881477953">
      <w:bodyDiv w:val="1"/>
      <w:marLeft w:val="0"/>
      <w:marRight w:val="0"/>
      <w:marTop w:val="0"/>
      <w:marBottom w:val="0"/>
      <w:divBdr>
        <w:top w:val="none" w:sz="0" w:space="0" w:color="auto"/>
        <w:left w:val="none" w:sz="0" w:space="0" w:color="auto"/>
        <w:bottom w:val="none" w:sz="0" w:space="0" w:color="auto"/>
        <w:right w:val="none" w:sz="0" w:space="0" w:color="auto"/>
      </w:divBdr>
    </w:div>
    <w:div w:id="895355124">
      <w:bodyDiv w:val="1"/>
      <w:marLeft w:val="0"/>
      <w:marRight w:val="0"/>
      <w:marTop w:val="0"/>
      <w:marBottom w:val="0"/>
      <w:divBdr>
        <w:top w:val="none" w:sz="0" w:space="0" w:color="auto"/>
        <w:left w:val="none" w:sz="0" w:space="0" w:color="auto"/>
        <w:bottom w:val="none" w:sz="0" w:space="0" w:color="auto"/>
        <w:right w:val="none" w:sz="0" w:space="0" w:color="auto"/>
      </w:divBdr>
    </w:div>
    <w:div w:id="896672863">
      <w:bodyDiv w:val="1"/>
      <w:marLeft w:val="0"/>
      <w:marRight w:val="0"/>
      <w:marTop w:val="0"/>
      <w:marBottom w:val="0"/>
      <w:divBdr>
        <w:top w:val="none" w:sz="0" w:space="0" w:color="auto"/>
        <w:left w:val="none" w:sz="0" w:space="0" w:color="auto"/>
        <w:bottom w:val="none" w:sz="0" w:space="0" w:color="auto"/>
        <w:right w:val="none" w:sz="0" w:space="0" w:color="auto"/>
      </w:divBdr>
    </w:div>
    <w:div w:id="907112691">
      <w:bodyDiv w:val="1"/>
      <w:marLeft w:val="0"/>
      <w:marRight w:val="0"/>
      <w:marTop w:val="0"/>
      <w:marBottom w:val="0"/>
      <w:divBdr>
        <w:top w:val="none" w:sz="0" w:space="0" w:color="auto"/>
        <w:left w:val="none" w:sz="0" w:space="0" w:color="auto"/>
        <w:bottom w:val="none" w:sz="0" w:space="0" w:color="auto"/>
        <w:right w:val="none" w:sz="0" w:space="0" w:color="auto"/>
      </w:divBdr>
    </w:div>
    <w:div w:id="915362906">
      <w:bodyDiv w:val="1"/>
      <w:marLeft w:val="0"/>
      <w:marRight w:val="0"/>
      <w:marTop w:val="0"/>
      <w:marBottom w:val="0"/>
      <w:divBdr>
        <w:top w:val="none" w:sz="0" w:space="0" w:color="auto"/>
        <w:left w:val="none" w:sz="0" w:space="0" w:color="auto"/>
        <w:bottom w:val="none" w:sz="0" w:space="0" w:color="auto"/>
        <w:right w:val="none" w:sz="0" w:space="0" w:color="auto"/>
      </w:divBdr>
    </w:div>
    <w:div w:id="934826070">
      <w:bodyDiv w:val="1"/>
      <w:marLeft w:val="0"/>
      <w:marRight w:val="0"/>
      <w:marTop w:val="0"/>
      <w:marBottom w:val="0"/>
      <w:divBdr>
        <w:top w:val="none" w:sz="0" w:space="0" w:color="auto"/>
        <w:left w:val="none" w:sz="0" w:space="0" w:color="auto"/>
        <w:bottom w:val="none" w:sz="0" w:space="0" w:color="auto"/>
        <w:right w:val="none" w:sz="0" w:space="0" w:color="auto"/>
      </w:divBdr>
    </w:div>
    <w:div w:id="937327107">
      <w:bodyDiv w:val="1"/>
      <w:marLeft w:val="0"/>
      <w:marRight w:val="0"/>
      <w:marTop w:val="0"/>
      <w:marBottom w:val="0"/>
      <w:divBdr>
        <w:top w:val="none" w:sz="0" w:space="0" w:color="auto"/>
        <w:left w:val="none" w:sz="0" w:space="0" w:color="auto"/>
        <w:bottom w:val="none" w:sz="0" w:space="0" w:color="auto"/>
        <w:right w:val="none" w:sz="0" w:space="0" w:color="auto"/>
      </w:divBdr>
    </w:div>
    <w:div w:id="959645198">
      <w:bodyDiv w:val="1"/>
      <w:marLeft w:val="0"/>
      <w:marRight w:val="0"/>
      <w:marTop w:val="0"/>
      <w:marBottom w:val="0"/>
      <w:divBdr>
        <w:top w:val="none" w:sz="0" w:space="0" w:color="auto"/>
        <w:left w:val="none" w:sz="0" w:space="0" w:color="auto"/>
        <w:bottom w:val="none" w:sz="0" w:space="0" w:color="auto"/>
        <w:right w:val="none" w:sz="0" w:space="0" w:color="auto"/>
      </w:divBdr>
    </w:div>
    <w:div w:id="963658327">
      <w:bodyDiv w:val="1"/>
      <w:marLeft w:val="0"/>
      <w:marRight w:val="0"/>
      <w:marTop w:val="0"/>
      <w:marBottom w:val="0"/>
      <w:divBdr>
        <w:top w:val="none" w:sz="0" w:space="0" w:color="auto"/>
        <w:left w:val="none" w:sz="0" w:space="0" w:color="auto"/>
        <w:bottom w:val="none" w:sz="0" w:space="0" w:color="auto"/>
        <w:right w:val="none" w:sz="0" w:space="0" w:color="auto"/>
      </w:divBdr>
    </w:div>
    <w:div w:id="985815683">
      <w:bodyDiv w:val="1"/>
      <w:marLeft w:val="0"/>
      <w:marRight w:val="0"/>
      <w:marTop w:val="0"/>
      <w:marBottom w:val="0"/>
      <w:divBdr>
        <w:top w:val="none" w:sz="0" w:space="0" w:color="auto"/>
        <w:left w:val="none" w:sz="0" w:space="0" w:color="auto"/>
        <w:bottom w:val="none" w:sz="0" w:space="0" w:color="auto"/>
        <w:right w:val="none" w:sz="0" w:space="0" w:color="auto"/>
      </w:divBdr>
    </w:div>
    <w:div w:id="1003825620">
      <w:bodyDiv w:val="1"/>
      <w:marLeft w:val="0"/>
      <w:marRight w:val="0"/>
      <w:marTop w:val="0"/>
      <w:marBottom w:val="0"/>
      <w:divBdr>
        <w:top w:val="none" w:sz="0" w:space="0" w:color="auto"/>
        <w:left w:val="none" w:sz="0" w:space="0" w:color="auto"/>
        <w:bottom w:val="none" w:sz="0" w:space="0" w:color="auto"/>
        <w:right w:val="none" w:sz="0" w:space="0" w:color="auto"/>
      </w:divBdr>
    </w:div>
    <w:div w:id="1028675909">
      <w:bodyDiv w:val="1"/>
      <w:marLeft w:val="0"/>
      <w:marRight w:val="0"/>
      <w:marTop w:val="0"/>
      <w:marBottom w:val="0"/>
      <w:divBdr>
        <w:top w:val="none" w:sz="0" w:space="0" w:color="auto"/>
        <w:left w:val="none" w:sz="0" w:space="0" w:color="auto"/>
        <w:bottom w:val="none" w:sz="0" w:space="0" w:color="auto"/>
        <w:right w:val="none" w:sz="0" w:space="0" w:color="auto"/>
      </w:divBdr>
    </w:div>
    <w:div w:id="1048147489">
      <w:bodyDiv w:val="1"/>
      <w:marLeft w:val="0"/>
      <w:marRight w:val="0"/>
      <w:marTop w:val="0"/>
      <w:marBottom w:val="0"/>
      <w:divBdr>
        <w:top w:val="none" w:sz="0" w:space="0" w:color="auto"/>
        <w:left w:val="none" w:sz="0" w:space="0" w:color="auto"/>
        <w:bottom w:val="none" w:sz="0" w:space="0" w:color="auto"/>
        <w:right w:val="none" w:sz="0" w:space="0" w:color="auto"/>
      </w:divBdr>
    </w:div>
    <w:div w:id="1053114927">
      <w:bodyDiv w:val="1"/>
      <w:marLeft w:val="0"/>
      <w:marRight w:val="0"/>
      <w:marTop w:val="0"/>
      <w:marBottom w:val="0"/>
      <w:divBdr>
        <w:top w:val="none" w:sz="0" w:space="0" w:color="auto"/>
        <w:left w:val="none" w:sz="0" w:space="0" w:color="auto"/>
        <w:bottom w:val="none" w:sz="0" w:space="0" w:color="auto"/>
        <w:right w:val="none" w:sz="0" w:space="0" w:color="auto"/>
      </w:divBdr>
    </w:div>
    <w:div w:id="1087656043">
      <w:bodyDiv w:val="1"/>
      <w:marLeft w:val="0"/>
      <w:marRight w:val="0"/>
      <w:marTop w:val="0"/>
      <w:marBottom w:val="0"/>
      <w:divBdr>
        <w:top w:val="none" w:sz="0" w:space="0" w:color="auto"/>
        <w:left w:val="none" w:sz="0" w:space="0" w:color="auto"/>
        <w:bottom w:val="none" w:sz="0" w:space="0" w:color="auto"/>
        <w:right w:val="none" w:sz="0" w:space="0" w:color="auto"/>
      </w:divBdr>
    </w:div>
    <w:div w:id="1095976741">
      <w:bodyDiv w:val="1"/>
      <w:marLeft w:val="0"/>
      <w:marRight w:val="0"/>
      <w:marTop w:val="0"/>
      <w:marBottom w:val="0"/>
      <w:divBdr>
        <w:top w:val="none" w:sz="0" w:space="0" w:color="auto"/>
        <w:left w:val="none" w:sz="0" w:space="0" w:color="auto"/>
        <w:bottom w:val="none" w:sz="0" w:space="0" w:color="auto"/>
        <w:right w:val="none" w:sz="0" w:space="0" w:color="auto"/>
      </w:divBdr>
    </w:div>
    <w:div w:id="1100756584">
      <w:bodyDiv w:val="1"/>
      <w:marLeft w:val="0"/>
      <w:marRight w:val="0"/>
      <w:marTop w:val="0"/>
      <w:marBottom w:val="0"/>
      <w:divBdr>
        <w:top w:val="none" w:sz="0" w:space="0" w:color="auto"/>
        <w:left w:val="none" w:sz="0" w:space="0" w:color="auto"/>
        <w:bottom w:val="none" w:sz="0" w:space="0" w:color="auto"/>
        <w:right w:val="none" w:sz="0" w:space="0" w:color="auto"/>
      </w:divBdr>
    </w:div>
    <w:div w:id="1101415546">
      <w:bodyDiv w:val="1"/>
      <w:marLeft w:val="0"/>
      <w:marRight w:val="0"/>
      <w:marTop w:val="0"/>
      <w:marBottom w:val="0"/>
      <w:divBdr>
        <w:top w:val="none" w:sz="0" w:space="0" w:color="auto"/>
        <w:left w:val="none" w:sz="0" w:space="0" w:color="auto"/>
        <w:bottom w:val="none" w:sz="0" w:space="0" w:color="auto"/>
        <w:right w:val="none" w:sz="0" w:space="0" w:color="auto"/>
      </w:divBdr>
    </w:div>
    <w:div w:id="1107310041">
      <w:bodyDiv w:val="1"/>
      <w:marLeft w:val="0"/>
      <w:marRight w:val="0"/>
      <w:marTop w:val="0"/>
      <w:marBottom w:val="0"/>
      <w:divBdr>
        <w:top w:val="none" w:sz="0" w:space="0" w:color="auto"/>
        <w:left w:val="none" w:sz="0" w:space="0" w:color="auto"/>
        <w:bottom w:val="none" w:sz="0" w:space="0" w:color="auto"/>
        <w:right w:val="none" w:sz="0" w:space="0" w:color="auto"/>
      </w:divBdr>
    </w:div>
    <w:div w:id="1117337962">
      <w:bodyDiv w:val="1"/>
      <w:marLeft w:val="0"/>
      <w:marRight w:val="0"/>
      <w:marTop w:val="0"/>
      <w:marBottom w:val="0"/>
      <w:divBdr>
        <w:top w:val="none" w:sz="0" w:space="0" w:color="auto"/>
        <w:left w:val="none" w:sz="0" w:space="0" w:color="auto"/>
        <w:bottom w:val="none" w:sz="0" w:space="0" w:color="auto"/>
        <w:right w:val="none" w:sz="0" w:space="0" w:color="auto"/>
      </w:divBdr>
    </w:div>
    <w:div w:id="1142692563">
      <w:bodyDiv w:val="1"/>
      <w:marLeft w:val="0"/>
      <w:marRight w:val="0"/>
      <w:marTop w:val="0"/>
      <w:marBottom w:val="0"/>
      <w:divBdr>
        <w:top w:val="none" w:sz="0" w:space="0" w:color="auto"/>
        <w:left w:val="none" w:sz="0" w:space="0" w:color="auto"/>
        <w:bottom w:val="none" w:sz="0" w:space="0" w:color="auto"/>
        <w:right w:val="none" w:sz="0" w:space="0" w:color="auto"/>
      </w:divBdr>
    </w:div>
    <w:div w:id="1155756261">
      <w:bodyDiv w:val="1"/>
      <w:marLeft w:val="0"/>
      <w:marRight w:val="0"/>
      <w:marTop w:val="0"/>
      <w:marBottom w:val="0"/>
      <w:divBdr>
        <w:top w:val="none" w:sz="0" w:space="0" w:color="auto"/>
        <w:left w:val="none" w:sz="0" w:space="0" w:color="auto"/>
        <w:bottom w:val="none" w:sz="0" w:space="0" w:color="auto"/>
        <w:right w:val="none" w:sz="0" w:space="0" w:color="auto"/>
      </w:divBdr>
    </w:div>
    <w:div w:id="1175345106">
      <w:bodyDiv w:val="1"/>
      <w:marLeft w:val="0"/>
      <w:marRight w:val="0"/>
      <w:marTop w:val="0"/>
      <w:marBottom w:val="0"/>
      <w:divBdr>
        <w:top w:val="none" w:sz="0" w:space="0" w:color="auto"/>
        <w:left w:val="none" w:sz="0" w:space="0" w:color="auto"/>
        <w:bottom w:val="none" w:sz="0" w:space="0" w:color="auto"/>
        <w:right w:val="none" w:sz="0" w:space="0" w:color="auto"/>
      </w:divBdr>
    </w:div>
    <w:div w:id="1183204671">
      <w:bodyDiv w:val="1"/>
      <w:marLeft w:val="0"/>
      <w:marRight w:val="0"/>
      <w:marTop w:val="0"/>
      <w:marBottom w:val="0"/>
      <w:divBdr>
        <w:top w:val="none" w:sz="0" w:space="0" w:color="auto"/>
        <w:left w:val="none" w:sz="0" w:space="0" w:color="auto"/>
        <w:bottom w:val="none" w:sz="0" w:space="0" w:color="auto"/>
        <w:right w:val="none" w:sz="0" w:space="0" w:color="auto"/>
      </w:divBdr>
    </w:div>
    <w:div w:id="1192499279">
      <w:bodyDiv w:val="1"/>
      <w:marLeft w:val="0"/>
      <w:marRight w:val="0"/>
      <w:marTop w:val="0"/>
      <w:marBottom w:val="0"/>
      <w:divBdr>
        <w:top w:val="none" w:sz="0" w:space="0" w:color="auto"/>
        <w:left w:val="none" w:sz="0" w:space="0" w:color="auto"/>
        <w:bottom w:val="none" w:sz="0" w:space="0" w:color="auto"/>
        <w:right w:val="none" w:sz="0" w:space="0" w:color="auto"/>
      </w:divBdr>
    </w:div>
    <w:div w:id="1212620290">
      <w:bodyDiv w:val="1"/>
      <w:marLeft w:val="0"/>
      <w:marRight w:val="0"/>
      <w:marTop w:val="0"/>
      <w:marBottom w:val="0"/>
      <w:divBdr>
        <w:top w:val="none" w:sz="0" w:space="0" w:color="auto"/>
        <w:left w:val="none" w:sz="0" w:space="0" w:color="auto"/>
        <w:bottom w:val="none" w:sz="0" w:space="0" w:color="auto"/>
        <w:right w:val="none" w:sz="0" w:space="0" w:color="auto"/>
      </w:divBdr>
    </w:div>
    <w:div w:id="1221139984">
      <w:bodyDiv w:val="1"/>
      <w:marLeft w:val="0"/>
      <w:marRight w:val="0"/>
      <w:marTop w:val="0"/>
      <w:marBottom w:val="0"/>
      <w:divBdr>
        <w:top w:val="none" w:sz="0" w:space="0" w:color="auto"/>
        <w:left w:val="none" w:sz="0" w:space="0" w:color="auto"/>
        <w:bottom w:val="none" w:sz="0" w:space="0" w:color="auto"/>
        <w:right w:val="none" w:sz="0" w:space="0" w:color="auto"/>
      </w:divBdr>
    </w:div>
    <w:div w:id="1222250703">
      <w:bodyDiv w:val="1"/>
      <w:marLeft w:val="0"/>
      <w:marRight w:val="0"/>
      <w:marTop w:val="0"/>
      <w:marBottom w:val="0"/>
      <w:divBdr>
        <w:top w:val="none" w:sz="0" w:space="0" w:color="auto"/>
        <w:left w:val="none" w:sz="0" w:space="0" w:color="auto"/>
        <w:bottom w:val="none" w:sz="0" w:space="0" w:color="auto"/>
        <w:right w:val="none" w:sz="0" w:space="0" w:color="auto"/>
      </w:divBdr>
    </w:div>
    <w:div w:id="1232733037">
      <w:bodyDiv w:val="1"/>
      <w:marLeft w:val="0"/>
      <w:marRight w:val="0"/>
      <w:marTop w:val="0"/>
      <w:marBottom w:val="0"/>
      <w:divBdr>
        <w:top w:val="none" w:sz="0" w:space="0" w:color="auto"/>
        <w:left w:val="none" w:sz="0" w:space="0" w:color="auto"/>
        <w:bottom w:val="none" w:sz="0" w:space="0" w:color="auto"/>
        <w:right w:val="none" w:sz="0" w:space="0" w:color="auto"/>
      </w:divBdr>
    </w:div>
    <w:div w:id="1262834766">
      <w:bodyDiv w:val="1"/>
      <w:marLeft w:val="0"/>
      <w:marRight w:val="0"/>
      <w:marTop w:val="0"/>
      <w:marBottom w:val="0"/>
      <w:divBdr>
        <w:top w:val="none" w:sz="0" w:space="0" w:color="auto"/>
        <w:left w:val="none" w:sz="0" w:space="0" w:color="auto"/>
        <w:bottom w:val="none" w:sz="0" w:space="0" w:color="auto"/>
        <w:right w:val="none" w:sz="0" w:space="0" w:color="auto"/>
      </w:divBdr>
    </w:div>
    <w:div w:id="1290092876">
      <w:bodyDiv w:val="1"/>
      <w:marLeft w:val="0"/>
      <w:marRight w:val="0"/>
      <w:marTop w:val="0"/>
      <w:marBottom w:val="0"/>
      <w:divBdr>
        <w:top w:val="none" w:sz="0" w:space="0" w:color="auto"/>
        <w:left w:val="none" w:sz="0" w:space="0" w:color="auto"/>
        <w:bottom w:val="none" w:sz="0" w:space="0" w:color="auto"/>
        <w:right w:val="none" w:sz="0" w:space="0" w:color="auto"/>
      </w:divBdr>
    </w:div>
    <w:div w:id="1292981918">
      <w:bodyDiv w:val="1"/>
      <w:marLeft w:val="0"/>
      <w:marRight w:val="0"/>
      <w:marTop w:val="0"/>
      <w:marBottom w:val="0"/>
      <w:divBdr>
        <w:top w:val="none" w:sz="0" w:space="0" w:color="auto"/>
        <w:left w:val="none" w:sz="0" w:space="0" w:color="auto"/>
        <w:bottom w:val="none" w:sz="0" w:space="0" w:color="auto"/>
        <w:right w:val="none" w:sz="0" w:space="0" w:color="auto"/>
      </w:divBdr>
    </w:div>
    <w:div w:id="1335457141">
      <w:bodyDiv w:val="1"/>
      <w:marLeft w:val="0"/>
      <w:marRight w:val="0"/>
      <w:marTop w:val="0"/>
      <w:marBottom w:val="0"/>
      <w:divBdr>
        <w:top w:val="none" w:sz="0" w:space="0" w:color="auto"/>
        <w:left w:val="none" w:sz="0" w:space="0" w:color="auto"/>
        <w:bottom w:val="none" w:sz="0" w:space="0" w:color="auto"/>
        <w:right w:val="none" w:sz="0" w:space="0" w:color="auto"/>
      </w:divBdr>
    </w:div>
    <w:div w:id="1382048308">
      <w:bodyDiv w:val="1"/>
      <w:marLeft w:val="0"/>
      <w:marRight w:val="0"/>
      <w:marTop w:val="0"/>
      <w:marBottom w:val="0"/>
      <w:divBdr>
        <w:top w:val="none" w:sz="0" w:space="0" w:color="auto"/>
        <w:left w:val="none" w:sz="0" w:space="0" w:color="auto"/>
        <w:bottom w:val="none" w:sz="0" w:space="0" w:color="auto"/>
        <w:right w:val="none" w:sz="0" w:space="0" w:color="auto"/>
      </w:divBdr>
    </w:div>
    <w:div w:id="1383482606">
      <w:bodyDiv w:val="1"/>
      <w:marLeft w:val="0"/>
      <w:marRight w:val="0"/>
      <w:marTop w:val="0"/>
      <w:marBottom w:val="0"/>
      <w:divBdr>
        <w:top w:val="none" w:sz="0" w:space="0" w:color="auto"/>
        <w:left w:val="none" w:sz="0" w:space="0" w:color="auto"/>
        <w:bottom w:val="none" w:sz="0" w:space="0" w:color="auto"/>
        <w:right w:val="none" w:sz="0" w:space="0" w:color="auto"/>
      </w:divBdr>
    </w:div>
    <w:div w:id="1439910175">
      <w:bodyDiv w:val="1"/>
      <w:marLeft w:val="0"/>
      <w:marRight w:val="0"/>
      <w:marTop w:val="0"/>
      <w:marBottom w:val="0"/>
      <w:divBdr>
        <w:top w:val="none" w:sz="0" w:space="0" w:color="auto"/>
        <w:left w:val="none" w:sz="0" w:space="0" w:color="auto"/>
        <w:bottom w:val="none" w:sz="0" w:space="0" w:color="auto"/>
        <w:right w:val="none" w:sz="0" w:space="0" w:color="auto"/>
      </w:divBdr>
    </w:div>
    <w:div w:id="1465810705">
      <w:bodyDiv w:val="1"/>
      <w:marLeft w:val="0"/>
      <w:marRight w:val="0"/>
      <w:marTop w:val="0"/>
      <w:marBottom w:val="0"/>
      <w:divBdr>
        <w:top w:val="none" w:sz="0" w:space="0" w:color="auto"/>
        <w:left w:val="none" w:sz="0" w:space="0" w:color="auto"/>
        <w:bottom w:val="none" w:sz="0" w:space="0" w:color="auto"/>
        <w:right w:val="none" w:sz="0" w:space="0" w:color="auto"/>
      </w:divBdr>
    </w:div>
    <w:div w:id="1477066101">
      <w:bodyDiv w:val="1"/>
      <w:marLeft w:val="0"/>
      <w:marRight w:val="0"/>
      <w:marTop w:val="0"/>
      <w:marBottom w:val="0"/>
      <w:divBdr>
        <w:top w:val="none" w:sz="0" w:space="0" w:color="auto"/>
        <w:left w:val="none" w:sz="0" w:space="0" w:color="auto"/>
        <w:bottom w:val="none" w:sz="0" w:space="0" w:color="auto"/>
        <w:right w:val="none" w:sz="0" w:space="0" w:color="auto"/>
      </w:divBdr>
    </w:div>
    <w:div w:id="1486236802">
      <w:bodyDiv w:val="1"/>
      <w:marLeft w:val="0"/>
      <w:marRight w:val="0"/>
      <w:marTop w:val="0"/>
      <w:marBottom w:val="0"/>
      <w:divBdr>
        <w:top w:val="none" w:sz="0" w:space="0" w:color="auto"/>
        <w:left w:val="none" w:sz="0" w:space="0" w:color="auto"/>
        <w:bottom w:val="none" w:sz="0" w:space="0" w:color="auto"/>
        <w:right w:val="none" w:sz="0" w:space="0" w:color="auto"/>
      </w:divBdr>
    </w:div>
    <w:div w:id="1496604495">
      <w:bodyDiv w:val="1"/>
      <w:marLeft w:val="0"/>
      <w:marRight w:val="0"/>
      <w:marTop w:val="0"/>
      <w:marBottom w:val="0"/>
      <w:divBdr>
        <w:top w:val="none" w:sz="0" w:space="0" w:color="auto"/>
        <w:left w:val="none" w:sz="0" w:space="0" w:color="auto"/>
        <w:bottom w:val="none" w:sz="0" w:space="0" w:color="auto"/>
        <w:right w:val="none" w:sz="0" w:space="0" w:color="auto"/>
      </w:divBdr>
    </w:div>
    <w:div w:id="1500729451">
      <w:bodyDiv w:val="1"/>
      <w:marLeft w:val="0"/>
      <w:marRight w:val="0"/>
      <w:marTop w:val="0"/>
      <w:marBottom w:val="0"/>
      <w:divBdr>
        <w:top w:val="none" w:sz="0" w:space="0" w:color="auto"/>
        <w:left w:val="none" w:sz="0" w:space="0" w:color="auto"/>
        <w:bottom w:val="none" w:sz="0" w:space="0" w:color="auto"/>
        <w:right w:val="none" w:sz="0" w:space="0" w:color="auto"/>
      </w:divBdr>
    </w:div>
    <w:div w:id="1519345423">
      <w:bodyDiv w:val="1"/>
      <w:marLeft w:val="0"/>
      <w:marRight w:val="0"/>
      <w:marTop w:val="0"/>
      <w:marBottom w:val="0"/>
      <w:divBdr>
        <w:top w:val="none" w:sz="0" w:space="0" w:color="auto"/>
        <w:left w:val="none" w:sz="0" w:space="0" w:color="auto"/>
        <w:bottom w:val="none" w:sz="0" w:space="0" w:color="auto"/>
        <w:right w:val="none" w:sz="0" w:space="0" w:color="auto"/>
      </w:divBdr>
    </w:div>
    <w:div w:id="1525512240">
      <w:bodyDiv w:val="1"/>
      <w:marLeft w:val="0"/>
      <w:marRight w:val="0"/>
      <w:marTop w:val="0"/>
      <w:marBottom w:val="0"/>
      <w:divBdr>
        <w:top w:val="none" w:sz="0" w:space="0" w:color="auto"/>
        <w:left w:val="none" w:sz="0" w:space="0" w:color="auto"/>
        <w:bottom w:val="none" w:sz="0" w:space="0" w:color="auto"/>
        <w:right w:val="none" w:sz="0" w:space="0" w:color="auto"/>
      </w:divBdr>
    </w:div>
    <w:div w:id="1549300867">
      <w:bodyDiv w:val="1"/>
      <w:marLeft w:val="0"/>
      <w:marRight w:val="0"/>
      <w:marTop w:val="0"/>
      <w:marBottom w:val="0"/>
      <w:divBdr>
        <w:top w:val="none" w:sz="0" w:space="0" w:color="auto"/>
        <w:left w:val="none" w:sz="0" w:space="0" w:color="auto"/>
        <w:bottom w:val="none" w:sz="0" w:space="0" w:color="auto"/>
        <w:right w:val="none" w:sz="0" w:space="0" w:color="auto"/>
      </w:divBdr>
    </w:div>
    <w:div w:id="1576550201">
      <w:bodyDiv w:val="1"/>
      <w:marLeft w:val="0"/>
      <w:marRight w:val="0"/>
      <w:marTop w:val="0"/>
      <w:marBottom w:val="0"/>
      <w:divBdr>
        <w:top w:val="none" w:sz="0" w:space="0" w:color="auto"/>
        <w:left w:val="none" w:sz="0" w:space="0" w:color="auto"/>
        <w:bottom w:val="none" w:sz="0" w:space="0" w:color="auto"/>
        <w:right w:val="none" w:sz="0" w:space="0" w:color="auto"/>
      </w:divBdr>
    </w:div>
    <w:div w:id="1594968445">
      <w:bodyDiv w:val="1"/>
      <w:marLeft w:val="0"/>
      <w:marRight w:val="0"/>
      <w:marTop w:val="0"/>
      <w:marBottom w:val="0"/>
      <w:divBdr>
        <w:top w:val="none" w:sz="0" w:space="0" w:color="auto"/>
        <w:left w:val="none" w:sz="0" w:space="0" w:color="auto"/>
        <w:bottom w:val="none" w:sz="0" w:space="0" w:color="auto"/>
        <w:right w:val="none" w:sz="0" w:space="0" w:color="auto"/>
      </w:divBdr>
    </w:div>
    <w:div w:id="1600796087">
      <w:bodyDiv w:val="1"/>
      <w:marLeft w:val="0"/>
      <w:marRight w:val="0"/>
      <w:marTop w:val="0"/>
      <w:marBottom w:val="0"/>
      <w:divBdr>
        <w:top w:val="none" w:sz="0" w:space="0" w:color="auto"/>
        <w:left w:val="none" w:sz="0" w:space="0" w:color="auto"/>
        <w:bottom w:val="none" w:sz="0" w:space="0" w:color="auto"/>
        <w:right w:val="none" w:sz="0" w:space="0" w:color="auto"/>
      </w:divBdr>
    </w:div>
    <w:div w:id="1614553143">
      <w:bodyDiv w:val="1"/>
      <w:marLeft w:val="0"/>
      <w:marRight w:val="0"/>
      <w:marTop w:val="0"/>
      <w:marBottom w:val="0"/>
      <w:divBdr>
        <w:top w:val="none" w:sz="0" w:space="0" w:color="auto"/>
        <w:left w:val="none" w:sz="0" w:space="0" w:color="auto"/>
        <w:bottom w:val="none" w:sz="0" w:space="0" w:color="auto"/>
        <w:right w:val="none" w:sz="0" w:space="0" w:color="auto"/>
      </w:divBdr>
    </w:div>
    <w:div w:id="1614896500">
      <w:bodyDiv w:val="1"/>
      <w:marLeft w:val="0"/>
      <w:marRight w:val="0"/>
      <w:marTop w:val="0"/>
      <w:marBottom w:val="0"/>
      <w:divBdr>
        <w:top w:val="none" w:sz="0" w:space="0" w:color="auto"/>
        <w:left w:val="none" w:sz="0" w:space="0" w:color="auto"/>
        <w:bottom w:val="none" w:sz="0" w:space="0" w:color="auto"/>
        <w:right w:val="none" w:sz="0" w:space="0" w:color="auto"/>
      </w:divBdr>
    </w:div>
    <w:div w:id="1624070888">
      <w:bodyDiv w:val="1"/>
      <w:marLeft w:val="0"/>
      <w:marRight w:val="0"/>
      <w:marTop w:val="0"/>
      <w:marBottom w:val="0"/>
      <w:divBdr>
        <w:top w:val="none" w:sz="0" w:space="0" w:color="auto"/>
        <w:left w:val="none" w:sz="0" w:space="0" w:color="auto"/>
        <w:bottom w:val="none" w:sz="0" w:space="0" w:color="auto"/>
        <w:right w:val="none" w:sz="0" w:space="0" w:color="auto"/>
      </w:divBdr>
    </w:div>
    <w:div w:id="1656837006">
      <w:bodyDiv w:val="1"/>
      <w:marLeft w:val="0"/>
      <w:marRight w:val="0"/>
      <w:marTop w:val="0"/>
      <w:marBottom w:val="0"/>
      <w:divBdr>
        <w:top w:val="none" w:sz="0" w:space="0" w:color="auto"/>
        <w:left w:val="none" w:sz="0" w:space="0" w:color="auto"/>
        <w:bottom w:val="none" w:sz="0" w:space="0" w:color="auto"/>
        <w:right w:val="none" w:sz="0" w:space="0" w:color="auto"/>
      </w:divBdr>
    </w:div>
    <w:div w:id="1705983663">
      <w:bodyDiv w:val="1"/>
      <w:marLeft w:val="0"/>
      <w:marRight w:val="0"/>
      <w:marTop w:val="0"/>
      <w:marBottom w:val="0"/>
      <w:divBdr>
        <w:top w:val="none" w:sz="0" w:space="0" w:color="auto"/>
        <w:left w:val="none" w:sz="0" w:space="0" w:color="auto"/>
        <w:bottom w:val="none" w:sz="0" w:space="0" w:color="auto"/>
        <w:right w:val="none" w:sz="0" w:space="0" w:color="auto"/>
      </w:divBdr>
    </w:div>
    <w:div w:id="1720207725">
      <w:bodyDiv w:val="1"/>
      <w:marLeft w:val="0"/>
      <w:marRight w:val="0"/>
      <w:marTop w:val="0"/>
      <w:marBottom w:val="0"/>
      <w:divBdr>
        <w:top w:val="none" w:sz="0" w:space="0" w:color="auto"/>
        <w:left w:val="none" w:sz="0" w:space="0" w:color="auto"/>
        <w:bottom w:val="none" w:sz="0" w:space="0" w:color="auto"/>
        <w:right w:val="none" w:sz="0" w:space="0" w:color="auto"/>
      </w:divBdr>
    </w:div>
    <w:div w:id="1729259605">
      <w:bodyDiv w:val="1"/>
      <w:marLeft w:val="0"/>
      <w:marRight w:val="0"/>
      <w:marTop w:val="0"/>
      <w:marBottom w:val="0"/>
      <w:divBdr>
        <w:top w:val="none" w:sz="0" w:space="0" w:color="auto"/>
        <w:left w:val="none" w:sz="0" w:space="0" w:color="auto"/>
        <w:bottom w:val="none" w:sz="0" w:space="0" w:color="auto"/>
        <w:right w:val="none" w:sz="0" w:space="0" w:color="auto"/>
      </w:divBdr>
    </w:div>
    <w:div w:id="1761096716">
      <w:bodyDiv w:val="1"/>
      <w:marLeft w:val="0"/>
      <w:marRight w:val="0"/>
      <w:marTop w:val="0"/>
      <w:marBottom w:val="0"/>
      <w:divBdr>
        <w:top w:val="none" w:sz="0" w:space="0" w:color="auto"/>
        <w:left w:val="none" w:sz="0" w:space="0" w:color="auto"/>
        <w:bottom w:val="none" w:sz="0" w:space="0" w:color="auto"/>
        <w:right w:val="none" w:sz="0" w:space="0" w:color="auto"/>
      </w:divBdr>
    </w:div>
    <w:div w:id="1763380333">
      <w:bodyDiv w:val="1"/>
      <w:marLeft w:val="0"/>
      <w:marRight w:val="0"/>
      <w:marTop w:val="0"/>
      <w:marBottom w:val="0"/>
      <w:divBdr>
        <w:top w:val="none" w:sz="0" w:space="0" w:color="auto"/>
        <w:left w:val="none" w:sz="0" w:space="0" w:color="auto"/>
        <w:bottom w:val="none" w:sz="0" w:space="0" w:color="auto"/>
        <w:right w:val="none" w:sz="0" w:space="0" w:color="auto"/>
      </w:divBdr>
    </w:div>
    <w:div w:id="1788768148">
      <w:bodyDiv w:val="1"/>
      <w:marLeft w:val="0"/>
      <w:marRight w:val="0"/>
      <w:marTop w:val="0"/>
      <w:marBottom w:val="0"/>
      <w:divBdr>
        <w:top w:val="none" w:sz="0" w:space="0" w:color="auto"/>
        <w:left w:val="none" w:sz="0" w:space="0" w:color="auto"/>
        <w:bottom w:val="none" w:sz="0" w:space="0" w:color="auto"/>
        <w:right w:val="none" w:sz="0" w:space="0" w:color="auto"/>
      </w:divBdr>
    </w:div>
    <w:div w:id="1799571815">
      <w:bodyDiv w:val="1"/>
      <w:marLeft w:val="0"/>
      <w:marRight w:val="0"/>
      <w:marTop w:val="0"/>
      <w:marBottom w:val="0"/>
      <w:divBdr>
        <w:top w:val="none" w:sz="0" w:space="0" w:color="auto"/>
        <w:left w:val="none" w:sz="0" w:space="0" w:color="auto"/>
        <w:bottom w:val="none" w:sz="0" w:space="0" w:color="auto"/>
        <w:right w:val="none" w:sz="0" w:space="0" w:color="auto"/>
      </w:divBdr>
    </w:div>
    <w:div w:id="1802991977">
      <w:bodyDiv w:val="1"/>
      <w:marLeft w:val="0"/>
      <w:marRight w:val="0"/>
      <w:marTop w:val="0"/>
      <w:marBottom w:val="0"/>
      <w:divBdr>
        <w:top w:val="none" w:sz="0" w:space="0" w:color="auto"/>
        <w:left w:val="none" w:sz="0" w:space="0" w:color="auto"/>
        <w:bottom w:val="none" w:sz="0" w:space="0" w:color="auto"/>
        <w:right w:val="none" w:sz="0" w:space="0" w:color="auto"/>
      </w:divBdr>
    </w:div>
    <w:div w:id="1822039827">
      <w:bodyDiv w:val="1"/>
      <w:marLeft w:val="0"/>
      <w:marRight w:val="0"/>
      <w:marTop w:val="0"/>
      <w:marBottom w:val="0"/>
      <w:divBdr>
        <w:top w:val="none" w:sz="0" w:space="0" w:color="auto"/>
        <w:left w:val="none" w:sz="0" w:space="0" w:color="auto"/>
        <w:bottom w:val="none" w:sz="0" w:space="0" w:color="auto"/>
        <w:right w:val="none" w:sz="0" w:space="0" w:color="auto"/>
      </w:divBdr>
    </w:div>
    <w:div w:id="1831485597">
      <w:bodyDiv w:val="1"/>
      <w:marLeft w:val="0"/>
      <w:marRight w:val="0"/>
      <w:marTop w:val="0"/>
      <w:marBottom w:val="0"/>
      <w:divBdr>
        <w:top w:val="none" w:sz="0" w:space="0" w:color="auto"/>
        <w:left w:val="none" w:sz="0" w:space="0" w:color="auto"/>
        <w:bottom w:val="none" w:sz="0" w:space="0" w:color="auto"/>
        <w:right w:val="none" w:sz="0" w:space="0" w:color="auto"/>
      </w:divBdr>
    </w:div>
    <w:div w:id="1860657436">
      <w:bodyDiv w:val="1"/>
      <w:marLeft w:val="0"/>
      <w:marRight w:val="0"/>
      <w:marTop w:val="0"/>
      <w:marBottom w:val="0"/>
      <w:divBdr>
        <w:top w:val="none" w:sz="0" w:space="0" w:color="auto"/>
        <w:left w:val="none" w:sz="0" w:space="0" w:color="auto"/>
        <w:bottom w:val="none" w:sz="0" w:space="0" w:color="auto"/>
        <w:right w:val="none" w:sz="0" w:space="0" w:color="auto"/>
      </w:divBdr>
    </w:div>
    <w:div w:id="1875266335">
      <w:bodyDiv w:val="1"/>
      <w:marLeft w:val="0"/>
      <w:marRight w:val="0"/>
      <w:marTop w:val="0"/>
      <w:marBottom w:val="0"/>
      <w:divBdr>
        <w:top w:val="none" w:sz="0" w:space="0" w:color="auto"/>
        <w:left w:val="none" w:sz="0" w:space="0" w:color="auto"/>
        <w:bottom w:val="none" w:sz="0" w:space="0" w:color="auto"/>
        <w:right w:val="none" w:sz="0" w:space="0" w:color="auto"/>
      </w:divBdr>
    </w:div>
    <w:div w:id="1875583127">
      <w:bodyDiv w:val="1"/>
      <w:marLeft w:val="0"/>
      <w:marRight w:val="0"/>
      <w:marTop w:val="0"/>
      <w:marBottom w:val="0"/>
      <w:divBdr>
        <w:top w:val="none" w:sz="0" w:space="0" w:color="auto"/>
        <w:left w:val="none" w:sz="0" w:space="0" w:color="auto"/>
        <w:bottom w:val="none" w:sz="0" w:space="0" w:color="auto"/>
        <w:right w:val="none" w:sz="0" w:space="0" w:color="auto"/>
      </w:divBdr>
    </w:div>
    <w:div w:id="1879733478">
      <w:bodyDiv w:val="1"/>
      <w:marLeft w:val="0"/>
      <w:marRight w:val="0"/>
      <w:marTop w:val="0"/>
      <w:marBottom w:val="0"/>
      <w:divBdr>
        <w:top w:val="none" w:sz="0" w:space="0" w:color="auto"/>
        <w:left w:val="none" w:sz="0" w:space="0" w:color="auto"/>
        <w:bottom w:val="none" w:sz="0" w:space="0" w:color="auto"/>
        <w:right w:val="none" w:sz="0" w:space="0" w:color="auto"/>
      </w:divBdr>
    </w:div>
    <w:div w:id="1882866306">
      <w:bodyDiv w:val="1"/>
      <w:marLeft w:val="0"/>
      <w:marRight w:val="0"/>
      <w:marTop w:val="0"/>
      <w:marBottom w:val="0"/>
      <w:divBdr>
        <w:top w:val="none" w:sz="0" w:space="0" w:color="auto"/>
        <w:left w:val="none" w:sz="0" w:space="0" w:color="auto"/>
        <w:bottom w:val="none" w:sz="0" w:space="0" w:color="auto"/>
        <w:right w:val="none" w:sz="0" w:space="0" w:color="auto"/>
      </w:divBdr>
    </w:div>
    <w:div w:id="1917086348">
      <w:bodyDiv w:val="1"/>
      <w:marLeft w:val="0"/>
      <w:marRight w:val="0"/>
      <w:marTop w:val="0"/>
      <w:marBottom w:val="0"/>
      <w:divBdr>
        <w:top w:val="none" w:sz="0" w:space="0" w:color="auto"/>
        <w:left w:val="none" w:sz="0" w:space="0" w:color="auto"/>
        <w:bottom w:val="none" w:sz="0" w:space="0" w:color="auto"/>
        <w:right w:val="none" w:sz="0" w:space="0" w:color="auto"/>
      </w:divBdr>
    </w:div>
    <w:div w:id="1931428022">
      <w:bodyDiv w:val="1"/>
      <w:marLeft w:val="0"/>
      <w:marRight w:val="0"/>
      <w:marTop w:val="0"/>
      <w:marBottom w:val="0"/>
      <w:divBdr>
        <w:top w:val="none" w:sz="0" w:space="0" w:color="auto"/>
        <w:left w:val="none" w:sz="0" w:space="0" w:color="auto"/>
        <w:bottom w:val="none" w:sz="0" w:space="0" w:color="auto"/>
        <w:right w:val="none" w:sz="0" w:space="0" w:color="auto"/>
      </w:divBdr>
    </w:div>
    <w:div w:id="1951358166">
      <w:bodyDiv w:val="1"/>
      <w:marLeft w:val="0"/>
      <w:marRight w:val="0"/>
      <w:marTop w:val="0"/>
      <w:marBottom w:val="0"/>
      <w:divBdr>
        <w:top w:val="none" w:sz="0" w:space="0" w:color="auto"/>
        <w:left w:val="none" w:sz="0" w:space="0" w:color="auto"/>
        <w:bottom w:val="none" w:sz="0" w:space="0" w:color="auto"/>
        <w:right w:val="none" w:sz="0" w:space="0" w:color="auto"/>
      </w:divBdr>
    </w:div>
    <w:div w:id="1956251808">
      <w:bodyDiv w:val="1"/>
      <w:marLeft w:val="0"/>
      <w:marRight w:val="0"/>
      <w:marTop w:val="0"/>
      <w:marBottom w:val="0"/>
      <w:divBdr>
        <w:top w:val="none" w:sz="0" w:space="0" w:color="auto"/>
        <w:left w:val="none" w:sz="0" w:space="0" w:color="auto"/>
        <w:bottom w:val="none" w:sz="0" w:space="0" w:color="auto"/>
        <w:right w:val="none" w:sz="0" w:space="0" w:color="auto"/>
      </w:divBdr>
    </w:div>
    <w:div w:id="1957447880">
      <w:bodyDiv w:val="1"/>
      <w:marLeft w:val="0"/>
      <w:marRight w:val="0"/>
      <w:marTop w:val="0"/>
      <w:marBottom w:val="0"/>
      <w:divBdr>
        <w:top w:val="none" w:sz="0" w:space="0" w:color="auto"/>
        <w:left w:val="none" w:sz="0" w:space="0" w:color="auto"/>
        <w:bottom w:val="none" w:sz="0" w:space="0" w:color="auto"/>
        <w:right w:val="none" w:sz="0" w:space="0" w:color="auto"/>
      </w:divBdr>
    </w:div>
    <w:div w:id="1962026635">
      <w:bodyDiv w:val="1"/>
      <w:marLeft w:val="0"/>
      <w:marRight w:val="0"/>
      <w:marTop w:val="0"/>
      <w:marBottom w:val="0"/>
      <w:divBdr>
        <w:top w:val="none" w:sz="0" w:space="0" w:color="auto"/>
        <w:left w:val="none" w:sz="0" w:space="0" w:color="auto"/>
        <w:bottom w:val="none" w:sz="0" w:space="0" w:color="auto"/>
        <w:right w:val="none" w:sz="0" w:space="0" w:color="auto"/>
      </w:divBdr>
    </w:div>
    <w:div w:id="1964774712">
      <w:bodyDiv w:val="1"/>
      <w:marLeft w:val="0"/>
      <w:marRight w:val="0"/>
      <w:marTop w:val="0"/>
      <w:marBottom w:val="0"/>
      <w:divBdr>
        <w:top w:val="none" w:sz="0" w:space="0" w:color="auto"/>
        <w:left w:val="none" w:sz="0" w:space="0" w:color="auto"/>
        <w:bottom w:val="none" w:sz="0" w:space="0" w:color="auto"/>
        <w:right w:val="none" w:sz="0" w:space="0" w:color="auto"/>
      </w:divBdr>
    </w:div>
    <w:div w:id="1964849815">
      <w:bodyDiv w:val="1"/>
      <w:marLeft w:val="0"/>
      <w:marRight w:val="0"/>
      <w:marTop w:val="0"/>
      <w:marBottom w:val="0"/>
      <w:divBdr>
        <w:top w:val="none" w:sz="0" w:space="0" w:color="auto"/>
        <w:left w:val="none" w:sz="0" w:space="0" w:color="auto"/>
        <w:bottom w:val="none" w:sz="0" w:space="0" w:color="auto"/>
        <w:right w:val="none" w:sz="0" w:space="0" w:color="auto"/>
      </w:divBdr>
    </w:div>
    <w:div w:id="1967195528">
      <w:bodyDiv w:val="1"/>
      <w:marLeft w:val="0"/>
      <w:marRight w:val="0"/>
      <w:marTop w:val="0"/>
      <w:marBottom w:val="0"/>
      <w:divBdr>
        <w:top w:val="none" w:sz="0" w:space="0" w:color="auto"/>
        <w:left w:val="none" w:sz="0" w:space="0" w:color="auto"/>
        <w:bottom w:val="none" w:sz="0" w:space="0" w:color="auto"/>
        <w:right w:val="none" w:sz="0" w:space="0" w:color="auto"/>
      </w:divBdr>
    </w:div>
    <w:div w:id="1971980880">
      <w:bodyDiv w:val="1"/>
      <w:marLeft w:val="0"/>
      <w:marRight w:val="0"/>
      <w:marTop w:val="0"/>
      <w:marBottom w:val="0"/>
      <w:divBdr>
        <w:top w:val="none" w:sz="0" w:space="0" w:color="auto"/>
        <w:left w:val="none" w:sz="0" w:space="0" w:color="auto"/>
        <w:bottom w:val="none" w:sz="0" w:space="0" w:color="auto"/>
        <w:right w:val="none" w:sz="0" w:space="0" w:color="auto"/>
      </w:divBdr>
    </w:div>
    <w:div w:id="2000890418">
      <w:bodyDiv w:val="1"/>
      <w:marLeft w:val="0"/>
      <w:marRight w:val="0"/>
      <w:marTop w:val="0"/>
      <w:marBottom w:val="0"/>
      <w:divBdr>
        <w:top w:val="none" w:sz="0" w:space="0" w:color="auto"/>
        <w:left w:val="none" w:sz="0" w:space="0" w:color="auto"/>
        <w:bottom w:val="none" w:sz="0" w:space="0" w:color="auto"/>
        <w:right w:val="none" w:sz="0" w:space="0" w:color="auto"/>
      </w:divBdr>
    </w:div>
    <w:div w:id="2032873114">
      <w:bodyDiv w:val="1"/>
      <w:marLeft w:val="0"/>
      <w:marRight w:val="0"/>
      <w:marTop w:val="0"/>
      <w:marBottom w:val="0"/>
      <w:divBdr>
        <w:top w:val="none" w:sz="0" w:space="0" w:color="auto"/>
        <w:left w:val="none" w:sz="0" w:space="0" w:color="auto"/>
        <w:bottom w:val="none" w:sz="0" w:space="0" w:color="auto"/>
        <w:right w:val="none" w:sz="0" w:space="0" w:color="auto"/>
      </w:divBdr>
    </w:div>
    <w:div w:id="2037533498">
      <w:bodyDiv w:val="1"/>
      <w:marLeft w:val="0"/>
      <w:marRight w:val="0"/>
      <w:marTop w:val="0"/>
      <w:marBottom w:val="0"/>
      <w:divBdr>
        <w:top w:val="none" w:sz="0" w:space="0" w:color="auto"/>
        <w:left w:val="none" w:sz="0" w:space="0" w:color="auto"/>
        <w:bottom w:val="none" w:sz="0" w:space="0" w:color="auto"/>
        <w:right w:val="none" w:sz="0" w:space="0" w:color="auto"/>
      </w:divBdr>
    </w:div>
    <w:div w:id="2083142300">
      <w:bodyDiv w:val="1"/>
      <w:marLeft w:val="0"/>
      <w:marRight w:val="0"/>
      <w:marTop w:val="0"/>
      <w:marBottom w:val="0"/>
      <w:divBdr>
        <w:top w:val="none" w:sz="0" w:space="0" w:color="auto"/>
        <w:left w:val="none" w:sz="0" w:space="0" w:color="auto"/>
        <w:bottom w:val="none" w:sz="0" w:space="0" w:color="auto"/>
        <w:right w:val="none" w:sz="0" w:space="0" w:color="auto"/>
      </w:divBdr>
    </w:div>
    <w:div w:id="2086603865">
      <w:bodyDiv w:val="1"/>
      <w:marLeft w:val="0"/>
      <w:marRight w:val="0"/>
      <w:marTop w:val="0"/>
      <w:marBottom w:val="0"/>
      <w:divBdr>
        <w:top w:val="none" w:sz="0" w:space="0" w:color="auto"/>
        <w:left w:val="none" w:sz="0" w:space="0" w:color="auto"/>
        <w:bottom w:val="none" w:sz="0" w:space="0" w:color="auto"/>
        <w:right w:val="none" w:sz="0" w:space="0" w:color="auto"/>
      </w:divBdr>
    </w:div>
    <w:div w:id="2096201367">
      <w:bodyDiv w:val="1"/>
      <w:marLeft w:val="0"/>
      <w:marRight w:val="0"/>
      <w:marTop w:val="0"/>
      <w:marBottom w:val="0"/>
      <w:divBdr>
        <w:top w:val="none" w:sz="0" w:space="0" w:color="auto"/>
        <w:left w:val="none" w:sz="0" w:space="0" w:color="auto"/>
        <w:bottom w:val="none" w:sz="0" w:space="0" w:color="auto"/>
        <w:right w:val="none" w:sz="0" w:space="0" w:color="auto"/>
      </w:divBdr>
    </w:div>
    <w:div w:id="2102532278">
      <w:bodyDiv w:val="1"/>
      <w:marLeft w:val="0"/>
      <w:marRight w:val="0"/>
      <w:marTop w:val="0"/>
      <w:marBottom w:val="0"/>
      <w:divBdr>
        <w:top w:val="none" w:sz="0" w:space="0" w:color="auto"/>
        <w:left w:val="none" w:sz="0" w:space="0" w:color="auto"/>
        <w:bottom w:val="none" w:sz="0" w:space="0" w:color="auto"/>
        <w:right w:val="none" w:sz="0" w:space="0" w:color="auto"/>
      </w:divBdr>
    </w:div>
    <w:div w:id="2121223793">
      <w:bodyDiv w:val="1"/>
      <w:marLeft w:val="0"/>
      <w:marRight w:val="0"/>
      <w:marTop w:val="0"/>
      <w:marBottom w:val="0"/>
      <w:divBdr>
        <w:top w:val="none" w:sz="0" w:space="0" w:color="auto"/>
        <w:left w:val="none" w:sz="0" w:space="0" w:color="auto"/>
        <w:bottom w:val="none" w:sz="0" w:space="0" w:color="auto"/>
        <w:right w:val="none" w:sz="0" w:space="0" w:color="auto"/>
      </w:divBdr>
    </w:div>
    <w:div w:id="2129010988">
      <w:bodyDiv w:val="1"/>
      <w:marLeft w:val="0"/>
      <w:marRight w:val="0"/>
      <w:marTop w:val="0"/>
      <w:marBottom w:val="0"/>
      <w:divBdr>
        <w:top w:val="none" w:sz="0" w:space="0" w:color="auto"/>
        <w:left w:val="none" w:sz="0" w:space="0" w:color="auto"/>
        <w:bottom w:val="none" w:sz="0" w:space="0" w:color="auto"/>
        <w:right w:val="none" w:sz="0" w:space="0" w:color="auto"/>
      </w:divBdr>
    </w:div>
    <w:div w:id="2141802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D585B5FE94C423B8FE5F8216E9748E9"/>
        <w:category>
          <w:name w:val="General"/>
          <w:gallery w:val="placeholder"/>
        </w:category>
        <w:types>
          <w:type w:val="bbPlcHdr"/>
        </w:types>
        <w:behaviors>
          <w:behavior w:val="content"/>
        </w:behaviors>
        <w:guid w:val="{E578F441-7F8A-4E16-BDF9-130318EC168A}"/>
      </w:docPartPr>
      <w:docPartBody>
        <w:p w:rsidR="00776514" w:rsidRDefault="006C6280">
          <w:r w:rsidRPr="00C87EFE">
            <w:rPr>
              <w:rStyle w:val="PlaceholderText"/>
            </w:rPr>
            <w:t>Formatting...</w:t>
          </w:r>
        </w:p>
      </w:docPartBody>
    </w:docPart>
    <w:docPart>
      <w:docPartPr>
        <w:name w:val="9E5C6CECD4E24B7DBB6C13C7EAB4A1E3"/>
        <w:category>
          <w:name w:val="General"/>
          <w:gallery w:val="placeholder"/>
        </w:category>
        <w:types>
          <w:type w:val="bbPlcHdr"/>
        </w:types>
        <w:behaviors>
          <w:behavior w:val="content"/>
        </w:behaviors>
        <w:guid w:val="{869DE69A-4851-4A89-86EC-1BB7FEE45B34}"/>
      </w:docPartPr>
      <w:docPartBody>
        <w:p w:rsidR="002C7153" w:rsidRDefault="00776514">
          <w:r w:rsidRPr="00C87EFE">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 w:name="Aptos Narrow">
    <w:altName w:val="Calibri"/>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DengXian Light">
    <w:altName w:val="等线 Light"/>
    <w:panose1 w:val="00000000000000000000"/>
    <w:charset w:val="86"/>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280"/>
    <w:rsid w:val="00021696"/>
    <w:rsid w:val="002C7153"/>
    <w:rsid w:val="003C5CB3"/>
    <w:rsid w:val="004B3657"/>
    <w:rsid w:val="0050487F"/>
    <w:rsid w:val="006C6280"/>
    <w:rsid w:val="00776514"/>
    <w:rsid w:val="00841E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6514"/>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CD8422C-7FF2-4E4B-9ABB-877A2D500DC2}">
  <we:reference id="8c1c3d44-57e9-40d7-86e4-4adf88fea1dd" version="3.0.0.0" store="EXCatalog" storeType="EXCatalog"/>
  <we:alternateReferences>
    <we:reference id="WA200007520" version="3.0.0.0" store="en-US" storeType="OMEX"/>
  </we:alternateReferences>
  <we:properties>
    <we:property name="citations" value="{&quot;-737940528&quot;:{&quot;referencesIds&quot;:[&quot;doc:69c03838ee6e171ac1b7efc6&quot;],&quot;referencesOptions&quot;:{&quot;doc:69c03838ee6e171ac1b7ef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7940528,&quot;citationText&quot;:&quot;&lt;span style=\&quot;font-family:Calibri;font-size:14.666666666666666px;color:#000000\&quot;&gt;(Jia, Cai et al. 2023)&lt;/span&gt;&quot;},&quot;-1322571410&quot;:{&quot;referencesIds&quot;:[&quot;doc:69c03838ee6e171ac1b7efc6&quot;],&quot;referencesOptions&quot;:{&quot;doc:69c03838ee6e171ac1b7ef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2571410,&quot;citationText&quot;:&quot;&lt;span style=\&quot;font-family:Calibri;font-size:14.666666666666666px;color:#000000\&quot;&gt;(Jia, Cai et al. 2023)&lt;/span&gt;&quot;},&quot;-49621995&quot;:{&quot;referencesIds&quot;:[&quot;doc:69bf0433ee6e171ac1b7d7c4&quot;],&quot;referencesOptions&quot;:{&quot;doc:69bf0433ee6e171ac1b7d7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621995,&quot;citationText&quot;:&quot;&lt;span style=\&quot;font-family:Calibri;font-size:14.666666666666666px;color:#000000\&quot;&gt;(Okorn, Nagode et al. 2021)&lt;/span&gt;&quot;}}"/>
    <we:property name="currentFolder" value="{&quot;id&quot;:&quot;project:69b984b5f312e25606b698b9&quot;,&quot;userId&quot;:&quot;user:691f6c67e26bd708ea855d95&quot;,&quot;projectId&quot;:&quot;ap:691f6c68e26bd708ea855d96&quot;,&quot;name&quot;:&quot;skooby&quot;,&quot;created&quot;:1773765813329,&quot;lastModified&quot;:1773765813329,&quot;position&quot;:4,&quot;isShared&quot;:false,&quot;isExampleCollection&quot;:false,&quot;isMyPublicationsCollection&quot;:false,&quot;notInFolder&quot;:false,&quot;totalReferences&quot;:1,&quot;depth&quot;:0}"/>
    <we:property name="currentStyle" value="{&quot;id&quot;:&quot;rwoutputstyle:69bb04bb8249c9003191fd68&quot;,&quot;styleType&quot;:&quot;global&quot;,&quot;name&quot;:&quot;Harvard - British Standard&quot;,&quot;userId&quot;:&quot;user:5c65ce0be4b09a36bed143f1&quot;,&quot;isInstitutional&quot;:false,&quot;citeStyle&quot;:&quot;INTEXT_ONLY&quot;,&quot;isSorted&quot;:false,&quot;usesNumbers&quot;:false,&quot;lrwStyleId&quot;:166,&quot;authorDisambiguation&quot;:&quot;surname_firstname&quot;}"/>
    <we:property name="filterOptions" value="{&quot;startIndex&quot;:0,&quot;pageSize&quot;:25,&quot;sortOrder&quot;:&quot;date-added&quot;,&quot;sortType&quot;:&quot;desc&quot;,&quot;searchQuery&quot;:&quot;&quot;,&quot;folderId&quot;:&quot;&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02ee663-9d75-423d-bf72-2074728981ac" xsi:nil="true"/>
    <lcf76f155ced4ddcb4097134ff3c332f xmlns="745442ed-da55-4337-9919-68a3d2d4cc2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A249224504BBF4AADE362CB267FC93F" ma:contentTypeVersion="13" ma:contentTypeDescription="Create a new document." ma:contentTypeScope="" ma:versionID="70d405b94d467859b60e99c46fd58680">
  <xsd:schema xmlns:xsd="http://www.w3.org/2001/XMLSchema" xmlns:xs="http://www.w3.org/2001/XMLSchema" xmlns:p="http://schemas.microsoft.com/office/2006/metadata/properties" xmlns:ns2="745442ed-da55-4337-9919-68a3d2d4cc24" xmlns:ns3="d02ee663-9d75-423d-bf72-2074728981ac" targetNamespace="http://schemas.microsoft.com/office/2006/metadata/properties" ma:root="true" ma:fieldsID="cc55aa955af2b67eec505de871b878c5" ns2:_="" ns3:_="">
    <xsd:import namespace="745442ed-da55-4337-9919-68a3d2d4cc24"/>
    <xsd:import namespace="d02ee663-9d75-423d-bf72-2074728981ac"/>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5442ed-da55-4337-9919-68a3d2d4cc24"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02ee663-9d75-423d-bf72-2074728981ac"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a6df9508-f4d0-48f2-a408-e814f2d9cb18}" ma:internalName="TaxCatchAll" ma:showField="CatchAllData" ma:web="d02ee663-9d75-423d-bf72-2074728981ac">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WAR01</b:Tag>
    <b:SourceType>Report</b:SourceType>
    <b:Guid>{A15BC649-6837-4D6D-9EAB-EE1F7BE49E54}</b:Guid>
    <b:Title>Roark’s Formulas</b:Title>
    <b:Year>2001</b:Year>
    <b:Publisher>McGraw-Hill Professional.</b:Publisher>
    <b:Author>
      <b:Author>
        <b:NameList>
          <b:Person>
            <b:Last>WARREN C. YOUNG</b:Last>
            <b:First>RICHARD</b:First>
            <b:Middle>G. BUDYNAS</b:Middle>
          </b:Person>
        </b:NameList>
      </b:Author>
    </b:Author>
    <b:RefOrder>7</b:RefOrder>
  </b:Source>
  <b:Source>
    <b:Tag>Xin13</b:Tag>
    <b:SourceType>Report</b:SourceType>
    <b:Guid>{6E9765DC-6D41-4902-AA66-173287C4A014}</b:Guid>
    <b:Author>
      <b:Author>
        <b:NameList>
          <b:Person>
            <b:Last>Xin</b:Last>
            <b:First>Q</b:First>
          </b:Person>
        </b:NameList>
      </b:Author>
    </b:Author>
    <b:Title>Diesel Engine System Design</b:Title>
    <b:Year>2013</b:Year>
    <b:Publisher>Woodhead Publishing.</b:Publisher>
    <b:City>Cambridge</b:City>
    <b:RefOrder>1</b:RefOrder>
  </b:Source>
  <b:Source>
    <b:Tag>For26</b:Tag>
    <b:SourceType>InternetSite</b:SourceType>
    <b:Guid>{D1F043AB-55C0-417E-804E-2D3EAB348DB2}</b:Guid>
    <b:Title>ford </b:Title>
    <b:Author>
      <b:Author>
        <b:Corporate>Ford</b:Corporate>
      </b:Author>
    </b:Author>
    <b:YearAccessed>2026</b:YearAccessed>
    <b:MonthAccessed>March</b:MonthAccessed>
    <b:DayAccessed>21</b:DayAccessed>
    <b:URL>https://www.ford.co.uk/content/dam/guxeu/uk/documents/home/experience-ford/about-ford/ford-component-sales/specification-details-data-sheets/16-ecoboost-np.pdf</b:URL>
    <b:RefOrder>5</b:RefOrder>
  </b:Source>
  <b:Source>
    <b:Tag>SGr08</b:Tag>
    <b:SourceType>Report</b:SourceType>
    <b:Guid>{5D82A468-DA37-4EDB-A935-3905D7984BCC}</b:Guid>
    <b:Author>
      <b:Author>
        <b:NameList>
          <b:Person>
            <b:Last>S. Griza*</b:Last>
            <b:First>F.</b:First>
            <b:Middle>Bertoni, G. Zanon, A. Reguly, T.R. Strohaecker</b:Middle>
          </b:Person>
        </b:NameList>
      </b:Author>
    </b:Author>
    <b:Title>Fatigue in engine connecting rod bolt due to forming laps</b:Title>
    <b:Year>2008</b:Year>
    <b:Publisher>Elsevier</b:Publisher>
    <b:RefOrder>8</b:RefOrder>
  </b:Source>
  <b:Source>
    <b:Tag>Dew25</b:Tag>
    <b:SourceType>Report</b:SourceType>
    <b:Guid>{623EACF9-E2A7-4F1F-B0C3-5DDAD4F1216B}</b:Guid>
    <b:Title>Analysis of the influence of geometric accuracy on the preload and stress of engine connecting rod bolts</b:Title>
    <b:Year>2025</b:Year>
    <b:Author>
      <b:Author>
        <b:NameList>
          <b:Person>
            <b:Last>Dewen Jia</b:Last>
            <b:First>Xiaofan</b:First>
            <b:Middle>Song, Wei Deng, Xiwen Deng, Huiping Ji &amp; Jilin Lei</b:Middle>
          </b:Person>
        </b:NameList>
      </b:Author>
    </b:Author>
    <b:Publisher>natureportfolio</b:Publisher>
    <b:RefOrder>3</b:RefOrder>
  </b:Source>
  <b:Source>
    <b:Tag>Fre04</b:Tag>
    <b:SourceType>Book</b:SourceType>
    <b:Guid>{D00722B8-CBDA-4F31-A655-86B8974DE197}</b:Guid>
    <b:Title>Modern Engine Technology from A to Z</b:Title>
    <b:Year>2004</b:Year>
    <b:Author>
      <b:Author>
        <b:NameList>
          <b:Person>
            <b:Last>Fred Schafer</b:Last>
            <b:First>Richard</b:First>
            <b:Middle>van Basshuysen</b:Middle>
          </b:Person>
        </b:NameList>
      </b:Author>
    </b:Author>
    <b:City>Wiesbaden</b:City>
    <b:Publisher>SAE</b:Publisher>
    <b:RefOrder>6</b:RefOrder>
  </b:Source>
  <b:Source>
    <b:Tag>ESC19</b:Tag>
    <b:SourceType>Book</b:SourceType>
    <b:Guid>{984014F3-6653-4FBF-8201-D75B9141DD25}</b:Guid>
    <b:Author>
      <b:Author>
        <b:NameList>
          <b:Person>
            <b:Last>ESCUDIER</b:Last>
            <b:First>M.</b:First>
            <b:Middle>and ATKINS, T.</b:Middle>
          </b:Person>
        </b:NameList>
      </b:Author>
    </b:Author>
    <b:Title>A Dictionary of Mechanical Engineering (2 ed.)</b:Title>
    <b:Year>2019</b:Year>
    <b:Publisher>Oxford University Press</b:Publisher>
    <b:City>Oxford</b:City>
    <b:RefOrder>2</b:RefOrder>
  </b:Source>
  <b:Source>
    <b:Tag>ARP26</b:Tag>
    <b:SourceType>InternetSite</b:SourceType>
    <b:Guid>{39CB2D87-5161-47DE-84EB-6C909592E4AD}</b:Guid>
    <b:Title>ARP Material Specifications</b:Title>
    <b:Year>2026</b:Year>
    <b:Author>
      <b:Author>
        <b:Corporate>ARP</b:Corporate>
      </b:Author>
    </b:Author>
    <b:YearAccessed>2026</b:YearAccessed>
    <b:MonthAccessed>march</b:MonthAccessed>
    <b:DayAccessed>22</b:DayAccessed>
    <b:URL>https://www.arp-bolts.com/tech/materials</b:URL>
    <b:RefOrder>4</b:RefOrder>
  </b:Source>
</b:Sources>
</file>

<file path=customXml/itemProps1.xml><?xml version="1.0" encoding="utf-8"?>
<ds:datastoreItem xmlns:ds="http://schemas.openxmlformats.org/officeDocument/2006/customXml" ds:itemID="{36D56C32-4B64-4D6C-A664-C6774133A076}">
  <ds:schemaRefs>
    <ds:schemaRef ds:uri="http://schemas.microsoft.com/office/2006/metadata/properties"/>
    <ds:schemaRef ds:uri="http://schemas.microsoft.com/office/infopath/2007/PartnerControls"/>
    <ds:schemaRef ds:uri="d02ee663-9d75-423d-bf72-2074728981ac"/>
    <ds:schemaRef ds:uri="745442ed-da55-4337-9919-68a3d2d4cc24"/>
  </ds:schemaRefs>
</ds:datastoreItem>
</file>

<file path=customXml/itemProps2.xml><?xml version="1.0" encoding="utf-8"?>
<ds:datastoreItem xmlns:ds="http://schemas.openxmlformats.org/officeDocument/2006/customXml" ds:itemID="{AB4E4364-FEBC-4279-AB7D-1DAD30D18F28}">
  <ds:schemaRefs>
    <ds:schemaRef ds:uri="http://schemas.microsoft.com/sharepoint/v3/contenttype/forms"/>
  </ds:schemaRefs>
</ds:datastoreItem>
</file>

<file path=customXml/itemProps3.xml><?xml version="1.0" encoding="utf-8"?>
<ds:datastoreItem xmlns:ds="http://schemas.openxmlformats.org/officeDocument/2006/customXml" ds:itemID="{29C55F86-2397-4000-87F7-E2DC9A8694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5442ed-da55-4337-9919-68a3d2d4cc24"/>
    <ds:schemaRef ds:uri="d02ee663-9d75-423d-bf72-2074728981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D35DBD-0CED-439A-8865-05BCB900B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9101</TotalTime>
  <Pages>1</Pages>
  <Words>4148</Words>
  <Characters>23647</Characters>
  <Application>Microsoft Office Word</Application>
  <DocSecurity>4</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27740</CharactersWithSpaces>
  <SharedDoc>false</SharedDoc>
  <HLinks>
    <vt:vector size="198" baseType="variant">
      <vt:variant>
        <vt:i4>1376306</vt:i4>
      </vt:variant>
      <vt:variant>
        <vt:i4>197</vt:i4>
      </vt:variant>
      <vt:variant>
        <vt:i4>0</vt:i4>
      </vt:variant>
      <vt:variant>
        <vt:i4>5</vt:i4>
      </vt:variant>
      <vt:variant>
        <vt:lpwstr/>
      </vt:variant>
      <vt:variant>
        <vt:lpwstr>_Toc225108591</vt:lpwstr>
      </vt:variant>
      <vt:variant>
        <vt:i4>1376306</vt:i4>
      </vt:variant>
      <vt:variant>
        <vt:i4>191</vt:i4>
      </vt:variant>
      <vt:variant>
        <vt:i4>0</vt:i4>
      </vt:variant>
      <vt:variant>
        <vt:i4>5</vt:i4>
      </vt:variant>
      <vt:variant>
        <vt:lpwstr/>
      </vt:variant>
      <vt:variant>
        <vt:lpwstr>_Toc225108590</vt:lpwstr>
      </vt:variant>
      <vt:variant>
        <vt:i4>1310770</vt:i4>
      </vt:variant>
      <vt:variant>
        <vt:i4>185</vt:i4>
      </vt:variant>
      <vt:variant>
        <vt:i4>0</vt:i4>
      </vt:variant>
      <vt:variant>
        <vt:i4>5</vt:i4>
      </vt:variant>
      <vt:variant>
        <vt:lpwstr/>
      </vt:variant>
      <vt:variant>
        <vt:lpwstr>_Toc225108589</vt:lpwstr>
      </vt:variant>
      <vt:variant>
        <vt:i4>1310770</vt:i4>
      </vt:variant>
      <vt:variant>
        <vt:i4>179</vt:i4>
      </vt:variant>
      <vt:variant>
        <vt:i4>0</vt:i4>
      </vt:variant>
      <vt:variant>
        <vt:i4>5</vt:i4>
      </vt:variant>
      <vt:variant>
        <vt:lpwstr/>
      </vt:variant>
      <vt:variant>
        <vt:lpwstr>_Toc225108588</vt:lpwstr>
      </vt:variant>
      <vt:variant>
        <vt:i4>1310770</vt:i4>
      </vt:variant>
      <vt:variant>
        <vt:i4>173</vt:i4>
      </vt:variant>
      <vt:variant>
        <vt:i4>0</vt:i4>
      </vt:variant>
      <vt:variant>
        <vt:i4>5</vt:i4>
      </vt:variant>
      <vt:variant>
        <vt:lpwstr/>
      </vt:variant>
      <vt:variant>
        <vt:lpwstr>_Toc225108587</vt:lpwstr>
      </vt:variant>
      <vt:variant>
        <vt:i4>1310770</vt:i4>
      </vt:variant>
      <vt:variant>
        <vt:i4>167</vt:i4>
      </vt:variant>
      <vt:variant>
        <vt:i4>0</vt:i4>
      </vt:variant>
      <vt:variant>
        <vt:i4>5</vt:i4>
      </vt:variant>
      <vt:variant>
        <vt:lpwstr/>
      </vt:variant>
      <vt:variant>
        <vt:lpwstr>_Toc225108586</vt:lpwstr>
      </vt:variant>
      <vt:variant>
        <vt:i4>1310770</vt:i4>
      </vt:variant>
      <vt:variant>
        <vt:i4>161</vt:i4>
      </vt:variant>
      <vt:variant>
        <vt:i4>0</vt:i4>
      </vt:variant>
      <vt:variant>
        <vt:i4>5</vt:i4>
      </vt:variant>
      <vt:variant>
        <vt:lpwstr/>
      </vt:variant>
      <vt:variant>
        <vt:lpwstr>_Toc225108585</vt:lpwstr>
      </vt:variant>
      <vt:variant>
        <vt:i4>1310770</vt:i4>
      </vt:variant>
      <vt:variant>
        <vt:i4>155</vt:i4>
      </vt:variant>
      <vt:variant>
        <vt:i4>0</vt:i4>
      </vt:variant>
      <vt:variant>
        <vt:i4>5</vt:i4>
      </vt:variant>
      <vt:variant>
        <vt:lpwstr/>
      </vt:variant>
      <vt:variant>
        <vt:lpwstr>_Toc225108584</vt:lpwstr>
      </vt:variant>
      <vt:variant>
        <vt:i4>1310770</vt:i4>
      </vt:variant>
      <vt:variant>
        <vt:i4>149</vt:i4>
      </vt:variant>
      <vt:variant>
        <vt:i4>0</vt:i4>
      </vt:variant>
      <vt:variant>
        <vt:i4>5</vt:i4>
      </vt:variant>
      <vt:variant>
        <vt:lpwstr/>
      </vt:variant>
      <vt:variant>
        <vt:lpwstr>_Toc225108583</vt:lpwstr>
      </vt:variant>
      <vt:variant>
        <vt:i4>1310770</vt:i4>
      </vt:variant>
      <vt:variant>
        <vt:i4>143</vt:i4>
      </vt:variant>
      <vt:variant>
        <vt:i4>0</vt:i4>
      </vt:variant>
      <vt:variant>
        <vt:i4>5</vt:i4>
      </vt:variant>
      <vt:variant>
        <vt:lpwstr/>
      </vt:variant>
      <vt:variant>
        <vt:lpwstr>_Toc225108582</vt:lpwstr>
      </vt:variant>
      <vt:variant>
        <vt:i4>1310770</vt:i4>
      </vt:variant>
      <vt:variant>
        <vt:i4>137</vt:i4>
      </vt:variant>
      <vt:variant>
        <vt:i4>0</vt:i4>
      </vt:variant>
      <vt:variant>
        <vt:i4>5</vt:i4>
      </vt:variant>
      <vt:variant>
        <vt:lpwstr/>
      </vt:variant>
      <vt:variant>
        <vt:lpwstr>_Toc225108581</vt:lpwstr>
      </vt:variant>
      <vt:variant>
        <vt:i4>1310770</vt:i4>
      </vt:variant>
      <vt:variant>
        <vt:i4>131</vt:i4>
      </vt:variant>
      <vt:variant>
        <vt:i4>0</vt:i4>
      </vt:variant>
      <vt:variant>
        <vt:i4>5</vt:i4>
      </vt:variant>
      <vt:variant>
        <vt:lpwstr/>
      </vt:variant>
      <vt:variant>
        <vt:lpwstr>_Toc225108580</vt:lpwstr>
      </vt:variant>
      <vt:variant>
        <vt:i4>1769522</vt:i4>
      </vt:variant>
      <vt:variant>
        <vt:i4>125</vt:i4>
      </vt:variant>
      <vt:variant>
        <vt:i4>0</vt:i4>
      </vt:variant>
      <vt:variant>
        <vt:i4>5</vt:i4>
      </vt:variant>
      <vt:variant>
        <vt:lpwstr/>
      </vt:variant>
      <vt:variant>
        <vt:lpwstr>_Toc225108579</vt:lpwstr>
      </vt:variant>
      <vt:variant>
        <vt:i4>1769522</vt:i4>
      </vt:variant>
      <vt:variant>
        <vt:i4>119</vt:i4>
      </vt:variant>
      <vt:variant>
        <vt:i4>0</vt:i4>
      </vt:variant>
      <vt:variant>
        <vt:i4>5</vt:i4>
      </vt:variant>
      <vt:variant>
        <vt:lpwstr/>
      </vt:variant>
      <vt:variant>
        <vt:lpwstr>_Toc225108578</vt:lpwstr>
      </vt:variant>
      <vt:variant>
        <vt:i4>1769522</vt:i4>
      </vt:variant>
      <vt:variant>
        <vt:i4>113</vt:i4>
      </vt:variant>
      <vt:variant>
        <vt:i4>0</vt:i4>
      </vt:variant>
      <vt:variant>
        <vt:i4>5</vt:i4>
      </vt:variant>
      <vt:variant>
        <vt:lpwstr/>
      </vt:variant>
      <vt:variant>
        <vt:lpwstr>_Toc225108577</vt:lpwstr>
      </vt:variant>
      <vt:variant>
        <vt:i4>1769522</vt:i4>
      </vt:variant>
      <vt:variant>
        <vt:i4>107</vt:i4>
      </vt:variant>
      <vt:variant>
        <vt:i4>0</vt:i4>
      </vt:variant>
      <vt:variant>
        <vt:i4>5</vt:i4>
      </vt:variant>
      <vt:variant>
        <vt:lpwstr/>
      </vt:variant>
      <vt:variant>
        <vt:lpwstr>_Toc225108576</vt:lpwstr>
      </vt:variant>
      <vt:variant>
        <vt:i4>1769522</vt:i4>
      </vt:variant>
      <vt:variant>
        <vt:i4>101</vt:i4>
      </vt:variant>
      <vt:variant>
        <vt:i4>0</vt:i4>
      </vt:variant>
      <vt:variant>
        <vt:i4>5</vt:i4>
      </vt:variant>
      <vt:variant>
        <vt:lpwstr/>
      </vt:variant>
      <vt:variant>
        <vt:lpwstr>_Toc225108575</vt:lpwstr>
      </vt:variant>
      <vt:variant>
        <vt:i4>1769522</vt:i4>
      </vt:variant>
      <vt:variant>
        <vt:i4>95</vt:i4>
      </vt:variant>
      <vt:variant>
        <vt:i4>0</vt:i4>
      </vt:variant>
      <vt:variant>
        <vt:i4>5</vt:i4>
      </vt:variant>
      <vt:variant>
        <vt:lpwstr/>
      </vt:variant>
      <vt:variant>
        <vt:lpwstr>_Toc225108574</vt:lpwstr>
      </vt:variant>
      <vt:variant>
        <vt:i4>1769522</vt:i4>
      </vt:variant>
      <vt:variant>
        <vt:i4>89</vt:i4>
      </vt:variant>
      <vt:variant>
        <vt:i4>0</vt:i4>
      </vt:variant>
      <vt:variant>
        <vt:i4>5</vt:i4>
      </vt:variant>
      <vt:variant>
        <vt:lpwstr/>
      </vt:variant>
      <vt:variant>
        <vt:lpwstr>_Toc225108573</vt:lpwstr>
      </vt:variant>
      <vt:variant>
        <vt:i4>1769522</vt:i4>
      </vt:variant>
      <vt:variant>
        <vt:i4>83</vt:i4>
      </vt:variant>
      <vt:variant>
        <vt:i4>0</vt:i4>
      </vt:variant>
      <vt:variant>
        <vt:i4>5</vt:i4>
      </vt:variant>
      <vt:variant>
        <vt:lpwstr/>
      </vt:variant>
      <vt:variant>
        <vt:lpwstr>_Toc225108572</vt:lpwstr>
      </vt:variant>
      <vt:variant>
        <vt:i4>1769522</vt:i4>
      </vt:variant>
      <vt:variant>
        <vt:i4>74</vt:i4>
      </vt:variant>
      <vt:variant>
        <vt:i4>0</vt:i4>
      </vt:variant>
      <vt:variant>
        <vt:i4>5</vt:i4>
      </vt:variant>
      <vt:variant>
        <vt:lpwstr/>
      </vt:variant>
      <vt:variant>
        <vt:lpwstr>_Toc225108571</vt:lpwstr>
      </vt:variant>
      <vt:variant>
        <vt:i4>1769522</vt:i4>
      </vt:variant>
      <vt:variant>
        <vt:i4>68</vt:i4>
      </vt:variant>
      <vt:variant>
        <vt:i4>0</vt:i4>
      </vt:variant>
      <vt:variant>
        <vt:i4>5</vt:i4>
      </vt:variant>
      <vt:variant>
        <vt:lpwstr/>
      </vt:variant>
      <vt:variant>
        <vt:lpwstr>_Toc225108570</vt:lpwstr>
      </vt:variant>
      <vt:variant>
        <vt:i4>1703986</vt:i4>
      </vt:variant>
      <vt:variant>
        <vt:i4>62</vt:i4>
      </vt:variant>
      <vt:variant>
        <vt:i4>0</vt:i4>
      </vt:variant>
      <vt:variant>
        <vt:i4>5</vt:i4>
      </vt:variant>
      <vt:variant>
        <vt:lpwstr/>
      </vt:variant>
      <vt:variant>
        <vt:lpwstr>_Toc225108569</vt:lpwstr>
      </vt:variant>
      <vt:variant>
        <vt:i4>1703986</vt:i4>
      </vt:variant>
      <vt:variant>
        <vt:i4>56</vt:i4>
      </vt:variant>
      <vt:variant>
        <vt:i4>0</vt:i4>
      </vt:variant>
      <vt:variant>
        <vt:i4>5</vt:i4>
      </vt:variant>
      <vt:variant>
        <vt:lpwstr/>
      </vt:variant>
      <vt:variant>
        <vt:lpwstr>_Toc225108568</vt:lpwstr>
      </vt:variant>
      <vt:variant>
        <vt:i4>1703986</vt:i4>
      </vt:variant>
      <vt:variant>
        <vt:i4>50</vt:i4>
      </vt:variant>
      <vt:variant>
        <vt:i4>0</vt:i4>
      </vt:variant>
      <vt:variant>
        <vt:i4>5</vt:i4>
      </vt:variant>
      <vt:variant>
        <vt:lpwstr/>
      </vt:variant>
      <vt:variant>
        <vt:lpwstr>_Toc225108567</vt:lpwstr>
      </vt:variant>
      <vt:variant>
        <vt:i4>1703986</vt:i4>
      </vt:variant>
      <vt:variant>
        <vt:i4>44</vt:i4>
      </vt:variant>
      <vt:variant>
        <vt:i4>0</vt:i4>
      </vt:variant>
      <vt:variant>
        <vt:i4>5</vt:i4>
      </vt:variant>
      <vt:variant>
        <vt:lpwstr/>
      </vt:variant>
      <vt:variant>
        <vt:lpwstr>_Toc225108566</vt:lpwstr>
      </vt:variant>
      <vt:variant>
        <vt:i4>1703986</vt:i4>
      </vt:variant>
      <vt:variant>
        <vt:i4>38</vt:i4>
      </vt:variant>
      <vt:variant>
        <vt:i4>0</vt:i4>
      </vt:variant>
      <vt:variant>
        <vt:i4>5</vt:i4>
      </vt:variant>
      <vt:variant>
        <vt:lpwstr/>
      </vt:variant>
      <vt:variant>
        <vt:lpwstr>_Toc225108565</vt:lpwstr>
      </vt:variant>
      <vt:variant>
        <vt:i4>1703986</vt:i4>
      </vt:variant>
      <vt:variant>
        <vt:i4>32</vt:i4>
      </vt:variant>
      <vt:variant>
        <vt:i4>0</vt:i4>
      </vt:variant>
      <vt:variant>
        <vt:i4>5</vt:i4>
      </vt:variant>
      <vt:variant>
        <vt:lpwstr/>
      </vt:variant>
      <vt:variant>
        <vt:lpwstr>_Toc225108564</vt:lpwstr>
      </vt:variant>
      <vt:variant>
        <vt:i4>1703986</vt:i4>
      </vt:variant>
      <vt:variant>
        <vt:i4>26</vt:i4>
      </vt:variant>
      <vt:variant>
        <vt:i4>0</vt:i4>
      </vt:variant>
      <vt:variant>
        <vt:i4>5</vt:i4>
      </vt:variant>
      <vt:variant>
        <vt:lpwstr/>
      </vt:variant>
      <vt:variant>
        <vt:lpwstr>_Toc225108563</vt:lpwstr>
      </vt:variant>
      <vt:variant>
        <vt:i4>1703986</vt:i4>
      </vt:variant>
      <vt:variant>
        <vt:i4>20</vt:i4>
      </vt:variant>
      <vt:variant>
        <vt:i4>0</vt:i4>
      </vt:variant>
      <vt:variant>
        <vt:i4>5</vt:i4>
      </vt:variant>
      <vt:variant>
        <vt:lpwstr/>
      </vt:variant>
      <vt:variant>
        <vt:lpwstr>_Toc225108562</vt:lpwstr>
      </vt:variant>
      <vt:variant>
        <vt:i4>1703986</vt:i4>
      </vt:variant>
      <vt:variant>
        <vt:i4>14</vt:i4>
      </vt:variant>
      <vt:variant>
        <vt:i4>0</vt:i4>
      </vt:variant>
      <vt:variant>
        <vt:i4>5</vt:i4>
      </vt:variant>
      <vt:variant>
        <vt:lpwstr/>
      </vt:variant>
      <vt:variant>
        <vt:lpwstr>_Toc225108561</vt:lpwstr>
      </vt:variant>
      <vt:variant>
        <vt:i4>1703986</vt:i4>
      </vt:variant>
      <vt:variant>
        <vt:i4>8</vt:i4>
      </vt:variant>
      <vt:variant>
        <vt:i4>0</vt:i4>
      </vt:variant>
      <vt:variant>
        <vt:i4>5</vt:i4>
      </vt:variant>
      <vt:variant>
        <vt:lpwstr/>
      </vt:variant>
      <vt:variant>
        <vt:lpwstr>_Toc225108560</vt:lpwstr>
      </vt:variant>
      <vt:variant>
        <vt:i4>1638450</vt:i4>
      </vt:variant>
      <vt:variant>
        <vt:i4>2</vt:i4>
      </vt:variant>
      <vt:variant>
        <vt:i4>0</vt:i4>
      </vt:variant>
      <vt:variant>
        <vt:i4>5</vt:i4>
      </vt:variant>
      <vt:variant>
        <vt:lpwstr/>
      </vt:variant>
      <vt:variant>
        <vt:lpwstr>_Toc225108559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Oliver Wilson (2203893)</cp:lastModifiedBy>
  <cp:revision>297</cp:revision>
  <cp:lastPrinted>2021-10-01T03:07:00Z</cp:lastPrinted>
  <dcterms:created xsi:type="dcterms:W3CDTF">2026-03-11T22:43:00Z</dcterms:created>
  <dcterms:modified xsi:type="dcterms:W3CDTF">2026-03-22T21:52:00Z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0x010100BA249224504BBF4AADE362CB267FC93F</vt:lpwstr>
  </property>
  <property fmtid="{D5CDD505-2E9C-101B-9397-08002B2CF9AE}" pid="3" name="MediaServiceImageTags">
    <vt:lpwstr/>
  </property>
</Properties>
</file>